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F5C4B" w14:textId="77777777" w:rsidR="002510A5" w:rsidRPr="00E00E21" w:rsidRDefault="002510A5" w:rsidP="002510A5">
      <w:pPr>
        <w:jc w:val="center"/>
        <w:rPr>
          <w:b/>
          <w:bCs/>
          <w:iCs/>
          <w:sz w:val="22"/>
          <w:szCs w:val="22"/>
          <w:u w:val="single"/>
          <w:lang w:val="sr-Latn-RS"/>
        </w:rPr>
      </w:pPr>
      <w:r w:rsidRPr="00E00E21">
        <w:rPr>
          <w:b/>
          <w:bCs/>
          <w:iCs/>
          <w:sz w:val="22"/>
          <w:szCs w:val="22"/>
          <w:u w:val="single"/>
          <w:lang w:val="sr-Latn-RS"/>
        </w:rPr>
        <w:t>SAŽETAK KARAKTERISTIKA LIJEKA</w:t>
      </w:r>
    </w:p>
    <w:p w14:paraId="6284930B" w14:textId="77777777" w:rsidR="002510A5" w:rsidRPr="00E00E21" w:rsidRDefault="002510A5" w:rsidP="002510A5">
      <w:pPr>
        <w:rPr>
          <w:b/>
          <w:bCs/>
          <w:i/>
          <w:iCs/>
          <w:sz w:val="22"/>
          <w:szCs w:val="22"/>
          <w:u w:val="single"/>
          <w:lang w:val="sr-Latn-RS"/>
        </w:rPr>
      </w:pPr>
      <w:bookmarkStart w:id="0" w:name="_GoBack"/>
      <w:bookmarkEnd w:id="0"/>
    </w:p>
    <w:p w14:paraId="1309F91F" w14:textId="77777777" w:rsidR="003C17AB" w:rsidRPr="00E00E21" w:rsidRDefault="003C17AB" w:rsidP="00F5167F">
      <w:pPr>
        <w:tabs>
          <w:tab w:val="left" w:pos="540"/>
          <w:tab w:val="left" w:pos="569"/>
        </w:tabs>
        <w:rPr>
          <w:noProof/>
          <w:sz w:val="22"/>
          <w:szCs w:val="22"/>
          <w:lang w:val="sr-Latn-RS"/>
        </w:rPr>
      </w:pPr>
    </w:p>
    <w:p w14:paraId="00A6D1DD" w14:textId="77777777" w:rsidR="00C37FD7" w:rsidRPr="00E00E21" w:rsidRDefault="00C37FD7" w:rsidP="00F5167F">
      <w:pPr>
        <w:tabs>
          <w:tab w:val="left" w:pos="540"/>
          <w:tab w:val="left" w:pos="569"/>
        </w:tabs>
        <w:rPr>
          <w:bCs/>
          <w:sz w:val="22"/>
          <w:szCs w:val="22"/>
          <w:lang w:val="sr-Latn-RS"/>
        </w:rPr>
      </w:pPr>
    </w:p>
    <w:p w14:paraId="1ACDB639" w14:textId="77777777" w:rsidR="00411B4B" w:rsidRPr="00E00E21" w:rsidRDefault="00411B4B" w:rsidP="00F5167F">
      <w:pPr>
        <w:tabs>
          <w:tab w:val="left" w:pos="540"/>
          <w:tab w:val="left" w:pos="569"/>
        </w:tabs>
        <w:rPr>
          <w:b/>
          <w:bCs/>
          <w:sz w:val="22"/>
          <w:szCs w:val="22"/>
          <w:lang w:val="sr-Latn-RS"/>
        </w:rPr>
      </w:pPr>
      <w:r w:rsidRPr="00E00E21">
        <w:rPr>
          <w:b/>
          <w:bCs/>
          <w:sz w:val="22"/>
          <w:szCs w:val="22"/>
          <w:lang w:val="sr-Latn-RS"/>
        </w:rPr>
        <w:t>1.</w:t>
      </w:r>
      <w:r w:rsidR="00F5167F" w:rsidRPr="00E00E21">
        <w:rPr>
          <w:b/>
          <w:bCs/>
          <w:sz w:val="22"/>
          <w:szCs w:val="22"/>
          <w:lang w:val="sr-Latn-RS"/>
        </w:rPr>
        <w:tab/>
      </w:r>
      <w:r w:rsidR="002846DB" w:rsidRPr="00E00E21">
        <w:rPr>
          <w:b/>
          <w:bCs/>
          <w:sz w:val="22"/>
          <w:szCs w:val="22"/>
          <w:lang w:val="sr-Latn-RS"/>
        </w:rPr>
        <w:t xml:space="preserve">NAZIV </w:t>
      </w:r>
      <w:r w:rsidRPr="00E00E21">
        <w:rPr>
          <w:b/>
          <w:bCs/>
          <w:sz w:val="22"/>
          <w:szCs w:val="22"/>
          <w:lang w:val="sr-Latn-RS"/>
        </w:rPr>
        <w:t>LIJEKA</w:t>
      </w:r>
    </w:p>
    <w:p w14:paraId="60D45F41" w14:textId="77777777" w:rsidR="00EC2532" w:rsidRPr="00E00E21" w:rsidRDefault="00EC2532">
      <w:pPr>
        <w:rPr>
          <w:sz w:val="22"/>
          <w:szCs w:val="22"/>
          <w:lang w:val="sr-Latn-RS"/>
        </w:rPr>
      </w:pPr>
    </w:p>
    <w:p w14:paraId="4E572EF2" w14:textId="6F9774A5" w:rsidR="00AC1A9E" w:rsidRPr="00E00E21" w:rsidRDefault="00AC1A9E" w:rsidP="00AC1A9E">
      <w:pPr>
        <w:rPr>
          <w:iCs/>
          <w:color w:val="000000" w:themeColor="text1"/>
          <w:sz w:val="22"/>
          <w:szCs w:val="22"/>
          <w:lang w:val="sr-Latn-RS"/>
        </w:rPr>
      </w:pPr>
      <w:r w:rsidRPr="00E00E21">
        <w:rPr>
          <w:iCs/>
          <w:color w:val="000000" w:themeColor="text1"/>
          <w:sz w:val="22"/>
          <w:szCs w:val="22"/>
          <w:lang w:val="sr-Latn-RS"/>
        </w:rPr>
        <w:t>Kabazitaksel EVER Pharma, 10</w:t>
      </w:r>
      <w:r w:rsidR="00EF566D" w:rsidRPr="00E00E21">
        <w:rPr>
          <w:iCs/>
          <w:color w:val="000000" w:themeColor="text1"/>
          <w:sz w:val="22"/>
          <w:szCs w:val="22"/>
          <w:lang w:val="sr-Latn-RS"/>
        </w:rPr>
        <w:t xml:space="preserve"> </w:t>
      </w:r>
      <w:r w:rsidRPr="00E00E21">
        <w:rPr>
          <w:iCs/>
          <w:color w:val="000000" w:themeColor="text1"/>
          <w:sz w:val="22"/>
          <w:szCs w:val="22"/>
          <w:lang w:val="sr-Latn-RS"/>
        </w:rPr>
        <w:t>mg/ml, koncentrat za rastvor za infuziju</w:t>
      </w:r>
    </w:p>
    <w:p w14:paraId="55010F57" w14:textId="77777777" w:rsidR="00867E86" w:rsidRPr="00E00E21" w:rsidRDefault="00867E86" w:rsidP="006D20A5">
      <w:pPr>
        <w:rPr>
          <w:iCs/>
          <w:color w:val="000000" w:themeColor="text1"/>
          <w:sz w:val="22"/>
          <w:szCs w:val="22"/>
          <w:lang w:val="sr-Latn-RS"/>
        </w:rPr>
      </w:pPr>
    </w:p>
    <w:p w14:paraId="6011EA00" w14:textId="77777777" w:rsidR="006D20A5" w:rsidRPr="00E00E21" w:rsidRDefault="006D20A5" w:rsidP="006D20A5">
      <w:pPr>
        <w:rPr>
          <w:sz w:val="22"/>
          <w:szCs w:val="22"/>
          <w:lang w:val="sr-Latn-RS"/>
        </w:rPr>
      </w:pPr>
      <w:r w:rsidRPr="00E00E21">
        <w:rPr>
          <w:sz w:val="22"/>
          <w:szCs w:val="22"/>
          <w:lang w:val="sr-Latn-RS"/>
        </w:rPr>
        <w:t>INN:</w:t>
      </w:r>
      <w:r w:rsidR="00AC1A9E" w:rsidRPr="00E00E21">
        <w:rPr>
          <w:sz w:val="22"/>
          <w:szCs w:val="22"/>
          <w:lang w:val="sr-Latn-RS"/>
        </w:rPr>
        <w:t xml:space="preserve"> kabazitaksel</w:t>
      </w:r>
    </w:p>
    <w:p w14:paraId="2A4AE129" w14:textId="77777777" w:rsidR="006D20A5" w:rsidRPr="00E00E21" w:rsidRDefault="006D20A5">
      <w:pPr>
        <w:rPr>
          <w:bCs/>
          <w:sz w:val="22"/>
          <w:szCs w:val="22"/>
          <w:lang w:val="sr-Latn-RS"/>
        </w:rPr>
      </w:pPr>
    </w:p>
    <w:p w14:paraId="15ACAF99" w14:textId="77777777" w:rsidR="00530BD7" w:rsidRPr="00E00E21" w:rsidRDefault="00530BD7">
      <w:pPr>
        <w:rPr>
          <w:bCs/>
          <w:sz w:val="22"/>
          <w:szCs w:val="22"/>
          <w:lang w:val="sr-Latn-RS"/>
        </w:rPr>
      </w:pPr>
    </w:p>
    <w:p w14:paraId="1CD941EC" w14:textId="77777777" w:rsidR="00411B4B" w:rsidRPr="00E00E21" w:rsidRDefault="00411B4B" w:rsidP="00F5167F">
      <w:pPr>
        <w:tabs>
          <w:tab w:val="left" w:pos="540"/>
          <w:tab w:val="left" w:pos="569"/>
        </w:tabs>
        <w:rPr>
          <w:b/>
          <w:bCs/>
          <w:sz w:val="22"/>
          <w:szCs w:val="22"/>
          <w:lang w:val="sr-Latn-RS"/>
        </w:rPr>
      </w:pPr>
      <w:r w:rsidRPr="00E00E21">
        <w:rPr>
          <w:b/>
          <w:bCs/>
          <w:sz w:val="22"/>
          <w:szCs w:val="22"/>
          <w:lang w:val="sr-Latn-RS"/>
        </w:rPr>
        <w:t xml:space="preserve">2. </w:t>
      </w:r>
      <w:r w:rsidR="00F5167F" w:rsidRPr="00E00E21">
        <w:rPr>
          <w:b/>
          <w:bCs/>
          <w:sz w:val="22"/>
          <w:szCs w:val="22"/>
          <w:lang w:val="sr-Latn-RS"/>
        </w:rPr>
        <w:tab/>
      </w:r>
      <w:r w:rsidRPr="00E00E21">
        <w:rPr>
          <w:b/>
          <w:bCs/>
          <w:sz w:val="22"/>
          <w:szCs w:val="22"/>
          <w:lang w:val="sr-Latn-RS"/>
        </w:rPr>
        <w:t>KVALITATIVNI I KVANTITATIVNI SASTAV</w:t>
      </w:r>
    </w:p>
    <w:p w14:paraId="55C2BD32" w14:textId="77777777" w:rsidR="005A0B2E" w:rsidRPr="00E00E21" w:rsidRDefault="005A0B2E">
      <w:pPr>
        <w:rPr>
          <w:sz w:val="22"/>
          <w:szCs w:val="22"/>
          <w:lang w:val="sr-Latn-RS"/>
        </w:rPr>
      </w:pPr>
    </w:p>
    <w:p w14:paraId="0E2B6720" w14:textId="29AE2ABE" w:rsidR="00E630C6" w:rsidRPr="00E00E21" w:rsidRDefault="00AC1A9E" w:rsidP="00AC1A9E">
      <w:pPr>
        <w:jc w:val="both"/>
        <w:rPr>
          <w:sz w:val="22"/>
          <w:szCs w:val="22"/>
          <w:lang w:val="sr-Latn-RS"/>
        </w:rPr>
      </w:pPr>
      <w:r w:rsidRPr="00E00E21">
        <w:rPr>
          <w:sz w:val="22"/>
          <w:szCs w:val="22"/>
          <w:lang w:val="sr-Latn-RS"/>
        </w:rPr>
        <w:t xml:space="preserve">Jedan mililitar koncentrata za rastvor za infuziju </w:t>
      </w:r>
      <w:r w:rsidR="00050D71" w:rsidRPr="00E00E21">
        <w:rPr>
          <w:sz w:val="22"/>
          <w:szCs w:val="22"/>
          <w:lang w:val="sr-Latn-RS"/>
        </w:rPr>
        <w:t xml:space="preserve">sadrži </w:t>
      </w:r>
      <w:r w:rsidRPr="00E00E21">
        <w:rPr>
          <w:sz w:val="22"/>
          <w:szCs w:val="22"/>
          <w:lang w:val="sr-Latn-RS"/>
        </w:rPr>
        <w:t xml:space="preserve">bezvodni ili kabazitaksel hidrat što odgovara 10 mg kabazitaksela. </w:t>
      </w:r>
    </w:p>
    <w:p w14:paraId="50A884B7" w14:textId="77777777" w:rsidR="00E630C6" w:rsidRPr="00E00E21" w:rsidRDefault="00E630C6" w:rsidP="00AC1A9E">
      <w:pPr>
        <w:jc w:val="both"/>
        <w:rPr>
          <w:sz w:val="22"/>
          <w:szCs w:val="22"/>
          <w:lang w:val="sr-Latn-RS"/>
        </w:rPr>
      </w:pPr>
    </w:p>
    <w:p w14:paraId="1599ED68" w14:textId="687E4EF9" w:rsidR="00050D71" w:rsidRPr="00E00E21" w:rsidRDefault="00050D71" w:rsidP="00AC1A9E">
      <w:pPr>
        <w:jc w:val="both"/>
        <w:rPr>
          <w:sz w:val="22"/>
          <w:szCs w:val="22"/>
          <w:lang w:val="sr-Latn-RS"/>
        </w:rPr>
      </w:pPr>
      <w:r w:rsidRPr="00E00E21">
        <w:rPr>
          <w:sz w:val="22"/>
          <w:szCs w:val="22"/>
          <w:lang w:val="sr-Latn-RS"/>
        </w:rPr>
        <w:t>Jedna bočica sa 4,5 ml</w:t>
      </w:r>
      <w:r w:rsidR="00AC1A9E" w:rsidRPr="00E00E21">
        <w:rPr>
          <w:sz w:val="22"/>
          <w:szCs w:val="22"/>
          <w:lang w:val="sr-Latn-RS"/>
        </w:rPr>
        <w:t xml:space="preserve"> koncentrata za rastvor za infuziju </w:t>
      </w:r>
      <w:r w:rsidRPr="00E00E21">
        <w:rPr>
          <w:sz w:val="22"/>
          <w:szCs w:val="22"/>
          <w:lang w:val="sr-Latn-RS"/>
        </w:rPr>
        <w:t xml:space="preserve">sadrži bezvodni ili kabazitaksel hidrat što odgovara 45 mg kabazitaksela. </w:t>
      </w:r>
    </w:p>
    <w:p w14:paraId="3B898FED" w14:textId="77777777" w:rsidR="00E630C6" w:rsidRPr="00E00E21" w:rsidRDefault="00E630C6" w:rsidP="00AC1A9E">
      <w:pPr>
        <w:jc w:val="both"/>
        <w:rPr>
          <w:sz w:val="22"/>
          <w:szCs w:val="22"/>
          <w:lang w:val="sr-Latn-RS"/>
        </w:rPr>
      </w:pPr>
    </w:p>
    <w:p w14:paraId="4D357B35" w14:textId="77777777" w:rsidR="001C3A91" w:rsidRPr="00E00E21" w:rsidRDefault="001C3A91" w:rsidP="001C3A91">
      <w:pPr>
        <w:jc w:val="both"/>
        <w:rPr>
          <w:sz w:val="22"/>
          <w:szCs w:val="22"/>
          <w:lang w:val="sr-Latn-RS"/>
        </w:rPr>
      </w:pPr>
      <w:r w:rsidRPr="00E00E21">
        <w:rPr>
          <w:sz w:val="22"/>
          <w:szCs w:val="22"/>
          <w:lang w:val="sr-Latn-RS"/>
        </w:rPr>
        <w:t xml:space="preserve">Jedna bočica sa 5 ml koncentrata za rastvor za infuziju sadrži bezvodni ili kabazitaksel hidrat što odgovara 50 mg kabazitaksela. </w:t>
      </w:r>
    </w:p>
    <w:p w14:paraId="36485BB4" w14:textId="77777777" w:rsidR="00E630C6" w:rsidRPr="00E00E21" w:rsidRDefault="00E630C6" w:rsidP="001C3A91">
      <w:pPr>
        <w:jc w:val="both"/>
        <w:rPr>
          <w:sz w:val="22"/>
          <w:szCs w:val="22"/>
          <w:lang w:val="sr-Latn-RS"/>
        </w:rPr>
      </w:pPr>
    </w:p>
    <w:p w14:paraId="17C48496" w14:textId="77777777" w:rsidR="001C3A91" w:rsidRPr="00E00E21" w:rsidRDefault="001C3A91" w:rsidP="001C3A91">
      <w:pPr>
        <w:jc w:val="both"/>
        <w:rPr>
          <w:sz w:val="22"/>
          <w:szCs w:val="22"/>
          <w:lang w:val="sr-Latn-RS"/>
        </w:rPr>
      </w:pPr>
      <w:r w:rsidRPr="00E00E21">
        <w:rPr>
          <w:sz w:val="22"/>
          <w:szCs w:val="22"/>
          <w:lang w:val="sr-Latn-RS"/>
        </w:rPr>
        <w:t xml:space="preserve">Jedna bočica sa 6 ml koncentrata za rastvor za infuziju sadrži bezvodni ili kabazitaksel hidrat što odgovara 60 mg kabazitaksela. </w:t>
      </w:r>
    </w:p>
    <w:p w14:paraId="3FFFF9E3" w14:textId="77777777" w:rsidR="00867E86" w:rsidRPr="00E00E21" w:rsidRDefault="00867E86" w:rsidP="001C3A91">
      <w:pPr>
        <w:jc w:val="both"/>
        <w:rPr>
          <w:sz w:val="22"/>
          <w:szCs w:val="22"/>
          <w:lang w:val="sr-Latn-RS"/>
        </w:rPr>
      </w:pPr>
    </w:p>
    <w:p w14:paraId="691F2A48" w14:textId="3D90F209" w:rsidR="006C765E" w:rsidRPr="00E00E21" w:rsidRDefault="001C3A91" w:rsidP="001C3A91">
      <w:pPr>
        <w:jc w:val="both"/>
        <w:rPr>
          <w:sz w:val="22"/>
          <w:szCs w:val="22"/>
          <w:lang w:val="sr-Latn-RS"/>
        </w:rPr>
      </w:pPr>
      <w:r w:rsidRPr="00E00E21">
        <w:rPr>
          <w:sz w:val="22"/>
          <w:szCs w:val="22"/>
          <w:lang w:val="sr-Latn-RS"/>
        </w:rPr>
        <w:t xml:space="preserve">Kabazitaksel EVER Pharma, 10mg/ml, koncentrat za rastvor za infuziju </w:t>
      </w:r>
      <w:r w:rsidR="00AC1A9E" w:rsidRPr="00E00E21">
        <w:rPr>
          <w:sz w:val="22"/>
          <w:szCs w:val="22"/>
          <w:lang w:val="sr-Latn-RS"/>
        </w:rPr>
        <w:t>sadrž</w:t>
      </w:r>
      <w:r w:rsidRPr="00E00E21">
        <w:rPr>
          <w:sz w:val="22"/>
          <w:szCs w:val="22"/>
          <w:lang w:val="sr-Latn-RS"/>
        </w:rPr>
        <w:t>i</w:t>
      </w:r>
      <w:r w:rsidR="00AC1A9E" w:rsidRPr="00E00E21">
        <w:rPr>
          <w:sz w:val="22"/>
          <w:szCs w:val="22"/>
          <w:lang w:val="sr-Latn-RS"/>
        </w:rPr>
        <w:t xml:space="preserve"> dodatnu količinu punjenja (“overfill“)</w:t>
      </w:r>
      <w:r w:rsidRPr="00E00E21">
        <w:rPr>
          <w:sz w:val="22"/>
          <w:szCs w:val="22"/>
          <w:lang w:val="sr-Latn-RS"/>
        </w:rPr>
        <w:t>. Ova dodatna količina punjenja osigurava da se može izdvojiti volumen od 4,5 ml, 5 ml ili 6 ml koji sadrži 10 mg/ml kabazitaksela.</w:t>
      </w:r>
    </w:p>
    <w:p w14:paraId="6BA60A68" w14:textId="77777777" w:rsidR="006C765E" w:rsidRPr="00E00E21" w:rsidRDefault="006C765E" w:rsidP="001C3A91">
      <w:pPr>
        <w:jc w:val="both"/>
        <w:rPr>
          <w:sz w:val="22"/>
          <w:szCs w:val="22"/>
          <w:lang w:val="sr-Latn-RS"/>
        </w:rPr>
      </w:pPr>
    </w:p>
    <w:p w14:paraId="5BEA3A74" w14:textId="77777777" w:rsidR="006C765E" w:rsidRPr="00E00E21" w:rsidRDefault="00AC1A9E" w:rsidP="001C3A91">
      <w:pPr>
        <w:jc w:val="both"/>
        <w:rPr>
          <w:sz w:val="22"/>
          <w:szCs w:val="22"/>
          <w:lang w:val="sr-Latn-RS"/>
        </w:rPr>
      </w:pPr>
      <w:r w:rsidRPr="00E00E21">
        <w:rPr>
          <w:sz w:val="22"/>
          <w:szCs w:val="22"/>
          <w:u w:val="single"/>
          <w:lang w:val="sr-Latn-RS"/>
        </w:rPr>
        <w:t>Pomoćna supstanc</w:t>
      </w:r>
      <w:r w:rsidR="006C765E" w:rsidRPr="00E00E21">
        <w:rPr>
          <w:sz w:val="22"/>
          <w:szCs w:val="22"/>
          <w:u w:val="single"/>
          <w:lang w:val="sr-Latn-RS"/>
        </w:rPr>
        <w:t>e</w:t>
      </w:r>
      <w:r w:rsidRPr="00E00E21">
        <w:rPr>
          <w:sz w:val="22"/>
          <w:szCs w:val="22"/>
          <w:u w:val="single"/>
          <w:lang w:val="sr-Latn-RS"/>
        </w:rPr>
        <w:t xml:space="preserve"> sa potvrđenim dejstvom</w:t>
      </w:r>
      <w:r w:rsidRPr="00E00E21">
        <w:rPr>
          <w:sz w:val="22"/>
          <w:szCs w:val="22"/>
          <w:lang w:val="sr-Latn-RS"/>
        </w:rPr>
        <w:t xml:space="preserve">: </w:t>
      </w:r>
    </w:p>
    <w:p w14:paraId="43D16BF3" w14:textId="77777777" w:rsidR="006C765E" w:rsidRPr="00E00E21" w:rsidRDefault="006C765E" w:rsidP="006C765E">
      <w:pPr>
        <w:jc w:val="both"/>
        <w:rPr>
          <w:sz w:val="22"/>
          <w:szCs w:val="22"/>
          <w:lang w:val="sr-Latn-RS"/>
        </w:rPr>
      </w:pPr>
      <w:r w:rsidRPr="00E00E21">
        <w:rPr>
          <w:sz w:val="22"/>
          <w:szCs w:val="22"/>
          <w:lang w:val="sr-Latn-RS"/>
        </w:rPr>
        <w:t>Jedan ml koncentrata za rastvor za infuziju sadrži 197,5 mg etanola.</w:t>
      </w:r>
    </w:p>
    <w:p w14:paraId="641B9286" w14:textId="77777777" w:rsidR="00867E86" w:rsidRPr="00E00E21" w:rsidRDefault="00867E86" w:rsidP="006C765E">
      <w:pPr>
        <w:jc w:val="both"/>
        <w:rPr>
          <w:sz w:val="22"/>
          <w:szCs w:val="22"/>
          <w:lang w:val="sr-Latn-RS"/>
        </w:rPr>
      </w:pPr>
    </w:p>
    <w:p w14:paraId="54273420" w14:textId="6E3E38F2" w:rsidR="006C765E" w:rsidRPr="00E00E21" w:rsidRDefault="006C765E" w:rsidP="006C765E">
      <w:pPr>
        <w:jc w:val="both"/>
        <w:rPr>
          <w:sz w:val="22"/>
          <w:szCs w:val="22"/>
          <w:lang w:val="sr-Latn-RS"/>
        </w:rPr>
      </w:pPr>
      <w:r w:rsidRPr="00E00E21">
        <w:rPr>
          <w:sz w:val="22"/>
          <w:szCs w:val="22"/>
          <w:lang w:val="sr-Latn-RS"/>
        </w:rPr>
        <w:t>Jedna bočica sa 4,5 ml koncentrata sadrži sadrži 888,8 mg etanola (19,75% w/v).</w:t>
      </w:r>
    </w:p>
    <w:p w14:paraId="7ADC4D65" w14:textId="77777777" w:rsidR="00E630C6" w:rsidRPr="00E00E21" w:rsidRDefault="00E630C6" w:rsidP="006C765E">
      <w:pPr>
        <w:jc w:val="both"/>
        <w:rPr>
          <w:sz w:val="22"/>
          <w:szCs w:val="22"/>
          <w:lang w:val="sr-Latn-RS"/>
        </w:rPr>
      </w:pPr>
    </w:p>
    <w:p w14:paraId="7F078A36" w14:textId="77777777" w:rsidR="006C765E" w:rsidRPr="00E00E21" w:rsidRDefault="006C765E" w:rsidP="006C765E">
      <w:pPr>
        <w:jc w:val="both"/>
        <w:rPr>
          <w:sz w:val="22"/>
          <w:szCs w:val="22"/>
          <w:lang w:val="sr-Latn-RS"/>
        </w:rPr>
      </w:pPr>
      <w:r w:rsidRPr="00E00E21">
        <w:rPr>
          <w:sz w:val="22"/>
          <w:szCs w:val="22"/>
          <w:lang w:val="sr-Latn-RS"/>
        </w:rPr>
        <w:t>Jedna bočica sa 5 ml koncentrata sadrži 987,5 mg etanola (19,75% w/v).</w:t>
      </w:r>
    </w:p>
    <w:p w14:paraId="3239D864" w14:textId="77777777" w:rsidR="00E630C6" w:rsidRPr="00E00E21" w:rsidRDefault="00E630C6" w:rsidP="006C765E">
      <w:pPr>
        <w:jc w:val="both"/>
        <w:rPr>
          <w:sz w:val="22"/>
          <w:szCs w:val="22"/>
          <w:lang w:val="sr-Latn-RS"/>
        </w:rPr>
      </w:pPr>
    </w:p>
    <w:p w14:paraId="5F4E2A9C" w14:textId="77777777" w:rsidR="006C765E" w:rsidRPr="00E00E21" w:rsidRDefault="006C765E" w:rsidP="006C765E">
      <w:pPr>
        <w:jc w:val="both"/>
        <w:rPr>
          <w:sz w:val="22"/>
          <w:szCs w:val="22"/>
          <w:lang w:val="sr-Latn-RS"/>
        </w:rPr>
      </w:pPr>
      <w:r w:rsidRPr="00E00E21">
        <w:rPr>
          <w:sz w:val="22"/>
          <w:szCs w:val="22"/>
          <w:lang w:val="sr-Latn-RS"/>
        </w:rPr>
        <w:t>Jedna bočica sa 6 ml koncentrata sadrži 1185 mg etanola (19,75% w/v).</w:t>
      </w:r>
    </w:p>
    <w:p w14:paraId="65633F95" w14:textId="77777777" w:rsidR="00867E86" w:rsidRPr="00E00E21" w:rsidRDefault="00867E86" w:rsidP="006C765E">
      <w:pPr>
        <w:rPr>
          <w:sz w:val="22"/>
          <w:szCs w:val="22"/>
          <w:lang w:val="sr-Latn-RS"/>
        </w:rPr>
      </w:pPr>
    </w:p>
    <w:p w14:paraId="54C57937" w14:textId="3D404351" w:rsidR="006C765E" w:rsidRPr="00E00E21" w:rsidRDefault="006C765E" w:rsidP="006C765E">
      <w:pPr>
        <w:rPr>
          <w:sz w:val="22"/>
          <w:szCs w:val="22"/>
          <w:lang w:val="sr-Latn-RS"/>
        </w:rPr>
      </w:pPr>
      <w:r w:rsidRPr="00E00E21">
        <w:rPr>
          <w:sz w:val="22"/>
          <w:szCs w:val="22"/>
          <w:lang w:val="sr-Latn-RS"/>
        </w:rPr>
        <w:t>Za spisak svih ekscipijenasa, pogledati dio 6.1.</w:t>
      </w:r>
    </w:p>
    <w:p w14:paraId="22A7A57A" w14:textId="77777777" w:rsidR="00E93932" w:rsidRPr="00E00E21" w:rsidRDefault="00E93932" w:rsidP="006C765E">
      <w:pPr>
        <w:rPr>
          <w:sz w:val="22"/>
          <w:szCs w:val="22"/>
          <w:lang w:val="sr-Latn-RS"/>
        </w:rPr>
      </w:pPr>
    </w:p>
    <w:p w14:paraId="36C804F4" w14:textId="77777777" w:rsidR="00AC1A9E" w:rsidRPr="00E00E21" w:rsidRDefault="00AC1A9E">
      <w:pPr>
        <w:rPr>
          <w:sz w:val="22"/>
          <w:szCs w:val="22"/>
          <w:lang w:val="sr-Latn-RS"/>
        </w:rPr>
      </w:pPr>
    </w:p>
    <w:p w14:paraId="3272D38B" w14:textId="77777777" w:rsidR="00411B4B" w:rsidRPr="00E00E21" w:rsidRDefault="00411B4B" w:rsidP="00F5167F">
      <w:pPr>
        <w:tabs>
          <w:tab w:val="left" w:pos="540"/>
          <w:tab w:val="left" w:pos="569"/>
        </w:tabs>
        <w:rPr>
          <w:b/>
          <w:bCs/>
          <w:sz w:val="22"/>
          <w:szCs w:val="22"/>
          <w:lang w:val="sr-Latn-RS"/>
        </w:rPr>
      </w:pPr>
      <w:r w:rsidRPr="00E00E21">
        <w:rPr>
          <w:b/>
          <w:bCs/>
          <w:sz w:val="22"/>
          <w:szCs w:val="22"/>
          <w:lang w:val="sr-Latn-RS"/>
        </w:rPr>
        <w:t xml:space="preserve">3. </w:t>
      </w:r>
      <w:r w:rsidR="00F5167F" w:rsidRPr="00E00E21">
        <w:rPr>
          <w:b/>
          <w:bCs/>
          <w:sz w:val="22"/>
          <w:szCs w:val="22"/>
          <w:lang w:val="sr-Latn-RS"/>
        </w:rPr>
        <w:tab/>
      </w:r>
      <w:r w:rsidRPr="00E00E21">
        <w:rPr>
          <w:b/>
          <w:bCs/>
          <w:sz w:val="22"/>
          <w:szCs w:val="22"/>
          <w:lang w:val="sr-Latn-RS"/>
        </w:rPr>
        <w:t>FARMACEUTSKI OBLIK</w:t>
      </w:r>
      <w:r w:rsidR="009F2D23" w:rsidRPr="00E00E21">
        <w:rPr>
          <w:b/>
          <w:bCs/>
          <w:sz w:val="22"/>
          <w:szCs w:val="22"/>
          <w:lang w:val="sr-Latn-RS"/>
        </w:rPr>
        <w:t xml:space="preserve"> </w:t>
      </w:r>
    </w:p>
    <w:p w14:paraId="7A2A393C" w14:textId="77777777" w:rsidR="00411B4B" w:rsidRPr="00E00E21" w:rsidRDefault="00411B4B">
      <w:pPr>
        <w:rPr>
          <w:bCs/>
          <w:sz w:val="22"/>
          <w:szCs w:val="22"/>
          <w:lang w:val="sr-Latn-RS"/>
        </w:rPr>
      </w:pPr>
    </w:p>
    <w:p w14:paraId="40E2A669" w14:textId="749562B2" w:rsidR="006C765E" w:rsidRPr="00E00E21" w:rsidRDefault="006C765E" w:rsidP="006C765E">
      <w:pPr>
        <w:jc w:val="both"/>
        <w:rPr>
          <w:sz w:val="22"/>
          <w:szCs w:val="22"/>
          <w:lang w:val="sr-Latn-RS"/>
        </w:rPr>
      </w:pPr>
      <w:r w:rsidRPr="00E00E21">
        <w:rPr>
          <w:sz w:val="22"/>
          <w:szCs w:val="22"/>
          <w:lang w:val="sr-Latn-RS"/>
        </w:rPr>
        <w:t xml:space="preserve">Koncentrat za rastvor za infuziju (sterilni koncentrat). </w:t>
      </w:r>
    </w:p>
    <w:p w14:paraId="5216EE79" w14:textId="0AB3C948" w:rsidR="006C765E" w:rsidRPr="00E00E21" w:rsidRDefault="006C765E" w:rsidP="006C765E">
      <w:pPr>
        <w:jc w:val="both"/>
        <w:rPr>
          <w:sz w:val="22"/>
          <w:szCs w:val="22"/>
          <w:lang w:val="sr-Latn-RS"/>
        </w:rPr>
      </w:pPr>
      <w:r w:rsidRPr="00E00E21">
        <w:rPr>
          <w:sz w:val="22"/>
          <w:szCs w:val="22"/>
          <w:lang w:val="sr-Latn-RS"/>
        </w:rPr>
        <w:t xml:space="preserve">Koncentrat je bistar, svijetložut  uljani rastvor. </w:t>
      </w:r>
    </w:p>
    <w:p w14:paraId="2E3D7AB1" w14:textId="77777777" w:rsidR="00E93932" w:rsidRPr="00E00E21" w:rsidRDefault="00E93932" w:rsidP="006C765E">
      <w:pPr>
        <w:jc w:val="both"/>
        <w:rPr>
          <w:sz w:val="22"/>
          <w:szCs w:val="22"/>
          <w:lang w:val="sr-Latn-RS"/>
        </w:rPr>
      </w:pPr>
    </w:p>
    <w:p w14:paraId="54C77A1D" w14:textId="77777777" w:rsidR="00EC2532" w:rsidRPr="00E00E21" w:rsidRDefault="00EC2532">
      <w:pPr>
        <w:rPr>
          <w:bCs/>
          <w:sz w:val="22"/>
          <w:szCs w:val="22"/>
          <w:lang w:val="sr-Latn-RS"/>
        </w:rPr>
      </w:pPr>
    </w:p>
    <w:p w14:paraId="03A4826E" w14:textId="77777777" w:rsidR="00411B4B" w:rsidRPr="00E00E21" w:rsidRDefault="00411B4B" w:rsidP="00E630C6">
      <w:pPr>
        <w:tabs>
          <w:tab w:val="left" w:pos="540"/>
          <w:tab w:val="left" w:pos="569"/>
        </w:tabs>
        <w:jc w:val="both"/>
        <w:rPr>
          <w:b/>
          <w:bCs/>
          <w:sz w:val="22"/>
          <w:szCs w:val="22"/>
          <w:lang w:val="sr-Latn-RS"/>
        </w:rPr>
      </w:pPr>
      <w:r w:rsidRPr="00E00E21">
        <w:rPr>
          <w:b/>
          <w:bCs/>
          <w:sz w:val="22"/>
          <w:szCs w:val="22"/>
          <w:lang w:val="sr-Latn-RS"/>
        </w:rPr>
        <w:t xml:space="preserve">4. </w:t>
      </w:r>
      <w:r w:rsidR="00480FB1" w:rsidRPr="00E00E21">
        <w:rPr>
          <w:b/>
          <w:bCs/>
          <w:sz w:val="22"/>
          <w:szCs w:val="22"/>
          <w:lang w:val="sr-Latn-RS"/>
        </w:rPr>
        <w:tab/>
      </w:r>
      <w:r w:rsidRPr="00E00E21">
        <w:rPr>
          <w:b/>
          <w:bCs/>
          <w:sz w:val="22"/>
          <w:szCs w:val="22"/>
          <w:lang w:val="sr-Latn-RS"/>
        </w:rPr>
        <w:t>KLINIČKI PODACI</w:t>
      </w:r>
    </w:p>
    <w:p w14:paraId="592C6BE8" w14:textId="77777777" w:rsidR="006C765E" w:rsidRPr="00E00E21" w:rsidRDefault="006C765E" w:rsidP="00E630C6">
      <w:pPr>
        <w:tabs>
          <w:tab w:val="left" w:pos="540"/>
          <w:tab w:val="left" w:pos="569"/>
        </w:tabs>
        <w:jc w:val="both"/>
        <w:rPr>
          <w:bCs/>
          <w:sz w:val="22"/>
          <w:szCs w:val="22"/>
          <w:lang w:val="sr-Latn-RS"/>
        </w:rPr>
      </w:pPr>
    </w:p>
    <w:p w14:paraId="18349B18" w14:textId="77777777" w:rsidR="006C765E" w:rsidRPr="00E00E21" w:rsidRDefault="006C765E" w:rsidP="00E630C6">
      <w:pPr>
        <w:tabs>
          <w:tab w:val="left" w:pos="540"/>
          <w:tab w:val="left" w:pos="569"/>
        </w:tabs>
        <w:jc w:val="both"/>
        <w:rPr>
          <w:b/>
          <w:bCs/>
          <w:sz w:val="22"/>
          <w:szCs w:val="22"/>
          <w:lang w:val="sr-Latn-RS"/>
        </w:rPr>
      </w:pPr>
      <w:r w:rsidRPr="00E00E21">
        <w:rPr>
          <w:b/>
          <w:bCs/>
          <w:sz w:val="22"/>
          <w:szCs w:val="22"/>
          <w:lang w:val="sr-Latn-RS"/>
        </w:rPr>
        <w:t xml:space="preserve">4.1. </w:t>
      </w:r>
      <w:r w:rsidRPr="00E00E21">
        <w:rPr>
          <w:b/>
          <w:bCs/>
          <w:sz w:val="22"/>
          <w:szCs w:val="22"/>
          <w:lang w:val="sr-Latn-RS"/>
        </w:rPr>
        <w:tab/>
        <w:t>Terapijske indikacije</w:t>
      </w:r>
    </w:p>
    <w:p w14:paraId="352EAC34" w14:textId="77777777" w:rsidR="006C765E" w:rsidRPr="00E00E21" w:rsidRDefault="006C765E" w:rsidP="00E93932">
      <w:pPr>
        <w:tabs>
          <w:tab w:val="left" w:pos="540"/>
          <w:tab w:val="left" w:pos="569"/>
        </w:tabs>
        <w:jc w:val="both"/>
        <w:rPr>
          <w:bCs/>
          <w:sz w:val="22"/>
          <w:szCs w:val="22"/>
          <w:lang w:val="sr-Latn-RS"/>
        </w:rPr>
      </w:pPr>
    </w:p>
    <w:p w14:paraId="5A91217A" w14:textId="2AE52BF9" w:rsidR="00FE371D" w:rsidRPr="00E00E21" w:rsidRDefault="00F946DA" w:rsidP="004F26A0">
      <w:pPr>
        <w:tabs>
          <w:tab w:val="left" w:pos="540"/>
          <w:tab w:val="left" w:pos="569"/>
        </w:tabs>
        <w:jc w:val="both"/>
        <w:rPr>
          <w:bCs/>
          <w:sz w:val="22"/>
          <w:szCs w:val="22"/>
          <w:lang w:val="sr-Latn-RS"/>
        </w:rPr>
      </w:pPr>
      <w:r w:rsidRPr="00E00E21">
        <w:rPr>
          <w:bCs/>
          <w:sz w:val="22"/>
          <w:szCs w:val="22"/>
          <w:lang w:val="sr-Latn-RS"/>
        </w:rPr>
        <w:t>Lijek</w:t>
      </w:r>
      <w:r w:rsidR="006C765E" w:rsidRPr="00E00E21">
        <w:rPr>
          <w:bCs/>
          <w:sz w:val="22"/>
          <w:szCs w:val="22"/>
          <w:lang w:val="sr-Latn-RS"/>
        </w:rPr>
        <w:t xml:space="preserve"> Kabazitaksel EVER Pharma u kombinaciji sa prednizonom ili prednizolonom indikovan je za l</w:t>
      </w:r>
      <w:r w:rsidR="00FE371D" w:rsidRPr="00E00E21">
        <w:rPr>
          <w:bCs/>
          <w:sz w:val="22"/>
          <w:szCs w:val="22"/>
          <w:lang w:val="sr-Latn-RS"/>
        </w:rPr>
        <w:t>ij</w:t>
      </w:r>
      <w:r w:rsidR="006C765E" w:rsidRPr="00E00E21">
        <w:rPr>
          <w:bCs/>
          <w:sz w:val="22"/>
          <w:szCs w:val="22"/>
          <w:lang w:val="sr-Latn-RS"/>
        </w:rPr>
        <w:t>ečenje odraslih pacijenata sa metastatskim karcinomom prostate rezistentnim na kastraciju, a koji su prethodno bili na režimu l</w:t>
      </w:r>
      <w:r w:rsidR="00FE371D" w:rsidRPr="00E00E21">
        <w:rPr>
          <w:bCs/>
          <w:sz w:val="22"/>
          <w:szCs w:val="22"/>
          <w:lang w:val="sr-Latn-RS"/>
        </w:rPr>
        <w:t>ij</w:t>
      </w:r>
      <w:r w:rsidR="006C765E" w:rsidRPr="00E00E21">
        <w:rPr>
          <w:bCs/>
          <w:sz w:val="22"/>
          <w:szCs w:val="22"/>
          <w:lang w:val="sr-Latn-RS"/>
        </w:rPr>
        <w:t>ečenja koji je uključivao docetaksel (</w:t>
      </w:r>
      <w:r w:rsidR="00B232A2" w:rsidRPr="00E00E21">
        <w:rPr>
          <w:bCs/>
          <w:sz w:val="22"/>
          <w:szCs w:val="22"/>
          <w:lang w:val="sr-Latn-RS"/>
        </w:rPr>
        <w:t xml:space="preserve">vidjeti </w:t>
      </w:r>
      <w:r w:rsidR="00FE371D" w:rsidRPr="00E00E21">
        <w:rPr>
          <w:bCs/>
          <w:sz w:val="22"/>
          <w:szCs w:val="22"/>
          <w:lang w:val="sr-Latn-RS"/>
        </w:rPr>
        <w:t>dio</w:t>
      </w:r>
      <w:r w:rsidR="006C765E" w:rsidRPr="00E00E21">
        <w:rPr>
          <w:bCs/>
          <w:sz w:val="22"/>
          <w:szCs w:val="22"/>
          <w:lang w:val="sr-Latn-RS"/>
        </w:rPr>
        <w:t xml:space="preserve"> 5.1).</w:t>
      </w:r>
    </w:p>
    <w:p w14:paraId="0CBE3651" w14:textId="77777777" w:rsidR="00FE371D" w:rsidRPr="00E00E21" w:rsidRDefault="00FE371D" w:rsidP="00E630C6">
      <w:pPr>
        <w:tabs>
          <w:tab w:val="left" w:pos="540"/>
          <w:tab w:val="left" w:pos="569"/>
        </w:tabs>
        <w:jc w:val="both"/>
        <w:rPr>
          <w:bCs/>
          <w:sz w:val="22"/>
          <w:szCs w:val="22"/>
          <w:lang w:val="sr-Latn-RS"/>
        </w:rPr>
      </w:pPr>
    </w:p>
    <w:p w14:paraId="7836719A" w14:textId="77777777" w:rsidR="00D904EA" w:rsidRPr="00E00E21" w:rsidRDefault="006C765E" w:rsidP="00E630C6">
      <w:pPr>
        <w:tabs>
          <w:tab w:val="left" w:pos="540"/>
          <w:tab w:val="left" w:pos="569"/>
        </w:tabs>
        <w:jc w:val="both"/>
        <w:rPr>
          <w:b/>
          <w:bCs/>
          <w:sz w:val="22"/>
          <w:szCs w:val="22"/>
          <w:lang w:val="sr-Latn-RS"/>
        </w:rPr>
      </w:pPr>
      <w:r w:rsidRPr="00E00E21">
        <w:rPr>
          <w:bCs/>
          <w:sz w:val="22"/>
          <w:szCs w:val="22"/>
          <w:lang w:val="sr-Latn-RS"/>
        </w:rPr>
        <w:t xml:space="preserve"> </w:t>
      </w:r>
      <w:r w:rsidR="00D904EA" w:rsidRPr="00E00E21">
        <w:rPr>
          <w:b/>
          <w:bCs/>
          <w:sz w:val="22"/>
          <w:szCs w:val="22"/>
          <w:lang w:val="sr-Latn-RS"/>
        </w:rPr>
        <w:t xml:space="preserve">4.2. </w:t>
      </w:r>
      <w:r w:rsidR="00D904EA" w:rsidRPr="00E00E21">
        <w:rPr>
          <w:b/>
          <w:bCs/>
          <w:sz w:val="22"/>
          <w:szCs w:val="22"/>
          <w:lang w:val="sr-Latn-RS"/>
        </w:rPr>
        <w:tab/>
        <w:t>Doziranje i način primjene</w:t>
      </w:r>
    </w:p>
    <w:p w14:paraId="5BB11947" w14:textId="77777777" w:rsidR="00D904EA" w:rsidRPr="00E00E21" w:rsidRDefault="00D904EA" w:rsidP="00E93932">
      <w:pPr>
        <w:tabs>
          <w:tab w:val="left" w:pos="540"/>
          <w:tab w:val="left" w:pos="569"/>
        </w:tabs>
        <w:jc w:val="both"/>
        <w:rPr>
          <w:bCs/>
          <w:sz w:val="22"/>
          <w:szCs w:val="22"/>
          <w:lang w:val="sr-Latn-RS"/>
        </w:rPr>
      </w:pPr>
    </w:p>
    <w:p w14:paraId="3423AE35" w14:textId="75D3E93B" w:rsidR="00D904EA" w:rsidRPr="00E00E21" w:rsidRDefault="00D904EA" w:rsidP="00B232A2">
      <w:pPr>
        <w:tabs>
          <w:tab w:val="left" w:pos="540"/>
          <w:tab w:val="left" w:pos="569"/>
        </w:tabs>
        <w:jc w:val="both"/>
        <w:rPr>
          <w:bCs/>
          <w:sz w:val="22"/>
          <w:szCs w:val="22"/>
          <w:lang w:val="sr-Latn-RS"/>
        </w:rPr>
      </w:pPr>
      <w:r w:rsidRPr="00E00E21">
        <w:rPr>
          <w:bCs/>
          <w:sz w:val="22"/>
          <w:szCs w:val="22"/>
          <w:lang w:val="sr-Latn-RS"/>
        </w:rPr>
        <w:t>Lijek Kabazitaksel EVER Pharma se može prim</w:t>
      </w:r>
      <w:r w:rsidR="00B232A2" w:rsidRPr="00E00E21">
        <w:rPr>
          <w:bCs/>
          <w:sz w:val="22"/>
          <w:szCs w:val="22"/>
          <w:lang w:val="sr-Latn-RS"/>
        </w:rPr>
        <w:t>j</w:t>
      </w:r>
      <w:r w:rsidRPr="00E00E21">
        <w:rPr>
          <w:bCs/>
          <w:sz w:val="22"/>
          <w:szCs w:val="22"/>
          <w:lang w:val="sr-Latn-RS"/>
        </w:rPr>
        <w:t>enjivati samo na odjeljenjima specijalizovanim za primjenu citotoksičnih supstanci i to isključivo pod nadzorom ljekara sa iskustvom u primjeni antitumorske hemioterapije. Prostorije i oprema za liječenje teških reakcija preosjetljivosti, kao što je hipotenzija i bronhospazam moraju biti dostupni (</w:t>
      </w:r>
      <w:r w:rsidR="00B232A2" w:rsidRPr="00E00E21">
        <w:rPr>
          <w:bCs/>
          <w:sz w:val="22"/>
          <w:szCs w:val="22"/>
          <w:lang w:val="sr-Latn-RS"/>
        </w:rPr>
        <w:t xml:space="preserve">vidjeti </w:t>
      </w:r>
      <w:r w:rsidRPr="00E00E21">
        <w:rPr>
          <w:bCs/>
          <w:sz w:val="22"/>
          <w:szCs w:val="22"/>
          <w:lang w:val="sr-Latn-RS"/>
        </w:rPr>
        <w:t xml:space="preserve">dio 4.4). </w:t>
      </w:r>
    </w:p>
    <w:p w14:paraId="57DEF2EE" w14:textId="77777777" w:rsidR="00D904EA" w:rsidRPr="00E00E21" w:rsidRDefault="00D904EA" w:rsidP="004F26A0">
      <w:pPr>
        <w:tabs>
          <w:tab w:val="left" w:pos="540"/>
          <w:tab w:val="left" w:pos="569"/>
        </w:tabs>
        <w:jc w:val="both"/>
        <w:rPr>
          <w:bCs/>
          <w:sz w:val="22"/>
          <w:szCs w:val="22"/>
          <w:lang w:val="sr-Latn-RS"/>
        </w:rPr>
      </w:pPr>
    </w:p>
    <w:p w14:paraId="1F1A7FD6" w14:textId="77777777" w:rsidR="00D904EA" w:rsidRPr="00E00E21" w:rsidRDefault="00D904EA" w:rsidP="00370E1E">
      <w:pPr>
        <w:tabs>
          <w:tab w:val="left" w:pos="540"/>
          <w:tab w:val="left" w:pos="569"/>
        </w:tabs>
        <w:jc w:val="both"/>
        <w:rPr>
          <w:bCs/>
          <w:sz w:val="22"/>
          <w:szCs w:val="22"/>
          <w:u w:val="single"/>
          <w:lang w:val="sr-Latn-RS"/>
        </w:rPr>
      </w:pPr>
    </w:p>
    <w:p w14:paraId="56A6F362" w14:textId="77777777" w:rsidR="00D904EA" w:rsidRPr="00E00E21" w:rsidRDefault="00D904EA" w:rsidP="009B6A1F">
      <w:pPr>
        <w:tabs>
          <w:tab w:val="left" w:pos="540"/>
          <w:tab w:val="left" w:pos="569"/>
        </w:tabs>
        <w:jc w:val="both"/>
        <w:rPr>
          <w:bCs/>
          <w:sz w:val="22"/>
          <w:szCs w:val="22"/>
          <w:lang w:val="sr-Latn-RS"/>
        </w:rPr>
      </w:pPr>
      <w:r w:rsidRPr="00E00E21">
        <w:rPr>
          <w:bCs/>
          <w:sz w:val="22"/>
          <w:szCs w:val="22"/>
          <w:u w:val="single"/>
          <w:lang w:val="sr-Latn-RS"/>
        </w:rPr>
        <w:t>Premedikacija</w:t>
      </w:r>
      <w:r w:rsidRPr="00E00E21">
        <w:rPr>
          <w:bCs/>
          <w:sz w:val="22"/>
          <w:szCs w:val="22"/>
          <w:lang w:val="sr-Latn-RS"/>
        </w:rPr>
        <w:t xml:space="preserve"> </w:t>
      </w:r>
    </w:p>
    <w:p w14:paraId="2115DA8E" w14:textId="3AE62548" w:rsidR="001A6791" w:rsidRPr="00E00E21" w:rsidRDefault="00211112">
      <w:pPr>
        <w:tabs>
          <w:tab w:val="left" w:pos="540"/>
          <w:tab w:val="left" w:pos="569"/>
        </w:tabs>
        <w:jc w:val="both"/>
        <w:rPr>
          <w:bCs/>
          <w:sz w:val="22"/>
          <w:szCs w:val="22"/>
          <w:lang w:val="sr-Latn-RS"/>
        </w:rPr>
      </w:pPr>
      <w:r w:rsidRPr="00E00E21">
        <w:rPr>
          <w:bCs/>
          <w:sz w:val="22"/>
          <w:szCs w:val="22"/>
          <w:lang w:val="sr-Latn-RS"/>
        </w:rPr>
        <w:t>P</w:t>
      </w:r>
      <w:r w:rsidR="00D904EA" w:rsidRPr="00E00E21">
        <w:rPr>
          <w:bCs/>
          <w:sz w:val="22"/>
          <w:szCs w:val="22"/>
          <w:lang w:val="sr-Latn-RS"/>
        </w:rPr>
        <w:t>reporučeni režim premedikacije</w:t>
      </w:r>
      <w:r w:rsidRPr="00E00E21">
        <w:rPr>
          <w:bCs/>
          <w:sz w:val="22"/>
          <w:szCs w:val="22"/>
          <w:lang w:val="sr-Latn-RS"/>
        </w:rPr>
        <w:t xml:space="preserve"> se mora sprovesti</w:t>
      </w:r>
      <w:r w:rsidR="00D904EA" w:rsidRPr="00E00E21">
        <w:rPr>
          <w:bCs/>
          <w:sz w:val="22"/>
          <w:szCs w:val="22"/>
          <w:lang w:val="sr-Latn-RS"/>
        </w:rPr>
        <w:t xml:space="preserve"> najmanje 30 minuta pr</w:t>
      </w:r>
      <w:r w:rsidR="001A6791" w:rsidRPr="00E00E21">
        <w:rPr>
          <w:bCs/>
          <w:sz w:val="22"/>
          <w:szCs w:val="22"/>
          <w:lang w:val="sr-Latn-RS"/>
        </w:rPr>
        <w:t>ij</w:t>
      </w:r>
      <w:r w:rsidR="00D904EA" w:rsidRPr="00E00E21">
        <w:rPr>
          <w:bCs/>
          <w:sz w:val="22"/>
          <w:szCs w:val="22"/>
          <w:lang w:val="sr-Latn-RS"/>
        </w:rPr>
        <w:t>e svake prim</w:t>
      </w:r>
      <w:r w:rsidR="001A6791" w:rsidRPr="00E00E21">
        <w:rPr>
          <w:bCs/>
          <w:sz w:val="22"/>
          <w:szCs w:val="22"/>
          <w:lang w:val="sr-Latn-RS"/>
        </w:rPr>
        <w:t>j</w:t>
      </w:r>
      <w:r w:rsidR="00D904EA" w:rsidRPr="00E00E21">
        <w:rPr>
          <w:bCs/>
          <w:sz w:val="22"/>
          <w:szCs w:val="22"/>
          <w:lang w:val="sr-Latn-RS"/>
        </w:rPr>
        <w:t>ene l</w:t>
      </w:r>
      <w:r w:rsidR="001A6791" w:rsidRPr="00E00E21">
        <w:rPr>
          <w:bCs/>
          <w:sz w:val="22"/>
          <w:szCs w:val="22"/>
          <w:lang w:val="sr-Latn-RS"/>
        </w:rPr>
        <w:t>ij</w:t>
      </w:r>
      <w:r w:rsidR="00D904EA" w:rsidRPr="00E00E21">
        <w:rPr>
          <w:bCs/>
          <w:sz w:val="22"/>
          <w:szCs w:val="22"/>
          <w:lang w:val="sr-Latn-RS"/>
        </w:rPr>
        <w:t>eka Kabazitaksel EVER Pharma i to intravenskom prim</w:t>
      </w:r>
      <w:r w:rsidR="001A6791" w:rsidRPr="00E00E21">
        <w:rPr>
          <w:bCs/>
          <w:sz w:val="22"/>
          <w:szCs w:val="22"/>
          <w:lang w:val="sr-Latn-RS"/>
        </w:rPr>
        <w:t>j</w:t>
      </w:r>
      <w:r w:rsidR="00D904EA" w:rsidRPr="00E00E21">
        <w:rPr>
          <w:bCs/>
          <w:sz w:val="22"/>
          <w:szCs w:val="22"/>
          <w:lang w:val="sr-Latn-RS"/>
        </w:rPr>
        <w:t>enom sl</w:t>
      </w:r>
      <w:r w:rsidR="00B232A2" w:rsidRPr="00E00E21">
        <w:rPr>
          <w:bCs/>
          <w:sz w:val="22"/>
          <w:szCs w:val="22"/>
          <w:lang w:val="sr-Latn-RS"/>
        </w:rPr>
        <w:t>j</w:t>
      </w:r>
      <w:r w:rsidR="00D904EA" w:rsidRPr="00E00E21">
        <w:rPr>
          <w:bCs/>
          <w:sz w:val="22"/>
          <w:szCs w:val="22"/>
          <w:lang w:val="sr-Latn-RS"/>
        </w:rPr>
        <w:t xml:space="preserve">edećih </w:t>
      </w:r>
      <w:r w:rsidR="001A6791" w:rsidRPr="00E00E21">
        <w:rPr>
          <w:bCs/>
          <w:sz w:val="22"/>
          <w:szCs w:val="22"/>
          <w:lang w:val="sr-Latn-RS"/>
        </w:rPr>
        <w:t>ljekova</w:t>
      </w:r>
      <w:r w:rsidR="00C73B5C" w:rsidRPr="00E00E21">
        <w:rPr>
          <w:bCs/>
          <w:sz w:val="22"/>
          <w:szCs w:val="22"/>
          <w:lang w:val="sr-Latn-RS"/>
        </w:rPr>
        <w:t>, da bi se umanjio rizik</w:t>
      </w:r>
      <w:r w:rsidR="00674C4A" w:rsidRPr="00E00E21">
        <w:rPr>
          <w:bCs/>
          <w:sz w:val="22"/>
          <w:szCs w:val="22"/>
          <w:lang w:val="sr-Latn-RS"/>
        </w:rPr>
        <w:t xml:space="preserve"> </w:t>
      </w:r>
      <w:r w:rsidR="00C73B5C" w:rsidRPr="00E00E21">
        <w:rPr>
          <w:bCs/>
          <w:sz w:val="22"/>
          <w:szCs w:val="22"/>
          <w:lang w:val="sr-Latn-RS"/>
        </w:rPr>
        <w:t>i ozbiljnost reakcije preosjetljivosti</w:t>
      </w:r>
      <w:r w:rsidR="00D904EA" w:rsidRPr="00E00E21">
        <w:rPr>
          <w:bCs/>
          <w:sz w:val="22"/>
          <w:szCs w:val="22"/>
          <w:lang w:val="sr-Latn-RS"/>
        </w:rPr>
        <w:t xml:space="preserve">: </w:t>
      </w:r>
    </w:p>
    <w:p w14:paraId="5E6E32E8" w14:textId="7CA21D7B" w:rsidR="001A6791" w:rsidRPr="00E00E21" w:rsidRDefault="00D904EA" w:rsidP="00004651">
      <w:pPr>
        <w:pStyle w:val="ListParagraph"/>
        <w:numPr>
          <w:ilvl w:val="0"/>
          <w:numId w:val="13"/>
        </w:numPr>
        <w:tabs>
          <w:tab w:val="left" w:pos="540"/>
          <w:tab w:val="left" w:pos="569"/>
        </w:tabs>
        <w:jc w:val="both"/>
        <w:rPr>
          <w:bCs/>
          <w:sz w:val="22"/>
          <w:szCs w:val="22"/>
          <w:lang w:val="sr-Latn-RS"/>
        </w:rPr>
      </w:pPr>
      <w:r w:rsidRPr="00E00E21">
        <w:rPr>
          <w:bCs/>
          <w:sz w:val="22"/>
          <w:szCs w:val="22"/>
          <w:lang w:val="sr-Latn-RS"/>
        </w:rPr>
        <w:t>antihistaminik</w:t>
      </w:r>
      <w:r w:rsidR="00B232A2" w:rsidRPr="00E00E21">
        <w:rPr>
          <w:bCs/>
          <w:sz w:val="22"/>
          <w:szCs w:val="22"/>
          <w:lang w:val="sr-Latn-RS"/>
        </w:rPr>
        <w:t>a</w:t>
      </w:r>
      <w:r w:rsidRPr="00E00E21">
        <w:rPr>
          <w:bCs/>
          <w:sz w:val="22"/>
          <w:szCs w:val="22"/>
          <w:lang w:val="sr-Latn-RS"/>
        </w:rPr>
        <w:t xml:space="preserve"> (dekshlorfeniramin 5 mg ili difenhidramin 25 mg ili ekvivalent), </w:t>
      </w:r>
    </w:p>
    <w:p w14:paraId="44A3C666" w14:textId="7251EC32" w:rsidR="001A6791" w:rsidRPr="00E00E21" w:rsidRDefault="00D904EA" w:rsidP="00004651">
      <w:pPr>
        <w:pStyle w:val="ListParagraph"/>
        <w:numPr>
          <w:ilvl w:val="0"/>
          <w:numId w:val="13"/>
        </w:numPr>
        <w:tabs>
          <w:tab w:val="left" w:pos="540"/>
          <w:tab w:val="left" w:pos="569"/>
        </w:tabs>
        <w:jc w:val="both"/>
        <w:rPr>
          <w:bCs/>
          <w:sz w:val="22"/>
          <w:szCs w:val="22"/>
          <w:lang w:val="sr-Latn-RS"/>
        </w:rPr>
      </w:pPr>
      <w:r w:rsidRPr="00E00E21">
        <w:rPr>
          <w:bCs/>
          <w:sz w:val="22"/>
          <w:szCs w:val="22"/>
          <w:lang w:val="sr-Latn-RS"/>
        </w:rPr>
        <w:t>kortikosteroid</w:t>
      </w:r>
      <w:r w:rsidR="00B232A2" w:rsidRPr="00E00E21">
        <w:rPr>
          <w:bCs/>
          <w:sz w:val="22"/>
          <w:szCs w:val="22"/>
          <w:lang w:val="sr-Latn-RS"/>
        </w:rPr>
        <w:t>a</w:t>
      </w:r>
      <w:r w:rsidRPr="00E00E21">
        <w:rPr>
          <w:bCs/>
          <w:sz w:val="22"/>
          <w:szCs w:val="22"/>
          <w:lang w:val="sr-Latn-RS"/>
        </w:rPr>
        <w:t xml:space="preserve"> (de</w:t>
      </w:r>
      <w:r w:rsidR="001A6791" w:rsidRPr="00E00E21">
        <w:rPr>
          <w:bCs/>
          <w:sz w:val="22"/>
          <w:szCs w:val="22"/>
          <w:lang w:val="sr-Latn-RS"/>
        </w:rPr>
        <w:t xml:space="preserve">ksametazon 8 mg ili ekvivalent), </w:t>
      </w:r>
      <w:r w:rsidRPr="00E00E21">
        <w:rPr>
          <w:bCs/>
          <w:sz w:val="22"/>
          <w:szCs w:val="22"/>
          <w:lang w:val="sr-Latn-RS"/>
        </w:rPr>
        <w:t xml:space="preserve">i </w:t>
      </w:r>
    </w:p>
    <w:p w14:paraId="59FF01E8" w14:textId="4BDF2563" w:rsidR="001A6791" w:rsidRPr="00E00E21" w:rsidRDefault="00D904EA" w:rsidP="00004651">
      <w:pPr>
        <w:pStyle w:val="ListParagraph"/>
        <w:numPr>
          <w:ilvl w:val="0"/>
          <w:numId w:val="13"/>
        </w:numPr>
        <w:tabs>
          <w:tab w:val="left" w:pos="540"/>
          <w:tab w:val="left" w:pos="569"/>
        </w:tabs>
        <w:jc w:val="both"/>
        <w:rPr>
          <w:bCs/>
          <w:sz w:val="22"/>
          <w:szCs w:val="22"/>
          <w:lang w:val="sr-Latn-RS"/>
        </w:rPr>
      </w:pPr>
      <w:r w:rsidRPr="00E00E21">
        <w:rPr>
          <w:bCs/>
          <w:sz w:val="22"/>
          <w:szCs w:val="22"/>
          <w:lang w:val="sr-Latn-RS"/>
        </w:rPr>
        <w:t>H2 antagonist</w:t>
      </w:r>
      <w:r w:rsidR="00B232A2" w:rsidRPr="00E00E21">
        <w:rPr>
          <w:bCs/>
          <w:sz w:val="22"/>
          <w:szCs w:val="22"/>
          <w:lang w:val="sr-Latn-RS"/>
        </w:rPr>
        <w:t>a</w:t>
      </w:r>
      <w:r w:rsidRPr="00E00E21">
        <w:rPr>
          <w:bCs/>
          <w:sz w:val="22"/>
          <w:szCs w:val="22"/>
          <w:lang w:val="sr-Latn-RS"/>
        </w:rPr>
        <w:t xml:space="preserve"> (ranitidin ili ekvivalent</w:t>
      </w:r>
      <w:r w:rsidR="001A6791" w:rsidRPr="00E00E21">
        <w:rPr>
          <w:bCs/>
          <w:sz w:val="22"/>
          <w:szCs w:val="22"/>
          <w:lang w:val="sr-Latn-RS"/>
        </w:rPr>
        <w:t>)</w:t>
      </w:r>
      <w:r w:rsidRPr="00E00E21">
        <w:rPr>
          <w:bCs/>
          <w:sz w:val="22"/>
          <w:szCs w:val="22"/>
          <w:lang w:val="sr-Latn-RS"/>
        </w:rPr>
        <w:t xml:space="preserve">, </w:t>
      </w:r>
      <w:r w:rsidR="001A6791" w:rsidRPr="00E00E21">
        <w:rPr>
          <w:bCs/>
          <w:sz w:val="22"/>
          <w:szCs w:val="22"/>
          <w:lang w:val="sr-Latn-RS"/>
        </w:rPr>
        <w:t>(</w:t>
      </w:r>
      <w:r w:rsidR="00B232A2" w:rsidRPr="00E00E21">
        <w:rPr>
          <w:bCs/>
          <w:sz w:val="22"/>
          <w:szCs w:val="22"/>
          <w:lang w:val="sr-Latn-RS"/>
        </w:rPr>
        <w:t xml:space="preserve">vidjeti </w:t>
      </w:r>
      <w:r w:rsidRPr="00E00E21">
        <w:rPr>
          <w:bCs/>
          <w:sz w:val="22"/>
          <w:szCs w:val="22"/>
          <w:lang w:val="sr-Latn-RS"/>
        </w:rPr>
        <w:t xml:space="preserve">dio 4.4). </w:t>
      </w:r>
    </w:p>
    <w:p w14:paraId="26F90CBB" w14:textId="77777777" w:rsidR="001A6791" w:rsidRPr="00E00E21" w:rsidRDefault="001A6791">
      <w:pPr>
        <w:tabs>
          <w:tab w:val="left" w:pos="540"/>
          <w:tab w:val="left" w:pos="569"/>
        </w:tabs>
        <w:jc w:val="both"/>
        <w:rPr>
          <w:bCs/>
          <w:sz w:val="22"/>
          <w:szCs w:val="22"/>
          <w:lang w:val="sr-Latn-RS"/>
        </w:rPr>
      </w:pPr>
    </w:p>
    <w:p w14:paraId="3B6A278B" w14:textId="77777777" w:rsidR="001A6791" w:rsidRPr="00E00E21" w:rsidRDefault="00D904EA">
      <w:pPr>
        <w:tabs>
          <w:tab w:val="left" w:pos="540"/>
          <w:tab w:val="left" w:pos="569"/>
        </w:tabs>
        <w:jc w:val="both"/>
        <w:rPr>
          <w:bCs/>
          <w:sz w:val="22"/>
          <w:szCs w:val="22"/>
          <w:lang w:val="sr-Latn-RS"/>
        </w:rPr>
      </w:pPr>
      <w:r w:rsidRPr="00E00E21">
        <w:rPr>
          <w:bCs/>
          <w:sz w:val="22"/>
          <w:szCs w:val="22"/>
          <w:lang w:val="sr-Latn-RS"/>
        </w:rPr>
        <w:t xml:space="preserve">Preporučuje se profilaksa antiemeticima koji se mogu uzeti oralno ili intravenski, prema potrebi. </w:t>
      </w:r>
    </w:p>
    <w:p w14:paraId="282298CB" w14:textId="77777777" w:rsidR="00674C4A" w:rsidRPr="00E00E21" w:rsidRDefault="00674C4A">
      <w:pPr>
        <w:tabs>
          <w:tab w:val="left" w:pos="540"/>
          <w:tab w:val="left" w:pos="569"/>
        </w:tabs>
        <w:jc w:val="both"/>
        <w:rPr>
          <w:bCs/>
          <w:sz w:val="22"/>
          <w:szCs w:val="22"/>
          <w:lang w:val="sr-Latn-RS"/>
        </w:rPr>
      </w:pPr>
    </w:p>
    <w:p w14:paraId="727BCF84" w14:textId="65271A23" w:rsidR="00D904EA" w:rsidRPr="00E00E21" w:rsidRDefault="00D904EA">
      <w:pPr>
        <w:tabs>
          <w:tab w:val="left" w:pos="540"/>
          <w:tab w:val="left" w:pos="569"/>
        </w:tabs>
        <w:jc w:val="both"/>
        <w:rPr>
          <w:bCs/>
          <w:sz w:val="22"/>
          <w:szCs w:val="22"/>
          <w:lang w:val="sr-Latn-RS"/>
        </w:rPr>
      </w:pPr>
      <w:r w:rsidRPr="00E00E21">
        <w:rPr>
          <w:bCs/>
          <w:sz w:val="22"/>
          <w:szCs w:val="22"/>
          <w:lang w:val="sr-Latn-RS"/>
        </w:rPr>
        <w:t xml:space="preserve">Tokom </w:t>
      </w:r>
      <w:r w:rsidR="001A6791" w:rsidRPr="00E00E21">
        <w:rPr>
          <w:bCs/>
          <w:sz w:val="22"/>
          <w:szCs w:val="22"/>
          <w:lang w:val="sr-Latn-RS"/>
        </w:rPr>
        <w:t>liječenja pacijentima</w:t>
      </w:r>
      <w:r w:rsidRPr="00E00E21">
        <w:rPr>
          <w:bCs/>
          <w:sz w:val="22"/>
          <w:szCs w:val="22"/>
          <w:lang w:val="sr-Latn-RS"/>
        </w:rPr>
        <w:t xml:space="preserve"> treba obezb</w:t>
      </w:r>
      <w:r w:rsidR="00B232A2" w:rsidRPr="00E00E21">
        <w:rPr>
          <w:bCs/>
          <w:sz w:val="22"/>
          <w:szCs w:val="22"/>
          <w:lang w:val="sr-Latn-RS"/>
        </w:rPr>
        <w:t>ij</w:t>
      </w:r>
      <w:r w:rsidRPr="00E00E21">
        <w:rPr>
          <w:bCs/>
          <w:sz w:val="22"/>
          <w:szCs w:val="22"/>
          <w:lang w:val="sr-Latn-RS"/>
        </w:rPr>
        <w:t>editi adekvatnu hidrataciju, kako bi se spr</w:t>
      </w:r>
      <w:r w:rsidR="001A6791" w:rsidRPr="00E00E21">
        <w:rPr>
          <w:bCs/>
          <w:sz w:val="22"/>
          <w:szCs w:val="22"/>
          <w:lang w:val="sr-Latn-RS"/>
        </w:rPr>
        <w:t>ij</w:t>
      </w:r>
      <w:r w:rsidRPr="00E00E21">
        <w:rPr>
          <w:bCs/>
          <w:sz w:val="22"/>
          <w:szCs w:val="22"/>
          <w:lang w:val="sr-Latn-RS"/>
        </w:rPr>
        <w:t>ečile komplikacije kao što je insuficijencija bubrega.</w:t>
      </w:r>
    </w:p>
    <w:p w14:paraId="12D4FADC" w14:textId="77777777" w:rsidR="00D904EA" w:rsidRPr="00E00E21" w:rsidRDefault="00D904EA" w:rsidP="00E630C6">
      <w:pPr>
        <w:tabs>
          <w:tab w:val="left" w:pos="540"/>
          <w:tab w:val="left" w:pos="569"/>
        </w:tabs>
        <w:jc w:val="both"/>
        <w:rPr>
          <w:bCs/>
          <w:sz w:val="22"/>
          <w:szCs w:val="22"/>
          <w:lang w:val="sr-Latn-RS"/>
        </w:rPr>
      </w:pPr>
    </w:p>
    <w:p w14:paraId="4E3B7F96" w14:textId="48C729F1" w:rsidR="00D904EA" w:rsidRPr="00E00E21" w:rsidRDefault="00D904EA" w:rsidP="00E630C6">
      <w:pPr>
        <w:tabs>
          <w:tab w:val="left" w:pos="540"/>
          <w:tab w:val="left" w:pos="569"/>
        </w:tabs>
        <w:jc w:val="both"/>
        <w:rPr>
          <w:bCs/>
          <w:sz w:val="22"/>
          <w:szCs w:val="22"/>
          <w:u w:val="single"/>
          <w:lang w:val="sr-Latn-RS"/>
        </w:rPr>
      </w:pPr>
      <w:r w:rsidRPr="00E00E21">
        <w:rPr>
          <w:bCs/>
          <w:sz w:val="22"/>
          <w:szCs w:val="22"/>
          <w:u w:val="single"/>
          <w:lang w:val="sr-Latn-RS"/>
        </w:rPr>
        <w:t>Doziranje</w:t>
      </w:r>
    </w:p>
    <w:p w14:paraId="7CAB87F9" w14:textId="77777777" w:rsidR="00674C4A" w:rsidRPr="00E00E21" w:rsidRDefault="00674C4A" w:rsidP="00E630C6">
      <w:pPr>
        <w:tabs>
          <w:tab w:val="left" w:pos="540"/>
          <w:tab w:val="left" w:pos="569"/>
        </w:tabs>
        <w:jc w:val="both"/>
        <w:rPr>
          <w:bCs/>
          <w:sz w:val="22"/>
          <w:szCs w:val="22"/>
          <w:u w:val="single"/>
          <w:lang w:val="sr-Latn-RS"/>
        </w:rPr>
      </w:pPr>
    </w:p>
    <w:p w14:paraId="5B9A8C76" w14:textId="54173E90" w:rsidR="001A6791" w:rsidRPr="00E00E21" w:rsidRDefault="006C765E" w:rsidP="00E630C6">
      <w:pPr>
        <w:tabs>
          <w:tab w:val="left" w:pos="540"/>
          <w:tab w:val="left" w:pos="569"/>
        </w:tabs>
        <w:jc w:val="both"/>
        <w:rPr>
          <w:bCs/>
          <w:sz w:val="22"/>
          <w:szCs w:val="22"/>
          <w:lang w:val="sr-Latn-RS"/>
        </w:rPr>
      </w:pPr>
      <w:r w:rsidRPr="00E00E21">
        <w:rPr>
          <w:bCs/>
          <w:sz w:val="22"/>
          <w:szCs w:val="22"/>
          <w:lang w:val="sr-Latn-RS"/>
        </w:rPr>
        <w:t xml:space="preserve">Preporučena doza </w:t>
      </w:r>
      <w:r w:rsidR="001A6791" w:rsidRPr="00E00E21">
        <w:rPr>
          <w:bCs/>
          <w:sz w:val="22"/>
          <w:szCs w:val="22"/>
          <w:lang w:val="sr-Latn-RS"/>
        </w:rPr>
        <w:t>lijeka</w:t>
      </w:r>
      <w:r w:rsidRPr="00E00E21">
        <w:rPr>
          <w:bCs/>
          <w:sz w:val="22"/>
          <w:szCs w:val="22"/>
          <w:lang w:val="sr-Latn-RS"/>
        </w:rPr>
        <w:t xml:space="preserve"> </w:t>
      </w:r>
      <w:r w:rsidR="00D904EA" w:rsidRPr="00E00E21">
        <w:rPr>
          <w:bCs/>
          <w:sz w:val="22"/>
          <w:szCs w:val="22"/>
          <w:lang w:val="sr-Latn-RS"/>
        </w:rPr>
        <w:t>Kabazitaksel EVER Pharma</w:t>
      </w:r>
      <w:r w:rsidRPr="00E00E21">
        <w:rPr>
          <w:bCs/>
          <w:sz w:val="22"/>
          <w:szCs w:val="22"/>
          <w:lang w:val="sr-Latn-RS"/>
        </w:rPr>
        <w:t xml:space="preserve"> iznosi 25 mg/m</w:t>
      </w:r>
      <w:r w:rsidRPr="00E00E21">
        <w:rPr>
          <w:bCs/>
          <w:sz w:val="22"/>
          <w:szCs w:val="22"/>
          <w:vertAlign w:val="superscript"/>
          <w:lang w:val="sr-Latn-RS"/>
        </w:rPr>
        <w:t>2</w:t>
      </w:r>
      <w:r w:rsidRPr="00E00E21">
        <w:rPr>
          <w:bCs/>
          <w:sz w:val="22"/>
          <w:szCs w:val="22"/>
          <w:lang w:val="sr-Latn-RS"/>
        </w:rPr>
        <w:t>, prim</w:t>
      </w:r>
      <w:r w:rsidR="001A6791" w:rsidRPr="00E00E21">
        <w:rPr>
          <w:bCs/>
          <w:sz w:val="22"/>
          <w:szCs w:val="22"/>
          <w:lang w:val="sr-Latn-RS"/>
        </w:rPr>
        <w:t>ij</w:t>
      </w:r>
      <w:r w:rsidRPr="00E00E21">
        <w:rPr>
          <w:bCs/>
          <w:sz w:val="22"/>
          <w:szCs w:val="22"/>
          <w:lang w:val="sr-Latn-RS"/>
        </w:rPr>
        <w:t>enjena kao jednočasovna intravenska infuzija na svake 3 ned</w:t>
      </w:r>
      <w:r w:rsidR="00B232A2" w:rsidRPr="00E00E21">
        <w:rPr>
          <w:bCs/>
          <w:sz w:val="22"/>
          <w:szCs w:val="22"/>
          <w:lang w:val="sr-Latn-RS"/>
        </w:rPr>
        <w:t>j</w:t>
      </w:r>
      <w:r w:rsidRPr="00E00E21">
        <w:rPr>
          <w:bCs/>
          <w:sz w:val="22"/>
          <w:szCs w:val="22"/>
          <w:lang w:val="sr-Latn-RS"/>
        </w:rPr>
        <w:t xml:space="preserve">elje i to u kombinaciji sa 10 mg prednizona ili prednizolona koji se uzimaju oralno svakodnevno tokom terapije. </w:t>
      </w:r>
    </w:p>
    <w:p w14:paraId="530B6514" w14:textId="77777777" w:rsidR="001A6791" w:rsidRPr="00E00E21" w:rsidRDefault="001A6791" w:rsidP="00E630C6">
      <w:pPr>
        <w:tabs>
          <w:tab w:val="left" w:pos="540"/>
          <w:tab w:val="left" w:pos="569"/>
        </w:tabs>
        <w:jc w:val="both"/>
        <w:rPr>
          <w:bCs/>
          <w:sz w:val="22"/>
          <w:szCs w:val="22"/>
          <w:lang w:val="sr-Latn-RS"/>
        </w:rPr>
      </w:pPr>
    </w:p>
    <w:p w14:paraId="7731A4C7" w14:textId="77777777" w:rsidR="001A6791" w:rsidRPr="00E00E21" w:rsidRDefault="006C765E" w:rsidP="00E630C6">
      <w:pPr>
        <w:tabs>
          <w:tab w:val="left" w:pos="540"/>
          <w:tab w:val="left" w:pos="569"/>
        </w:tabs>
        <w:jc w:val="both"/>
        <w:rPr>
          <w:bCs/>
          <w:sz w:val="22"/>
          <w:szCs w:val="22"/>
          <w:lang w:val="sr-Latn-RS"/>
        </w:rPr>
      </w:pPr>
      <w:r w:rsidRPr="00E00E21">
        <w:rPr>
          <w:bCs/>
          <w:sz w:val="22"/>
          <w:szCs w:val="22"/>
          <w:u w:val="single"/>
          <w:lang w:val="sr-Latn-RS"/>
        </w:rPr>
        <w:t>Prilagođavanje doze</w:t>
      </w:r>
      <w:r w:rsidRPr="00E00E21">
        <w:rPr>
          <w:bCs/>
          <w:sz w:val="22"/>
          <w:szCs w:val="22"/>
          <w:lang w:val="sr-Latn-RS"/>
        </w:rPr>
        <w:t xml:space="preserve"> </w:t>
      </w:r>
    </w:p>
    <w:p w14:paraId="67386399" w14:textId="77777777" w:rsidR="00674C4A" w:rsidRPr="00E00E21" w:rsidRDefault="00674C4A" w:rsidP="00E630C6">
      <w:pPr>
        <w:tabs>
          <w:tab w:val="left" w:pos="540"/>
          <w:tab w:val="left" w:pos="569"/>
        </w:tabs>
        <w:jc w:val="both"/>
        <w:rPr>
          <w:bCs/>
          <w:sz w:val="22"/>
          <w:szCs w:val="22"/>
          <w:lang w:val="sr-Latn-RS"/>
        </w:rPr>
      </w:pPr>
    </w:p>
    <w:p w14:paraId="468B5171" w14:textId="1A084685" w:rsidR="001A6791" w:rsidRPr="00E00E21" w:rsidRDefault="006C765E" w:rsidP="00E630C6">
      <w:pPr>
        <w:tabs>
          <w:tab w:val="left" w:pos="540"/>
          <w:tab w:val="left" w:pos="569"/>
        </w:tabs>
        <w:jc w:val="both"/>
        <w:rPr>
          <w:bCs/>
          <w:sz w:val="22"/>
          <w:szCs w:val="22"/>
          <w:lang w:val="sr-Latn-RS"/>
        </w:rPr>
      </w:pPr>
      <w:r w:rsidRPr="00E00E21">
        <w:rPr>
          <w:bCs/>
          <w:sz w:val="22"/>
          <w:szCs w:val="22"/>
          <w:lang w:val="sr-Latn-RS"/>
        </w:rPr>
        <w:t>Dozu treba prilagoditi ako se kod pacijenta pojave sl</w:t>
      </w:r>
      <w:r w:rsidR="00B232A2" w:rsidRPr="00E00E21">
        <w:rPr>
          <w:bCs/>
          <w:sz w:val="22"/>
          <w:szCs w:val="22"/>
          <w:lang w:val="sr-Latn-RS"/>
        </w:rPr>
        <w:t>j</w:t>
      </w:r>
      <w:r w:rsidRPr="00E00E21">
        <w:rPr>
          <w:bCs/>
          <w:sz w:val="22"/>
          <w:szCs w:val="22"/>
          <w:lang w:val="sr-Latn-RS"/>
        </w:rPr>
        <w:t>edeće neželjene reakcije (stepeni su određeni na osnovu Zajedničkih terminoloških kriterijuma za neželjene događaje</w:t>
      </w:r>
      <w:r w:rsidR="004F26A0" w:rsidRPr="00E00E21">
        <w:rPr>
          <w:bCs/>
          <w:sz w:val="22"/>
          <w:szCs w:val="22"/>
          <w:lang w:val="sr-Latn-RS"/>
        </w:rPr>
        <w:t xml:space="preserve"> (</w:t>
      </w:r>
      <w:r w:rsidRPr="00E00E21">
        <w:rPr>
          <w:bCs/>
          <w:sz w:val="22"/>
          <w:szCs w:val="22"/>
          <w:lang w:val="sr-Latn-RS"/>
        </w:rPr>
        <w:t xml:space="preserve">engl. </w:t>
      </w:r>
      <w:r w:rsidRPr="00E00E21">
        <w:rPr>
          <w:bCs/>
          <w:i/>
          <w:sz w:val="22"/>
          <w:szCs w:val="22"/>
          <w:lang w:val="sr-Latn-RS"/>
        </w:rPr>
        <w:t>Common Terminology Criteria for Adverse Events</w:t>
      </w:r>
      <w:r w:rsidRPr="00E00E21">
        <w:rPr>
          <w:bCs/>
          <w:sz w:val="22"/>
          <w:szCs w:val="22"/>
          <w:lang w:val="sr-Latn-RS"/>
        </w:rPr>
        <w:t xml:space="preserve"> [CTCAE, verzija 4.0]: </w:t>
      </w:r>
    </w:p>
    <w:p w14:paraId="69C02C4C" w14:textId="77777777" w:rsidR="001A6791" w:rsidRPr="00E00E21" w:rsidRDefault="001A6791" w:rsidP="00E630C6">
      <w:pPr>
        <w:tabs>
          <w:tab w:val="left" w:pos="540"/>
          <w:tab w:val="left" w:pos="569"/>
        </w:tabs>
        <w:jc w:val="both"/>
        <w:rPr>
          <w:bCs/>
          <w:sz w:val="22"/>
          <w:szCs w:val="22"/>
          <w:lang w:val="sr-Latn-RS"/>
        </w:rPr>
      </w:pPr>
    </w:p>
    <w:p w14:paraId="0C704E0F" w14:textId="77777777" w:rsidR="004B7CB4" w:rsidRPr="00E00E21" w:rsidRDefault="006C765E" w:rsidP="00E630C6">
      <w:pPr>
        <w:tabs>
          <w:tab w:val="left" w:pos="540"/>
          <w:tab w:val="left" w:pos="569"/>
        </w:tabs>
        <w:jc w:val="both"/>
        <w:rPr>
          <w:bCs/>
          <w:sz w:val="22"/>
          <w:szCs w:val="22"/>
          <w:lang w:val="sr-Latn-RS"/>
        </w:rPr>
      </w:pPr>
      <w:r w:rsidRPr="00E00E21">
        <w:rPr>
          <w:bCs/>
          <w:sz w:val="22"/>
          <w:szCs w:val="22"/>
          <w:lang w:val="sr-Latn-RS"/>
        </w:rPr>
        <w:t>Tabela 1. – Preporučeno prilagođavanje doze prema neželjenim reakcijama kod pacijenata l</w:t>
      </w:r>
      <w:r w:rsidR="004B7CB4" w:rsidRPr="00E00E21">
        <w:rPr>
          <w:bCs/>
          <w:sz w:val="22"/>
          <w:szCs w:val="22"/>
          <w:lang w:val="sr-Latn-RS"/>
        </w:rPr>
        <w:t>ij</w:t>
      </w:r>
      <w:r w:rsidRPr="00E00E21">
        <w:rPr>
          <w:bCs/>
          <w:sz w:val="22"/>
          <w:szCs w:val="22"/>
          <w:lang w:val="sr-Latn-RS"/>
        </w:rPr>
        <w:t xml:space="preserve">ečenih kabazitakselom </w:t>
      </w:r>
    </w:p>
    <w:p w14:paraId="4B6F3EE2" w14:textId="77777777" w:rsidR="004B7CB4" w:rsidRPr="00E00E21" w:rsidRDefault="004B7CB4" w:rsidP="00480FB1">
      <w:pPr>
        <w:tabs>
          <w:tab w:val="left" w:pos="540"/>
          <w:tab w:val="left" w:pos="569"/>
        </w:tabs>
        <w:rPr>
          <w:bCs/>
          <w:sz w:val="22"/>
          <w:szCs w:val="22"/>
          <w:lang w:val="sr-Latn-RS"/>
        </w:rPr>
      </w:pPr>
    </w:p>
    <w:tbl>
      <w:tblPr>
        <w:tblW w:w="906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37"/>
      </w:tblGrid>
      <w:tr w:rsidR="004B7CB4" w:rsidRPr="00E00E21" w14:paraId="3DB7D50F" w14:textId="77777777" w:rsidTr="00E630C6">
        <w:trPr>
          <w:tblCellSpacing w:w="0" w:type="dxa"/>
        </w:trPr>
        <w:tc>
          <w:tcPr>
            <w:tcW w:w="2497" w:type="pct"/>
            <w:tcBorders>
              <w:top w:val="outset" w:sz="6" w:space="0" w:color="auto"/>
              <w:left w:val="outset" w:sz="6" w:space="0" w:color="auto"/>
              <w:bottom w:val="outset" w:sz="6" w:space="0" w:color="auto"/>
              <w:right w:val="outset" w:sz="6" w:space="0" w:color="auto"/>
            </w:tcBorders>
            <w:hideMark/>
          </w:tcPr>
          <w:p w14:paraId="05CC4F1A" w14:textId="77777777" w:rsidR="004B7CB4" w:rsidRPr="00E00E21" w:rsidRDefault="004B7CB4" w:rsidP="004B7CB4">
            <w:pPr>
              <w:spacing w:before="100" w:beforeAutospacing="1" w:after="100" w:afterAutospacing="1"/>
              <w:jc w:val="center"/>
              <w:rPr>
                <w:sz w:val="22"/>
                <w:szCs w:val="22"/>
                <w:lang w:val="sr-Latn-RS" w:eastAsia="de-AT"/>
              </w:rPr>
            </w:pPr>
            <w:r w:rsidRPr="00E00E21">
              <w:rPr>
                <w:b/>
                <w:bCs/>
                <w:sz w:val="22"/>
                <w:szCs w:val="22"/>
                <w:lang w:val="sr-Latn-RS" w:eastAsia="de-AT"/>
              </w:rPr>
              <w:t xml:space="preserve">Neželjena dejstva </w:t>
            </w:r>
          </w:p>
        </w:tc>
        <w:tc>
          <w:tcPr>
            <w:tcW w:w="2503" w:type="pct"/>
            <w:tcBorders>
              <w:top w:val="outset" w:sz="6" w:space="0" w:color="auto"/>
              <w:left w:val="outset" w:sz="6" w:space="0" w:color="auto"/>
              <w:bottom w:val="outset" w:sz="6" w:space="0" w:color="auto"/>
              <w:right w:val="outset" w:sz="6" w:space="0" w:color="auto"/>
            </w:tcBorders>
            <w:hideMark/>
          </w:tcPr>
          <w:p w14:paraId="0A035A9C" w14:textId="77777777" w:rsidR="004B7CB4" w:rsidRPr="00E00E21" w:rsidRDefault="004B7CB4" w:rsidP="004B7CB4">
            <w:pPr>
              <w:spacing w:before="100" w:beforeAutospacing="1" w:after="100" w:afterAutospacing="1"/>
              <w:jc w:val="center"/>
              <w:rPr>
                <w:sz w:val="22"/>
                <w:szCs w:val="22"/>
                <w:lang w:val="sr-Latn-RS" w:eastAsia="de-AT"/>
              </w:rPr>
            </w:pPr>
            <w:r w:rsidRPr="00E00E21">
              <w:rPr>
                <w:b/>
                <w:bCs/>
                <w:sz w:val="22"/>
                <w:szCs w:val="22"/>
                <w:lang w:val="sr-Latn-RS" w:eastAsia="de-AT"/>
              </w:rPr>
              <w:t>Prilagođavanje doze</w:t>
            </w:r>
          </w:p>
        </w:tc>
      </w:tr>
      <w:tr w:rsidR="004B7CB4" w:rsidRPr="00E00E21" w14:paraId="473622B1" w14:textId="77777777" w:rsidTr="00E630C6">
        <w:trPr>
          <w:tblCellSpacing w:w="0" w:type="dxa"/>
        </w:trPr>
        <w:tc>
          <w:tcPr>
            <w:tcW w:w="2497" w:type="pct"/>
            <w:tcBorders>
              <w:top w:val="outset" w:sz="6" w:space="0" w:color="auto"/>
              <w:left w:val="outset" w:sz="6" w:space="0" w:color="auto"/>
              <w:bottom w:val="outset" w:sz="6" w:space="0" w:color="auto"/>
              <w:right w:val="outset" w:sz="6" w:space="0" w:color="auto"/>
            </w:tcBorders>
            <w:hideMark/>
          </w:tcPr>
          <w:p w14:paraId="507577BD" w14:textId="0DAB7C3A" w:rsidR="004B7CB4" w:rsidRPr="00E00E21" w:rsidRDefault="004B7CB4" w:rsidP="004B7CB4">
            <w:pPr>
              <w:spacing w:before="100" w:beforeAutospacing="1" w:after="100" w:afterAutospacing="1"/>
              <w:rPr>
                <w:sz w:val="22"/>
                <w:szCs w:val="22"/>
                <w:lang w:val="sr-Latn-RS" w:eastAsia="de-AT"/>
              </w:rPr>
            </w:pPr>
            <w:r w:rsidRPr="00E00E21">
              <w:rPr>
                <w:sz w:val="22"/>
                <w:szCs w:val="22"/>
                <w:lang w:val="sr-Latn-RS" w:eastAsia="de-AT"/>
              </w:rPr>
              <w:t>Produžena neutropenija stepena ≥</w:t>
            </w:r>
            <w:r w:rsidR="004F26A0" w:rsidRPr="00E00E21">
              <w:rPr>
                <w:sz w:val="22"/>
                <w:szCs w:val="22"/>
                <w:lang w:val="sr-Latn-RS" w:eastAsia="de-AT"/>
              </w:rPr>
              <w:t xml:space="preserve"> </w:t>
            </w:r>
            <w:r w:rsidRPr="00E00E21">
              <w:rPr>
                <w:sz w:val="22"/>
                <w:szCs w:val="22"/>
                <w:lang w:val="sr-Latn-RS" w:eastAsia="de-AT"/>
              </w:rPr>
              <w:t>3 (duže od 1 ned</w:t>
            </w:r>
            <w:r w:rsidR="004F26A0" w:rsidRPr="00E00E21">
              <w:rPr>
                <w:sz w:val="22"/>
                <w:szCs w:val="22"/>
                <w:lang w:val="sr-Latn-RS" w:eastAsia="de-AT"/>
              </w:rPr>
              <w:t>j</w:t>
            </w:r>
            <w:r w:rsidRPr="00E00E21">
              <w:rPr>
                <w:sz w:val="22"/>
                <w:szCs w:val="22"/>
                <w:lang w:val="sr-Latn-RS" w:eastAsia="de-AT"/>
              </w:rPr>
              <w:t xml:space="preserve">elje), uprkos odgovarajućoj terapiji koja uključuje G-CSF </w:t>
            </w:r>
          </w:p>
        </w:tc>
        <w:tc>
          <w:tcPr>
            <w:tcW w:w="2503" w:type="pct"/>
            <w:tcBorders>
              <w:top w:val="outset" w:sz="6" w:space="0" w:color="auto"/>
              <w:left w:val="outset" w:sz="6" w:space="0" w:color="auto"/>
              <w:bottom w:val="outset" w:sz="6" w:space="0" w:color="auto"/>
              <w:right w:val="outset" w:sz="6" w:space="0" w:color="auto"/>
            </w:tcBorders>
            <w:hideMark/>
          </w:tcPr>
          <w:p w14:paraId="457F7EF4" w14:textId="49F474D5" w:rsidR="004B7CB4" w:rsidRPr="00E00E21" w:rsidRDefault="004B7CB4" w:rsidP="004B7CB4">
            <w:pPr>
              <w:spacing w:before="100" w:beforeAutospacing="1" w:after="100" w:afterAutospacing="1"/>
              <w:rPr>
                <w:sz w:val="22"/>
                <w:szCs w:val="22"/>
                <w:lang w:val="sr-Latn-RS" w:eastAsia="de-AT"/>
              </w:rPr>
            </w:pPr>
            <w:r w:rsidRPr="00E00E21">
              <w:rPr>
                <w:sz w:val="22"/>
                <w:szCs w:val="22"/>
                <w:lang w:val="sr-Latn-RS" w:eastAsia="de-AT"/>
              </w:rPr>
              <w:t>Odložiti liječenje dok broj neutrofila ne dostigne &gt;</w:t>
            </w:r>
            <w:r w:rsidR="004F26A0" w:rsidRPr="00E00E21">
              <w:rPr>
                <w:sz w:val="22"/>
                <w:szCs w:val="22"/>
                <w:lang w:val="sr-Latn-RS" w:eastAsia="de-AT"/>
              </w:rPr>
              <w:t xml:space="preserve"> </w:t>
            </w:r>
            <w:r w:rsidRPr="00E00E21">
              <w:rPr>
                <w:sz w:val="22"/>
                <w:szCs w:val="22"/>
                <w:lang w:val="sr-Latn-RS" w:eastAsia="de-AT"/>
              </w:rPr>
              <w:t>1500 ćelija/mm</w:t>
            </w:r>
            <w:r w:rsidRPr="00E00E21">
              <w:rPr>
                <w:sz w:val="22"/>
                <w:szCs w:val="22"/>
                <w:vertAlign w:val="superscript"/>
                <w:lang w:val="sr-Latn-RS" w:eastAsia="de-AT"/>
              </w:rPr>
              <w:t>3</w:t>
            </w:r>
            <w:r w:rsidRPr="00E00E21">
              <w:rPr>
                <w:sz w:val="22"/>
                <w:szCs w:val="22"/>
                <w:lang w:val="sr-Latn-RS" w:eastAsia="de-AT"/>
              </w:rPr>
              <w:t>, zatim smanjiti dozu kabazitaksela sa 25 mg/m</w:t>
            </w:r>
            <w:r w:rsidRPr="00E00E21">
              <w:rPr>
                <w:sz w:val="22"/>
                <w:szCs w:val="22"/>
                <w:vertAlign w:val="superscript"/>
                <w:lang w:val="sr-Latn-RS" w:eastAsia="de-AT"/>
              </w:rPr>
              <w:t>2</w:t>
            </w:r>
            <w:r w:rsidRPr="00E00E21">
              <w:rPr>
                <w:sz w:val="22"/>
                <w:szCs w:val="22"/>
                <w:lang w:val="sr-Latn-RS" w:eastAsia="de-AT"/>
              </w:rPr>
              <w:t xml:space="preserve"> na 20 mg/m</w:t>
            </w:r>
            <w:r w:rsidRPr="00E00E21">
              <w:rPr>
                <w:sz w:val="22"/>
                <w:szCs w:val="22"/>
                <w:vertAlign w:val="superscript"/>
                <w:lang w:val="sr-Latn-RS" w:eastAsia="de-AT"/>
              </w:rPr>
              <w:t>2</w:t>
            </w:r>
            <w:r w:rsidRPr="00E00E21">
              <w:rPr>
                <w:sz w:val="22"/>
                <w:szCs w:val="22"/>
                <w:lang w:val="sr-Latn-RS" w:eastAsia="de-AT"/>
              </w:rPr>
              <w:t xml:space="preserve">. </w:t>
            </w:r>
          </w:p>
        </w:tc>
      </w:tr>
      <w:tr w:rsidR="004B7CB4" w:rsidRPr="00E00E21" w14:paraId="6AA3A0B2" w14:textId="77777777" w:rsidTr="00E630C6">
        <w:trPr>
          <w:tblCellSpacing w:w="0" w:type="dxa"/>
        </w:trPr>
        <w:tc>
          <w:tcPr>
            <w:tcW w:w="2497" w:type="pct"/>
            <w:tcBorders>
              <w:top w:val="outset" w:sz="6" w:space="0" w:color="auto"/>
              <w:left w:val="outset" w:sz="6" w:space="0" w:color="auto"/>
              <w:bottom w:val="outset" w:sz="6" w:space="0" w:color="auto"/>
              <w:right w:val="outset" w:sz="6" w:space="0" w:color="auto"/>
            </w:tcBorders>
            <w:hideMark/>
          </w:tcPr>
          <w:p w14:paraId="02DDC828" w14:textId="77777777" w:rsidR="004B7CB4" w:rsidRPr="00E00E21" w:rsidRDefault="004B7CB4" w:rsidP="004B7CB4">
            <w:pPr>
              <w:spacing w:before="100" w:beforeAutospacing="1" w:after="100" w:afterAutospacing="1"/>
              <w:rPr>
                <w:sz w:val="22"/>
                <w:szCs w:val="22"/>
                <w:lang w:val="sr-Latn-RS" w:eastAsia="de-AT"/>
              </w:rPr>
            </w:pPr>
            <w:r w:rsidRPr="00E00E21">
              <w:rPr>
                <w:bCs/>
                <w:sz w:val="22"/>
                <w:szCs w:val="22"/>
                <w:lang w:val="sr-Latn-RS"/>
              </w:rPr>
              <w:t xml:space="preserve">Febrilna neutropenija ili neutropenijska infekcija </w:t>
            </w:r>
          </w:p>
        </w:tc>
        <w:tc>
          <w:tcPr>
            <w:tcW w:w="2503" w:type="pct"/>
            <w:tcBorders>
              <w:top w:val="outset" w:sz="6" w:space="0" w:color="auto"/>
              <w:left w:val="outset" w:sz="6" w:space="0" w:color="auto"/>
              <w:bottom w:val="outset" w:sz="6" w:space="0" w:color="auto"/>
              <w:right w:val="outset" w:sz="6" w:space="0" w:color="auto"/>
            </w:tcBorders>
            <w:hideMark/>
          </w:tcPr>
          <w:p w14:paraId="11545092" w14:textId="7EE0286F" w:rsidR="004B7CB4" w:rsidRPr="00E00E21" w:rsidRDefault="004B7CB4" w:rsidP="004B7CB4">
            <w:pPr>
              <w:spacing w:before="100" w:beforeAutospacing="1" w:after="100" w:afterAutospacing="1"/>
              <w:rPr>
                <w:sz w:val="22"/>
                <w:szCs w:val="22"/>
                <w:lang w:val="sr-Latn-RS" w:eastAsia="de-AT"/>
              </w:rPr>
            </w:pPr>
            <w:r w:rsidRPr="00E00E21">
              <w:rPr>
                <w:sz w:val="22"/>
                <w:szCs w:val="22"/>
                <w:lang w:val="sr-Latn-RS" w:eastAsia="de-AT"/>
              </w:rPr>
              <w:t>Odložiti liječenje do poboljšanja ili povlačenja simptoma i dok broj neutrofila ne dosegne &gt;1500 ćelija/mm</w:t>
            </w:r>
            <w:r w:rsidRPr="00E00E21">
              <w:rPr>
                <w:sz w:val="22"/>
                <w:szCs w:val="22"/>
                <w:vertAlign w:val="superscript"/>
                <w:lang w:val="sr-Latn-RS" w:eastAsia="de-AT"/>
              </w:rPr>
              <w:t>3</w:t>
            </w:r>
            <w:r w:rsidRPr="00E00E21">
              <w:rPr>
                <w:sz w:val="22"/>
                <w:szCs w:val="22"/>
                <w:lang w:val="sr-Latn-RS" w:eastAsia="de-AT"/>
              </w:rPr>
              <w:t>, zatim smanjiti dozu kabazitaksela sa 25 mg/m</w:t>
            </w:r>
            <w:r w:rsidRPr="00E00E21">
              <w:rPr>
                <w:sz w:val="22"/>
                <w:szCs w:val="22"/>
                <w:vertAlign w:val="superscript"/>
                <w:lang w:val="sr-Latn-RS" w:eastAsia="de-AT"/>
              </w:rPr>
              <w:t>2</w:t>
            </w:r>
            <w:r w:rsidRPr="00E00E21">
              <w:rPr>
                <w:sz w:val="22"/>
                <w:szCs w:val="22"/>
                <w:lang w:val="sr-Latn-RS" w:eastAsia="de-AT"/>
              </w:rPr>
              <w:t xml:space="preserve"> na 20 mg/m</w:t>
            </w:r>
            <w:r w:rsidRPr="00E00E21">
              <w:rPr>
                <w:sz w:val="22"/>
                <w:szCs w:val="22"/>
                <w:vertAlign w:val="superscript"/>
                <w:lang w:val="sr-Latn-RS" w:eastAsia="de-AT"/>
              </w:rPr>
              <w:t>2</w:t>
            </w:r>
            <w:r w:rsidRPr="00E00E21">
              <w:rPr>
                <w:sz w:val="22"/>
                <w:szCs w:val="22"/>
                <w:lang w:val="sr-Latn-RS" w:eastAsia="de-AT"/>
              </w:rPr>
              <w:t>.</w:t>
            </w:r>
          </w:p>
        </w:tc>
      </w:tr>
      <w:tr w:rsidR="004B7CB4" w:rsidRPr="00E00E21" w14:paraId="22EF9446" w14:textId="77777777" w:rsidTr="00E630C6">
        <w:trPr>
          <w:tblCellSpacing w:w="0" w:type="dxa"/>
        </w:trPr>
        <w:tc>
          <w:tcPr>
            <w:tcW w:w="2497" w:type="pct"/>
            <w:tcBorders>
              <w:top w:val="outset" w:sz="6" w:space="0" w:color="auto"/>
              <w:left w:val="outset" w:sz="6" w:space="0" w:color="auto"/>
              <w:bottom w:val="outset" w:sz="6" w:space="0" w:color="auto"/>
              <w:right w:val="outset" w:sz="6" w:space="0" w:color="auto"/>
            </w:tcBorders>
            <w:hideMark/>
          </w:tcPr>
          <w:p w14:paraId="2258AB3A" w14:textId="2EF0D306" w:rsidR="004B7CB4" w:rsidRPr="00E00E21" w:rsidRDefault="004B7CB4" w:rsidP="004B7CB4">
            <w:pPr>
              <w:spacing w:before="100" w:beforeAutospacing="1" w:after="100" w:afterAutospacing="1"/>
              <w:rPr>
                <w:sz w:val="22"/>
                <w:szCs w:val="22"/>
                <w:lang w:val="sr-Latn-RS" w:eastAsia="de-AT"/>
              </w:rPr>
            </w:pPr>
            <w:r w:rsidRPr="00E00E21">
              <w:rPr>
                <w:sz w:val="22"/>
                <w:szCs w:val="22"/>
                <w:lang w:val="sr-Latn-RS" w:eastAsia="de-AT"/>
              </w:rPr>
              <w:t>Dijareja stepena ≥</w:t>
            </w:r>
            <w:r w:rsidR="004F26A0" w:rsidRPr="00E00E21">
              <w:rPr>
                <w:sz w:val="22"/>
                <w:szCs w:val="22"/>
                <w:lang w:val="sr-Latn-RS" w:eastAsia="de-AT"/>
              </w:rPr>
              <w:t xml:space="preserve"> </w:t>
            </w:r>
            <w:r w:rsidRPr="00E00E21">
              <w:rPr>
                <w:sz w:val="22"/>
                <w:szCs w:val="22"/>
                <w:lang w:val="sr-Latn-RS" w:eastAsia="de-AT"/>
              </w:rPr>
              <w:t>3 ili perzistentna dijareja uprkos odgovarajućoj terapiji koja uključuje tečnost i nadoknadu e</w:t>
            </w:r>
            <w:r w:rsidR="00F946DA" w:rsidRPr="00E00E21">
              <w:rPr>
                <w:sz w:val="22"/>
                <w:szCs w:val="22"/>
                <w:lang w:val="sr-Latn-RS" w:eastAsia="de-AT"/>
              </w:rPr>
              <w:t>lijek</w:t>
            </w:r>
            <w:r w:rsidRPr="00E00E21">
              <w:rPr>
                <w:sz w:val="22"/>
                <w:szCs w:val="22"/>
                <w:lang w:val="sr-Latn-RS" w:eastAsia="de-AT"/>
              </w:rPr>
              <w:t>trolita</w:t>
            </w:r>
          </w:p>
        </w:tc>
        <w:tc>
          <w:tcPr>
            <w:tcW w:w="2503" w:type="pct"/>
            <w:tcBorders>
              <w:top w:val="outset" w:sz="6" w:space="0" w:color="auto"/>
              <w:left w:val="outset" w:sz="6" w:space="0" w:color="auto"/>
              <w:bottom w:val="outset" w:sz="6" w:space="0" w:color="auto"/>
              <w:right w:val="outset" w:sz="6" w:space="0" w:color="auto"/>
            </w:tcBorders>
            <w:hideMark/>
          </w:tcPr>
          <w:p w14:paraId="3EAD8C63" w14:textId="77777777" w:rsidR="004B7CB4" w:rsidRPr="00E00E21" w:rsidRDefault="004B7CB4" w:rsidP="004B7CB4">
            <w:pPr>
              <w:spacing w:before="100" w:beforeAutospacing="1" w:after="100" w:afterAutospacing="1"/>
              <w:rPr>
                <w:sz w:val="22"/>
                <w:szCs w:val="22"/>
                <w:lang w:val="sr-Latn-RS" w:eastAsia="de-AT"/>
              </w:rPr>
            </w:pPr>
            <w:r w:rsidRPr="00E00E21">
              <w:rPr>
                <w:sz w:val="22"/>
                <w:szCs w:val="22"/>
                <w:lang w:val="sr-Latn-RS" w:eastAsia="de-AT"/>
              </w:rPr>
              <w:t>Odložiti liječenje do poboljšanja ili povlačenja simptoma, zatim smanjiti dozu kabazitaksela sa 25 mg/m</w:t>
            </w:r>
            <w:r w:rsidRPr="00E00E21">
              <w:rPr>
                <w:sz w:val="22"/>
                <w:szCs w:val="22"/>
                <w:vertAlign w:val="superscript"/>
                <w:lang w:val="sr-Latn-RS" w:eastAsia="de-AT"/>
              </w:rPr>
              <w:t>2</w:t>
            </w:r>
            <w:r w:rsidRPr="00E00E21">
              <w:rPr>
                <w:sz w:val="22"/>
                <w:szCs w:val="22"/>
                <w:lang w:val="sr-Latn-RS" w:eastAsia="de-AT"/>
              </w:rPr>
              <w:t xml:space="preserve"> na 20 mg/m</w:t>
            </w:r>
            <w:r w:rsidRPr="00E00E21">
              <w:rPr>
                <w:sz w:val="22"/>
                <w:szCs w:val="22"/>
                <w:vertAlign w:val="superscript"/>
                <w:lang w:val="sr-Latn-RS" w:eastAsia="de-AT"/>
              </w:rPr>
              <w:t>2</w:t>
            </w:r>
            <w:r w:rsidRPr="00E00E21">
              <w:rPr>
                <w:sz w:val="22"/>
                <w:szCs w:val="22"/>
                <w:lang w:val="sr-Latn-RS" w:eastAsia="de-AT"/>
              </w:rPr>
              <w:t>.</w:t>
            </w:r>
          </w:p>
        </w:tc>
      </w:tr>
      <w:tr w:rsidR="004B7CB4" w:rsidRPr="00E00E21" w14:paraId="018D4D8A" w14:textId="77777777" w:rsidTr="00E630C6">
        <w:trPr>
          <w:tblCellSpacing w:w="0" w:type="dxa"/>
        </w:trPr>
        <w:tc>
          <w:tcPr>
            <w:tcW w:w="2497" w:type="pct"/>
            <w:tcBorders>
              <w:top w:val="outset" w:sz="6" w:space="0" w:color="auto"/>
              <w:left w:val="outset" w:sz="6" w:space="0" w:color="auto"/>
              <w:bottom w:val="outset" w:sz="6" w:space="0" w:color="auto"/>
              <w:right w:val="outset" w:sz="6" w:space="0" w:color="auto"/>
            </w:tcBorders>
            <w:hideMark/>
          </w:tcPr>
          <w:p w14:paraId="5C1800E4" w14:textId="46AC32EA" w:rsidR="004B7CB4" w:rsidRPr="00E00E21" w:rsidRDefault="004B7CB4" w:rsidP="004B7CB4">
            <w:pPr>
              <w:spacing w:before="100" w:beforeAutospacing="1" w:after="100" w:afterAutospacing="1"/>
              <w:rPr>
                <w:sz w:val="22"/>
                <w:szCs w:val="22"/>
                <w:lang w:val="sr-Latn-RS" w:eastAsia="de-AT"/>
              </w:rPr>
            </w:pPr>
            <w:r w:rsidRPr="00E00E21">
              <w:rPr>
                <w:sz w:val="22"/>
                <w:szCs w:val="22"/>
                <w:lang w:val="sr-Latn-RS" w:eastAsia="de-AT"/>
              </w:rPr>
              <w:t>Periferna neuropatija stepena ≥</w:t>
            </w:r>
            <w:r w:rsidR="004F26A0" w:rsidRPr="00E00E21">
              <w:rPr>
                <w:sz w:val="22"/>
                <w:szCs w:val="22"/>
                <w:lang w:val="sr-Latn-RS" w:eastAsia="de-AT"/>
              </w:rPr>
              <w:t xml:space="preserve"> </w:t>
            </w:r>
            <w:r w:rsidRPr="00E00E21">
              <w:rPr>
                <w:sz w:val="22"/>
                <w:szCs w:val="22"/>
                <w:lang w:val="sr-Latn-RS" w:eastAsia="de-AT"/>
              </w:rPr>
              <w:t xml:space="preserve">2 </w:t>
            </w:r>
          </w:p>
        </w:tc>
        <w:tc>
          <w:tcPr>
            <w:tcW w:w="2503" w:type="pct"/>
            <w:tcBorders>
              <w:top w:val="outset" w:sz="6" w:space="0" w:color="auto"/>
              <w:left w:val="outset" w:sz="6" w:space="0" w:color="auto"/>
              <w:bottom w:val="outset" w:sz="6" w:space="0" w:color="auto"/>
              <w:right w:val="outset" w:sz="6" w:space="0" w:color="auto"/>
            </w:tcBorders>
            <w:hideMark/>
          </w:tcPr>
          <w:p w14:paraId="1FE72543" w14:textId="5D6E3E3B" w:rsidR="004B7CB4" w:rsidRPr="00E00E21" w:rsidRDefault="004B7CB4" w:rsidP="004B7CB4">
            <w:pPr>
              <w:spacing w:before="100" w:beforeAutospacing="1" w:after="100" w:afterAutospacing="1"/>
              <w:rPr>
                <w:sz w:val="22"/>
                <w:szCs w:val="22"/>
                <w:lang w:val="sr-Latn-RS" w:eastAsia="de-AT"/>
              </w:rPr>
            </w:pPr>
            <w:r w:rsidRPr="00E00E21">
              <w:rPr>
                <w:sz w:val="22"/>
                <w:szCs w:val="22"/>
                <w:lang w:val="sr-Latn-RS" w:eastAsia="de-AT"/>
              </w:rPr>
              <w:t>Odložiti liječenje do poboljšanja, zatim smanjiti dozu kabazitaksela sa 25 mg/m</w:t>
            </w:r>
            <w:r w:rsidRPr="00E00E21">
              <w:rPr>
                <w:sz w:val="22"/>
                <w:szCs w:val="22"/>
                <w:vertAlign w:val="superscript"/>
                <w:lang w:val="sr-Latn-RS" w:eastAsia="de-AT"/>
              </w:rPr>
              <w:t>2</w:t>
            </w:r>
            <w:r w:rsidRPr="00E00E21">
              <w:rPr>
                <w:sz w:val="22"/>
                <w:szCs w:val="22"/>
                <w:lang w:val="sr-Latn-RS" w:eastAsia="de-AT"/>
              </w:rPr>
              <w:t xml:space="preserve"> na 20 mg/m</w:t>
            </w:r>
            <w:r w:rsidRPr="00E00E21">
              <w:rPr>
                <w:sz w:val="22"/>
                <w:szCs w:val="22"/>
                <w:vertAlign w:val="superscript"/>
                <w:lang w:val="sr-Latn-RS" w:eastAsia="de-AT"/>
              </w:rPr>
              <w:t>2</w:t>
            </w:r>
            <w:r w:rsidRPr="00E00E21">
              <w:rPr>
                <w:sz w:val="22"/>
                <w:szCs w:val="22"/>
                <w:lang w:val="sr-Latn-RS" w:eastAsia="de-AT"/>
              </w:rPr>
              <w:t>.</w:t>
            </w:r>
          </w:p>
        </w:tc>
      </w:tr>
    </w:tbl>
    <w:p w14:paraId="24E46493" w14:textId="77777777" w:rsidR="004B7CB4" w:rsidRPr="00E00E21" w:rsidRDefault="004B7CB4" w:rsidP="00480FB1">
      <w:pPr>
        <w:tabs>
          <w:tab w:val="left" w:pos="540"/>
          <w:tab w:val="left" w:pos="569"/>
        </w:tabs>
        <w:rPr>
          <w:bCs/>
          <w:sz w:val="22"/>
          <w:szCs w:val="22"/>
          <w:lang w:val="sr-Latn-RS"/>
        </w:rPr>
      </w:pPr>
    </w:p>
    <w:p w14:paraId="54FDEC51" w14:textId="186846C5" w:rsidR="001D1E47" w:rsidRPr="00E00E21" w:rsidRDefault="006C765E" w:rsidP="00E93932">
      <w:pPr>
        <w:tabs>
          <w:tab w:val="left" w:pos="540"/>
          <w:tab w:val="left" w:pos="569"/>
        </w:tabs>
        <w:jc w:val="both"/>
        <w:rPr>
          <w:bCs/>
          <w:sz w:val="22"/>
          <w:szCs w:val="22"/>
          <w:lang w:val="sr-Latn-RS"/>
        </w:rPr>
      </w:pPr>
      <w:r w:rsidRPr="00E00E21">
        <w:rPr>
          <w:bCs/>
          <w:sz w:val="22"/>
          <w:szCs w:val="22"/>
          <w:lang w:val="sr-Latn-RS"/>
        </w:rPr>
        <w:t>Ukoliko pacijenti i dalje imaju bilo koje od navedenih neželjenih reakcija pri prim</w:t>
      </w:r>
      <w:r w:rsidR="00003A30" w:rsidRPr="00E00E21">
        <w:rPr>
          <w:bCs/>
          <w:sz w:val="22"/>
          <w:szCs w:val="22"/>
          <w:lang w:val="sr-Latn-RS"/>
        </w:rPr>
        <w:t>j</w:t>
      </w:r>
      <w:r w:rsidRPr="00E00E21">
        <w:rPr>
          <w:bCs/>
          <w:sz w:val="22"/>
          <w:szCs w:val="22"/>
          <w:lang w:val="sr-Latn-RS"/>
        </w:rPr>
        <w:t>eni doze od 20 mg/m</w:t>
      </w:r>
      <w:r w:rsidRPr="00E00E21">
        <w:rPr>
          <w:bCs/>
          <w:sz w:val="22"/>
          <w:szCs w:val="22"/>
          <w:vertAlign w:val="superscript"/>
          <w:lang w:val="sr-Latn-RS"/>
        </w:rPr>
        <w:t>2</w:t>
      </w:r>
      <w:r w:rsidRPr="00E00E21">
        <w:rPr>
          <w:bCs/>
          <w:sz w:val="22"/>
          <w:szCs w:val="22"/>
          <w:lang w:val="sr-Latn-RS"/>
        </w:rPr>
        <w:t>, može se razmotriti</w:t>
      </w:r>
      <w:r w:rsidR="001D1E47" w:rsidRPr="00E00E21">
        <w:rPr>
          <w:bCs/>
          <w:sz w:val="22"/>
          <w:szCs w:val="22"/>
          <w:lang w:val="sr-Latn-RS"/>
        </w:rPr>
        <w:t xml:space="preserve"> dalje smanjenje doze na 15mg/m</w:t>
      </w:r>
      <w:r w:rsidRPr="00E00E21">
        <w:rPr>
          <w:bCs/>
          <w:sz w:val="22"/>
          <w:szCs w:val="22"/>
          <w:vertAlign w:val="superscript"/>
          <w:lang w:val="sr-Latn-RS"/>
        </w:rPr>
        <w:t>2</w:t>
      </w:r>
      <w:r w:rsidRPr="00E00E21">
        <w:rPr>
          <w:bCs/>
          <w:sz w:val="22"/>
          <w:szCs w:val="22"/>
          <w:lang w:val="sr-Latn-RS"/>
        </w:rPr>
        <w:t xml:space="preserve"> ili prekid </w:t>
      </w:r>
      <w:r w:rsidR="004E16E4" w:rsidRPr="00E00E21">
        <w:rPr>
          <w:bCs/>
          <w:sz w:val="22"/>
          <w:szCs w:val="22"/>
          <w:lang w:val="sr-Latn-RS"/>
        </w:rPr>
        <w:t>primjene</w:t>
      </w:r>
      <w:r w:rsidRPr="00E00E21">
        <w:rPr>
          <w:bCs/>
          <w:sz w:val="22"/>
          <w:szCs w:val="22"/>
          <w:lang w:val="sr-Latn-RS"/>
        </w:rPr>
        <w:t xml:space="preserve"> </w:t>
      </w:r>
      <w:r w:rsidR="001A6791" w:rsidRPr="00E00E21">
        <w:rPr>
          <w:bCs/>
          <w:sz w:val="22"/>
          <w:szCs w:val="22"/>
          <w:lang w:val="sr-Latn-RS"/>
        </w:rPr>
        <w:t>lijeka</w:t>
      </w:r>
      <w:r w:rsidRPr="00E00E21">
        <w:rPr>
          <w:bCs/>
          <w:sz w:val="22"/>
          <w:szCs w:val="22"/>
          <w:lang w:val="sr-Latn-RS"/>
        </w:rPr>
        <w:t xml:space="preserve"> </w:t>
      </w:r>
      <w:r w:rsidR="00D904EA" w:rsidRPr="00E00E21">
        <w:rPr>
          <w:bCs/>
          <w:sz w:val="22"/>
          <w:szCs w:val="22"/>
          <w:lang w:val="sr-Latn-RS"/>
        </w:rPr>
        <w:t>Kabazitaksel EVER Pharma</w:t>
      </w:r>
      <w:r w:rsidRPr="00E00E21">
        <w:rPr>
          <w:bCs/>
          <w:sz w:val="22"/>
          <w:szCs w:val="22"/>
          <w:lang w:val="sr-Latn-RS"/>
        </w:rPr>
        <w:t>. Podaci o prim</w:t>
      </w:r>
      <w:r w:rsidR="004F26A0" w:rsidRPr="00E00E21">
        <w:rPr>
          <w:bCs/>
          <w:sz w:val="22"/>
          <w:szCs w:val="22"/>
          <w:lang w:val="sr-Latn-RS"/>
        </w:rPr>
        <w:t>j</w:t>
      </w:r>
      <w:r w:rsidRPr="00E00E21">
        <w:rPr>
          <w:bCs/>
          <w:sz w:val="22"/>
          <w:szCs w:val="22"/>
          <w:lang w:val="sr-Latn-RS"/>
        </w:rPr>
        <w:t xml:space="preserve">eni </w:t>
      </w:r>
      <w:r w:rsidR="001A6791" w:rsidRPr="00E00E21">
        <w:rPr>
          <w:bCs/>
          <w:sz w:val="22"/>
          <w:szCs w:val="22"/>
          <w:lang w:val="sr-Latn-RS"/>
        </w:rPr>
        <w:t>lijeka</w:t>
      </w:r>
      <w:r w:rsidRPr="00E00E21">
        <w:rPr>
          <w:bCs/>
          <w:sz w:val="22"/>
          <w:szCs w:val="22"/>
          <w:lang w:val="sr-Latn-RS"/>
        </w:rPr>
        <w:t xml:space="preserve"> kod pacijenata sa dozom manjom od 20</w:t>
      </w:r>
      <w:r w:rsidR="004F26A0" w:rsidRPr="00E00E21">
        <w:rPr>
          <w:bCs/>
          <w:sz w:val="22"/>
          <w:szCs w:val="22"/>
          <w:lang w:val="sr-Latn-RS"/>
        </w:rPr>
        <w:t xml:space="preserve"> </w:t>
      </w:r>
      <w:r w:rsidRPr="00E00E21">
        <w:rPr>
          <w:bCs/>
          <w:sz w:val="22"/>
          <w:szCs w:val="22"/>
          <w:lang w:val="sr-Latn-RS"/>
        </w:rPr>
        <w:t>mg/m</w:t>
      </w:r>
      <w:r w:rsidRPr="00E00E21">
        <w:rPr>
          <w:bCs/>
          <w:sz w:val="22"/>
          <w:szCs w:val="22"/>
          <w:vertAlign w:val="superscript"/>
          <w:lang w:val="sr-Latn-RS"/>
        </w:rPr>
        <w:t>2</w:t>
      </w:r>
      <w:r w:rsidRPr="00E00E21">
        <w:rPr>
          <w:bCs/>
          <w:sz w:val="22"/>
          <w:szCs w:val="22"/>
          <w:lang w:val="sr-Latn-RS"/>
        </w:rPr>
        <w:t xml:space="preserve"> su ograničeni. </w:t>
      </w:r>
    </w:p>
    <w:p w14:paraId="2C5FC7BA" w14:textId="77777777" w:rsidR="001D1E47" w:rsidRPr="00E00E21" w:rsidRDefault="001D1E47" w:rsidP="004F26A0">
      <w:pPr>
        <w:tabs>
          <w:tab w:val="left" w:pos="540"/>
          <w:tab w:val="left" w:pos="569"/>
        </w:tabs>
        <w:jc w:val="both"/>
        <w:rPr>
          <w:bCs/>
          <w:sz w:val="22"/>
          <w:szCs w:val="22"/>
          <w:lang w:val="sr-Latn-RS"/>
        </w:rPr>
      </w:pPr>
    </w:p>
    <w:p w14:paraId="717DFE6A" w14:textId="77777777" w:rsidR="001D1E47" w:rsidRPr="00E00E21" w:rsidRDefault="006C765E" w:rsidP="00370E1E">
      <w:pPr>
        <w:tabs>
          <w:tab w:val="left" w:pos="540"/>
          <w:tab w:val="left" w:pos="569"/>
        </w:tabs>
        <w:jc w:val="both"/>
        <w:rPr>
          <w:bCs/>
          <w:sz w:val="22"/>
          <w:szCs w:val="22"/>
          <w:u w:val="single"/>
          <w:lang w:val="sr-Latn-RS"/>
        </w:rPr>
      </w:pPr>
      <w:r w:rsidRPr="00E00E21">
        <w:rPr>
          <w:bCs/>
          <w:i/>
          <w:sz w:val="22"/>
          <w:szCs w:val="22"/>
          <w:u w:val="single"/>
          <w:lang w:val="sr-Latn-RS"/>
        </w:rPr>
        <w:t>Posebne populacije</w:t>
      </w:r>
      <w:r w:rsidRPr="00E00E21">
        <w:rPr>
          <w:bCs/>
          <w:sz w:val="22"/>
          <w:szCs w:val="22"/>
          <w:u w:val="single"/>
          <w:lang w:val="sr-Latn-RS"/>
        </w:rPr>
        <w:t xml:space="preserve"> </w:t>
      </w:r>
    </w:p>
    <w:p w14:paraId="09960C2B" w14:textId="77777777" w:rsidR="001D1E47" w:rsidRPr="00E00E21" w:rsidRDefault="001D1E47" w:rsidP="009B6A1F">
      <w:pPr>
        <w:tabs>
          <w:tab w:val="left" w:pos="540"/>
          <w:tab w:val="left" w:pos="569"/>
        </w:tabs>
        <w:jc w:val="both"/>
        <w:rPr>
          <w:bCs/>
          <w:sz w:val="22"/>
          <w:szCs w:val="22"/>
          <w:highlight w:val="yellow"/>
          <w:lang w:val="sr-Latn-RS"/>
        </w:rPr>
      </w:pPr>
    </w:p>
    <w:p w14:paraId="5C5D7136" w14:textId="77777777" w:rsidR="001D1E47" w:rsidRPr="00E00E21" w:rsidRDefault="006C765E">
      <w:pPr>
        <w:tabs>
          <w:tab w:val="left" w:pos="540"/>
          <w:tab w:val="left" w:pos="569"/>
        </w:tabs>
        <w:jc w:val="both"/>
        <w:rPr>
          <w:bCs/>
          <w:sz w:val="22"/>
          <w:szCs w:val="22"/>
          <w:lang w:val="sr-Latn-RS"/>
        </w:rPr>
      </w:pPr>
      <w:r w:rsidRPr="00E00E21">
        <w:rPr>
          <w:bCs/>
          <w:i/>
          <w:sz w:val="22"/>
          <w:szCs w:val="22"/>
          <w:lang w:val="sr-Latn-RS"/>
        </w:rPr>
        <w:t>Pacijenti sa oštećenom funkcijom jetre</w:t>
      </w:r>
      <w:r w:rsidRPr="00E00E21">
        <w:rPr>
          <w:bCs/>
          <w:sz w:val="22"/>
          <w:szCs w:val="22"/>
          <w:lang w:val="sr-Latn-RS"/>
        </w:rPr>
        <w:t xml:space="preserve"> </w:t>
      </w:r>
    </w:p>
    <w:p w14:paraId="5FE5ADAE" w14:textId="313E0F79" w:rsidR="00DA6FA8" w:rsidRPr="00E00E21" w:rsidRDefault="006C765E">
      <w:pPr>
        <w:tabs>
          <w:tab w:val="left" w:pos="540"/>
          <w:tab w:val="left" w:pos="569"/>
        </w:tabs>
        <w:jc w:val="both"/>
        <w:rPr>
          <w:bCs/>
          <w:sz w:val="22"/>
          <w:szCs w:val="22"/>
          <w:lang w:val="sr-Latn-RS"/>
        </w:rPr>
      </w:pPr>
      <w:r w:rsidRPr="00E00E21">
        <w:rPr>
          <w:bCs/>
          <w:sz w:val="22"/>
          <w:szCs w:val="22"/>
          <w:lang w:val="sr-Latn-RS"/>
        </w:rPr>
        <w:t>Kabazitaksel se u velikoj m</w:t>
      </w:r>
      <w:r w:rsidR="00A9208D" w:rsidRPr="00E00E21">
        <w:rPr>
          <w:bCs/>
          <w:sz w:val="22"/>
          <w:szCs w:val="22"/>
          <w:lang w:val="sr-Latn-RS"/>
        </w:rPr>
        <w:t>j</w:t>
      </w:r>
      <w:r w:rsidRPr="00E00E21">
        <w:rPr>
          <w:bCs/>
          <w:sz w:val="22"/>
          <w:szCs w:val="22"/>
          <w:lang w:val="sr-Latn-RS"/>
        </w:rPr>
        <w:t xml:space="preserve">eri metaboliše u jetri. Kod pacijenata sa blagim oštećenjem funkcije jetre (ukupan bilirubin &gt;1 do ≤1,5 x iznad gornje granice normalnih </w:t>
      </w:r>
      <w:r w:rsidR="00A9208D" w:rsidRPr="00E00E21">
        <w:rPr>
          <w:bCs/>
          <w:sz w:val="22"/>
          <w:szCs w:val="22"/>
          <w:lang w:val="sr-Latn-RS"/>
        </w:rPr>
        <w:t>vrijednosti</w:t>
      </w:r>
      <w:r w:rsidRPr="00E00E21">
        <w:rPr>
          <w:bCs/>
          <w:sz w:val="22"/>
          <w:szCs w:val="22"/>
          <w:lang w:val="sr-Latn-RS"/>
        </w:rPr>
        <w:t xml:space="preserve"> (GGN) ili AST &gt; 1,5 x GGN), potrebno je smanjiti dozu kabazitaksela na 20 mg/m</w:t>
      </w:r>
      <w:r w:rsidRPr="00E00E21">
        <w:rPr>
          <w:bCs/>
          <w:sz w:val="22"/>
          <w:szCs w:val="22"/>
          <w:vertAlign w:val="superscript"/>
          <w:lang w:val="sr-Latn-RS"/>
        </w:rPr>
        <w:t>2</w:t>
      </w:r>
      <w:r w:rsidRPr="00E00E21">
        <w:rPr>
          <w:bCs/>
          <w:sz w:val="22"/>
          <w:szCs w:val="22"/>
          <w:lang w:val="sr-Latn-RS"/>
        </w:rPr>
        <w:t>. Prim</w:t>
      </w:r>
      <w:r w:rsidR="00DA6FA8" w:rsidRPr="00E00E21">
        <w:rPr>
          <w:bCs/>
          <w:sz w:val="22"/>
          <w:szCs w:val="22"/>
          <w:lang w:val="sr-Latn-RS"/>
        </w:rPr>
        <w:t>j</w:t>
      </w:r>
      <w:r w:rsidRPr="00E00E21">
        <w:rPr>
          <w:bCs/>
          <w:sz w:val="22"/>
          <w:szCs w:val="22"/>
          <w:lang w:val="sr-Latn-RS"/>
        </w:rPr>
        <w:t xml:space="preserve">enu kabazitaksela kod pacijenata sa blagim oštećenjem funkcije jetre treba sprovoditi </w:t>
      </w:r>
      <w:r w:rsidR="004F26A0" w:rsidRPr="00E00E21">
        <w:rPr>
          <w:bCs/>
          <w:sz w:val="22"/>
          <w:szCs w:val="22"/>
          <w:lang w:val="sr-Latn-RS"/>
        </w:rPr>
        <w:t>sa</w:t>
      </w:r>
      <w:r w:rsidRPr="00E00E21">
        <w:rPr>
          <w:bCs/>
          <w:sz w:val="22"/>
          <w:szCs w:val="22"/>
          <w:lang w:val="sr-Latn-RS"/>
        </w:rPr>
        <w:t xml:space="preserve"> oprez</w:t>
      </w:r>
      <w:r w:rsidR="004F26A0" w:rsidRPr="00E00E21">
        <w:rPr>
          <w:bCs/>
          <w:sz w:val="22"/>
          <w:szCs w:val="22"/>
          <w:lang w:val="sr-Latn-RS"/>
        </w:rPr>
        <w:t>om</w:t>
      </w:r>
      <w:r w:rsidRPr="00E00E21">
        <w:rPr>
          <w:bCs/>
          <w:sz w:val="22"/>
          <w:szCs w:val="22"/>
          <w:lang w:val="sr-Latn-RS"/>
        </w:rPr>
        <w:t xml:space="preserve"> i pažljiv</w:t>
      </w:r>
      <w:r w:rsidR="004F26A0" w:rsidRPr="00E00E21">
        <w:rPr>
          <w:bCs/>
          <w:sz w:val="22"/>
          <w:szCs w:val="22"/>
          <w:lang w:val="sr-Latn-RS"/>
        </w:rPr>
        <w:t>im</w:t>
      </w:r>
      <w:r w:rsidRPr="00E00E21">
        <w:rPr>
          <w:bCs/>
          <w:sz w:val="22"/>
          <w:szCs w:val="22"/>
          <w:lang w:val="sr-Latn-RS"/>
        </w:rPr>
        <w:t xml:space="preserve"> praćenje</w:t>
      </w:r>
      <w:r w:rsidR="004F26A0" w:rsidRPr="00E00E21">
        <w:rPr>
          <w:bCs/>
          <w:sz w:val="22"/>
          <w:szCs w:val="22"/>
          <w:lang w:val="sr-Latn-RS"/>
        </w:rPr>
        <w:t>njem</w:t>
      </w:r>
      <w:r w:rsidRPr="00E00E21">
        <w:rPr>
          <w:bCs/>
          <w:sz w:val="22"/>
          <w:szCs w:val="22"/>
          <w:lang w:val="sr-Latn-RS"/>
        </w:rPr>
        <w:t xml:space="preserve"> bezb</w:t>
      </w:r>
      <w:r w:rsidR="00DA6FA8" w:rsidRPr="00E00E21">
        <w:rPr>
          <w:bCs/>
          <w:sz w:val="22"/>
          <w:szCs w:val="22"/>
          <w:lang w:val="sr-Latn-RS"/>
        </w:rPr>
        <w:t>j</w:t>
      </w:r>
      <w:r w:rsidRPr="00E00E21">
        <w:rPr>
          <w:bCs/>
          <w:sz w:val="22"/>
          <w:szCs w:val="22"/>
          <w:lang w:val="sr-Latn-RS"/>
        </w:rPr>
        <w:t xml:space="preserve">ednosti </w:t>
      </w:r>
      <w:r w:rsidR="004E16E4" w:rsidRPr="00E00E21">
        <w:rPr>
          <w:bCs/>
          <w:sz w:val="22"/>
          <w:szCs w:val="22"/>
          <w:lang w:val="sr-Latn-RS"/>
        </w:rPr>
        <w:t>primjene</w:t>
      </w:r>
      <w:r w:rsidRPr="00E00E21">
        <w:rPr>
          <w:bCs/>
          <w:sz w:val="22"/>
          <w:szCs w:val="22"/>
          <w:lang w:val="sr-Latn-RS"/>
        </w:rPr>
        <w:t xml:space="preserve"> </w:t>
      </w:r>
      <w:r w:rsidR="001A6791" w:rsidRPr="00E00E21">
        <w:rPr>
          <w:bCs/>
          <w:sz w:val="22"/>
          <w:szCs w:val="22"/>
          <w:lang w:val="sr-Latn-RS"/>
        </w:rPr>
        <w:t>lijeka</w:t>
      </w:r>
      <w:r w:rsidRPr="00E00E21">
        <w:rPr>
          <w:bCs/>
          <w:sz w:val="22"/>
          <w:szCs w:val="22"/>
          <w:lang w:val="sr-Latn-RS"/>
        </w:rPr>
        <w:t xml:space="preserve">. </w:t>
      </w:r>
    </w:p>
    <w:p w14:paraId="76A6525A" w14:textId="77777777" w:rsidR="00674C4A" w:rsidRPr="00E00E21" w:rsidRDefault="00674C4A">
      <w:pPr>
        <w:tabs>
          <w:tab w:val="left" w:pos="540"/>
          <w:tab w:val="left" w:pos="569"/>
        </w:tabs>
        <w:jc w:val="both"/>
        <w:rPr>
          <w:bCs/>
          <w:sz w:val="22"/>
          <w:szCs w:val="22"/>
          <w:lang w:val="sr-Latn-RS"/>
        </w:rPr>
      </w:pPr>
    </w:p>
    <w:p w14:paraId="0944DE1B" w14:textId="4BF98317" w:rsidR="00DA6FA8" w:rsidRPr="00E00E21" w:rsidRDefault="006C765E">
      <w:pPr>
        <w:tabs>
          <w:tab w:val="left" w:pos="540"/>
          <w:tab w:val="left" w:pos="569"/>
        </w:tabs>
        <w:jc w:val="both"/>
        <w:rPr>
          <w:bCs/>
          <w:sz w:val="22"/>
          <w:szCs w:val="22"/>
          <w:lang w:val="sr-Latn-RS"/>
        </w:rPr>
      </w:pPr>
      <w:r w:rsidRPr="00E00E21">
        <w:rPr>
          <w:bCs/>
          <w:sz w:val="22"/>
          <w:szCs w:val="22"/>
          <w:lang w:val="sr-Latn-RS"/>
        </w:rPr>
        <w:t>Kod pacijenata sa um</w:t>
      </w:r>
      <w:r w:rsidR="00DA6FA8" w:rsidRPr="00E00E21">
        <w:rPr>
          <w:bCs/>
          <w:sz w:val="22"/>
          <w:szCs w:val="22"/>
          <w:lang w:val="sr-Latn-RS"/>
        </w:rPr>
        <w:t>j</w:t>
      </w:r>
      <w:r w:rsidRPr="00E00E21">
        <w:rPr>
          <w:bCs/>
          <w:sz w:val="22"/>
          <w:szCs w:val="22"/>
          <w:lang w:val="sr-Latn-RS"/>
        </w:rPr>
        <w:t>erenim oštećenjem funkcije jetre (ukupan bilirubin &gt;1,5 do ≤ 3,0 x GGN), najviša podnošljiva doza bila je 15 mg/m</w:t>
      </w:r>
      <w:r w:rsidRPr="00E00E21">
        <w:rPr>
          <w:bCs/>
          <w:sz w:val="22"/>
          <w:szCs w:val="22"/>
          <w:vertAlign w:val="superscript"/>
          <w:lang w:val="sr-Latn-RS"/>
        </w:rPr>
        <w:t>2</w:t>
      </w:r>
      <w:r w:rsidRPr="00E00E21">
        <w:rPr>
          <w:bCs/>
          <w:sz w:val="22"/>
          <w:szCs w:val="22"/>
          <w:lang w:val="sr-Latn-RS"/>
        </w:rPr>
        <w:t xml:space="preserve">. Ako je </w:t>
      </w:r>
      <w:r w:rsidR="00D904EA" w:rsidRPr="00E00E21">
        <w:rPr>
          <w:bCs/>
          <w:sz w:val="22"/>
          <w:szCs w:val="22"/>
          <w:lang w:val="sr-Latn-RS"/>
        </w:rPr>
        <w:t>liječenje</w:t>
      </w:r>
      <w:r w:rsidRPr="00E00E21">
        <w:rPr>
          <w:bCs/>
          <w:sz w:val="22"/>
          <w:szCs w:val="22"/>
          <w:lang w:val="sr-Latn-RS"/>
        </w:rPr>
        <w:t xml:space="preserve"> predviđeno za pacijente sa um</w:t>
      </w:r>
      <w:r w:rsidR="00DA6FA8" w:rsidRPr="00E00E21">
        <w:rPr>
          <w:bCs/>
          <w:sz w:val="22"/>
          <w:szCs w:val="22"/>
          <w:lang w:val="sr-Latn-RS"/>
        </w:rPr>
        <w:t>j</w:t>
      </w:r>
      <w:r w:rsidRPr="00E00E21">
        <w:rPr>
          <w:bCs/>
          <w:sz w:val="22"/>
          <w:szCs w:val="22"/>
          <w:lang w:val="sr-Latn-RS"/>
        </w:rPr>
        <w:t>erenim oštećenjem funkcije jetre, doza kabazitaksela ne sm</w:t>
      </w:r>
      <w:r w:rsidR="00DA6FA8" w:rsidRPr="00E00E21">
        <w:rPr>
          <w:bCs/>
          <w:sz w:val="22"/>
          <w:szCs w:val="22"/>
          <w:lang w:val="sr-Latn-RS"/>
        </w:rPr>
        <w:t>ij</w:t>
      </w:r>
      <w:r w:rsidRPr="00E00E21">
        <w:rPr>
          <w:bCs/>
          <w:sz w:val="22"/>
          <w:szCs w:val="22"/>
          <w:lang w:val="sr-Latn-RS"/>
        </w:rPr>
        <w:t>e preći 15 mg/m</w:t>
      </w:r>
      <w:r w:rsidRPr="00E00E21">
        <w:rPr>
          <w:bCs/>
          <w:sz w:val="22"/>
          <w:szCs w:val="22"/>
          <w:vertAlign w:val="superscript"/>
          <w:lang w:val="sr-Latn-RS"/>
        </w:rPr>
        <w:t>2</w:t>
      </w:r>
      <w:r w:rsidRPr="00E00E21">
        <w:rPr>
          <w:bCs/>
          <w:sz w:val="22"/>
          <w:szCs w:val="22"/>
          <w:lang w:val="sr-Latn-RS"/>
        </w:rPr>
        <w:t>.</w:t>
      </w:r>
      <w:r w:rsidR="00DA6FA8" w:rsidRPr="00E00E21">
        <w:rPr>
          <w:sz w:val="22"/>
          <w:szCs w:val="22"/>
          <w:lang w:val="sr-Latn-RS"/>
        </w:rPr>
        <w:t xml:space="preserve"> </w:t>
      </w:r>
      <w:r w:rsidR="00DA6FA8" w:rsidRPr="00E00E21">
        <w:rPr>
          <w:bCs/>
          <w:sz w:val="22"/>
          <w:szCs w:val="22"/>
          <w:lang w:val="sr-Latn-RS"/>
        </w:rPr>
        <w:t xml:space="preserve">Međutim, pri ovoj dozi dostupni su ograničeni podaci o efikasnosti. </w:t>
      </w:r>
    </w:p>
    <w:p w14:paraId="48E1A141" w14:textId="77777777" w:rsidR="00674C4A" w:rsidRPr="00E00E21" w:rsidRDefault="00674C4A">
      <w:pPr>
        <w:tabs>
          <w:tab w:val="left" w:pos="540"/>
          <w:tab w:val="left" w:pos="569"/>
        </w:tabs>
        <w:jc w:val="both"/>
        <w:rPr>
          <w:bCs/>
          <w:sz w:val="22"/>
          <w:szCs w:val="22"/>
          <w:lang w:val="sr-Latn-RS"/>
        </w:rPr>
      </w:pPr>
    </w:p>
    <w:p w14:paraId="320968E2" w14:textId="1007BB0F" w:rsidR="00DA6FA8" w:rsidRPr="00E00E21" w:rsidRDefault="006C765E">
      <w:pPr>
        <w:tabs>
          <w:tab w:val="left" w:pos="540"/>
          <w:tab w:val="left" w:pos="569"/>
        </w:tabs>
        <w:jc w:val="both"/>
        <w:rPr>
          <w:bCs/>
          <w:sz w:val="22"/>
          <w:szCs w:val="22"/>
          <w:lang w:val="sr-Latn-RS"/>
        </w:rPr>
      </w:pPr>
      <w:r w:rsidRPr="00E00E21">
        <w:rPr>
          <w:bCs/>
          <w:sz w:val="22"/>
          <w:szCs w:val="22"/>
          <w:lang w:val="sr-Latn-RS"/>
        </w:rPr>
        <w:t>Kabazitaksel ne treba davati pacijentima sa ozbiljnim oštećenjem funkcije jetre (ukupni bilirubin &gt;</w:t>
      </w:r>
      <w:r w:rsidR="00520757" w:rsidRPr="00E00E21">
        <w:rPr>
          <w:bCs/>
          <w:sz w:val="22"/>
          <w:szCs w:val="22"/>
          <w:lang w:val="sr-Latn-RS"/>
        </w:rPr>
        <w:t xml:space="preserve"> </w:t>
      </w:r>
      <w:r w:rsidRPr="00E00E21">
        <w:rPr>
          <w:bCs/>
          <w:sz w:val="22"/>
          <w:szCs w:val="22"/>
          <w:lang w:val="sr-Latn-RS"/>
        </w:rPr>
        <w:t>3 xGGN (</w:t>
      </w:r>
      <w:r w:rsidR="00520757" w:rsidRPr="00E00E21">
        <w:rPr>
          <w:bCs/>
          <w:sz w:val="22"/>
          <w:szCs w:val="22"/>
          <w:lang w:val="sr-Latn-RS"/>
        </w:rPr>
        <w:t xml:space="preserve">vidjeti </w:t>
      </w:r>
      <w:r w:rsidR="00DA6FA8" w:rsidRPr="00E00E21">
        <w:rPr>
          <w:bCs/>
          <w:sz w:val="22"/>
          <w:szCs w:val="22"/>
          <w:lang w:val="sr-Latn-RS"/>
        </w:rPr>
        <w:t>djelove</w:t>
      </w:r>
      <w:r w:rsidRPr="00E00E21">
        <w:rPr>
          <w:bCs/>
          <w:sz w:val="22"/>
          <w:szCs w:val="22"/>
          <w:lang w:val="sr-Latn-RS"/>
        </w:rPr>
        <w:t xml:space="preserve"> 4.3, 4.4 i 5.2). </w:t>
      </w:r>
    </w:p>
    <w:p w14:paraId="2E096CFC" w14:textId="77777777" w:rsidR="00DA6FA8" w:rsidRPr="00E00E21" w:rsidRDefault="00DA6FA8">
      <w:pPr>
        <w:tabs>
          <w:tab w:val="left" w:pos="540"/>
          <w:tab w:val="left" w:pos="569"/>
        </w:tabs>
        <w:jc w:val="both"/>
        <w:rPr>
          <w:bCs/>
          <w:sz w:val="22"/>
          <w:szCs w:val="22"/>
          <w:lang w:val="sr-Latn-RS"/>
        </w:rPr>
      </w:pPr>
    </w:p>
    <w:p w14:paraId="3AA6D2F1" w14:textId="77777777" w:rsidR="00DA6FA8" w:rsidRPr="00E00E21" w:rsidRDefault="006C765E">
      <w:pPr>
        <w:tabs>
          <w:tab w:val="left" w:pos="540"/>
          <w:tab w:val="left" w:pos="569"/>
        </w:tabs>
        <w:jc w:val="both"/>
        <w:rPr>
          <w:bCs/>
          <w:i/>
          <w:sz w:val="22"/>
          <w:szCs w:val="22"/>
          <w:lang w:val="sr-Latn-RS"/>
        </w:rPr>
      </w:pPr>
      <w:r w:rsidRPr="00E00E21">
        <w:rPr>
          <w:bCs/>
          <w:i/>
          <w:sz w:val="22"/>
          <w:szCs w:val="22"/>
          <w:lang w:val="sr-Latn-RS"/>
        </w:rPr>
        <w:t xml:space="preserve">Pacijenti sa oštećenom funkcijom bubrega </w:t>
      </w:r>
    </w:p>
    <w:p w14:paraId="2588C002" w14:textId="4AAA1E1B" w:rsidR="00DA6FA8" w:rsidRPr="00E00E21" w:rsidRDefault="006C765E">
      <w:pPr>
        <w:tabs>
          <w:tab w:val="left" w:pos="540"/>
          <w:tab w:val="left" w:pos="569"/>
        </w:tabs>
        <w:jc w:val="both"/>
        <w:rPr>
          <w:bCs/>
          <w:sz w:val="22"/>
          <w:szCs w:val="22"/>
          <w:lang w:val="sr-Latn-RS"/>
        </w:rPr>
      </w:pPr>
      <w:r w:rsidRPr="00E00E21">
        <w:rPr>
          <w:bCs/>
          <w:sz w:val="22"/>
          <w:szCs w:val="22"/>
          <w:lang w:val="sr-Latn-RS"/>
        </w:rPr>
        <w:t>Kabazitaksel se minimalno izlučuje putem bubrega. Nije potrebno prilagođavanje doze za pacijente sa oštećenjem funkcije bubrega, kojima nije potrebna hemodijaliza. Pacijente koji su u terminalnoj fazi bubrežne bolesti (klirens kreatinina (CLCR &lt; 15 m</w:t>
      </w:r>
      <w:r w:rsidR="00DA6FA8" w:rsidRPr="00E00E21">
        <w:rPr>
          <w:bCs/>
          <w:sz w:val="22"/>
          <w:szCs w:val="22"/>
          <w:lang w:val="sr-Latn-RS"/>
        </w:rPr>
        <w:t>l</w:t>
      </w:r>
      <w:r w:rsidRPr="00E00E21">
        <w:rPr>
          <w:bCs/>
          <w:sz w:val="22"/>
          <w:szCs w:val="22"/>
          <w:lang w:val="sr-Latn-RS"/>
        </w:rPr>
        <w:t>/min/1,73 m</w:t>
      </w:r>
      <w:r w:rsidRPr="00E00E21">
        <w:rPr>
          <w:bCs/>
          <w:sz w:val="22"/>
          <w:szCs w:val="22"/>
          <w:vertAlign w:val="superscript"/>
          <w:lang w:val="sr-Latn-RS"/>
        </w:rPr>
        <w:t xml:space="preserve">2 </w:t>
      </w:r>
      <w:r w:rsidRPr="00E00E21">
        <w:rPr>
          <w:bCs/>
          <w:sz w:val="22"/>
          <w:szCs w:val="22"/>
          <w:lang w:val="sr-Latn-RS"/>
        </w:rPr>
        <w:t>) prema njihovom stanju i ograničenoj dostupnosti podataka treba l</w:t>
      </w:r>
      <w:r w:rsidR="00DA6FA8" w:rsidRPr="00E00E21">
        <w:rPr>
          <w:bCs/>
          <w:sz w:val="22"/>
          <w:szCs w:val="22"/>
          <w:lang w:val="sr-Latn-RS"/>
        </w:rPr>
        <w:t>ij</w:t>
      </w:r>
      <w:r w:rsidRPr="00E00E21">
        <w:rPr>
          <w:bCs/>
          <w:sz w:val="22"/>
          <w:szCs w:val="22"/>
          <w:lang w:val="sr-Latn-RS"/>
        </w:rPr>
        <w:t xml:space="preserve">ečiti </w:t>
      </w:r>
      <w:r w:rsidR="00520757" w:rsidRPr="00E00E21">
        <w:rPr>
          <w:bCs/>
          <w:sz w:val="22"/>
          <w:szCs w:val="22"/>
          <w:lang w:val="sr-Latn-RS"/>
        </w:rPr>
        <w:t>sa</w:t>
      </w:r>
      <w:r w:rsidRPr="00E00E21">
        <w:rPr>
          <w:bCs/>
          <w:sz w:val="22"/>
          <w:szCs w:val="22"/>
          <w:lang w:val="sr-Latn-RS"/>
        </w:rPr>
        <w:t xml:space="preserve"> oprez</w:t>
      </w:r>
      <w:r w:rsidR="00520757" w:rsidRPr="00E00E21">
        <w:rPr>
          <w:bCs/>
          <w:sz w:val="22"/>
          <w:szCs w:val="22"/>
          <w:lang w:val="sr-Latn-RS"/>
        </w:rPr>
        <w:t>om</w:t>
      </w:r>
      <w:r w:rsidRPr="00E00E21">
        <w:rPr>
          <w:bCs/>
          <w:sz w:val="22"/>
          <w:szCs w:val="22"/>
          <w:lang w:val="sr-Latn-RS"/>
        </w:rPr>
        <w:t xml:space="preserve"> i pažljivo ih </w:t>
      </w:r>
      <w:r w:rsidR="00520757" w:rsidRPr="00E00E21">
        <w:rPr>
          <w:bCs/>
          <w:sz w:val="22"/>
          <w:szCs w:val="22"/>
          <w:lang w:val="sr-Latn-RS"/>
        </w:rPr>
        <w:t xml:space="preserve">pratiti </w:t>
      </w:r>
      <w:r w:rsidRPr="00E00E21">
        <w:rPr>
          <w:bCs/>
          <w:sz w:val="22"/>
          <w:szCs w:val="22"/>
          <w:lang w:val="sr-Latn-RS"/>
        </w:rPr>
        <w:t xml:space="preserve">tokom </w:t>
      </w:r>
      <w:r w:rsidR="001A6791" w:rsidRPr="00E00E21">
        <w:rPr>
          <w:bCs/>
          <w:sz w:val="22"/>
          <w:szCs w:val="22"/>
          <w:lang w:val="sr-Latn-RS"/>
        </w:rPr>
        <w:t xml:space="preserve">liječenja </w:t>
      </w:r>
      <w:r w:rsidRPr="00E00E21">
        <w:rPr>
          <w:bCs/>
          <w:sz w:val="22"/>
          <w:szCs w:val="22"/>
          <w:lang w:val="sr-Latn-RS"/>
        </w:rPr>
        <w:t>(</w:t>
      </w:r>
      <w:r w:rsidR="009F2C36" w:rsidRPr="00E00E21">
        <w:rPr>
          <w:bCs/>
          <w:sz w:val="22"/>
          <w:szCs w:val="22"/>
          <w:lang w:val="sr-Latn-RS"/>
        </w:rPr>
        <w:t>vidjeti</w:t>
      </w:r>
      <w:r w:rsidRPr="00E00E21">
        <w:rPr>
          <w:bCs/>
          <w:sz w:val="22"/>
          <w:szCs w:val="22"/>
          <w:lang w:val="sr-Latn-RS"/>
        </w:rPr>
        <w:t xml:space="preserve"> </w:t>
      </w:r>
      <w:r w:rsidR="00DA6FA8" w:rsidRPr="00E00E21">
        <w:rPr>
          <w:bCs/>
          <w:sz w:val="22"/>
          <w:szCs w:val="22"/>
          <w:lang w:val="sr-Latn-RS"/>
        </w:rPr>
        <w:t xml:space="preserve">djelove </w:t>
      </w:r>
      <w:r w:rsidRPr="00E00E21">
        <w:rPr>
          <w:bCs/>
          <w:sz w:val="22"/>
          <w:szCs w:val="22"/>
          <w:lang w:val="sr-Latn-RS"/>
        </w:rPr>
        <w:t xml:space="preserve">4.4 i 5.2). </w:t>
      </w:r>
    </w:p>
    <w:p w14:paraId="0A3AE119" w14:textId="77777777" w:rsidR="00DA6FA8" w:rsidRPr="00E00E21" w:rsidRDefault="00DA6FA8">
      <w:pPr>
        <w:tabs>
          <w:tab w:val="left" w:pos="540"/>
          <w:tab w:val="left" w:pos="569"/>
        </w:tabs>
        <w:jc w:val="both"/>
        <w:rPr>
          <w:bCs/>
          <w:sz w:val="22"/>
          <w:szCs w:val="22"/>
          <w:lang w:val="sr-Latn-RS"/>
        </w:rPr>
      </w:pPr>
    </w:p>
    <w:p w14:paraId="0FDA43CB" w14:textId="77777777" w:rsidR="00DA6FA8" w:rsidRPr="00E00E21" w:rsidRDefault="006C765E">
      <w:pPr>
        <w:tabs>
          <w:tab w:val="left" w:pos="540"/>
          <w:tab w:val="left" w:pos="569"/>
        </w:tabs>
        <w:jc w:val="both"/>
        <w:rPr>
          <w:bCs/>
          <w:i/>
          <w:sz w:val="22"/>
          <w:szCs w:val="22"/>
          <w:lang w:val="sr-Latn-RS"/>
        </w:rPr>
      </w:pPr>
      <w:r w:rsidRPr="00E00E21">
        <w:rPr>
          <w:bCs/>
          <w:i/>
          <w:sz w:val="22"/>
          <w:szCs w:val="22"/>
          <w:lang w:val="sr-Latn-RS"/>
        </w:rPr>
        <w:t xml:space="preserve">Stariji pacijenti </w:t>
      </w:r>
    </w:p>
    <w:p w14:paraId="723525A1" w14:textId="764A9A99" w:rsidR="00DA6FA8" w:rsidRPr="00E00E21" w:rsidRDefault="006C765E">
      <w:pPr>
        <w:tabs>
          <w:tab w:val="left" w:pos="540"/>
          <w:tab w:val="left" w:pos="569"/>
        </w:tabs>
        <w:jc w:val="both"/>
        <w:rPr>
          <w:bCs/>
          <w:sz w:val="22"/>
          <w:szCs w:val="22"/>
          <w:lang w:val="sr-Latn-RS"/>
        </w:rPr>
      </w:pPr>
      <w:r w:rsidRPr="00E00E21">
        <w:rPr>
          <w:bCs/>
          <w:sz w:val="22"/>
          <w:szCs w:val="22"/>
          <w:lang w:val="sr-Latn-RS"/>
        </w:rPr>
        <w:t>Nema specifičnih preporuka za prilagođavanje doze kabazitaksela prilikom prim</w:t>
      </w:r>
      <w:r w:rsidR="00DA6FA8" w:rsidRPr="00E00E21">
        <w:rPr>
          <w:bCs/>
          <w:sz w:val="22"/>
          <w:szCs w:val="22"/>
          <w:lang w:val="sr-Latn-RS"/>
        </w:rPr>
        <w:t>j</w:t>
      </w:r>
      <w:r w:rsidRPr="00E00E21">
        <w:rPr>
          <w:bCs/>
          <w:sz w:val="22"/>
          <w:szCs w:val="22"/>
          <w:lang w:val="sr-Latn-RS"/>
        </w:rPr>
        <w:t>ene kod starijih</w:t>
      </w:r>
      <w:r w:rsidR="00DA6FA8" w:rsidRPr="00E00E21">
        <w:rPr>
          <w:bCs/>
          <w:sz w:val="22"/>
          <w:szCs w:val="22"/>
          <w:lang w:val="sr-Latn-RS"/>
        </w:rPr>
        <w:t xml:space="preserve"> pacijenata (</w:t>
      </w:r>
      <w:r w:rsidR="00520757" w:rsidRPr="00E00E21">
        <w:rPr>
          <w:bCs/>
          <w:sz w:val="22"/>
          <w:szCs w:val="22"/>
          <w:lang w:val="sr-Latn-RS"/>
        </w:rPr>
        <w:t xml:space="preserve">vidjeti </w:t>
      </w:r>
      <w:r w:rsidR="00DA6FA8" w:rsidRPr="00E00E21">
        <w:rPr>
          <w:bCs/>
          <w:sz w:val="22"/>
          <w:szCs w:val="22"/>
          <w:lang w:val="sr-Latn-RS"/>
        </w:rPr>
        <w:t>takođe djelove</w:t>
      </w:r>
      <w:r w:rsidRPr="00E00E21">
        <w:rPr>
          <w:bCs/>
          <w:sz w:val="22"/>
          <w:szCs w:val="22"/>
          <w:lang w:val="sr-Latn-RS"/>
        </w:rPr>
        <w:t xml:space="preserve"> 4.4, 4.8 i 5.2). </w:t>
      </w:r>
    </w:p>
    <w:p w14:paraId="7BF17823" w14:textId="77777777" w:rsidR="00DA6FA8" w:rsidRPr="00E00E21" w:rsidRDefault="00DA6FA8">
      <w:pPr>
        <w:tabs>
          <w:tab w:val="left" w:pos="540"/>
          <w:tab w:val="left" w:pos="569"/>
        </w:tabs>
        <w:jc w:val="both"/>
        <w:rPr>
          <w:bCs/>
          <w:sz w:val="22"/>
          <w:szCs w:val="22"/>
          <w:lang w:val="sr-Latn-RS"/>
        </w:rPr>
      </w:pPr>
    </w:p>
    <w:p w14:paraId="799AD138" w14:textId="37EAD0CD" w:rsidR="004E16E4" w:rsidRPr="00E00E21" w:rsidRDefault="006C765E">
      <w:pPr>
        <w:tabs>
          <w:tab w:val="left" w:pos="540"/>
          <w:tab w:val="left" w:pos="569"/>
        </w:tabs>
        <w:jc w:val="both"/>
        <w:rPr>
          <w:bCs/>
          <w:sz w:val="22"/>
          <w:szCs w:val="22"/>
          <w:lang w:val="sr-Latn-RS"/>
        </w:rPr>
      </w:pPr>
      <w:r w:rsidRPr="00E00E21">
        <w:rPr>
          <w:bCs/>
          <w:i/>
          <w:sz w:val="22"/>
          <w:szCs w:val="22"/>
          <w:lang w:val="sr-Latn-RS"/>
        </w:rPr>
        <w:t>Isto</w:t>
      </w:r>
      <w:r w:rsidR="008B16FD" w:rsidRPr="00E00E21">
        <w:rPr>
          <w:bCs/>
          <w:i/>
          <w:sz w:val="22"/>
          <w:szCs w:val="22"/>
          <w:lang w:val="sr-Latn-RS"/>
        </w:rPr>
        <w:t xml:space="preserve">vreme </w:t>
      </w:r>
      <w:r w:rsidRPr="00E00E21">
        <w:rPr>
          <w:bCs/>
          <w:i/>
          <w:sz w:val="22"/>
          <w:szCs w:val="22"/>
          <w:lang w:val="sr-Latn-RS"/>
        </w:rPr>
        <w:t xml:space="preserve">na upotreba drugih </w:t>
      </w:r>
      <w:r w:rsidR="001A6791" w:rsidRPr="00E00E21">
        <w:rPr>
          <w:bCs/>
          <w:i/>
          <w:sz w:val="22"/>
          <w:szCs w:val="22"/>
          <w:lang w:val="sr-Latn-RS"/>
        </w:rPr>
        <w:t>ljekova</w:t>
      </w:r>
      <w:r w:rsidRPr="00E00E21">
        <w:rPr>
          <w:bCs/>
          <w:sz w:val="22"/>
          <w:szCs w:val="22"/>
          <w:lang w:val="sr-Latn-RS"/>
        </w:rPr>
        <w:t xml:space="preserve"> </w:t>
      </w:r>
    </w:p>
    <w:p w14:paraId="54833AA4" w14:textId="4A6DB6B4" w:rsidR="004E16E4" w:rsidRPr="00E00E21" w:rsidRDefault="006C765E">
      <w:pPr>
        <w:tabs>
          <w:tab w:val="left" w:pos="540"/>
          <w:tab w:val="left" w:pos="569"/>
        </w:tabs>
        <w:jc w:val="both"/>
        <w:rPr>
          <w:bCs/>
          <w:sz w:val="22"/>
          <w:szCs w:val="22"/>
          <w:lang w:val="sr-Latn-RS"/>
        </w:rPr>
      </w:pPr>
      <w:r w:rsidRPr="00E00E21">
        <w:rPr>
          <w:bCs/>
          <w:sz w:val="22"/>
          <w:szCs w:val="22"/>
          <w:lang w:val="sr-Latn-RS"/>
        </w:rPr>
        <w:t>Isto</w:t>
      </w:r>
      <w:r w:rsidR="008B16FD" w:rsidRPr="00E00E21">
        <w:rPr>
          <w:bCs/>
          <w:sz w:val="22"/>
          <w:szCs w:val="22"/>
          <w:lang w:val="sr-Latn-RS"/>
        </w:rPr>
        <w:t>vreme</w:t>
      </w:r>
      <w:r w:rsidRPr="00E00E21">
        <w:rPr>
          <w:bCs/>
          <w:sz w:val="22"/>
          <w:szCs w:val="22"/>
          <w:lang w:val="sr-Latn-RS"/>
        </w:rPr>
        <w:t xml:space="preserve">nu upotrebu drugih </w:t>
      </w:r>
      <w:r w:rsidR="001A6791" w:rsidRPr="00E00E21">
        <w:rPr>
          <w:bCs/>
          <w:sz w:val="22"/>
          <w:szCs w:val="22"/>
          <w:lang w:val="sr-Latn-RS"/>
        </w:rPr>
        <w:t>ljekova</w:t>
      </w:r>
      <w:r w:rsidRPr="00E00E21">
        <w:rPr>
          <w:bCs/>
          <w:sz w:val="22"/>
          <w:szCs w:val="22"/>
          <w:lang w:val="sr-Latn-RS"/>
        </w:rPr>
        <w:t xml:space="preserve"> koji su snažni induktori ili snažni inhibitori enzima CYP3A treba izb</w:t>
      </w:r>
      <w:r w:rsidR="004E16E4" w:rsidRPr="00E00E21">
        <w:rPr>
          <w:bCs/>
          <w:sz w:val="22"/>
          <w:szCs w:val="22"/>
          <w:lang w:val="sr-Latn-RS"/>
        </w:rPr>
        <w:t>j</w:t>
      </w:r>
      <w:r w:rsidRPr="00E00E21">
        <w:rPr>
          <w:bCs/>
          <w:sz w:val="22"/>
          <w:szCs w:val="22"/>
          <w:lang w:val="sr-Latn-RS"/>
        </w:rPr>
        <w:t xml:space="preserve">egavati. Međutim, ukoliko je pacijentima neophodna </w:t>
      </w:r>
      <w:r w:rsidR="00520757" w:rsidRPr="00E00E21">
        <w:rPr>
          <w:bCs/>
          <w:sz w:val="22"/>
          <w:szCs w:val="22"/>
          <w:lang w:val="sr-Latn-RS"/>
        </w:rPr>
        <w:t xml:space="preserve">u </w:t>
      </w:r>
      <w:r w:rsidRPr="00E00E21">
        <w:rPr>
          <w:bCs/>
          <w:sz w:val="22"/>
          <w:szCs w:val="22"/>
          <w:lang w:val="sr-Latn-RS"/>
        </w:rPr>
        <w:t>isto</w:t>
      </w:r>
      <w:r w:rsidR="00520757" w:rsidRPr="00E00E21">
        <w:rPr>
          <w:bCs/>
          <w:sz w:val="22"/>
          <w:szCs w:val="22"/>
          <w:lang w:val="sr-Latn-RS"/>
        </w:rPr>
        <w:t xml:space="preserve"> </w:t>
      </w:r>
      <w:r w:rsidR="008B16FD" w:rsidRPr="00E00E21">
        <w:rPr>
          <w:bCs/>
          <w:sz w:val="22"/>
          <w:szCs w:val="22"/>
          <w:lang w:val="sr-Latn-RS"/>
        </w:rPr>
        <w:t>vrijeme</w:t>
      </w:r>
      <w:r w:rsidRPr="00E00E21">
        <w:rPr>
          <w:bCs/>
          <w:sz w:val="22"/>
          <w:szCs w:val="22"/>
          <w:lang w:val="sr-Latn-RS"/>
        </w:rPr>
        <w:t xml:space="preserve"> </w:t>
      </w:r>
      <w:r w:rsidR="004E16E4" w:rsidRPr="00E00E21">
        <w:rPr>
          <w:bCs/>
          <w:sz w:val="22"/>
          <w:szCs w:val="22"/>
          <w:lang w:val="sr-Latn-RS"/>
        </w:rPr>
        <w:t>primjena snažnih</w:t>
      </w:r>
      <w:r w:rsidRPr="00E00E21">
        <w:rPr>
          <w:bCs/>
          <w:sz w:val="22"/>
          <w:szCs w:val="22"/>
          <w:lang w:val="sr-Latn-RS"/>
        </w:rPr>
        <w:t xml:space="preserve"> CYP3A inhibitora potrebno je razmotriti smanjenje doze kabazitaksela za 25% (</w:t>
      </w:r>
      <w:r w:rsidR="00520757" w:rsidRPr="00E00E21">
        <w:rPr>
          <w:bCs/>
          <w:sz w:val="22"/>
          <w:szCs w:val="22"/>
          <w:lang w:val="sr-Latn-RS"/>
        </w:rPr>
        <w:t xml:space="preserve">vidjeti </w:t>
      </w:r>
      <w:r w:rsidRPr="00E00E21">
        <w:rPr>
          <w:bCs/>
          <w:sz w:val="22"/>
          <w:szCs w:val="22"/>
          <w:lang w:val="sr-Latn-RS"/>
        </w:rPr>
        <w:t>d</w:t>
      </w:r>
      <w:r w:rsidR="004E16E4" w:rsidRPr="00E00E21">
        <w:rPr>
          <w:bCs/>
          <w:sz w:val="22"/>
          <w:szCs w:val="22"/>
          <w:lang w:val="sr-Latn-RS"/>
        </w:rPr>
        <w:t>j</w:t>
      </w:r>
      <w:r w:rsidRPr="00E00E21">
        <w:rPr>
          <w:bCs/>
          <w:sz w:val="22"/>
          <w:szCs w:val="22"/>
          <w:lang w:val="sr-Latn-RS"/>
        </w:rPr>
        <w:t xml:space="preserve">elove 4.4 i 4.5). </w:t>
      </w:r>
    </w:p>
    <w:p w14:paraId="496D808A" w14:textId="77777777" w:rsidR="004E16E4" w:rsidRPr="00E00E21" w:rsidRDefault="004E16E4">
      <w:pPr>
        <w:tabs>
          <w:tab w:val="left" w:pos="540"/>
          <w:tab w:val="left" w:pos="569"/>
        </w:tabs>
        <w:jc w:val="both"/>
        <w:rPr>
          <w:bCs/>
          <w:sz w:val="22"/>
          <w:szCs w:val="22"/>
          <w:lang w:val="sr-Latn-RS"/>
        </w:rPr>
      </w:pPr>
    </w:p>
    <w:p w14:paraId="08E91B9B" w14:textId="77777777" w:rsidR="004E16E4" w:rsidRPr="00E00E21" w:rsidRDefault="006C765E">
      <w:pPr>
        <w:tabs>
          <w:tab w:val="left" w:pos="540"/>
          <w:tab w:val="left" w:pos="569"/>
        </w:tabs>
        <w:jc w:val="both"/>
        <w:rPr>
          <w:bCs/>
          <w:i/>
          <w:sz w:val="22"/>
          <w:szCs w:val="22"/>
          <w:lang w:val="sr-Latn-RS"/>
        </w:rPr>
      </w:pPr>
      <w:r w:rsidRPr="00E00E21">
        <w:rPr>
          <w:bCs/>
          <w:i/>
          <w:sz w:val="22"/>
          <w:szCs w:val="22"/>
          <w:lang w:val="sr-Latn-RS"/>
        </w:rPr>
        <w:t xml:space="preserve">Pedijatrijska populacija </w:t>
      </w:r>
    </w:p>
    <w:p w14:paraId="0B8603BC" w14:textId="7E40441A" w:rsidR="004E16E4" w:rsidRPr="00E00E21" w:rsidRDefault="006C765E">
      <w:pPr>
        <w:tabs>
          <w:tab w:val="left" w:pos="540"/>
          <w:tab w:val="left" w:pos="569"/>
        </w:tabs>
        <w:jc w:val="both"/>
        <w:rPr>
          <w:bCs/>
          <w:sz w:val="22"/>
          <w:szCs w:val="22"/>
          <w:lang w:val="sr-Latn-RS"/>
        </w:rPr>
      </w:pPr>
      <w:r w:rsidRPr="00E00E21">
        <w:rPr>
          <w:bCs/>
          <w:sz w:val="22"/>
          <w:szCs w:val="22"/>
          <w:lang w:val="sr-Latn-RS"/>
        </w:rPr>
        <w:t xml:space="preserve">Ne postoji relevantna </w:t>
      </w:r>
      <w:r w:rsidR="004E16E4" w:rsidRPr="00E00E21">
        <w:rPr>
          <w:bCs/>
          <w:sz w:val="22"/>
          <w:szCs w:val="22"/>
          <w:lang w:val="sr-Latn-RS"/>
        </w:rPr>
        <w:t>primjena lijeka</w:t>
      </w:r>
      <w:r w:rsidRPr="00E00E21">
        <w:rPr>
          <w:bCs/>
          <w:sz w:val="22"/>
          <w:szCs w:val="22"/>
          <w:lang w:val="sr-Latn-RS"/>
        </w:rPr>
        <w:t xml:space="preserve"> </w:t>
      </w:r>
      <w:r w:rsidR="00D904EA" w:rsidRPr="00E00E21">
        <w:rPr>
          <w:bCs/>
          <w:sz w:val="22"/>
          <w:szCs w:val="22"/>
          <w:lang w:val="sr-Latn-RS"/>
        </w:rPr>
        <w:t>Kabazitaksel EVER Pharma</w:t>
      </w:r>
      <w:r w:rsidRPr="00E00E21">
        <w:rPr>
          <w:bCs/>
          <w:sz w:val="22"/>
          <w:szCs w:val="22"/>
          <w:lang w:val="sr-Latn-RS"/>
        </w:rPr>
        <w:t xml:space="preserve"> u pedijatrijskoj populaciji. Bezb</w:t>
      </w:r>
      <w:r w:rsidR="004E16E4" w:rsidRPr="00E00E21">
        <w:rPr>
          <w:bCs/>
          <w:sz w:val="22"/>
          <w:szCs w:val="22"/>
          <w:lang w:val="sr-Latn-RS"/>
        </w:rPr>
        <w:t>ij</w:t>
      </w:r>
      <w:r w:rsidRPr="00E00E21">
        <w:rPr>
          <w:bCs/>
          <w:sz w:val="22"/>
          <w:szCs w:val="22"/>
          <w:lang w:val="sr-Latn-RS"/>
        </w:rPr>
        <w:t>ednost prim</w:t>
      </w:r>
      <w:r w:rsidR="004E16E4" w:rsidRPr="00E00E21">
        <w:rPr>
          <w:bCs/>
          <w:sz w:val="22"/>
          <w:szCs w:val="22"/>
          <w:lang w:val="sr-Latn-RS"/>
        </w:rPr>
        <w:t>j</w:t>
      </w:r>
      <w:r w:rsidRPr="00E00E21">
        <w:rPr>
          <w:bCs/>
          <w:sz w:val="22"/>
          <w:szCs w:val="22"/>
          <w:lang w:val="sr-Latn-RS"/>
        </w:rPr>
        <w:t xml:space="preserve">ene i efikasnost </w:t>
      </w:r>
      <w:r w:rsidR="001A6791" w:rsidRPr="00E00E21">
        <w:rPr>
          <w:bCs/>
          <w:sz w:val="22"/>
          <w:szCs w:val="22"/>
          <w:lang w:val="sr-Latn-RS"/>
        </w:rPr>
        <w:t>lijeka</w:t>
      </w:r>
      <w:r w:rsidRPr="00E00E21">
        <w:rPr>
          <w:bCs/>
          <w:sz w:val="22"/>
          <w:szCs w:val="22"/>
          <w:lang w:val="sr-Latn-RS"/>
        </w:rPr>
        <w:t xml:space="preserve"> </w:t>
      </w:r>
      <w:r w:rsidR="00D904EA" w:rsidRPr="00E00E21">
        <w:rPr>
          <w:bCs/>
          <w:sz w:val="22"/>
          <w:szCs w:val="22"/>
          <w:lang w:val="sr-Latn-RS"/>
        </w:rPr>
        <w:t>Kabazitaksel EVER Pharma</w:t>
      </w:r>
      <w:r w:rsidRPr="00E00E21">
        <w:rPr>
          <w:bCs/>
          <w:sz w:val="22"/>
          <w:szCs w:val="22"/>
          <w:lang w:val="sr-Latn-RS"/>
        </w:rPr>
        <w:t xml:space="preserve"> kod d</w:t>
      </w:r>
      <w:r w:rsidR="004E16E4" w:rsidRPr="00E00E21">
        <w:rPr>
          <w:bCs/>
          <w:sz w:val="22"/>
          <w:szCs w:val="22"/>
          <w:lang w:val="sr-Latn-RS"/>
        </w:rPr>
        <w:t>j</w:t>
      </w:r>
      <w:r w:rsidRPr="00E00E21">
        <w:rPr>
          <w:bCs/>
          <w:sz w:val="22"/>
          <w:szCs w:val="22"/>
          <w:lang w:val="sr-Latn-RS"/>
        </w:rPr>
        <w:t>ece i adolescenata mlađih od 18 godina ni</w:t>
      </w:r>
      <w:r w:rsidR="00520757" w:rsidRPr="00E00E21">
        <w:rPr>
          <w:bCs/>
          <w:sz w:val="22"/>
          <w:szCs w:val="22"/>
          <w:lang w:val="sr-Latn-RS"/>
        </w:rPr>
        <w:t>je</w:t>
      </w:r>
      <w:r w:rsidRPr="00E00E21">
        <w:rPr>
          <w:bCs/>
          <w:sz w:val="22"/>
          <w:szCs w:val="22"/>
          <w:lang w:val="sr-Latn-RS"/>
        </w:rPr>
        <w:t>su utvrđeni (</w:t>
      </w:r>
      <w:r w:rsidR="00520757" w:rsidRPr="00E00E21">
        <w:rPr>
          <w:bCs/>
          <w:sz w:val="22"/>
          <w:szCs w:val="22"/>
          <w:lang w:val="sr-Latn-RS"/>
        </w:rPr>
        <w:t xml:space="preserve">vidjeti </w:t>
      </w:r>
      <w:r w:rsidR="00FE371D" w:rsidRPr="00E00E21">
        <w:rPr>
          <w:bCs/>
          <w:sz w:val="22"/>
          <w:szCs w:val="22"/>
          <w:lang w:val="sr-Latn-RS"/>
        </w:rPr>
        <w:t>dio</w:t>
      </w:r>
      <w:r w:rsidRPr="00E00E21">
        <w:rPr>
          <w:bCs/>
          <w:sz w:val="22"/>
          <w:szCs w:val="22"/>
          <w:lang w:val="sr-Latn-RS"/>
        </w:rPr>
        <w:t xml:space="preserve"> 5.1). </w:t>
      </w:r>
    </w:p>
    <w:p w14:paraId="2F4A00AA" w14:textId="77777777" w:rsidR="004E16E4" w:rsidRPr="00E00E21" w:rsidRDefault="004E16E4">
      <w:pPr>
        <w:tabs>
          <w:tab w:val="left" w:pos="540"/>
          <w:tab w:val="left" w:pos="569"/>
        </w:tabs>
        <w:jc w:val="both"/>
        <w:rPr>
          <w:bCs/>
          <w:sz w:val="22"/>
          <w:szCs w:val="22"/>
          <w:lang w:val="sr-Latn-RS"/>
        </w:rPr>
      </w:pPr>
    </w:p>
    <w:p w14:paraId="45084A88" w14:textId="77777777" w:rsidR="004E16E4" w:rsidRPr="00E00E21" w:rsidRDefault="006C765E">
      <w:pPr>
        <w:tabs>
          <w:tab w:val="left" w:pos="540"/>
          <w:tab w:val="left" w:pos="569"/>
        </w:tabs>
        <w:jc w:val="both"/>
        <w:rPr>
          <w:bCs/>
          <w:sz w:val="22"/>
          <w:szCs w:val="22"/>
          <w:lang w:val="sr-Latn-RS"/>
        </w:rPr>
      </w:pPr>
      <w:r w:rsidRPr="00E00E21">
        <w:rPr>
          <w:bCs/>
          <w:sz w:val="22"/>
          <w:szCs w:val="22"/>
          <w:u w:val="single"/>
          <w:lang w:val="sr-Latn-RS"/>
        </w:rPr>
        <w:t xml:space="preserve">Način </w:t>
      </w:r>
      <w:r w:rsidR="004E16E4" w:rsidRPr="00E00E21">
        <w:rPr>
          <w:bCs/>
          <w:sz w:val="22"/>
          <w:szCs w:val="22"/>
          <w:u w:val="single"/>
          <w:lang w:val="sr-Latn-RS"/>
        </w:rPr>
        <w:t>primjene</w:t>
      </w:r>
      <w:r w:rsidRPr="00E00E21">
        <w:rPr>
          <w:bCs/>
          <w:sz w:val="22"/>
          <w:szCs w:val="22"/>
          <w:lang w:val="sr-Latn-RS"/>
        </w:rPr>
        <w:t xml:space="preserve"> </w:t>
      </w:r>
    </w:p>
    <w:p w14:paraId="6BF5183B" w14:textId="4EFBA6B1" w:rsidR="004E16E4" w:rsidRPr="00E00E21" w:rsidRDefault="006C765E">
      <w:pPr>
        <w:tabs>
          <w:tab w:val="left" w:pos="540"/>
          <w:tab w:val="left" w:pos="569"/>
        </w:tabs>
        <w:jc w:val="both"/>
        <w:rPr>
          <w:bCs/>
          <w:sz w:val="22"/>
          <w:szCs w:val="22"/>
          <w:lang w:val="sr-Latn-RS"/>
        </w:rPr>
      </w:pPr>
      <w:r w:rsidRPr="00E00E21">
        <w:rPr>
          <w:bCs/>
          <w:sz w:val="22"/>
          <w:szCs w:val="22"/>
          <w:lang w:val="sr-Latn-RS"/>
        </w:rPr>
        <w:t>Za uputstvo o pripremi i prim</w:t>
      </w:r>
      <w:r w:rsidR="00520757" w:rsidRPr="00E00E21">
        <w:rPr>
          <w:bCs/>
          <w:sz w:val="22"/>
          <w:szCs w:val="22"/>
          <w:lang w:val="sr-Latn-RS"/>
        </w:rPr>
        <w:t>j</w:t>
      </w:r>
      <w:r w:rsidRPr="00E00E21">
        <w:rPr>
          <w:bCs/>
          <w:sz w:val="22"/>
          <w:szCs w:val="22"/>
          <w:lang w:val="sr-Latn-RS"/>
        </w:rPr>
        <w:t xml:space="preserve">eni </w:t>
      </w:r>
      <w:r w:rsidR="001A6791" w:rsidRPr="00E00E21">
        <w:rPr>
          <w:bCs/>
          <w:sz w:val="22"/>
          <w:szCs w:val="22"/>
          <w:lang w:val="sr-Latn-RS"/>
        </w:rPr>
        <w:t>lijeka</w:t>
      </w:r>
      <w:r w:rsidRPr="00E00E21">
        <w:rPr>
          <w:bCs/>
          <w:sz w:val="22"/>
          <w:szCs w:val="22"/>
          <w:lang w:val="sr-Latn-RS"/>
        </w:rPr>
        <w:t xml:space="preserve"> </w:t>
      </w:r>
      <w:r w:rsidR="00520757" w:rsidRPr="00E00E21">
        <w:rPr>
          <w:bCs/>
          <w:sz w:val="22"/>
          <w:szCs w:val="22"/>
          <w:lang w:val="sr-Latn-RS"/>
        </w:rPr>
        <w:t xml:space="preserve">vidjeti </w:t>
      </w:r>
      <w:r w:rsidR="00FE371D" w:rsidRPr="00E00E21">
        <w:rPr>
          <w:bCs/>
          <w:sz w:val="22"/>
          <w:szCs w:val="22"/>
          <w:lang w:val="sr-Latn-RS"/>
        </w:rPr>
        <w:t>dio</w:t>
      </w:r>
      <w:r w:rsidRPr="00E00E21">
        <w:rPr>
          <w:bCs/>
          <w:sz w:val="22"/>
          <w:szCs w:val="22"/>
          <w:lang w:val="sr-Latn-RS"/>
        </w:rPr>
        <w:t xml:space="preserve"> 6.6. </w:t>
      </w:r>
    </w:p>
    <w:p w14:paraId="34AF7D0E" w14:textId="45C0612F" w:rsidR="004E16E4" w:rsidRPr="00E00E21" w:rsidRDefault="006C765E">
      <w:pPr>
        <w:tabs>
          <w:tab w:val="left" w:pos="540"/>
          <w:tab w:val="left" w:pos="569"/>
        </w:tabs>
        <w:jc w:val="both"/>
        <w:rPr>
          <w:bCs/>
          <w:sz w:val="22"/>
          <w:szCs w:val="22"/>
          <w:lang w:val="sr-Latn-RS"/>
        </w:rPr>
      </w:pPr>
      <w:r w:rsidRPr="00E00E21">
        <w:rPr>
          <w:bCs/>
          <w:sz w:val="22"/>
          <w:szCs w:val="22"/>
          <w:lang w:val="sr-Latn-RS"/>
        </w:rPr>
        <w:t>Ne sm</w:t>
      </w:r>
      <w:r w:rsidR="004E16E4" w:rsidRPr="00E00E21">
        <w:rPr>
          <w:bCs/>
          <w:sz w:val="22"/>
          <w:szCs w:val="22"/>
          <w:lang w:val="sr-Latn-RS"/>
        </w:rPr>
        <w:t>ij</w:t>
      </w:r>
      <w:r w:rsidRPr="00E00E21">
        <w:rPr>
          <w:bCs/>
          <w:sz w:val="22"/>
          <w:szCs w:val="22"/>
          <w:lang w:val="sr-Latn-RS"/>
        </w:rPr>
        <w:t xml:space="preserve">u se koristiti PVC infuzioni kontejneri i poliuretanski infuzioni setovi. </w:t>
      </w:r>
    </w:p>
    <w:p w14:paraId="4B5D5209" w14:textId="77777777" w:rsidR="004E16E4" w:rsidRPr="00E00E21" w:rsidRDefault="006C765E">
      <w:pPr>
        <w:tabs>
          <w:tab w:val="left" w:pos="540"/>
          <w:tab w:val="left" w:pos="569"/>
        </w:tabs>
        <w:jc w:val="both"/>
        <w:rPr>
          <w:bCs/>
          <w:sz w:val="22"/>
          <w:szCs w:val="22"/>
          <w:lang w:val="sr-Latn-RS"/>
        </w:rPr>
      </w:pPr>
      <w:r w:rsidRPr="00E00E21">
        <w:rPr>
          <w:bCs/>
          <w:sz w:val="22"/>
          <w:szCs w:val="22"/>
          <w:lang w:val="sr-Latn-RS"/>
        </w:rPr>
        <w:t>L</w:t>
      </w:r>
      <w:r w:rsidR="004E16E4" w:rsidRPr="00E00E21">
        <w:rPr>
          <w:bCs/>
          <w:sz w:val="22"/>
          <w:szCs w:val="22"/>
          <w:lang w:val="sr-Latn-RS"/>
        </w:rPr>
        <w:t>ij</w:t>
      </w:r>
      <w:r w:rsidRPr="00E00E21">
        <w:rPr>
          <w:bCs/>
          <w:sz w:val="22"/>
          <w:szCs w:val="22"/>
          <w:lang w:val="sr-Latn-RS"/>
        </w:rPr>
        <w:t xml:space="preserve">ek </w:t>
      </w:r>
      <w:r w:rsidR="00D904EA" w:rsidRPr="00E00E21">
        <w:rPr>
          <w:bCs/>
          <w:sz w:val="22"/>
          <w:szCs w:val="22"/>
          <w:lang w:val="sr-Latn-RS"/>
        </w:rPr>
        <w:t>Kabazitaksel EVER Pharma</w:t>
      </w:r>
      <w:r w:rsidRPr="00E00E21">
        <w:rPr>
          <w:bCs/>
          <w:sz w:val="22"/>
          <w:szCs w:val="22"/>
          <w:lang w:val="sr-Latn-RS"/>
        </w:rPr>
        <w:t xml:space="preserve"> se ne sm</w:t>
      </w:r>
      <w:r w:rsidR="004E16E4" w:rsidRPr="00E00E21">
        <w:rPr>
          <w:bCs/>
          <w:sz w:val="22"/>
          <w:szCs w:val="22"/>
          <w:lang w:val="sr-Latn-RS"/>
        </w:rPr>
        <w:t>ij</w:t>
      </w:r>
      <w:r w:rsidRPr="00E00E21">
        <w:rPr>
          <w:bCs/>
          <w:sz w:val="22"/>
          <w:szCs w:val="22"/>
          <w:lang w:val="sr-Latn-RS"/>
        </w:rPr>
        <w:t>e m</w:t>
      </w:r>
      <w:r w:rsidR="004E16E4" w:rsidRPr="00E00E21">
        <w:rPr>
          <w:bCs/>
          <w:sz w:val="22"/>
          <w:szCs w:val="22"/>
          <w:lang w:val="sr-Latn-RS"/>
        </w:rPr>
        <w:t>ij</w:t>
      </w:r>
      <w:r w:rsidRPr="00E00E21">
        <w:rPr>
          <w:bCs/>
          <w:sz w:val="22"/>
          <w:szCs w:val="22"/>
          <w:lang w:val="sr-Latn-RS"/>
        </w:rPr>
        <w:t>ešati sa bilo kojim drugim l</w:t>
      </w:r>
      <w:r w:rsidR="004E16E4" w:rsidRPr="00E00E21">
        <w:rPr>
          <w:bCs/>
          <w:sz w:val="22"/>
          <w:szCs w:val="22"/>
          <w:lang w:val="sr-Latn-RS"/>
        </w:rPr>
        <w:t>j</w:t>
      </w:r>
      <w:r w:rsidR="00B55FAA" w:rsidRPr="00E00E21">
        <w:rPr>
          <w:bCs/>
          <w:sz w:val="22"/>
          <w:szCs w:val="22"/>
          <w:lang w:val="sr-Latn-RS"/>
        </w:rPr>
        <w:t xml:space="preserve">ekovima osim onih </w:t>
      </w:r>
      <w:r w:rsidRPr="00E00E21">
        <w:rPr>
          <w:bCs/>
          <w:sz w:val="22"/>
          <w:szCs w:val="22"/>
          <w:lang w:val="sr-Latn-RS"/>
        </w:rPr>
        <w:t>navedenih u d</w:t>
      </w:r>
      <w:r w:rsidR="004E16E4" w:rsidRPr="00E00E21">
        <w:rPr>
          <w:bCs/>
          <w:sz w:val="22"/>
          <w:szCs w:val="22"/>
          <w:lang w:val="sr-Latn-RS"/>
        </w:rPr>
        <w:t>ij</w:t>
      </w:r>
      <w:r w:rsidRPr="00E00E21">
        <w:rPr>
          <w:bCs/>
          <w:sz w:val="22"/>
          <w:szCs w:val="22"/>
          <w:lang w:val="sr-Latn-RS"/>
        </w:rPr>
        <w:t xml:space="preserve">elu 6.6. </w:t>
      </w:r>
    </w:p>
    <w:p w14:paraId="49841963" w14:textId="77777777" w:rsidR="00452E9D" w:rsidRPr="00E00E21" w:rsidRDefault="00452E9D" w:rsidP="00E630C6">
      <w:pPr>
        <w:tabs>
          <w:tab w:val="left" w:pos="540"/>
          <w:tab w:val="left" w:pos="569"/>
        </w:tabs>
        <w:jc w:val="both"/>
        <w:rPr>
          <w:bCs/>
          <w:sz w:val="22"/>
          <w:szCs w:val="22"/>
          <w:lang w:val="sr-Latn-RS"/>
        </w:rPr>
      </w:pPr>
    </w:p>
    <w:p w14:paraId="6BCED476" w14:textId="77777777" w:rsidR="00411B4B" w:rsidRPr="00E00E21" w:rsidRDefault="00411B4B" w:rsidP="00E630C6">
      <w:pPr>
        <w:tabs>
          <w:tab w:val="left" w:pos="540"/>
          <w:tab w:val="left" w:pos="569"/>
        </w:tabs>
        <w:jc w:val="both"/>
        <w:rPr>
          <w:b/>
          <w:bCs/>
          <w:sz w:val="22"/>
          <w:szCs w:val="22"/>
          <w:lang w:val="sr-Latn-RS"/>
        </w:rPr>
      </w:pPr>
      <w:r w:rsidRPr="00E00E21">
        <w:rPr>
          <w:b/>
          <w:bCs/>
          <w:sz w:val="22"/>
          <w:szCs w:val="22"/>
          <w:lang w:val="sr-Latn-RS"/>
        </w:rPr>
        <w:t xml:space="preserve">4.3. </w:t>
      </w:r>
      <w:r w:rsidR="00480FB1" w:rsidRPr="00E00E21">
        <w:rPr>
          <w:b/>
          <w:bCs/>
          <w:sz w:val="22"/>
          <w:szCs w:val="22"/>
          <w:lang w:val="sr-Latn-RS"/>
        </w:rPr>
        <w:tab/>
      </w:r>
      <w:r w:rsidRPr="00E00E21">
        <w:rPr>
          <w:b/>
          <w:bCs/>
          <w:sz w:val="22"/>
          <w:szCs w:val="22"/>
          <w:lang w:val="sr-Latn-RS"/>
        </w:rPr>
        <w:t>Kontraindikacije</w:t>
      </w:r>
    </w:p>
    <w:p w14:paraId="78B9A97A" w14:textId="77777777" w:rsidR="004E16E4" w:rsidRPr="00E00E21" w:rsidRDefault="004E16E4" w:rsidP="00E630C6">
      <w:pPr>
        <w:tabs>
          <w:tab w:val="left" w:pos="540"/>
          <w:tab w:val="left" w:pos="569"/>
        </w:tabs>
        <w:jc w:val="both"/>
        <w:rPr>
          <w:b/>
          <w:bCs/>
          <w:sz w:val="22"/>
          <w:szCs w:val="22"/>
          <w:lang w:val="sr-Latn-RS"/>
        </w:rPr>
      </w:pPr>
    </w:p>
    <w:p w14:paraId="05A79BD8" w14:textId="7B51D529" w:rsidR="004E16E4" w:rsidRPr="00E00E21" w:rsidRDefault="004E16E4" w:rsidP="00004651">
      <w:pPr>
        <w:pStyle w:val="ListParagraph"/>
        <w:numPr>
          <w:ilvl w:val="0"/>
          <w:numId w:val="13"/>
        </w:numPr>
        <w:tabs>
          <w:tab w:val="left" w:pos="540"/>
          <w:tab w:val="left" w:pos="569"/>
        </w:tabs>
        <w:jc w:val="both"/>
        <w:rPr>
          <w:bCs/>
          <w:sz w:val="22"/>
          <w:szCs w:val="22"/>
          <w:lang w:val="sr-Latn-RS"/>
        </w:rPr>
      </w:pPr>
      <w:r w:rsidRPr="00E00E21">
        <w:rPr>
          <w:bCs/>
          <w:sz w:val="22"/>
          <w:szCs w:val="22"/>
          <w:lang w:val="sr-Latn-RS"/>
        </w:rPr>
        <w:t>Pre</w:t>
      </w:r>
      <w:r w:rsidR="003042DF" w:rsidRPr="00E00E21">
        <w:rPr>
          <w:bCs/>
          <w:sz w:val="22"/>
          <w:szCs w:val="22"/>
          <w:lang w:val="sr-Latn-RS"/>
        </w:rPr>
        <w:t>osjetljiv</w:t>
      </w:r>
      <w:r w:rsidRPr="00E00E21">
        <w:rPr>
          <w:bCs/>
          <w:sz w:val="22"/>
          <w:szCs w:val="22"/>
          <w:lang w:val="sr-Latn-RS"/>
        </w:rPr>
        <w:t xml:space="preserve">ost na kabazitaksel, druge taksane ili polisorbat 80 ili na bilo koju pomoćnu supstancu navedenu u dijelu 6.1. </w:t>
      </w:r>
    </w:p>
    <w:p w14:paraId="0A125DF3" w14:textId="0D6B808E" w:rsidR="004E16E4" w:rsidRPr="00E00E21" w:rsidRDefault="00B55FAA" w:rsidP="00004651">
      <w:pPr>
        <w:pStyle w:val="ListParagraph"/>
        <w:numPr>
          <w:ilvl w:val="0"/>
          <w:numId w:val="13"/>
        </w:numPr>
        <w:tabs>
          <w:tab w:val="left" w:pos="540"/>
          <w:tab w:val="left" w:pos="569"/>
        </w:tabs>
        <w:jc w:val="both"/>
        <w:rPr>
          <w:bCs/>
          <w:sz w:val="22"/>
          <w:szCs w:val="22"/>
          <w:lang w:val="sr-Latn-RS"/>
        </w:rPr>
      </w:pPr>
      <w:r w:rsidRPr="00E00E21">
        <w:rPr>
          <w:bCs/>
          <w:sz w:val="22"/>
          <w:szCs w:val="22"/>
          <w:lang w:val="sr-Latn-RS"/>
        </w:rPr>
        <w:t>Broj neutrofila manji od 1500</w:t>
      </w:r>
      <w:r w:rsidR="004E16E4" w:rsidRPr="00E00E21">
        <w:rPr>
          <w:bCs/>
          <w:sz w:val="22"/>
          <w:szCs w:val="22"/>
          <w:lang w:val="sr-Latn-RS"/>
        </w:rPr>
        <w:t>/mm</w:t>
      </w:r>
      <w:r w:rsidR="004E16E4" w:rsidRPr="00E00E21">
        <w:rPr>
          <w:bCs/>
          <w:sz w:val="22"/>
          <w:szCs w:val="22"/>
          <w:vertAlign w:val="superscript"/>
          <w:lang w:val="sr-Latn-RS"/>
        </w:rPr>
        <w:t>3</w:t>
      </w:r>
      <w:r w:rsidR="004E16E4" w:rsidRPr="00E00E21">
        <w:rPr>
          <w:bCs/>
          <w:sz w:val="22"/>
          <w:szCs w:val="22"/>
          <w:lang w:val="sr-Latn-RS"/>
        </w:rPr>
        <w:t xml:space="preserve">. </w:t>
      </w:r>
    </w:p>
    <w:p w14:paraId="7DAAFAC1" w14:textId="702F8865" w:rsidR="001163EF" w:rsidRPr="00E00E21" w:rsidRDefault="004E16E4" w:rsidP="00004651">
      <w:pPr>
        <w:pStyle w:val="ListParagraph"/>
        <w:numPr>
          <w:ilvl w:val="0"/>
          <w:numId w:val="13"/>
        </w:numPr>
        <w:tabs>
          <w:tab w:val="left" w:pos="540"/>
          <w:tab w:val="left" w:pos="569"/>
        </w:tabs>
        <w:jc w:val="both"/>
        <w:rPr>
          <w:bCs/>
          <w:sz w:val="22"/>
          <w:szCs w:val="22"/>
          <w:lang w:val="sr-Latn-RS"/>
        </w:rPr>
      </w:pPr>
      <w:r w:rsidRPr="00E00E21">
        <w:rPr>
          <w:bCs/>
          <w:sz w:val="22"/>
          <w:szCs w:val="22"/>
          <w:lang w:val="sr-Latn-RS"/>
        </w:rPr>
        <w:t>Teško oštećenje funkcije jetre (ukupni bilirubin &gt;</w:t>
      </w:r>
      <w:r w:rsidR="00520757" w:rsidRPr="00E00E21">
        <w:rPr>
          <w:bCs/>
          <w:sz w:val="22"/>
          <w:szCs w:val="22"/>
          <w:lang w:val="sr-Latn-RS"/>
        </w:rPr>
        <w:t xml:space="preserve"> </w:t>
      </w:r>
      <w:r w:rsidRPr="00E00E21">
        <w:rPr>
          <w:bCs/>
          <w:sz w:val="22"/>
          <w:szCs w:val="22"/>
          <w:lang w:val="sr-Latn-RS"/>
        </w:rPr>
        <w:t xml:space="preserve">3 x GGN). </w:t>
      </w:r>
    </w:p>
    <w:p w14:paraId="2362C942" w14:textId="6A908F76" w:rsidR="00B55FAA" w:rsidRPr="00E00E21" w:rsidRDefault="004E16E4" w:rsidP="00004651">
      <w:pPr>
        <w:pStyle w:val="ListParagraph"/>
        <w:numPr>
          <w:ilvl w:val="0"/>
          <w:numId w:val="13"/>
        </w:numPr>
        <w:tabs>
          <w:tab w:val="left" w:pos="540"/>
          <w:tab w:val="left" w:pos="569"/>
        </w:tabs>
        <w:jc w:val="both"/>
        <w:rPr>
          <w:bCs/>
          <w:sz w:val="22"/>
          <w:szCs w:val="22"/>
          <w:lang w:val="sr-Latn-RS"/>
        </w:rPr>
      </w:pPr>
      <w:r w:rsidRPr="00E00E21">
        <w:rPr>
          <w:bCs/>
          <w:sz w:val="22"/>
          <w:szCs w:val="22"/>
          <w:lang w:val="sr-Latn-RS"/>
        </w:rPr>
        <w:t>Isto</w:t>
      </w:r>
      <w:r w:rsidR="008B16FD" w:rsidRPr="00E00E21">
        <w:rPr>
          <w:bCs/>
          <w:sz w:val="22"/>
          <w:szCs w:val="22"/>
          <w:lang w:val="sr-Latn-RS"/>
        </w:rPr>
        <w:t>vreme</w:t>
      </w:r>
      <w:r w:rsidRPr="00E00E21">
        <w:rPr>
          <w:bCs/>
          <w:sz w:val="22"/>
          <w:szCs w:val="22"/>
          <w:lang w:val="sr-Latn-RS"/>
        </w:rPr>
        <w:t>na vakcinacija protiv žute groznice (</w:t>
      </w:r>
      <w:r w:rsidR="00520757" w:rsidRPr="00E00E21">
        <w:rPr>
          <w:bCs/>
          <w:sz w:val="22"/>
          <w:szCs w:val="22"/>
          <w:lang w:val="sr-Latn-RS"/>
        </w:rPr>
        <w:t xml:space="preserve">vidjeti </w:t>
      </w:r>
      <w:r w:rsidRPr="00E00E21">
        <w:rPr>
          <w:bCs/>
          <w:sz w:val="22"/>
          <w:szCs w:val="22"/>
          <w:lang w:val="sr-Latn-RS"/>
        </w:rPr>
        <w:t xml:space="preserve">dio 4.5). </w:t>
      </w:r>
    </w:p>
    <w:p w14:paraId="1FCFA84B" w14:textId="77777777" w:rsidR="00B55FAA" w:rsidRPr="00E00E21" w:rsidRDefault="00B55FAA" w:rsidP="00370E1E">
      <w:pPr>
        <w:tabs>
          <w:tab w:val="left" w:pos="540"/>
          <w:tab w:val="left" w:pos="569"/>
        </w:tabs>
        <w:jc w:val="both"/>
        <w:rPr>
          <w:bCs/>
          <w:sz w:val="22"/>
          <w:szCs w:val="22"/>
          <w:lang w:val="sr-Latn-RS"/>
        </w:rPr>
      </w:pPr>
    </w:p>
    <w:p w14:paraId="7C780B60" w14:textId="77777777" w:rsidR="00411B4B" w:rsidRPr="00E00E21" w:rsidRDefault="00411B4B" w:rsidP="00E630C6">
      <w:pPr>
        <w:tabs>
          <w:tab w:val="left" w:pos="540"/>
          <w:tab w:val="left" w:pos="569"/>
        </w:tabs>
        <w:jc w:val="both"/>
        <w:rPr>
          <w:b/>
          <w:bCs/>
          <w:sz w:val="22"/>
          <w:szCs w:val="22"/>
          <w:lang w:val="sr-Latn-RS"/>
        </w:rPr>
      </w:pPr>
      <w:r w:rsidRPr="00E00E21">
        <w:rPr>
          <w:b/>
          <w:bCs/>
          <w:sz w:val="22"/>
          <w:szCs w:val="22"/>
          <w:lang w:val="sr-Latn-RS"/>
        </w:rPr>
        <w:t xml:space="preserve">4.4. </w:t>
      </w:r>
      <w:r w:rsidR="00480FB1" w:rsidRPr="00E00E21">
        <w:rPr>
          <w:b/>
          <w:bCs/>
          <w:sz w:val="22"/>
          <w:szCs w:val="22"/>
          <w:lang w:val="sr-Latn-RS"/>
        </w:rPr>
        <w:tab/>
      </w:r>
      <w:r w:rsidRPr="00E00E21">
        <w:rPr>
          <w:b/>
          <w:bCs/>
          <w:sz w:val="22"/>
          <w:szCs w:val="22"/>
          <w:lang w:val="sr-Latn-RS"/>
        </w:rPr>
        <w:t>Posebna upozorenja i mjere opreza pri upotrebi lijeka</w:t>
      </w:r>
    </w:p>
    <w:p w14:paraId="245962AE" w14:textId="77777777" w:rsidR="00B55FAA" w:rsidRPr="00E00E21" w:rsidRDefault="00B55FAA" w:rsidP="00E93932">
      <w:pPr>
        <w:tabs>
          <w:tab w:val="left" w:pos="540"/>
          <w:tab w:val="left" w:pos="569"/>
        </w:tabs>
        <w:jc w:val="both"/>
        <w:rPr>
          <w:bCs/>
          <w:sz w:val="22"/>
          <w:szCs w:val="22"/>
          <w:lang w:val="sr-Latn-RS"/>
        </w:rPr>
      </w:pPr>
    </w:p>
    <w:p w14:paraId="142B69FB" w14:textId="77777777" w:rsidR="00B55FAA" w:rsidRPr="00E00E21" w:rsidRDefault="00B55FAA" w:rsidP="004F26A0">
      <w:pPr>
        <w:tabs>
          <w:tab w:val="left" w:pos="540"/>
          <w:tab w:val="left" w:pos="569"/>
        </w:tabs>
        <w:jc w:val="both"/>
        <w:rPr>
          <w:bCs/>
          <w:sz w:val="22"/>
          <w:szCs w:val="22"/>
          <w:u w:val="single"/>
          <w:lang w:val="sr-Latn-RS"/>
        </w:rPr>
      </w:pPr>
      <w:r w:rsidRPr="00E00E21">
        <w:rPr>
          <w:bCs/>
          <w:sz w:val="22"/>
          <w:szCs w:val="22"/>
          <w:u w:val="single"/>
          <w:lang w:val="sr-Latn-RS"/>
        </w:rPr>
        <w:t xml:space="preserve">Reakcije preosjetljivosti </w:t>
      </w:r>
    </w:p>
    <w:p w14:paraId="608D8192" w14:textId="7568170F" w:rsidR="00B55FAA" w:rsidRPr="00E00E21" w:rsidRDefault="00B55FAA" w:rsidP="00633082">
      <w:pPr>
        <w:tabs>
          <w:tab w:val="left" w:pos="540"/>
          <w:tab w:val="left" w:pos="569"/>
        </w:tabs>
        <w:jc w:val="both"/>
        <w:rPr>
          <w:bCs/>
          <w:sz w:val="22"/>
          <w:szCs w:val="22"/>
          <w:lang w:val="sr-Latn-RS"/>
        </w:rPr>
      </w:pPr>
      <w:r w:rsidRPr="00E00E21">
        <w:rPr>
          <w:bCs/>
          <w:sz w:val="22"/>
          <w:szCs w:val="22"/>
          <w:lang w:val="sr-Latn-RS"/>
        </w:rPr>
        <w:t>Za sve pacijente potrebno je sprovesti premedikaciju prije početka primjene infuzije kabazitaksela (</w:t>
      </w:r>
      <w:r w:rsidR="00633082" w:rsidRPr="00E00E21">
        <w:rPr>
          <w:bCs/>
          <w:sz w:val="22"/>
          <w:szCs w:val="22"/>
          <w:lang w:val="sr-Latn-RS"/>
        </w:rPr>
        <w:t xml:space="preserve">vidjeti </w:t>
      </w:r>
      <w:r w:rsidRPr="00E00E21">
        <w:rPr>
          <w:bCs/>
          <w:sz w:val="22"/>
          <w:szCs w:val="22"/>
          <w:lang w:val="sr-Latn-RS"/>
        </w:rPr>
        <w:t xml:space="preserve">dio 4.2). </w:t>
      </w:r>
    </w:p>
    <w:p w14:paraId="2FB0B181" w14:textId="6F120FBB" w:rsidR="00B55FAA" w:rsidRPr="00E00E21" w:rsidRDefault="00B55FAA" w:rsidP="00370E1E">
      <w:pPr>
        <w:tabs>
          <w:tab w:val="left" w:pos="540"/>
          <w:tab w:val="left" w:pos="569"/>
        </w:tabs>
        <w:jc w:val="both"/>
        <w:rPr>
          <w:bCs/>
          <w:sz w:val="22"/>
          <w:szCs w:val="22"/>
          <w:lang w:val="sr-Latn-RS"/>
        </w:rPr>
      </w:pPr>
      <w:r w:rsidRPr="00E00E21">
        <w:rPr>
          <w:bCs/>
          <w:sz w:val="22"/>
          <w:szCs w:val="22"/>
          <w:lang w:val="sr-Latn-RS"/>
        </w:rPr>
        <w:lastRenderedPageBreak/>
        <w:t xml:space="preserve">Pacijente treba pažljivo pratiti zbog reakcija preosjetljivosti, naročito tokom prve i druge infuzije. Reakcije preosjetljivosti mogu se pojaviti </w:t>
      </w:r>
      <w:r w:rsidR="00E50C94" w:rsidRPr="00E00E21">
        <w:rPr>
          <w:bCs/>
          <w:sz w:val="22"/>
          <w:szCs w:val="22"/>
          <w:lang w:val="sr-Latn-RS"/>
        </w:rPr>
        <w:t xml:space="preserve">u roku od </w:t>
      </w:r>
      <w:r w:rsidRPr="00E00E21">
        <w:rPr>
          <w:bCs/>
          <w:sz w:val="22"/>
          <w:szCs w:val="22"/>
          <w:lang w:val="sr-Latn-RS"/>
        </w:rPr>
        <w:t xml:space="preserve">nekoliko minuta nakon početka primjene infuzije kabazitaksela, pa treba imati dostupnu opremu i sredstva za liječenje hipotenzije i bronhospazma. Moguća je pojava teških reakcija preosjetljivosti, koje uključuju generalizovani osip/eritem, hipotenziju i bronhospazam. Ako se pojave teške reakcije preosjetljivosti potrebno je odmah prekinuti </w:t>
      </w:r>
      <w:r w:rsidR="00674C4A" w:rsidRPr="00E00E21">
        <w:rPr>
          <w:bCs/>
          <w:sz w:val="22"/>
          <w:szCs w:val="22"/>
          <w:lang w:val="sr-Latn-RS"/>
        </w:rPr>
        <w:t>primjenu kabazitaksela</w:t>
      </w:r>
      <w:r w:rsidRPr="00E00E21">
        <w:rPr>
          <w:bCs/>
          <w:sz w:val="22"/>
          <w:szCs w:val="22"/>
          <w:lang w:val="sr-Latn-RS"/>
        </w:rPr>
        <w:t xml:space="preserve"> i prim</w:t>
      </w:r>
      <w:r w:rsidR="00E50C94" w:rsidRPr="00E00E21">
        <w:rPr>
          <w:bCs/>
          <w:sz w:val="22"/>
          <w:szCs w:val="22"/>
          <w:lang w:val="sr-Latn-RS"/>
        </w:rPr>
        <w:t>ij</w:t>
      </w:r>
      <w:r w:rsidRPr="00E00E21">
        <w:rPr>
          <w:bCs/>
          <w:sz w:val="22"/>
          <w:szCs w:val="22"/>
          <w:lang w:val="sr-Latn-RS"/>
        </w:rPr>
        <w:t>eniti odgovarajuću terapiju. Pacijenti kod kojih su se razvile ozbiljne reakcije preosjetljivosti moraju prekinuti terapiju lijekom Kabazitaksel EVER Pharma (</w:t>
      </w:r>
      <w:r w:rsidR="00E50C94" w:rsidRPr="00E00E21">
        <w:rPr>
          <w:bCs/>
          <w:sz w:val="22"/>
          <w:szCs w:val="22"/>
          <w:lang w:val="sr-Latn-RS"/>
        </w:rPr>
        <w:t xml:space="preserve">vidjeti </w:t>
      </w:r>
      <w:r w:rsidRPr="00E00E21">
        <w:rPr>
          <w:bCs/>
          <w:sz w:val="22"/>
          <w:szCs w:val="22"/>
          <w:lang w:val="sr-Latn-RS"/>
        </w:rPr>
        <w:t xml:space="preserve">dio 4.3). </w:t>
      </w:r>
    </w:p>
    <w:p w14:paraId="2896782F" w14:textId="77777777" w:rsidR="00B55FAA" w:rsidRPr="00E00E21" w:rsidRDefault="00B55FAA" w:rsidP="009B6A1F">
      <w:pPr>
        <w:tabs>
          <w:tab w:val="left" w:pos="540"/>
          <w:tab w:val="left" w:pos="569"/>
        </w:tabs>
        <w:jc w:val="both"/>
        <w:rPr>
          <w:bCs/>
          <w:sz w:val="22"/>
          <w:szCs w:val="22"/>
          <w:lang w:val="sr-Latn-RS"/>
        </w:rPr>
      </w:pPr>
    </w:p>
    <w:p w14:paraId="2F8D6024" w14:textId="0F885D66" w:rsidR="00B55FAA" w:rsidRPr="00E00E21" w:rsidRDefault="00B55FAA" w:rsidP="009B6A1F">
      <w:pPr>
        <w:tabs>
          <w:tab w:val="left" w:pos="540"/>
          <w:tab w:val="left" w:pos="569"/>
        </w:tabs>
        <w:jc w:val="both"/>
        <w:rPr>
          <w:bCs/>
          <w:sz w:val="22"/>
          <w:szCs w:val="22"/>
          <w:lang w:val="sr-Latn-RS"/>
        </w:rPr>
      </w:pPr>
      <w:r w:rsidRPr="00E00E21">
        <w:rPr>
          <w:bCs/>
          <w:sz w:val="22"/>
          <w:szCs w:val="22"/>
          <w:u w:val="single"/>
          <w:lang w:val="sr-Latn-RS"/>
        </w:rPr>
        <w:t>Supresija ko</w:t>
      </w:r>
      <w:r w:rsidR="00E50C94" w:rsidRPr="00E00E21">
        <w:rPr>
          <w:bCs/>
          <w:sz w:val="22"/>
          <w:szCs w:val="22"/>
          <w:u w:val="single"/>
          <w:lang w:val="sr-Latn-RS"/>
        </w:rPr>
        <w:t>st</w:t>
      </w:r>
      <w:r w:rsidRPr="00E00E21">
        <w:rPr>
          <w:bCs/>
          <w:sz w:val="22"/>
          <w:szCs w:val="22"/>
          <w:u w:val="single"/>
          <w:lang w:val="sr-Latn-RS"/>
        </w:rPr>
        <w:t>ne srži</w:t>
      </w:r>
      <w:r w:rsidRPr="00E00E21">
        <w:rPr>
          <w:bCs/>
          <w:sz w:val="22"/>
          <w:szCs w:val="22"/>
          <w:lang w:val="sr-Latn-RS"/>
        </w:rPr>
        <w:t xml:space="preserve"> </w:t>
      </w:r>
    </w:p>
    <w:p w14:paraId="5DAE2057" w14:textId="25648918" w:rsidR="00B55FAA" w:rsidRPr="00E00E21" w:rsidRDefault="00B55FAA">
      <w:pPr>
        <w:tabs>
          <w:tab w:val="left" w:pos="540"/>
          <w:tab w:val="left" w:pos="569"/>
        </w:tabs>
        <w:jc w:val="both"/>
        <w:rPr>
          <w:bCs/>
          <w:sz w:val="22"/>
          <w:szCs w:val="22"/>
          <w:lang w:val="sr-Latn-RS"/>
        </w:rPr>
      </w:pPr>
      <w:r w:rsidRPr="00E00E21">
        <w:rPr>
          <w:bCs/>
          <w:sz w:val="22"/>
          <w:szCs w:val="22"/>
          <w:lang w:val="sr-Latn-RS"/>
        </w:rPr>
        <w:t>Supresija ko</w:t>
      </w:r>
      <w:r w:rsidR="00E50C94" w:rsidRPr="00E00E21">
        <w:rPr>
          <w:bCs/>
          <w:sz w:val="22"/>
          <w:szCs w:val="22"/>
          <w:lang w:val="sr-Latn-RS"/>
        </w:rPr>
        <w:t>st</w:t>
      </w:r>
      <w:r w:rsidRPr="00E00E21">
        <w:rPr>
          <w:bCs/>
          <w:sz w:val="22"/>
          <w:szCs w:val="22"/>
          <w:lang w:val="sr-Latn-RS"/>
        </w:rPr>
        <w:t>ne srži se manifestuje kao neutropenija, anemija, trombocitopenija ili pancitopenija (vidjeti 'Rizik od neutropenije' i 'Anemija' u</w:t>
      </w:r>
      <w:r w:rsidR="00E50C94" w:rsidRPr="00E00E21">
        <w:rPr>
          <w:bCs/>
          <w:sz w:val="22"/>
          <w:szCs w:val="22"/>
          <w:lang w:val="sr-Latn-RS"/>
        </w:rPr>
        <w:t xml:space="preserve"> </w:t>
      </w:r>
      <w:r w:rsidRPr="00E00E21">
        <w:rPr>
          <w:bCs/>
          <w:sz w:val="22"/>
          <w:szCs w:val="22"/>
          <w:lang w:val="sr-Latn-RS"/>
        </w:rPr>
        <w:t>nastavku teksta)</w:t>
      </w:r>
    </w:p>
    <w:p w14:paraId="7C1B8C95" w14:textId="77777777" w:rsidR="00B55FAA" w:rsidRPr="00E00E21" w:rsidRDefault="00B55FAA">
      <w:pPr>
        <w:tabs>
          <w:tab w:val="left" w:pos="540"/>
          <w:tab w:val="left" w:pos="569"/>
        </w:tabs>
        <w:jc w:val="both"/>
        <w:rPr>
          <w:bCs/>
          <w:sz w:val="22"/>
          <w:szCs w:val="22"/>
          <w:lang w:val="sr-Latn-RS"/>
        </w:rPr>
      </w:pPr>
    </w:p>
    <w:p w14:paraId="47ED2E4F" w14:textId="77777777" w:rsidR="00B55FAA" w:rsidRPr="00E00E21" w:rsidRDefault="00B55FAA">
      <w:pPr>
        <w:tabs>
          <w:tab w:val="left" w:pos="540"/>
          <w:tab w:val="left" w:pos="569"/>
        </w:tabs>
        <w:jc w:val="both"/>
        <w:rPr>
          <w:bCs/>
          <w:sz w:val="22"/>
          <w:szCs w:val="22"/>
          <w:u w:val="single"/>
          <w:lang w:val="sr-Latn-RS"/>
        </w:rPr>
      </w:pPr>
      <w:r w:rsidRPr="00E00E21">
        <w:rPr>
          <w:bCs/>
          <w:sz w:val="22"/>
          <w:szCs w:val="22"/>
          <w:u w:val="single"/>
          <w:lang w:val="sr-Latn-RS"/>
        </w:rPr>
        <w:t xml:space="preserve">Rizik od neutropenije </w:t>
      </w:r>
    </w:p>
    <w:p w14:paraId="7116620A" w14:textId="16D8B8A0" w:rsidR="0022280F" w:rsidRPr="00E00E21" w:rsidRDefault="00B55FAA">
      <w:pPr>
        <w:tabs>
          <w:tab w:val="left" w:pos="540"/>
          <w:tab w:val="left" w:pos="569"/>
        </w:tabs>
        <w:jc w:val="both"/>
        <w:rPr>
          <w:bCs/>
          <w:sz w:val="22"/>
          <w:szCs w:val="22"/>
          <w:lang w:val="sr-Latn-RS"/>
        </w:rPr>
      </w:pPr>
      <w:r w:rsidRPr="00E00E21">
        <w:rPr>
          <w:bCs/>
          <w:sz w:val="22"/>
          <w:szCs w:val="22"/>
          <w:lang w:val="sr-Latn-RS"/>
        </w:rPr>
        <w:t>Pacijenti koji se liječe kabazitakselom mogu profilaktički primiti G-CSF, prema smjernicama ASCO-a ("American Society of Clinical Oncology") i/ili važećim smjernicama  ustanove u kojoj se pacijent liječi, radi smanjenja rizika ili kontrole neutropenijskih komplikacija (febrilna neutropenija, produžena neutropenija ili neutropenijska infekcija). Primarnu G-CSF profilaksu treba razmotriti kod pacijenata sa visoko rizičnim kliničkim stanjima (starost &gt;</w:t>
      </w:r>
      <w:r w:rsidR="00E50C94" w:rsidRPr="00E00E21">
        <w:rPr>
          <w:bCs/>
          <w:sz w:val="22"/>
          <w:szCs w:val="22"/>
          <w:lang w:val="sr-Latn-RS"/>
        </w:rPr>
        <w:t xml:space="preserve"> </w:t>
      </w:r>
      <w:r w:rsidRPr="00E00E21">
        <w:rPr>
          <w:bCs/>
          <w:sz w:val="22"/>
          <w:szCs w:val="22"/>
          <w:lang w:val="sr-Latn-RS"/>
        </w:rPr>
        <w:t>65 godina, slabo funkcionalno stanje, prethodne epizode febrilne neutropenije, prethodno ekstenzivno zračenje, slaba uhranjenost ili neki drugi ozbiljni komorbiditeti) koja predisponiraju pacijenta za ozbiljne komplikacije od produžene neutropenije. Dokazano je da primjena G-CSF-a smanjuje incidencu i težinu neutropenije. Neutropenija je najčešće neželjeno dejstvo kabazitaksela (</w:t>
      </w:r>
      <w:r w:rsidR="00E50C94" w:rsidRPr="00E00E21">
        <w:rPr>
          <w:bCs/>
          <w:sz w:val="22"/>
          <w:szCs w:val="22"/>
          <w:lang w:val="sr-Latn-RS"/>
        </w:rPr>
        <w:t xml:space="preserve">vidjeti </w:t>
      </w:r>
      <w:r w:rsidRPr="00E00E21">
        <w:rPr>
          <w:bCs/>
          <w:sz w:val="22"/>
          <w:szCs w:val="22"/>
          <w:lang w:val="sr-Latn-RS"/>
        </w:rPr>
        <w:t>dio 4.8). Kontrola kompletne krvne slike je neophodna na ned</w:t>
      </w:r>
      <w:r w:rsidR="00E50C94" w:rsidRPr="00E00E21">
        <w:rPr>
          <w:bCs/>
          <w:sz w:val="22"/>
          <w:szCs w:val="22"/>
          <w:lang w:val="sr-Latn-RS"/>
        </w:rPr>
        <w:t>j</w:t>
      </w:r>
      <w:r w:rsidRPr="00E00E21">
        <w:rPr>
          <w:bCs/>
          <w:sz w:val="22"/>
          <w:szCs w:val="22"/>
          <w:lang w:val="sr-Latn-RS"/>
        </w:rPr>
        <w:t>eljnom nivou tokom 1. ciklusa i pr</w:t>
      </w:r>
      <w:r w:rsidR="00E50C94" w:rsidRPr="00E00E21">
        <w:rPr>
          <w:bCs/>
          <w:sz w:val="22"/>
          <w:szCs w:val="22"/>
          <w:lang w:val="sr-Latn-RS"/>
        </w:rPr>
        <w:t>ij</w:t>
      </w:r>
      <w:r w:rsidRPr="00E00E21">
        <w:rPr>
          <w:bCs/>
          <w:sz w:val="22"/>
          <w:szCs w:val="22"/>
          <w:lang w:val="sr-Latn-RS"/>
        </w:rPr>
        <w:t>e svakog sl</w:t>
      </w:r>
      <w:r w:rsidR="00E50C94" w:rsidRPr="00E00E21">
        <w:rPr>
          <w:bCs/>
          <w:sz w:val="22"/>
          <w:szCs w:val="22"/>
          <w:lang w:val="sr-Latn-RS"/>
        </w:rPr>
        <w:t>j</w:t>
      </w:r>
      <w:r w:rsidRPr="00E00E21">
        <w:rPr>
          <w:bCs/>
          <w:sz w:val="22"/>
          <w:szCs w:val="22"/>
          <w:lang w:val="sr-Latn-RS"/>
        </w:rPr>
        <w:t xml:space="preserve">edećeg ciklusa liječenja, kako bi se, ako je to potrebno, doza prilagodila. </w:t>
      </w:r>
    </w:p>
    <w:p w14:paraId="18C8E6E3" w14:textId="77777777" w:rsidR="00674C4A" w:rsidRPr="00E00E21" w:rsidRDefault="00674C4A">
      <w:pPr>
        <w:tabs>
          <w:tab w:val="left" w:pos="540"/>
          <w:tab w:val="left" w:pos="569"/>
        </w:tabs>
        <w:jc w:val="both"/>
        <w:rPr>
          <w:bCs/>
          <w:sz w:val="22"/>
          <w:szCs w:val="22"/>
          <w:lang w:val="sr-Latn-RS"/>
        </w:rPr>
      </w:pPr>
    </w:p>
    <w:p w14:paraId="02BC1591" w14:textId="41A69CC8" w:rsidR="0022280F" w:rsidRPr="00E00E21" w:rsidRDefault="00B55FAA">
      <w:pPr>
        <w:tabs>
          <w:tab w:val="left" w:pos="540"/>
          <w:tab w:val="left" w:pos="569"/>
        </w:tabs>
        <w:jc w:val="both"/>
        <w:rPr>
          <w:bCs/>
          <w:sz w:val="22"/>
          <w:szCs w:val="22"/>
          <w:lang w:val="sr-Latn-RS"/>
        </w:rPr>
      </w:pPr>
      <w:r w:rsidRPr="00E00E21">
        <w:rPr>
          <w:bCs/>
          <w:sz w:val="22"/>
          <w:szCs w:val="22"/>
          <w:lang w:val="sr-Latn-RS"/>
        </w:rPr>
        <w:t xml:space="preserve">Dozu treba smanjiti u slučaju febrilne neutropenije ili produžene neutropenije, prisutne uprkos odgovarajućem </w:t>
      </w:r>
      <w:r w:rsidR="00F946DA" w:rsidRPr="00E00E21">
        <w:rPr>
          <w:bCs/>
          <w:sz w:val="22"/>
          <w:szCs w:val="22"/>
          <w:lang w:val="sr-Latn-RS"/>
        </w:rPr>
        <w:t>liječe</w:t>
      </w:r>
      <w:r w:rsidRPr="00E00E21">
        <w:rPr>
          <w:bCs/>
          <w:sz w:val="22"/>
          <w:szCs w:val="22"/>
          <w:lang w:val="sr-Latn-RS"/>
        </w:rPr>
        <w:t>nju (</w:t>
      </w:r>
      <w:r w:rsidR="00E50C94" w:rsidRPr="00E00E21">
        <w:rPr>
          <w:bCs/>
          <w:sz w:val="22"/>
          <w:szCs w:val="22"/>
          <w:lang w:val="sr-Latn-RS"/>
        </w:rPr>
        <w:t xml:space="preserve">vidjeti </w:t>
      </w:r>
      <w:r w:rsidRPr="00E00E21">
        <w:rPr>
          <w:bCs/>
          <w:sz w:val="22"/>
          <w:szCs w:val="22"/>
          <w:lang w:val="sr-Latn-RS"/>
        </w:rPr>
        <w:t xml:space="preserve">dio 4.2). </w:t>
      </w:r>
    </w:p>
    <w:p w14:paraId="1396E20E" w14:textId="77777777" w:rsidR="00674C4A" w:rsidRPr="00E00E21" w:rsidRDefault="00674C4A">
      <w:pPr>
        <w:tabs>
          <w:tab w:val="left" w:pos="540"/>
          <w:tab w:val="left" w:pos="569"/>
        </w:tabs>
        <w:jc w:val="both"/>
        <w:rPr>
          <w:bCs/>
          <w:sz w:val="22"/>
          <w:szCs w:val="22"/>
          <w:lang w:val="sr-Latn-RS"/>
        </w:rPr>
      </w:pPr>
    </w:p>
    <w:p w14:paraId="04941FF0" w14:textId="666C5F57" w:rsidR="0022280F" w:rsidRPr="00E00E21" w:rsidRDefault="00B55FAA">
      <w:pPr>
        <w:tabs>
          <w:tab w:val="left" w:pos="540"/>
          <w:tab w:val="left" w:pos="569"/>
        </w:tabs>
        <w:jc w:val="both"/>
        <w:rPr>
          <w:bCs/>
          <w:sz w:val="22"/>
          <w:szCs w:val="22"/>
          <w:lang w:val="sr-Latn-RS"/>
        </w:rPr>
      </w:pPr>
      <w:r w:rsidRPr="00E00E21">
        <w:rPr>
          <w:bCs/>
          <w:sz w:val="22"/>
          <w:szCs w:val="22"/>
          <w:lang w:val="sr-Latn-RS"/>
        </w:rPr>
        <w:t>Terapija se može nastaviti tek kada se broj neutrofila vrati na nivo ≥ 1500 /mm</w:t>
      </w:r>
      <w:r w:rsidRPr="00E00E21">
        <w:rPr>
          <w:bCs/>
          <w:sz w:val="22"/>
          <w:szCs w:val="22"/>
          <w:vertAlign w:val="superscript"/>
          <w:lang w:val="sr-Latn-RS"/>
        </w:rPr>
        <w:t>3</w:t>
      </w:r>
      <w:r w:rsidRPr="00E00E21">
        <w:rPr>
          <w:bCs/>
          <w:sz w:val="22"/>
          <w:szCs w:val="22"/>
          <w:lang w:val="sr-Latn-RS"/>
        </w:rPr>
        <w:t xml:space="preserve"> (</w:t>
      </w:r>
      <w:r w:rsidR="00E50C94" w:rsidRPr="00E00E21">
        <w:rPr>
          <w:bCs/>
          <w:sz w:val="22"/>
          <w:szCs w:val="22"/>
          <w:lang w:val="sr-Latn-RS"/>
        </w:rPr>
        <w:t xml:space="preserve">vidjeti </w:t>
      </w:r>
      <w:r w:rsidRPr="00E00E21">
        <w:rPr>
          <w:bCs/>
          <w:sz w:val="22"/>
          <w:szCs w:val="22"/>
          <w:lang w:val="sr-Latn-RS"/>
        </w:rPr>
        <w:t xml:space="preserve">dio 4.3). </w:t>
      </w:r>
    </w:p>
    <w:p w14:paraId="4199FFE0" w14:textId="77777777" w:rsidR="0022280F" w:rsidRPr="00E00E21" w:rsidRDefault="0022280F">
      <w:pPr>
        <w:tabs>
          <w:tab w:val="left" w:pos="540"/>
          <w:tab w:val="left" w:pos="569"/>
        </w:tabs>
        <w:jc w:val="both"/>
        <w:rPr>
          <w:bCs/>
          <w:sz w:val="22"/>
          <w:szCs w:val="22"/>
          <w:u w:val="single"/>
          <w:lang w:val="sr-Latn-RS"/>
        </w:rPr>
      </w:pPr>
    </w:p>
    <w:p w14:paraId="4BF9FBFF" w14:textId="77777777" w:rsidR="0022280F" w:rsidRPr="00E00E21" w:rsidRDefault="00B55FAA">
      <w:pPr>
        <w:tabs>
          <w:tab w:val="left" w:pos="540"/>
          <w:tab w:val="left" w:pos="569"/>
        </w:tabs>
        <w:jc w:val="both"/>
        <w:rPr>
          <w:bCs/>
          <w:sz w:val="22"/>
          <w:szCs w:val="22"/>
          <w:lang w:val="sr-Latn-RS"/>
        </w:rPr>
      </w:pPr>
      <w:r w:rsidRPr="00E00E21">
        <w:rPr>
          <w:bCs/>
          <w:sz w:val="22"/>
          <w:szCs w:val="22"/>
          <w:u w:val="single"/>
          <w:lang w:val="sr-Latn-RS"/>
        </w:rPr>
        <w:t>Gastrointestinalni poremećaji</w:t>
      </w:r>
      <w:r w:rsidRPr="00E00E21">
        <w:rPr>
          <w:bCs/>
          <w:sz w:val="22"/>
          <w:szCs w:val="22"/>
          <w:lang w:val="sr-Latn-RS"/>
        </w:rPr>
        <w:t xml:space="preserve"> </w:t>
      </w:r>
    </w:p>
    <w:p w14:paraId="50454911" w14:textId="77777777" w:rsidR="0022280F" w:rsidRPr="00E00E21" w:rsidRDefault="00B55FAA">
      <w:pPr>
        <w:tabs>
          <w:tab w:val="left" w:pos="540"/>
          <w:tab w:val="left" w:pos="569"/>
        </w:tabs>
        <w:jc w:val="both"/>
        <w:rPr>
          <w:bCs/>
          <w:sz w:val="22"/>
          <w:szCs w:val="22"/>
          <w:lang w:val="sr-Latn-RS"/>
        </w:rPr>
      </w:pPr>
      <w:r w:rsidRPr="00E00E21">
        <w:rPr>
          <w:bCs/>
          <w:sz w:val="22"/>
          <w:szCs w:val="22"/>
          <w:lang w:val="sr-Latn-RS"/>
        </w:rPr>
        <w:t xml:space="preserve">Simptomi kao što su bolovi i </w:t>
      </w:r>
      <w:r w:rsidR="003042DF" w:rsidRPr="00E00E21">
        <w:rPr>
          <w:bCs/>
          <w:sz w:val="22"/>
          <w:szCs w:val="22"/>
          <w:lang w:val="sr-Latn-RS"/>
        </w:rPr>
        <w:t>osjetljiv</w:t>
      </w:r>
      <w:r w:rsidRPr="00E00E21">
        <w:rPr>
          <w:bCs/>
          <w:sz w:val="22"/>
          <w:szCs w:val="22"/>
          <w:lang w:val="sr-Latn-RS"/>
        </w:rPr>
        <w:t xml:space="preserve">ost abdomena, povišena </w:t>
      </w:r>
      <w:r w:rsidR="0022280F" w:rsidRPr="00E00E21">
        <w:rPr>
          <w:bCs/>
          <w:sz w:val="22"/>
          <w:szCs w:val="22"/>
          <w:lang w:val="sr-Latn-RS"/>
        </w:rPr>
        <w:t>tjelesna temperatura</w:t>
      </w:r>
      <w:r w:rsidRPr="00E00E21">
        <w:rPr>
          <w:bCs/>
          <w:sz w:val="22"/>
          <w:szCs w:val="22"/>
          <w:lang w:val="sr-Latn-RS"/>
        </w:rPr>
        <w:t>, perzistentni zatvor, proliv, sa ili bez neutropenije, mogu biti rana manifestacija teške gastrointestinalne toksičnosti koju treba proc</w:t>
      </w:r>
      <w:r w:rsidR="0022280F" w:rsidRPr="00E00E21">
        <w:rPr>
          <w:bCs/>
          <w:sz w:val="22"/>
          <w:szCs w:val="22"/>
          <w:lang w:val="sr-Latn-RS"/>
        </w:rPr>
        <w:t>ij</w:t>
      </w:r>
      <w:r w:rsidRPr="00E00E21">
        <w:rPr>
          <w:bCs/>
          <w:sz w:val="22"/>
          <w:szCs w:val="22"/>
          <w:lang w:val="sr-Latn-RS"/>
        </w:rPr>
        <w:t xml:space="preserve">eniti i liječiti odmah. Možda će biti neophodno odlaganje ili prekid terapije kabazitakselom. </w:t>
      </w:r>
    </w:p>
    <w:p w14:paraId="0D10EC71" w14:textId="77777777" w:rsidR="0022280F" w:rsidRPr="00E00E21" w:rsidRDefault="0022280F">
      <w:pPr>
        <w:tabs>
          <w:tab w:val="left" w:pos="540"/>
          <w:tab w:val="left" w:pos="569"/>
        </w:tabs>
        <w:jc w:val="both"/>
        <w:rPr>
          <w:bCs/>
          <w:sz w:val="22"/>
          <w:szCs w:val="22"/>
          <w:lang w:val="sr-Latn-RS"/>
        </w:rPr>
      </w:pPr>
    </w:p>
    <w:p w14:paraId="5D4B67AB" w14:textId="335F2A93" w:rsidR="0022280F" w:rsidRPr="00E00E21" w:rsidRDefault="00B55FAA">
      <w:pPr>
        <w:tabs>
          <w:tab w:val="left" w:pos="540"/>
          <w:tab w:val="left" w:pos="569"/>
        </w:tabs>
        <w:jc w:val="both"/>
        <w:rPr>
          <w:bCs/>
          <w:i/>
          <w:iCs/>
          <w:sz w:val="22"/>
          <w:szCs w:val="22"/>
          <w:lang w:val="sr-Latn-RS"/>
        </w:rPr>
      </w:pPr>
      <w:r w:rsidRPr="00E00E21">
        <w:rPr>
          <w:bCs/>
          <w:i/>
          <w:iCs/>
          <w:sz w:val="22"/>
          <w:szCs w:val="22"/>
          <w:lang w:val="sr-Latn-RS"/>
        </w:rPr>
        <w:t xml:space="preserve">Rizik od mučnine, povraćanja, dijareje i dehidracije </w:t>
      </w:r>
    </w:p>
    <w:p w14:paraId="30D4E2F0" w14:textId="2B1904D0" w:rsidR="0022280F" w:rsidRPr="00E00E21" w:rsidRDefault="00B55FAA">
      <w:pPr>
        <w:tabs>
          <w:tab w:val="left" w:pos="540"/>
          <w:tab w:val="left" w:pos="569"/>
        </w:tabs>
        <w:jc w:val="both"/>
        <w:rPr>
          <w:bCs/>
          <w:sz w:val="22"/>
          <w:szCs w:val="22"/>
          <w:lang w:val="sr-Latn-RS"/>
        </w:rPr>
      </w:pPr>
      <w:r w:rsidRPr="00E00E21">
        <w:rPr>
          <w:bCs/>
          <w:sz w:val="22"/>
          <w:szCs w:val="22"/>
          <w:lang w:val="sr-Latn-RS"/>
        </w:rPr>
        <w:t xml:space="preserve">Ako pacijenti nakon primjene kabazitaksela dobiju dijareju, mogu se liječiti </w:t>
      </w:r>
      <w:r w:rsidR="0022280F" w:rsidRPr="00E00E21">
        <w:rPr>
          <w:bCs/>
          <w:sz w:val="22"/>
          <w:szCs w:val="22"/>
          <w:lang w:val="sr-Latn-RS"/>
        </w:rPr>
        <w:t>ljekovima koji</w:t>
      </w:r>
      <w:r w:rsidRPr="00E00E21">
        <w:rPr>
          <w:bCs/>
          <w:sz w:val="22"/>
          <w:szCs w:val="22"/>
          <w:lang w:val="sr-Latn-RS"/>
        </w:rPr>
        <w:t xml:space="preserve"> se obično uzimaju protiv dijareje. Potrebno je preduzeti odgovarajuće </w:t>
      </w:r>
      <w:r w:rsidR="0022280F" w:rsidRPr="00E00E21">
        <w:rPr>
          <w:bCs/>
          <w:sz w:val="22"/>
          <w:szCs w:val="22"/>
          <w:lang w:val="sr-Latn-RS"/>
        </w:rPr>
        <w:t>mjere</w:t>
      </w:r>
      <w:r w:rsidRPr="00E00E21">
        <w:rPr>
          <w:bCs/>
          <w:sz w:val="22"/>
          <w:szCs w:val="22"/>
          <w:lang w:val="sr-Latn-RS"/>
        </w:rPr>
        <w:t xml:space="preserve"> za rehidraciju pacijenta. Dijareja se može češće pojaviti kod pacijenata koji su ranije imali abdominalno/karlično zračenje. Dehidracija je češća kod pacijenata od 65 godina i starijih. Potrebno je preduzeti odgovarajuće </w:t>
      </w:r>
      <w:r w:rsidR="0022280F" w:rsidRPr="00E00E21">
        <w:rPr>
          <w:bCs/>
          <w:sz w:val="22"/>
          <w:szCs w:val="22"/>
          <w:lang w:val="sr-Latn-RS"/>
        </w:rPr>
        <w:t>mjere</w:t>
      </w:r>
      <w:r w:rsidRPr="00E00E21">
        <w:rPr>
          <w:bCs/>
          <w:sz w:val="22"/>
          <w:szCs w:val="22"/>
          <w:lang w:val="sr-Latn-RS"/>
        </w:rPr>
        <w:t xml:space="preserve"> za rehidrataciju pacijenta i praćenje i korekciju nivoa e</w:t>
      </w:r>
      <w:r w:rsidR="00F946DA" w:rsidRPr="00E00E21">
        <w:rPr>
          <w:bCs/>
          <w:sz w:val="22"/>
          <w:szCs w:val="22"/>
          <w:lang w:val="sr-Latn-RS"/>
        </w:rPr>
        <w:t>lijek</w:t>
      </w:r>
      <w:r w:rsidRPr="00E00E21">
        <w:rPr>
          <w:bCs/>
          <w:sz w:val="22"/>
          <w:szCs w:val="22"/>
          <w:lang w:val="sr-Latn-RS"/>
        </w:rPr>
        <w:t>trolita u serumu, posebno kalijuma. Odlaganje terapije ili smanjenje doze može biti neophodno u slučaju dijareje stepena ≥ 3 (</w:t>
      </w:r>
      <w:r w:rsidR="00E50C94" w:rsidRPr="00E00E21">
        <w:rPr>
          <w:bCs/>
          <w:sz w:val="22"/>
          <w:szCs w:val="22"/>
          <w:lang w:val="sr-Latn-RS"/>
        </w:rPr>
        <w:t xml:space="preserve">vidjeti </w:t>
      </w:r>
      <w:r w:rsidRPr="00E00E21">
        <w:rPr>
          <w:bCs/>
          <w:sz w:val="22"/>
          <w:szCs w:val="22"/>
          <w:lang w:val="sr-Latn-RS"/>
        </w:rPr>
        <w:t xml:space="preserve">dio 4.2). Ako se kod pacijenta javi mučnina ili povraćanje, mogu se liječiti antiemeticima. </w:t>
      </w:r>
    </w:p>
    <w:p w14:paraId="7212E687" w14:textId="77777777" w:rsidR="0022280F" w:rsidRPr="00E00E21" w:rsidRDefault="0022280F">
      <w:pPr>
        <w:tabs>
          <w:tab w:val="left" w:pos="540"/>
          <w:tab w:val="left" w:pos="569"/>
        </w:tabs>
        <w:jc w:val="both"/>
        <w:rPr>
          <w:bCs/>
          <w:sz w:val="22"/>
          <w:szCs w:val="22"/>
          <w:lang w:val="sr-Latn-RS"/>
        </w:rPr>
      </w:pPr>
    </w:p>
    <w:p w14:paraId="5A22C4F9" w14:textId="77777777" w:rsidR="0022280F" w:rsidRPr="00E00E21" w:rsidRDefault="00B55FAA">
      <w:pPr>
        <w:tabs>
          <w:tab w:val="left" w:pos="540"/>
          <w:tab w:val="left" w:pos="569"/>
        </w:tabs>
        <w:jc w:val="both"/>
        <w:rPr>
          <w:bCs/>
          <w:i/>
          <w:iCs/>
          <w:sz w:val="22"/>
          <w:szCs w:val="22"/>
          <w:lang w:val="sr-Latn-RS"/>
        </w:rPr>
      </w:pPr>
      <w:r w:rsidRPr="00E00E21">
        <w:rPr>
          <w:bCs/>
          <w:i/>
          <w:iCs/>
          <w:sz w:val="22"/>
          <w:szCs w:val="22"/>
          <w:lang w:val="sr-Latn-RS"/>
        </w:rPr>
        <w:t xml:space="preserve">Rizik od pojave ozbiljnih gastrointestinalnih reakcija </w:t>
      </w:r>
    </w:p>
    <w:p w14:paraId="02EB6F16" w14:textId="71C8E952" w:rsidR="0022280F" w:rsidRPr="00E00E21" w:rsidRDefault="00B55FAA">
      <w:pPr>
        <w:tabs>
          <w:tab w:val="left" w:pos="540"/>
          <w:tab w:val="left" w:pos="569"/>
        </w:tabs>
        <w:jc w:val="both"/>
        <w:rPr>
          <w:bCs/>
          <w:sz w:val="22"/>
          <w:szCs w:val="22"/>
          <w:lang w:val="sr-Latn-RS"/>
        </w:rPr>
      </w:pPr>
      <w:r w:rsidRPr="00E00E21">
        <w:rPr>
          <w:bCs/>
          <w:sz w:val="22"/>
          <w:szCs w:val="22"/>
          <w:lang w:val="sr-Latn-RS"/>
        </w:rPr>
        <w:t>Gastrointestinalna (GI) hemoragija i perforacije, ileus, kolitis, u</w:t>
      </w:r>
      <w:r w:rsidR="0022280F" w:rsidRPr="00E00E21">
        <w:rPr>
          <w:bCs/>
          <w:sz w:val="22"/>
          <w:szCs w:val="22"/>
          <w:lang w:val="sr-Latn-RS"/>
        </w:rPr>
        <w:t xml:space="preserve">ključujući </w:t>
      </w:r>
      <w:r w:rsidR="00E50C94" w:rsidRPr="00E00E21">
        <w:rPr>
          <w:bCs/>
          <w:sz w:val="22"/>
          <w:szCs w:val="22"/>
          <w:lang w:val="sr-Latn-RS"/>
        </w:rPr>
        <w:t xml:space="preserve">slučajeve sa </w:t>
      </w:r>
      <w:r w:rsidR="0022280F" w:rsidRPr="00E00E21">
        <w:rPr>
          <w:bCs/>
          <w:sz w:val="22"/>
          <w:szCs w:val="22"/>
          <w:lang w:val="sr-Latn-RS"/>
        </w:rPr>
        <w:t>smrtni</w:t>
      </w:r>
      <w:r w:rsidR="00E50C94" w:rsidRPr="00E00E21">
        <w:rPr>
          <w:bCs/>
          <w:sz w:val="22"/>
          <w:szCs w:val="22"/>
          <w:lang w:val="sr-Latn-RS"/>
        </w:rPr>
        <w:t>m</w:t>
      </w:r>
      <w:r w:rsidR="0022280F" w:rsidRPr="00E00E21">
        <w:rPr>
          <w:bCs/>
          <w:sz w:val="22"/>
          <w:szCs w:val="22"/>
          <w:lang w:val="sr-Latn-RS"/>
        </w:rPr>
        <w:t xml:space="preserve"> ishod</w:t>
      </w:r>
      <w:r w:rsidR="00E50C94" w:rsidRPr="00E00E21">
        <w:rPr>
          <w:bCs/>
          <w:sz w:val="22"/>
          <w:szCs w:val="22"/>
          <w:lang w:val="sr-Latn-RS"/>
        </w:rPr>
        <w:t>om</w:t>
      </w:r>
      <w:r w:rsidR="0022280F" w:rsidRPr="00E00E21">
        <w:rPr>
          <w:bCs/>
          <w:sz w:val="22"/>
          <w:szCs w:val="22"/>
          <w:lang w:val="sr-Latn-RS"/>
        </w:rPr>
        <w:t xml:space="preserve"> su zabi</w:t>
      </w:r>
      <w:r w:rsidRPr="00E00E21">
        <w:rPr>
          <w:bCs/>
          <w:sz w:val="22"/>
          <w:szCs w:val="22"/>
          <w:lang w:val="sr-Latn-RS"/>
        </w:rPr>
        <w:t>l</w:t>
      </w:r>
      <w:r w:rsidR="0022280F" w:rsidRPr="00E00E21">
        <w:rPr>
          <w:bCs/>
          <w:sz w:val="22"/>
          <w:szCs w:val="22"/>
          <w:lang w:val="sr-Latn-RS"/>
        </w:rPr>
        <w:t>j</w:t>
      </w:r>
      <w:r w:rsidRPr="00E00E21">
        <w:rPr>
          <w:bCs/>
          <w:sz w:val="22"/>
          <w:szCs w:val="22"/>
          <w:lang w:val="sr-Latn-RS"/>
        </w:rPr>
        <w:t>eženi kod pacijenata l</w:t>
      </w:r>
      <w:r w:rsidR="0022280F" w:rsidRPr="00E00E21">
        <w:rPr>
          <w:bCs/>
          <w:sz w:val="22"/>
          <w:szCs w:val="22"/>
          <w:lang w:val="sr-Latn-RS"/>
        </w:rPr>
        <w:t>ij</w:t>
      </w:r>
      <w:r w:rsidRPr="00E00E21">
        <w:rPr>
          <w:bCs/>
          <w:sz w:val="22"/>
          <w:szCs w:val="22"/>
          <w:lang w:val="sr-Latn-RS"/>
        </w:rPr>
        <w:t>ečenih kabazitakselom (</w:t>
      </w:r>
      <w:r w:rsidR="00E50C94" w:rsidRPr="00E00E21">
        <w:rPr>
          <w:bCs/>
          <w:sz w:val="22"/>
          <w:szCs w:val="22"/>
          <w:lang w:val="sr-Latn-RS"/>
        </w:rPr>
        <w:t xml:space="preserve">vidjeti </w:t>
      </w:r>
      <w:r w:rsidRPr="00E00E21">
        <w:rPr>
          <w:bCs/>
          <w:sz w:val="22"/>
          <w:szCs w:val="22"/>
          <w:lang w:val="sr-Latn-RS"/>
        </w:rPr>
        <w:t>dio 4.8). Sav</w:t>
      </w:r>
      <w:r w:rsidR="0022280F" w:rsidRPr="00E00E21">
        <w:rPr>
          <w:bCs/>
          <w:sz w:val="22"/>
          <w:szCs w:val="22"/>
          <w:lang w:val="sr-Latn-RS"/>
        </w:rPr>
        <w:t>j</w:t>
      </w:r>
      <w:r w:rsidRPr="00E00E21">
        <w:rPr>
          <w:bCs/>
          <w:sz w:val="22"/>
          <w:szCs w:val="22"/>
          <w:lang w:val="sr-Latn-RS"/>
        </w:rPr>
        <w:t>etuje se oprez pri l</w:t>
      </w:r>
      <w:r w:rsidR="0022280F" w:rsidRPr="00E00E21">
        <w:rPr>
          <w:bCs/>
          <w:sz w:val="22"/>
          <w:szCs w:val="22"/>
          <w:lang w:val="sr-Latn-RS"/>
        </w:rPr>
        <w:t>ij</w:t>
      </w:r>
      <w:r w:rsidRPr="00E00E21">
        <w:rPr>
          <w:bCs/>
          <w:sz w:val="22"/>
          <w:szCs w:val="22"/>
          <w:lang w:val="sr-Latn-RS"/>
        </w:rPr>
        <w:t>ečenju pacijenata sa najvećim rizikom od razvoja gastrointestinalnih komplikacija: pacijenata sa neutropenijom, starijih osoba, pacijenata koji isto</w:t>
      </w:r>
      <w:r w:rsidR="008B16FD" w:rsidRPr="00E00E21">
        <w:rPr>
          <w:bCs/>
          <w:sz w:val="22"/>
          <w:szCs w:val="22"/>
          <w:lang w:val="sr-Latn-RS"/>
        </w:rPr>
        <w:t>vreme</w:t>
      </w:r>
      <w:r w:rsidRPr="00E00E21">
        <w:rPr>
          <w:bCs/>
          <w:sz w:val="22"/>
          <w:szCs w:val="22"/>
          <w:lang w:val="sr-Latn-RS"/>
        </w:rPr>
        <w:t>no prim</w:t>
      </w:r>
      <w:r w:rsidR="0022280F" w:rsidRPr="00E00E21">
        <w:rPr>
          <w:bCs/>
          <w:sz w:val="22"/>
          <w:szCs w:val="22"/>
          <w:lang w:val="sr-Latn-RS"/>
        </w:rPr>
        <w:t>j</w:t>
      </w:r>
      <w:r w:rsidRPr="00E00E21">
        <w:rPr>
          <w:bCs/>
          <w:sz w:val="22"/>
          <w:szCs w:val="22"/>
          <w:lang w:val="sr-Latn-RS"/>
        </w:rPr>
        <w:t xml:space="preserve">enjuju NSAIL, anti-trombocitnu terapiju ili antikoagulanse i pacijenata koji u anamnezi imaju radioterapiju karlice ili gastrointestinalne bolesti, kao što su ulceracije i krvarenja. </w:t>
      </w:r>
    </w:p>
    <w:p w14:paraId="1D113E51" w14:textId="77777777" w:rsidR="0022280F" w:rsidRPr="00E00E21" w:rsidRDefault="0022280F">
      <w:pPr>
        <w:tabs>
          <w:tab w:val="left" w:pos="540"/>
          <w:tab w:val="left" w:pos="569"/>
        </w:tabs>
        <w:jc w:val="both"/>
        <w:rPr>
          <w:bCs/>
          <w:sz w:val="22"/>
          <w:szCs w:val="22"/>
          <w:lang w:val="sr-Latn-RS"/>
        </w:rPr>
      </w:pPr>
    </w:p>
    <w:p w14:paraId="39905A0F" w14:textId="77777777" w:rsidR="0022280F" w:rsidRPr="00E00E21" w:rsidRDefault="00B55FAA">
      <w:pPr>
        <w:tabs>
          <w:tab w:val="left" w:pos="540"/>
          <w:tab w:val="left" w:pos="569"/>
        </w:tabs>
        <w:jc w:val="both"/>
        <w:rPr>
          <w:bCs/>
          <w:sz w:val="22"/>
          <w:szCs w:val="22"/>
          <w:u w:val="single"/>
          <w:lang w:val="sr-Latn-RS"/>
        </w:rPr>
      </w:pPr>
      <w:r w:rsidRPr="00E00E21">
        <w:rPr>
          <w:bCs/>
          <w:sz w:val="22"/>
          <w:szCs w:val="22"/>
          <w:u w:val="single"/>
          <w:lang w:val="sr-Latn-RS"/>
        </w:rPr>
        <w:t xml:space="preserve">Periferna neuropatija </w:t>
      </w:r>
    </w:p>
    <w:p w14:paraId="71DBB781" w14:textId="5BC599DA" w:rsidR="0022280F" w:rsidRPr="00E00E21" w:rsidRDefault="00B55FAA">
      <w:pPr>
        <w:tabs>
          <w:tab w:val="left" w:pos="540"/>
          <w:tab w:val="left" w:pos="569"/>
        </w:tabs>
        <w:jc w:val="both"/>
        <w:rPr>
          <w:bCs/>
          <w:sz w:val="22"/>
          <w:szCs w:val="22"/>
          <w:lang w:val="sr-Latn-RS"/>
        </w:rPr>
      </w:pPr>
      <w:r w:rsidRPr="00E00E21">
        <w:rPr>
          <w:bCs/>
          <w:sz w:val="22"/>
          <w:szCs w:val="22"/>
          <w:lang w:val="sr-Latn-RS"/>
        </w:rPr>
        <w:t xml:space="preserve">Slučajevi periferne neuropatije, periferne senzorne neuropatije (npr. parestezija, dizestezija) i periferne motorne neuropatije uočeni su kod pacijenata koji su primali kabazitaksel. Pacijente koji su na terapiji kabazitakselom treba </w:t>
      </w:r>
      <w:r w:rsidR="0022280F" w:rsidRPr="00E00E21">
        <w:rPr>
          <w:bCs/>
          <w:sz w:val="22"/>
          <w:szCs w:val="22"/>
          <w:lang w:val="sr-Latn-RS"/>
        </w:rPr>
        <w:t>savjetovati</w:t>
      </w:r>
      <w:r w:rsidRPr="00E00E21">
        <w:rPr>
          <w:bCs/>
          <w:sz w:val="22"/>
          <w:szCs w:val="22"/>
          <w:lang w:val="sr-Latn-RS"/>
        </w:rPr>
        <w:t xml:space="preserve"> da obav</w:t>
      </w:r>
      <w:r w:rsidR="0022280F" w:rsidRPr="00E00E21">
        <w:rPr>
          <w:bCs/>
          <w:sz w:val="22"/>
          <w:szCs w:val="22"/>
          <w:lang w:val="sr-Latn-RS"/>
        </w:rPr>
        <w:t>ij</w:t>
      </w:r>
      <w:r w:rsidRPr="00E00E21">
        <w:rPr>
          <w:bCs/>
          <w:sz w:val="22"/>
          <w:szCs w:val="22"/>
          <w:lang w:val="sr-Latn-RS"/>
        </w:rPr>
        <w:t xml:space="preserve">este svog </w:t>
      </w:r>
      <w:r w:rsidR="0022280F" w:rsidRPr="00E00E21">
        <w:rPr>
          <w:bCs/>
          <w:sz w:val="22"/>
          <w:szCs w:val="22"/>
          <w:lang w:val="sr-Latn-RS"/>
        </w:rPr>
        <w:t>l</w:t>
      </w:r>
      <w:r w:rsidRPr="00E00E21">
        <w:rPr>
          <w:bCs/>
          <w:sz w:val="22"/>
          <w:szCs w:val="22"/>
          <w:lang w:val="sr-Latn-RS"/>
        </w:rPr>
        <w:t>jekara pr</w:t>
      </w:r>
      <w:r w:rsidR="00E50C94" w:rsidRPr="00E00E21">
        <w:rPr>
          <w:bCs/>
          <w:sz w:val="22"/>
          <w:szCs w:val="22"/>
          <w:lang w:val="sr-Latn-RS"/>
        </w:rPr>
        <w:t>ij</w:t>
      </w:r>
      <w:r w:rsidRPr="00E00E21">
        <w:rPr>
          <w:bCs/>
          <w:sz w:val="22"/>
          <w:szCs w:val="22"/>
          <w:lang w:val="sr-Latn-RS"/>
        </w:rPr>
        <w:t xml:space="preserve">e nastavka terapije ako se razviju </w:t>
      </w:r>
      <w:r w:rsidRPr="00E00E21">
        <w:rPr>
          <w:bCs/>
          <w:sz w:val="22"/>
          <w:szCs w:val="22"/>
          <w:lang w:val="sr-Latn-RS"/>
        </w:rPr>
        <w:lastRenderedPageBreak/>
        <w:t>simptomi neuropatije, kao što su bol, os</w:t>
      </w:r>
      <w:r w:rsidR="00E50C94" w:rsidRPr="00E00E21">
        <w:rPr>
          <w:bCs/>
          <w:sz w:val="22"/>
          <w:szCs w:val="22"/>
          <w:lang w:val="sr-Latn-RS"/>
        </w:rPr>
        <w:t>j</w:t>
      </w:r>
      <w:r w:rsidRPr="00E00E21">
        <w:rPr>
          <w:bCs/>
          <w:sz w:val="22"/>
          <w:szCs w:val="22"/>
          <w:lang w:val="sr-Latn-RS"/>
        </w:rPr>
        <w:t xml:space="preserve">ećaj peckanja, mravinjanja, utrnulost ili slabost. Pre svake terapije </w:t>
      </w:r>
      <w:r w:rsidR="0022280F" w:rsidRPr="00E00E21">
        <w:rPr>
          <w:bCs/>
          <w:sz w:val="22"/>
          <w:szCs w:val="22"/>
          <w:lang w:val="sr-Latn-RS"/>
        </w:rPr>
        <w:t>ljekar</w:t>
      </w:r>
      <w:r w:rsidRPr="00E00E21">
        <w:rPr>
          <w:bCs/>
          <w:sz w:val="22"/>
          <w:szCs w:val="22"/>
          <w:lang w:val="sr-Latn-RS"/>
        </w:rPr>
        <w:t>i treba da proc</w:t>
      </w:r>
      <w:r w:rsidR="00E50C94" w:rsidRPr="00E00E21">
        <w:rPr>
          <w:bCs/>
          <w:sz w:val="22"/>
          <w:szCs w:val="22"/>
          <w:lang w:val="sr-Latn-RS"/>
        </w:rPr>
        <w:t>j</w:t>
      </w:r>
      <w:r w:rsidRPr="00E00E21">
        <w:rPr>
          <w:bCs/>
          <w:sz w:val="22"/>
          <w:szCs w:val="22"/>
          <w:lang w:val="sr-Latn-RS"/>
        </w:rPr>
        <w:t>ene postojanje ili pogoršanje neuropatije. Liječenje treba odložiti do poboljšanja simptoma. U slučaju perzistentne periferne neuropatije stepena ≥ 2 dozu kabazitaksela treba smanjiti sa 25 mg/m</w:t>
      </w:r>
      <w:r w:rsidRPr="00E00E21">
        <w:rPr>
          <w:bCs/>
          <w:sz w:val="22"/>
          <w:szCs w:val="22"/>
          <w:vertAlign w:val="superscript"/>
          <w:lang w:val="sr-Latn-RS"/>
        </w:rPr>
        <w:t>2</w:t>
      </w:r>
      <w:r w:rsidRPr="00E00E21">
        <w:rPr>
          <w:bCs/>
          <w:sz w:val="22"/>
          <w:szCs w:val="22"/>
          <w:lang w:val="sr-Latn-RS"/>
        </w:rPr>
        <w:t xml:space="preserve"> na 20 mg/m</w:t>
      </w:r>
      <w:r w:rsidRPr="00E00E21">
        <w:rPr>
          <w:bCs/>
          <w:sz w:val="22"/>
          <w:szCs w:val="22"/>
          <w:vertAlign w:val="superscript"/>
          <w:lang w:val="sr-Latn-RS"/>
        </w:rPr>
        <w:t>2</w:t>
      </w:r>
      <w:r w:rsidRPr="00E00E21">
        <w:rPr>
          <w:bCs/>
          <w:sz w:val="22"/>
          <w:szCs w:val="22"/>
          <w:lang w:val="sr-Latn-RS"/>
        </w:rPr>
        <w:t xml:space="preserve"> (</w:t>
      </w:r>
      <w:r w:rsidR="003D023B" w:rsidRPr="00E00E21">
        <w:rPr>
          <w:bCs/>
          <w:sz w:val="22"/>
          <w:szCs w:val="22"/>
          <w:lang w:val="sr-Latn-RS"/>
        </w:rPr>
        <w:t xml:space="preserve">vidjeti </w:t>
      </w:r>
      <w:r w:rsidRPr="00E00E21">
        <w:rPr>
          <w:bCs/>
          <w:sz w:val="22"/>
          <w:szCs w:val="22"/>
          <w:lang w:val="sr-Latn-RS"/>
        </w:rPr>
        <w:t xml:space="preserve">dio 4.2). </w:t>
      </w:r>
    </w:p>
    <w:p w14:paraId="659B0E41" w14:textId="77777777" w:rsidR="0022280F" w:rsidRPr="00E00E21" w:rsidRDefault="0022280F" w:rsidP="00B55FAA">
      <w:pPr>
        <w:tabs>
          <w:tab w:val="left" w:pos="540"/>
          <w:tab w:val="left" w:pos="569"/>
        </w:tabs>
        <w:jc w:val="both"/>
        <w:rPr>
          <w:bCs/>
          <w:sz w:val="22"/>
          <w:szCs w:val="22"/>
          <w:lang w:val="sr-Latn-RS"/>
        </w:rPr>
      </w:pPr>
    </w:p>
    <w:p w14:paraId="0291219F" w14:textId="66DBF798" w:rsidR="0022280F" w:rsidRPr="00E00E21" w:rsidRDefault="00B55FAA" w:rsidP="00B232A2">
      <w:pPr>
        <w:tabs>
          <w:tab w:val="left" w:pos="540"/>
          <w:tab w:val="left" w:pos="569"/>
        </w:tabs>
        <w:jc w:val="both"/>
        <w:rPr>
          <w:bCs/>
          <w:sz w:val="22"/>
          <w:szCs w:val="22"/>
          <w:lang w:val="sr-Latn-RS"/>
        </w:rPr>
      </w:pPr>
      <w:r w:rsidRPr="00E00E21">
        <w:rPr>
          <w:bCs/>
          <w:sz w:val="22"/>
          <w:szCs w:val="22"/>
          <w:u w:val="single"/>
          <w:lang w:val="sr-Latn-RS"/>
        </w:rPr>
        <w:t xml:space="preserve">Anemija </w:t>
      </w:r>
    </w:p>
    <w:p w14:paraId="14C38870" w14:textId="057079A0" w:rsidR="00AC2433" w:rsidRPr="00E00E21" w:rsidRDefault="0022280F" w:rsidP="004F26A0">
      <w:pPr>
        <w:tabs>
          <w:tab w:val="left" w:pos="540"/>
          <w:tab w:val="left" w:pos="569"/>
        </w:tabs>
        <w:jc w:val="both"/>
        <w:rPr>
          <w:bCs/>
          <w:sz w:val="22"/>
          <w:szCs w:val="22"/>
          <w:lang w:val="sr-Latn-RS"/>
        </w:rPr>
      </w:pPr>
      <w:r w:rsidRPr="00E00E21">
        <w:rPr>
          <w:bCs/>
          <w:sz w:val="22"/>
          <w:szCs w:val="22"/>
          <w:lang w:val="sr-Latn-RS"/>
        </w:rPr>
        <w:t xml:space="preserve">Zabilježena </w:t>
      </w:r>
      <w:r w:rsidR="00B55FAA" w:rsidRPr="00E00E21">
        <w:rPr>
          <w:bCs/>
          <w:sz w:val="22"/>
          <w:szCs w:val="22"/>
          <w:lang w:val="sr-Latn-RS"/>
        </w:rPr>
        <w:t xml:space="preserve"> je pojava anemije kod pacijenata koji su primali kabazitaksel (</w:t>
      </w:r>
      <w:r w:rsidR="009F2C36" w:rsidRPr="00E00E21">
        <w:rPr>
          <w:bCs/>
          <w:sz w:val="22"/>
          <w:szCs w:val="22"/>
          <w:lang w:val="sr-Latn-RS"/>
        </w:rPr>
        <w:t>vidjeti</w:t>
      </w:r>
      <w:r w:rsidR="00B55FAA" w:rsidRPr="00E00E21">
        <w:rPr>
          <w:bCs/>
          <w:sz w:val="22"/>
          <w:szCs w:val="22"/>
          <w:lang w:val="sr-Latn-RS"/>
        </w:rPr>
        <w:t xml:space="preserve"> dio 4.8). Pr</w:t>
      </w:r>
      <w:r w:rsidR="00AC2433" w:rsidRPr="00E00E21">
        <w:rPr>
          <w:bCs/>
          <w:sz w:val="22"/>
          <w:szCs w:val="22"/>
          <w:lang w:val="sr-Latn-RS"/>
        </w:rPr>
        <w:t>ij</w:t>
      </w:r>
      <w:r w:rsidR="00B55FAA" w:rsidRPr="00E00E21">
        <w:rPr>
          <w:bCs/>
          <w:sz w:val="22"/>
          <w:szCs w:val="22"/>
          <w:lang w:val="sr-Latn-RS"/>
        </w:rPr>
        <w:t xml:space="preserve">e terapije kabazitakselom treba </w:t>
      </w:r>
      <w:r w:rsidR="00AC2433" w:rsidRPr="00E00E21">
        <w:rPr>
          <w:bCs/>
          <w:sz w:val="22"/>
          <w:szCs w:val="22"/>
          <w:lang w:val="sr-Latn-RS"/>
        </w:rPr>
        <w:t>provjeriti</w:t>
      </w:r>
      <w:r w:rsidR="00B55FAA" w:rsidRPr="00E00E21">
        <w:rPr>
          <w:bCs/>
          <w:sz w:val="22"/>
          <w:szCs w:val="22"/>
          <w:lang w:val="sr-Latn-RS"/>
        </w:rPr>
        <w:t xml:space="preserve"> hemoglobin i hematokrit, kao i ukoliko se kod pacijenta jave znaci ili simptomi anemije ili gubitka krvi. Neophodan je oprez kod pacijenata kojima je </w:t>
      </w:r>
      <w:r w:rsidR="008B16FD" w:rsidRPr="00E00E21">
        <w:rPr>
          <w:bCs/>
          <w:sz w:val="22"/>
          <w:szCs w:val="22"/>
          <w:lang w:val="sr-Latn-RS"/>
        </w:rPr>
        <w:t>vrijednost</w:t>
      </w:r>
      <w:r w:rsidR="00B55FAA" w:rsidRPr="00E00E21">
        <w:rPr>
          <w:bCs/>
          <w:sz w:val="22"/>
          <w:szCs w:val="22"/>
          <w:lang w:val="sr-Latn-RS"/>
        </w:rPr>
        <w:t xml:space="preserve"> hemoglobina &lt; 10</w:t>
      </w:r>
      <w:r w:rsidR="003D023B" w:rsidRPr="00E00E21">
        <w:rPr>
          <w:bCs/>
          <w:sz w:val="22"/>
          <w:szCs w:val="22"/>
          <w:lang w:val="sr-Latn-RS"/>
        </w:rPr>
        <w:t xml:space="preserve"> </w:t>
      </w:r>
      <w:r w:rsidR="00B55FAA" w:rsidRPr="00E00E21">
        <w:rPr>
          <w:bCs/>
          <w:sz w:val="22"/>
          <w:szCs w:val="22"/>
          <w:lang w:val="sr-Latn-RS"/>
        </w:rPr>
        <w:t>g/d</w:t>
      </w:r>
      <w:r w:rsidR="003D023B" w:rsidRPr="00E00E21">
        <w:rPr>
          <w:bCs/>
          <w:sz w:val="22"/>
          <w:szCs w:val="22"/>
          <w:lang w:val="sr-Latn-RS"/>
        </w:rPr>
        <w:t>l</w:t>
      </w:r>
      <w:r w:rsidR="00B55FAA" w:rsidRPr="00E00E21">
        <w:rPr>
          <w:bCs/>
          <w:sz w:val="22"/>
          <w:szCs w:val="22"/>
          <w:lang w:val="sr-Latn-RS"/>
        </w:rPr>
        <w:t xml:space="preserve"> i treba preduzeti odgovarajuće </w:t>
      </w:r>
      <w:r w:rsidRPr="00E00E21">
        <w:rPr>
          <w:bCs/>
          <w:sz w:val="22"/>
          <w:szCs w:val="22"/>
          <w:lang w:val="sr-Latn-RS"/>
        </w:rPr>
        <w:t xml:space="preserve">mjere </w:t>
      </w:r>
      <w:r w:rsidR="00B55FAA" w:rsidRPr="00E00E21">
        <w:rPr>
          <w:bCs/>
          <w:sz w:val="22"/>
          <w:szCs w:val="22"/>
          <w:lang w:val="sr-Latn-RS"/>
        </w:rPr>
        <w:t xml:space="preserve">u skladu sa kliničkom slikom. </w:t>
      </w:r>
    </w:p>
    <w:p w14:paraId="2C55E298" w14:textId="77777777" w:rsidR="00AC2433" w:rsidRPr="00E00E21" w:rsidRDefault="00AC2433" w:rsidP="00370E1E">
      <w:pPr>
        <w:tabs>
          <w:tab w:val="left" w:pos="540"/>
          <w:tab w:val="left" w:pos="569"/>
        </w:tabs>
        <w:jc w:val="both"/>
        <w:rPr>
          <w:bCs/>
          <w:sz w:val="22"/>
          <w:szCs w:val="22"/>
          <w:lang w:val="sr-Latn-RS"/>
        </w:rPr>
      </w:pPr>
    </w:p>
    <w:p w14:paraId="75E2AAA5" w14:textId="77777777" w:rsidR="00AC2433" w:rsidRPr="00E00E21" w:rsidRDefault="00B55FAA" w:rsidP="009B6A1F">
      <w:pPr>
        <w:tabs>
          <w:tab w:val="left" w:pos="540"/>
          <w:tab w:val="left" w:pos="569"/>
        </w:tabs>
        <w:jc w:val="both"/>
        <w:rPr>
          <w:bCs/>
          <w:sz w:val="22"/>
          <w:szCs w:val="22"/>
          <w:u w:val="single"/>
          <w:lang w:val="sr-Latn-RS"/>
        </w:rPr>
      </w:pPr>
      <w:r w:rsidRPr="00E00E21">
        <w:rPr>
          <w:bCs/>
          <w:sz w:val="22"/>
          <w:szCs w:val="22"/>
          <w:u w:val="single"/>
          <w:lang w:val="sr-Latn-RS"/>
        </w:rPr>
        <w:t xml:space="preserve">Rizik od bubrežne insuficijencije </w:t>
      </w:r>
    </w:p>
    <w:p w14:paraId="13B97C72" w14:textId="7BC0B242" w:rsidR="00AC2433" w:rsidRPr="00E00E21" w:rsidRDefault="00B55FAA" w:rsidP="009B6A1F">
      <w:pPr>
        <w:tabs>
          <w:tab w:val="left" w:pos="540"/>
          <w:tab w:val="left" w:pos="569"/>
        </w:tabs>
        <w:jc w:val="both"/>
        <w:rPr>
          <w:bCs/>
          <w:sz w:val="22"/>
          <w:szCs w:val="22"/>
          <w:lang w:val="sr-Latn-RS"/>
        </w:rPr>
      </w:pPr>
      <w:r w:rsidRPr="00E00E21">
        <w:rPr>
          <w:bCs/>
          <w:sz w:val="22"/>
          <w:szCs w:val="22"/>
          <w:lang w:val="sr-Latn-RS"/>
        </w:rPr>
        <w:t>Prijavljeni su slučajevi poremećaja funkcije bubrega povezani sa sepsom, teš</w:t>
      </w:r>
      <w:r w:rsidR="00AC2433" w:rsidRPr="00E00E21">
        <w:rPr>
          <w:bCs/>
          <w:sz w:val="22"/>
          <w:szCs w:val="22"/>
          <w:lang w:val="sr-Latn-RS"/>
        </w:rPr>
        <w:t>kom dehidracijom zbog dijareje</w:t>
      </w:r>
      <w:r w:rsidRPr="00E00E21">
        <w:rPr>
          <w:bCs/>
          <w:sz w:val="22"/>
          <w:szCs w:val="22"/>
          <w:lang w:val="sr-Latn-RS"/>
        </w:rPr>
        <w:t xml:space="preserve">, povraćanjem i opstruktivnom uropatijom. Takođe su </w:t>
      </w:r>
      <w:r w:rsidR="00AC2433" w:rsidRPr="00E00E21">
        <w:rPr>
          <w:bCs/>
          <w:sz w:val="22"/>
          <w:szCs w:val="22"/>
          <w:lang w:val="sr-Latn-RS"/>
        </w:rPr>
        <w:t>zabilježeni slučajevi</w:t>
      </w:r>
      <w:r w:rsidRPr="00E00E21">
        <w:rPr>
          <w:bCs/>
          <w:sz w:val="22"/>
          <w:szCs w:val="22"/>
          <w:lang w:val="sr-Latn-RS"/>
        </w:rPr>
        <w:t xml:space="preserve"> insuficijencije bubrega, uključujući slučajeve sa smrtnim ishodom. Ako se pojave takvi poremećaji, potrebno je preduzeti odgovarajuće </w:t>
      </w:r>
      <w:r w:rsidR="0022280F" w:rsidRPr="00E00E21">
        <w:rPr>
          <w:bCs/>
          <w:sz w:val="22"/>
          <w:szCs w:val="22"/>
          <w:lang w:val="sr-Latn-RS"/>
        </w:rPr>
        <w:t>mjere</w:t>
      </w:r>
      <w:r w:rsidRPr="00E00E21">
        <w:rPr>
          <w:bCs/>
          <w:sz w:val="22"/>
          <w:szCs w:val="22"/>
          <w:lang w:val="sr-Latn-RS"/>
        </w:rPr>
        <w:t xml:space="preserve"> za identifikaciju uzroka i preduzeti intenzivnu terapiju. </w:t>
      </w:r>
    </w:p>
    <w:p w14:paraId="3AB6D780" w14:textId="77777777" w:rsidR="00674C4A" w:rsidRPr="00E00E21" w:rsidRDefault="00674C4A" w:rsidP="009B6A1F">
      <w:pPr>
        <w:tabs>
          <w:tab w:val="left" w:pos="540"/>
          <w:tab w:val="left" w:pos="569"/>
        </w:tabs>
        <w:jc w:val="both"/>
        <w:rPr>
          <w:bCs/>
          <w:sz w:val="22"/>
          <w:szCs w:val="22"/>
          <w:lang w:val="sr-Latn-RS"/>
        </w:rPr>
      </w:pPr>
    </w:p>
    <w:p w14:paraId="4DE7E8AC" w14:textId="3A89FFB2" w:rsidR="00AC2433" w:rsidRPr="00E00E21" w:rsidRDefault="00B55FAA" w:rsidP="009B6A1F">
      <w:pPr>
        <w:tabs>
          <w:tab w:val="left" w:pos="540"/>
          <w:tab w:val="left" w:pos="569"/>
        </w:tabs>
        <w:jc w:val="both"/>
        <w:rPr>
          <w:bCs/>
          <w:sz w:val="22"/>
          <w:szCs w:val="22"/>
          <w:lang w:val="sr-Latn-RS"/>
        </w:rPr>
      </w:pPr>
      <w:r w:rsidRPr="00E00E21">
        <w:rPr>
          <w:bCs/>
          <w:sz w:val="22"/>
          <w:szCs w:val="22"/>
          <w:lang w:val="sr-Latn-RS"/>
        </w:rPr>
        <w:t>Tokom c</w:t>
      </w:r>
      <w:r w:rsidR="00AC2433" w:rsidRPr="00E00E21">
        <w:rPr>
          <w:bCs/>
          <w:sz w:val="22"/>
          <w:szCs w:val="22"/>
          <w:lang w:val="sr-Latn-RS"/>
        </w:rPr>
        <w:t>ij</w:t>
      </w:r>
      <w:r w:rsidRPr="00E00E21">
        <w:rPr>
          <w:bCs/>
          <w:sz w:val="22"/>
          <w:szCs w:val="22"/>
          <w:lang w:val="sr-Latn-RS"/>
        </w:rPr>
        <w:t xml:space="preserve">elog perioda liječenja kabazitakselom treba da se osigura odgovarajuća hidratacija. Pacijente treba </w:t>
      </w:r>
      <w:r w:rsidR="0022280F" w:rsidRPr="00E00E21">
        <w:rPr>
          <w:bCs/>
          <w:sz w:val="22"/>
          <w:szCs w:val="22"/>
          <w:lang w:val="sr-Latn-RS"/>
        </w:rPr>
        <w:t>savjetovati</w:t>
      </w:r>
      <w:r w:rsidRPr="00E00E21">
        <w:rPr>
          <w:bCs/>
          <w:sz w:val="22"/>
          <w:szCs w:val="22"/>
          <w:lang w:val="sr-Latn-RS"/>
        </w:rPr>
        <w:t xml:space="preserve"> da odmah prijave bilo kakvu značajnu prom</w:t>
      </w:r>
      <w:r w:rsidR="003D023B" w:rsidRPr="00E00E21">
        <w:rPr>
          <w:bCs/>
          <w:sz w:val="22"/>
          <w:szCs w:val="22"/>
          <w:lang w:val="sr-Latn-RS"/>
        </w:rPr>
        <w:t>j</w:t>
      </w:r>
      <w:r w:rsidRPr="00E00E21">
        <w:rPr>
          <w:bCs/>
          <w:sz w:val="22"/>
          <w:szCs w:val="22"/>
          <w:lang w:val="sr-Latn-RS"/>
        </w:rPr>
        <w:t xml:space="preserve">enu u dnevnom volumenu urina. Potrebno je </w:t>
      </w:r>
      <w:r w:rsidR="00AC2433" w:rsidRPr="00E00E21">
        <w:rPr>
          <w:bCs/>
          <w:sz w:val="22"/>
          <w:szCs w:val="22"/>
          <w:lang w:val="sr-Latn-RS"/>
        </w:rPr>
        <w:t>provjeriti</w:t>
      </w:r>
      <w:r w:rsidRPr="00E00E21">
        <w:rPr>
          <w:bCs/>
          <w:sz w:val="22"/>
          <w:szCs w:val="22"/>
          <w:lang w:val="sr-Latn-RS"/>
        </w:rPr>
        <w:t xml:space="preserve"> nivo kreatinina u serumu na početku terapije, prilikom svake kontrole broja krvnih ćelija i uv</w:t>
      </w:r>
      <w:r w:rsidR="003D023B" w:rsidRPr="00E00E21">
        <w:rPr>
          <w:bCs/>
          <w:sz w:val="22"/>
          <w:szCs w:val="22"/>
          <w:lang w:val="sr-Latn-RS"/>
        </w:rPr>
        <w:t>i</w:t>
      </w:r>
      <w:r w:rsidR="00AC2433" w:rsidRPr="00E00E21">
        <w:rPr>
          <w:bCs/>
          <w:sz w:val="22"/>
          <w:szCs w:val="22"/>
          <w:lang w:val="sr-Latn-RS"/>
        </w:rPr>
        <w:t>j</w:t>
      </w:r>
      <w:r w:rsidRPr="00E00E21">
        <w:rPr>
          <w:bCs/>
          <w:sz w:val="22"/>
          <w:szCs w:val="22"/>
          <w:lang w:val="sr-Latn-RS"/>
        </w:rPr>
        <w:t>ek kada pacijent prijavi prom</w:t>
      </w:r>
      <w:r w:rsidR="00AC2433" w:rsidRPr="00E00E21">
        <w:rPr>
          <w:bCs/>
          <w:sz w:val="22"/>
          <w:szCs w:val="22"/>
          <w:lang w:val="sr-Latn-RS"/>
        </w:rPr>
        <w:t>j</w:t>
      </w:r>
      <w:r w:rsidRPr="00E00E21">
        <w:rPr>
          <w:bCs/>
          <w:sz w:val="22"/>
          <w:szCs w:val="22"/>
          <w:lang w:val="sr-Latn-RS"/>
        </w:rPr>
        <w:t xml:space="preserve">enu u volumenu urina. Liječenje kabazitakselom treba prekinuti u slučaju bilo kakvog pogoršanja funkcije bubrega do insuficijencije bubrega stepena ≥ 3 prema CTCAE 4,0. </w:t>
      </w:r>
    </w:p>
    <w:p w14:paraId="54D5DE5B" w14:textId="77777777" w:rsidR="00AC2433" w:rsidRPr="00E00E21" w:rsidRDefault="00AC2433">
      <w:pPr>
        <w:tabs>
          <w:tab w:val="left" w:pos="540"/>
          <w:tab w:val="left" w:pos="569"/>
        </w:tabs>
        <w:jc w:val="both"/>
        <w:rPr>
          <w:bCs/>
          <w:sz w:val="22"/>
          <w:szCs w:val="22"/>
          <w:lang w:val="sr-Latn-RS"/>
        </w:rPr>
      </w:pPr>
    </w:p>
    <w:p w14:paraId="2BC03B07" w14:textId="77777777" w:rsidR="00AC2433" w:rsidRPr="00E00E21" w:rsidRDefault="00B55FAA">
      <w:pPr>
        <w:tabs>
          <w:tab w:val="left" w:pos="540"/>
          <w:tab w:val="left" w:pos="569"/>
        </w:tabs>
        <w:jc w:val="both"/>
        <w:rPr>
          <w:bCs/>
          <w:sz w:val="22"/>
          <w:szCs w:val="22"/>
          <w:lang w:val="sr-Latn-RS"/>
        </w:rPr>
      </w:pPr>
      <w:r w:rsidRPr="00E00E21">
        <w:rPr>
          <w:bCs/>
          <w:sz w:val="22"/>
          <w:szCs w:val="22"/>
          <w:u w:val="single"/>
          <w:lang w:val="sr-Latn-RS"/>
        </w:rPr>
        <w:t>Respiratorni poremećaji</w:t>
      </w:r>
      <w:r w:rsidRPr="00E00E21">
        <w:rPr>
          <w:bCs/>
          <w:sz w:val="22"/>
          <w:szCs w:val="22"/>
          <w:lang w:val="sr-Latn-RS"/>
        </w:rPr>
        <w:t xml:space="preserve"> </w:t>
      </w:r>
    </w:p>
    <w:p w14:paraId="651709CC" w14:textId="77777777" w:rsidR="00674C4A" w:rsidRPr="00E00E21" w:rsidRDefault="00B55FAA">
      <w:pPr>
        <w:tabs>
          <w:tab w:val="left" w:pos="540"/>
          <w:tab w:val="left" w:pos="569"/>
        </w:tabs>
        <w:jc w:val="both"/>
        <w:rPr>
          <w:bCs/>
          <w:sz w:val="22"/>
          <w:szCs w:val="22"/>
          <w:lang w:val="sr-Latn-RS"/>
        </w:rPr>
      </w:pPr>
      <w:r w:rsidRPr="00E00E21">
        <w:rPr>
          <w:bCs/>
          <w:sz w:val="22"/>
          <w:szCs w:val="22"/>
          <w:lang w:val="sr-Latn-RS"/>
        </w:rPr>
        <w:t>Prijavljivani su slučajevi intersticijalne pneumonije/pneumonitisa i intersticijalne bolesti pluća koji mogu biti povezani sa smrtnim ishodom (</w:t>
      </w:r>
      <w:r w:rsidR="009F2C36" w:rsidRPr="00E00E21">
        <w:rPr>
          <w:bCs/>
          <w:sz w:val="22"/>
          <w:szCs w:val="22"/>
          <w:lang w:val="sr-Latn-RS"/>
        </w:rPr>
        <w:t>vidjeti</w:t>
      </w:r>
      <w:r w:rsidRPr="00E00E21">
        <w:rPr>
          <w:bCs/>
          <w:sz w:val="22"/>
          <w:szCs w:val="22"/>
          <w:lang w:val="sr-Latn-RS"/>
        </w:rPr>
        <w:t xml:space="preserve"> dio 4.8). </w:t>
      </w:r>
    </w:p>
    <w:p w14:paraId="3A957FE0" w14:textId="77777777" w:rsidR="00674C4A" w:rsidRPr="00E00E21" w:rsidRDefault="00674C4A">
      <w:pPr>
        <w:tabs>
          <w:tab w:val="left" w:pos="540"/>
          <w:tab w:val="left" w:pos="569"/>
        </w:tabs>
        <w:jc w:val="both"/>
        <w:rPr>
          <w:bCs/>
          <w:sz w:val="22"/>
          <w:szCs w:val="22"/>
          <w:lang w:val="sr-Latn-RS"/>
        </w:rPr>
      </w:pPr>
    </w:p>
    <w:p w14:paraId="08A53996" w14:textId="2586AC87" w:rsidR="00AC2433" w:rsidRPr="00E00E21" w:rsidRDefault="00B55FAA">
      <w:pPr>
        <w:tabs>
          <w:tab w:val="left" w:pos="540"/>
          <w:tab w:val="left" w:pos="569"/>
        </w:tabs>
        <w:jc w:val="both"/>
        <w:rPr>
          <w:bCs/>
          <w:sz w:val="22"/>
          <w:szCs w:val="22"/>
          <w:lang w:val="sr-Latn-RS"/>
        </w:rPr>
      </w:pPr>
      <w:r w:rsidRPr="00E00E21">
        <w:rPr>
          <w:bCs/>
          <w:sz w:val="22"/>
          <w:szCs w:val="22"/>
          <w:lang w:val="sr-Latn-RS"/>
        </w:rPr>
        <w:t xml:space="preserve">Ukoliko dođe do pojave novih plućnih simptoma ili do pogoršanja postojećih, pacijente treba brižljivo </w:t>
      </w:r>
      <w:r w:rsidR="003D023B" w:rsidRPr="00E00E21">
        <w:rPr>
          <w:bCs/>
          <w:sz w:val="22"/>
          <w:szCs w:val="22"/>
          <w:lang w:val="sr-Latn-RS"/>
        </w:rPr>
        <w:t>pratiti</w:t>
      </w:r>
      <w:r w:rsidRPr="00E00E21">
        <w:rPr>
          <w:bCs/>
          <w:sz w:val="22"/>
          <w:szCs w:val="22"/>
          <w:lang w:val="sr-Latn-RS"/>
        </w:rPr>
        <w:t>, izvršiti bez odlaganja sve neophodne analize i prim</w:t>
      </w:r>
      <w:r w:rsidR="00AC2433" w:rsidRPr="00E00E21">
        <w:rPr>
          <w:bCs/>
          <w:sz w:val="22"/>
          <w:szCs w:val="22"/>
          <w:lang w:val="sr-Latn-RS"/>
        </w:rPr>
        <w:t>ij</w:t>
      </w:r>
      <w:r w:rsidRPr="00E00E21">
        <w:rPr>
          <w:bCs/>
          <w:sz w:val="22"/>
          <w:szCs w:val="22"/>
          <w:lang w:val="sr-Latn-RS"/>
        </w:rPr>
        <w:t>eniti odgovarajuću terapiju. Preporučuje se prekid terapije kabazitakselom do postavljanja dijagnoze. Rana primjena suportivnih m</w:t>
      </w:r>
      <w:r w:rsidR="003D023B" w:rsidRPr="00E00E21">
        <w:rPr>
          <w:bCs/>
          <w:sz w:val="22"/>
          <w:szCs w:val="22"/>
          <w:lang w:val="sr-Latn-RS"/>
        </w:rPr>
        <w:t>j</w:t>
      </w:r>
      <w:r w:rsidRPr="00E00E21">
        <w:rPr>
          <w:bCs/>
          <w:sz w:val="22"/>
          <w:szCs w:val="22"/>
          <w:lang w:val="sr-Latn-RS"/>
        </w:rPr>
        <w:t>era može pomoći u popravljanju stanja pacijenta. Korist od ponovne primjene kabazitaksela se mora pažljivo proc</w:t>
      </w:r>
      <w:r w:rsidR="00AC2433" w:rsidRPr="00E00E21">
        <w:rPr>
          <w:bCs/>
          <w:sz w:val="22"/>
          <w:szCs w:val="22"/>
          <w:lang w:val="sr-Latn-RS"/>
        </w:rPr>
        <w:t>ij</w:t>
      </w:r>
      <w:r w:rsidRPr="00E00E21">
        <w:rPr>
          <w:bCs/>
          <w:sz w:val="22"/>
          <w:szCs w:val="22"/>
          <w:lang w:val="sr-Latn-RS"/>
        </w:rPr>
        <w:t xml:space="preserve">eniti. </w:t>
      </w:r>
    </w:p>
    <w:p w14:paraId="459EF241" w14:textId="77777777" w:rsidR="00AC2433" w:rsidRPr="00E00E21" w:rsidRDefault="00AC2433">
      <w:pPr>
        <w:tabs>
          <w:tab w:val="left" w:pos="540"/>
          <w:tab w:val="left" w:pos="569"/>
        </w:tabs>
        <w:jc w:val="both"/>
        <w:rPr>
          <w:bCs/>
          <w:sz w:val="22"/>
          <w:szCs w:val="22"/>
          <w:lang w:val="sr-Latn-RS"/>
        </w:rPr>
      </w:pPr>
    </w:p>
    <w:p w14:paraId="7DC07B61" w14:textId="77777777" w:rsidR="00AC2433" w:rsidRPr="00E00E21" w:rsidRDefault="00B55FAA">
      <w:pPr>
        <w:tabs>
          <w:tab w:val="left" w:pos="540"/>
          <w:tab w:val="left" w:pos="569"/>
        </w:tabs>
        <w:jc w:val="both"/>
        <w:rPr>
          <w:bCs/>
          <w:sz w:val="22"/>
          <w:szCs w:val="22"/>
          <w:u w:val="single"/>
          <w:lang w:val="sr-Latn-RS"/>
        </w:rPr>
      </w:pPr>
      <w:r w:rsidRPr="00E00E21">
        <w:rPr>
          <w:bCs/>
          <w:sz w:val="22"/>
          <w:szCs w:val="22"/>
          <w:u w:val="single"/>
          <w:lang w:val="sr-Latn-RS"/>
        </w:rPr>
        <w:t xml:space="preserve">Rizik od srčanih aritmija </w:t>
      </w:r>
    </w:p>
    <w:p w14:paraId="5C4A3B49" w14:textId="7AFEBDC3" w:rsidR="00AC2433" w:rsidRPr="00E00E21" w:rsidRDefault="00B55FAA">
      <w:pPr>
        <w:tabs>
          <w:tab w:val="left" w:pos="540"/>
          <w:tab w:val="left" w:pos="569"/>
        </w:tabs>
        <w:jc w:val="both"/>
        <w:rPr>
          <w:bCs/>
          <w:sz w:val="22"/>
          <w:szCs w:val="22"/>
          <w:lang w:val="sr-Latn-RS"/>
        </w:rPr>
      </w:pPr>
      <w:r w:rsidRPr="00E00E21">
        <w:rPr>
          <w:bCs/>
          <w:sz w:val="22"/>
          <w:szCs w:val="22"/>
          <w:lang w:val="sr-Latn-RS"/>
        </w:rPr>
        <w:t>Prijavljeni su slučajevi srčanih aritmija, najčešće tahikardija i atrijalna fibrilacija (</w:t>
      </w:r>
      <w:r w:rsidR="003D023B" w:rsidRPr="00E00E21">
        <w:rPr>
          <w:bCs/>
          <w:sz w:val="22"/>
          <w:szCs w:val="22"/>
          <w:lang w:val="sr-Latn-RS"/>
        </w:rPr>
        <w:t xml:space="preserve">vidjeti </w:t>
      </w:r>
      <w:r w:rsidRPr="00E00E21">
        <w:rPr>
          <w:bCs/>
          <w:sz w:val="22"/>
          <w:szCs w:val="22"/>
          <w:lang w:val="sr-Latn-RS"/>
        </w:rPr>
        <w:t xml:space="preserve">dio 4.8). </w:t>
      </w:r>
    </w:p>
    <w:p w14:paraId="26D153E3" w14:textId="77777777" w:rsidR="00AC2433" w:rsidRPr="00E00E21" w:rsidRDefault="00AC2433">
      <w:pPr>
        <w:tabs>
          <w:tab w:val="left" w:pos="540"/>
          <w:tab w:val="left" w:pos="569"/>
        </w:tabs>
        <w:jc w:val="both"/>
        <w:rPr>
          <w:bCs/>
          <w:sz w:val="22"/>
          <w:szCs w:val="22"/>
          <w:lang w:val="sr-Latn-RS"/>
        </w:rPr>
      </w:pPr>
    </w:p>
    <w:p w14:paraId="478BE250" w14:textId="77777777" w:rsidR="00AC2433" w:rsidRPr="00E00E21" w:rsidRDefault="00B55FAA">
      <w:pPr>
        <w:tabs>
          <w:tab w:val="left" w:pos="540"/>
          <w:tab w:val="left" w:pos="569"/>
        </w:tabs>
        <w:jc w:val="both"/>
        <w:rPr>
          <w:bCs/>
          <w:sz w:val="22"/>
          <w:szCs w:val="22"/>
          <w:u w:val="single"/>
          <w:lang w:val="sr-Latn-RS"/>
        </w:rPr>
      </w:pPr>
      <w:r w:rsidRPr="00E00E21">
        <w:rPr>
          <w:bCs/>
          <w:sz w:val="22"/>
          <w:szCs w:val="22"/>
          <w:u w:val="single"/>
          <w:lang w:val="sr-Latn-RS"/>
        </w:rPr>
        <w:t xml:space="preserve">Stariji pacijenti </w:t>
      </w:r>
    </w:p>
    <w:p w14:paraId="5C75EF67" w14:textId="20C0B77D" w:rsidR="00AC2433" w:rsidRPr="00E00E21" w:rsidRDefault="00B55FAA">
      <w:pPr>
        <w:tabs>
          <w:tab w:val="left" w:pos="540"/>
          <w:tab w:val="left" w:pos="569"/>
        </w:tabs>
        <w:jc w:val="both"/>
        <w:rPr>
          <w:bCs/>
          <w:sz w:val="22"/>
          <w:szCs w:val="22"/>
          <w:lang w:val="sr-Latn-RS"/>
        </w:rPr>
      </w:pPr>
      <w:r w:rsidRPr="00E00E21">
        <w:rPr>
          <w:bCs/>
          <w:sz w:val="22"/>
          <w:szCs w:val="22"/>
          <w:lang w:val="sr-Latn-RS"/>
        </w:rPr>
        <w:t>Za starije pacijente (≥</w:t>
      </w:r>
      <w:r w:rsidR="003D023B" w:rsidRPr="00E00E21">
        <w:rPr>
          <w:bCs/>
          <w:sz w:val="22"/>
          <w:szCs w:val="22"/>
          <w:lang w:val="sr-Latn-RS"/>
        </w:rPr>
        <w:t xml:space="preserve"> </w:t>
      </w:r>
      <w:r w:rsidRPr="00E00E21">
        <w:rPr>
          <w:bCs/>
          <w:sz w:val="22"/>
          <w:szCs w:val="22"/>
          <w:lang w:val="sr-Latn-RS"/>
        </w:rPr>
        <w:t>65 godina) veća je v</w:t>
      </w:r>
      <w:r w:rsidR="00AC2433" w:rsidRPr="00E00E21">
        <w:rPr>
          <w:bCs/>
          <w:sz w:val="22"/>
          <w:szCs w:val="22"/>
          <w:lang w:val="sr-Latn-RS"/>
        </w:rPr>
        <w:t>j</w:t>
      </w:r>
      <w:r w:rsidRPr="00E00E21">
        <w:rPr>
          <w:bCs/>
          <w:sz w:val="22"/>
          <w:szCs w:val="22"/>
          <w:lang w:val="sr-Latn-RS"/>
        </w:rPr>
        <w:t>erovatnoća razvoja određenih neželjenih reakcija, uključujući neutropeniju i febrilnu neutropeniju (</w:t>
      </w:r>
      <w:r w:rsidR="003D023B" w:rsidRPr="00E00E21">
        <w:rPr>
          <w:bCs/>
          <w:sz w:val="22"/>
          <w:szCs w:val="22"/>
          <w:lang w:val="sr-Latn-RS"/>
        </w:rPr>
        <w:t xml:space="preserve">vidjeti </w:t>
      </w:r>
      <w:r w:rsidRPr="00E00E21">
        <w:rPr>
          <w:bCs/>
          <w:sz w:val="22"/>
          <w:szCs w:val="22"/>
          <w:lang w:val="sr-Latn-RS"/>
        </w:rPr>
        <w:t>dio 4.8).</w:t>
      </w:r>
    </w:p>
    <w:p w14:paraId="336E222D" w14:textId="77777777" w:rsidR="00AC2433" w:rsidRPr="00E00E21" w:rsidRDefault="00AC2433">
      <w:pPr>
        <w:tabs>
          <w:tab w:val="left" w:pos="540"/>
          <w:tab w:val="left" w:pos="569"/>
        </w:tabs>
        <w:jc w:val="both"/>
        <w:rPr>
          <w:bCs/>
          <w:sz w:val="22"/>
          <w:szCs w:val="22"/>
          <w:lang w:val="sr-Latn-RS"/>
        </w:rPr>
      </w:pPr>
    </w:p>
    <w:p w14:paraId="2321F76F" w14:textId="77777777" w:rsidR="00AC2433" w:rsidRPr="00E00E21" w:rsidRDefault="00B55FAA">
      <w:pPr>
        <w:tabs>
          <w:tab w:val="left" w:pos="540"/>
          <w:tab w:val="left" w:pos="569"/>
        </w:tabs>
        <w:jc w:val="both"/>
        <w:rPr>
          <w:bCs/>
          <w:sz w:val="22"/>
          <w:szCs w:val="22"/>
          <w:lang w:val="sr-Latn-RS"/>
        </w:rPr>
      </w:pPr>
      <w:r w:rsidRPr="00E00E21">
        <w:rPr>
          <w:bCs/>
          <w:sz w:val="22"/>
          <w:szCs w:val="22"/>
          <w:u w:val="single"/>
          <w:lang w:val="sr-Latn-RS"/>
        </w:rPr>
        <w:t>Pacijenti sa oštećenom funkcijom jetre</w:t>
      </w:r>
      <w:r w:rsidRPr="00E00E21">
        <w:rPr>
          <w:bCs/>
          <w:sz w:val="22"/>
          <w:szCs w:val="22"/>
          <w:lang w:val="sr-Latn-RS"/>
        </w:rPr>
        <w:t xml:space="preserve"> </w:t>
      </w:r>
    </w:p>
    <w:p w14:paraId="5B25FFE6" w14:textId="77777777" w:rsidR="00674C4A" w:rsidRPr="00E00E21" w:rsidRDefault="00B55FAA">
      <w:pPr>
        <w:tabs>
          <w:tab w:val="left" w:pos="540"/>
          <w:tab w:val="left" w:pos="569"/>
        </w:tabs>
        <w:jc w:val="both"/>
        <w:rPr>
          <w:bCs/>
          <w:sz w:val="22"/>
          <w:szCs w:val="22"/>
          <w:lang w:val="sr-Latn-RS"/>
        </w:rPr>
      </w:pPr>
      <w:r w:rsidRPr="00E00E21">
        <w:rPr>
          <w:bCs/>
          <w:sz w:val="22"/>
          <w:szCs w:val="22"/>
          <w:lang w:val="sr-Latn-RS"/>
        </w:rPr>
        <w:t>Liječenje l</w:t>
      </w:r>
      <w:r w:rsidR="00AC2433" w:rsidRPr="00E00E21">
        <w:rPr>
          <w:bCs/>
          <w:sz w:val="22"/>
          <w:szCs w:val="22"/>
          <w:lang w:val="sr-Latn-RS"/>
        </w:rPr>
        <w:t>ij</w:t>
      </w:r>
      <w:r w:rsidRPr="00E00E21">
        <w:rPr>
          <w:bCs/>
          <w:sz w:val="22"/>
          <w:szCs w:val="22"/>
          <w:lang w:val="sr-Latn-RS"/>
        </w:rPr>
        <w:t>ekom Kabazitaksel EVER Pharma je kontraindikovano za pacijente sa ozbiljnim oštećenjem funkcije jetre (ukupan bilirubin &gt; 3 x GGN) (</w:t>
      </w:r>
      <w:r w:rsidR="009F2C36" w:rsidRPr="00E00E21">
        <w:rPr>
          <w:bCs/>
          <w:sz w:val="22"/>
          <w:szCs w:val="22"/>
          <w:lang w:val="sr-Latn-RS"/>
        </w:rPr>
        <w:t>vidjeti</w:t>
      </w:r>
      <w:r w:rsidRPr="00E00E21">
        <w:rPr>
          <w:bCs/>
          <w:sz w:val="22"/>
          <w:szCs w:val="22"/>
          <w:lang w:val="sr-Latn-RS"/>
        </w:rPr>
        <w:t xml:space="preserve"> d</w:t>
      </w:r>
      <w:r w:rsidR="00AC2433" w:rsidRPr="00E00E21">
        <w:rPr>
          <w:bCs/>
          <w:sz w:val="22"/>
          <w:szCs w:val="22"/>
          <w:lang w:val="sr-Latn-RS"/>
        </w:rPr>
        <w:t>j</w:t>
      </w:r>
      <w:r w:rsidRPr="00E00E21">
        <w:rPr>
          <w:bCs/>
          <w:sz w:val="22"/>
          <w:szCs w:val="22"/>
          <w:lang w:val="sr-Latn-RS"/>
        </w:rPr>
        <w:t xml:space="preserve">elove 4.3 i 5.2). </w:t>
      </w:r>
    </w:p>
    <w:p w14:paraId="0B7EBED3" w14:textId="77777777" w:rsidR="00674C4A" w:rsidRPr="00E00E21" w:rsidRDefault="00674C4A">
      <w:pPr>
        <w:tabs>
          <w:tab w:val="left" w:pos="540"/>
          <w:tab w:val="left" w:pos="569"/>
        </w:tabs>
        <w:jc w:val="both"/>
        <w:rPr>
          <w:bCs/>
          <w:sz w:val="22"/>
          <w:szCs w:val="22"/>
          <w:lang w:val="sr-Latn-RS"/>
        </w:rPr>
      </w:pPr>
    </w:p>
    <w:p w14:paraId="691E240E" w14:textId="7C3800AC" w:rsidR="00AC2433" w:rsidRPr="00E00E21" w:rsidRDefault="00B55FAA">
      <w:pPr>
        <w:tabs>
          <w:tab w:val="left" w:pos="540"/>
          <w:tab w:val="left" w:pos="569"/>
        </w:tabs>
        <w:jc w:val="both"/>
        <w:rPr>
          <w:bCs/>
          <w:sz w:val="22"/>
          <w:szCs w:val="22"/>
          <w:lang w:val="sr-Latn-RS"/>
        </w:rPr>
      </w:pPr>
      <w:r w:rsidRPr="00E00E21">
        <w:rPr>
          <w:bCs/>
          <w:sz w:val="22"/>
          <w:szCs w:val="22"/>
          <w:lang w:val="sr-Latn-RS"/>
        </w:rPr>
        <w:t>Dozu treba smanjiti kod pacijenata sa blagim (ukupan bilirubin &gt;1 do ≤1,5 x GGN ili AST &gt;1,5 x GGN) oštećenj</w:t>
      </w:r>
      <w:r w:rsidR="00AC2433" w:rsidRPr="00E00E21">
        <w:rPr>
          <w:bCs/>
          <w:sz w:val="22"/>
          <w:szCs w:val="22"/>
          <w:lang w:val="sr-Latn-RS"/>
        </w:rPr>
        <w:t>em funkcije jetre (</w:t>
      </w:r>
      <w:r w:rsidR="003D023B" w:rsidRPr="00E00E21">
        <w:rPr>
          <w:bCs/>
          <w:sz w:val="22"/>
          <w:szCs w:val="22"/>
          <w:lang w:val="sr-Latn-RS"/>
        </w:rPr>
        <w:t>vidjeti</w:t>
      </w:r>
      <w:r w:rsidR="00674C4A" w:rsidRPr="00E00E21">
        <w:rPr>
          <w:bCs/>
          <w:sz w:val="22"/>
          <w:szCs w:val="22"/>
          <w:lang w:val="sr-Latn-RS"/>
        </w:rPr>
        <w:t xml:space="preserve"> </w:t>
      </w:r>
      <w:r w:rsidR="00AC2433" w:rsidRPr="00E00E21">
        <w:rPr>
          <w:bCs/>
          <w:sz w:val="22"/>
          <w:szCs w:val="22"/>
          <w:lang w:val="sr-Latn-RS"/>
        </w:rPr>
        <w:t>di</w:t>
      </w:r>
      <w:r w:rsidRPr="00E00E21">
        <w:rPr>
          <w:bCs/>
          <w:sz w:val="22"/>
          <w:szCs w:val="22"/>
          <w:lang w:val="sr-Latn-RS"/>
        </w:rPr>
        <w:t xml:space="preserve">o 4.2 i 5.2). </w:t>
      </w:r>
    </w:p>
    <w:p w14:paraId="445A18E8" w14:textId="77777777" w:rsidR="00AC2433" w:rsidRPr="00E00E21" w:rsidRDefault="00AC2433">
      <w:pPr>
        <w:tabs>
          <w:tab w:val="left" w:pos="540"/>
          <w:tab w:val="left" w:pos="569"/>
        </w:tabs>
        <w:jc w:val="both"/>
        <w:rPr>
          <w:bCs/>
          <w:sz w:val="22"/>
          <w:szCs w:val="22"/>
          <w:lang w:val="sr-Latn-RS"/>
        </w:rPr>
      </w:pPr>
    </w:p>
    <w:p w14:paraId="4F7A64BB" w14:textId="77777777" w:rsidR="00AC2433" w:rsidRPr="00E00E21" w:rsidRDefault="00B55FAA">
      <w:pPr>
        <w:tabs>
          <w:tab w:val="left" w:pos="540"/>
          <w:tab w:val="left" w:pos="569"/>
        </w:tabs>
        <w:jc w:val="both"/>
        <w:rPr>
          <w:bCs/>
          <w:sz w:val="22"/>
          <w:szCs w:val="22"/>
          <w:u w:val="single"/>
          <w:lang w:val="sr-Latn-RS"/>
        </w:rPr>
      </w:pPr>
      <w:r w:rsidRPr="00E00E21">
        <w:rPr>
          <w:bCs/>
          <w:sz w:val="22"/>
          <w:szCs w:val="22"/>
          <w:u w:val="single"/>
          <w:lang w:val="sr-Latn-RS"/>
        </w:rPr>
        <w:t xml:space="preserve">Interakcije </w:t>
      </w:r>
    </w:p>
    <w:p w14:paraId="25773BB8" w14:textId="04DCDBEA" w:rsidR="00461129" w:rsidRPr="00E00E21" w:rsidRDefault="00B55FAA">
      <w:pPr>
        <w:tabs>
          <w:tab w:val="left" w:pos="540"/>
          <w:tab w:val="left" w:pos="569"/>
        </w:tabs>
        <w:jc w:val="both"/>
        <w:rPr>
          <w:bCs/>
          <w:sz w:val="22"/>
          <w:szCs w:val="22"/>
          <w:lang w:val="sr-Latn-RS"/>
        </w:rPr>
      </w:pPr>
      <w:r w:rsidRPr="00E00E21">
        <w:rPr>
          <w:bCs/>
          <w:sz w:val="22"/>
          <w:szCs w:val="22"/>
          <w:lang w:val="sr-Latn-RS"/>
        </w:rPr>
        <w:t>Potrebno je izb</w:t>
      </w:r>
      <w:r w:rsidR="003D023B" w:rsidRPr="00E00E21">
        <w:rPr>
          <w:bCs/>
          <w:sz w:val="22"/>
          <w:szCs w:val="22"/>
          <w:lang w:val="sr-Latn-RS"/>
        </w:rPr>
        <w:t>j</w:t>
      </w:r>
      <w:r w:rsidRPr="00E00E21">
        <w:rPr>
          <w:bCs/>
          <w:sz w:val="22"/>
          <w:szCs w:val="22"/>
          <w:lang w:val="sr-Latn-RS"/>
        </w:rPr>
        <w:t>egavati isto</w:t>
      </w:r>
      <w:r w:rsidR="008B16FD" w:rsidRPr="00E00E21">
        <w:rPr>
          <w:bCs/>
          <w:sz w:val="22"/>
          <w:szCs w:val="22"/>
          <w:lang w:val="sr-Latn-RS"/>
        </w:rPr>
        <w:t>vreme</w:t>
      </w:r>
      <w:r w:rsidRPr="00E00E21">
        <w:rPr>
          <w:bCs/>
          <w:sz w:val="22"/>
          <w:szCs w:val="22"/>
          <w:lang w:val="sr-Latn-RS"/>
        </w:rPr>
        <w:t>nu primjenu sa snažnim CYP3A inhibitorima jer oni mogu uzrokovati povećanje koncentracije kabazitaksela u plazmi (</w:t>
      </w:r>
      <w:r w:rsidR="003D023B" w:rsidRPr="00E00E21">
        <w:rPr>
          <w:bCs/>
          <w:sz w:val="22"/>
          <w:szCs w:val="22"/>
          <w:lang w:val="sr-Latn-RS"/>
        </w:rPr>
        <w:t xml:space="preserve">vidjeti </w:t>
      </w:r>
      <w:r w:rsidRPr="00E00E21">
        <w:rPr>
          <w:bCs/>
          <w:sz w:val="22"/>
          <w:szCs w:val="22"/>
          <w:lang w:val="sr-Latn-RS"/>
        </w:rPr>
        <w:t>d</w:t>
      </w:r>
      <w:r w:rsidR="00461129" w:rsidRPr="00E00E21">
        <w:rPr>
          <w:bCs/>
          <w:sz w:val="22"/>
          <w:szCs w:val="22"/>
          <w:lang w:val="sr-Latn-RS"/>
        </w:rPr>
        <w:t>j</w:t>
      </w:r>
      <w:r w:rsidRPr="00E00E21">
        <w:rPr>
          <w:bCs/>
          <w:sz w:val="22"/>
          <w:szCs w:val="22"/>
          <w:lang w:val="sr-Latn-RS"/>
        </w:rPr>
        <w:t>elove 4.2 i 4.5). Ukoliko se isto</w:t>
      </w:r>
      <w:r w:rsidR="008B16FD" w:rsidRPr="00E00E21">
        <w:rPr>
          <w:bCs/>
          <w:sz w:val="22"/>
          <w:szCs w:val="22"/>
          <w:lang w:val="sr-Latn-RS"/>
        </w:rPr>
        <w:t>vreme</w:t>
      </w:r>
      <w:r w:rsidRPr="00E00E21">
        <w:rPr>
          <w:bCs/>
          <w:sz w:val="22"/>
          <w:szCs w:val="22"/>
          <w:lang w:val="sr-Latn-RS"/>
        </w:rPr>
        <w:t>na primjena snažnih CYP3A inhibitora ne može izb</w:t>
      </w:r>
      <w:r w:rsidR="003D023B" w:rsidRPr="00E00E21">
        <w:rPr>
          <w:bCs/>
          <w:sz w:val="22"/>
          <w:szCs w:val="22"/>
          <w:lang w:val="sr-Latn-RS"/>
        </w:rPr>
        <w:t>j</w:t>
      </w:r>
      <w:r w:rsidRPr="00E00E21">
        <w:rPr>
          <w:bCs/>
          <w:sz w:val="22"/>
          <w:szCs w:val="22"/>
          <w:lang w:val="sr-Latn-RS"/>
        </w:rPr>
        <w:t>eći treba razmotriti pažljivo praćenje pacijenata kao i smanjenje doze kabazitaksela (</w:t>
      </w:r>
      <w:r w:rsidR="009F2C36" w:rsidRPr="00E00E21">
        <w:rPr>
          <w:bCs/>
          <w:sz w:val="22"/>
          <w:szCs w:val="22"/>
          <w:lang w:val="sr-Latn-RS"/>
        </w:rPr>
        <w:t>vidjeti</w:t>
      </w:r>
      <w:r w:rsidRPr="00E00E21">
        <w:rPr>
          <w:bCs/>
          <w:sz w:val="22"/>
          <w:szCs w:val="22"/>
          <w:lang w:val="sr-Latn-RS"/>
        </w:rPr>
        <w:t xml:space="preserve"> d</w:t>
      </w:r>
      <w:r w:rsidR="00461129" w:rsidRPr="00E00E21">
        <w:rPr>
          <w:bCs/>
          <w:sz w:val="22"/>
          <w:szCs w:val="22"/>
          <w:lang w:val="sr-Latn-RS"/>
        </w:rPr>
        <w:t>j</w:t>
      </w:r>
      <w:r w:rsidRPr="00E00E21">
        <w:rPr>
          <w:bCs/>
          <w:sz w:val="22"/>
          <w:szCs w:val="22"/>
          <w:lang w:val="sr-Latn-RS"/>
        </w:rPr>
        <w:t xml:space="preserve">elove 4.2 i 4.5). </w:t>
      </w:r>
    </w:p>
    <w:p w14:paraId="0C71BCCE" w14:textId="77777777" w:rsidR="00674C4A" w:rsidRPr="00E00E21" w:rsidRDefault="00674C4A">
      <w:pPr>
        <w:tabs>
          <w:tab w:val="left" w:pos="540"/>
          <w:tab w:val="left" w:pos="569"/>
        </w:tabs>
        <w:jc w:val="both"/>
        <w:rPr>
          <w:bCs/>
          <w:sz w:val="22"/>
          <w:szCs w:val="22"/>
          <w:lang w:val="sr-Latn-RS"/>
        </w:rPr>
      </w:pPr>
    </w:p>
    <w:p w14:paraId="6A3AB6E4" w14:textId="3A31C09F" w:rsidR="00461129" w:rsidRPr="00E00E21" w:rsidRDefault="00B55FAA">
      <w:pPr>
        <w:tabs>
          <w:tab w:val="left" w:pos="540"/>
          <w:tab w:val="left" w:pos="569"/>
        </w:tabs>
        <w:jc w:val="both"/>
        <w:rPr>
          <w:bCs/>
          <w:sz w:val="22"/>
          <w:szCs w:val="22"/>
          <w:lang w:val="sr-Latn-RS"/>
        </w:rPr>
      </w:pPr>
      <w:r w:rsidRPr="00E00E21">
        <w:rPr>
          <w:bCs/>
          <w:sz w:val="22"/>
          <w:szCs w:val="22"/>
          <w:lang w:val="sr-Latn-RS"/>
        </w:rPr>
        <w:t>Potrebno je izb</w:t>
      </w:r>
      <w:r w:rsidR="00461129" w:rsidRPr="00E00E21">
        <w:rPr>
          <w:bCs/>
          <w:sz w:val="22"/>
          <w:szCs w:val="22"/>
          <w:lang w:val="sr-Latn-RS"/>
        </w:rPr>
        <w:t>j</w:t>
      </w:r>
      <w:r w:rsidRPr="00E00E21">
        <w:rPr>
          <w:bCs/>
          <w:sz w:val="22"/>
          <w:szCs w:val="22"/>
          <w:lang w:val="sr-Latn-RS"/>
        </w:rPr>
        <w:t>egavati isto</w:t>
      </w:r>
      <w:r w:rsidR="008B16FD" w:rsidRPr="00E00E21">
        <w:rPr>
          <w:bCs/>
          <w:sz w:val="22"/>
          <w:szCs w:val="22"/>
          <w:lang w:val="sr-Latn-RS"/>
        </w:rPr>
        <w:t>vreme</w:t>
      </w:r>
      <w:r w:rsidRPr="00E00E21">
        <w:rPr>
          <w:bCs/>
          <w:sz w:val="22"/>
          <w:szCs w:val="22"/>
          <w:lang w:val="sr-Latn-RS"/>
        </w:rPr>
        <w:t>nu primjenu sa snažnim CYP3A induktorima jer oni mogu smanjiti koncentraciju kabazitaksela u plazmi (</w:t>
      </w:r>
      <w:r w:rsidR="005C5D3F" w:rsidRPr="00E00E21">
        <w:rPr>
          <w:bCs/>
          <w:sz w:val="22"/>
          <w:szCs w:val="22"/>
          <w:lang w:val="sr-Latn-RS"/>
        </w:rPr>
        <w:t xml:space="preserve">vidjeti </w:t>
      </w:r>
      <w:r w:rsidR="00461129" w:rsidRPr="00E00E21">
        <w:rPr>
          <w:bCs/>
          <w:sz w:val="22"/>
          <w:szCs w:val="22"/>
          <w:lang w:val="sr-Latn-RS"/>
        </w:rPr>
        <w:t>djelove</w:t>
      </w:r>
      <w:r w:rsidRPr="00E00E21">
        <w:rPr>
          <w:bCs/>
          <w:sz w:val="22"/>
          <w:szCs w:val="22"/>
          <w:lang w:val="sr-Latn-RS"/>
        </w:rPr>
        <w:t xml:space="preserve"> 4.2 i 4.5). </w:t>
      </w:r>
    </w:p>
    <w:p w14:paraId="698739BE" w14:textId="77777777" w:rsidR="00461129" w:rsidRPr="00E00E21" w:rsidRDefault="00461129">
      <w:pPr>
        <w:tabs>
          <w:tab w:val="left" w:pos="540"/>
          <w:tab w:val="left" w:pos="569"/>
        </w:tabs>
        <w:jc w:val="both"/>
        <w:rPr>
          <w:bCs/>
          <w:sz w:val="22"/>
          <w:szCs w:val="22"/>
          <w:lang w:val="sr-Latn-RS"/>
        </w:rPr>
      </w:pPr>
    </w:p>
    <w:p w14:paraId="03BF23F7" w14:textId="77777777" w:rsidR="00461129" w:rsidRPr="00E00E21" w:rsidRDefault="00B55FAA">
      <w:pPr>
        <w:tabs>
          <w:tab w:val="left" w:pos="540"/>
          <w:tab w:val="left" w:pos="569"/>
        </w:tabs>
        <w:jc w:val="both"/>
        <w:rPr>
          <w:bCs/>
          <w:sz w:val="22"/>
          <w:szCs w:val="22"/>
          <w:lang w:val="sr-Latn-RS"/>
        </w:rPr>
      </w:pPr>
      <w:r w:rsidRPr="00E00E21">
        <w:rPr>
          <w:bCs/>
          <w:sz w:val="22"/>
          <w:szCs w:val="22"/>
          <w:u w:val="single"/>
          <w:lang w:val="sr-Latn-RS"/>
        </w:rPr>
        <w:t>Pomoćne supstance</w:t>
      </w:r>
      <w:r w:rsidRPr="00E00E21">
        <w:rPr>
          <w:bCs/>
          <w:sz w:val="22"/>
          <w:szCs w:val="22"/>
          <w:lang w:val="sr-Latn-RS"/>
        </w:rPr>
        <w:t xml:space="preserve"> </w:t>
      </w:r>
    </w:p>
    <w:p w14:paraId="07A7FF65" w14:textId="7DF3CD1D" w:rsidR="00461129" w:rsidRPr="00E00E21" w:rsidRDefault="00461129">
      <w:pPr>
        <w:tabs>
          <w:tab w:val="left" w:pos="540"/>
          <w:tab w:val="left" w:pos="569"/>
        </w:tabs>
        <w:jc w:val="both"/>
        <w:rPr>
          <w:bCs/>
          <w:sz w:val="22"/>
          <w:szCs w:val="22"/>
          <w:u w:val="single"/>
          <w:lang w:val="sr-Latn-RS"/>
        </w:rPr>
      </w:pPr>
      <w:r w:rsidRPr="00E00E21">
        <w:rPr>
          <w:bCs/>
          <w:sz w:val="22"/>
          <w:szCs w:val="22"/>
          <w:u w:val="single"/>
          <w:lang w:val="sr-Latn-RS"/>
        </w:rPr>
        <w:t>Ovaj lijek sadrži 197</w:t>
      </w:r>
      <w:r w:rsidR="00B55FAA" w:rsidRPr="00E00E21">
        <w:rPr>
          <w:bCs/>
          <w:sz w:val="22"/>
          <w:szCs w:val="22"/>
          <w:u w:val="single"/>
          <w:lang w:val="sr-Latn-RS"/>
        </w:rPr>
        <w:t>,</w:t>
      </w:r>
      <w:r w:rsidRPr="00E00E21">
        <w:rPr>
          <w:bCs/>
          <w:sz w:val="22"/>
          <w:szCs w:val="22"/>
          <w:u w:val="single"/>
          <w:lang w:val="sr-Latn-RS"/>
        </w:rPr>
        <w:t>5</w:t>
      </w:r>
      <w:r w:rsidR="00B55FAA" w:rsidRPr="00E00E21">
        <w:rPr>
          <w:bCs/>
          <w:sz w:val="22"/>
          <w:szCs w:val="22"/>
          <w:u w:val="single"/>
          <w:lang w:val="sr-Latn-RS"/>
        </w:rPr>
        <w:t xml:space="preserve"> mg</w:t>
      </w:r>
      <w:r w:rsidRPr="00E00E21">
        <w:rPr>
          <w:bCs/>
          <w:sz w:val="22"/>
          <w:szCs w:val="22"/>
          <w:u w:val="single"/>
          <w:lang w:val="sr-Latn-RS"/>
        </w:rPr>
        <w:t xml:space="preserve"> etanola po ml.</w:t>
      </w:r>
    </w:p>
    <w:p w14:paraId="52FD86F4" w14:textId="77777777" w:rsidR="00461129" w:rsidRPr="00E00E21" w:rsidRDefault="00461129">
      <w:pPr>
        <w:tabs>
          <w:tab w:val="left" w:pos="540"/>
          <w:tab w:val="left" w:pos="569"/>
        </w:tabs>
        <w:jc w:val="both"/>
        <w:rPr>
          <w:bCs/>
          <w:sz w:val="22"/>
          <w:szCs w:val="22"/>
          <w:lang w:val="sr-Latn-RS"/>
        </w:rPr>
      </w:pPr>
    </w:p>
    <w:p w14:paraId="632F207F" w14:textId="77777777" w:rsidR="00461129" w:rsidRPr="00E00E21" w:rsidRDefault="00461129" w:rsidP="00E630C6">
      <w:pPr>
        <w:jc w:val="both"/>
        <w:rPr>
          <w:bCs/>
          <w:sz w:val="22"/>
          <w:szCs w:val="22"/>
          <w:lang w:val="sr-Latn-RS"/>
        </w:rPr>
      </w:pPr>
      <w:r w:rsidRPr="00E00E21">
        <w:rPr>
          <w:bCs/>
          <w:sz w:val="22"/>
          <w:szCs w:val="22"/>
          <w:lang w:val="sr-Latn-RS"/>
        </w:rPr>
        <w:t>Bočica 4.5 ml</w:t>
      </w:r>
    </w:p>
    <w:p w14:paraId="3D14D6C0" w14:textId="5F546DF8" w:rsidR="00461129" w:rsidRPr="00E00E21" w:rsidRDefault="00461129" w:rsidP="00E630C6">
      <w:pPr>
        <w:jc w:val="both"/>
        <w:rPr>
          <w:bCs/>
          <w:sz w:val="22"/>
          <w:szCs w:val="22"/>
          <w:lang w:val="sr-Latn-RS"/>
        </w:rPr>
      </w:pPr>
      <w:r w:rsidRPr="00E00E21">
        <w:rPr>
          <w:bCs/>
          <w:sz w:val="22"/>
          <w:szCs w:val="22"/>
          <w:lang w:val="sr-Latn-RS"/>
        </w:rPr>
        <w:t>Jedna bočica sa 4,5 ml koncentrata za rastvor za infuziju sadrži 888.8 mg alkohola (etanola), što odgovara količini od 22.5ml piva ili 9.4 ml vina.</w:t>
      </w:r>
    </w:p>
    <w:p w14:paraId="637F53B2" w14:textId="77777777" w:rsidR="00461129" w:rsidRPr="00E00E21" w:rsidRDefault="00461129" w:rsidP="00E630C6">
      <w:pPr>
        <w:jc w:val="both"/>
        <w:rPr>
          <w:bCs/>
          <w:sz w:val="22"/>
          <w:szCs w:val="22"/>
          <w:lang w:val="sr-Latn-RS"/>
        </w:rPr>
      </w:pPr>
    </w:p>
    <w:p w14:paraId="26BACC9A" w14:textId="77777777" w:rsidR="00461129" w:rsidRPr="00E00E21" w:rsidRDefault="00461129" w:rsidP="00E630C6">
      <w:pPr>
        <w:jc w:val="both"/>
        <w:rPr>
          <w:bCs/>
          <w:sz w:val="22"/>
          <w:szCs w:val="22"/>
          <w:lang w:val="sr-Latn-RS"/>
        </w:rPr>
      </w:pPr>
      <w:r w:rsidRPr="00E00E21">
        <w:rPr>
          <w:bCs/>
          <w:sz w:val="22"/>
          <w:szCs w:val="22"/>
          <w:lang w:val="sr-Latn-RS"/>
        </w:rPr>
        <w:t>Bočica 5 ml</w:t>
      </w:r>
    </w:p>
    <w:p w14:paraId="4CE3ACC9" w14:textId="434387D9" w:rsidR="00461129" w:rsidRPr="00E00E21" w:rsidRDefault="00461129" w:rsidP="00E630C6">
      <w:pPr>
        <w:jc w:val="both"/>
        <w:rPr>
          <w:bCs/>
          <w:sz w:val="22"/>
          <w:szCs w:val="22"/>
          <w:lang w:val="sr-Latn-RS"/>
        </w:rPr>
      </w:pPr>
      <w:r w:rsidRPr="00E00E21">
        <w:rPr>
          <w:bCs/>
          <w:sz w:val="22"/>
          <w:szCs w:val="22"/>
          <w:lang w:val="sr-Latn-RS"/>
        </w:rPr>
        <w:t>Jedna bočica sa 5 ml koncentrata za rastvor za infuziju sadrži 987.5 mg alkohola (etanola), što odgovara količini od 25ml piva ili 10.4 ml vina.</w:t>
      </w:r>
    </w:p>
    <w:p w14:paraId="55686B44" w14:textId="77777777" w:rsidR="00461129" w:rsidRPr="00E00E21" w:rsidRDefault="00461129" w:rsidP="00E630C6">
      <w:pPr>
        <w:jc w:val="both"/>
        <w:rPr>
          <w:bCs/>
          <w:sz w:val="22"/>
          <w:szCs w:val="22"/>
          <w:lang w:val="sr-Latn-RS"/>
        </w:rPr>
      </w:pPr>
    </w:p>
    <w:p w14:paraId="21E7FE26" w14:textId="77777777" w:rsidR="00461129" w:rsidRPr="00E00E21" w:rsidRDefault="00461129" w:rsidP="00E630C6">
      <w:pPr>
        <w:jc w:val="both"/>
        <w:rPr>
          <w:bCs/>
          <w:sz w:val="22"/>
          <w:szCs w:val="22"/>
          <w:lang w:val="sr-Latn-RS"/>
        </w:rPr>
      </w:pPr>
      <w:r w:rsidRPr="00E00E21">
        <w:rPr>
          <w:bCs/>
          <w:sz w:val="22"/>
          <w:szCs w:val="22"/>
          <w:lang w:val="sr-Latn-RS"/>
        </w:rPr>
        <w:t>Bočica 6 ml</w:t>
      </w:r>
    </w:p>
    <w:p w14:paraId="17AF49F2" w14:textId="726A5996" w:rsidR="00461129" w:rsidRPr="00E00E21" w:rsidRDefault="00461129" w:rsidP="00E630C6">
      <w:pPr>
        <w:jc w:val="both"/>
        <w:rPr>
          <w:bCs/>
          <w:sz w:val="22"/>
          <w:szCs w:val="22"/>
          <w:lang w:val="sr-Latn-RS"/>
        </w:rPr>
      </w:pPr>
      <w:r w:rsidRPr="00E00E21">
        <w:rPr>
          <w:bCs/>
          <w:sz w:val="22"/>
          <w:szCs w:val="22"/>
          <w:lang w:val="sr-Latn-RS"/>
        </w:rPr>
        <w:t>Jedna bočica sa 6 ml koncentrata za rastvor za infuziju sadrži 1185 mg alkohola (etanola), što odgovara količini od 30ml piva ili 12.5 ml vina.</w:t>
      </w:r>
    </w:p>
    <w:p w14:paraId="3AB48B14" w14:textId="77777777" w:rsidR="00461129" w:rsidRPr="00E00E21" w:rsidRDefault="00461129" w:rsidP="00E93932">
      <w:pPr>
        <w:tabs>
          <w:tab w:val="left" w:pos="540"/>
          <w:tab w:val="left" w:pos="569"/>
        </w:tabs>
        <w:jc w:val="both"/>
        <w:rPr>
          <w:bCs/>
          <w:sz w:val="22"/>
          <w:szCs w:val="22"/>
          <w:lang w:val="sr-Latn-RS"/>
        </w:rPr>
      </w:pPr>
    </w:p>
    <w:p w14:paraId="3B4840A7" w14:textId="77777777" w:rsidR="00B55FAA" w:rsidRPr="00E00E21" w:rsidRDefault="00B55FAA" w:rsidP="00E630C6">
      <w:pPr>
        <w:tabs>
          <w:tab w:val="left" w:pos="540"/>
          <w:tab w:val="left" w:pos="569"/>
        </w:tabs>
        <w:jc w:val="both"/>
        <w:rPr>
          <w:bCs/>
          <w:sz w:val="22"/>
          <w:szCs w:val="22"/>
          <w:lang w:val="sr-Latn-RS"/>
        </w:rPr>
      </w:pPr>
    </w:p>
    <w:p w14:paraId="39BB314C" w14:textId="77777777" w:rsidR="00411B4B" w:rsidRPr="00E00E21" w:rsidRDefault="00411B4B" w:rsidP="00E630C6">
      <w:pPr>
        <w:tabs>
          <w:tab w:val="left" w:pos="540"/>
          <w:tab w:val="left" w:pos="569"/>
        </w:tabs>
        <w:jc w:val="both"/>
        <w:rPr>
          <w:b/>
          <w:bCs/>
          <w:sz w:val="22"/>
          <w:szCs w:val="22"/>
          <w:lang w:val="sr-Latn-RS"/>
        </w:rPr>
      </w:pPr>
      <w:r w:rsidRPr="00E00E21">
        <w:rPr>
          <w:b/>
          <w:bCs/>
          <w:sz w:val="22"/>
          <w:szCs w:val="22"/>
          <w:lang w:val="sr-Latn-RS"/>
        </w:rPr>
        <w:t>4.5.</w:t>
      </w:r>
      <w:r w:rsidR="000D60CC" w:rsidRPr="00E00E21">
        <w:rPr>
          <w:b/>
          <w:bCs/>
          <w:sz w:val="22"/>
          <w:szCs w:val="22"/>
          <w:lang w:val="sr-Latn-RS"/>
        </w:rPr>
        <w:tab/>
      </w:r>
      <w:r w:rsidRPr="00E00E21">
        <w:rPr>
          <w:b/>
          <w:bCs/>
          <w:sz w:val="22"/>
          <w:szCs w:val="22"/>
          <w:lang w:val="sr-Latn-RS"/>
        </w:rPr>
        <w:t>Interakcije sa drugim ljekovima i druge vrste interakcija</w:t>
      </w:r>
    </w:p>
    <w:p w14:paraId="5D5EFCA9" w14:textId="77777777" w:rsidR="00461129" w:rsidRPr="00E00E21" w:rsidRDefault="00461129" w:rsidP="00E93932">
      <w:pPr>
        <w:tabs>
          <w:tab w:val="left" w:pos="540"/>
          <w:tab w:val="left" w:pos="569"/>
        </w:tabs>
        <w:jc w:val="both"/>
        <w:rPr>
          <w:bCs/>
          <w:sz w:val="22"/>
          <w:szCs w:val="22"/>
          <w:lang w:val="sr-Latn-RS"/>
        </w:rPr>
      </w:pPr>
    </w:p>
    <w:p w14:paraId="200FC73F" w14:textId="74DA22D3" w:rsidR="00461129" w:rsidRPr="00E00E21" w:rsidRDefault="00461129" w:rsidP="004F26A0">
      <w:pPr>
        <w:tabs>
          <w:tab w:val="left" w:pos="540"/>
          <w:tab w:val="left" w:pos="569"/>
        </w:tabs>
        <w:jc w:val="both"/>
        <w:rPr>
          <w:bCs/>
          <w:sz w:val="22"/>
          <w:szCs w:val="22"/>
          <w:lang w:val="sr-Latn-RS"/>
        </w:rPr>
      </w:pPr>
      <w:r w:rsidRPr="00E00E21">
        <w:rPr>
          <w:bCs/>
          <w:i/>
          <w:sz w:val="22"/>
          <w:szCs w:val="22"/>
          <w:lang w:val="sr-Latn-RS"/>
        </w:rPr>
        <w:t>In vitro</w:t>
      </w:r>
      <w:r w:rsidRPr="00E00E21">
        <w:rPr>
          <w:bCs/>
          <w:sz w:val="22"/>
          <w:szCs w:val="22"/>
          <w:lang w:val="sr-Latn-RS"/>
        </w:rPr>
        <w:t xml:space="preserve"> ispitivanja pokazala su da se kabazitaksel većinom metaboliše pomoću CYP3A enzima (80% do 90%) (</w:t>
      </w:r>
      <w:r w:rsidR="005C5D3F" w:rsidRPr="00E00E21">
        <w:rPr>
          <w:bCs/>
          <w:sz w:val="22"/>
          <w:szCs w:val="22"/>
          <w:lang w:val="sr-Latn-RS"/>
        </w:rPr>
        <w:t xml:space="preserve">vidjeti </w:t>
      </w:r>
      <w:r w:rsidRPr="00E00E21">
        <w:rPr>
          <w:bCs/>
          <w:sz w:val="22"/>
          <w:szCs w:val="22"/>
          <w:lang w:val="sr-Latn-RS"/>
        </w:rPr>
        <w:t xml:space="preserve">dio 5.2). </w:t>
      </w:r>
    </w:p>
    <w:p w14:paraId="185B8C4A" w14:textId="77777777" w:rsidR="00461129" w:rsidRPr="00E00E21" w:rsidRDefault="00461129" w:rsidP="00370E1E">
      <w:pPr>
        <w:tabs>
          <w:tab w:val="left" w:pos="540"/>
          <w:tab w:val="left" w:pos="569"/>
        </w:tabs>
        <w:jc w:val="both"/>
        <w:rPr>
          <w:bCs/>
          <w:sz w:val="22"/>
          <w:szCs w:val="22"/>
          <w:lang w:val="sr-Latn-RS"/>
        </w:rPr>
      </w:pPr>
    </w:p>
    <w:p w14:paraId="0B21A28A" w14:textId="77777777" w:rsidR="00461129" w:rsidRPr="00E00E21" w:rsidRDefault="00461129" w:rsidP="009B6A1F">
      <w:pPr>
        <w:tabs>
          <w:tab w:val="left" w:pos="540"/>
          <w:tab w:val="left" w:pos="569"/>
        </w:tabs>
        <w:jc w:val="both"/>
        <w:rPr>
          <w:bCs/>
          <w:sz w:val="22"/>
          <w:szCs w:val="22"/>
          <w:u w:val="single"/>
          <w:lang w:val="sr-Latn-RS"/>
        </w:rPr>
      </w:pPr>
      <w:r w:rsidRPr="00E00E21">
        <w:rPr>
          <w:bCs/>
          <w:sz w:val="22"/>
          <w:szCs w:val="22"/>
          <w:u w:val="single"/>
          <w:lang w:val="sr-Latn-RS"/>
        </w:rPr>
        <w:t xml:space="preserve">CYP3A inhibitori </w:t>
      </w:r>
    </w:p>
    <w:p w14:paraId="2A26D6BC" w14:textId="77777777" w:rsidR="00674C4A" w:rsidRPr="00E00E21" w:rsidRDefault="00674C4A" w:rsidP="009B6A1F">
      <w:pPr>
        <w:tabs>
          <w:tab w:val="left" w:pos="540"/>
          <w:tab w:val="left" w:pos="569"/>
        </w:tabs>
        <w:jc w:val="both"/>
        <w:rPr>
          <w:bCs/>
          <w:sz w:val="22"/>
          <w:szCs w:val="22"/>
          <w:u w:val="single"/>
          <w:lang w:val="sr-Latn-RS"/>
        </w:rPr>
      </w:pPr>
    </w:p>
    <w:p w14:paraId="24654FB1" w14:textId="6ECDD852" w:rsidR="00461129" w:rsidRPr="00E00E21" w:rsidRDefault="00461129" w:rsidP="009B6A1F">
      <w:pPr>
        <w:tabs>
          <w:tab w:val="left" w:pos="540"/>
          <w:tab w:val="left" w:pos="569"/>
        </w:tabs>
        <w:jc w:val="both"/>
        <w:rPr>
          <w:bCs/>
          <w:sz w:val="22"/>
          <w:szCs w:val="22"/>
          <w:lang w:val="sr-Latn-RS"/>
        </w:rPr>
      </w:pPr>
      <w:r w:rsidRPr="00E00E21">
        <w:rPr>
          <w:bCs/>
          <w:sz w:val="22"/>
          <w:szCs w:val="22"/>
          <w:lang w:val="sr-Latn-RS"/>
        </w:rPr>
        <w:t>Ponovljena primjena ketokonazola (400 mg jednom dnevno), snažnog inhibitora CYP3A, dovodi do smanjenja klirensa kabazitaksela za 20% što odgovara povećanju PIK za 25%. Zato, isto</w:t>
      </w:r>
      <w:r w:rsidR="008B16FD" w:rsidRPr="00E00E21">
        <w:rPr>
          <w:bCs/>
          <w:sz w:val="22"/>
          <w:szCs w:val="22"/>
          <w:lang w:val="sr-Latn-RS"/>
        </w:rPr>
        <w:t>vreme</w:t>
      </w:r>
      <w:r w:rsidRPr="00E00E21">
        <w:rPr>
          <w:bCs/>
          <w:sz w:val="22"/>
          <w:szCs w:val="22"/>
          <w:lang w:val="sr-Latn-RS"/>
        </w:rPr>
        <w:t>nu primjenu sa snažnim inhibitorima CYP3A (npr. ketokonazol, itrakonazol, klaritromicin, indinavir, nefazodon, nelfinavir, ritonavir, sakvinavir, telitromicin, vorikonazol) treba izbjegavati jer može doći do povećanja koncentracije kabazitaksela u plazmi (</w:t>
      </w:r>
      <w:r w:rsidR="005C5D3F" w:rsidRPr="00E00E21">
        <w:rPr>
          <w:bCs/>
          <w:sz w:val="22"/>
          <w:szCs w:val="22"/>
          <w:lang w:val="sr-Latn-RS"/>
        </w:rPr>
        <w:t xml:space="preserve">vidjeti </w:t>
      </w:r>
      <w:r w:rsidRPr="00E00E21">
        <w:rPr>
          <w:bCs/>
          <w:sz w:val="22"/>
          <w:szCs w:val="22"/>
          <w:lang w:val="sr-Latn-RS"/>
        </w:rPr>
        <w:t xml:space="preserve">djelove 4.2 i 4.4). </w:t>
      </w:r>
    </w:p>
    <w:p w14:paraId="72D0928E" w14:textId="77777777" w:rsidR="00674C4A" w:rsidRPr="00E00E21" w:rsidRDefault="00674C4A" w:rsidP="009B6A1F">
      <w:pPr>
        <w:tabs>
          <w:tab w:val="left" w:pos="540"/>
          <w:tab w:val="left" w:pos="569"/>
        </w:tabs>
        <w:jc w:val="both"/>
        <w:rPr>
          <w:bCs/>
          <w:sz w:val="22"/>
          <w:szCs w:val="22"/>
          <w:lang w:val="sr-Latn-RS"/>
        </w:rPr>
      </w:pPr>
    </w:p>
    <w:p w14:paraId="5DAEFEAF" w14:textId="1398794B" w:rsidR="00461129" w:rsidRPr="00E00E21" w:rsidRDefault="00461129">
      <w:pPr>
        <w:tabs>
          <w:tab w:val="left" w:pos="540"/>
          <w:tab w:val="left" w:pos="569"/>
        </w:tabs>
        <w:jc w:val="both"/>
        <w:rPr>
          <w:bCs/>
          <w:sz w:val="22"/>
          <w:szCs w:val="22"/>
          <w:lang w:val="sr-Latn-RS"/>
        </w:rPr>
      </w:pPr>
      <w:r w:rsidRPr="00E00E21">
        <w:rPr>
          <w:bCs/>
          <w:sz w:val="22"/>
          <w:szCs w:val="22"/>
          <w:lang w:val="sr-Latn-RS"/>
        </w:rPr>
        <w:t>Isto</w:t>
      </w:r>
      <w:r w:rsidR="008B16FD" w:rsidRPr="00E00E21">
        <w:rPr>
          <w:bCs/>
          <w:sz w:val="22"/>
          <w:szCs w:val="22"/>
          <w:lang w:val="sr-Latn-RS"/>
        </w:rPr>
        <w:t>vreme</w:t>
      </w:r>
      <w:r w:rsidRPr="00E00E21">
        <w:rPr>
          <w:bCs/>
          <w:sz w:val="22"/>
          <w:szCs w:val="22"/>
          <w:lang w:val="sr-Latn-RS"/>
        </w:rPr>
        <w:t xml:space="preserve">na primjena aprepitanta, umjerenog CYP3A inhibitora, nema uticaja na klirens kabazitaksela. </w:t>
      </w:r>
    </w:p>
    <w:p w14:paraId="1D6D610F" w14:textId="77777777" w:rsidR="00461129" w:rsidRPr="00E00E21" w:rsidRDefault="00461129">
      <w:pPr>
        <w:tabs>
          <w:tab w:val="left" w:pos="540"/>
          <w:tab w:val="left" w:pos="569"/>
        </w:tabs>
        <w:jc w:val="both"/>
        <w:rPr>
          <w:bCs/>
          <w:sz w:val="22"/>
          <w:szCs w:val="22"/>
          <w:lang w:val="sr-Latn-RS"/>
        </w:rPr>
      </w:pPr>
    </w:p>
    <w:p w14:paraId="08313BFE" w14:textId="77777777" w:rsidR="00461129" w:rsidRPr="00E00E21" w:rsidRDefault="00461129">
      <w:pPr>
        <w:tabs>
          <w:tab w:val="left" w:pos="540"/>
          <w:tab w:val="left" w:pos="569"/>
        </w:tabs>
        <w:jc w:val="both"/>
        <w:rPr>
          <w:bCs/>
          <w:sz w:val="22"/>
          <w:szCs w:val="22"/>
          <w:lang w:val="sr-Latn-RS"/>
        </w:rPr>
      </w:pPr>
      <w:r w:rsidRPr="00E00E21">
        <w:rPr>
          <w:bCs/>
          <w:sz w:val="22"/>
          <w:szCs w:val="22"/>
          <w:u w:val="single"/>
          <w:lang w:val="sr-Latn-RS"/>
        </w:rPr>
        <w:t>CYP3A induktori</w:t>
      </w:r>
      <w:r w:rsidRPr="00E00E21">
        <w:rPr>
          <w:bCs/>
          <w:sz w:val="22"/>
          <w:szCs w:val="22"/>
          <w:lang w:val="sr-Latn-RS"/>
        </w:rPr>
        <w:t xml:space="preserve"> </w:t>
      </w:r>
    </w:p>
    <w:p w14:paraId="5B7A12AF" w14:textId="77777777" w:rsidR="00674C4A" w:rsidRPr="00E00E21" w:rsidRDefault="00674C4A">
      <w:pPr>
        <w:tabs>
          <w:tab w:val="left" w:pos="540"/>
          <w:tab w:val="left" w:pos="569"/>
        </w:tabs>
        <w:jc w:val="both"/>
        <w:rPr>
          <w:bCs/>
          <w:sz w:val="22"/>
          <w:szCs w:val="22"/>
          <w:lang w:val="sr-Latn-RS"/>
        </w:rPr>
      </w:pPr>
    </w:p>
    <w:p w14:paraId="63D733F2" w14:textId="7F446B03" w:rsidR="00192F57" w:rsidRPr="00E00E21" w:rsidRDefault="00461129">
      <w:pPr>
        <w:tabs>
          <w:tab w:val="left" w:pos="540"/>
          <w:tab w:val="left" w:pos="569"/>
        </w:tabs>
        <w:jc w:val="both"/>
        <w:rPr>
          <w:bCs/>
          <w:sz w:val="22"/>
          <w:szCs w:val="22"/>
          <w:lang w:val="sr-Latn-RS"/>
        </w:rPr>
      </w:pPr>
      <w:r w:rsidRPr="00E00E21">
        <w:rPr>
          <w:bCs/>
          <w:sz w:val="22"/>
          <w:szCs w:val="22"/>
          <w:lang w:val="sr-Latn-RS"/>
        </w:rPr>
        <w:t xml:space="preserve">Ponovljena primjena rifampina (600 mg jednom dnevno), snažnog induktora CYP3A, dovodi do povećanja klirensa kabazitaksela za 21% što odgovara smanjenju PIK za 17 %. </w:t>
      </w:r>
    </w:p>
    <w:p w14:paraId="51514C69" w14:textId="77777777" w:rsidR="00674C4A" w:rsidRPr="00E00E21" w:rsidRDefault="00674C4A">
      <w:pPr>
        <w:tabs>
          <w:tab w:val="left" w:pos="540"/>
          <w:tab w:val="left" w:pos="569"/>
        </w:tabs>
        <w:jc w:val="both"/>
        <w:rPr>
          <w:bCs/>
          <w:sz w:val="22"/>
          <w:szCs w:val="22"/>
          <w:lang w:val="sr-Latn-RS"/>
        </w:rPr>
      </w:pPr>
    </w:p>
    <w:p w14:paraId="51F0BF5A" w14:textId="539AF86E" w:rsidR="00192F57" w:rsidRPr="00E00E21" w:rsidRDefault="00461129">
      <w:pPr>
        <w:tabs>
          <w:tab w:val="left" w:pos="540"/>
          <w:tab w:val="left" w:pos="569"/>
        </w:tabs>
        <w:jc w:val="both"/>
        <w:rPr>
          <w:bCs/>
          <w:sz w:val="22"/>
          <w:szCs w:val="22"/>
          <w:lang w:val="sr-Latn-RS"/>
        </w:rPr>
      </w:pPr>
      <w:r w:rsidRPr="00E00E21">
        <w:rPr>
          <w:bCs/>
          <w:sz w:val="22"/>
          <w:szCs w:val="22"/>
          <w:lang w:val="sr-Latn-RS"/>
        </w:rPr>
        <w:t>Isto</w:t>
      </w:r>
      <w:r w:rsidR="008B16FD" w:rsidRPr="00E00E21">
        <w:rPr>
          <w:bCs/>
          <w:sz w:val="22"/>
          <w:szCs w:val="22"/>
          <w:lang w:val="sr-Latn-RS"/>
        </w:rPr>
        <w:t>vreme</w:t>
      </w:r>
      <w:r w:rsidRPr="00E00E21">
        <w:rPr>
          <w:bCs/>
          <w:sz w:val="22"/>
          <w:szCs w:val="22"/>
          <w:lang w:val="sr-Latn-RS"/>
        </w:rPr>
        <w:t>nu primjenu sa snažnim induktorima CYP3A (npr. fenitoin, karbamazepin, rifampin, rifabutin, rifapentin, fenobarbital) treba izb</w:t>
      </w:r>
      <w:r w:rsidR="005C5D3F" w:rsidRPr="00E00E21">
        <w:rPr>
          <w:bCs/>
          <w:sz w:val="22"/>
          <w:szCs w:val="22"/>
          <w:lang w:val="sr-Latn-RS"/>
        </w:rPr>
        <w:t>j</w:t>
      </w:r>
      <w:r w:rsidRPr="00E00E21">
        <w:rPr>
          <w:bCs/>
          <w:sz w:val="22"/>
          <w:szCs w:val="22"/>
          <w:lang w:val="sr-Latn-RS"/>
        </w:rPr>
        <w:t>egavati jer može doći do smanjenja koncentracije kabazitaksela u plazmi (</w:t>
      </w:r>
      <w:r w:rsidR="005C5D3F" w:rsidRPr="00E00E21">
        <w:rPr>
          <w:bCs/>
          <w:sz w:val="22"/>
          <w:szCs w:val="22"/>
          <w:lang w:val="sr-Latn-RS"/>
        </w:rPr>
        <w:t xml:space="preserve">vidjeti </w:t>
      </w:r>
      <w:r w:rsidRPr="00E00E21">
        <w:rPr>
          <w:bCs/>
          <w:sz w:val="22"/>
          <w:szCs w:val="22"/>
          <w:lang w:val="sr-Latn-RS"/>
        </w:rPr>
        <w:t>djelove 4.2 i 4.4). Osim toga, pacijenti ne bi sm</w:t>
      </w:r>
      <w:r w:rsidR="005C5D3F" w:rsidRPr="00E00E21">
        <w:rPr>
          <w:bCs/>
          <w:sz w:val="22"/>
          <w:szCs w:val="22"/>
          <w:lang w:val="sr-Latn-RS"/>
        </w:rPr>
        <w:t>j</w:t>
      </w:r>
      <w:r w:rsidRPr="00E00E21">
        <w:rPr>
          <w:bCs/>
          <w:sz w:val="22"/>
          <w:szCs w:val="22"/>
          <w:lang w:val="sr-Latn-RS"/>
        </w:rPr>
        <w:t xml:space="preserve">eli da uzimaju kantarion. </w:t>
      </w:r>
    </w:p>
    <w:p w14:paraId="1BE9C3E1" w14:textId="77777777" w:rsidR="00192F57" w:rsidRPr="00E00E21" w:rsidRDefault="00192F57">
      <w:pPr>
        <w:tabs>
          <w:tab w:val="left" w:pos="540"/>
          <w:tab w:val="left" w:pos="569"/>
        </w:tabs>
        <w:jc w:val="both"/>
        <w:rPr>
          <w:bCs/>
          <w:sz w:val="22"/>
          <w:szCs w:val="22"/>
          <w:lang w:val="sr-Latn-RS"/>
        </w:rPr>
      </w:pPr>
    </w:p>
    <w:p w14:paraId="720C3C97" w14:textId="77777777" w:rsidR="00192F57" w:rsidRPr="00E00E21" w:rsidRDefault="00461129">
      <w:pPr>
        <w:tabs>
          <w:tab w:val="left" w:pos="540"/>
          <w:tab w:val="left" w:pos="569"/>
        </w:tabs>
        <w:jc w:val="both"/>
        <w:rPr>
          <w:bCs/>
          <w:sz w:val="22"/>
          <w:szCs w:val="22"/>
          <w:u w:val="single"/>
          <w:lang w:val="sr-Latn-RS"/>
        </w:rPr>
      </w:pPr>
      <w:r w:rsidRPr="00E00E21">
        <w:rPr>
          <w:bCs/>
          <w:sz w:val="22"/>
          <w:szCs w:val="22"/>
          <w:u w:val="single"/>
          <w:lang w:val="sr-Latn-RS"/>
        </w:rPr>
        <w:t xml:space="preserve">OATP1B1 </w:t>
      </w:r>
    </w:p>
    <w:p w14:paraId="6BBD3E6C" w14:textId="77777777" w:rsidR="00674C4A" w:rsidRPr="00E00E21" w:rsidRDefault="00674C4A">
      <w:pPr>
        <w:tabs>
          <w:tab w:val="left" w:pos="540"/>
          <w:tab w:val="left" w:pos="569"/>
        </w:tabs>
        <w:jc w:val="both"/>
        <w:rPr>
          <w:bCs/>
          <w:sz w:val="22"/>
          <w:szCs w:val="22"/>
          <w:u w:val="single"/>
          <w:lang w:val="sr-Latn-RS"/>
        </w:rPr>
      </w:pPr>
    </w:p>
    <w:p w14:paraId="5A7D735A" w14:textId="1DBF4CFB" w:rsidR="00192F57" w:rsidRPr="00E00E21" w:rsidRDefault="00461129">
      <w:pPr>
        <w:tabs>
          <w:tab w:val="left" w:pos="540"/>
          <w:tab w:val="left" w:pos="569"/>
        </w:tabs>
        <w:jc w:val="both"/>
        <w:rPr>
          <w:bCs/>
          <w:sz w:val="22"/>
          <w:szCs w:val="22"/>
          <w:lang w:val="sr-Latn-RS"/>
        </w:rPr>
      </w:pPr>
      <w:r w:rsidRPr="00E00E21">
        <w:rPr>
          <w:bCs/>
          <w:i/>
          <w:sz w:val="22"/>
          <w:szCs w:val="22"/>
          <w:lang w:val="sr-Latn-RS"/>
        </w:rPr>
        <w:t>In vitro</w:t>
      </w:r>
      <w:r w:rsidRPr="00E00E21">
        <w:rPr>
          <w:bCs/>
          <w:sz w:val="22"/>
          <w:szCs w:val="22"/>
          <w:lang w:val="sr-Latn-RS"/>
        </w:rPr>
        <w:t xml:space="preserve">, kabazitaksel je takođe pokazao da inhibira transportne proteine organskog anjonskog transportnog polipeptida OATP1B1. Rizik od interakcije sa OATP1B1 supstratima (npr. statinima, valsartanom, 6 od 22 repaglinidom) je moguć, posebno tokom trajanja infuzije (1 sat) i do 20 minuta nakon završetka infuzije. Preporučuje se da se OATP1B1 supstrati ne daju u </w:t>
      </w:r>
      <w:r w:rsidR="008B16FD" w:rsidRPr="00E00E21">
        <w:rPr>
          <w:bCs/>
          <w:sz w:val="22"/>
          <w:szCs w:val="22"/>
          <w:lang w:val="sr-Latn-RS"/>
        </w:rPr>
        <w:t>vr</w:t>
      </w:r>
      <w:r w:rsidR="005C5D3F" w:rsidRPr="00E00E21">
        <w:rPr>
          <w:bCs/>
          <w:sz w:val="22"/>
          <w:szCs w:val="22"/>
          <w:lang w:val="sr-Latn-RS"/>
        </w:rPr>
        <w:t>e</w:t>
      </w:r>
      <w:r w:rsidR="008B16FD" w:rsidRPr="00E00E21">
        <w:rPr>
          <w:bCs/>
          <w:sz w:val="22"/>
          <w:szCs w:val="22"/>
          <w:lang w:val="sr-Latn-RS"/>
        </w:rPr>
        <w:t>me</w:t>
      </w:r>
      <w:r w:rsidRPr="00E00E21">
        <w:rPr>
          <w:bCs/>
          <w:sz w:val="22"/>
          <w:szCs w:val="22"/>
          <w:lang w:val="sr-Latn-RS"/>
        </w:rPr>
        <w:t>nskom intervalu od 12 sati pr</w:t>
      </w:r>
      <w:r w:rsidR="005C5D3F" w:rsidRPr="00E00E21">
        <w:rPr>
          <w:bCs/>
          <w:sz w:val="22"/>
          <w:szCs w:val="22"/>
          <w:lang w:val="sr-Latn-RS"/>
        </w:rPr>
        <w:t>ij</w:t>
      </w:r>
      <w:r w:rsidRPr="00E00E21">
        <w:rPr>
          <w:bCs/>
          <w:sz w:val="22"/>
          <w:szCs w:val="22"/>
          <w:lang w:val="sr-Latn-RS"/>
        </w:rPr>
        <w:t xml:space="preserve">e infuzije i najmanje 3 sata nakon završetka infuzije. </w:t>
      </w:r>
    </w:p>
    <w:p w14:paraId="19BF1F56" w14:textId="77777777" w:rsidR="00192F57" w:rsidRPr="00E00E21" w:rsidRDefault="00192F57">
      <w:pPr>
        <w:tabs>
          <w:tab w:val="left" w:pos="540"/>
          <w:tab w:val="left" w:pos="569"/>
        </w:tabs>
        <w:jc w:val="both"/>
        <w:rPr>
          <w:bCs/>
          <w:sz w:val="22"/>
          <w:szCs w:val="22"/>
          <w:lang w:val="sr-Latn-RS"/>
        </w:rPr>
      </w:pPr>
    </w:p>
    <w:p w14:paraId="5421DF56" w14:textId="77777777" w:rsidR="00192F57" w:rsidRPr="00E00E21" w:rsidRDefault="00461129">
      <w:pPr>
        <w:tabs>
          <w:tab w:val="left" w:pos="540"/>
          <w:tab w:val="left" w:pos="569"/>
        </w:tabs>
        <w:jc w:val="both"/>
        <w:rPr>
          <w:bCs/>
          <w:sz w:val="22"/>
          <w:szCs w:val="22"/>
          <w:lang w:val="sr-Latn-RS"/>
        </w:rPr>
      </w:pPr>
      <w:r w:rsidRPr="00E00E21">
        <w:rPr>
          <w:bCs/>
          <w:sz w:val="22"/>
          <w:szCs w:val="22"/>
          <w:u w:val="single"/>
          <w:lang w:val="sr-Latn-RS"/>
        </w:rPr>
        <w:t>Vakcinacija</w:t>
      </w:r>
      <w:r w:rsidRPr="00E00E21">
        <w:rPr>
          <w:bCs/>
          <w:sz w:val="22"/>
          <w:szCs w:val="22"/>
          <w:lang w:val="sr-Latn-RS"/>
        </w:rPr>
        <w:t xml:space="preserve"> </w:t>
      </w:r>
    </w:p>
    <w:p w14:paraId="501EB74A" w14:textId="77777777" w:rsidR="00674C4A" w:rsidRPr="00E00E21" w:rsidRDefault="00674C4A">
      <w:pPr>
        <w:tabs>
          <w:tab w:val="left" w:pos="540"/>
          <w:tab w:val="left" w:pos="569"/>
        </w:tabs>
        <w:jc w:val="both"/>
        <w:rPr>
          <w:bCs/>
          <w:sz w:val="22"/>
          <w:szCs w:val="22"/>
          <w:lang w:val="sr-Latn-RS"/>
        </w:rPr>
      </w:pPr>
    </w:p>
    <w:p w14:paraId="3281CFD1" w14:textId="42D5A36D" w:rsidR="00192F57" w:rsidRPr="00E00E21" w:rsidRDefault="00461129">
      <w:pPr>
        <w:tabs>
          <w:tab w:val="left" w:pos="540"/>
          <w:tab w:val="left" w:pos="569"/>
        </w:tabs>
        <w:jc w:val="both"/>
        <w:rPr>
          <w:bCs/>
          <w:sz w:val="22"/>
          <w:szCs w:val="22"/>
          <w:lang w:val="sr-Latn-RS"/>
        </w:rPr>
      </w:pPr>
      <w:r w:rsidRPr="00E00E21">
        <w:rPr>
          <w:bCs/>
          <w:sz w:val="22"/>
          <w:szCs w:val="22"/>
          <w:lang w:val="sr-Latn-RS"/>
        </w:rPr>
        <w:t>Primjena živih ili živih atenuisanih vakcina kod pacijenata čiji je imunski sistem kompromitovan prim</w:t>
      </w:r>
      <w:r w:rsidR="00192F57" w:rsidRPr="00E00E21">
        <w:rPr>
          <w:bCs/>
          <w:sz w:val="22"/>
          <w:szCs w:val="22"/>
          <w:lang w:val="sr-Latn-RS"/>
        </w:rPr>
        <w:t>j</w:t>
      </w:r>
      <w:r w:rsidRPr="00E00E21">
        <w:rPr>
          <w:bCs/>
          <w:sz w:val="22"/>
          <w:szCs w:val="22"/>
          <w:lang w:val="sr-Latn-RS"/>
        </w:rPr>
        <w:t>enom hemioterapeutika može rezultirati teškim ili smrtonosnim infekcijama. Vakcinisanje živim atenuisanim vakcinama treba izb</w:t>
      </w:r>
      <w:r w:rsidR="00192F57" w:rsidRPr="00E00E21">
        <w:rPr>
          <w:bCs/>
          <w:sz w:val="22"/>
          <w:szCs w:val="22"/>
          <w:lang w:val="sr-Latn-RS"/>
        </w:rPr>
        <w:t>j</w:t>
      </w:r>
      <w:r w:rsidRPr="00E00E21">
        <w:rPr>
          <w:bCs/>
          <w:sz w:val="22"/>
          <w:szCs w:val="22"/>
          <w:lang w:val="sr-Latn-RS"/>
        </w:rPr>
        <w:t>egavati kod pacijenata koji primaju kabazitaksel. Može se prim</w:t>
      </w:r>
      <w:r w:rsidR="005C5D3F" w:rsidRPr="00E00E21">
        <w:rPr>
          <w:bCs/>
          <w:sz w:val="22"/>
          <w:szCs w:val="22"/>
          <w:lang w:val="sr-Latn-RS"/>
        </w:rPr>
        <w:t>i</w:t>
      </w:r>
      <w:r w:rsidR="00192F57" w:rsidRPr="00E00E21">
        <w:rPr>
          <w:bCs/>
          <w:sz w:val="22"/>
          <w:szCs w:val="22"/>
          <w:lang w:val="sr-Latn-RS"/>
        </w:rPr>
        <w:t>j</w:t>
      </w:r>
      <w:r w:rsidRPr="00E00E21">
        <w:rPr>
          <w:bCs/>
          <w:sz w:val="22"/>
          <w:szCs w:val="22"/>
          <w:lang w:val="sr-Latn-RS"/>
        </w:rPr>
        <w:t xml:space="preserve">eniti mrtva ili inaktivisana vakcina; odgovor na takve vakcine, međutim, može biti oslabljen. </w:t>
      </w:r>
    </w:p>
    <w:p w14:paraId="76F1BB66" w14:textId="77777777" w:rsidR="00461129" w:rsidRPr="00E00E21" w:rsidRDefault="00461129" w:rsidP="00E630C6">
      <w:pPr>
        <w:tabs>
          <w:tab w:val="left" w:pos="540"/>
          <w:tab w:val="left" w:pos="569"/>
        </w:tabs>
        <w:jc w:val="both"/>
        <w:rPr>
          <w:bCs/>
          <w:sz w:val="22"/>
          <w:szCs w:val="22"/>
          <w:lang w:val="sr-Latn-RS"/>
        </w:rPr>
      </w:pPr>
    </w:p>
    <w:p w14:paraId="32AF2E98" w14:textId="77777777" w:rsidR="0072020E" w:rsidRPr="00E00E21" w:rsidRDefault="0072020E" w:rsidP="00E630C6">
      <w:pPr>
        <w:tabs>
          <w:tab w:val="left" w:pos="540"/>
          <w:tab w:val="left" w:pos="569"/>
        </w:tabs>
        <w:jc w:val="both"/>
        <w:rPr>
          <w:b/>
          <w:sz w:val="22"/>
          <w:szCs w:val="22"/>
          <w:lang w:val="sr-Latn-RS"/>
        </w:rPr>
      </w:pPr>
      <w:r w:rsidRPr="00E00E21">
        <w:rPr>
          <w:b/>
          <w:bCs/>
          <w:sz w:val="22"/>
          <w:szCs w:val="22"/>
          <w:lang w:val="sr-Latn-RS"/>
        </w:rPr>
        <w:lastRenderedPageBreak/>
        <w:t xml:space="preserve">4.6. </w:t>
      </w:r>
      <w:r w:rsidR="00480FB1" w:rsidRPr="00E00E21">
        <w:rPr>
          <w:b/>
          <w:bCs/>
          <w:sz w:val="22"/>
          <w:szCs w:val="22"/>
          <w:lang w:val="sr-Latn-RS"/>
        </w:rPr>
        <w:tab/>
      </w:r>
      <w:r w:rsidR="006D20A5" w:rsidRPr="00E00E21">
        <w:rPr>
          <w:b/>
          <w:sz w:val="22"/>
          <w:szCs w:val="22"/>
          <w:lang w:val="sr-Latn-RS"/>
        </w:rPr>
        <w:t>Plodnost, trudnoća i dojenje</w:t>
      </w:r>
    </w:p>
    <w:p w14:paraId="1658E3F0" w14:textId="77777777" w:rsidR="00E50003" w:rsidRPr="00E00E21" w:rsidRDefault="00E50003" w:rsidP="005C5D3F">
      <w:pPr>
        <w:tabs>
          <w:tab w:val="left" w:pos="540"/>
          <w:tab w:val="left" w:pos="569"/>
        </w:tabs>
        <w:jc w:val="both"/>
        <w:rPr>
          <w:sz w:val="22"/>
          <w:szCs w:val="22"/>
          <w:u w:val="single"/>
          <w:lang w:val="sr-Latn-RS"/>
        </w:rPr>
      </w:pPr>
    </w:p>
    <w:p w14:paraId="2FB8D68B" w14:textId="77777777" w:rsidR="002031B3" w:rsidRPr="00E00E21" w:rsidRDefault="002031B3" w:rsidP="00E630C6">
      <w:pPr>
        <w:tabs>
          <w:tab w:val="left" w:pos="540"/>
          <w:tab w:val="left" w:pos="569"/>
        </w:tabs>
        <w:jc w:val="both"/>
        <w:rPr>
          <w:sz w:val="22"/>
          <w:szCs w:val="22"/>
          <w:u w:val="single"/>
          <w:lang w:val="sr-Latn-RS"/>
        </w:rPr>
      </w:pPr>
    </w:p>
    <w:p w14:paraId="610B4E83" w14:textId="77777777" w:rsidR="00192F57" w:rsidRPr="00E00E21" w:rsidRDefault="00192F57" w:rsidP="00E93932">
      <w:pPr>
        <w:tabs>
          <w:tab w:val="left" w:pos="540"/>
          <w:tab w:val="left" w:pos="569"/>
        </w:tabs>
        <w:jc w:val="both"/>
        <w:rPr>
          <w:bCs/>
          <w:sz w:val="22"/>
          <w:szCs w:val="22"/>
          <w:lang w:val="sr-Latn-RS"/>
        </w:rPr>
      </w:pPr>
      <w:r w:rsidRPr="00E00E21">
        <w:rPr>
          <w:bCs/>
          <w:sz w:val="22"/>
          <w:szCs w:val="22"/>
          <w:u w:val="single"/>
          <w:lang w:val="sr-Latn-RS"/>
        </w:rPr>
        <w:t xml:space="preserve">Plodnost </w:t>
      </w:r>
    </w:p>
    <w:p w14:paraId="772C105C" w14:textId="25FF2111" w:rsidR="00C73B5C" w:rsidRPr="00E00E21" w:rsidRDefault="00192F57" w:rsidP="005C5D3F">
      <w:pPr>
        <w:tabs>
          <w:tab w:val="left" w:pos="540"/>
          <w:tab w:val="left" w:pos="569"/>
        </w:tabs>
        <w:jc w:val="both"/>
        <w:rPr>
          <w:bCs/>
          <w:sz w:val="22"/>
          <w:szCs w:val="22"/>
          <w:lang w:val="sr-Latn-RS"/>
        </w:rPr>
      </w:pPr>
      <w:r w:rsidRPr="00E00E21">
        <w:rPr>
          <w:bCs/>
          <w:sz w:val="22"/>
          <w:szCs w:val="22"/>
          <w:lang w:val="sr-Latn-RS"/>
        </w:rPr>
        <w:t>Studije na životinjama pokazale su da kabazitaksel utiče na reproduktivni sistem kod mužjaka pacova i pasa, bez funkcionalnog efekta na plodnost (</w:t>
      </w:r>
      <w:r w:rsidR="000043EB" w:rsidRPr="00E00E21">
        <w:rPr>
          <w:bCs/>
          <w:sz w:val="22"/>
          <w:szCs w:val="22"/>
          <w:lang w:val="sr-Latn-RS"/>
        </w:rPr>
        <w:t xml:space="preserve">vidjeti </w:t>
      </w:r>
      <w:r w:rsidRPr="00E00E21">
        <w:rPr>
          <w:bCs/>
          <w:sz w:val="22"/>
          <w:szCs w:val="22"/>
          <w:lang w:val="sr-Latn-RS"/>
        </w:rPr>
        <w:t xml:space="preserve">dio 5.3). Bez obzira na navedeno, a uzimajući u obzir farmakološku aktivnost taksana, njihov genotoksični potencijal i efekat nekoliko supstanci iz te grupe na plodnost tokom studija na životinjama, uticaj na plodnost kod muškaraca se ne može isključiti. </w:t>
      </w:r>
    </w:p>
    <w:p w14:paraId="0F1AEB85" w14:textId="77777777" w:rsidR="00C73B5C" w:rsidRPr="00E00E21" w:rsidRDefault="00C73B5C" w:rsidP="005C5D3F">
      <w:pPr>
        <w:tabs>
          <w:tab w:val="left" w:pos="540"/>
          <w:tab w:val="left" w:pos="569"/>
        </w:tabs>
        <w:jc w:val="both"/>
        <w:rPr>
          <w:bCs/>
          <w:sz w:val="22"/>
          <w:szCs w:val="22"/>
          <w:lang w:val="sr-Latn-RS"/>
        </w:rPr>
      </w:pPr>
    </w:p>
    <w:p w14:paraId="2236F5DF" w14:textId="74D00F7B" w:rsidR="000043EB" w:rsidRPr="00E00E21" w:rsidRDefault="00192F57" w:rsidP="005C5D3F">
      <w:pPr>
        <w:tabs>
          <w:tab w:val="left" w:pos="540"/>
          <w:tab w:val="left" w:pos="569"/>
        </w:tabs>
        <w:jc w:val="both"/>
        <w:rPr>
          <w:bCs/>
          <w:sz w:val="22"/>
          <w:szCs w:val="22"/>
          <w:lang w:val="sr-Latn-RS"/>
        </w:rPr>
      </w:pPr>
      <w:r w:rsidRPr="00E00E21">
        <w:rPr>
          <w:bCs/>
          <w:sz w:val="22"/>
          <w:szCs w:val="22"/>
          <w:lang w:val="sr-Latn-RS"/>
        </w:rPr>
        <w:t>Zbog mogućeg efekta na muške gamete i moguću izloženost putem sjemene tečnosti, muškarci liječeni kabazitakselom treba da koriste efikasnu metodu kontracepcije sve vrijeme terapije i preporučuje se da nastave sa kontracepcijom do 6 mjeseci nakon zadnje doze kabazitaksela. Zbog moguće izloženosti putem s</w:t>
      </w:r>
      <w:r w:rsidR="000043EB" w:rsidRPr="00E00E21">
        <w:rPr>
          <w:bCs/>
          <w:sz w:val="22"/>
          <w:szCs w:val="22"/>
          <w:lang w:val="sr-Latn-RS"/>
        </w:rPr>
        <w:t>j</w:t>
      </w:r>
      <w:r w:rsidRPr="00E00E21">
        <w:rPr>
          <w:bCs/>
          <w:sz w:val="22"/>
          <w:szCs w:val="22"/>
          <w:lang w:val="sr-Latn-RS"/>
        </w:rPr>
        <w:t xml:space="preserve">emjene tečnosti, muškarci liječeni kabazitakselom treba da spriječe da druge osobe dolaze u kontakt sa ejakulatom za vrijeme trajanja liječenja. </w:t>
      </w:r>
    </w:p>
    <w:p w14:paraId="077979EB" w14:textId="7087BBA7" w:rsidR="00192F57" w:rsidRPr="00E00E21" w:rsidRDefault="00192F57" w:rsidP="005C5D3F">
      <w:pPr>
        <w:tabs>
          <w:tab w:val="left" w:pos="540"/>
          <w:tab w:val="left" w:pos="569"/>
        </w:tabs>
        <w:jc w:val="both"/>
        <w:rPr>
          <w:bCs/>
          <w:sz w:val="22"/>
          <w:szCs w:val="22"/>
          <w:lang w:val="sr-Latn-RS"/>
        </w:rPr>
      </w:pPr>
      <w:r w:rsidRPr="00E00E21">
        <w:rPr>
          <w:bCs/>
          <w:sz w:val="22"/>
          <w:szCs w:val="22"/>
          <w:lang w:val="sr-Latn-RS"/>
        </w:rPr>
        <w:t xml:space="preserve">Muškarcima liječenim kabazitakselom preporučuje se da potraže savjet o konzervisanju sperme prije početka terapije. </w:t>
      </w:r>
    </w:p>
    <w:p w14:paraId="6AEF860C" w14:textId="77777777" w:rsidR="00192F57" w:rsidRPr="00E00E21" w:rsidRDefault="00192F57" w:rsidP="00E630C6">
      <w:pPr>
        <w:tabs>
          <w:tab w:val="left" w:pos="540"/>
          <w:tab w:val="left" w:pos="569"/>
        </w:tabs>
        <w:jc w:val="both"/>
        <w:rPr>
          <w:sz w:val="22"/>
          <w:szCs w:val="22"/>
          <w:u w:val="single"/>
          <w:lang w:val="sr-Latn-RS"/>
        </w:rPr>
      </w:pPr>
    </w:p>
    <w:p w14:paraId="01F663DD" w14:textId="77777777" w:rsidR="007A3ECB" w:rsidRPr="00E00E21" w:rsidRDefault="007A3ECB" w:rsidP="00E630C6">
      <w:pPr>
        <w:tabs>
          <w:tab w:val="left" w:pos="540"/>
          <w:tab w:val="left" w:pos="569"/>
        </w:tabs>
        <w:jc w:val="both"/>
        <w:rPr>
          <w:sz w:val="22"/>
          <w:szCs w:val="22"/>
          <w:u w:val="single"/>
          <w:lang w:val="sr-Latn-RS"/>
        </w:rPr>
      </w:pPr>
      <w:r w:rsidRPr="00E00E21">
        <w:rPr>
          <w:sz w:val="22"/>
          <w:szCs w:val="22"/>
          <w:u w:val="single"/>
          <w:lang w:val="sr-Latn-RS"/>
        </w:rPr>
        <w:t>Trudnoća</w:t>
      </w:r>
    </w:p>
    <w:p w14:paraId="67FCE4D9" w14:textId="77777777" w:rsidR="000043EB" w:rsidRPr="00E00E21" w:rsidRDefault="00192F57">
      <w:pPr>
        <w:tabs>
          <w:tab w:val="left" w:pos="540"/>
          <w:tab w:val="left" w:pos="569"/>
        </w:tabs>
        <w:jc w:val="both"/>
        <w:rPr>
          <w:bCs/>
          <w:sz w:val="22"/>
          <w:szCs w:val="22"/>
          <w:lang w:val="sr-Latn-RS"/>
        </w:rPr>
      </w:pPr>
      <w:r w:rsidRPr="00E00E21">
        <w:rPr>
          <w:bCs/>
          <w:sz w:val="22"/>
          <w:szCs w:val="22"/>
          <w:lang w:val="sr-Latn-RS"/>
        </w:rPr>
        <w:t>Nema podataka o primjeni kabazitaksela kod trudnih žena. Studije na životinjama su pokazale reproduktivnu toksičnost pri primjeni doza koje su toksične za majku (</w:t>
      </w:r>
      <w:r w:rsidR="009F2C36" w:rsidRPr="00E00E21">
        <w:rPr>
          <w:bCs/>
          <w:sz w:val="22"/>
          <w:szCs w:val="22"/>
          <w:lang w:val="sr-Latn-RS"/>
        </w:rPr>
        <w:t>vidjeti</w:t>
      </w:r>
      <w:r w:rsidRPr="00E00E21">
        <w:rPr>
          <w:bCs/>
          <w:sz w:val="22"/>
          <w:szCs w:val="22"/>
          <w:lang w:val="sr-Latn-RS"/>
        </w:rPr>
        <w:t xml:space="preserve"> dio 5.3) i da kabazitaksel prolazi placentalnu barijeru (vidjeti dio 5.3). Kao i drugi citotoksični </w:t>
      </w:r>
      <w:r w:rsidR="00F946DA" w:rsidRPr="00E00E21">
        <w:rPr>
          <w:bCs/>
          <w:sz w:val="22"/>
          <w:szCs w:val="22"/>
          <w:lang w:val="sr-Latn-RS"/>
        </w:rPr>
        <w:t>ljeko</w:t>
      </w:r>
      <w:r w:rsidRPr="00E00E21">
        <w:rPr>
          <w:bCs/>
          <w:sz w:val="22"/>
          <w:szCs w:val="22"/>
          <w:lang w:val="sr-Latn-RS"/>
        </w:rPr>
        <w:t xml:space="preserve">vi, kabazitaksel može da dovede do oštećenja fetusa kod trudnica koje su izložene kabazitakselu. </w:t>
      </w:r>
    </w:p>
    <w:p w14:paraId="21E373A2" w14:textId="77777777" w:rsidR="00C73B5C" w:rsidRPr="00E00E21" w:rsidRDefault="00C73B5C">
      <w:pPr>
        <w:tabs>
          <w:tab w:val="left" w:pos="540"/>
          <w:tab w:val="left" w:pos="569"/>
        </w:tabs>
        <w:jc w:val="both"/>
        <w:rPr>
          <w:bCs/>
          <w:sz w:val="22"/>
          <w:szCs w:val="22"/>
          <w:lang w:val="sr-Latn-RS"/>
        </w:rPr>
      </w:pPr>
    </w:p>
    <w:p w14:paraId="4A4897DE" w14:textId="4D24FCC4" w:rsidR="00C73B5C" w:rsidRPr="00E00E21" w:rsidRDefault="00C73B5C" w:rsidP="00E630C6">
      <w:pPr>
        <w:tabs>
          <w:tab w:val="left" w:pos="540"/>
          <w:tab w:val="left" w:pos="569"/>
        </w:tabs>
        <w:jc w:val="both"/>
        <w:rPr>
          <w:bCs/>
          <w:sz w:val="22"/>
          <w:szCs w:val="22"/>
          <w:lang w:val="sr-Latn-RS"/>
        </w:rPr>
      </w:pPr>
      <w:r w:rsidRPr="00E00E21">
        <w:rPr>
          <w:bCs/>
          <w:sz w:val="22"/>
          <w:szCs w:val="22"/>
          <w:lang w:val="sr-Latn-RS"/>
        </w:rPr>
        <w:t>Primjena kabazitaksela se ne preporučuje kod trudnica kao ni kod žena u reproduktivnom period koje ne koriste kontracepciju.</w:t>
      </w:r>
    </w:p>
    <w:p w14:paraId="1FDC948B" w14:textId="77777777" w:rsidR="000043EB" w:rsidRPr="00E00E21" w:rsidRDefault="000043EB" w:rsidP="00E630C6">
      <w:pPr>
        <w:tabs>
          <w:tab w:val="left" w:pos="540"/>
          <w:tab w:val="left" w:pos="569"/>
        </w:tabs>
        <w:jc w:val="both"/>
        <w:rPr>
          <w:bCs/>
          <w:sz w:val="22"/>
          <w:szCs w:val="22"/>
          <w:lang w:val="sr-Latn-RS"/>
        </w:rPr>
      </w:pPr>
    </w:p>
    <w:p w14:paraId="2AF1DDC1" w14:textId="6AA02D47" w:rsidR="0072020E" w:rsidRPr="00E00E21" w:rsidRDefault="007A3ECB" w:rsidP="00E630C6">
      <w:pPr>
        <w:tabs>
          <w:tab w:val="left" w:pos="540"/>
          <w:tab w:val="left" w:pos="569"/>
        </w:tabs>
        <w:jc w:val="both"/>
        <w:rPr>
          <w:b/>
          <w:bCs/>
          <w:sz w:val="22"/>
          <w:szCs w:val="22"/>
          <w:lang w:val="sr-Latn-RS"/>
        </w:rPr>
      </w:pPr>
      <w:r w:rsidRPr="00E00E21">
        <w:rPr>
          <w:sz w:val="22"/>
          <w:szCs w:val="22"/>
          <w:u w:val="single"/>
          <w:lang w:val="sr-Latn-RS"/>
        </w:rPr>
        <w:t xml:space="preserve">Dojenje </w:t>
      </w:r>
    </w:p>
    <w:p w14:paraId="1EEE38CC" w14:textId="77777777" w:rsidR="00E50003" w:rsidRPr="00E00E21" w:rsidRDefault="00192F57" w:rsidP="00192F57">
      <w:pPr>
        <w:tabs>
          <w:tab w:val="left" w:pos="540"/>
          <w:tab w:val="left" w:pos="569"/>
        </w:tabs>
        <w:jc w:val="both"/>
        <w:rPr>
          <w:bCs/>
          <w:sz w:val="22"/>
          <w:szCs w:val="22"/>
          <w:lang w:val="sr-Latn-RS"/>
        </w:rPr>
      </w:pPr>
      <w:r w:rsidRPr="00E00E21">
        <w:rPr>
          <w:bCs/>
          <w:sz w:val="22"/>
          <w:szCs w:val="22"/>
          <w:lang w:val="sr-Latn-RS"/>
        </w:rPr>
        <w:t>Dostupni farmakokinetički podaci dobijeni iz ispitivanja na životinjama ukazuju da se kabazitaksel i njegovi metaboliti izlučuju u mlijeko (</w:t>
      </w:r>
      <w:r w:rsidR="009F2C36" w:rsidRPr="00E00E21">
        <w:rPr>
          <w:bCs/>
          <w:sz w:val="22"/>
          <w:szCs w:val="22"/>
          <w:lang w:val="sr-Latn-RS"/>
        </w:rPr>
        <w:t>vidjeti</w:t>
      </w:r>
      <w:r w:rsidRPr="00E00E21">
        <w:rPr>
          <w:bCs/>
          <w:sz w:val="22"/>
          <w:szCs w:val="22"/>
          <w:lang w:val="sr-Latn-RS"/>
        </w:rPr>
        <w:t xml:space="preserve"> dio 5.3). </w:t>
      </w:r>
    </w:p>
    <w:p w14:paraId="26C218DC" w14:textId="77777777" w:rsidR="00E50003" w:rsidRPr="00E00E21" w:rsidRDefault="00E50003" w:rsidP="00192F57">
      <w:pPr>
        <w:tabs>
          <w:tab w:val="left" w:pos="540"/>
          <w:tab w:val="left" w:pos="569"/>
        </w:tabs>
        <w:jc w:val="both"/>
        <w:rPr>
          <w:bCs/>
          <w:sz w:val="22"/>
          <w:szCs w:val="22"/>
          <w:lang w:val="sr-Latn-RS"/>
        </w:rPr>
      </w:pPr>
    </w:p>
    <w:p w14:paraId="543EBFC2" w14:textId="05C30C78" w:rsidR="00192F57" w:rsidRPr="00E00E21" w:rsidRDefault="00192F57" w:rsidP="00192F57">
      <w:pPr>
        <w:tabs>
          <w:tab w:val="left" w:pos="540"/>
          <w:tab w:val="left" w:pos="569"/>
        </w:tabs>
        <w:jc w:val="both"/>
        <w:rPr>
          <w:bCs/>
          <w:sz w:val="22"/>
          <w:szCs w:val="22"/>
          <w:lang w:val="sr-Latn-RS"/>
        </w:rPr>
      </w:pPr>
      <w:r w:rsidRPr="00E00E21">
        <w:rPr>
          <w:bCs/>
          <w:sz w:val="22"/>
          <w:szCs w:val="22"/>
          <w:lang w:val="sr-Latn-RS"/>
        </w:rPr>
        <w:t xml:space="preserve">Ne može se isključiti rizik za odojče. Kabazitaksel ne treba primjenjivati u periodu dojenja. </w:t>
      </w:r>
    </w:p>
    <w:p w14:paraId="064F45CE" w14:textId="77777777" w:rsidR="00227BDB" w:rsidRPr="00E00E21" w:rsidRDefault="00227BDB" w:rsidP="00396DFD">
      <w:pPr>
        <w:tabs>
          <w:tab w:val="left" w:pos="540"/>
          <w:tab w:val="left" w:pos="569"/>
        </w:tabs>
        <w:ind w:left="540" w:hanging="540"/>
        <w:rPr>
          <w:b/>
          <w:bCs/>
          <w:sz w:val="22"/>
          <w:szCs w:val="22"/>
          <w:lang w:val="sr-Latn-RS"/>
        </w:rPr>
      </w:pPr>
    </w:p>
    <w:p w14:paraId="2A359886" w14:textId="77777777" w:rsidR="0072020E" w:rsidRPr="00E00E21" w:rsidRDefault="0072020E" w:rsidP="00E630C6">
      <w:pPr>
        <w:tabs>
          <w:tab w:val="left" w:pos="540"/>
          <w:tab w:val="left" w:pos="569"/>
        </w:tabs>
        <w:ind w:left="540" w:hanging="540"/>
        <w:jc w:val="both"/>
        <w:rPr>
          <w:b/>
          <w:bCs/>
          <w:sz w:val="22"/>
          <w:szCs w:val="22"/>
          <w:lang w:val="sr-Latn-RS"/>
        </w:rPr>
      </w:pPr>
      <w:r w:rsidRPr="00E00E21">
        <w:rPr>
          <w:b/>
          <w:bCs/>
          <w:sz w:val="22"/>
          <w:szCs w:val="22"/>
          <w:lang w:val="sr-Latn-RS"/>
        </w:rPr>
        <w:t xml:space="preserve">4.7. </w:t>
      </w:r>
      <w:r w:rsidR="00480FB1" w:rsidRPr="00E00E21">
        <w:rPr>
          <w:b/>
          <w:bCs/>
          <w:sz w:val="22"/>
          <w:szCs w:val="22"/>
          <w:lang w:val="sr-Latn-RS"/>
        </w:rPr>
        <w:tab/>
      </w:r>
      <w:r w:rsidRPr="00E00E21">
        <w:rPr>
          <w:b/>
          <w:bCs/>
          <w:sz w:val="22"/>
          <w:szCs w:val="22"/>
          <w:lang w:val="sr-Latn-RS"/>
        </w:rPr>
        <w:t xml:space="preserve">Uticaj na </w:t>
      </w:r>
      <w:r w:rsidR="002031B3" w:rsidRPr="00E00E21">
        <w:rPr>
          <w:b/>
          <w:bCs/>
          <w:sz w:val="22"/>
          <w:szCs w:val="22"/>
          <w:lang w:val="sr-Latn-RS"/>
        </w:rPr>
        <w:t xml:space="preserve">sposobnost </w:t>
      </w:r>
      <w:r w:rsidR="00F34554" w:rsidRPr="00E00E21">
        <w:rPr>
          <w:b/>
          <w:bCs/>
          <w:sz w:val="22"/>
          <w:szCs w:val="22"/>
          <w:lang w:val="sr-Latn-RS"/>
        </w:rPr>
        <w:t>upravljanja vozili</w:t>
      </w:r>
      <w:r w:rsidRPr="00E00E21">
        <w:rPr>
          <w:b/>
          <w:bCs/>
          <w:sz w:val="22"/>
          <w:szCs w:val="22"/>
          <w:lang w:val="sr-Latn-RS"/>
        </w:rPr>
        <w:t>m</w:t>
      </w:r>
      <w:r w:rsidR="00F34554" w:rsidRPr="00E00E21">
        <w:rPr>
          <w:b/>
          <w:bCs/>
          <w:sz w:val="22"/>
          <w:szCs w:val="22"/>
          <w:lang w:val="sr-Latn-RS"/>
        </w:rPr>
        <w:t>a</w:t>
      </w:r>
      <w:r w:rsidRPr="00E00E21">
        <w:rPr>
          <w:b/>
          <w:bCs/>
          <w:sz w:val="22"/>
          <w:szCs w:val="22"/>
          <w:lang w:val="sr-Latn-RS"/>
        </w:rPr>
        <w:t xml:space="preserve"> i </w:t>
      </w:r>
      <w:r w:rsidR="000D3449" w:rsidRPr="00E00E21">
        <w:rPr>
          <w:b/>
          <w:bCs/>
          <w:sz w:val="22"/>
          <w:szCs w:val="22"/>
          <w:lang w:val="sr-Latn-RS"/>
        </w:rPr>
        <w:t xml:space="preserve">rukovanje </w:t>
      </w:r>
      <w:r w:rsidRPr="00E00E21">
        <w:rPr>
          <w:b/>
          <w:bCs/>
          <w:sz w:val="22"/>
          <w:szCs w:val="22"/>
          <w:lang w:val="sr-Latn-RS"/>
        </w:rPr>
        <w:t>mašinama</w:t>
      </w:r>
    </w:p>
    <w:p w14:paraId="6529185B" w14:textId="77777777" w:rsidR="00192F57" w:rsidRPr="00E00E21" w:rsidRDefault="00192F57" w:rsidP="00E630C6">
      <w:pPr>
        <w:tabs>
          <w:tab w:val="left" w:pos="540"/>
          <w:tab w:val="left" w:pos="569"/>
        </w:tabs>
        <w:jc w:val="both"/>
        <w:rPr>
          <w:bCs/>
          <w:sz w:val="22"/>
          <w:szCs w:val="22"/>
          <w:lang w:val="sr-Latn-RS"/>
        </w:rPr>
      </w:pPr>
    </w:p>
    <w:p w14:paraId="7498466E" w14:textId="4103C6CD" w:rsidR="004E16E4" w:rsidRPr="00E00E21" w:rsidRDefault="004E16E4" w:rsidP="00E630C6">
      <w:pPr>
        <w:tabs>
          <w:tab w:val="left" w:pos="540"/>
          <w:tab w:val="left" w:pos="569"/>
        </w:tabs>
        <w:jc w:val="both"/>
        <w:rPr>
          <w:b/>
          <w:bCs/>
          <w:sz w:val="22"/>
          <w:szCs w:val="22"/>
          <w:lang w:val="sr-Latn-RS"/>
        </w:rPr>
      </w:pPr>
      <w:r w:rsidRPr="00E00E21">
        <w:rPr>
          <w:bCs/>
          <w:sz w:val="22"/>
          <w:szCs w:val="22"/>
          <w:lang w:val="sr-Latn-RS"/>
        </w:rPr>
        <w:t xml:space="preserve">Kabazitaksel može imati uticaj na sposobnost upravljanja vozilom i rukovanja mašinama, jer može izazvati umor i vrtoglavicu. Pacijente treba </w:t>
      </w:r>
      <w:r w:rsidR="0022280F" w:rsidRPr="00E00E21">
        <w:rPr>
          <w:bCs/>
          <w:sz w:val="22"/>
          <w:szCs w:val="22"/>
          <w:lang w:val="sr-Latn-RS"/>
        </w:rPr>
        <w:t>savjetovati</w:t>
      </w:r>
      <w:r w:rsidRPr="00E00E21">
        <w:rPr>
          <w:bCs/>
          <w:sz w:val="22"/>
          <w:szCs w:val="22"/>
          <w:lang w:val="sr-Latn-RS"/>
        </w:rPr>
        <w:t xml:space="preserve"> da ne upravljaju vozilima ili mašinama ako imaju ova neželjena dejstva tokom terapije.</w:t>
      </w:r>
    </w:p>
    <w:p w14:paraId="10D2CEF8" w14:textId="77777777" w:rsidR="0072020E" w:rsidRPr="00E00E21" w:rsidRDefault="0072020E" w:rsidP="00E630C6">
      <w:pPr>
        <w:tabs>
          <w:tab w:val="left" w:pos="540"/>
          <w:tab w:val="left" w:pos="569"/>
        </w:tabs>
        <w:jc w:val="both"/>
        <w:rPr>
          <w:b/>
          <w:bCs/>
          <w:sz w:val="22"/>
          <w:szCs w:val="22"/>
          <w:lang w:val="sr-Latn-RS"/>
        </w:rPr>
      </w:pPr>
    </w:p>
    <w:p w14:paraId="6BCD438A" w14:textId="4F0DD31B" w:rsidR="004E70AD" w:rsidRPr="00E00E21" w:rsidRDefault="0072020E" w:rsidP="00E630C6">
      <w:pPr>
        <w:tabs>
          <w:tab w:val="left" w:pos="540"/>
          <w:tab w:val="left" w:pos="569"/>
        </w:tabs>
        <w:jc w:val="both"/>
        <w:rPr>
          <w:b/>
          <w:bCs/>
          <w:sz w:val="22"/>
          <w:szCs w:val="22"/>
          <w:lang w:val="sr-Latn-RS"/>
        </w:rPr>
      </w:pPr>
      <w:r w:rsidRPr="00E00E21">
        <w:rPr>
          <w:b/>
          <w:bCs/>
          <w:sz w:val="22"/>
          <w:szCs w:val="22"/>
          <w:lang w:val="sr-Latn-RS"/>
        </w:rPr>
        <w:t xml:space="preserve">4.8. </w:t>
      </w:r>
      <w:r w:rsidR="00480FB1" w:rsidRPr="00E00E21">
        <w:rPr>
          <w:b/>
          <w:bCs/>
          <w:sz w:val="22"/>
          <w:szCs w:val="22"/>
          <w:lang w:val="sr-Latn-RS"/>
        </w:rPr>
        <w:tab/>
      </w:r>
      <w:r w:rsidRPr="00E00E21">
        <w:rPr>
          <w:b/>
          <w:bCs/>
          <w:sz w:val="22"/>
          <w:szCs w:val="22"/>
          <w:lang w:val="sr-Latn-RS"/>
        </w:rPr>
        <w:t>Neželjena dejstva</w:t>
      </w:r>
    </w:p>
    <w:p w14:paraId="3CA4E4D2" w14:textId="77777777" w:rsidR="004E16E4" w:rsidRPr="00E00E21" w:rsidRDefault="004E16E4" w:rsidP="00E630C6">
      <w:pPr>
        <w:tabs>
          <w:tab w:val="left" w:pos="540"/>
          <w:tab w:val="left" w:pos="569"/>
        </w:tabs>
        <w:jc w:val="both"/>
        <w:rPr>
          <w:b/>
          <w:bCs/>
          <w:sz w:val="22"/>
          <w:szCs w:val="22"/>
          <w:lang w:val="sr-Latn-RS"/>
        </w:rPr>
      </w:pPr>
    </w:p>
    <w:p w14:paraId="1CEB150C" w14:textId="77777777" w:rsidR="00156978" w:rsidRPr="00E00E21" w:rsidRDefault="004E16E4" w:rsidP="00E93932">
      <w:pPr>
        <w:tabs>
          <w:tab w:val="left" w:pos="540"/>
          <w:tab w:val="left" w:pos="569"/>
        </w:tabs>
        <w:jc w:val="both"/>
        <w:rPr>
          <w:bCs/>
          <w:sz w:val="22"/>
          <w:szCs w:val="22"/>
          <w:lang w:val="sr-Latn-RS"/>
        </w:rPr>
      </w:pPr>
      <w:r w:rsidRPr="00E00E21">
        <w:rPr>
          <w:bCs/>
          <w:sz w:val="22"/>
          <w:szCs w:val="22"/>
          <w:u w:val="single"/>
          <w:lang w:val="sr-Latn-RS"/>
        </w:rPr>
        <w:t>Sažetak bezb</w:t>
      </w:r>
      <w:r w:rsidR="00156978" w:rsidRPr="00E00E21">
        <w:rPr>
          <w:bCs/>
          <w:sz w:val="22"/>
          <w:szCs w:val="22"/>
          <w:u w:val="single"/>
          <w:lang w:val="sr-Latn-RS"/>
        </w:rPr>
        <w:t>j</w:t>
      </w:r>
      <w:r w:rsidRPr="00E00E21">
        <w:rPr>
          <w:bCs/>
          <w:sz w:val="22"/>
          <w:szCs w:val="22"/>
          <w:u w:val="single"/>
          <w:lang w:val="sr-Latn-RS"/>
        </w:rPr>
        <w:t>ednosnog profila</w:t>
      </w:r>
      <w:r w:rsidRPr="00E00E21">
        <w:rPr>
          <w:bCs/>
          <w:sz w:val="22"/>
          <w:szCs w:val="22"/>
          <w:lang w:val="sr-Latn-RS"/>
        </w:rPr>
        <w:t xml:space="preserve"> </w:t>
      </w:r>
    </w:p>
    <w:p w14:paraId="01932F27" w14:textId="77777777" w:rsidR="00156978" w:rsidRPr="00E00E21" w:rsidRDefault="00156978" w:rsidP="004F26A0">
      <w:pPr>
        <w:tabs>
          <w:tab w:val="left" w:pos="540"/>
          <w:tab w:val="left" w:pos="569"/>
        </w:tabs>
        <w:jc w:val="both"/>
        <w:rPr>
          <w:bCs/>
          <w:sz w:val="22"/>
          <w:szCs w:val="22"/>
          <w:lang w:val="sr-Latn-RS"/>
        </w:rPr>
      </w:pPr>
    </w:p>
    <w:p w14:paraId="06848AB7" w14:textId="6B7AB7B9" w:rsidR="00156978" w:rsidRPr="00E00E21" w:rsidRDefault="003042DF" w:rsidP="00370E1E">
      <w:pPr>
        <w:tabs>
          <w:tab w:val="left" w:pos="540"/>
          <w:tab w:val="left" w:pos="569"/>
        </w:tabs>
        <w:jc w:val="both"/>
        <w:rPr>
          <w:bCs/>
          <w:sz w:val="22"/>
          <w:szCs w:val="22"/>
          <w:lang w:val="sr-Latn-RS"/>
        </w:rPr>
      </w:pPr>
      <w:r w:rsidRPr="00E00E21">
        <w:rPr>
          <w:bCs/>
          <w:sz w:val="22"/>
          <w:szCs w:val="22"/>
          <w:lang w:val="sr-Latn-RS"/>
        </w:rPr>
        <w:t>Bezbjednost</w:t>
      </w:r>
      <w:r w:rsidR="004E16E4" w:rsidRPr="00E00E21">
        <w:rPr>
          <w:bCs/>
          <w:sz w:val="22"/>
          <w:szCs w:val="22"/>
          <w:lang w:val="sr-Latn-RS"/>
        </w:rPr>
        <w:t xml:space="preserve"> primjene lijeka Kabazitaksel EVER Pharma u kombinaciji sa prednizonom ili prednizolonom oc</w:t>
      </w:r>
      <w:r w:rsidR="00156978" w:rsidRPr="00E00E21">
        <w:rPr>
          <w:bCs/>
          <w:sz w:val="22"/>
          <w:szCs w:val="22"/>
          <w:lang w:val="sr-Latn-RS"/>
        </w:rPr>
        <w:t>ij</w:t>
      </w:r>
      <w:r w:rsidR="004E16E4" w:rsidRPr="00E00E21">
        <w:rPr>
          <w:bCs/>
          <w:sz w:val="22"/>
          <w:szCs w:val="22"/>
          <w:lang w:val="sr-Latn-RS"/>
        </w:rPr>
        <w:t>enjena je u</w:t>
      </w:r>
      <w:r w:rsidR="00BF635F" w:rsidRPr="00E00E21">
        <w:rPr>
          <w:bCs/>
          <w:sz w:val="22"/>
          <w:szCs w:val="22"/>
          <w:lang w:val="sr-Latn-RS"/>
        </w:rPr>
        <w:t xml:space="preserve"> 3</w:t>
      </w:r>
      <w:r w:rsidR="004E16E4" w:rsidRPr="00E00E21">
        <w:rPr>
          <w:bCs/>
          <w:sz w:val="22"/>
          <w:szCs w:val="22"/>
          <w:lang w:val="sr-Latn-RS"/>
        </w:rPr>
        <w:t xml:space="preserve"> </w:t>
      </w:r>
      <w:r w:rsidR="00BF635F" w:rsidRPr="00E00E21">
        <w:rPr>
          <w:bCs/>
          <w:sz w:val="22"/>
          <w:szCs w:val="22"/>
          <w:lang w:val="sr-Latn-RS"/>
        </w:rPr>
        <w:t>randomizovane</w:t>
      </w:r>
      <w:r w:rsidR="004E16E4" w:rsidRPr="00E00E21">
        <w:rPr>
          <w:bCs/>
          <w:sz w:val="22"/>
          <w:szCs w:val="22"/>
          <w:lang w:val="sr-Latn-RS"/>
        </w:rPr>
        <w:t xml:space="preserve">, </w:t>
      </w:r>
      <w:r w:rsidR="00BF635F" w:rsidRPr="00E00E21">
        <w:rPr>
          <w:bCs/>
          <w:sz w:val="22"/>
          <w:szCs w:val="22"/>
          <w:lang w:val="sr-Latn-RS"/>
        </w:rPr>
        <w:t>otvorene</w:t>
      </w:r>
      <w:r w:rsidR="004E16E4" w:rsidRPr="00E00E21">
        <w:rPr>
          <w:bCs/>
          <w:sz w:val="22"/>
          <w:szCs w:val="22"/>
          <w:lang w:val="sr-Latn-RS"/>
        </w:rPr>
        <w:t xml:space="preserve">, </w:t>
      </w:r>
      <w:r w:rsidR="00BF635F" w:rsidRPr="00E00E21">
        <w:rPr>
          <w:bCs/>
          <w:sz w:val="22"/>
          <w:szCs w:val="22"/>
          <w:lang w:val="sr-Latn-RS"/>
        </w:rPr>
        <w:t>kontrolisane studije (TROPIC, PROSELICA i CARD)</w:t>
      </w:r>
      <w:r w:rsidR="003B3AFF" w:rsidRPr="00E00E21">
        <w:rPr>
          <w:bCs/>
          <w:sz w:val="22"/>
          <w:szCs w:val="22"/>
          <w:lang w:val="sr-Latn-RS"/>
        </w:rPr>
        <w:t xml:space="preserve"> na</w:t>
      </w:r>
      <w:r w:rsidR="00BF635F" w:rsidRPr="00E00E21">
        <w:rPr>
          <w:bCs/>
          <w:sz w:val="22"/>
          <w:szCs w:val="22"/>
          <w:lang w:val="sr-Latn-RS"/>
        </w:rPr>
        <w:t xml:space="preserve"> 1092</w:t>
      </w:r>
      <w:r w:rsidR="004E16E4" w:rsidRPr="00E00E21">
        <w:rPr>
          <w:bCs/>
          <w:sz w:val="22"/>
          <w:szCs w:val="22"/>
          <w:lang w:val="sr-Latn-RS"/>
        </w:rPr>
        <w:t xml:space="preserve"> pacijenta sa metastatskim karcinomom prostate rezistentnim na kastraciju, koji su dobijali 25 mg/m</w:t>
      </w:r>
      <w:r w:rsidR="004E16E4" w:rsidRPr="00E00E21">
        <w:rPr>
          <w:bCs/>
          <w:sz w:val="22"/>
          <w:szCs w:val="22"/>
          <w:vertAlign w:val="superscript"/>
          <w:lang w:val="sr-Latn-RS"/>
        </w:rPr>
        <w:t>2</w:t>
      </w:r>
      <w:r w:rsidR="004E16E4" w:rsidRPr="00E00E21">
        <w:rPr>
          <w:bCs/>
          <w:sz w:val="22"/>
          <w:szCs w:val="22"/>
          <w:lang w:val="sr-Latn-RS"/>
        </w:rPr>
        <w:t xml:space="preserve"> kabazitaksela jednom na svake tri ned</w:t>
      </w:r>
      <w:r w:rsidR="00370E1E" w:rsidRPr="00E00E21">
        <w:rPr>
          <w:bCs/>
          <w:sz w:val="22"/>
          <w:szCs w:val="22"/>
          <w:lang w:val="sr-Latn-RS"/>
        </w:rPr>
        <w:t>j</w:t>
      </w:r>
      <w:r w:rsidR="004E16E4" w:rsidRPr="00E00E21">
        <w:rPr>
          <w:bCs/>
          <w:sz w:val="22"/>
          <w:szCs w:val="22"/>
          <w:lang w:val="sr-Latn-RS"/>
        </w:rPr>
        <w:t xml:space="preserve">elje. Medijana trajanja terapije </w:t>
      </w:r>
      <w:r w:rsidR="00F946DA" w:rsidRPr="00E00E21">
        <w:rPr>
          <w:bCs/>
          <w:sz w:val="22"/>
          <w:szCs w:val="22"/>
          <w:lang w:val="sr-Latn-RS"/>
        </w:rPr>
        <w:t>ljeko</w:t>
      </w:r>
      <w:r w:rsidR="004E16E4" w:rsidRPr="00E00E21">
        <w:rPr>
          <w:bCs/>
          <w:sz w:val="22"/>
          <w:szCs w:val="22"/>
          <w:lang w:val="sr-Latn-RS"/>
        </w:rPr>
        <w:t>m Kabazitaksel EVER Pharma iznosila je 6</w:t>
      </w:r>
      <w:r w:rsidR="00156978" w:rsidRPr="00E00E21">
        <w:rPr>
          <w:bCs/>
          <w:sz w:val="22"/>
          <w:szCs w:val="22"/>
          <w:lang w:val="sr-Latn-RS"/>
        </w:rPr>
        <w:t xml:space="preserve"> do 7</w:t>
      </w:r>
      <w:r w:rsidR="004E16E4" w:rsidRPr="00E00E21">
        <w:rPr>
          <w:bCs/>
          <w:sz w:val="22"/>
          <w:szCs w:val="22"/>
          <w:lang w:val="sr-Latn-RS"/>
        </w:rPr>
        <w:t xml:space="preserve"> ciklusa. </w:t>
      </w:r>
    </w:p>
    <w:p w14:paraId="5AAD5EC7" w14:textId="77777777" w:rsidR="00370E1E" w:rsidRPr="00E00E21" w:rsidRDefault="00370E1E" w:rsidP="00370E1E">
      <w:pPr>
        <w:tabs>
          <w:tab w:val="left" w:pos="540"/>
          <w:tab w:val="left" w:pos="569"/>
        </w:tabs>
        <w:jc w:val="both"/>
        <w:rPr>
          <w:bCs/>
          <w:sz w:val="22"/>
          <w:szCs w:val="22"/>
          <w:lang w:val="sr-Latn-RS"/>
        </w:rPr>
      </w:pPr>
    </w:p>
    <w:p w14:paraId="25CA5404" w14:textId="3BEB1307" w:rsidR="00156978" w:rsidRPr="00E00E21" w:rsidRDefault="00156978" w:rsidP="009B6A1F">
      <w:pPr>
        <w:tabs>
          <w:tab w:val="left" w:pos="540"/>
          <w:tab w:val="left" w:pos="569"/>
        </w:tabs>
        <w:jc w:val="both"/>
        <w:rPr>
          <w:bCs/>
          <w:sz w:val="22"/>
          <w:szCs w:val="22"/>
          <w:lang w:val="sr-Latn-RS"/>
        </w:rPr>
      </w:pPr>
      <w:r w:rsidRPr="00E00E21">
        <w:rPr>
          <w:bCs/>
          <w:sz w:val="22"/>
          <w:szCs w:val="22"/>
          <w:lang w:val="sr-Latn-RS"/>
        </w:rPr>
        <w:t>Incidence iz objedinjene analize ova 3 klinička ispitivanja prikazane su u tabeli ispod.</w:t>
      </w:r>
    </w:p>
    <w:p w14:paraId="4445C2E4" w14:textId="77777777" w:rsidR="00370E1E" w:rsidRPr="00E00E21" w:rsidRDefault="00370E1E">
      <w:pPr>
        <w:tabs>
          <w:tab w:val="left" w:pos="540"/>
          <w:tab w:val="left" w:pos="569"/>
        </w:tabs>
        <w:jc w:val="both"/>
        <w:rPr>
          <w:bCs/>
          <w:sz w:val="22"/>
          <w:szCs w:val="22"/>
          <w:lang w:val="sr-Latn-RS"/>
        </w:rPr>
      </w:pPr>
    </w:p>
    <w:p w14:paraId="5E05F201" w14:textId="61236230" w:rsidR="00156978" w:rsidRPr="00E00E21" w:rsidRDefault="004E16E4">
      <w:pPr>
        <w:tabs>
          <w:tab w:val="left" w:pos="540"/>
          <w:tab w:val="left" w:pos="569"/>
        </w:tabs>
        <w:jc w:val="both"/>
        <w:rPr>
          <w:bCs/>
          <w:sz w:val="22"/>
          <w:szCs w:val="22"/>
          <w:lang w:val="sr-Latn-RS"/>
        </w:rPr>
      </w:pPr>
      <w:r w:rsidRPr="00E00E21">
        <w:rPr>
          <w:bCs/>
          <w:sz w:val="22"/>
          <w:szCs w:val="22"/>
          <w:lang w:val="sr-Latn-RS"/>
        </w:rPr>
        <w:t>Najčešće prijavljene</w:t>
      </w:r>
      <w:r w:rsidR="00BF635F" w:rsidRPr="00E00E21">
        <w:rPr>
          <w:bCs/>
          <w:sz w:val="22"/>
          <w:szCs w:val="22"/>
          <w:lang w:val="sr-Latn-RS"/>
        </w:rPr>
        <w:t xml:space="preserve"> </w:t>
      </w:r>
      <w:r w:rsidRPr="00E00E21">
        <w:rPr>
          <w:bCs/>
          <w:sz w:val="22"/>
          <w:szCs w:val="22"/>
          <w:lang w:val="sr-Latn-RS"/>
        </w:rPr>
        <w:t xml:space="preserve">neželjene reakcije </w:t>
      </w:r>
      <w:r w:rsidR="00156978" w:rsidRPr="00E00E21">
        <w:rPr>
          <w:bCs/>
          <w:sz w:val="22"/>
          <w:szCs w:val="22"/>
          <w:lang w:val="sr-Latn-RS"/>
        </w:rPr>
        <w:t>svih stepena bile su anemija (99</w:t>
      </w:r>
      <w:r w:rsidRPr="00E00E21">
        <w:rPr>
          <w:bCs/>
          <w:sz w:val="22"/>
          <w:szCs w:val="22"/>
          <w:lang w:val="sr-Latn-RS"/>
        </w:rPr>
        <w:t>,</w:t>
      </w:r>
      <w:r w:rsidR="00156978" w:rsidRPr="00E00E21">
        <w:rPr>
          <w:bCs/>
          <w:sz w:val="22"/>
          <w:szCs w:val="22"/>
          <w:lang w:val="sr-Latn-RS"/>
        </w:rPr>
        <w:t>0</w:t>
      </w:r>
      <w:r w:rsidRPr="00E00E21">
        <w:rPr>
          <w:bCs/>
          <w:sz w:val="22"/>
          <w:szCs w:val="22"/>
          <w:lang w:val="sr-Latn-RS"/>
        </w:rPr>
        <w:t>%), leukopenija (9</w:t>
      </w:r>
      <w:r w:rsidR="00156978" w:rsidRPr="00E00E21">
        <w:rPr>
          <w:bCs/>
          <w:sz w:val="22"/>
          <w:szCs w:val="22"/>
          <w:lang w:val="sr-Latn-RS"/>
        </w:rPr>
        <w:t>3</w:t>
      </w:r>
      <w:r w:rsidRPr="00E00E21">
        <w:rPr>
          <w:bCs/>
          <w:sz w:val="22"/>
          <w:szCs w:val="22"/>
          <w:lang w:val="sr-Latn-RS"/>
        </w:rPr>
        <w:t>,</w:t>
      </w:r>
      <w:r w:rsidR="00156978" w:rsidRPr="00E00E21">
        <w:rPr>
          <w:bCs/>
          <w:sz w:val="22"/>
          <w:szCs w:val="22"/>
          <w:lang w:val="sr-Latn-RS"/>
        </w:rPr>
        <w:t>0%), neutropenija (87</w:t>
      </w:r>
      <w:r w:rsidRPr="00E00E21">
        <w:rPr>
          <w:bCs/>
          <w:sz w:val="22"/>
          <w:szCs w:val="22"/>
          <w:lang w:val="sr-Latn-RS"/>
        </w:rPr>
        <w:t>,</w:t>
      </w:r>
      <w:r w:rsidR="00156978" w:rsidRPr="00E00E21">
        <w:rPr>
          <w:bCs/>
          <w:sz w:val="22"/>
          <w:szCs w:val="22"/>
          <w:lang w:val="sr-Latn-RS"/>
        </w:rPr>
        <w:t>9%), trombocitopenija (41</w:t>
      </w:r>
      <w:r w:rsidRPr="00E00E21">
        <w:rPr>
          <w:bCs/>
          <w:sz w:val="22"/>
          <w:szCs w:val="22"/>
          <w:lang w:val="sr-Latn-RS"/>
        </w:rPr>
        <w:t>,</w:t>
      </w:r>
      <w:r w:rsidR="00156978" w:rsidRPr="00E00E21">
        <w:rPr>
          <w:bCs/>
          <w:sz w:val="22"/>
          <w:szCs w:val="22"/>
          <w:lang w:val="sr-Latn-RS"/>
        </w:rPr>
        <w:t>1</w:t>
      </w:r>
      <w:r w:rsidRPr="00E00E21">
        <w:rPr>
          <w:bCs/>
          <w:sz w:val="22"/>
          <w:szCs w:val="22"/>
          <w:lang w:val="sr-Latn-RS"/>
        </w:rPr>
        <w:t>%)</w:t>
      </w:r>
      <w:r w:rsidR="00370E1E" w:rsidRPr="00E00E21">
        <w:rPr>
          <w:bCs/>
          <w:sz w:val="22"/>
          <w:szCs w:val="22"/>
          <w:lang w:val="sr-Latn-RS"/>
        </w:rPr>
        <w:t xml:space="preserve">, </w:t>
      </w:r>
      <w:r w:rsidRPr="00E00E21">
        <w:rPr>
          <w:bCs/>
          <w:sz w:val="22"/>
          <w:szCs w:val="22"/>
          <w:lang w:val="sr-Latn-RS"/>
        </w:rPr>
        <w:t>dijareja (4</w:t>
      </w:r>
      <w:r w:rsidR="00156978" w:rsidRPr="00E00E21">
        <w:rPr>
          <w:bCs/>
          <w:sz w:val="22"/>
          <w:szCs w:val="22"/>
          <w:lang w:val="sr-Latn-RS"/>
        </w:rPr>
        <w:t>2</w:t>
      </w:r>
      <w:r w:rsidRPr="00E00E21">
        <w:rPr>
          <w:bCs/>
          <w:sz w:val="22"/>
          <w:szCs w:val="22"/>
          <w:lang w:val="sr-Latn-RS"/>
        </w:rPr>
        <w:t>,</w:t>
      </w:r>
      <w:r w:rsidR="00156978" w:rsidRPr="00E00E21">
        <w:rPr>
          <w:bCs/>
          <w:sz w:val="22"/>
          <w:szCs w:val="22"/>
          <w:lang w:val="sr-Latn-RS"/>
        </w:rPr>
        <w:t>1</w:t>
      </w:r>
      <w:r w:rsidRPr="00E00E21">
        <w:rPr>
          <w:bCs/>
          <w:sz w:val="22"/>
          <w:szCs w:val="22"/>
          <w:lang w:val="sr-Latn-RS"/>
        </w:rPr>
        <w:t>%)</w:t>
      </w:r>
      <w:r w:rsidR="00156978" w:rsidRPr="00E00E21">
        <w:rPr>
          <w:sz w:val="22"/>
          <w:szCs w:val="22"/>
          <w:lang w:val="sr-Latn-RS"/>
        </w:rPr>
        <w:t xml:space="preserve">, </w:t>
      </w:r>
      <w:r w:rsidR="00156978" w:rsidRPr="00E00E21">
        <w:rPr>
          <w:bCs/>
          <w:sz w:val="22"/>
          <w:szCs w:val="22"/>
          <w:lang w:val="sr-Latn-RS"/>
        </w:rPr>
        <w:t>umor (25,0%) i astenija (15,4%)</w:t>
      </w:r>
      <w:r w:rsidRPr="00E00E21">
        <w:rPr>
          <w:bCs/>
          <w:sz w:val="22"/>
          <w:szCs w:val="22"/>
          <w:lang w:val="sr-Latn-RS"/>
        </w:rPr>
        <w:t>. Najčešće prijavljene neželjene reakcije stepena ≥</w:t>
      </w:r>
      <w:r w:rsidR="00370E1E" w:rsidRPr="00E00E21">
        <w:rPr>
          <w:bCs/>
          <w:sz w:val="22"/>
          <w:szCs w:val="22"/>
          <w:lang w:val="sr-Latn-RS"/>
        </w:rPr>
        <w:t xml:space="preserve"> </w:t>
      </w:r>
      <w:r w:rsidRPr="00E00E21">
        <w:rPr>
          <w:bCs/>
          <w:sz w:val="22"/>
          <w:szCs w:val="22"/>
          <w:lang w:val="sr-Latn-RS"/>
        </w:rPr>
        <w:t>3</w:t>
      </w:r>
      <w:r w:rsidR="00BF635F" w:rsidRPr="00E00E21">
        <w:rPr>
          <w:bCs/>
          <w:sz w:val="22"/>
          <w:szCs w:val="22"/>
          <w:lang w:val="sr-Latn-RS"/>
        </w:rPr>
        <w:t xml:space="preserve"> koje su se javile kod najmanje 5% pacijenata</w:t>
      </w:r>
      <w:r w:rsidRPr="00E00E21">
        <w:rPr>
          <w:bCs/>
          <w:sz w:val="22"/>
          <w:szCs w:val="22"/>
          <w:lang w:val="sr-Latn-RS"/>
        </w:rPr>
        <w:t xml:space="preserve"> u grupi koja je primala kabaz</w:t>
      </w:r>
      <w:r w:rsidR="00156978" w:rsidRPr="00E00E21">
        <w:rPr>
          <w:bCs/>
          <w:sz w:val="22"/>
          <w:szCs w:val="22"/>
          <w:lang w:val="sr-Latn-RS"/>
        </w:rPr>
        <w:t>itaksel bile su neutropenija (73</w:t>
      </w:r>
      <w:r w:rsidRPr="00E00E21">
        <w:rPr>
          <w:bCs/>
          <w:sz w:val="22"/>
          <w:szCs w:val="22"/>
          <w:lang w:val="sr-Latn-RS"/>
        </w:rPr>
        <w:t>,</w:t>
      </w:r>
      <w:r w:rsidR="00156978" w:rsidRPr="00E00E21">
        <w:rPr>
          <w:bCs/>
          <w:sz w:val="22"/>
          <w:szCs w:val="22"/>
          <w:lang w:val="sr-Latn-RS"/>
        </w:rPr>
        <w:t>1%), leukopenija (59</w:t>
      </w:r>
      <w:r w:rsidRPr="00E00E21">
        <w:rPr>
          <w:bCs/>
          <w:sz w:val="22"/>
          <w:szCs w:val="22"/>
          <w:lang w:val="sr-Latn-RS"/>
        </w:rPr>
        <w:t>,</w:t>
      </w:r>
      <w:r w:rsidR="00156978" w:rsidRPr="00E00E21">
        <w:rPr>
          <w:bCs/>
          <w:sz w:val="22"/>
          <w:szCs w:val="22"/>
          <w:lang w:val="sr-Latn-RS"/>
        </w:rPr>
        <w:t>5</w:t>
      </w:r>
      <w:r w:rsidRPr="00E00E21">
        <w:rPr>
          <w:bCs/>
          <w:sz w:val="22"/>
          <w:szCs w:val="22"/>
          <w:lang w:val="sr-Latn-RS"/>
        </w:rPr>
        <w:t>%), anemija (1</w:t>
      </w:r>
      <w:r w:rsidR="00156978" w:rsidRPr="00E00E21">
        <w:rPr>
          <w:bCs/>
          <w:sz w:val="22"/>
          <w:szCs w:val="22"/>
          <w:lang w:val="sr-Latn-RS"/>
        </w:rPr>
        <w:t>2</w:t>
      </w:r>
      <w:r w:rsidRPr="00E00E21">
        <w:rPr>
          <w:bCs/>
          <w:sz w:val="22"/>
          <w:szCs w:val="22"/>
          <w:lang w:val="sr-Latn-RS"/>
        </w:rPr>
        <w:t>,</w:t>
      </w:r>
      <w:r w:rsidR="00156978" w:rsidRPr="00E00E21">
        <w:rPr>
          <w:bCs/>
          <w:sz w:val="22"/>
          <w:szCs w:val="22"/>
          <w:lang w:val="sr-Latn-RS"/>
        </w:rPr>
        <w:t>0</w:t>
      </w:r>
      <w:r w:rsidRPr="00E00E21">
        <w:rPr>
          <w:bCs/>
          <w:sz w:val="22"/>
          <w:szCs w:val="22"/>
          <w:lang w:val="sr-Latn-RS"/>
        </w:rPr>
        <w:t>%), febrilna neutropenija (</w:t>
      </w:r>
      <w:r w:rsidR="00156978" w:rsidRPr="00E00E21">
        <w:rPr>
          <w:bCs/>
          <w:sz w:val="22"/>
          <w:szCs w:val="22"/>
          <w:lang w:val="sr-Latn-RS"/>
        </w:rPr>
        <w:t>8</w:t>
      </w:r>
      <w:r w:rsidRPr="00E00E21">
        <w:rPr>
          <w:bCs/>
          <w:sz w:val="22"/>
          <w:szCs w:val="22"/>
          <w:lang w:val="sr-Latn-RS"/>
        </w:rPr>
        <w:t>,</w:t>
      </w:r>
      <w:r w:rsidR="00156978" w:rsidRPr="00E00E21">
        <w:rPr>
          <w:bCs/>
          <w:sz w:val="22"/>
          <w:szCs w:val="22"/>
          <w:lang w:val="sr-Latn-RS"/>
        </w:rPr>
        <w:t>0</w:t>
      </w:r>
      <w:r w:rsidRPr="00E00E21">
        <w:rPr>
          <w:bCs/>
          <w:sz w:val="22"/>
          <w:szCs w:val="22"/>
          <w:lang w:val="sr-Latn-RS"/>
        </w:rPr>
        <w:t>%) i dijareja (</w:t>
      </w:r>
      <w:r w:rsidR="00156978" w:rsidRPr="00E00E21">
        <w:rPr>
          <w:bCs/>
          <w:sz w:val="22"/>
          <w:szCs w:val="22"/>
          <w:lang w:val="sr-Latn-RS"/>
        </w:rPr>
        <w:t>4</w:t>
      </w:r>
      <w:r w:rsidRPr="00E00E21">
        <w:rPr>
          <w:bCs/>
          <w:sz w:val="22"/>
          <w:szCs w:val="22"/>
          <w:lang w:val="sr-Latn-RS"/>
        </w:rPr>
        <w:t>,</w:t>
      </w:r>
      <w:r w:rsidR="00156978" w:rsidRPr="00E00E21">
        <w:rPr>
          <w:bCs/>
          <w:sz w:val="22"/>
          <w:szCs w:val="22"/>
          <w:lang w:val="sr-Latn-RS"/>
        </w:rPr>
        <w:t>7</w:t>
      </w:r>
      <w:r w:rsidRPr="00E00E21">
        <w:rPr>
          <w:bCs/>
          <w:sz w:val="22"/>
          <w:szCs w:val="22"/>
          <w:lang w:val="sr-Latn-RS"/>
        </w:rPr>
        <w:t xml:space="preserve">%). </w:t>
      </w:r>
    </w:p>
    <w:p w14:paraId="2521F508" w14:textId="6BD24AB7" w:rsidR="00B53F7D" w:rsidRPr="00E00E21" w:rsidRDefault="004E16E4">
      <w:pPr>
        <w:tabs>
          <w:tab w:val="left" w:pos="540"/>
          <w:tab w:val="left" w:pos="569"/>
        </w:tabs>
        <w:jc w:val="both"/>
        <w:rPr>
          <w:bCs/>
          <w:sz w:val="22"/>
          <w:szCs w:val="22"/>
          <w:lang w:val="sr-Latn-RS"/>
        </w:rPr>
      </w:pPr>
      <w:r w:rsidRPr="00E00E21">
        <w:rPr>
          <w:bCs/>
          <w:sz w:val="22"/>
          <w:szCs w:val="22"/>
          <w:lang w:val="sr-Latn-RS"/>
        </w:rPr>
        <w:lastRenderedPageBreak/>
        <w:t>Do prekida terapije zbog razvoja neželjenih reakcija</w:t>
      </w:r>
      <w:r w:rsidR="00B53F7D" w:rsidRPr="00E00E21">
        <w:rPr>
          <w:bCs/>
          <w:sz w:val="22"/>
          <w:szCs w:val="22"/>
          <w:lang w:val="sr-Latn-RS"/>
        </w:rPr>
        <w:t xml:space="preserve"> sa sličnim učestalostima u sva 3 klinička ispitivanja (18,3% u ispitivanju TROPIC, 19,5% u ispitivanju PROSELICA i 19,8% u ispitivanju CARD) kod pacijenata koji su primali kabazitaksel. Najčešće neželjene reakcije koje su uzrokovale prestanak terapije kabazitakselom (&gt; 1,0%) bile su hematurija, umor i neutropenija.</w:t>
      </w:r>
    </w:p>
    <w:p w14:paraId="22C1FBD7" w14:textId="77777777" w:rsidR="00B53F7D" w:rsidRPr="00E00E21" w:rsidRDefault="00B53F7D">
      <w:pPr>
        <w:tabs>
          <w:tab w:val="left" w:pos="540"/>
          <w:tab w:val="left" w:pos="569"/>
        </w:tabs>
        <w:jc w:val="both"/>
        <w:rPr>
          <w:sz w:val="22"/>
          <w:szCs w:val="22"/>
          <w:lang w:val="sr-Latn-RS"/>
        </w:rPr>
      </w:pPr>
    </w:p>
    <w:p w14:paraId="06E728F9" w14:textId="77777777" w:rsidR="00B53F7D" w:rsidRPr="00E00E21" w:rsidRDefault="00B53F7D">
      <w:pPr>
        <w:tabs>
          <w:tab w:val="left" w:pos="540"/>
          <w:tab w:val="left" w:pos="569"/>
        </w:tabs>
        <w:jc w:val="both"/>
        <w:rPr>
          <w:sz w:val="22"/>
          <w:szCs w:val="22"/>
          <w:u w:val="single"/>
          <w:lang w:val="sr-Latn-RS"/>
        </w:rPr>
      </w:pPr>
      <w:r w:rsidRPr="00E00E21">
        <w:rPr>
          <w:sz w:val="22"/>
          <w:szCs w:val="22"/>
          <w:u w:val="single"/>
          <w:lang w:val="sr-Latn-RS"/>
        </w:rPr>
        <w:t xml:space="preserve">Tabelarni prikaz neželjenih reakcija </w:t>
      </w:r>
    </w:p>
    <w:p w14:paraId="6BBD8D58" w14:textId="77777777" w:rsidR="00F52F41" w:rsidRPr="00E00E21" w:rsidRDefault="00F52F41">
      <w:pPr>
        <w:tabs>
          <w:tab w:val="left" w:pos="540"/>
          <w:tab w:val="left" w:pos="569"/>
        </w:tabs>
        <w:jc w:val="both"/>
        <w:rPr>
          <w:sz w:val="22"/>
          <w:szCs w:val="22"/>
          <w:u w:val="single"/>
          <w:lang w:val="sr-Latn-RS"/>
        </w:rPr>
      </w:pPr>
    </w:p>
    <w:p w14:paraId="6D1B7EF8" w14:textId="31239C12" w:rsidR="00B53F7D" w:rsidRPr="00E00E21" w:rsidRDefault="00B53F7D">
      <w:pPr>
        <w:tabs>
          <w:tab w:val="left" w:pos="540"/>
          <w:tab w:val="left" w:pos="569"/>
        </w:tabs>
        <w:jc w:val="both"/>
        <w:rPr>
          <w:sz w:val="22"/>
          <w:szCs w:val="22"/>
          <w:lang w:val="sr-Latn-RS"/>
        </w:rPr>
      </w:pPr>
      <w:r w:rsidRPr="00E00E21">
        <w:rPr>
          <w:sz w:val="22"/>
          <w:szCs w:val="22"/>
          <w:lang w:val="sr-Latn-RS"/>
        </w:rPr>
        <w:t>Neželjene reakcije su navedene u tabeli 2 prema MedDRA klasifikaciji i kategorijama učestalosti. U svakoj grupi učestalost neželjenih reakciija je prikazana prema opadajućem stepenu ozbiljnosti. Intenzitet neželjenih reakcija pod</w:t>
      </w:r>
      <w:r w:rsidR="00370E1E" w:rsidRPr="00E00E21">
        <w:rPr>
          <w:sz w:val="22"/>
          <w:szCs w:val="22"/>
          <w:lang w:val="sr-Latn-RS"/>
        </w:rPr>
        <w:t>ij</w:t>
      </w:r>
      <w:r w:rsidRPr="00E00E21">
        <w:rPr>
          <w:sz w:val="22"/>
          <w:szCs w:val="22"/>
          <w:lang w:val="sr-Latn-RS"/>
        </w:rPr>
        <w:t>eljen je prema CTCAE 4,0 (stepen ≥</w:t>
      </w:r>
      <w:r w:rsidR="00370E1E" w:rsidRPr="00E00E21">
        <w:rPr>
          <w:sz w:val="22"/>
          <w:szCs w:val="22"/>
          <w:lang w:val="sr-Latn-RS"/>
        </w:rPr>
        <w:t xml:space="preserve"> </w:t>
      </w:r>
      <w:r w:rsidRPr="00E00E21">
        <w:rPr>
          <w:sz w:val="22"/>
          <w:szCs w:val="22"/>
          <w:lang w:val="sr-Latn-RS"/>
        </w:rPr>
        <w:t>3 = G ≥</w:t>
      </w:r>
      <w:r w:rsidR="00370E1E" w:rsidRPr="00E00E21">
        <w:rPr>
          <w:sz w:val="22"/>
          <w:szCs w:val="22"/>
          <w:lang w:val="sr-Latn-RS"/>
        </w:rPr>
        <w:t xml:space="preserve"> </w:t>
      </w:r>
      <w:r w:rsidRPr="00E00E21">
        <w:rPr>
          <w:sz w:val="22"/>
          <w:szCs w:val="22"/>
          <w:lang w:val="sr-Latn-RS"/>
        </w:rPr>
        <w:t>3). Kategorije učestalosti se baziraju na svim stepenima i definisane su na sl</w:t>
      </w:r>
      <w:r w:rsidR="00370E1E" w:rsidRPr="00E00E21">
        <w:rPr>
          <w:sz w:val="22"/>
          <w:szCs w:val="22"/>
          <w:lang w:val="sr-Latn-RS"/>
        </w:rPr>
        <w:t>j</w:t>
      </w:r>
      <w:r w:rsidRPr="00E00E21">
        <w:rPr>
          <w:sz w:val="22"/>
          <w:szCs w:val="22"/>
          <w:lang w:val="sr-Latn-RS"/>
        </w:rPr>
        <w:t>edeći način: veoma često (≥</w:t>
      </w:r>
      <w:r w:rsidR="00370E1E" w:rsidRPr="00E00E21">
        <w:rPr>
          <w:sz w:val="22"/>
          <w:szCs w:val="22"/>
          <w:lang w:val="sr-Latn-RS"/>
        </w:rPr>
        <w:t xml:space="preserve"> </w:t>
      </w:r>
      <w:r w:rsidRPr="00E00E21">
        <w:rPr>
          <w:sz w:val="22"/>
          <w:szCs w:val="22"/>
          <w:lang w:val="sr-Latn-RS"/>
        </w:rPr>
        <w:t xml:space="preserve">1/10); </w:t>
      </w:r>
      <w:r w:rsidR="00F013F7" w:rsidRPr="00E00E21">
        <w:rPr>
          <w:sz w:val="22"/>
          <w:szCs w:val="22"/>
          <w:lang w:val="sr-Latn-RS"/>
        </w:rPr>
        <w:t>često (≥</w:t>
      </w:r>
      <w:r w:rsidR="00370E1E" w:rsidRPr="00E00E21">
        <w:rPr>
          <w:sz w:val="22"/>
          <w:szCs w:val="22"/>
          <w:lang w:val="sr-Latn-RS"/>
        </w:rPr>
        <w:t xml:space="preserve"> </w:t>
      </w:r>
      <w:r w:rsidR="00F013F7" w:rsidRPr="00E00E21">
        <w:rPr>
          <w:sz w:val="22"/>
          <w:szCs w:val="22"/>
          <w:lang w:val="sr-Latn-RS"/>
        </w:rPr>
        <w:t>1/100 do &lt;1/10); po</w:t>
      </w:r>
      <w:r w:rsidR="008B16FD" w:rsidRPr="00E00E21">
        <w:rPr>
          <w:sz w:val="22"/>
          <w:szCs w:val="22"/>
          <w:lang w:val="sr-Latn-RS"/>
        </w:rPr>
        <w:t xml:space="preserve">vreme </w:t>
      </w:r>
      <w:r w:rsidR="00F013F7" w:rsidRPr="00E00E21">
        <w:rPr>
          <w:sz w:val="22"/>
          <w:szCs w:val="22"/>
          <w:lang w:val="sr-Latn-RS"/>
        </w:rPr>
        <w:t>no (≥</w:t>
      </w:r>
      <w:r w:rsidR="00370E1E" w:rsidRPr="00E00E21">
        <w:rPr>
          <w:sz w:val="22"/>
          <w:szCs w:val="22"/>
          <w:lang w:val="sr-Latn-RS"/>
        </w:rPr>
        <w:t xml:space="preserve"> </w:t>
      </w:r>
      <w:r w:rsidR="00F013F7" w:rsidRPr="00E00E21">
        <w:rPr>
          <w:sz w:val="22"/>
          <w:szCs w:val="22"/>
          <w:lang w:val="sr-Latn-RS"/>
        </w:rPr>
        <w:t>1/1000 do &lt;1/100); rijetko (≥1/10</w:t>
      </w:r>
      <w:r w:rsidR="00370E1E" w:rsidRPr="00E00E21">
        <w:rPr>
          <w:sz w:val="22"/>
          <w:szCs w:val="22"/>
          <w:lang w:val="sr-Latn-RS"/>
        </w:rPr>
        <w:t xml:space="preserve"> </w:t>
      </w:r>
      <w:r w:rsidR="00F013F7" w:rsidRPr="00E00E21">
        <w:rPr>
          <w:sz w:val="22"/>
          <w:szCs w:val="22"/>
          <w:lang w:val="sr-Latn-RS"/>
        </w:rPr>
        <w:t>000 do &lt;1/1000); veoma rijetko (&lt;1/10</w:t>
      </w:r>
      <w:r w:rsidR="00370E1E" w:rsidRPr="00E00E21">
        <w:rPr>
          <w:sz w:val="22"/>
          <w:szCs w:val="22"/>
          <w:lang w:val="sr-Latn-RS"/>
        </w:rPr>
        <w:t xml:space="preserve"> </w:t>
      </w:r>
      <w:r w:rsidR="00F013F7" w:rsidRPr="00E00E21">
        <w:rPr>
          <w:sz w:val="22"/>
          <w:szCs w:val="22"/>
          <w:lang w:val="sr-Latn-RS"/>
        </w:rPr>
        <w:t>000); nepoznata učestalost (učestalost se ne može procijeniti iz dostupnih podataka).</w:t>
      </w:r>
    </w:p>
    <w:p w14:paraId="52E2D7DE" w14:textId="77777777" w:rsidR="00F013F7" w:rsidRPr="00E00E21" w:rsidRDefault="00F013F7">
      <w:pPr>
        <w:tabs>
          <w:tab w:val="left" w:pos="540"/>
          <w:tab w:val="left" w:pos="569"/>
        </w:tabs>
        <w:jc w:val="both"/>
        <w:rPr>
          <w:sz w:val="22"/>
          <w:szCs w:val="22"/>
          <w:lang w:val="sr-Latn-RS"/>
        </w:rPr>
      </w:pPr>
    </w:p>
    <w:p w14:paraId="63804F84" w14:textId="4DB487A2" w:rsidR="00F013F7" w:rsidRPr="00E00E21" w:rsidRDefault="00F013F7">
      <w:pPr>
        <w:tabs>
          <w:tab w:val="left" w:pos="540"/>
          <w:tab w:val="left" w:pos="569"/>
        </w:tabs>
        <w:jc w:val="both"/>
        <w:rPr>
          <w:sz w:val="22"/>
          <w:szCs w:val="22"/>
          <w:lang w:val="sr-Latn-RS"/>
        </w:rPr>
      </w:pPr>
      <w:r w:rsidRPr="00E00E21">
        <w:rPr>
          <w:sz w:val="22"/>
          <w:szCs w:val="22"/>
          <w:lang w:val="sr-Latn-RS"/>
        </w:rPr>
        <w:t>Tabela 2: Neželjene reakcije i hematološki poremećaji prijavljeni za kabazitaksel u kombinaciji sa prednizonom ili prednizolonom</w:t>
      </w:r>
      <w:r w:rsidR="00B63722" w:rsidRPr="00E00E21">
        <w:rPr>
          <w:sz w:val="22"/>
          <w:szCs w:val="22"/>
          <w:lang w:val="sr-Latn-RS"/>
        </w:rPr>
        <w:t xml:space="preserve"> iz objedinjene analize (n=1902)</w:t>
      </w:r>
      <w:r w:rsidRPr="00E00E21">
        <w:rPr>
          <w:sz w:val="22"/>
          <w:szCs w:val="22"/>
          <w:lang w:val="sr-Latn-RS"/>
        </w:rPr>
        <w:t xml:space="preserve"> </w:t>
      </w:r>
    </w:p>
    <w:p w14:paraId="4C775C0F" w14:textId="77777777" w:rsidR="004E16E4" w:rsidRPr="00E00E21" w:rsidRDefault="004E16E4" w:rsidP="00480FB1">
      <w:pPr>
        <w:tabs>
          <w:tab w:val="left" w:pos="540"/>
          <w:tab w:val="left" w:pos="569"/>
        </w:tabs>
        <w:rPr>
          <w:b/>
          <w:bCs/>
          <w:sz w:val="22"/>
          <w:szCs w:val="22"/>
          <w:lang w:val="sr-Latn-RS"/>
        </w:rPr>
      </w:pPr>
    </w:p>
    <w:tbl>
      <w:tblPr>
        <w:tblW w:w="9072" w:type="dxa"/>
        <w:tblCellSpacing w:w="0"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56"/>
        <w:gridCol w:w="1744"/>
        <w:gridCol w:w="1277"/>
        <w:gridCol w:w="1559"/>
        <w:gridCol w:w="1706"/>
        <w:gridCol w:w="1130"/>
      </w:tblGrid>
      <w:tr w:rsidR="00000498" w:rsidRPr="00E00E21" w14:paraId="7AF978F1" w14:textId="77777777" w:rsidTr="00004651">
        <w:trPr>
          <w:tblHeader/>
          <w:tblCellSpacing w:w="0" w:type="dxa"/>
        </w:trPr>
        <w:tc>
          <w:tcPr>
            <w:tcW w:w="913" w:type="pct"/>
            <w:vMerge w:val="restart"/>
            <w:tcBorders>
              <w:top w:val="outset" w:sz="6" w:space="0" w:color="auto"/>
              <w:left w:val="outset" w:sz="6" w:space="0" w:color="auto"/>
              <w:right w:val="outset" w:sz="6" w:space="0" w:color="auto"/>
            </w:tcBorders>
            <w:hideMark/>
          </w:tcPr>
          <w:p w14:paraId="1A1394E0" w14:textId="0F709ECA" w:rsidR="00000498" w:rsidRPr="00E00E21" w:rsidRDefault="00000498" w:rsidP="00E630C6">
            <w:pPr>
              <w:spacing w:before="100" w:beforeAutospacing="1" w:after="100" w:afterAutospacing="1"/>
              <w:jc w:val="center"/>
              <w:rPr>
                <w:b/>
                <w:bCs/>
                <w:sz w:val="22"/>
                <w:szCs w:val="22"/>
                <w:lang w:val="sr-Latn-RS" w:eastAsia="de-AT"/>
              </w:rPr>
            </w:pPr>
            <w:r w:rsidRPr="00E00E21">
              <w:rPr>
                <w:b/>
                <w:bCs/>
                <w:sz w:val="22"/>
                <w:szCs w:val="22"/>
                <w:lang w:val="sr-Latn-RS" w:eastAsia="de-AT"/>
              </w:rPr>
              <w:t>Klasifikacija sistema organa</w:t>
            </w:r>
          </w:p>
        </w:tc>
        <w:tc>
          <w:tcPr>
            <w:tcW w:w="961" w:type="pct"/>
            <w:vMerge w:val="restart"/>
            <w:tcBorders>
              <w:top w:val="outset" w:sz="6" w:space="0" w:color="auto"/>
              <w:left w:val="outset" w:sz="6" w:space="0" w:color="auto"/>
              <w:right w:val="outset" w:sz="6" w:space="0" w:color="auto"/>
            </w:tcBorders>
            <w:hideMark/>
          </w:tcPr>
          <w:p w14:paraId="7C431EA7" w14:textId="21A743C6" w:rsidR="00000498" w:rsidRPr="00E00E21" w:rsidRDefault="00000498" w:rsidP="00E630C6">
            <w:pPr>
              <w:spacing w:before="100" w:beforeAutospacing="1" w:after="100" w:afterAutospacing="1"/>
              <w:jc w:val="center"/>
              <w:rPr>
                <w:sz w:val="22"/>
                <w:szCs w:val="22"/>
                <w:lang w:val="sr-Latn-RS" w:eastAsia="de-AT"/>
              </w:rPr>
            </w:pPr>
            <w:r w:rsidRPr="00E00E21">
              <w:rPr>
                <w:b/>
                <w:bCs/>
                <w:sz w:val="22"/>
                <w:szCs w:val="22"/>
                <w:lang w:val="sr-Latn-RS" w:eastAsia="de-AT"/>
              </w:rPr>
              <w:t>Neželjena reakcija</w:t>
            </w:r>
          </w:p>
        </w:tc>
        <w:tc>
          <w:tcPr>
            <w:tcW w:w="2503" w:type="pct"/>
            <w:gridSpan w:val="3"/>
            <w:tcBorders>
              <w:top w:val="outset" w:sz="6" w:space="0" w:color="auto"/>
              <w:left w:val="outset" w:sz="6" w:space="0" w:color="auto"/>
              <w:bottom w:val="outset" w:sz="6" w:space="0" w:color="auto"/>
              <w:right w:val="outset" w:sz="6" w:space="0" w:color="auto"/>
            </w:tcBorders>
            <w:hideMark/>
          </w:tcPr>
          <w:p w14:paraId="35FBDF3C" w14:textId="28DFD86D" w:rsidR="00000498" w:rsidRPr="00E00E21" w:rsidRDefault="00000498" w:rsidP="00370E1E">
            <w:pPr>
              <w:spacing w:before="100" w:beforeAutospacing="1" w:after="100" w:afterAutospacing="1"/>
              <w:jc w:val="center"/>
              <w:rPr>
                <w:b/>
                <w:bCs/>
                <w:sz w:val="22"/>
                <w:szCs w:val="22"/>
                <w:lang w:val="sr-Latn-RS" w:eastAsia="de-AT"/>
              </w:rPr>
            </w:pPr>
            <w:r w:rsidRPr="00E00E21">
              <w:rPr>
                <w:b/>
                <w:bCs/>
                <w:sz w:val="22"/>
                <w:szCs w:val="22"/>
                <w:lang w:val="sr-Latn-RS" w:eastAsia="de-AT"/>
              </w:rPr>
              <w:t>Svi stepeni</w:t>
            </w:r>
            <w:r w:rsidRPr="00E00E21">
              <w:rPr>
                <w:sz w:val="22"/>
                <w:szCs w:val="22"/>
                <w:lang w:val="sr-Latn-RS" w:eastAsia="de-AT"/>
              </w:rPr>
              <w:t xml:space="preserve"> </w:t>
            </w:r>
            <w:r w:rsidRPr="00E00E21">
              <w:rPr>
                <w:b/>
                <w:bCs/>
                <w:sz w:val="22"/>
                <w:szCs w:val="22"/>
                <w:lang w:val="sr-Latn-RS" w:eastAsia="de-AT"/>
              </w:rPr>
              <w:t>n (%)</w:t>
            </w:r>
          </w:p>
        </w:tc>
        <w:tc>
          <w:tcPr>
            <w:tcW w:w="623" w:type="pct"/>
            <w:vMerge w:val="restart"/>
            <w:tcBorders>
              <w:top w:val="outset" w:sz="6" w:space="0" w:color="auto"/>
              <w:left w:val="outset" w:sz="6" w:space="0" w:color="auto"/>
              <w:right w:val="outset" w:sz="6" w:space="0" w:color="auto"/>
            </w:tcBorders>
            <w:hideMark/>
          </w:tcPr>
          <w:p w14:paraId="1AAFD04C" w14:textId="0F37466A" w:rsidR="00000498" w:rsidRPr="00E00E21" w:rsidRDefault="00000498" w:rsidP="00E630C6">
            <w:pPr>
              <w:jc w:val="center"/>
              <w:rPr>
                <w:sz w:val="22"/>
                <w:szCs w:val="22"/>
                <w:lang w:val="sr-Latn-RS" w:eastAsia="de-AT"/>
              </w:rPr>
            </w:pPr>
            <w:r w:rsidRPr="00E00E21">
              <w:rPr>
                <w:b/>
                <w:bCs/>
                <w:sz w:val="22"/>
                <w:szCs w:val="22"/>
                <w:lang w:val="sr-Latn-RS" w:eastAsia="de-AT"/>
              </w:rPr>
              <w:t xml:space="preserve">Stepen </w:t>
            </w:r>
            <w:r w:rsidRPr="00E00E21">
              <w:rPr>
                <w:b/>
                <w:bCs/>
                <w:sz w:val="22"/>
                <w:szCs w:val="22"/>
                <w:u w:val="single"/>
                <w:lang w:val="sr-Latn-RS" w:eastAsia="de-AT"/>
              </w:rPr>
              <w:t xml:space="preserve">&gt; </w:t>
            </w:r>
            <w:r w:rsidRPr="00E00E21">
              <w:rPr>
                <w:b/>
                <w:bCs/>
                <w:sz w:val="22"/>
                <w:szCs w:val="22"/>
                <w:lang w:val="sr-Latn-RS" w:eastAsia="de-AT"/>
              </w:rPr>
              <w:t>3</w:t>
            </w:r>
          </w:p>
          <w:p w14:paraId="65D6C2BB" w14:textId="479D56E4" w:rsidR="00000498" w:rsidRPr="00E00E21" w:rsidRDefault="00000498" w:rsidP="00E630C6">
            <w:pPr>
              <w:jc w:val="center"/>
              <w:rPr>
                <w:sz w:val="22"/>
                <w:szCs w:val="22"/>
                <w:lang w:val="sr-Latn-RS" w:eastAsia="de-AT"/>
              </w:rPr>
            </w:pPr>
            <w:r w:rsidRPr="00E00E21">
              <w:rPr>
                <w:b/>
                <w:bCs/>
                <w:sz w:val="22"/>
                <w:szCs w:val="22"/>
                <w:lang w:val="sr-Latn-RS" w:eastAsia="de-AT"/>
              </w:rPr>
              <w:t>n (%)</w:t>
            </w:r>
          </w:p>
        </w:tc>
      </w:tr>
      <w:tr w:rsidR="00000498" w:rsidRPr="00E00E21" w14:paraId="065E2A7A" w14:textId="77777777" w:rsidTr="00004651">
        <w:trPr>
          <w:tblCellSpacing w:w="0" w:type="dxa"/>
        </w:trPr>
        <w:tc>
          <w:tcPr>
            <w:tcW w:w="913" w:type="pct"/>
            <w:vMerge/>
            <w:tcBorders>
              <w:left w:val="outset" w:sz="6" w:space="0" w:color="auto"/>
              <w:bottom w:val="outset" w:sz="6" w:space="0" w:color="auto"/>
              <w:right w:val="outset" w:sz="6" w:space="0" w:color="auto"/>
            </w:tcBorders>
            <w:hideMark/>
          </w:tcPr>
          <w:p w14:paraId="4FA19CCD" w14:textId="77777777" w:rsidR="00000498" w:rsidRPr="00E00E21" w:rsidRDefault="00000498" w:rsidP="00B53F7D">
            <w:pPr>
              <w:rPr>
                <w:sz w:val="22"/>
                <w:szCs w:val="22"/>
                <w:lang w:val="sr-Latn-RS" w:eastAsia="de-AT"/>
              </w:rPr>
            </w:pPr>
          </w:p>
        </w:tc>
        <w:tc>
          <w:tcPr>
            <w:tcW w:w="961" w:type="pct"/>
            <w:vMerge/>
            <w:tcBorders>
              <w:left w:val="outset" w:sz="6" w:space="0" w:color="auto"/>
              <w:bottom w:val="outset" w:sz="6" w:space="0" w:color="auto"/>
              <w:right w:val="outset" w:sz="6" w:space="0" w:color="auto"/>
            </w:tcBorders>
            <w:hideMark/>
          </w:tcPr>
          <w:p w14:paraId="06094A01" w14:textId="77777777" w:rsidR="00000498" w:rsidRPr="00E00E21" w:rsidRDefault="00000498" w:rsidP="00B53F7D">
            <w:pPr>
              <w:rPr>
                <w:sz w:val="22"/>
                <w:szCs w:val="22"/>
                <w:lang w:val="sr-Latn-RS" w:eastAsia="de-AT"/>
              </w:rPr>
            </w:pPr>
          </w:p>
        </w:tc>
        <w:tc>
          <w:tcPr>
            <w:tcW w:w="704" w:type="pct"/>
            <w:tcBorders>
              <w:top w:val="outset" w:sz="6" w:space="0" w:color="auto"/>
              <w:left w:val="outset" w:sz="6" w:space="0" w:color="auto"/>
              <w:bottom w:val="outset" w:sz="6" w:space="0" w:color="auto"/>
              <w:right w:val="outset" w:sz="6" w:space="0" w:color="auto"/>
            </w:tcBorders>
            <w:hideMark/>
          </w:tcPr>
          <w:p w14:paraId="2D68C090" w14:textId="257AAB33" w:rsidR="00000498" w:rsidRPr="00E00E21" w:rsidRDefault="00000498" w:rsidP="00E630C6">
            <w:pPr>
              <w:spacing w:before="100" w:beforeAutospacing="1" w:after="100" w:afterAutospacing="1"/>
              <w:jc w:val="center"/>
              <w:rPr>
                <w:sz w:val="22"/>
                <w:szCs w:val="22"/>
                <w:lang w:val="sr-Latn-RS" w:eastAsia="de-AT"/>
              </w:rPr>
            </w:pPr>
            <w:r w:rsidRPr="00E00E21">
              <w:rPr>
                <w:b/>
                <w:bCs/>
                <w:sz w:val="22"/>
                <w:szCs w:val="22"/>
                <w:lang w:val="sr-Latn-RS" w:eastAsia="de-AT"/>
              </w:rPr>
              <w:t>Veoma često</w:t>
            </w:r>
          </w:p>
        </w:tc>
        <w:tc>
          <w:tcPr>
            <w:tcW w:w="859" w:type="pct"/>
            <w:tcBorders>
              <w:top w:val="outset" w:sz="6" w:space="0" w:color="auto"/>
              <w:left w:val="outset" w:sz="6" w:space="0" w:color="auto"/>
              <w:bottom w:val="outset" w:sz="6" w:space="0" w:color="auto"/>
              <w:right w:val="outset" w:sz="6" w:space="0" w:color="auto"/>
            </w:tcBorders>
            <w:hideMark/>
          </w:tcPr>
          <w:p w14:paraId="26B010A2" w14:textId="77777777" w:rsidR="00000498" w:rsidRPr="00E00E21" w:rsidRDefault="00000498" w:rsidP="00E630C6">
            <w:pPr>
              <w:spacing w:before="100" w:beforeAutospacing="1" w:after="100" w:afterAutospacing="1"/>
              <w:jc w:val="center"/>
              <w:rPr>
                <w:sz w:val="22"/>
                <w:szCs w:val="22"/>
                <w:lang w:val="sr-Latn-RS" w:eastAsia="de-AT"/>
              </w:rPr>
            </w:pPr>
            <w:r w:rsidRPr="00E00E21">
              <w:rPr>
                <w:b/>
                <w:bCs/>
                <w:sz w:val="22"/>
                <w:szCs w:val="22"/>
                <w:lang w:val="sr-Latn-RS" w:eastAsia="de-AT"/>
              </w:rPr>
              <w:t>Često</w:t>
            </w:r>
          </w:p>
        </w:tc>
        <w:tc>
          <w:tcPr>
            <w:tcW w:w="940" w:type="pct"/>
            <w:tcBorders>
              <w:top w:val="outset" w:sz="6" w:space="0" w:color="auto"/>
              <w:left w:val="outset" w:sz="6" w:space="0" w:color="auto"/>
              <w:bottom w:val="outset" w:sz="6" w:space="0" w:color="auto"/>
              <w:right w:val="outset" w:sz="6" w:space="0" w:color="auto"/>
            </w:tcBorders>
          </w:tcPr>
          <w:p w14:paraId="4B7AD2CB" w14:textId="167B0F74" w:rsidR="00000498" w:rsidRPr="00E00E21" w:rsidRDefault="00000498" w:rsidP="00E630C6">
            <w:pPr>
              <w:jc w:val="center"/>
              <w:rPr>
                <w:b/>
                <w:bCs/>
                <w:sz w:val="22"/>
                <w:szCs w:val="22"/>
                <w:lang w:val="sr-Latn-RS" w:eastAsia="de-AT"/>
              </w:rPr>
            </w:pPr>
            <w:r w:rsidRPr="00E00E21">
              <w:rPr>
                <w:b/>
                <w:bCs/>
                <w:sz w:val="22"/>
                <w:szCs w:val="22"/>
                <w:lang w:val="sr-Latn-RS" w:eastAsia="de-AT"/>
              </w:rPr>
              <w:t>Povremeno</w:t>
            </w:r>
          </w:p>
        </w:tc>
        <w:tc>
          <w:tcPr>
            <w:tcW w:w="623" w:type="pct"/>
            <w:vMerge/>
            <w:tcBorders>
              <w:left w:val="outset" w:sz="6" w:space="0" w:color="auto"/>
              <w:bottom w:val="outset" w:sz="6" w:space="0" w:color="auto"/>
              <w:right w:val="outset" w:sz="6" w:space="0" w:color="auto"/>
            </w:tcBorders>
            <w:hideMark/>
          </w:tcPr>
          <w:p w14:paraId="41F59B93" w14:textId="77777777" w:rsidR="00000498" w:rsidRPr="00E00E21" w:rsidRDefault="00000498" w:rsidP="00B53F7D">
            <w:pPr>
              <w:rPr>
                <w:sz w:val="22"/>
                <w:szCs w:val="22"/>
                <w:lang w:val="sr-Latn-RS" w:eastAsia="de-AT"/>
              </w:rPr>
            </w:pPr>
          </w:p>
        </w:tc>
      </w:tr>
      <w:tr w:rsidR="00000498" w:rsidRPr="00E00E21" w14:paraId="5B984CFB" w14:textId="77777777" w:rsidTr="00000498">
        <w:trPr>
          <w:tblCellSpacing w:w="0" w:type="dxa"/>
        </w:trPr>
        <w:tc>
          <w:tcPr>
            <w:tcW w:w="913" w:type="pct"/>
            <w:vMerge w:val="restart"/>
            <w:tcBorders>
              <w:top w:val="outset" w:sz="6" w:space="0" w:color="auto"/>
              <w:left w:val="outset" w:sz="6" w:space="0" w:color="auto"/>
              <w:right w:val="outset" w:sz="6" w:space="0" w:color="auto"/>
            </w:tcBorders>
            <w:vAlign w:val="center"/>
          </w:tcPr>
          <w:p w14:paraId="65903627" w14:textId="77777777" w:rsidR="00B53F7D" w:rsidRPr="00E00E21" w:rsidRDefault="00B53F7D" w:rsidP="00D06D2C">
            <w:pPr>
              <w:spacing w:before="100" w:beforeAutospacing="1" w:after="100" w:afterAutospacing="1"/>
              <w:rPr>
                <w:sz w:val="22"/>
                <w:szCs w:val="22"/>
                <w:lang w:val="sr-Latn-RS" w:eastAsia="de-AT"/>
              </w:rPr>
            </w:pPr>
            <w:r w:rsidRPr="00E00E21">
              <w:rPr>
                <w:sz w:val="22"/>
                <w:szCs w:val="22"/>
                <w:lang w:val="sr-Latn-RS" w:eastAsia="de-AT"/>
              </w:rPr>
              <w:t>Infe</w:t>
            </w:r>
            <w:r w:rsidR="00D06D2C" w:rsidRPr="00E00E21">
              <w:rPr>
                <w:sz w:val="22"/>
                <w:szCs w:val="22"/>
                <w:lang w:val="sr-Latn-RS" w:eastAsia="de-AT"/>
              </w:rPr>
              <w:t>kcije i infestacije</w:t>
            </w:r>
          </w:p>
        </w:tc>
        <w:tc>
          <w:tcPr>
            <w:tcW w:w="961" w:type="pct"/>
            <w:tcBorders>
              <w:top w:val="outset" w:sz="6" w:space="0" w:color="auto"/>
              <w:left w:val="outset" w:sz="6" w:space="0" w:color="auto"/>
              <w:bottom w:val="outset" w:sz="6" w:space="0" w:color="auto"/>
              <w:right w:val="outset" w:sz="6" w:space="0" w:color="auto"/>
            </w:tcBorders>
          </w:tcPr>
          <w:p w14:paraId="687A59F8" w14:textId="77777777" w:rsidR="00D06D2C" w:rsidRPr="00E00E21" w:rsidRDefault="00D06D2C" w:rsidP="00D06D2C">
            <w:pPr>
              <w:rPr>
                <w:sz w:val="22"/>
                <w:szCs w:val="22"/>
                <w:lang w:val="sr-Latn-RS" w:eastAsia="de-AT"/>
              </w:rPr>
            </w:pPr>
            <w:r w:rsidRPr="00E00E21">
              <w:rPr>
                <w:sz w:val="22"/>
                <w:szCs w:val="22"/>
                <w:lang w:val="sr-Latn-RS" w:eastAsia="de-AT"/>
              </w:rPr>
              <w:t xml:space="preserve">Neutropenijska </w:t>
            </w:r>
          </w:p>
          <w:p w14:paraId="38DA7D33" w14:textId="77777777" w:rsidR="00B53F7D" w:rsidRPr="00E00E21" w:rsidRDefault="00D06D2C" w:rsidP="00D06D2C">
            <w:pPr>
              <w:rPr>
                <w:sz w:val="22"/>
                <w:szCs w:val="22"/>
                <w:lang w:val="sr-Latn-RS" w:eastAsia="de-AT"/>
              </w:rPr>
            </w:pPr>
            <w:r w:rsidRPr="00E00E21">
              <w:rPr>
                <w:sz w:val="22"/>
                <w:szCs w:val="22"/>
                <w:lang w:val="sr-Latn-RS" w:eastAsia="de-AT"/>
              </w:rPr>
              <w:t>infekcija/sepsa</w:t>
            </w:r>
            <w:r w:rsidR="00B53F7D" w:rsidRPr="00E00E21">
              <w:rPr>
                <w:sz w:val="22"/>
                <w:szCs w:val="22"/>
                <w:lang w:val="sr-Latn-RS" w:eastAsia="de-AT"/>
              </w:rPr>
              <w:t>*</w:t>
            </w:r>
          </w:p>
        </w:tc>
        <w:tc>
          <w:tcPr>
            <w:tcW w:w="704" w:type="pct"/>
            <w:tcBorders>
              <w:top w:val="outset" w:sz="6" w:space="0" w:color="auto"/>
              <w:left w:val="outset" w:sz="6" w:space="0" w:color="auto"/>
              <w:bottom w:val="outset" w:sz="6" w:space="0" w:color="auto"/>
              <w:right w:val="outset" w:sz="6" w:space="0" w:color="auto"/>
            </w:tcBorders>
          </w:tcPr>
          <w:p w14:paraId="3101DBE7"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2F5E069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48 (4.4)</w:t>
            </w:r>
          </w:p>
        </w:tc>
        <w:tc>
          <w:tcPr>
            <w:tcW w:w="940" w:type="pct"/>
            <w:tcBorders>
              <w:top w:val="outset" w:sz="6" w:space="0" w:color="auto"/>
              <w:left w:val="outset" w:sz="6" w:space="0" w:color="auto"/>
              <w:bottom w:val="outset" w:sz="6" w:space="0" w:color="auto"/>
              <w:right w:val="outset" w:sz="6" w:space="0" w:color="auto"/>
            </w:tcBorders>
          </w:tcPr>
          <w:p w14:paraId="45305268"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69D6416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42 (3.8)</w:t>
            </w:r>
          </w:p>
        </w:tc>
      </w:tr>
      <w:tr w:rsidR="00000498" w:rsidRPr="00E00E21" w14:paraId="6D678464" w14:textId="77777777" w:rsidTr="00000498">
        <w:trPr>
          <w:tblCellSpacing w:w="0" w:type="dxa"/>
        </w:trPr>
        <w:tc>
          <w:tcPr>
            <w:tcW w:w="913" w:type="pct"/>
            <w:vMerge/>
            <w:tcBorders>
              <w:left w:val="outset" w:sz="6" w:space="0" w:color="auto"/>
              <w:right w:val="outset" w:sz="6" w:space="0" w:color="auto"/>
            </w:tcBorders>
            <w:vAlign w:val="center"/>
            <w:hideMark/>
          </w:tcPr>
          <w:p w14:paraId="7CCE3257" w14:textId="77777777" w:rsidR="00D06D2C" w:rsidRPr="00E00E21" w:rsidRDefault="00D06D2C" w:rsidP="00D06D2C">
            <w:pPr>
              <w:spacing w:before="100" w:beforeAutospacing="1" w:after="100" w:afterAutospacing="1"/>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D6E28CC"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Septički šok</w:t>
            </w:r>
          </w:p>
        </w:tc>
        <w:tc>
          <w:tcPr>
            <w:tcW w:w="704" w:type="pct"/>
            <w:tcBorders>
              <w:top w:val="outset" w:sz="6" w:space="0" w:color="auto"/>
              <w:left w:val="outset" w:sz="6" w:space="0" w:color="auto"/>
              <w:bottom w:val="outset" w:sz="6" w:space="0" w:color="auto"/>
              <w:right w:val="outset" w:sz="6" w:space="0" w:color="auto"/>
            </w:tcBorders>
            <w:hideMark/>
          </w:tcPr>
          <w:p w14:paraId="561FD0E2"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1D9D3F7A" w14:textId="77777777" w:rsidR="00D06D2C" w:rsidRPr="00E00E21" w:rsidRDefault="00D06D2C" w:rsidP="00D06D2C">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3498E8D6"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10 (0.9)</w:t>
            </w:r>
          </w:p>
        </w:tc>
        <w:tc>
          <w:tcPr>
            <w:tcW w:w="623" w:type="pct"/>
            <w:tcBorders>
              <w:top w:val="outset" w:sz="6" w:space="0" w:color="auto"/>
              <w:left w:val="outset" w:sz="6" w:space="0" w:color="auto"/>
              <w:bottom w:val="outset" w:sz="6" w:space="0" w:color="auto"/>
              <w:right w:val="outset" w:sz="6" w:space="0" w:color="auto"/>
            </w:tcBorders>
          </w:tcPr>
          <w:p w14:paraId="69293873"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10 (0.9)</w:t>
            </w:r>
          </w:p>
        </w:tc>
      </w:tr>
      <w:tr w:rsidR="00000498" w:rsidRPr="00E00E21" w14:paraId="7CF035B1" w14:textId="77777777" w:rsidTr="00000498">
        <w:trPr>
          <w:tblCellSpacing w:w="0" w:type="dxa"/>
        </w:trPr>
        <w:tc>
          <w:tcPr>
            <w:tcW w:w="913" w:type="pct"/>
            <w:vMerge/>
            <w:tcBorders>
              <w:left w:val="outset" w:sz="6" w:space="0" w:color="auto"/>
              <w:right w:val="outset" w:sz="6" w:space="0" w:color="auto"/>
            </w:tcBorders>
            <w:hideMark/>
          </w:tcPr>
          <w:p w14:paraId="374EF0C2"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A7702D6"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Sepsa</w:t>
            </w:r>
          </w:p>
        </w:tc>
        <w:tc>
          <w:tcPr>
            <w:tcW w:w="704" w:type="pct"/>
            <w:tcBorders>
              <w:top w:val="outset" w:sz="6" w:space="0" w:color="auto"/>
              <w:left w:val="outset" w:sz="6" w:space="0" w:color="auto"/>
              <w:bottom w:val="outset" w:sz="6" w:space="0" w:color="auto"/>
              <w:right w:val="outset" w:sz="6" w:space="0" w:color="auto"/>
            </w:tcBorders>
            <w:hideMark/>
          </w:tcPr>
          <w:p w14:paraId="72B4CD11"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1D2BF2A6"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13 (1.2)</w:t>
            </w:r>
          </w:p>
        </w:tc>
        <w:tc>
          <w:tcPr>
            <w:tcW w:w="940" w:type="pct"/>
            <w:tcBorders>
              <w:top w:val="outset" w:sz="6" w:space="0" w:color="auto"/>
              <w:left w:val="outset" w:sz="6" w:space="0" w:color="auto"/>
              <w:bottom w:val="outset" w:sz="6" w:space="0" w:color="auto"/>
              <w:right w:val="outset" w:sz="6" w:space="0" w:color="auto"/>
            </w:tcBorders>
          </w:tcPr>
          <w:p w14:paraId="3A088C51"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74FBDA3C"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13 (1.2)</w:t>
            </w:r>
          </w:p>
        </w:tc>
      </w:tr>
      <w:tr w:rsidR="00000498" w:rsidRPr="00E00E21" w14:paraId="4496769F" w14:textId="77777777" w:rsidTr="00000498">
        <w:trPr>
          <w:tblCellSpacing w:w="0" w:type="dxa"/>
        </w:trPr>
        <w:tc>
          <w:tcPr>
            <w:tcW w:w="913" w:type="pct"/>
            <w:vMerge/>
            <w:tcBorders>
              <w:left w:val="outset" w:sz="6" w:space="0" w:color="auto"/>
              <w:right w:val="outset" w:sz="6" w:space="0" w:color="auto"/>
            </w:tcBorders>
            <w:hideMark/>
          </w:tcPr>
          <w:p w14:paraId="2648B7EB"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4EC48C82"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Celulitis</w:t>
            </w:r>
          </w:p>
        </w:tc>
        <w:tc>
          <w:tcPr>
            <w:tcW w:w="704" w:type="pct"/>
            <w:tcBorders>
              <w:top w:val="outset" w:sz="6" w:space="0" w:color="auto"/>
              <w:left w:val="outset" w:sz="6" w:space="0" w:color="auto"/>
              <w:bottom w:val="outset" w:sz="6" w:space="0" w:color="auto"/>
              <w:right w:val="outset" w:sz="6" w:space="0" w:color="auto"/>
            </w:tcBorders>
            <w:hideMark/>
          </w:tcPr>
          <w:p w14:paraId="654F44C5"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2D0E28D6" w14:textId="77777777" w:rsidR="00D06D2C" w:rsidRPr="00E00E21" w:rsidRDefault="00D06D2C" w:rsidP="00D06D2C">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13416978"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8 (0.7)</w:t>
            </w:r>
          </w:p>
        </w:tc>
        <w:tc>
          <w:tcPr>
            <w:tcW w:w="623" w:type="pct"/>
            <w:tcBorders>
              <w:top w:val="outset" w:sz="6" w:space="0" w:color="auto"/>
              <w:left w:val="outset" w:sz="6" w:space="0" w:color="auto"/>
              <w:bottom w:val="outset" w:sz="6" w:space="0" w:color="auto"/>
              <w:right w:val="outset" w:sz="6" w:space="0" w:color="auto"/>
            </w:tcBorders>
          </w:tcPr>
          <w:p w14:paraId="4F77DE42"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3 (0.3)</w:t>
            </w:r>
          </w:p>
        </w:tc>
      </w:tr>
      <w:tr w:rsidR="00000498" w:rsidRPr="00E00E21" w14:paraId="397F3C08" w14:textId="77777777" w:rsidTr="00000498">
        <w:trPr>
          <w:tblCellSpacing w:w="0" w:type="dxa"/>
        </w:trPr>
        <w:tc>
          <w:tcPr>
            <w:tcW w:w="913" w:type="pct"/>
            <w:vMerge/>
            <w:tcBorders>
              <w:left w:val="outset" w:sz="6" w:space="0" w:color="auto"/>
              <w:right w:val="outset" w:sz="6" w:space="0" w:color="auto"/>
            </w:tcBorders>
            <w:hideMark/>
          </w:tcPr>
          <w:p w14:paraId="5B519A23"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4930B87"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Infekcija urinarnog traktsa</w:t>
            </w:r>
          </w:p>
        </w:tc>
        <w:tc>
          <w:tcPr>
            <w:tcW w:w="704" w:type="pct"/>
            <w:tcBorders>
              <w:top w:val="outset" w:sz="6" w:space="0" w:color="auto"/>
              <w:left w:val="outset" w:sz="6" w:space="0" w:color="auto"/>
              <w:bottom w:val="outset" w:sz="6" w:space="0" w:color="auto"/>
              <w:right w:val="outset" w:sz="6" w:space="0" w:color="auto"/>
            </w:tcBorders>
            <w:hideMark/>
          </w:tcPr>
          <w:p w14:paraId="782E1993"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1B980CF2"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103 (9.4)</w:t>
            </w:r>
          </w:p>
        </w:tc>
        <w:tc>
          <w:tcPr>
            <w:tcW w:w="940" w:type="pct"/>
            <w:tcBorders>
              <w:top w:val="outset" w:sz="6" w:space="0" w:color="auto"/>
              <w:left w:val="outset" w:sz="6" w:space="0" w:color="auto"/>
              <w:bottom w:val="outset" w:sz="6" w:space="0" w:color="auto"/>
              <w:right w:val="outset" w:sz="6" w:space="0" w:color="auto"/>
            </w:tcBorders>
          </w:tcPr>
          <w:p w14:paraId="33357329"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248FBE2B"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19 (1.7)</w:t>
            </w:r>
          </w:p>
        </w:tc>
      </w:tr>
      <w:tr w:rsidR="00000498" w:rsidRPr="00E00E21" w14:paraId="21021615" w14:textId="77777777" w:rsidTr="00000498">
        <w:trPr>
          <w:tblCellSpacing w:w="0" w:type="dxa"/>
        </w:trPr>
        <w:tc>
          <w:tcPr>
            <w:tcW w:w="913" w:type="pct"/>
            <w:vMerge/>
            <w:tcBorders>
              <w:left w:val="outset" w:sz="6" w:space="0" w:color="auto"/>
              <w:right w:val="outset" w:sz="6" w:space="0" w:color="auto"/>
            </w:tcBorders>
            <w:hideMark/>
          </w:tcPr>
          <w:p w14:paraId="612ED286"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5C4F53CB"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Grip</w:t>
            </w:r>
          </w:p>
        </w:tc>
        <w:tc>
          <w:tcPr>
            <w:tcW w:w="704" w:type="pct"/>
            <w:tcBorders>
              <w:top w:val="outset" w:sz="6" w:space="0" w:color="auto"/>
              <w:left w:val="outset" w:sz="6" w:space="0" w:color="auto"/>
              <w:bottom w:val="outset" w:sz="6" w:space="0" w:color="auto"/>
              <w:right w:val="outset" w:sz="6" w:space="0" w:color="auto"/>
            </w:tcBorders>
            <w:hideMark/>
          </w:tcPr>
          <w:p w14:paraId="6A4E68E9"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5D1BAE80"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22 (2.0)</w:t>
            </w:r>
          </w:p>
        </w:tc>
        <w:tc>
          <w:tcPr>
            <w:tcW w:w="940" w:type="pct"/>
            <w:tcBorders>
              <w:top w:val="outset" w:sz="6" w:space="0" w:color="auto"/>
              <w:left w:val="outset" w:sz="6" w:space="0" w:color="auto"/>
              <w:bottom w:val="outset" w:sz="6" w:space="0" w:color="auto"/>
              <w:right w:val="outset" w:sz="6" w:space="0" w:color="auto"/>
            </w:tcBorders>
          </w:tcPr>
          <w:p w14:paraId="0A024802"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14913099"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45F9767C" w14:textId="77777777" w:rsidTr="00000498">
        <w:trPr>
          <w:tblCellSpacing w:w="0" w:type="dxa"/>
        </w:trPr>
        <w:tc>
          <w:tcPr>
            <w:tcW w:w="913" w:type="pct"/>
            <w:vMerge/>
            <w:tcBorders>
              <w:left w:val="outset" w:sz="6" w:space="0" w:color="auto"/>
              <w:right w:val="outset" w:sz="6" w:space="0" w:color="auto"/>
            </w:tcBorders>
            <w:hideMark/>
          </w:tcPr>
          <w:p w14:paraId="6815D574"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28AABB54"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Cistitis</w:t>
            </w:r>
          </w:p>
        </w:tc>
        <w:tc>
          <w:tcPr>
            <w:tcW w:w="704" w:type="pct"/>
            <w:tcBorders>
              <w:top w:val="outset" w:sz="6" w:space="0" w:color="auto"/>
              <w:left w:val="outset" w:sz="6" w:space="0" w:color="auto"/>
              <w:bottom w:val="outset" w:sz="6" w:space="0" w:color="auto"/>
              <w:right w:val="outset" w:sz="6" w:space="0" w:color="auto"/>
            </w:tcBorders>
            <w:hideMark/>
          </w:tcPr>
          <w:p w14:paraId="38E1467B"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3559A2AB"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22 (2.0)</w:t>
            </w:r>
          </w:p>
        </w:tc>
        <w:tc>
          <w:tcPr>
            <w:tcW w:w="940" w:type="pct"/>
            <w:tcBorders>
              <w:top w:val="outset" w:sz="6" w:space="0" w:color="auto"/>
              <w:left w:val="outset" w:sz="6" w:space="0" w:color="auto"/>
              <w:bottom w:val="outset" w:sz="6" w:space="0" w:color="auto"/>
              <w:right w:val="outset" w:sz="6" w:space="0" w:color="auto"/>
            </w:tcBorders>
          </w:tcPr>
          <w:p w14:paraId="4AC2469F"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1A1C2D10"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2 (0.2)</w:t>
            </w:r>
          </w:p>
        </w:tc>
      </w:tr>
      <w:tr w:rsidR="00000498" w:rsidRPr="00E00E21" w14:paraId="6A6280EE" w14:textId="77777777" w:rsidTr="00000498">
        <w:trPr>
          <w:tblCellSpacing w:w="0" w:type="dxa"/>
        </w:trPr>
        <w:tc>
          <w:tcPr>
            <w:tcW w:w="913" w:type="pct"/>
            <w:vMerge/>
            <w:tcBorders>
              <w:left w:val="outset" w:sz="6" w:space="0" w:color="auto"/>
              <w:right w:val="outset" w:sz="6" w:space="0" w:color="auto"/>
            </w:tcBorders>
            <w:hideMark/>
          </w:tcPr>
          <w:p w14:paraId="0E434B51"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46AD14DA"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Infekcija gornjih respiratornih puteva</w:t>
            </w:r>
          </w:p>
        </w:tc>
        <w:tc>
          <w:tcPr>
            <w:tcW w:w="704" w:type="pct"/>
            <w:tcBorders>
              <w:top w:val="outset" w:sz="6" w:space="0" w:color="auto"/>
              <w:left w:val="outset" w:sz="6" w:space="0" w:color="auto"/>
              <w:bottom w:val="outset" w:sz="6" w:space="0" w:color="auto"/>
              <w:right w:val="outset" w:sz="6" w:space="0" w:color="auto"/>
            </w:tcBorders>
            <w:hideMark/>
          </w:tcPr>
          <w:p w14:paraId="7905D266"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6F657FC6"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23 (2.1)</w:t>
            </w:r>
          </w:p>
        </w:tc>
        <w:tc>
          <w:tcPr>
            <w:tcW w:w="940" w:type="pct"/>
            <w:tcBorders>
              <w:top w:val="outset" w:sz="6" w:space="0" w:color="auto"/>
              <w:left w:val="outset" w:sz="6" w:space="0" w:color="auto"/>
              <w:bottom w:val="outset" w:sz="6" w:space="0" w:color="auto"/>
              <w:right w:val="outset" w:sz="6" w:space="0" w:color="auto"/>
            </w:tcBorders>
          </w:tcPr>
          <w:p w14:paraId="23E3BE5A"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730A3A11"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7ACC742B" w14:textId="77777777" w:rsidTr="00000498">
        <w:trPr>
          <w:tblCellSpacing w:w="0" w:type="dxa"/>
        </w:trPr>
        <w:tc>
          <w:tcPr>
            <w:tcW w:w="913" w:type="pct"/>
            <w:vMerge/>
            <w:tcBorders>
              <w:left w:val="outset" w:sz="6" w:space="0" w:color="auto"/>
              <w:right w:val="outset" w:sz="6" w:space="0" w:color="auto"/>
            </w:tcBorders>
            <w:hideMark/>
          </w:tcPr>
          <w:p w14:paraId="5FF913E2"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717CB4BE"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Herpes zoster</w:t>
            </w:r>
          </w:p>
        </w:tc>
        <w:tc>
          <w:tcPr>
            <w:tcW w:w="704" w:type="pct"/>
            <w:tcBorders>
              <w:top w:val="outset" w:sz="6" w:space="0" w:color="auto"/>
              <w:left w:val="outset" w:sz="6" w:space="0" w:color="auto"/>
              <w:bottom w:val="outset" w:sz="6" w:space="0" w:color="auto"/>
              <w:right w:val="outset" w:sz="6" w:space="0" w:color="auto"/>
            </w:tcBorders>
            <w:hideMark/>
          </w:tcPr>
          <w:p w14:paraId="582ECF96"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16DEA35B"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14 (1.3)</w:t>
            </w:r>
          </w:p>
        </w:tc>
        <w:tc>
          <w:tcPr>
            <w:tcW w:w="940" w:type="pct"/>
            <w:tcBorders>
              <w:top w:val="outset" w:sz="6" w:space="0" w:color="auto"/>
              <w:left w:val="outset" w:sz="6" w:space="0" w:color="auto"/>
              <w:bottom w:val="outset" w:sz="6" w:space="0" w:color="auto"/>
              <w:right w:val="outset" w:sz="6" w:space="0" w:color="auto"/>
            </w:tcBorders>
          </w:tcPr>
          <w:p w14:paraId="762DA92E"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50C042B8"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36B6B6BC" w14:textId="77777777" w:rsidTr="00000498">
        <w:trPr>
          <w:tblCellSpacing w:w="0" w:type="dxa"/>
        </w:trPr>
        <w:tc>
          <w:tcPr>
            <w:tcW w:w="913" w:type="pct"/>
            <w:vMerge/>
            <w:tcBorders>
              <w:left w:val="outset" w:sz="6" w:space="0" w:color="auto"/>
              <w:bottom w:val="outset" w:sz="6" w:space="0" w:color="auto"/>
              <w:right w:val="outset" w:sz="6" w:space="0" w:color="auto"/>
            </w:tcBorders>
            <w:hideMark/>
          </w:tcPr>
          <w:p w14:paraId="109181F8"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3933D3BF"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Kandidijaza</w:t>
            </w:r>
          </w:p>
        </w:tc>
        <w:tc>
          <w:tcPr>
            <w:tcW w:w="704" w:type="pct"/>
            <w:tcBorders>
              <w:top w:val="outset" w:sz="6" w:space="0" w:color="auto"/>
              <w:left w:val="outset" w:sz="6" w:space="0" w:color="auto"/>
              <w:bottom w:val="outset" w:sz="6" w:space="0" w:color="auto"/>
              <w:right w:val="outset" w:sz="6" w:space="0" w:color="auto"/>
            </w:tcBorders>
            <w:hideMark/>
          </w:tcPr>
          <w:p w14:paraId="144F1943"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3988CEC5" w14:textId="77777777" w:rsidR="00D06D2C" w:rsidRPr="00E00E21" w:rsidRDefault="00D06D2C" w:rsidP="00D06D2C">
            <w:pPr>
              <w:spacing w:before="100" w:beforeAutospacing="1" w:after="100" w:afterAutospacing="1"/>
              <w:rPr>
                <w:sz w:val="22"/>
                <w:szCs w:val="22"/>
                <w:lang w:val="sr-Latn-RS" w:eastAsia="de-AT"/>
              </w:rPr>
            </w:pPr>
            <w:r w:rsidRPr="00E00E21">
              <w:rPr>
                <w:rFonts w:eastAsia="Calibri"/>
                <w:sz w:val="22"/>
                <w:szCs w:val="22"/>
                <w:lang w:val="sr-Latn-RS"/>
              </w:rPr>
              <w:t xml:space="preserve"> </w:t>
            </w:r>
            <w:r w:rsidRPr="00E00E21">
              <w:rPr>
                <w:sz w:val="22"/>
                <w:szCs w:val="22"/>
                <w:lang w:val="sr-Latn-RS" w:eastAsia="de-AT"/>
              </w:rPr>
              <w:t>11 (1.0)</w:t>
            </w:r>
          </w:p>
        </w:tc>
        <w:tc>
          <w:tcPr>
            <w:tcW w:w="940" w:type="pct"/>
            <w:tcBorders>
              <w:top w:val="outset" w:sz="6" w:space="0" w:color="auto"/>
              <w:left w:val="outset" w:sz="6" w:space="0" w:color="auto"/>
              <w:bottom w:val="outset" w:sz="6" w:space="0" w:color="auto"/>
              <w:right w:val="outset" w:sz="6" w:space="0" w:color="auto"/>
            </w:tcBorders>
          </w:tcPr>
          <w:p w14:paraId="50713495"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21FB09E1"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 xml:space="preserve"> 1 (&lt;0.1)</w:t>
            </w:r>
          </w:p>
        </w:tc>
      </w:tr>
      <w:tr w:rsidR="00000498" w:rsidRPr="00E00E21" w14:paraId="24215F3B"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1A8D1467"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Poremećaji krvi i limfnog sistema</w:t>
            </w:r>
          </w:p>
        </w:tc>
        <w:tc>
          <w:tcPr>
            <w:tcW w:w="961" w:type="pct"/>
            <w:tcBorders>
              <w:top w:val="outset" w:sz="6" w:space="0" w:color="auto"/>
              <w:left w:val="outset" w:sz="6" w:space="0" w:color="auto"/>
              <w:bottom w:val="outset" w:sz="6" w:space="0" w:color="auto"/>
              <w:right w:val="outset" w:sz="6" w:space="0" w:color="auto"/>
            </w:tcBorders>
            <w:hideMark/>
          </w:tcPr>
          <w:p w14:paraId="31547F8C"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Neutropenija</w:t>
            </w:r>
            <w:r w:rsidRPr="00E00E21">
              <w:rPr>
                <w:sz w:val="22"/>
                <w:szCs w:val="22"/>
                <w:vertAlign w:val="superscript"/>
                <w:lang w:val="sr-Latn-RS" w:eastAsia="de-AT"/>
              </w:rPr>
              <w:t>a*</w:t>
            </w:r>
          </w:p>
        </w:tc>
        <w:tc>
          <w:tcPr>
            <w:tcW w:w="704" w:type="pct"/>
            <w:tcBorders>
              <w:top w:val="outset" w:sz="6" w:space="0" w:color="auto"/>
              <w:left w:val="outset" w:sz="6" w:space="0" w:color="auto"/>
              <w:bottom w:val="outset" w:sz="6" w:space="0" w:color="auto"/>
              <w:right w:val="outset" w:sz="6" w:space="0" w:color="auto"/>
            </w:tcBorders>
            <w:hideMark/>
          </w:tcPr>
          <w:p w14:paraId="11ADE651"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950 (87.9)</w:t>
            </w:r>
          </w:p>
        </w:tc>
        <w:tc>
          <w:tcPr>
            <w:tcW w:w="859" w:type="pct"/>
            <w:tcBorders>
              <w:top w:val="outset" w:sz="6" w:space="0" w:color="auto"/>
              <w:left w:val="outset" w:sz="6" w:space="0" w:color="auto"/>
              <w:bottom w:val="outset" w:sz="6" w:space="0" w:color="auto"/>
              <w:right w:val="outset" w:sz="6" w:space="0" w:color="auto"/>
            </w:tcBorders>
            <w:hideMark/>
          </w:tcPr>
          <w:p w14:paraId="57697DB4" w14:textId="77777777" w:rsidR="00D06D2C" w:rsidRPr="00E00E21" w:rsidRDefault="00D06D2C" w:rsidP="00D06D2C">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050838C9"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7773B0E"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790 (73.1)</w:t>
            </w:r>
          </w:p>
        </w:tc>
      </w:tr>
      <w:tr w:rsidR="00000498" w:rsidRPr="00E00E21" w14:paraId="69777181"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2F4F176D"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84284E5"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Anaemija</w:t>
            </w:r>
            <w:r w:rsidRPr="00E00E21">
              <w:rPr>
                <w:sz w:val="22"/>
                <w:szCs w:val="22"/>
                <w:vertAlign w:val="superscript"/>
                <w:lang w:val="sr-Latn-RS" w:eastAsia="de-AT"/>
              </w:rPr>
              <w:t xml:space="preserve"> a</w:t>
            </w:r>
          </w:p>
        </w:tc>
        <w:tc>
          <w:tcPr>
            <w:tcW w:w="704" w:type="pct"/>
            <w:tcBorders>
              <w:top w:val="outset" w:sz="6" w:space="0" w:color="auto"/>
              <w:left w:val="outset" w:sz="6" w:space="0" w:color="auto"/>
              <w:bottom w:val="outset" w:sz="6" w:space="0" w:color="auto"/>
              <w:right w:val="outset" w:sz="6" w:space="0" w:color="auto"/>
            </w:tcBorders>
            <w:hideMark/>
          </w:tcPr>
          <w:p w14:paraId="7AF105ED"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1073 (99.0)</w:t>
            </w:r>
          </w:p>
        </w:tc>
        <w:tc>
          <w:tcPr>
            <w:tcW w:w="859" w:type="pct"/>
            <w:tcBorders>
              <w:top w:val="outset" w:sz="6" w:space="0" w:color="auto"/>
              <w:left w:val="outset" w:sz="6" w:space="0" w:color="auto"/>
              <w:bottom w:val="outset" w:sz="6" w:space="0" w:color="auto"/>
              <w:right w:val="outset" w:sz="6" w:space="0" w:color="auto"/>
            </w:tcBorders>
            <w:hideMark/>
          </w:tcPr>
          <w:p w14:paraId="0B7D52E8" w14:textId="77777777" w:rsidR="00D06D2C" w:rsidRPr="00E00E21" w:rsidRDefault="00D06D2C" w:rsidP="00D06D2C">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61E240DB"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3FDF02B3"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130 (12.0)</w:t>
            </w:r>
          </w:p>
        </w:tc>
      </w:tr>
      <w:tr w:rsidR="00000498" w:rsidRPr="00E00E21" w14:paraId="792C0AB2"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264A51F5"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C36F3A8"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Leukopenija</w:t>
            </w:r>
            <w:r w:rsidRPr="00E00E21">
              <w:rPr>
                <w:sz w:val="22"/>
                <w:szCs w:val="22"/>
                <w:vertAlign w:val="superscript"/>
                <w:lang w:val="sr-Latn-RS" w:eastAsia="de-AT"/>
              </w:rPr>
              <w:t>a</w:t>
            </w:r>
          </w:p>
        </w:tc>
        <w:tc>
          <w:tcPr>
            <w:tcW w:w="704" w:type="pct"/>
            <w:tcBorders>
              <w:top w:val="outset" w:sz="6" w:space="0" w:color="auto"/>
              <w:left w:val="outset" w:sz="6" w:space="0" w:color="auto"/>
              <w:bottom w:val="outset" w:sz="6" w:space="0" w:color="auto"/>
              <w:right w:val="outset" w:sz="6" w:space="0" w:color="auto"/>
            </w:tcBorders>
            <w:hideMark/>
          </w:tcPr>
          <w:p w14:paraId="332E2ABB"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1008 (93.0)</w:t>
            </w:r>
          </w:p>
        </w:tc>
        <w:tc>
          <w:tcPr>
            <w:tcW w:w="859" w:type="pct"/>
            <w:tcBorders>
              <w:top w:val="outset" w:sz="6" w:space="0" w:color="auto"/>
              <w:left w:val="outset" w:sz="6" w:space="0" w:color="auto"/>
              <w:bottom w:val="outset" w:sz="6" w:space="0" w:color="auto"/>
              <w:right w:val="outset" w:sz="6" w:space="0" w:color="auto"/>
            </w:tcBorders>
            <w:hideMark/>
          </w:tcPr>
          <w:p w14:paraId="0D2A1257" w14:textId="77777777" w:rsidR="00D06D2C" w:rsidRPr="00E00E21" w:rsidRDefault="00D06D2C" w:rsidP="00D06D2C">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220E553F"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1AE909DC"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645 (59.5)</w:t>
            </w:r>
          </w:p>
        </w:tc>
      </w:tr>
      <w:tr w:rsidR="00000498" w:rsidRPr="00E00E21" w14:paraId="03E52495"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29A33D56"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7674CAA8"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Trombocitopenija</w:t>
            </w:r>
            <w:r w:rsidRPr="00E00E21">
              <w:rPr>
                <w:sz w:val="22"/>
                <w:szCs w:val="22"/>
                <w:vertAlign w:val="superscript"/>
                <w:lang w:val="sr-Latn-RS" w:eastAsia="de-AT"/>
              </w:rPr>
              <w:t>a</w:t>
            </w:r>
          </w:p>
        </w:tc>
        <w:tc>
          <w:tcPr>
            <w:tcW w:w="704" w:type="pct"/>
            <w:tcBorders>
              <w:top w:val="outset" w:sz="6" w:space="0" w:color="auto"/>
              <w:left w:val="outset" w:sz="6" w:space="0" w:color="auto"/>
              <w:bottom w:val="outset" w:sz="6" w:space="0" w:color="auto"/>
              <w:right w:val="outset" w:sz="6" w:space="0" w:color="auto"/>
            </w:tcBorders>
            <w:hideMark/>
          </w:tcPr>
          <w:p w14:paraId="798F74A1"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478 (44.1)</w:t>
            </w:r>
          </w:p>
        </w:tc>
        <w:tc>
          <w:tcPr>
            <w:tcW w:w="859" w:type="pct"/>
            <w:tcBorders>
              <w:top w:val="outset" w:sz="6" w:space="0" w:color="auto"/>
              <w:left w:val="outset" w:sz="6" w:space="0" w:color="auto"/>
              <w:bottom w:val="outset" w:sz="6" w:space="0" w:color="auto"/>
              <w:right w:val="outset" w:sz="6" w:space="0" w:color="auto"/>
            </w:tcBorders>
            <w:hideMark/>
          </w:tcPr>
          <w:p w14:paraId="0F7A5062" w14:textId="77777777" w:rsidR="00D06D2C" w:rsidRPr="00E00E21" w:rsidRDefault="00D06D2C" w:rsidP="00D06D2C">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626A77DF"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9858FAA"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44 (4.1)</w:t>
            </w:r>
          </w:p>
        </w:tc>
      </w:tr>
      <w:tr w:rsidR="00000498" w:rsidRPr="00E00E21" w14:paraId="1C3B83DF"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08B927F9" w14:textId="77777777" w:rsidR="00D06D2C" w:rsidRPr="00E00E21" w:rsidRDefault="00D06D2C" w:rsidP="00D06D2C">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423F25A4"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Febrilna  neutropenija</w:t>
            </w:r>
          </w:p>
        </w:tc>
        <w:tc>
          <w:tcPr>
            <w:tcW w:w="704" w:type="pct"/>
            <w:tcBorders>
              <w:top w:val="outset" w:sz="6" w:space="0" w:color="auto"/>
              <w:left w:val="outset" w:sz="6" w:space="0" w:color="auto"/>
              <w:bottom w:val="outset" w:sz="6" w:space="0" w:color="auto"/>
              <w:right w:val="outset" w:sz="6" w:space="0" w:color="auto"/>
            </w:tcBorders>
            <w:hideMark/>
          </w:tcPr>
          <w:p w14:paraId="0B93E889"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444C8F16"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87 (8.0)</w:t>
            </w:r>
          </w:p>
        </w:tc>
        <w:tc>
          <w:tcPr>
            <w:tcW w:w="940" w:type="pct"/>
            <w:tcBorders>
              <w:top w:val="outset" w:sz="6" w:space="0" w:color="auto"/>
              <w:left w:val="outset" w:sz="6" w:space="0" w:color="auto"/>
              <w:bottom w:val="outset" w:sz="6" w:space="0" w:color="auto"/>
              <w:right w:val="outset" w:sz="6" w:space="0" w:color="auto"/>
            </w:tcBorders>
          </w:tcPr>
          <w:p w14:paraId="481A0520" w14:textId="77777777" w:rsidR="00D06D2C" w:rsidRPr="00E00E21" w:rsidRDefault="00D06D2C" w:rsidP="00D06D2C">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9437711"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87 (8.0)</w:t>
            </w:r>
          </w:p>
        </w:tc>
      </w:tr>
      <w:tr w:rsidR="00000498" w:rsidRPr="00E00E21" w14:paraId="28B2DBA6" w14:textId="77777777" w:rsidTr="00000498">
        <w:trPr>
          <w:tblCellSpacing w:w="0" w:type="dxa"/>
        </w:trPr>
        <w:tc>
          <w:tcPr>
            <w:tcW w:w="913" w:type="pct"/>
            <w:tcBorders>
              <w:top w:val="outset" w:sz="6" w:space="0" w:color="auto"/>
              <w:left w:val="outset" w:sz="6" w:space="0" w:color="auto"/>
              <w:bottom w:val="outset" w:sz="6" w:space="0" w:color="auto"/>
              <w:right w:val="outset" w:sz="6" w:space="0" w:color="auto"/>
            </w:tcBorders>
            <w:vAlign w:val="center"/>
            <w:hideMark/>
          </w:tcPr>
          <w:p w14:paraId="323EBA6F"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Poremećaji imunskog sistema</w:t>
            </w:r>
          </w:p>
        </w:tc>
        <w:tc>
          <w:tcPr>
            <w:tcW w:w="961" w:type="pct"/>
            <w:tcBorders>
              <w:top w:val="outset" w:sz="6" w:space="0" w:color="auto"/>
              <w:left w:val="outset" w:sz="6" w:space="0" w:color="auto"/>
              <w:bottom w:val="outset" w:sz="6" w:space="0" w:color="auto"/>
              <w:right w:val="outset" w:sz="6" w:space="0" w:color="auto"/>
            </w:tcBorders>
            <w:hideMark/>
          </w:tcPr>
          <w:p w14:paraId="2B83058C"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Preosjetljivost</w:t>
            </w:r>
          </w:p>
        </w:tc>
        <w:tc>
          <w:tcPr>
            <w:tcW w:w="704" w:type="pct"/>
            <w:tcBorders>
              <w:top w:val="outset" w:sz="6" w:space="0" w:color="auto"/>
              <w:left w:val="outset" w:sz="6" w:space="0" w:color="auto"/>
              <w:bottom w:val="outset" w:sz="6" w:space="0" w:color="auto"/>
              <w:right w:val="outset" w:sz="6" w:space="0" w:color="auto"/>
            </w:tcBorders>
            <w:hideMark/>
          </w:tcPr>
          <w:p w14:paraId="5C78A1CD" w14:textId="77777777" w:rsidR="00D06D2C" w:rsidRPr="00E00E21" w:rsidRDefault="00D06D2C" w:rsidP="00D06D2C">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1AE41C6D" w14:textId="77777777" w:rsidR="00D06D2C" w:rsidRPr="00E00E21" w:rsidRDefault="00D06D2C" w:rsidP="00D06D2C">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3C234B1A"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7 (0.6)</w:t>
            </w:r>
          </w:p>
        </w:tc>
        <w:tc>
          <w:tcPr>
            <w:tcW w:w="623" w:type="pct"/>
            <w:tcBorders>
              <w:top w:val="outset" w:sz="6" w:space="0" w:color="auto"/>
              <w:left w:val="outset" w:sz="6" w:space="0" w:color="auto"/>
              <w:bottom w:val="outset" w:sz="6" w:space="0" w:color="auto"/>
              <w:right w:val="outset" w:sz="6" w:space="0" w:color="auto"/>
            </w:tcBorders>
            <w:hideMark/>
          </w:tcPr>
          <w:p w14:paraId="3105058E" w14:textId="77777777" w:rsidR="00D06D2C" w:rsidRPr="00E00E21" w:rsidRDefault="00D06D2C" w:rsidP="00D06D2C">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6A83EC2F"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70A13895" w14:textId="77777777" w:rsidR="00B53F7D" w:rsidRPr="00E00E21" w:rsidRDefault="00894DE8" w:rsidP="00B53F7D">
            <w:pPr>
              <w:spacing w:before="100" w:beforeAutospacing="1" w:after="100" w:afterAutospacing="1"/>
              <w:rPr>
                <w:sz w:val="22"/>
                <w:szCs w:val="22"/>
                <w:lang w:val="sr-Latn-RS" w:eastAsia="de-AT"/>
              </w:rPr>
            </w:pPr>
            <w:r w:rsidRPr="00E00E21">
              <w:rPr>
                <w:sz w:val="22"/>
                <w:szCs w:val="22"/>
                <w:lang w:val="sr-Latn-RS" w:eastAsia="de-AT"/>
              </w:rPr>
              <w:t>Poremećaji metabolizma i ishrane</w:t>
            </w:r>
          </w:p>
        </w:tc>
        <w:tc>
          <w:tcPr>
            <w:tcW w:w="961" w:type="pct"/>
            <w:tcBorders>
              <w:top w:val="outset" w:sz="6" w:space="0" w:color="auto"/>
              <w:left w:val="outset" w:sz="6" w:space="0" w:color="auto"/>
              <w:bottom w:val="outset" w:sz="6" w:space="0" w:color="auto"/>
              <w:right w:val="outset" w:sz="6" w:space="0" w:color="auto"/>
            </w:tcBorders>
            <w:hideMark/>
          </w:tcPr>
          <w:p w14:paraId="74049EB1" w14:textId="77777777" w:rsidR="00B53F7D" w:rsidRPr="00E00E21" w:rsidRDefault="00894DE8" w:rsidP="00B53F7D">
            <w:pPr>
              <w:spacing w:before="100" w:beforeAutospacing="1" w:after="100" w:afterAutospacing="1"/>
              <w:rPr>
                <w:sz w:val="22"/>
                <w:szCs w:val="22"/>
                <w:lang w:val="sr-Latn-RS" w:eastAsia="de-AT"/>
              </w:rPr>
            </w:pPr>
            <w:r w:rsidRPr="00E00E21">
              <w:rPr>
                <w:sz w:val="22"/>
                <w:szCs w:val="22"/>
                <w:lang w:val="sr-Latn-RS" w:eastAsia="de-AT"/>
              </w:rPr>
              <w:t>Smanjen apetit</w:t>
            </w:r>
          </w:p>
        </w:tc>
        <w:tc>
          <w:tcPr>
            <w:tcW w:w="704" w:type="pct"/>
            <w:tcBorders>
              <w:top w:val="outset" w:sz="6" w:space="0" w:color="auto"/>
              <w:left w:val="outset" w:sz="6" w:space="0" w:color="auto"/>
              <w:bottom w:val="outset" w:sz="6" w:space="0" w:color="auto"/>
              <w:right w:val="outset" w:sz="6" w:space="0" w:color="auto"/>
            </w:tcBorders>
            <w:hideMark/>
          </w:tcPr>
          <w:p w14:paraId="7048E22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192 (17.6)</w:t>
            </w:r>
          </w:p>
        </w:tc>
        <w:tc>
          <w:tcPr>
            <w:tcW w:w="859" w:type="pct"/>
            <w:tcBorders>
              <w:top w:val="outset" w:sz="6" w:space="0" w:color="auto"/>
              <w:left w:val="outset" w:sz="6" w:space="0" w:color="auto"/>
              <w:bottom w:val="outset" w:sz="6" w:space="0" w:color="auto"/>
              <w:right w:val="outset" w:sz="6" w:space="0" w:color="auto"/>
            </w:tcBorders>
            <w:hideMark/>
          </w:tcPr>
          <w:p w14:paraId="37193475" w14:textId="77777777" w:rsidR="00B53F7D" w:rsidRPr="00E00E21" w:rsidRDefault="00B53F7D" w:rsidP="00B53F7D">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5CFE4631"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1D7AFE7"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11 (1.0)</w:t>
            </w:r>
          </w:p>
        </w:tc>
      </w:tr>
      <w:tr w:rsidR="00000498" w:rsidRPr="00E00E21" w14:paraId="281B54B2"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6208BAE9"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3F775CF" w14:textId="77777777" w:rsidR="00B53F7D" w:rsidRPr="00E00E21" w:rsidRDefault="00894DE8" w:rsidP="00B53F7D">
            <w:pPr>
              <w:spacing w:before="100" w:beforeAutospacing="1" w:after="100" w:afterAutospacing="1"/>
              <w:rPr>
                <w:sz w:val="22"/>
                <w:szCs w:val="22"/>
                <w:lang w:val="sr-Latn-RS" w:eastAsia="de-AT"/>
              </w:rPr>
            </w:pPr>
            <w:r w:rsidRPr="00E00E21">
              <w:rPr>
                <w:sz w:val="22"/>
                <w:szCs w:val="22"/>
                <w:lang w:val="sr-Latn-RS" w:eastAsia="de-AT"/>
              </w:rPr>
              <w:t>Dehidratacija</w:t>
            </w:r>
          </w:p>
        </w:tc>
        <w:tc>
          <w:tcPr>
            <w:tcW w:w="704" w:type="pct"/>
            <w:tcBorders>
              <w:top w:val="outset" w:sz="6" w:space="0" w:color="auto"/>
              <w:left w:val="outset" w:sz="6" w:space="0" w:color="auto"/>
              <w:bottom w:val="outset" w:sz="6" w:space="0" w:color="auto"/>
              <w:right w:val="outset" w:sz="6" w:space="0" w:color="auto"/>
            </w:tcBorders>
            <w:hideMark/>
          </w:tcPr>
          <w:p w14:paraId="476F2EA9"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0F5DE68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27 (2.5)</w:t>
            </w:r>
          </w:p>
        </w:tc>
        <w:tc>
          <w:tcPr>
            <w:tcW w:w="940" w:type="pct"/>
            <w:tcBorders>
              <w:top w:val="outset" w:sz="6" w:space="0" w:color="auto"/>
              <w:left w:val="outset" w:sz="6" w:space="0" w:color="auto"/>
              <w:bottom w:val="outset" w:sz="6" w:space="0" w:color="auto"/>
              <w:right w:val="outset" w:sz="6" w:space="0" w:color="auto"/>
            </w:tcBorders>
          </w:tcPr>
          <w:p w14:paraId="2061C0C8"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12D762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11 (1.0)</w:t>
            </w:r>
          </w:p>
        </w:tc>
      </w:tr>
      <w:tr w:rsidR="00000498" w:rsidRPr="00E00E21" w14:paraId="554ABEB7"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3B8CFAEB"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2A82E370" w14:textId="77777777" w:rsidR="00B53F7D" w:rsidRPr="00E00E21" w:rsidRDefault="00B53F7D" w:rsidP="00894DE8">
            <w:pPr>
              <w:spacing w:before="100" w:beforeAutospacing="1" w:after="100" w:afterAutospacing="1"/>
              <w:rPr>
                <w:sz w:val="22"/>
                <w:szCs w:val="22"/>
                <w:lang w:val="sr-Latn-RS" w:eastAsia="de-AT"/>
              </w:rPr>
            </w:pPr>
            <w:r w:rsidRPr="00E00E21">
              <w:rPr>
                <w:sz w:val="22"/>
                <w:szCs w:val="22"/>
                <w:lang w:val="sr-Latn-RS" w:eastAsia="de-AT"/>
              </w:rPr>
              <w:t>H</w:t>
            </w:r>
            <w:r w:rsidR="00894DE8" w:rsidRPr="00E00E21">
              <w:rPr>
                <w:sz w:val="22"/>
                <w:szCs w:val="22"/>
                <w:lang w:val="sr-Latn-RS" w:eastAsia="de-AT"/>
              </w:rPr>
              <w:t>i</w:t>
            </w:r>
            <w:r w:rsidRPr="00E00E21">
              <w:rPr>
                <w:sz w:val="22"/>
                <w:szCs w:val="22"/>
                <w:lang w:val="sr-Latn-RS" w:eastAsia="de-AT"/>
              </w:rPr>
              <w:t>pergl</w:t>
            </w:r>
            <w:r w:rsidR="00894DE8" w:rsidRPr="00E00E21">
              <w:rPr>
                <w:sz w:val="22"/>
                <w:szCs w:val="22"/>
                <w:lang w:val="sr-Latn-RS" w:eastAsia="de-AT"/>
              </w:rPr>
              <w:t>ikemija</w:t>
            </w:r>
          </w:p>
        </w:tc>
        <w:tc>
          <w:tcPr>
            <w:tcW w:w="704" w:type="pct"/>
            <w:tcBorders>
              <w:top w:val="outset" w:sz="6" w:space="0" w:color="auto"/>
              <w:left w:val="outset" w:sz="6" w:space="0" w:color="auto"/>
              <w:bottom w:val="outset" w:sz="6" w:space="0" w:color="auto"/>
              <w:right w:val="outset" w:sz="6" w:space="0" w:color="auto"/>
            </w:tcBorders>
            <w:hideMark/>
          </w:tcPr>
          <w:p w14:paraId="7A5BFFE6"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36750DF2"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11 (1.0)</w:t>
            </w:r>
          </w:p>
        </w:tc>
        <w:tc>
          <w:tcPr>
            <w:tcW w:w="940" w:type="pct"/>
            <w:tcBorders>
              <w:top w:val="outset" w:sz="6" w:space="0" w:color="auto"/>
              <w:left w:val="outset" w:sz="6" w:space="0" w:color="auto"/>
              <w:bottom w:val="outset" w:sz="6" w:space="0" w:color="auto"/>
              <w:right w:val="outset" w:sz="6" w:space="0" w:color="auto"/>
            </w:tcBorders>
          </w:tcPr>
          <w:p w14:paraId="43A4CC43"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43D0DE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7 (0.6)</w:t>
            </w:r>
          </w:p>
        </w:tc>
      </w:tr>
      <w:tr w:rsidR="00000498" w:rsidRPr="00E00E21" w14:paraId="2B3B6040"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2F8358FC"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5CF9819A" w14:textId="251C149C" w:rsidR="00B53F7D" w:rsidRPr="00E00E21" w:rsidRDefault="00882357" w:rsidP="00B53F7D">
            <w:pPr>
              <w:spacing w:before="100" w:beforeAutospacing="1" w:after="100" w:afterAutospacing="1"/>
              <w:rPr>
                <w:sz w:val="22"/>
                <w:szCs w:val="22"/>
                <w:lang w:val="sr-Latn-RS" w:eastAsia="de-AT"/>
              </w:rPr>
            </w:pPr>
            <w:r w:rsidRPr="00E00E21">
              <w:rPr>
                <w:sz w:val="22"/>
                <w:szCs w:val="22"/>
                <w:lang w:val="sr-Latn-RS" w:eastAsia="de-AT"/>
              </w:rPr>
              <w:t>Hi</w:t>
            </w:r>
            <w:r w:rsidR="00B53F7D" w:rsidRPr="00E00E21">
              <w:rPr>
                <w:sz w:val="22"/>
                <w:szCs w:val="22"/>
                <w:lang w:val="sr-Latn-RS" w:eastAsia="de-AT"/>
              </w:rPr>
              <w:t>pokal</w:t>
            </w:r>
            <w:r w:rsidR="009B6A1F" w:rsidRPr="00E00E21">
              <w:rPr>
                <w:sz w:val="22"/>
                <w:szCs w:val="22"/>
                <w:lang w:val="sr-Latn-RS" w:eastAsia="de-AT"/>
              </w:rPr>
              <w:t>ij</w:t>
            </w:r>
            <w:r w:rsidR="00B53F7D" w:rsidRPr="00E00E21">
              <w:rPr>
                <w:sz w:val="22"/>
                <w:szCs w:val="22"/>
                <w:lang w:val="sr-Latn-RS" w:eastAsia="de-AT"/>
              </w:rPr>
              <w:t>em</w:t>
            </w:r>
            <w:r w:rsidRPr="00E00E21">
              <w:rPr>
                <w:sz w:val="22"/>
                <w:szCs w:val="22"/>
                <w:lang w:val="sr-Latn-RS" w:eastAsia="de-AT"/>
              </w:rPr>
              <w:t>j</w:t>
            </w:r>
            <w:r w:rsidR="00B53F7D" w:rsidRPr="00E00E21">
              <w:rPr>
                <w:sz w:val="22"/>
                <w:szCs w:val="22"/>
                <w:lang w:val="sr-Latn-RS" w:eastAsia="de-AT"/>
              </w:rPr>
              <w:t>ia</w:t>
            </w:r>
          </w:p>
        </w:tc>
        <w:tc>
          <w:tcPr>
            <w:tcW w:w="704" w:type="pct"/>
            <w:tcBorders>
              <w:top w:val="outset" w:sz="6" w:space="0" w:color="auto"/>
              <w:left w:val="outset" w:sz="6" w:space="0" w:color="auto"/>
              <w:bottom w:val="outset" w:sz="6" w:space="0" w:color="auto"/>
              <w:right w:val="outset" w:sz="6" w:space="0" w:color="auto"/>
            </w:tcBorders>
            <w:hideMark/>
          </w:tcPr>
          <w:p w14:paraId="6AEDEAC7"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4454BB78"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01A8C91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8 (0.7)</w:t>
            </w:r>
          </w:p>
        </w:tc>
        <w:tc>
          <w:tcPr>
            <w:tcW w:w="623" w:type="pct"/>
            <w:tcBorders>
              <w:top w:val="outset" w:sz="6" w:space="0" w:color="auto"/>
              <w:left w:val="outset" w:sz="6" w:space="0" w:color="auto"/>
              <w:bottom w:val="outset" w:sz="6" w:space="0" w:color="auto"/>
              <w:right w:val="outset" w:sz="6" w:space="0" w:color="auto"/>
            </w:tcBorders>
            <w:hideMark/>
          </w:tcPr>
          <w:p w14:paraId="4336DFFA"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 (0.2)</w:t>
            </w:r>
          </w:p>
        </w:tc>
      </w:tr>
      <w:tr w:rsidR="00000498" w:rsidRPr="00E00E21" w14:paraId="6BCF83FB" w14:textId="77777777" w:rsidTr="00000498">
        <w:trPr>
          <w:tblCellSpacing w:w="0" w:type="dxa"/>
        </w:trPr>
        <w:tc>
          <w:tcPr>
            <w:tcW w:w="913" w:type="pct"/>
            <w:vMerge w:val="restart"/>
            <w:tcBorders>
              <w:top w:val="outset" w:sz="6" w:space="0" w:color="auto"/>
              <w:left w:val="outset" w:sz="6" w:space="0" w:color="auto"/>
              <w:right w:val="outset" w:sz="6" w:space="0" w:color="auto"/>
            </w:tcBorders>
            <w:vAlign w:val="center"/>
          </w:tcPr>
          <w:p w14:paraId="1FE841CE" w14:textId="77777777" w:rsidR="00B53F7D" w:rsidRPr="00E00E21" w:rsidRDefault="00882357" w:rsidP="00B53F7D">
            <w:pPr>
              <w:spacing w:before="100" w:beforeAutospacing="1" w:after="100" w:afterAutospacing="1"/>
              <w:rPr>
                <w:sz w:val="22"/>
                <w:szCs w:val="22"/>
                <w:lang w:val="sr-Latn-RS" w:eastAsia="de-AT"/>
              </w:rPr>
            </w:pPr>
            <w:r w:rsidRPr="00E00E21">
              <w:rPr>
                <w:sz w:val="22"/>
                <w:szCs w:val="22"/>
                <w:lang w:val="sr-Latn-RS" w:eastAsia="de-AT"/>
              </w:rPr>
              <w:t>Psihijatrijski poremećaji</w:t>
            </w:r>
          </w:p>
        </w:tc>
        <w:tc>
          <w:tcPr>
            <w:tcW w:w="961" w:type="pct"/>
            <w:tcBorders>
              <w:top w:val="outset" w:sz="6" w:space="0" w:color="auto"/>
              <w:left w:val="outset" w:sz="6" w:space="0" w:color="auto"/>
              <w:bottom w:val="outset" w:sz="6" w:space="0" w:color="auto"/>
              <w:right w:val="outset" w:sz="6" w:space="0" w:color="auto"/>
            </w:tcBorders>
          </w:tcPr>
          <w:p w14:paraId="2C314B6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Insomn</w:t>
            </w:r>
            <w:r w:rsidR="00882357" w:rsidRPr="00E00E21">
              <w:rPr>
                <w:sz w:val="22"/>
                <w:szCs w:val="22"/>
                <w:lang w:val="sr-Latn-RS" w:eastAsia="de-AT"/>
              </w:rPr>
              <w:t>j</w:t>
            </w:r>
            <w:r w:rsidRPr="00E00E21">
              <w:rPr>
                <w:sz w:val="22"/>
                <w:szCs w:val="22"/>
                <w:lang w:val="sr-Latn-RS" w:eastAsia="de-AT"/>
              </w:rPr>
              <w:t>ia</w:t>
            </w:r>
          </w:p>
        </w:tc>
        <w:tc>
          <w:tcPr>
            <w:tcW w:w="704" w:type="pct"/>
            <w:tcBorders>
              <w:top w:val="outset" w:sz="6" w:space="0" w:color="auto"/>
              <w:left w:val="outset" w:sz="6" w:space="0" w:color="auto"/>
              <w:bottom w:val="outset" w:sz="6" w:space="0" w:color="auto"/>
              <w:right w:val="outset" w:sz="6" w:space="0" w:color="auto"/>
            </w:tcBorders>
          </w:tcPr>
          <w:p w14:paraId="7A26D13C"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3E35DFAF"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45 (4.1)</w:t>
            </w:r>
          </w:p>
        </w:tc>
        <w:tc>
          <w:tcPr>
            <w:tcW w:w="940" w:type="pct"/>
            <w:tcBorders>
              <w:top w:val="outset" w:sz="6" w:space="0" w:color="auto"/>
              <w:left w:val="outset" w:sz="6" w:space="0" w:color="auto"/>
              <w:bottom w:val="outset" w:sz="6" w:space="0" w:color="auto"/>
              <w:right w:val="outset" w:sz="6" w:space="0" w:color="auto"/>
            </w:tcBorders>
          </w:tcPr>
          <w:p w14:paraId="33D32433"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46209A62"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77882DE8" w14:textId="77777777" w:rsidTr="00000498">
        <w:trPr>
          <w:tblCellSpacing w:w="0" w:type="dxa"/>
        </w:trPr>
        <w:tc>
          <w:tcPr>
            <w:tcW w:w="913" w:type="pct"/>
            <w:vMerge/>
            <w:tcBorders>
              <w:left w:val="outset" w:sz="6" w:space="0" w:color="auto"/>
              <w:right w:val="outset" w:sz="6" w:space="0" w:color="auto"/>
            </w:tcBorders>
            <w:vAlign w:val="center"/>
            <w:hideMark/>
          </w:tcPr>
          <w:p w14:paraId="130720FC" w14:textId="77777777" w:rsidR="00B53F7D" w:rsidRPr="00E00E21" w:rsidRDefault="00B53F7D" w:rsidP="00B53F7D">
            <w:pPr>
              <w:spacing w:before="100" w:beforeAutospacing="1" w:after="100" w:afterAutospacing="1"/>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13890D23" w14:textId="77777777" w:rsidR="00B53F7D" w:rsidRPr="00E00E21" w:rsidRDefault="00882357" w:rsidP="00B53F7D">
            <w:pPr>
              <w:spacing w:before="100" w:beforeAutospacing="1" w:after="100" w:afterAutospacing="1"/>
              <w:rPr>
                <w:sz w:val="22"/>
                <w:szCs w:val="22"/>
                <w:lang w:val="sr-Latn-RS" w:eastAsia="de-AT"/>
              </w:rPr>
            </w:pPr>
            <w:r w:rsidRPr="00E00E21">
              <w:rPr>
                <w:sz w:val="22"/>
                <w:szCs w:val="22"/>
                <w:lang w:val="sr-Latn-RS" w:eastAsia="de-AT"/>
              </w:rPr>
              <w:t>Anksioznost</w:t>
            </w:r>
          </w:p>
        </w:tc>
        <w:tc>
          <w:tcPr>
            <w:tcW w:w="704" w:type="pct"/>
            <w:tcBorders>
              <w:top w:val="outset" w:sz="6" w:space="0" w:color="auto"/>
              <w:left w:val="outset" w:sz="6" w:space="0" w:color="auto"/>
              <w:bottom w:val="outset" w:sz="6" w:space="0" w:color="auto"/>
              <w:right w:val="outset" w:sz="6" w:space="0" w:color="auto"/>
            </w:tcBorders>
            <w:hideMark/>
          </w:tcPr>
          <w:p w14:paraId="0BC9A3ED"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1A2750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13 (1.2)</w:t>
            </w:r>
          </w:p>
        </w:tc>
        <w:tc>
          <w:tcPr>
            <w:tcW w:w="940" w:type="pct"/>
            <w:tcBorders>
              <w:top w:val="outset" w:sz="6" w:space="0" w:color="auto"/>
              <w:left w:val="outset" w:sz="6" w:space="0" w:color="auto"/>
              <w:bottom w:val="outset" w:sz="6" w:space="0" w:color="auto"/>
              <w:right w:val="outset" w:sz="6" w:space="0" w:color="auto"/>
            </w:tcBorders>
          </w:tcPr>
          <w:p w14:paraId="607003F3"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445477E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37265791" w14:textId="77777777" w:rsidTr="00000498">
        <w:trPr>
          <w:tblCellSpacing w:w="0" w:type="dxa"/>
        </w:trPr>
        <w:tc>
          <w:tcPr>
            <w:tcW w:w="913" w:type="pct"/>
            <w:vMerge/>
            <w:tcBorders>
              <w:left w:val="outset" w:sz="6" w:space="0" w:color="auto"/>
              <w:bottom w:val="outset" w:sz="6" w:space="0" w:color="auto"/>
              <w:right w:val="outset" w:sz="6" w:space="0" w:color="auto"/>
            </w:tcBorders>
            <w:hideMark/>
          </w:tcPr>
          <w:p w14:paraId="3E561372"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734C121" w14:textId="77777777" w:rsidR="00B53F7D" w:rsidRPr="00E00E21" w:rsidRDefault="00882357" w:rsidP="00882357">
            <w:pPr>
              <w:spacing w:before="100" w:beforeAutospacing="1" w:after="100" w:afterAutospacing="1"/>
              <w:rPr>
                <w:sz w:val="22"/>
                <w:szCs w:val="22"/>
                <w:lang w:val="sr-Latn-RS" w:eastAsia="de-AT"/>
              </w:rPr>
            </w:pPr>
            <w:r w:rsidRPr="00E00E21">
              <w:rPr>
                <w:sz w:val="22"/>
                <w:szCs w:val="22"/>
                <w:lang w:val="sr-Latn-RS" w:eastAsia="de-AT"/>
              </w:rPr>
              <w:t>S</w:t>
            </w:r>
            <w:r w:rsidR="00B53F7D" w:rsidRPr="00E00E21">
              <w:rPr>
                <w:sz w:val="22"/>
                <w:szCs w:val="22"/>
                <w:lang w:val="sr-Latn-RS" w:eastAsia="de-AT"/>
              </w:rPr>
              <w:t>ta</w:t>
            </w:r>
            <w:r w:rsidRPr="00E00E21">
              <w:rPr>
                <w:sz w:val="22"/>
                <w:szCs w:val="22"/>
                <w:lang w:val="sr-Latn-RS" w:eastAsia="de-AT"/>
              </w:rPr>
              <w:t>nje konfuzije</w:t>
            </w:r>
          </w:p>
        </w:tc>
        <w:tc>
          <w:tcPr>
            <w:tcW w:w="704" w:type="pct"/>
            <w:tcBorders>
              <w:top w:val="outset" w:sz="6" w:space="0" w:color="auto"/>
              <w:left w:val="outset" w:sz="6" w:space="0" w:color="auto"/>
              <w:bottom w:val="outset" w:sz="6" w:space="0" w:color="auto"/>
              <w:right w:val="outset" w:sz="6" w:space="0" w:color="auto"/>
            </w:tcBorders>
            <w:hideMark/>
          </w:tcPr>
          <w:p w14:paraId="0DE1B1C2"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66D1DBE"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12 (1.1)</w:t>
            </w:r>
          </w:p>
        </w:tc>
        <w:tc>
          <w:tcPr>
            <w:tcW w:w="940" w:type="pct"/>
            <w:tcBorders>
              <w:top w:val="outset" w:sz="6" w:space="0" w:color="auto"/>
              <w:left w:val="outset" w:sz="6" w:space="0" w:color="auto"/>
              <w:bottom w:val="outset" w:sz="6" w:space="0" w:color="auto"/>
              <w:right w:val="outset" w:sz="6" w:space="0" w:color="auto"/>
            </w:tcBorders>
          </w:tcPr>
          <w:p w14:paraId="431AD9B1"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781E22B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 xml:space="preserve">2 (0.2) </w:t>
            </w:r>
          </w:p>
        </w:tc>
      </w:tr>
      <w:tr w:rsidR="00000498" w:rsidRPr="00E00E21" w14:paraId="62229DBE"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54FA1909" w14:textId="77777777" w:rsidR="00B53F7D" w:rsidRPr="00E00E21" w:rsidRDefault="00882357" w:rsidP="00B53F7D">
            <w:pPr>
              <w:spacing w:before="100" w:beforeAutospacing="1" w:after="100" w:afterAutospacing="1"/>
              <w:rPr>
                <w:sz w:val="22"/>
                <w:szCs w:val="22"/>
                <w:lang w:val="sr-Latn-RS" w:eastAsia="de-AT"/>
              </w:rPr>
            </w:pPr>
            <w:r w:rsidRPr="00E00E21">
              <w:rPr>
                <w:sz w:val="22"/>
                <w:szCs w:val="22"/>
                <w:lang w:val="sr-Latn-RS" w:eastAsia="de-AT"/>
              </w:rPr>
              <w:t>Poremećaji nervnog sistema</w:t>
            </w:r>
          </w:p>
        </w:tc>
        <w:tc>
          <w:tcPr>
            <w:tcW w:w="961" w:type="pct"/>
            <w:tcBorders>
              <w:top w:val="outset" w:sz="6" w:space="0" w:color="auto"/>
              <w:left w:val="outset" w:sz="6" w:space="0" w:color="auto"/>
              <w:bottom w:val="outset" w:sz="6" w:space="0" w:color="auto"/>
              <w:right w:val="outset" w:sz="6" w:space="0" w:color="auto"/>
            </w:tcBorders>
            <w:hideMark/>
          </w:tcPr>
          <w:p w14:paraId="199F536D" w14:textId="77777777" w:rsidR="00B53F7D" w:rsidRPr="00E00E21" w:rsidRDefault="00B53F7D" w:rsidP="00882357">
            <w:pPr>
              <w:spacing w:before="100" w:beforeAutospacing="1" w:after="100" w:afterAutospacing="1"/>
              <w:rPr>
                <w:sz w:val="22"/>
                <w:szCs w:val="22"/>
                <w:lang w:val="sr-Latn-RS" w:eastAsia="de-AT"/>
              </w:rPr>
            </w:pPr>
            <w:r w:rsidRPr="00E00E21">
              <w:rPr>
                <w:sz w:val="22"/>
                <w:szCs w:val="22"/>
                <w:lang w:val="sr-Latn-RS" w:eastAsia="de-AT"/>
              </w:rPr>
              <w:t>D</w:t>
            </w:r>
            <w:r w:rsidR="00882357" w:rsidRPr="00E00E21">
              <w:rPr>
                <w:sz w:val="22"/>
                <w:szCs w:val="22"/>
                <w:lang w:val="sr-Latn-RS" w:eastAsia="de-AT"/>
              </w:rPr>
              <w:t>isgeuzija</w:t>
            </w:r>
          </w:p>
        </w:tc>
        <w:tc>
          <w:tcPr>
            <w:tcW w:w="704" w:type="pct"/>
            <w:tcBorders>
              <w:top w:val="outset" w:sz="6" w:space="0" w:color="auto"/>
              <w:left w:val="outset" w:sz="6" w:space="0" w:color="auto"/>
              <w:bottom w:val="outset" w:sz="6" w:space="0" w:color="auto"/>
              <w:right w:val="outset" w:sz="6" w:space="0" w:color="auto"/>
            </w:tcBorders>
            <w:hideMark/>
          </w:tcPr>
          <w:p w14:paraId="10503852" w14:textId="77777777" w:rsidR="00B53F7D" w:rsidRPr="00E00E21" w:rsidRDefault="00B53F7D" w:rsidP="00B53F7D">
            <w:pPr>
              <w:spacing w:before="100" w:beforeAutospacing="1" w:after="100" w:afterAutospacing="1"/>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708D4C58" w14:textId="77777777" w:rsidR="00B53F7D" w:rsidRPr="00E00E21" w:rsidRDefault="00B53F7D" w:rsidP="00B53F7D">
            <w:pPr>
              <w:rPr>
                <w:sz w:val="22"/>
                <w:szCs w:val="22"/>
                <w:lang w:val="sr-Latn-RS" w:eastAsia="de-AT"/>
              </w:rPr>
            </w:pPr>
            <w:r w:rsidRPr="00E00E21">
              <w:rPr>
                <w:sz w:val="22"/>
                <w:szCs w:val="22"/>
                <w:lang w:val="sr-Latn-RS" w:eastAsia="de-AT"/>
              </w:rPr>
              <w:t>64 (5.9)</w:t>
            </w:r>
          </w:p>
        </w:tc>
        <w:tc>
          <w:tcPr>
            <w:tcW w:w="940" w:type="pct"/>
            <w:tcBorders>
              <w:top w:val="outset" w:sz="6" w:space="0" w:color="auto"/>
              <w:left w:val="outset" w:sz="6" w:space="0" w:color="auto"/>
              <w:bottom w:val="outset" w:sz="6" w:space="0" w:color="auto"/>
              <w:right w:val="outset" w:sz="6" w:space="0" w:color="auto"/>
            </w:tcBorders>
          </w:tcPr>
          <w:p w14:paraId="77B6D2C3"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3BC07A5A"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157902B8"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tcPr>
          <w:p w14:paraId="650A7410"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5D13752F" w14:textId="77777777" w:rsidR="00B53F7D" w:rsidRPr="00E00E21" w:rsidRDefault="00882357" w:rsidP="00B53F7D">
            <w:pPr>
              <w:spacing w:before="100" w:beforeAutospacing="1" w:after="100" w:afterAutospacing="1"/>
              <w:rPr>
                <w:sz w:val="22"/>
                <w:szCs w:val="22"/>
                <w:lang w:val="sr-Latn-RS" w:eastAsia="de-AT"/>
              </w:rPr>
            </w:pPr>
            <w:r w:rsidRPr="00E00E21">
              <w:rPr>
                <w:sz w:val="22"/>
                <w:szCs w:val="22"/>
                <w:lang w:val="sr-Latn-RS" w:eastAsia="de-AT"/>
              </w:rPr>
              <w:t>Poremećaj ukusa</w:t>
            </w:r>
          </w:p>
        </w:tc>
        <w:tc>
          <w:tcPr>
            <w:tcW w:w="704" w:type="pct"/>
            <w:tcBorders>
              <w:top w:val="outset" w:sz="6" w:space="0" w:color="auto"/>
              <w:left w:val="outset" w:sz="6" w:space="0" w:color="auto"/>
              <w:bottom w:val="outset" w:sz="6" w:space="0" w:color="auto"/>
              <w:right w:val="outset" w:sz="6" w:space="0" w:color="auto"/>
            </w:tcBorders>
          </w:tcPr>
          <w:p w14:paraId="4E837114"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2395E06A"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56 (5.1)</w:t>
            </w:r>
          </w:p>
        </w:tc>
        <w:tc>
          <w:tcPr>
            <w:tcW w:w="940" w:type="pct"/>
            <w:tcBorders>
              <w:top w:val="outset" w:sz="6" w:space="0" w:color="auto"/>
              <w:left w:val="outset" w:sz="6" w:space="0" w:color="auto"/>
              <w:bottom w:val="outset" w:sz="6" w:space="0" w:color="auto"/>
              <w:right w:val="outset" w:sz="6" w:space="0" w:color="auto"/>
            </w:tcBorders>
          </w:tcPr>
          <w:p w14:paraId="47CEF54F"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69A5B761"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0853E073"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5E6A17B2"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271BF31D" w14:textId="77777777" w:rsidR="00B53F7D" w:rsidRPr="00E00E21" w:rsidRDefault="00882357" w:rsidP="00882357">
            <w:pPr>
              <w:spacing w:before="100" w:beforeAutospacing="1" w:after="100" w:afterAutospacing="1"/>
              <w:rPr>
                <w:sz w:val="22"/>
                <w:szCs w:val="22"/>
                <w:lang w:val="sr-Latn-RS" w:eastAsia="de-AT"/>
              </w:rPr>
            </w:pPr>
            <w:r w:rsidRPr="00E00E21">
              <w:rPr>
                <w:sz w:val="22"/>
                <w:szCs w:val="22"/>
                <w:lang w:val="sr-Latn-RS" w:eastAsia="de-AT"/>
              </w:rPr>
              <w:t>Periferna neuropatija</w:t>
            </w:r>
          </w:p>
        </w:tc>
        <w:tc>
          <w:tcPr>
            <w:tcW w:w="704" w:type="pct"/>
            <w:tcBorders>
              <w:top w:val="outset" w:sz="6" w:space="0" w:color="auto"/>
              <w:left w:val="outset" w:sz="6" w:space="0" w:color="auto"/>
              <w:bottom w:val="outset" w:sz="6" w:space="0" w:color="auto"/>
              <w:right w:val="outset" w:sz="6" w:space="0" w:color="auto"/>
            </w:tcBorders>
            <w:hideMark/>
          </w:tcPr>
          <w:p w14:paraId="764A6524"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1F170C7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40 (3.7)</w:t>
            </w:r>
          </w:p>
        </w:tc>
        <w:tc>
          <w:tcPr>
            <w:tcW w:w="940" w:type="pct"/>
            <w:tcBorders>
              <w:top w:val="outset" w:sz="6" w:space="0" w:color="auto"/>
              <w:left w:val="outset" w:sz="6" w:space="0" w:color="auto"/>
              <w:bottom w:val="outset" w:sz="6" w:space="0" w:color="auto"/>
              <w:right w:val="outset" w:sz="6" w:space="0" w:color="auto"/>
            </w:tcBorders>
          </w:tcPr>
          <w:p w14:paraId="52460AC5"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41803BA"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 (0.2)</w:t>
            </w:r>
          </w:p>
        </w:tc>
      </w:tr>
      <w:tr w:rsidR="00000498" w:rsidRPr="00E00E21" w14:paraId="1F9A4503"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14D64225"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7AB438EA" w14:textId="77777777" w:rsidR="00B53F7D" w:rsidRPr="00E00E21" w:rsidRDefault="005867A7" w:rsidP="00B53F7D">
            <w:pPr>
              <w:spacing w:before="100" w:beforeAutospacing="1" w:after="100" w:afterAutospacing="1"/>
              <w:rPr>
                <w:sz w:val="22"/>
                <w:szCs w:val="22"/>
                <w:lang w:val="sr-Latn-RS" w:eastAsia="de-AT"/>
              </w:rPr>
            </w:pPr>
            <w:r w:rsidRPr="00E00E21">
              <w:rPr>
                <w:sz w:val="22"/>
                <w:szCs w:val="22"/>
                <w:lang w:val="sr-Latn-RS" w:eastAsia="de-AT"/>
              </w:rPr>
              <w:t>Periferna senzorna neuropatija</w:t>
            </w:r>
          </w:p>
        </w:tc>
        <w:tc>
          <w:tcPr>
            <w:tcW w:w="704" w:type="pct"/>
            <w:tcBorders>
              <w:top w:val="outset" w:sz="6" w:space="0" w:color="auto"/>
              <w:left w:val="outset" w:sz="6" w:space="0" w:color="auto"/>
              <w:bottom w:val="outset" w:sz="6" w:space="0" w:color="auto"/>
              <w:right w:val="outset" w:sz="6" w:space="0" w:color="auto"/>
            </w:tcBorders>
            <w:hideMark/>
          </w:tcPr>
          <w:p w14:paraId="6EF8610A"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49AFBC8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89 (8.2)</w:t>
            </w:r>
          </w:p>
        </w:tc>
        <w:tc>
          <w:tcPr>
            <w:tcW w:w="940" w:type="pct"/>
            <w:tcBorders>
              <w:top w:val="outset" w:sz="6" w:space="0" w:color="auto"/>
              <w:left w:val="outset" w:sz="6" w:space="0" w:color="auto"/>
              <w:bottom w:val="outset" w:sz="6" w:space="0" w:color="auto"/>
              <w:right w:val="outset" w:sz="6" w:space="0" w:color="auto"/>
            </w:tcBorders>
          </w:tcPr>
          <w:p w14:paraId="75E0B001"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47CD073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6 (0.5)</w:t>
            </w:r>
          </w:p>
        </w:tc>
      </w:tr>
      <w:tr w:rsidR="00000498" w:rsidRPr="00E00E21" w14:paraId="22D57A47"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tcPr>
          <w:p w14:paraId="7C5645E0"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14C38EA6" w14:textId="77777777" w:rsidR="00B53F7D" w:rsidRPr="00E00E21" w:rsidRDefault="00B53F7D" w:rsidP="005867A7">
            <w:pPr>
              <w:spacing w:before="100" w:beforeAutospacing="1" w:after="100" w:afterAutospacing="1"/>
              <w:rPr>
                <w:sz w:val="22"/>
                <w:szCs w:val="22"/>
                <w:lang w:val="sr-Latn-RS" w:eastAsia="de-AT"/>
              </w:rPr>
            </w:pPr>
            <w:r w:rsidRPr="00E00E21">
              <w:rPr>
                <w:sz w:val="22"/>
                <w:szCs w:val="22"/>
                <w:lang w:val="sr-Latn-RS" w:eastAsia="de-AT"/>
              </w:rPr>
              <w:t>Pol</w:t>
            </w:r>
            <w:r w:rsidR="005867A7" w:rsidRPr="00E00E21">
              <w:rPr>
                <w:sz w:val="22"/>
                <w:szCs w:val="22"/>
                <w:lang w:val="sr-Latn-RS" w:eastAsia="de-AT"/>
              </w:rPr>
              <w:t>ineuropatija</w:t>
            </w:r>
          </w:p>
        </w:tc>
        <w:tc>
          <w:tcPr>
            <w:tcW w:w="704" w:type="pct"/>
            <w:tcBorders>
              <w:top w:val="outset" w:sz="6" w:space="0" w:color="auto"/>
              <w:left w:val="outset" w:sz="6" w:space="0" w:color="auto"/>
              <w:bottom w:val="outset" w:sz="6" w:space="0" w:color="auto"/>
              <w:right w:val="outset" w:sz="6" w:space="0" w:color="auto"/>
            </w:tcBorders>
          </w:tcPr>
          <w:p w14:paraId="2D443BEA"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2DBB5008"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05FA1C73" w14:textId="77777777" w:rsidR="00B53F7D" w:rsidRPr="00E00E21" w:rsidRDefault="00B53F7D" w:rsidP="00B53F7D">
            <w:pPr>
              <w:spacing w:before="100" w:beforeAutospacing="1" w:after="100" w:afterAutospacing="1"/>
              <w:jc w:val="center"/>
              <w:rPr>
                <w:sz w:val="22"/>
                <w:szCs w:val="22"/>
                <w:lang w:val="sr-Latn-RS" w:eastAsia="de-AT"/>
              </w:rPr>
            </w:pPr>
            <w:r w:rsidRPr="00E00E21">
              <w:rPr>
                <w:sz w:val="22"/>
                <w:szCs w:val="22"/>
                <w:lang w:val="sr-Latn-RS" w:eastAsia="de-AT"/>
              </w:rPr>
              <w:t>9 (0.8)</w:t>
            </w:r>
          </w:p>
        </w:tc>
        <w:tc>
          <w:tcPr>
            <w:tcW w:w="623" w:type="pct"/>
            <w:tcBorders>
              <w:top w:val="outset" w:sz="6" w:space="0" w:color="auto"/>
              <w:left w:val="outset" w:sz="6" w:space="0" w:color="auto"/>
              <w:bottom w:val="outset" w:sz="6" w:space="0" w:color="auto"/>
              <w:right w:val="outset" w:sz="6" w:space="0" w:color="auto"/>
            </w:tcBorders>
          </w:tcPr>
          <w:p w14:paraId="67221D93"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 (0.2)</w:t>
            </w:r>
          </w:p>
        </w:tc>
      </w:tr>
      <w:tr w:rsidR="00000498" w:rsidRPr="00E00E21" w14:paraId="40833F30"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72C0C284"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7F34227" w14:textId="77777777" w:rsidR="00B53F7D" w:rsidRPr="00E00E21" w:rsidRDefault="005867A7" w:rsidP="00B53F7D">
            <w:pPr>
              <w:spacing w:before="100" w:beforeAutospacing="1" w:after="100" w:afterAutospacing="1"/>
              <w:rPr>
                <w:sz w:val="22"/>
                <w:szCs w:val="22"/>
                <w:lang w:val="sr-Latn-RS" w:eastAsia="de-AT"/>
              </w:rPr>
            </w:pPr>
            <w:r w:rsidRPr="00E00E21">
              <w:rPr>
                <w:sz w:val="22"/>
                <w:szCs w:val="22"/>
                <w:lang w:val="sr-Latn-RS" w:eastAsia="de-AT"/>
              </w:rPr>
              <w:t>Vrtoglacvica</w:t>
            </w:r>
          </w:p>
        </w:tc>
        <w:tc>
          <w:tcPr>
            <w:tcW w:w="704" w:type="pct"/>
            <w:tcBorders>
              <w:top w:val="outset" w:sz="6" w:space="0" w:color="auto"/>
              <w:left w:val="outset" w:sz="6" w:space="0" w:color="auto"/>
              <w:bottom w:val="outset" w:sz="6" w:space="0" w:color="auto"/>
              <w:right w:val="outset" w:sz="6" w:space="0" w:color="auto"/>
            </w:tcBorders>
            <w:hideMark/>
          </w:tcPr>
          <w:p w14:paraId="7A3DCA46"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F85E627"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63 (5.8)</w:t>
            </w:r>
          </w:p>
        </w:tc>
        <w:tc>
          <w:tcPr>
            <w:tcW w:w="940" w:type="pct"/>
            <w:tcBorders>
              <w:top w:val="outset" w:sz="6" w:space="0" w:color="auto"/>
              <w:left w:val="outset" w:sz="6" w:space="0" w:color="auto"/>
              <w:bottom w:val="outset" w:sz="6" w:space="0" w:color="auto"/>
              <w:right w:val="outset" w:sz="6" w:space="0" w:color="auto"/>
            </w:tcBorders>
          </w:tcPr>
          <w:p w14:paraId="3EDB306C"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79DD794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1C8EB320"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061BE18B"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76A84172" w14:textId="77777777" w:rsidR="00B53F7D" w:rsidRPr="00E00E21" w:rsidRDefault="005867A7" w:rsidP="00B53F7D">
            <w:pPr>
              <w:spacing w:before="100" w:beforeAutospacing="1" w:after="100" w:afterAutospacing="1"/>
              <w:rPr>
                <w:sz w:val="22"/>
                <w:szCs w:val="22"/>
                <w:lang w:val="sr-Latn-RS" w:eastAsia="de-AT"/>
              </w:rPr>
            </w:pPr>
            <w:r w:rsidRPr="00E00E21">
              <w:rPr>
                <w:sz w:val="22"/>
                <w:szCs w:val="22"/>
                <w:lang w:val="sr-Latn-RS" w:eastAsia="de-AT"/>
              </w:rPr>
              <w:t>Glavobolja</w:t>
            </w:r>
          </w:p>
        </w:tc>
        <w:tc>
          <w:tcPr>
            <w:tcW w:w="704" w:type="pct"/>
            <w:tcBorders>
              <w:top w:val="outset" w:sz="6" w:space="0" w:color="auto"/>
              <w:left w:val="outset" w:sz="6" w:space="0" w:color="auto"/>
              <w:bottom w:val="outset" w:sz="6" w:space="0" w:color="auto"/>
              <w:right w:val="outset" w:sz="6" w:space="0" w:color="auto"/>
            </w:tcBorders>
            <w:hideMark/>
          </w:tcPr>
          <w:p w14:paraId="2FE3BC35"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4EB81897"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56 (5.1)</w:t>
            </w:r>
          </w:p>
        </w:tc>
        <w:tc>
          <w:tcPr>
            <w:tcW w:w="940" w:type="pct"/>
            <w:tcBorders>
              <w:top w:val="outset" w:sz="6" w:space="0" w:color="auto"/>
              <w:left w:val="outset" w:sz="6" w:space="0" w:color="auto"/>
              <w:bottom w:val="outset" w:sz="6" w:space="0" w:color="auto"/>
              <w:right w:val="outset" w:sz="6" w:space="0" w:color="auto"/>
            </w:tcBorders>
          </w:tcPr>
          <w:p w14:paraId="079442CF"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5DD3AC8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 xml:space="preserve">1 (&lt;0.1) </w:t>
            </w:r>
          </w:p>
        </w:tc>
      </w:tr>
      <w:tr w:rsidR="00000498" w:rsidRPr="00E00E21" w14:paraId="52537FCD"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297AA4AC"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10C305A" w14:textId="77777777" w:rsidR="00B53F7D" w:rsidRPr="00E00E21" w:rsidRDefault="00B53F7D" w:rsidP="005867A7">
            <w:pPr>
              <w:spacing w:before="100" w:beforeAutospacing="1" w:after="100" w:afterAutospacing="1"/>
              <w:rPr>
                <w:sz w:val="22"/>
                <w:szCs w:val="22"/>
                <w:lang w:val="sr-Latn-RS" w:eastAsia="de-AT"/>
              </w:rPr>
            </w:pPr>
            <w:r w:rsidRPr="00E00E21">
              <w:rPr>
                <w:sz w:val="22"/>
                <w:szCs w:val="22"/>
                <w:lang w:val="sr-Latn-RS" w:eastAsia="de-AT"/>
              </w:rPr>
              <w:t>Par</w:t>
            </w:r>
            <w:r w:rsidR="005867A7" w:rsidRPr="00E00E21">
              <w:rPr>
                <w:sz w:val="22"/>
                <w:szCs w:val="22"/>
                <w:lang w:val="sr-Latn-RS" w:eastAsia="de-AT"/>
              </w:rPr>
              <w:t>estezija</w:t>
            </w:r>
          </w:p>
        </w:tc>
        <w:tc>
          <w:tcPr>
            <w:tcW w:w="704" w:type="pct"/>
            <w:tcBorders>
              <w:top w:val="outset" w:sz="6" w:space="0" w:color="auto"/>
              <w:left w:val="outset" w:sz="6" w:space="0" w:color="auto"/>
              <w:bottom w:val="outset" w:sz="6" w:space="0" w:color="auto"/>
              <w:right w:val="outset" w:sz="6" w:space="0" w:color="auto"/>
            </w:tcBorders>
            <w:hideMark/>
          </w:tcPr>
          <w:p w14:paraId="2BA7CCAE"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F63FCD6"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46 (4.2)</w:t>
            </w:r>
          </w:p>
        </w:tc>
        <w:tc>
          <w:tcPr>
            <w:tcW w:w="940" w:type="pct"/>
            <w:tcBorders>
              <w:top w:val="outset" w:sz="6" w:space="0" w:color="auto"/>
              <w:left w:val="outset" w:sz="6" w:space="0" w:color="auto"/>
              <w:bottom w:val="outset" w:sz="6" w:space="0" w:color="auto"/>
              <w:right w:val="outset" w:sz="6" w:space="0" w:color="auto"/>
            </w:tcBorders>
          </w:tcPr>
          <w:p w14:paraId="19E77E7A"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0EBD4E7"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1B27B677"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685ACC2A"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7E574849" w14:textId="77777777" w:rsidR="00B53F7D" w:rsidRPr="00E00E21" w:rsidRDefault="00B53F7D" w:rsidP="005867A7">
            <w:pPr>
              <w:spacing w:before="100" w:beforeAutospacing="1" w:after="100" w:afterAutospacing="1"/>
              <w:rPr>
                <w:sz w:val="22"/>
                <w:szCs w:val="22"/>
                <w:lang w:val="sr-Latn-RS" w:eastAsia="de-AT"/>
              </w:rPr>
            </w:pPr>
            <w:r w:rsidRPr="00E00E21">
              <w:rPr>
                <w:sz w:val="22"/>
                <w:szCs w:val="22"/>
                <w:lang w:val="sr-Latn-RS" w:eastAsia="de-AT"/>
              </w:rPr>
              <w:t>Let</w:t>
            </w:r>
            <w:r w:rsidR="005867A7" w:rsidRPr="00E00E21">
              <w:rPr>
                <w:sz w:val="22"/>
                <w:szCs w:val="22"/>
                <w:lang w:val="sr-Latn-RS" w:eastAsia="de-AT"/>
              </w:rPr>
              <w:t>argija</w:t>
            </w:r>
          </w:p>
        </w:tc>
        <w:tc>
          <w:tcPr>
            <w:tcW w:w="704" w:type="pct"/>
            <w:tcBorders>
              <w:top w:val="outset" w:sz="6" w:space="0" w:color="auto"/>
              <w:left w:val="outset" w:sz="6" w:space="0" w:color="auto"/>
              <w:bottom w:val="outset" w:sz="6" w:space="0" w:color="auto"/>
              <w:right w:val="outset" w:sz="6" w:space="0" w:color="auto"/>
            </w:tcBorders>
            <w:hideMark/>
          </w:tcPr>
          <w:p w14:paraId="757D2156"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C74D42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15 (1.4)</w:t>
            </w:r>
          </w:p>
        </w:tc>
        <w:tc>
          <w:tcPr>
            <w:tcW w:w="940" w:type="pct"/>
            <w:tcBorders>
              <w:top w:val="outset" w:sz="6" w:space="0" w:color="auto"/>
              <w:left w:val="outset" w:sz="6" w:space="0" w:color="auto"/>
              <w:bottom w:val="outset" w:sz="6" w:space="0" w:color="auto"/>
              <w:right w:val="outset" w:sz="6" w:space="0" w:color="auto"/>
            </w:tcBorders>
          </w:tcPr>
          <w:p w14:paraId="08FBDC60"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4141FA2F"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 (&lt;0.1)</w:t>
            </w:r>
          </w:p>
        </w:tc>
      </w:tr>
      <w:tr w:rsidR="00000498" w:rsidRPr="00E00E21" w14:paraId="08DEF779"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5D8FC174"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EFD7141" w14:textId="77777777" w:rsidR="00B53F7D" w:rsidRPr="00E00E21" w:rsidRDefault="00B53F7D" w:rsidP="005867A7">
            <w:pPr>
              <w:spacing w:before="100" w:beforeAutospacing="1" w:after="100" w:afterAutospacing="1"/>
              <w:rPr>
                <w:sz w:val="22"/>
                <w:szCs w:val="22"/>
                <w:lang w:val="sr-Latn-RS" w:eastAsia="de-AT"/>
              </w:rPr>
            </w:pPr>
            <w:r w:rsidRPr="00E00E21">
              <w:rPr>
                <w:sz w:val="22"/>
                <w:szCs w:val="22"/>
                <w:lang w:val="sr-Latn-RS" w:eastAsia="de-AT"/>
              </w:rPr>
              <w:t>H</w:t>
            </w:r>
            <w:r w:rsidR="005867A7" w:rsidRPr="00E00E21">
              <w:rPr>
                <w:sz w:val="22"/>
                <w:szCs w:val="22"/>
                <w:lang w:val="sr-Latn-RS" w:eastAsia="de-AT"/>
              </w:rPr>
              <w:t>ipoestezija</w:t>
            </w:r>
          </w:p>
        </w:tc>
        <w:tc>
          <w:tcPr>
            <w:tcW w:w="704" w:type="pct"/>
            <w:tcBorders>
              <w:top w:val="outset" w:sz="6" w:space="0" w:color="auto"/>
              <w:left w:val="outset" w:sz="6" w:space="0" w:color="auto"/>
              <w:bottom w:val="outset" w:sz="6" w:space="0" w:color="auto"/>
              <w:right w:val="outset" w:sz="6" w:space="0" w:color="auto"/>
            </w:tcBorders>
            <w:hideMark/>
          </w:tcPr>
          <w:p w14:paraId="0BEEBCF5"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60D3BDA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18 (1.6)</w:t>
            </w:r>
          </w:p>
        </w:tc>
        <w:tc>
          <w:tcPr>
            <w:tcW w:w="940" w:type="pct"/>
            <w:tcBorders>
              <w:top w:val="outset" w:sz="6" w:space="0" w:color="auto"/>
              <w:left w:val="outset" w:sz="6" w:space="0" w:color="auto"/>
              <w:bottom w:val="outset" w:sz="6" w:space="0" w:color="auto"/>
              <w:right w:val="outset" w:sz="6" w:space="0" w:color="auto"/>
            </w:tcBorders>
          </w:tcPr>
          <w:p w14:paraId="362051F1"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10F457F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 xml:space="preserve">1 (&lt;0.1) </w:t>
            </w:r>
          </w:p>
        </w:tc>
      </w:tr>
      <w:tr w:rsidR="00000498" w:rsidRPr="00E00E21" w14:paraId="103AF39E"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6CC88989"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4514FE4" w14:textId="77777777" w:rsidR="00B53F7D" w:rsidRPr="00E00E21" w:rsidRDefault="005867A7" w:rsidP="00D63932">
            <w:pPr>
              <w:spacing w:before="100" w:beforeAutospacing="1" w:after="100" w:afterAutospacing="1"/>
              <w:rPr>
                <w:sz w:val="22"/>
                <w:szCs w:val="22"/>
                <w:lang w:val="sr-Latn-RS" w:eastAsia="de-AT"/>
              </w:rPr>
            </w:pPr>
            <w:r w:rsidRPr="00E00E21">
              <w:rPr>
                <w:sz w:val="22"/>
                <w:szCs w:val="22"/>
                <w:lang w:val="sr-Latn-RS"/>
              </w:rPr>
              <w:t>I</w:t>
            </w:r>
            <w:r w:rsidR="00D63932" w:rsidRPr="00E00E21">
              <w:rPr>
                <w:sz w:val="22"/>
                <w:szCs w:val="22"/>
                <w:lang w:val="sr-Latn-RS"/>
              </w:rPr>
              <w:t>šijas</w:t>
            </w:r>
          </w:p>
        </w:tc>
        <w:tc>
          <w:tcPr>
            <w:tcW w:w="704" w:type="pct"/>
            <w:tcBorders>
              <w:top w:val="outset" w:sz="6" w:space="0" w:color="auto"/>
              <w:left w:val="outset" w:sz="6" w:space="0" w:color="auto"/>
              <w:bottom w:val="outset" w:sz="6" w:space="0" w:color="auto"/>
              <w:right w:val="outset" w:sz="6" w:space="0" w:color="auto"/>
            </w:tcBorders>
            <w:hideMark/>
          </w:tcPr>
          <w:p w14:paraId="1E72D93D"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3704B2DB"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4A4E5027"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9 (0.8)</w:t>
            </w:r>
          </w:p>
        </w:tc>
        <w:tc>
          <w:tcPr>
            <w:tcW w:w="623" w:type="pct"/>
            <w:tcBorders>
              <w:top w:val="outset" w:sz="6" w:space="0" w:color="auto"/>
              <w:left w:val="outset" w:sz="6" w:space="0" w:color="auto"/>
              <w:bottom w:val="outset" w:sz="6" w:space="0" w:color="auto"/>
              <w:right w:val="outset" w:sz="6" w:space="0" w:color="auto"/>
            </w:tcBorders>
            <w:hideMark/>
          </w:tcPr>
          <w:p w14:paraId="3965C4C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 (&lt;0.1)</w:t>
            </w:r>
          </w:p>
        </w:tc>
      </w:tr>
      <w:tr w:rsidR="00000498" w:rsidRPr="00E00E21" w14:paraId="18DAAE34"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40A0A866" w14:textId="77777777" w:rsidR="00B53F7D" w:rsidRPr="00E00E21" w:rsidRDefault="00D63932" w:rsidP="00B53F7D">
            <w:pPr>
              <w:spacing w:before="100" w:beforeAutospacing="1" w:after="100" w:afterAutospacing="1"/>
              <w:rPr>
                <w:sz w:val="22"/>
                <w:szCs w:val="22"/>
                <w:lang w:val="sr-Latn-RS" w:eastAsia="de-AT"/>
              </w:rPr>
            </w:pPr>
            <w:r w:rsidRPr="00E00E21">
              <w:rPr>
                <w:sz w:val="22"/>
                <w:szCs w:val="22"/>
                <w:lang w:val="sr-Latn-RS" w:eastAsia="de-AT"/>
              </w:rPr>
              <w:t>Poremećaji oka</w:t>
            </w:r>
          </w:p>
        </w:tc>
        <w:tc>
          <w:tcPr>
            <w:tcW w:w="961" w:type="pct"/>
            <w:tcBorders>
              <w:top w:val="outset" w:sz="6" w:space="0" w:color="auto"/>
              <w:left w:val="outset" w:sz="6" w:space="0" w:color="auto"/>
              <w:bottom w:val="outset" w:sz="6" w:space="0" w:color="auto"/>
              <w:right w:val="outset" w:sz="6" w:space="0" w:color="auto"/>
            </w:tcBorders>
            <w:hideMark/>
          </w:tcPr>
          <w:p w14:paraId="6E692D24" w14:textId="77777777" w:rsidR="00B53F7D" w:rsidRPr="00E00E21" w:rsidRDefault="00D63932" w:rsidP="00B53F7D">
            <w:pPr>
              <w:spacing w:before="100" w:beforeAutospacing="1" w:after="100" w:afterAutospacing="1"/>
              <w:rPr>
                <w:sz w:val="22"/>
                <w:szCs w:val="22"/>
                <w:lang w:val="sr-Latn-RS" w:eastAsia="de-AT"/>
              </w:rPr>
            </w:pPr>
            <w:r w:rsidRPr="00E00E21">
              <w:rPr>
                <w:sz w:val="22"/>
                <w:szCs w:val="22"/>
                <w:lang w:val="sr-Latn-RS" w:eastAsia="de-AT"/>
              </w:rPr>
              <w:t>Konjuktivitis</w:t>
            </w:r>
          </w:p>
        </w:tc>
        <w:tc>
          <w:tcPr>
            <w:tcW w:w="704" w:type="pct"/>
            <w:tcBorders>
              <w:top w:val="outset" w:sz="6" w:space="0" w:color="auto"/>
              <w:left w:val="outset" w:sz="6" w:space="0" w:color="auto"/>
              <w:bottom w:val="outset" w:sz="6" w:space="0" w:color="auto"/>
              <w:right w:val="outset" w:sz="6" w:space="0" w:color="auto"/>
            </w:tcBorders>
            <w:hideMark/>
          </w:tcPr>
          <w:p w14:paraId="53F5A0FC"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112DB466"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11 (1.0)</w:t>
            </w:r>
          </w:p>
        </w:tc>
        <w:tc>
          <w:tcPr>
            <w:tcW w:w="940" w:type="pct"/>
            <w:tcBorders>
              <w:top w:val="outset" w:sz="6" w:space="0" w:color="auto"/>
              <w:left w:val="outset" w:sz="6" w:space="0" w:color="auto"/>
              <w:bottom w:val="outset" w:sz="6" w:space="0" w:color="auto"/>
              <w:right w:val="outset" w:sz="6" w:space="0" w:color="auto"/>
            </w:tcBorders>
          </w:tcPr>
          <w:p w14:paraId="216E6028"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26BB3BA"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2AE138B5"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1859CD3F"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4823A0E2" w14:textId="77777777" w:rsidR="00B53F7D" w:rsidRPr="00E00E21" w:rsidRDefault="00D63932" w:rsidP="00B53F7D">
            <w:pPr>
              <w:spacing w:before="100" w:beforeAutospacing="1" w:after="100" w:afterAutospacing="1"/>
              <w:rPr>
                <w:sz w:val="22"/>
                <w:szCs w:val="22"/>
                <w:lang w:val="sr-Latn-RS" w:eastAsia="de-AT"/>
              </w:rPr>
            </w:pPr>
            <w:r w:rsidRPr="00E00E21">
              <w:rPr>
                <w:sz w:val="22"/>
                <w:szCs w:val="22"/>
                <w:lang w:val="sr-Latn-RS" w:eastAsia="de-AT"/>
              </w:rPr>
              <w:t>Pojačano suzenje</w:t>
            </w:r>
          </w:p>
        </w:tc>
        <w:tc>
          <w:tcPr>
            <w:tcW w:w="704" w:type="pct"/>
            <w:tcBorders>
              <w:top w:val="outset" w:sz="6" w:space="0" w:color="auto"/>
              <w:left w:val="outset" w:sz="6" w:space="0" w:color="auto"/>
              <w:bottom w:val="outset" w:sz="6" w:space="0" w:color="auto"/>
              <w:right w:val="outset" w:sz="6" w:space="0" w:color="auto"/>
            </w:tcBorders>
            <w:hideMark/>
          </w:tcPr>
          <w:p w14:paraId="19DFE462"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3D4934C1"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22 (2.0)</w:t>
            </w:r>
          </w:p>
        </w:tc>
        <w:tc>
          <w:tcPr>
            <w:tcW w:w="940" w:type="pct"/>
            <w:tcBorders>
              <w:top w:val="outset" w:sz="6" w:space="0" w:color="auto"/>
              <w:left w:val="outset" w:sz="6" w:space="0" w:color="auto"/>
              <w:bottom w:val="outset" w:sz="6" w:space="0" w:color="auto"/>
              <w:right w:val="outset" w:sz="6" w:space="0" w:color="auto"/>
            </w:tcBorders>
          </w:tcPr>
          <w:p w14:paraId="3C79AFF2"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35FBCF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3F9B16DA"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1D493D97" w14:textId="77777777" w:rsidR="00B53F7D" w:rsidRPr="00E00E21" w:rsidRDefault="00D63932" w:rsidP="00B53F7D">
            <w:pPr>
              <w:spacing w:before="100" w:beforeAutospacing="1" w:after="100" w:afterAutospacing="1"/>
              <w:rPr>
                <w:sz w:val="22"/>
                <w:szCs w:val="22"/>
                <w:lang w:val="sr-Latn-RS" w:eastAsia="de-AT"/>
              </w:rPr>
            </w:pPr>
            <w:r w:rsidRPr="00E00E21">
              <w:rPr>
                <w:sz w:val="22"/>
                <w:szCs w:val="22"/>
                <w:lang w:val="sr-Latn-RS" w:eastAsia="de-AT"/>
              </w:rPr>
              <w:t>Poremećaji uha i labirinta</w:t>
            </w:r>
          </w:p>
        </w:tc>
        <w:tc>
          <w:tcPr>
            <w:tcW w:w="961" w:type="pct"/>
            <w:tcBorders>
              <w:top w:val="outset" w:sz="6" w:space="0" w:color="auto"/>
              <w:left w:val="outset" w:sz="6" w:space="0" w:color="auto"/>
              <w:bottom w:val="outset" w:sz="6" w:space="0" w:color="auto"/>
              <w:right w:val="outset" w:sz="6" w:space="0" w:color="auto"/>
            </w:tcBorders>
            <w:hideMark/>
          </w:tcPr>
          <w:p w14:paraId="1DCC886C" w14:textId="77777777" w:rsidR="00B53F7D" w:rsidRPr="00E00E21" w:rsidRDefault="00D63932" w:rsidP="00B53F7D">
            <w:pPr>
              <w:spacing w:before="100" w:beforeAutospacing="1" w:after="100" w:afterAutospacing="1"/>
              <w:rPr>
                <w:sz w:val="22"/>
                <w:szCs w:val="22"/>
                <w:lang w:val="sr-Latn-RS" w:eastAsia="de-AT"/>
              </w:rPr>
            </w:pPr>
            <w:r w:rsidRPr="00E00E21">
              <w:rPr>
                <w:sz w:val="22"/>
                <w:szCs w:val="22"/>
                <w:lang w:val="sr-Latn-RS" w:eastAsia="de-AT"/>
              </w:rPr>
              <w:t>Tin</w:t>
            </w:r>
            <w:r w:rsidR="00B53F7D" w:rsidRPr="00E00E21">
              <w:rPr>
                <w:sz w:val="22"/>
                <w:szCs w:val="22"/>
                <w:lang w:val="sr-Latn-RS" w:eastAsia="de-AT"/>
              </w:rPr>
              <w:t>itus</w:t>
            </w:r>
          </w:p>
        </w:tc>
        <w:tc>
          <w:tcPr>
            <w:tcW w:w="704" w:type="pct"/>
            <w:tcBorders>
              <w:top w:val="outset" w:sz="6" w:space="0" w:color="auto"/>
              <w:left w:val="outset" w:sz="6" w:space="0" w:color="auto"/>
              <w:bottom w:val="outset" w:sz="6" w:space="0" w:color="auto"/>
              <w:right w:val="outset" w:sz="6" w:space="0" w:color="auto"/>
            </w:tcBorders>
            <w:hideMark/>
          </w:tcPr>
          <w:p w14:paraId="4A9A6469"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00AED6F"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5E43744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7 (0.6)</w:t>
            </w:r>
          </w:p>
        </w:tc>
        <w:tc>
          <w:tcPr>
            <w:tcW w:w="623" w:type="pct"/>
            <w:tcBorders>
              <w:top w:val="outset" w:sz="6" w:space="0" w:color="auto"/>
              <w:left w:val="outset" w:sz="6" w:space="0" w:color="auto"/>
              <w:bottom w:val="outset" w:sz="6" w:space="0" w:color="auto"/>
              <w:right w:val="outset" w:sz="6" w:space="0" w:color="auto"/>
            </w:tcBorders>
            <w:hideMark/>
          </w:tcPr>
          <w:p w14:paraId="5CD056B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7A11757A"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3BC86C68"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12F3A900"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Vertigo</w:t>
            </w:r>
          </w:p>
        </w:tc>
        <w:tc>
          <w:tcPr>
            <w:tcW w:w="704" w:type="pct"/>
            <w:tcBorders>
              <w:top w:val="outset" w:sz="6" w:space="0" w:color="auto"/>
              <w:left w:val="outset" w:sz="6" w:space="0" w:color="auto"/>
              <w:bottom w:val="outset" w:sz="6" w:space="0" w:color="auto"/>
              <w:right w:val="outset" w:sz="6" w:space="0" w:color="auto"/>
            </w:tcBorders>
            <w:hideMark/>
          </w:tcPr>
          <w:p w14:paraId="28A728F6"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FDB358B"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15 (1.4)</w:t>
            </w:r>
          </w:p>
        </w:tc>
        <w:tc>
          <w:tcPr>
            <w:tcW w:w="940" w:type="pct"/>
            <w:tcBorders>
              <w:top w:val="outset" w:sz="6" w:space="0" w:color="auto"/>
              <w:left w:val="outset" w:sz="6" w:space="0" w:color="auto"/>
              <w:bottom w:val="outset" w:sz="6" w:space="0" w:color="auto"/>
              <w:right w:val="outset" w:sz="6" w:space="0" w:color="auto"/>
            </w:tcBorders>
          </w:tcPr>
          <w:p w14:paraId="07A1D69D"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6B2F297"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 xml:space="preserve">1 (&lt;0.1) </w:t>
            </w:r>
          </w:p>
        </w:tc>
      </w:tr>
      <w:tr w:rsidR="00000498" w:rsidRPr="00E00E21" w14:paraId="54F43298"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0AD4B55F" w14:textId="77777777" w:rsidR="00B53F7D" w:rsidRPr="00E00E21" w:rsidRDefault="00D63932" w:rsidP="00B53F7D">
            <w:pPr>
              <w:spacing w:before="100" w:beforeAutospacing="1" w:after="100" w:afterAutospacing="1"/>
              <w:rPr>
                <w:sz w:val="22"/>
                <w:szCs w:val="22"/>
                <w:lang w:val="sr-Latn-RS" w:eastAsia="de-AT"/>
              </w:rPr>
            </w:pPr>
            <w:r w:rsidRPr="00E00E21">
              <w:rPr>
                <w:sz w:val="22"/>
                <w:szCs w:val="22"/>
                <w:lang w:val="sr-Latn-RS" w:eastAsia="de-AT"/>
              </w:rPr>
              <w:t>Kardiološki poremećaji</w:t>
            </w:r>
            <w:r w:rsidR="00B53F7D" w:rsidRPr="00E00E21">
              <w:rPr>
                <w:sz w:val="22"/>
                <w:szCs w:val="22"/>
                <w:lang w:val="sr-Latn-RS" w:eastAsia="de-AT"/>
              </w:rPr>
              <w:t>*</w:t>
            </w:r>
          </w:p>
        </w:tc>
        <w:tc>
          <w:tcPr>
            <w:tcW w:w="961" w:type="pct"/>
            <w:tcBorders>
              <w:top w:val="outset" w:sz="6" w:space="0" w:color="auto"/>
              <w:left w:val="outset" w:sz="6" w:space="0" w:color="auto"/>
              <w:bottom w:val="outset" w:sz="6" w:space="0" w:color="auto"/>
              <w:right w:val="outset" w:sz="6" w:space="0" w:color="auto"/>
            </w:tcBorders>
            <w:hideMark/>
          </w:tcPr>
          <w:p w14:paraId="1D3EAE4B" w14:textId="77777777" w:rsidR="00B53F7D" w:rsidRPr="00E00E21" w:rsidRDefault="00B53F7D" w:rsidP="00D63932">
            <w:pPr>
              <w:spacing w:before="100" w:beforeAutospacing="1" w:after="100" w:afterAutospacing="1"/>
              <w:rPr>
                <w:sz w:val="22"/>
                <w:szCs w:val="22"/>
                <w:lang w:val="sr-Latn-RS" w:eastAsia="de-AT"/>
              </w:rPr>
            </w:pPr>
            <w:r w:rsidRPr="00E00E21">
              <w:rPr>
                <w:sz w:val="22"/>
                <w:szCs w:val="22"/>
                <w:lang w:val="sr-Latn-RS" w:eastAsia="de-AT"/>
              </w:rPr>
              <w:t>Atri</w:t>
            </w:r>
            <w:r w:rsidR="00D63932" w:rsidRPr="00E00E21">
              <w:rPr>
                <w:sz w:val="22"/>
                <w:szCs w:val="22"/>
                <w:lang w:val="sr-Latn-RS" w:eastAsia="de-AT"/>
              </w:rPr>
              <w:t>j</w:t>
            </w:r>
            <w:r w:rsidRPr="00E00E21">
              <w:rPr>
                <w:sz w:val="22"/>
                <w:szCs w:val="22"/>
                <w:lang w:val="sr-Latn-RS" w:eastAsia="de-AT"/>
              </w:rPr>
              <w:t>al</w:t>
            </w:r>
            <w:r w:rsidR="00D63932" w:rsidRPr="00E00E21">
              <w:rPr>
                <w:sz w:val="22"/>
                <w:szCs w:val="22"/>
                <w:lang w:val="sr-Latn-RS" w:eastAsia="de-AT"/>
              </w:rPr>
              <w:t>na</w:t>
            </w:r>
            <w:r w:rsidRPr="00E00E21">
              <w:rPr>
                <w:sz w:val="22"/>
                <w:szCs w:val="22"/>
                <w:lang w:val="sr-Latn-RS" w:eastAsia="de-AT"/>
              </w:rPr>
              <w:t xml:space="preserve"> fibril</w:t>
            </w:r>
            <w:r w:rsidR="00D63932" w:rsidRPr="00E00E21">
              <w:rPr>
                <w:sz w:val="22"/>
                <w:szCs w:val="22"/>
                <w:lang w:val="sr-Latn-RS" w:eastAsia="de-AT"/>
              </w:rPr>
              <w:t>acija</w:t>
            </w:r>
          </w:p>
        </w:tc>
        <w:tc>
          <w:tcPr>
            <w:tcW w:w="704" w:type="pct"/>
            <w:tcBorders>
              <w:top w:val="outset" w:sz="6" w:space="0" w:color="auto"/>
              <w:left w:val="outset" w:sz="6" w:space="0" w:color="auto"/>
              <w:bottom w:val="outset" w:sz="6" w:space="0" w:color="auto"/>
              <w:right w:val="outset" w:sz="6" w:space="0" w:color="auto"/>
            </w:tcBorders>
            <w:hideMark/>
          </w:tcPr>
          <w:p w14:paraId="08B1303E"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1094687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14 (1.3)</w:t>
            </w:r>
          </w:p>
        </w:tc>
        <w:tc>
          <w:tcPr>
            <w:tcW w:w="940" w:type="pct"/>
            <w:tcBorders>
              <w:top w:val="outset" w:sz="6" w:space="0" w:color="auto"/>
              <w:left w:val="outset" w:sz="6" w:space="0" w:color="auto"/>
              <w:bottom w:val="outset" w:sz="6" w:space="0" w:color="auto"/>
              <w:right w:val="outset" w:sz="6" w:space="0" w:color="auto"/>
            </w:tcBorders>
          </w:tcPr>
          <w:p w14:paraId="2878113E"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13A4EF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5 (0.5)</w:t>
            </w:r>
          </w:p>
        </w:tc>
      </w:tr>
      <w:tr w:rsidR="00000498" w:rsidRPr="00E00E21" w14:paraId="65A38229"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3745DB65"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DFE73EE" w14:textId="77777777" w:rsidR="00B53F7D" w:rsidRPr="00E00E21" w:rsidRDefault="00D63932" w:rsidP="00B53F7D">
            <w:pPr>
              <w:spacing w:before="100" w:beforeAutospacing="1" w:after="100" w:afterAutospacing="1"/>
              <w:rPr>
                <w:sz w:val="22"/>
                <w:szCs w:val="22"/>
                <w:lang w:val="sr-Latn-RS" w:eastAsia="de-AT"/>
              </w:rPr>
            </w:pPr>
            <w:r w:rsidRPr="00E00E21">
              <w:rPr>
                <w:sz w:val="22"/>
                <w:szCs w:val="22"/>
                <w:lang w:val="sr-Latn-RS" w:eastAsia="de-AT"/>
              </w:rPr>
              <w:t>Tahikardija</w:t>
            </w:r>
          </w:p>
        </w:tc>
        <w:tc>
          <w:tcPr>
            <w:tcW w:w="704" w:type="pct"/>
            <w:tcBorders>
              <w:top w:val="outset" w:sz="6" w:space="0" w:color="auto"/>
              <w:left w:val="outset" w:sz="6" w:space="0" w:color="auto"/>
              <w:bottom w:val="outset" w:sz="6" w:space="0" w:color="auto"/>
              <w:right w:val="outset" w:sz="6" w:space="0" w:color="auto"/>
            </w:tcBorders>
            <w:hideMark/>
          </w:tcPr>
          <w:p w14:paraId="75B23AD0"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187371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11 (1.0)</w:t>
            </w:r>
          </w:p>
        </w:tc>
        <w:tc>
          <w:tcPr>
            <w:tcW w:w="940" w:type="pct"/>
            <w:tcBorders>
              <w:top w:val="outset" w:sz="6" w:space="0" w:color="auto"/>
              <w:left w:val="outset" w:sz="6" w:space="0" w:color="auto"/>
              <w:bottom w:val="outset" w:sz="6" w:space="0" w:color="auto"/>
              <w:right w:val="outset" w:sz="6" w:space="0" w:color="auto"/>
            </w:tcBorders>
          </w:tcPr>
          <w:p w14:paraId="4B598589"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4464AF3D"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 (&lt;0.1)</w:t>
            </w:r>
          </w:p>
        </w:tc>
      </w:tr>
      <w:tr w:rsidR="00000498" w:rsidRPr="00E00E21" w14:paraId="1BFA53A2"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4CC55847" w14:textId="77777777" w:rsidR="00B53F7D" w:rsidRPr="00E00E21" w:rsidRDefault="00B53F7D" w:rsidP="00EC4CA9">
            <w:pPr>
              <w:spacing w:before="100" w:beforeAutospacing="1" w:after="100" w:afterAutospacing="1"/>
              <w:rPr>
                <w:sz w:val="22"/>
                <w:szCs w:val="22"/>
                <w:lang w:val="sr-Latn-RS" w:eastAsia="de-AT"/>
              </w:rPr>
            </w:pPr>
            <w:r w:rsidRPr="00E00E21">
              <w:rPr>
                <w:sz w:val="22"/>
                <w:szCs w:val="22"/>
                <w:lang w:val="sr-Latn-RS" w:eastAsia="de-AT"/>
              </w:rPr>
              <w:t>Vas</w:t>
            </w:r>
            <w:r w:rsidR="00EC4CA9" w:rsidRPr="00E00E21">
              <w:rPr>
                <w:sz w:val="22"/>
                <w:szCs w:val="22"/>
                <w:lang w:val="sr-Latn-RS" w:eastAsia="de-AT"/>
              </w:rPr>
              <w:t xml:space="preserve">kularni poremećaji </w:t>
            </w:r>
          </w:p>
        </w:tc>
        <w:tc>
          <w:tcPr>
            <w:tcW w:w="961" w:type="pct"/>
            <w:tcBorders>
              <w:top w:val="outset" w:sz="6" w:space="0" w:color="auto"/>
              <w:left w:val="outset" w:sz="6" w:space="0" w:color="auto"/>
              <w:bottom w:val="outset" w:sz="6" w:space="0" w:color="auto"/>
              <w:right w:val="outset" w:sz="6" w:space="0" w:color="auto"/>
            </w:tcBorders>
            <w:hideMark/>
          </w:tcPr>
          <w:p w14:paraId="49D87F86" w14:textId="77777777" w:rsidR="00B53F7D" w:rsidRPr="00E00E21" w:rsidRDefault="00B53F7D" w:rsidP="00EC4CA9">
            <w:pPr>
              <w:spacing w:before="100" w:beforeAutospacing="1" w:after="100" w:afterAutospacing="1"/>
              <w:rPr>
                <w:sz w:val="22"/>
                <w:szCs w:val="22"/>
                <w:lang w:val="sr-Latn-RS" w:eastAsia="de-AT"/>
              </w:rPr>
            </w:pPr>
            <w:r w:rsidRPr="00E00E21">
              <w:rPr>
                <w:sz w:val="22"/>
                <w:szCs w:val="22"/>
                <w:lang w:val="sr-Latn-RS" w:eastAsia="de-AT"/>
              </w:rPr>
              <w:t>H</w:t>
            </w:r>
            <w:r w:rsidR="00D63932" w:rsidRPr="00E00E21">
              <w:rPr>
                <w:sz w:val="22"/>
                <w:szCs w:val="22"/>
                <w:lang w:val="sr-Latn-RS" w:eastAsia="de-AT"/>
              </w:rPr>
              <w:t>i</w:t>
            </w:r>
            <w:r w:rsidR="00EC4CA9" w:rsidRPr="00E00E21">
              <w:rPr>
                <w:sz w:val="22"/>
                <w:szCs w:val="22"/>
                <w:lang w:val="sr-Latn-RS" w:eastAsia="de-AT"/>
              </w:rPr>
              <w:t>potenzija</w:t>
            </w:r>
          </w:p>
        </w:tc>
        <w:tc>
          <w:tcPr>
            <w:tcW w:w="704" w:type="pct"/>
            <w:tcBorders>
              <w:top w:val="outset" w:sz="6" w:space="0" w:color="auto"/>
              <w:left w:val="outset" w:sz="6" w:space="0" w:color="auto"/>
              <w:bottom w:val="outset" w:sz="6" w:space="0" w:color="auto"/>
              <w:right w:val="outset" w:sz="6" w:space="0" w:color="auto"/>
            </w:tcBorders>
            <w:hideMark/>
          </w:tcPr>
          <w:p w14:paraId="11A10875"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69CE1CA2"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38 (3.5)</w:t>
            </w:r>
          </w:p>
        </w:tc>
        <w:tc>
          <w:tcPr>
            <w:tcW w:w="940" w:type="pct"/>
            <w:tcBorders>
              <w:top w:val="outset" w:sz="6" w:space="0" w:color="auto"/>
              <w:left w:val="outset" w:sz="6" w:space="0" w:color="auto"/>
              <w:bottom w:val="outset" w:sz="6" w:space="0" w:color="auto"/>
              <w:right w:val="outset" w:sz="6" w:space="0" w:color="auto"/>
            </w:tcBorders>
          </w:tcPr>
          <w:p w14:paraId="232D7288"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18F92AA"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5 (0.5)</w:t>
            </w:r>
          </w:p>
        </w:tc>
      </w:tr>
      <w:tr w:rsidR="00000498" w:rsidRPr="00E00E21" w14:paraId="36B73B2F"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6D673974"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2C13FB8C" w14:textId="77777777" w:rsidR="00B53F7D" w:rsidRPr="00E00E21" w:rsidRDefault="00EC4CA9" w:rsidP="00EC4CA9">
            <w:pPr>
              <w:spacing w:before="100" w:beforeAutospacing="1" w:after="100" w:afterAutospacing="1"/>
              <w:rPr>
                <w:sz w:val="22"/>
                <w:szCs w:val="22"/>
                <w:lang w:val="sr-Latn-RS" w:eastAsia="de-AT"/>
              </w:rPr>
            </w:pPr>
            <w:r w:rsidRPr="00E00E21">
              <w:rPr>
                <w:sz w:val="22"/>
                <w:szCs w:val="22"/>
                <w:lang w:val="sr-Latn-RS" w:eastAsia="de-AT"/>
              </w:rPr>
              <w:t>Tromboza dubokih vena</w:t>
            </w:r>
          </w:p>
        </w:tc>
        <w:tc>
          <w:tcPr>
            <w:tcW w:w="704" w:type="pct"/>
            <w:tcBorders>
              <w:top w:val="outset" w:sz="6" w:space="0" w:color="auto"/>
              <w:left w:val="outset" w:sz="6" w:space="0" w:color="auto"/>
              <w:bottom w:val="outset" w:sz="6" w:space="0" w:color="auto"/>
              <w:right w:val="outset" w:sz="6" w:space="0" w:color="auto"/>
            </w:tcBorders>
            <w:hideMark/>
          </w:tcPr>
          <w:p w14:paraId="15A5ECA0"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1973638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12 (1.1)</w:t>
            </w:r>
          </w:p>
        </w:tc>
        <w:tc>
          <w:tcPr>
            <w:tcW w:w="940" w:type="pct"/>
            <w:tcBorders>
              <w:top w:val="outset" w:sz="6" w:space="0" w:color="auto"/>
              <w:left w:val="outset" w:sz="6" w:space="0" w:color="auto"/>
              <w:bottom w:val="outset" w:sz="6" w:space="0" w:color="auto"/>
              <w:right w:val="outset" w:sz="6" w:space="0" w:color="auto"/>
            </w:tcBorders>
          </w:tcPr>
          <w:p w14:paraId="7ABE3517"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E07A7A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9 (0.8)</w:t>
            </w:r>
          </w:p>
        </w:tc>
      </w:tr>
      <w:tr w:rsidR="00000498" w:rsidRPr="00E00E21" w14:paraId="377C5FCF"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2E66569D"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27158507" w14:textId="77777777" w:rsidR="00B53F7D" w:rsidRPr="00E00E21" w:rsidRDefault="00EC4CA9" w:rsidP="00EC4CA9">
            <w:pPr>
              <w:spacing w:before="100" w:beforeAutospacing="1" w:after="100" w:afterAutospacing="1"/>
              <w:rPr>
                <w:sz w:val="22"/>
                <w:szCs w:val="22"/>
                <w:lang w:val="sr-Latn-RS" w:eastAsia="de-AT"/>
              </w:rPr>
            </w:pPr>
            <w:r w:rsidRPr="00E00E21">
              <w:rPr>
                <w:sz w:val="22"/>
                <w:szCs w:val="22"/>
                <w:lang w:val="sr-Latn-RS" w:eastAsia="de-AT"/>
              </w:rPr>
              <w:t>Hi</w:t>
            </w:r>
            <w:r w:rsidR="00B53F7D" w:rsidRPr="00E00E21">
              <w:rPr>
                <w:sz w:val="22"/>
                <w:szCs w:val="22"/>
                <w:lang w:val="sr-Latn-RS" w:eastAsia="de-AT"/>
              </w:rPr>
              <w:t>perten</w:t>
            </w:r>
            <w:r w:rsidRPr="00E00E21">
              <w:rPr>
                <w:sz w:val="22"/>
                <w:szCs w:val="22"/>
                <w:lang w:val="sr-Latn-RS" w:eastAsia="de-AT"/>
              </w:rPr>
              <w:t>zija</w:t>
            </w:r>
          </w:p>
        </w:tc>
        <w:tc>
          <w:tcPr>
            <w:tcW w:w="704" w:type="pct"/>
            <w:tcBorders>
              <w:top w:val="outset" w:sz="6" w:space="0" w:color="auto"/>
              <w:left w:val="outset" w:sz="6" w:space="0" w:color="auto"/>
              <w:bottom w:val="outset" w:sz="6" w:space="0" w:color="auto"/>
              <w:right w:val="outset" w:sz="6" w:space="0" w:color="auto"/>
            </w:tcBorders>
            <w:hideMark/>
          </w:tcPr>
          <w:p w14:paraId="7F9D15A9"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4854F67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29 (2.7)</w:t>
            </w:r>
          </w:p>
        </w:tc>
        <w:tc>
          <w:tcPr>
            <w:tcW w:w="940" w:type="pct"/>
            <w:tcBorders>
              <w:top w:val="outset" w:sz="6" w:space="0" w:color="auto"/>
              <w:left w:val="outset" w:sz="6" w:space="0" w:color="auto"/>
              <w:bottom w:val="outset" w:sz="6" w:space="0" w:color="auto"/>
              <w:right w:val="outset" w:sz="6" w:space="0" w:color="auto"/>
            </w:tcBorders>
          </w:tcPr>
          <w:p w14:paraId="7E804004"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1924E546"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12 (1.1)</w:t>
            </w:r>
          </w:p>
        </w:tc>
      </w:tr>
      <w:tr w:rsidR="00000498" w:rsidRPr="00E00E21" w14:paraId="2FA3E397"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39745693"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3F2A1F18" w14:textId="77777777" w:rsidR="00B53F7D" w:rsidRPr="00E00E21" w:rsidRDefault="00EC4CA9" w:rsidP="00EC4CA9">
            <w:pPr>
              <w:spacing w:before="100" w:beforeAutospacing="1" w:after="100" w:afterAutospacing="1"/>
              <w:rPr>
                <w:sz w:val="22"/>
                <w:szCs w:val="22"/>
                <w:lang w:val="sr-Latn-RS" w:eastAsia="de-AT"/>
              </w:rPr>
            </w:pPr>
            <w:r w:rsidRPr="00E00E21">
              <w:rPr>
                <w:sz w:val="22"/>
                <w:szCs w:val="22"/>
                <w:lang w:val="sr-Latn-RS" w:eastAsia="de-AT"/>
              </w:rPr>
              <w:t xml:space="preserve">Ortostatska </w:t>
            </w:r>
            <w:r w:rsidR="00B53F7D" w:rsidRPr="00E00E21">
              <w:rPr>
                <w:sz w:val="22"/>
                <w:szCs w:val="22"/>
                <w:lang w:val="sr-Latn-RS" w:eastAsia="de-AT"/>
              </w:rPr>
              <w:t>h</w:t>
            </w:r>
            <w:r w:rsidRPr="00E00E21">
              <w:rPr>
                <w:sz w:val="22"/>
                <w:szCs w:val="22"/>
                <w:lang w:val="sr-Latn-RS" w:eastAsia="de-AT"/>
              </w:rPr>
              <w:t>i</w:t>
            </w:r>
            <w:r w:rsidR="00B53F7D" w:rsidRPr="00E00E21">
              <w:rPr>
                <w:sz w:val="22"/>
                <w:szCs w:val="22"/>
                <w:lang w:val="sr-Latn-RS" w:eastAsia="de-AT"/>
              </w:rPr>
              <w:t>poten</w:t>
            </w:r>
            <w:r w:rsidRPr="00E00E21">
              <w:rPr>
                <w:sz w:val="22"/>
                <w:szCs w:val="22"/>
                <w:lang w:val="sr-Latn-RS" w:eastAsia="de-AT"/>
              </w:rPr>
              <w:t>zija</w:t>
            </w:r>
          </w:p>
        </w:tc>
        <w:tc>
          <w:tcPr>
            <w:tcW w:w="704" w:type="pct"/>
            <w:tcBorders>
              <w:top w:val="outset" w:sz="6" w:space="0" w:color="auto"/>
              <w:left w:val="outset" w:sz="6" w:space="0" w:color="auto"/>
              <w:bottom w:val="outset" w:sz="6" w:space="0" w:color="auto"/>
              <w:right w:val="outset" w:sz="6" w:space="0" w:color="auto"/>
            </w:tcBorders>
            <w:hideMark/>
          </w:tcPr>
          <w:p w14:paraId="4DF79F74"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FAD06C6"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1BE9A76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6 (0.5)</w:t>
            </w:r>
          </w:p>
        </w:tc>
        <w:tc>
          <w:tcPr>
            <w:tcW w:w="623" w:type="pct"/>
            <w:tcBorders>
              <w:top w:val="outset" w:sz="6" w:space="0" w:color="auto"/>
              <w:left w:val="outset" w:sz="6" w:space="0" w:color="auto"/>
              <w:bottom w:val="outset" w:sz="6" w:space="0" w:color="auto"/>
              <w:right w:val="outset" w:sz="6" w:space="0" w:color="auto"/>
            </w:tcBorders>
            <w:hideMark/>
          </w:tcPr>
          <w:p w14:paraId="6DC81393"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 (&lt;0.1)</w:t>
            </w:r>
          </w:p>
        </w:tc>
      </w:tr>
      <w:tr w:rsidR="00000498" w:rsidRPr="00E00E21" w14:paraId="62D099A0"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3D5EF4FE"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7EE985A4" w14:textId="77777777" w:rsidR="00B53F7D" w:rsidRPr="00E00E21" w:rsidRDefault="00EC4CA9" w:rsidP="00B53F7D">
            <w:pPr>
              <w:spacing w:before="100" w:beforeAutospacing="1" w:after="100" w:afterAutospacing="1"/>
              <w:rPr>
                <w:sz w:val="22"/>
                <w:szCs w:val="22"/>
                <w:lang w:val="sr-Latn-RS" w:eastAsia="de-AT"/>
              </w:rPr>
            </w:pPr>
            <w:r w:rsidRPr="00E00E21">
              <w:rPr>
                <w:sz w:val="22"/>
                <w:szCs w:val="22"/>
                <w:lang w:val="sr-Latn-RS" w:eastAsia="de-AT"/>
              </w:rPr>
              <w:t>Naleti vrućine</w:t>
            </w:r>
          </w:p>
        </w:tc>
        <w:tc>
          <w:tcPr>
            <w:tcW w:w="704" w:type="pct"/>
            <w:tcBorders>
              <w:top w:val="outset" w:sz="6" w:space="0" w:color="auto"/>
              <w:left w:val="outset" w:sz="6" w:space="0" w:color="auto"/>
              <w:bottom w:val="outset" w:sz="6" w:space="0" w:color="auto"/>
              <w:right w:val="outset" w:sz="6" w:space="0" w:color="auto"/>
            </w:tcBorders>
            <w:hideMark/>
          </w:tcPr>
          <w:p w14:paraId="5FB8EED2"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4AECD13"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23 (2.1)</w:t>
            </w:r>
          </w:p>
        </w:tc>
        <w:tc>
          <w:tcPr>
            <w:tcW w:w="940" w:type="pct"/>
            <w:tcBorders>
              <w:top w:val="outset" w:sz="6" w:space="0" w:color="auto"/>
              <w:left w:val="outset" w:sz="6" w:space="0" w:color="auto"/>
              <w:bottom w:val="outset" w:sz="6" w:space="0" w:color="auto"/>
              <w:right w:val="outset" w:sz="6" w:space="0" w:color="auto"/>
            </w:tcBorders>
          </w:tcPr>
          <w:p w14:paraId="50FE2320"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40965891"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 (&lt;0.1)</w:t>
            </w:r>
          </w:p>
        </w:tc>
      </w:tr>
      <w:tr w:rsidR="00000498" w:rsidRPr="00E00E21" w14:paraId="62AF596E"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77A27EFD"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2FEEB762" w14:textId="77777777" w:rsidR="00B53F7D" w:rsidRPr="00E00E21" w:rsidRDefault="00EC4CA9" w:rsidP="00B53F7D">
            <w:pPr>
              <w:spacing w:before="100" w:beforeAutospacing="1" w:after="100" w:afterAutospacing="1"/>
              <w:rPr>
                <w:sz w:val="22"/>
                <w:szCs w:val="22"/>
                <w:lang w:val="sr-Latn-RS" w:eastAsia="de-AT"/>
              </w:rPr>
            </w:pPr>
            <w:r w:rsidRPr="00E00E21">
              <w:rPr>
                <w:sz w:val="22"/>
                <w:szCs w:val="22"/>
                <w:lang w:val="sr-Latn-RS"/>
              </w:rPr>
              <w:t>Crvenilo praćeno osjećajem vrućine</w:t>
            </w:r>
          </w:p>
        </w:tc>
        <w:tc>
          <w:tcPr>
            <w:tcW w:w="704" w:type="pct"/>
            <w:tcBorders>
              <w:top w:val="outset" w:sz="6" w:space="0" w:color="auto"/>
              <w:left w:val="outset" w:sz="6" w:space="0" w:color="auto"/>
              <w:bottom w:val="outset" w:sz="6" w:space="0" w:color="auto"/>
              <w:right w:val="outset" w:sz="6" w:space="0" w:color="auto"/>
            </w:tcBorders>
            <w:hideMark/>
          </w:tcPr>
          <w:p w14:paraId="73FDEDA9"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6F935C09"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033EB7FD"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9 (0.8)</w:t>
            </w:r>
          </w:p>
        </w:tc>
        <w:tc>
          <w:tcPr>
            <w:tcW w:w="623" w:type="pct"/>
            <w:tcBorders>
              <w:top w:val="outset" w:sz="6" w:space="0" w:color="auto"/>
              <w:left w:val="outset" w:sz="6" w:space="0" w:color="auto"/>
              <w:bottom w:val="outset" w:sz="6" w:space="0" w:color="auto"/>
              <w:right w:val="outset" w:sz="6" w:space="0" w:color="auto"/>
            </w:tcBorders>
            <w:hideMark/>
          </w:tcPr>
          <w:p w14:paraId="18251BF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134BFFC6" w14:textId="77777777" w:rsidTr="00000498">
        <w:trPr>
          <w:tblCellSpacing w:w="0" w:type="dxa"/>
        </w:trPr>
        <w:tc>
          <w:tcPr>
            <w:tcW w:w="913" w:type="pct"/>
            <w:vMerge w:val="restart"/>
            <w:tcBorders>
              <w:top w:val="outset" w:sz="6" w:space="0" w:color="auto"/>
              <w:left w:val="outset" w:sz="6" w:space="0" w:color="auto"/>
              <w:right w:val="outset" w:sz="6" w:space="0" w:color="auto"/>
            </w:tcBorders>
            <w:vAlign w:val="center"/>
            <w:hideMark/>
          </w:tcPr>
          <w:p w14:paraId="7C06BB5B" w14:textId="77777777" w:rsidR="00B53F7D" w:rsidRPr="00E00E21" w:rsidRDefault="00EC4CA9" w:rsidP="00B53F7D">
            <w:pPr>
              <w:spacing w:before="100" w:beforeAutospacing="1" w:after="100" w:afterAutospacing="1"/>
              <w:rPr>
                <w:sz w:val="22"/>
                <w:szCs w:val="22"/>
                <w:lang w:val="sr-Latn-RS" w:eastAsia="de-AT"/>
              </w:rPr>
            </w:pPr>
            <w:r w:rsidRPr="00E00E21">
              <w:rPr>
                <w:sz w:val="22"/>
                <w:szCs w:val="22"/>
                <w:lang w:val="sr-Latn-RS"/>
              </w:rPr>
              <w:t>Respiratorni, torakalni i medijastinalni poremećaji</w:t>
            </w:r>
          </w:p>
        </w:tc>
        <w:tc>
          <w:tcPr>
            <w:tcW w:w="961" w:type="pct"/>
            <w:tcBorders>
              <w:top w:val="outset" w:sz="6" w:space="0" w:color="auto"/>
              <w:left w:val="outset" w:sz="6" w:space="0" w:color="auto"/>
              <w:bottom w:val="outset" w:sz="6" w:space="0" w:color="auto"/>
              <w:right w:val="outset" w:sz="6" w:space="0" w:color="auto"/>
            </w:tcBorders>
            <w:hideMark/>
          </w:tcPr>
          <w:p w14:paraId="294E8F91" w14:textId="77777777" w:rsidR="00B53F7D" w:rsidRPr="00E00E21" w:rsidRDefault="00B53F7D" w:rsidP="00EC4CA9">
            <w:pPr>
              <w:spacing w:before="100" w:beforeAutospacing="1" w:after="100" w:afterAutospacing="1"/>
              <w:rPr>
                <w:sz w:val="22"/>
                <w:szCs w:val="22"/>
                <w:lang w:val="sr-Latn-RS" w:eastAsia="de-AT"/>
              </w:rPr>
            </w:pPr>
            <w:r w:rsidRPr="00E00E21">
              <w:rPr>
                <w:sz w:val="22"/>
                <w:szCs w:val="22"/>
                <w:lang w:val="sr-Latn-RS" w:eastAsia="de-AT"/>
              </w:rPr>
              <w:t>D</w:t>
            </w:r>
            <w:r w:rsidR="00EC4CA9" w:rsidRPr="00E00E21">
              <w:rPr>
                <w:sz w:val="22"/>
                <w:szCs w:val="22"/>
                <w:lang w:val="sr-Latn-RS" w:eastAsia="de-AT"/>
              </w:rPr>
              <w:t>ispneja</w:t>
            </w:r>
          </w:p>
        </w:tc>
        <w:tc>
          <w:tcPr>
            <w:tcW w:w="704" w:type="pct"/>
            <w:tcBorders>
              <w:top w:val="outset" w:sz="6" w:space="0" w:color="auto"/>
              <w:left w:val="outset" w:sz="6" w:space="0" w:color="auto"/>
              <w:bottom w:val="outset" w:sz="6" w:space="0" w:color="auto"/>
              <w:right w:val="outset" w:sz="6" w:space="0" w:color="auto"/>
            </w:tcBorders>
            <w:hideMark/>
          </w:tcPr>
          <w:p w14:paraId="45E66ABE" w14:textId="77777777" w:rsidR="00B53F7D" w:rsidRPr="00E00E21" w:rsidRDefault="00B53F7D" w:rsidP="00B53F7D">
            <w:pPr>
              <w:spacing w:before="100" w:beforeAutospacing="1" w:after="100" w:afterAutospacing="1"/>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3399D64A" w14:textId="77777777" w:rsidR="00B53F7D" w:rsidRPr="00E00E21" w:rsidRDefault="00B53F7D" w:rsidP="00B53F7D">
            <w:pPr>
              <w:rPr>
                <w:sz w:val="22"/>
                <w:szCs w:val="22"/>
                <w:lang w:val="sr-Latn-RS" w:eastAsia="de-AT"/>
              </w:rPr>
            </w:pPr>
            <w:r w:rsidRPr="00E00E21">
              <w:rPr>
                <w:sz w:val="22"/>
                <w:szCs w:val="22"/>
                <w:lang w:val="sr-Latn-RS" w:eastAsia="de-AT"/>
              </w:rPr>
              <w:t>97 (8.9)</w:t>
            </w:r>
          </w:p>
        </w:tc>
        <w:tc>
          <w:tcPr>
            <w:tcW w:w="940" w:type="pct"/>
            <w:tcBorders>
              <w:top w:val="outset" w:sz="6" w:space="0" w:color="auto"/>
              <w:left w:val="outset" w:sz="6" w:space="0" w:color="auto"/>
              <w:bottom w:val="outset" w:sz="6" w:space="0" w:color="auto"/>
              <w:right w:val="outset" w:sz="6" w:space="0" w:color="auto"/>
            </w:tcBorders>
          </w:tcPr>
          <w:p w14:paraId="2FBE9180"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3CE0B351"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9 (0.8)</w:t>
            </w:r>
          </w:p>
        </w:tc>
      </w:tr>
      <w:tr w:rsidR="00000498" w:rsidRPr="00E00E21" w14:paraId="52D6BB57" w14:textId="77777777" w:rsidTr="00000498">
        <w:trPr>
          <w:tblCellSpacing w:w="0" w:type="dxa"/>
        </w:trPr>
        <w:tc>
          <w:tcPr>
            <w:tcW w:w="913" w:type="pct"/>
            <w:vMerge/>
            <w:tcBorders>
              <w:left w:val="outset" w:sz="6" w:space="0" w:color="auto"/>
              <w:right w:val="outset" w:sz="6" w:space="0" w:color="auto"/>
            </w:tcBorders>
            <w:hideMark/>
          </w:tcPr>
          <w:p w14:paraId="659FFE22"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45E548D3" w14:textId="77777777" w:rsidR="00B53F7D" w:rsidRPr="00E00E21" w:rsidRDefault="00EC4CA9" w:rsidP="00B53F7D">
            <w:pPr>
              <w:spacing w:before="100" w:beforeAutospacing="1" w:after="100" w:afterAutospacing="1"/>
              <w:rPr>
                <w:sz w:val="22"/>
                <w:szCs w:val="22"/>
                <w:lang w:val="sr-Latn-RS" w:eastAsia="de-AT"/>
              </w:rPr>
            </w:pPr>
            <w:r w:rsidRPr="00E00E21">
              <w:rPr>
                <w:sz w:val="22"/>
                <w:szCs w:val="22"/>
                <w:lang w:val="sr-Latn-RS" w:eastAsia="de-AT"/>
              </w:rPr>
              <w:t>Kašalj</w:t>
            </w:r>
          </w:p>
        </w:tc>
        <w:tc>
          <w:tcPr>
            <w:tcW w:w="704" w:type="pct"/>
            <w:tcBorders>
              <w:top w:val="outset" w:sz="6" w:space="0" w:color="auto"/>
              <w:left w:val="outset" w:sz="6" w:space="0" w:color="auto"/>
              <w:bottom w:val="outset" w:sz="6" w:space="0" w:color="auto"/>
              <w:right w:val="outset" w:sz="6" w:space="0" w:color="auto"/>
            </w:tcBorders>
            <w:hideMark/>
          </w:tcPr>
          <w:p w14:paraId="0827A4C4" w14:textId="77777777" w:rsidR="00B53F7D" w:rsidRPr="00E00E21" w:rsidRDefault="00B53F7D" w:rsidP="00B53F7D">
            <w:pPr>
              <w:spacing w:before="100" w:beforeAutospacing="1" w:after="100" w:afterAutospacing="1"/>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73E8AC12" w14:textId="77777777" w:rsidR="00B53F7D" w:rsidRPr="00E00E21" w:rsidRDefault="00B53F7D" w:rsidP="00B53F7D">
            <w:pPr>
              <w:rPr>
                <w:sz w:val="22"/>
                <w:szCs w:val="22"/>
                <w:lang w:val="sr-Latn-RS" w:eastAsia="de-AT"/>
              </w:rPr>
            </w:pPr>
            <w:r w:rsidRPr="00E00E21">
              <w:rPr>
                <w:sz w:val="22"/>
                <w:szCs w:val="22"/>
                <w:lang w:val="sr-Latn-RS" w:eastAsia="de-AT"/>
              </w:rPr>
              <w:t>79 (7.2)</w:t>
            </w:r>
          </w:p>
        </w:tc>
        <w:tc>
          <w:tcPr>
            <w:tcW w:w="940" w:type="pct"/>
            <w:tcBorders>
              <w:top w:val="outset" w:sz="6" w:space="0" w:color="auto"/>
              <w:left w:val="outset" w:sz="6" w:space="0" w:color="auto"/>
              <w:bottom w:val="outset" w:sz="6" w:space="0" w:color="auto"/>
              <w:right w:val="outset" w:sz="6" w:space="0" w:color="auto"/>
            </w:tcBorders>
          </w:tcPr>
          <w:p w14:paraId="401E2992"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02DA9C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2A4E7A2D" w14:textId="77777777" w:rsidTr="00000498">
        <w:trPr>
          <w:tblCellSpacing w:w="0" w:type="dxa"/>
        </w:trPr>
        <w:tc>
          <w:tcPr>
            <w:tcW w:w="913" w:type="pct"/>
            <w:vMerge/>
            <w:tcBorders>
              <w:left w:val="outset" w:sz="6" w:space="0" w:color="auto"/>
              <w:right w:val="outset" w:sz="6" w:space="0" w:color="auto"/>
            </w:tcBorders>
            <w:hideMark/>
          </w:tcPr>
          <w:p w14:paraId="12DDCB1B"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1C57DC2" w14:textId="77777777" w:rsidR="00B53F7D" w:rsidRPr="00E00E21" w:rsidRDefault="00B53F7D" w:rsidP="00EC4CA9">
            <w:pPr>
              <w:spacing w:before="100" w:beforeAutospacing="1" w:after="100" w:afterAutospacing="1"/>
              <w:rPr>
                <w:sz w:val="22"/>
                <w:szCs w:val="22"/>
                <w:lang w:val="sr-Latn-RS" w:eastAsia="de-AT"/>
              </w:rPr>
            </w:pPr>
            <w:r w:rsidRPr="00E00E21">
              <w:rPr>
                <w:sz w:val="22"/>
                <w:szCs w:val="22"/>
                <w:lang w:val="sr-Latn-RS" w:eastAsia="de-AT"/>
              </w:rPr>
              <w:t>Oro</w:t>
            </w:r>
            <w:r w:rsidR="00EC4CA9" w:rsidRPr="00E00E21">
              <w:rPr>
                <w:sz w:val="22"/>
                <w:szCs w:val="22"/>
                <w:lang w:val="sr-Latn-RS" w:eastAsia="de-AT"/>
              </w:rPr>
              <w:t>faringealni bol</w:t>
            </w:r>
          </w:p>
        </w:tc>
        <w:tc>
          <w:tcPr>
            <w:tcW w:w="704" w:type="pct"/>
            <w:tcBorders>
              <w:top w:val="outset" w:sz="6" w:space="0" w:color="auto"/>
              <w:left w:val="outset" w:sz="6" w:space="0" w:color="auto"/>
              <w:bottom w:val="outset" w:sz="6" w:space="0" w:color="auto"/>
              <w:right w:val="outset" w:sz="6" w:space="0" w:color="auto"/>
            </w:tcBorders>
            <w:hideMark/>
          </w:tcPr>
          <w:p w14:paraId="70766918"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09AAB3F6"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26 (2.4)</w:t>
            </w:r>
          </w:p>
        </w:tc>
        <w:tc>
          <w:tcPr>
            <w:tcW w:w="940" w:type="pct"/>
            <w:tcBorders>
              <w:top w:val="outset" w:sz="6" w:space="0" w:color="auto"/>
              <w:left w:val="outset" w:sz="6" w:space="0" w:color="auto"/>
              <w:bottom w:val="outset" w:sz="6" w:space="0" w:color="auto"/>
              <w:right w:val="outset" w:sz="6" w:space="0" w:color="auto"/>
            </w:tcBorders>
          </w:tcPr>
          <w:p w14:paraId="74C689C1"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7F9FA373"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 xml:space="preserve">1 (&lt; 0.1) </w:t>
            </w:r>
          </w:p>
        </w:tc>
      </w:tr>
      <w:tr w:rsidR="00000498" w:rsidRPr="00E00E21" w14:paraId="17C1A634" w14:textId="77777777" w:rsidTr="00000498">
        <w:trPr>
          <w:tblCellSpacing w:w="0" w:type="dxa"/>
        </w:trPr>
        <w:tc>
          <w:tcPr>
            <w:tcW w:w="913" w:type="pct"/>
            <w:vMerge/>
            <w:tcBorders>
              <w:left w:val="outset" w:sz="6" w:space="0" w:color="auto"/>
              <w:right w:val="outset" w:sz="6" w:space="0" w:color="auto"/>
            </w:tcBorders>
            <w:hideMark/>
          </w:tcPr>
          <w:p w14:paraId="1FB1CC84"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2FFB854" w14:textId="77777777" w:rsidR="00B53F7D" w:rsidRPr="00E00E21" w:rsidRDefault="00EC4CA9" w:rsidP="00B53F7D">
            <w:pPr>
              <w:spacing w:before="100" w:beforeAutospacing="1" w:after="100" w:afterAutospacing="1"/>
              <w:rPr>
                <w:sz w:val="22"/>
                <w:szCs w:val="22"/>
                <w:lang w:val="sr-Latn-RS" w:eastAsia="de-AT"/>
              </w:rPr>
            </w:pPr>
            <w:r w:rsidRPr="00E00E21">
              <w:rPr>
                <w:sz w:val="22"/>
                <w:szCs w:val="22"/>
                <w:lang w:val="sr-Latn-RS" w:eastAsia="de-AT"/>
              </w:rPr>
              <w:t>Pneumonija</w:t>
            </w:r>
          </w:p>
        </w:tc>
        <w:tc>
          <w:tcPr>
            <w:tcW w:w="704" w:type="pct"/>
            <w:tcBorders>
              <w:top w:val="outset" w:sz="6" w:space="0" w:color="auto"/>
              <w:left w:val="outset" w:sz="6" w:space="0" w:color="auto"/>
              <w:bottom w:val="outset" w:sz="6" w:space="0" w:color="auto"/>
              <w:right w:val="outset" w:sz="6" w:space="0" w:color="auto"/>
            </w:tcBorders>
            <w:hideMark/>
          </w:tcPr>
          <w:p w14:paraId="274F0FDC"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1F203E3F"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26 (2.4)</w:t>
            </w:r>
          </w:p>
        </w:tc>
        <w:tc>
          <w:tcPr>
            <w:tcW w:w="940" w:type="pct"/>
            <w:tcBorders>
              <w:top w:val="outset" w:sz="6" w:space="0" w:color="auto"/>
              <w:left w:val="outset" w:sz="6" w:space="0" w:color="auto"/>
              <w:bottom w:val="outset" w:sz="6" w:space="0" w:color="auto"/>
              <w:right w:val="outset" w:sz="6" w:space="0" w:color="auto"/>
            </w:tcBorders>
          </w:tcPr>
          <w:p w14:paraId="3300C0C4"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3EEFFCCA"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16 (1.5)</w:t>
            </w:r>
          </w:p>
        </w:tc>
      </w:tr>
      <w:tr w:rsidR="00000498" w:rsidRPr="00E00E21" w14:paraId="399D8D2D" w14:textId="77777777" w:rsidTr="00000498">
        <w:trPr>
          <w:tblCellSpacing w:w="0" w:type="dxa"/>
        </w:trPr>
        <w:tc>
          <w:tcPr>
            <w:tcW w:w="913" w:type="pct"/>
            <w:vMerge/>
            <w:tcBorders>
              <w:left w:val="outset" w:sz="6" w:space="0" w:color="auto"/>
              <w:bottom w:val="outset" w:sz="6" w:space="0" w:color="auto"/>
              <w:right w:val="outset" w:sz="6" w:space="0" w:color="auto"/>
            </w:tcBorders>
          </w:tcPr>
          <w:p w14:paraId="7B11E40A"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78665AF3" w14:textId="77777777" w:rsidR="00B53F7D" w:rsidRPr="00E00E21" w:rsidRDefault="00EC4CA9" w:rsidP="00B53F7D">
            <w:pPr>
              <w:spacing w:before="100" w:beforeAutospacing="1" w:after="100" w:afterAutospacing="1"/>
              <w:rPr>
                <w:sz w:val="22"/>
                <w:szCs w:val="22"/>
                <w:lang w:val="sr-Latn-RS" w:eastAsia="de-AT"/>
              </w:rPr>
            </w:pPr>
            <w:r w:rsidRPr="00E00E21">
              <w:rPr>
                <w:sz w:val="22"/>
                <w:szCs w:val="22"/>
                <w:lang w:val="sr-Latn-RS" w:eastAsia="de-AT"/>
              </w:rPr>
              <w:t>Plućna embolija</w:t>
            </w:r>
          </w:p>
        </w:tc>
        <w:tc>
          <w:tcPr>
            <w:tcW w:w="704" w:type="pct"/>
            <w:tcBorders>
              <w:top w:val="outset" w:sz="6" w:space="0" w:color="auto"/>
              <w:left w:val="outset" w:sz="6" w:space="0" w:color="auto"/>
              <w:bottom w:val="outset" w:sz="6" w:space="0" w:color="auto"/>
              <w:right w:val="outset" w:sz="6" w:space="0" w:color="auto"/>
            </w:tcBorders>
          </w:tcPr>
          <w:p w14:paraId="09BC1E48"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10E2695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30 (2.7)</w:t>
            </w:r>
          </w:p>
        </w:tc>
        <w:tc>
          <w:tcPr>
            <w:tcW w:w="940" w:type="pct"/>
            <w:tcBorders>
              <w:top w:val="outset" w:sz="6" w:space="0" w:color="auto"/>
              <w:left w:val="outset" w:sz="6" w:space="0" w:color="auto"/>
              <w:bottom w:val="outset" w:sz="6" w:space="0" w:color="auto"/>
              <w:right w:val="outset" w:sz="6" w:space="0" w:color="auto"/>
            </w:tcBorders>
          </w:tcPr>
          <w:p w14:paraId="58EF85B2"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77E8D0C2"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23 (2.1)</w:t>
            </w:r>
          </w:p>
        </w:tc>
      </w:tr>
      <w:tr w:rsidR="00000498" w:rsidRPr="00E00E21" w14:paraId="54C1097C" w14:textId="77777777" w:rsidTr="00000498">
        <w:trPr>
          <w:tblCellSpacing w:w="0" w:type="dxa"/>
        </w:trPr>
        <w:tc>
          <w:tcPr>
            <w:tcW w:w="913" w:type="pct"/>
            <w:vMerge w:val="restart"/>
            <w:tcBorders>
              <w:top w:val="outset" w:sz="6" w:space="0" w:color="auto"/>
              <w:left w:val="outset" w:sz="6" w:space="0" w:color="auto"/>
              <w:right w:val="outset" w:sz="6" w:space="0" w:color="auto"/>
            </w:tcBorders>
            <w:vAlign w:val="center"/>
            <w:hideMark/>
          </w:tcPr>
          <w:p w14:paraId="6C3DC3FF" w14:textId="77777777" w:rsidR="00000498" w:rsidRPr="00E00E21" w:rsidRDefault="00000498" w:rsidP="005810F2">
            <w:pPr>
              <w:spacing w:before="100" w:beforeAutospacing="1" w:after="100" w:afterAutospacing="1"/>
              <w:rPr>
                <w:sz w:val="22"/>
                <w:szCs w:val="22"/>
                <w:lang w:val="sr-Latn-RS" w:eastAsia="de-AT"/>
              </w:rPr>
            </w:pPr>
            <w:r w:rsidRPr="00E00E21">
              <w:rPr>
                <w:sz w:val="22"/>
                <w:szCs w:val="22"/>
                <w:lang w:val="sr-Latn-RS" w:eastAsia="de-AT"/>
              </w:rPr>
              <w:t>Gastrointestinalni poremećaji</w:t>
            </w:r>
          </w:p>
        </w:tc>
        <w:tc>
          <w:tcPr>
            <w:tcW w:w="961" w:type="pct"/>
            <w:tcBorders>
              <w:top w:val="outset" w:sz="6" w:space="0" w:color="auto"/>
              <w:left w:val="outset" w:sz="6" w:space="0" w:color="auto"/>
              <w:bottom w:val="outset" w:sz="6" w:space="0" w:color="auto"/>
              <w:right w:val="outset" w:sz="6" w:space="0" w:color="auto"/>
            </w:tcBorders>
            <w:hideMark/>
          </w:tcPr>
          <w:p w14:paraId="189506E0" w14:textId="77777777" w:rsidR="00000498" w:rsidRPr="00E00E21" w:rsidRDefault="00000498" w:rsidP="005810F2">
            <w:pPr>
              <w:spacing w:before="100" w:beforeAutospacing="1" w:after="100" w:afterAutospacing="1"/>
              <w:rPr>
                <w:sz w:val="22"/>
                <w:szCs w:val="22"/>
                <w:lang w:val="sr-Latn-RS" w:eastAsia="de-AT"/>
              </w:rPr>
            </w:pPr>
            <w:r w:rsidRPr="00E00E21">
              <w:rPr>
                <w:sz w:val="22"/>
                <w:szCs w:val="22"/>
                <w:lang w:val="sr-Latn-RS" w:eastAsia="de-AT"/>
              </w:rPr>
              <w:t>Dijareja</w:t>
            </w:r>
          </w:p>
        </w:tc>
        <w:tc>
          <w:tcPr>
            <w:tcW w:w="704" w:type="pct"/>
            <w:tcBorders>
              <w:top w:val="outset" w:sz="6" w:space="0" w:color="auto"/>
              <w:left w:val="outset" w:sz="6" w:space="0" w:color="auto"/>
              <w:bottom w:val="outset" w:sz="6" w:space="0" w:color="auto"/>
              <w:right w:val="outset" w:sz="6" w:space="0" w:color="auto"/>
            </w:tcBorders>
            <w:hideMark/>
          </w:tcPr>
          <w:p w14:paraId="28356EF5"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460 (42.1)</w:t>
            </w:r>
          </w:p>
        </w:tc>
        <w:tc>
          <w:tcPr>
            <w:tcW w:w="859" w:type="pct"/>
            <w:tcBorders>
              <w:top w:val="outset" w:sz="6" w:space="0" w:color="auto"/>
              <w:left w:val="outset" w:sz="6" w:space="0" w:color="auto"/>
              <w:bottom w:val="outset" w:sz="6" w:space="0" w:color="auto"/>
              <w:right w:val="outset" w:sz="6" w:space="0" w:color="auto"/>
            </w:tcBorders>
            <w:hideMark/>
          </w:tcPr>
          <w:p w14:paraId="24EE6D98" w14:textId="77777777" w:rsidR="00000498" w:rsidRPr="00E00E21" w:rsidRDefault="00000498" w:rsidP="00B53F7D">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69EF29B9"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17207F51"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51 (4.7)</w:t>
            </w:r>
          </w:p>
        </w:tc>
      </w:tr>
      <w:tr w:rsidR="00000498" w:rsidRPr="00E00E21" w14:paraId="4A1F765C" w14:textId="77777777" w:rsidTr="00000498">
        <w:trPr>
          <w:tblCellSpacing w:w="0" w:type="dxa"/>
        </w:trPr>
        <w:tc>
          <w:tcPr>
            <w:tcW w:w="913" w:type="pct"/>
            <w:vMerge/>
            <w:tcBorders>
              <w:left w:val="outset" w:sz="6" w:space="0" w:color="auto"/>
              <w:right w:val="outset" w:sz="6" w:space="0" w:color="auto"/>
            </w:tcBorders>
            <w:hideMark/>
          </w:tcPr>
          <w:p w14:paraId="0C95C9B2"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9675780"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Nauseja</w:t>
            </w:r>
          </w:p>
        </w:tc>
        <w:tc>
          <w:tcPr>
            <w:tcW w:w="704" w:type="pct"/>
            <w:tcBorders>
              <w:top w:val="outset" w:sz="6" w:space="0" w:color="auto"/>
              <w:left w:val="outset" w:sz="6" w:space="0" w:color="auto"/>
              <w:bottom w:val="outset" w:sz="6" w:space="0" w:color="auto"/>
              <w:right w:val="outset" w:sz="6" w:space="0" w:color="auto"/>
            </w:tcBorders>
            <w:hideMark/>
          </w:tcPr>
          <w:p w14:paraId="3C94BF4A"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347 (31.8)</w:t>
            </w:r>
          </w:p>
        </w:tc>
        <w:tc>
          <w:tcPr>
            <w:tcW w:w="859" w:type="pct"/>
            <w:tcBorders>
              <w:top w:val="outset" w:sz="6" w:space="0" w:color="auto"/>
              <w:left w:val="outset" w:sz="6" w:space="0" w:color="auto"/>
              <w:bottom w:val="outset" w:sz="6" w:space="0" w:color="auto"/>
              <w:right w:val="outset" w:sz="6" w:space="0" w:color="auto"/>
            </w:tcBorders>
            <w:hideMark/>
          </w:tcPr>
          <w:p w14:paraId="317B420A" w14:textId="77777777" w:rsidR="00000498" w:rsidRPr="00E00E21" w:rsidRDefault="00000498" w:rsidP="00B53F7D">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60A15066"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7963FEF"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14 (1.3)</w:t>
            </w:r>
          </w:p>
        </w:tc>
      </w:tr>
      <w:tr w:rsidR="00000498" w:rsidRPr="00E00E21" w14:paraId="0A332F45" w14:textId="77777777" w:rsidTr="00000498">
        <w:trPr>
          <w:tblCellSpacing w:w="0" w:type="dxa"/>
        </w:trPr>
        <w:tc>
          <w:tcPr>
            <w:tcW w:w="913" w:type="pct"/>
            <w:vMerge/>
            <w:tcBorders>
              <w:left w:val="outset" w:sz="6" w:space="0" w:color="auto"/>
              <w:right w:val="outset" w:sz="6" w:space="0" w:color="auto"/>
            </w:tcBorders>
            <w:hideMark/>
          </w:tcPr>
          <w:p w14:paraId="340C8CA7"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07CA55A"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Povraćanje</w:t>
            </w:r>
          </w:p>
        </w:tc>
        <w:tc>
          <w:tcPr>
            <w:tcW w:w="704" w:type="pct"/>
            <w:tcBorders>
              <w:top w:val="outset" w:sz="6" w:space="0" w:color="auto"/>
              <w:left w:val="outset" w:sz="6" w:space="0" w:color="auto"/>
              <w:bottom w:val="outset" w:sz="6" w:space="0" w:color="auto"/>
              <w:right w:val="outset" w:sz="6" w:space="0" w:color="auto"/>
            </w:tcBorders>
            <w:hideMark/>
          </w:tcPr>
          <w:p w14:paraId="28E060DD"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207 (19.0)</w:t>
            </w:r>
          </w:p>
        </w:tc>
        <w:tc>
          <w:tcPr>
            <w:tcW w:w="859" w:type="pct"/>
            <w:tcBorders>
              <w:top w:val="outset" w:sz="6" w:space="0" w:color="auto"/>
              <w:left w:val="outset" w:sz="6" w:space="0" w:color="auto"/>
              <w:bottom w:val="outset" w:sz="6" w:space="0" w:color="auto"/>
              <w:right w:val="outset" w:sz="6" w:space="0" w:color="auto"/>
            </w:tcBorders>
            <w:hideMark/>
          </w:tcPr>
          <w:p w14:paraId="42F0B8BB" w14:textId="77777777" w:rsidR="00000498" w:rsidRPr="00E00E21" w:rsidRDefault="00000498" w:rsidP="00B53F7D">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27EBAB7C"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171E8DD0"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14 (1.3)</w:t>
            </w:r>
          </w:p>
        </w:tc>
      </w:tr>
      <w:tr w:rsidR="00000498" w:rsidRPr="00E00E21" w14:paraId="7887A263" w14:textId="77777777" w:rsidTr="00000498">
        <w:trPr>
          <w:tblCellSpacing w:w="0" w:type="dxa"/>
        </w:trPr>
        <w:tc>
          <w:tcPr>
            <w:tcW w:w="913" w:type="pct"/>
            <w:vMerge/>
            <w:tcBorders>
              <w:left w:val="outset" w:sz="6" w:space="0" w:color="auto"/>
              <w:right w:val="outset" w:sz="6" w:space="0" w:color="auto"/>
            </w:tcBorders>
            <w:hideMark/>
          </w:tcPr>
          <w:p w14:paraId="68A92136"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3B6C08D5" w14:textId="77777777" w:rsidR="00000498" w:rsidRPr="00E00E21" w:rsidRDefault="00000498" w:rsidP="005810F2">
            <w:pPr>
              <w:spacing w:before="100" w:beforeAutospacing="1" w:after="100" w:afterAutospacing="1"/>
              <w:rPr>
                <w:sz w:val="22"/>
                <w:szCs w:val="22"/>
                <w:lang w:val="sr-Latn-RS" w:eastAsia="de-AT"/>
              </w:rPr>
            </w:pPr>
            <w:r w:rsidRPr="00E00E21">
              <w:rPr>
                <w:sz w:val="22"/>
                <w:szCs w:val="22"/>
                <w:lang w:val="sr-Latn-RS" w:eastAsia="de-AT"/>
              </w:rPr>
              <w:t>Konstipacija</w:t>
            </w:r>
          </w:p>
        </w:tc>
        <w:tc>
          <w:tcPr>
            <w:tcW w:w="704" w:type="pct"/>
            <w:tcBorders>
              <w:top w:val="outset" w:sz="6" w:space="0" w:color="auto"/>
              <w:left w:val="outset" w:sz="6" w:space="0" w:color="auto"/>
              <w:bottom w:val="outset" w:sz="6" w:space="0" w:color="auto"/>
              <w:right w:val="outset" w:sz="6" w:space="0" w:color="auto"/>
            </w:tcBorders>
            <w:hideMark/>
          </w:tcPr>
          <w:p w14:paraId="3A9BA2A7"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202 (18.5)</w:t>
            </w:r>
          </w:p>
        </w:tc>
        <w:tc>
          <w:tcPr>
            <w:tcW w:w="859" w:type="pct"/>
            <w:tcBorders>
              <w:top w:val="outset" w:sz="6" w:space="0" w:color="auto"/>
              <w:left w:val="outset" w:sz="6" w:space="0" w:color="auto"/>
              <w:bottom w:val="outset" w:sz="6" w:space="0" w:color="auto"/>
              <w:right w:val="outset" w:sz="6" w:space="0" w:color="auto"/>
            </w:tcBorders>
            <w:hideMark/>
          </w:tcPr>
          <w:p w14:paraId="7FBBC13F" w14:textId="77777777" w:rsidR="00000498" w:rsidRPr="00E00E21" w:rsidRDefault="00000498" w:rsidP="00B53F7D">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60F19342"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EAB311B"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8 (0.7)</w:t>
            </w:r>
          </w:p>
        </w:tc>
      </w:tr>
      <w:tr w:rsidR="00000498" w:rsidRPr="00E00E21" w14:paraId="1C962782" w14:textId="77777777" w:rsidTr="00000498">
        <w:trPr>
          <w:tblCellSpacing w:w="0" w:type="dxa"/>
        </w:trPr>
        <w:tc>
          <w:tcPr>
            <w:tcW w:w="913" w:type="pct"/>
            <w:vMerge/>
            <w:tcBorders>
              <w:left w:val="outset" w:sz="6" w:space="0" w:color="auto"/>
              <w:right w:val="outset" w:sz="6" w:space="0" w:color="auto"/>
            </w:tcBorders>
            <w:hideMark/>
          </w:tcPr>
          <w:p w14:paraId="066D980B"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356E9D03"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Bol u abdomenu</w:t>
            </w:r>
          </w:p>
        </w:tc>
        <w:tc>
          <w:tcPr>
            <w:tcW w:w="704" w:type="pct"/>
            <w:tcBorders>
              <w:top w:val="outset" w:sz="6" w:space="0" w:color="auto"/>
              <w:left w:val="outset" w:sz="6" w:space="0" w:color="auto"/>
              <w:bottom w:val="outset" w:sz="6" w:space="0" w:color="auto"/>
              <w:right w:val="outset" w:sz="6" w:space="0" w:color="auto"/>
            </w:tcBorders>
            <w:hideMark/>
          </w:tcPr>
          <w:p w14:paraId="6F8A4CB6" w14:textId="77777777" w:rsidR="00000498" w:rsidRPr="00E00E21" w:rsidRDefault="00000498" w:rsidP="00B53F7D">
            <w:pPr>
              <w:spacing w:before="100" w:beforeAutospacing="1" w:after="100" w:afterAutospacing="1"/>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7ADCD0B" w14:textId="77777777" w:rsidR="00000498" w:rsidRPr="00E00E21" w:rsidRDefault="00000498" w:rsidP="00B53F7D">
            <w:pPr>
              <w:rPr>
                <w:sz w:val="22"/>
                <w:szCs w:val="22"/>
                <w:lang w:val="sr-Latn-RS" w:eastAsia="de-AT"/>
              </w:rPr>
            </w:pPr>
            <w:r w:rsidRPr="00E00E21">
              <w:rPr>
                <w:sz w:val="22"/>
                <w:szCs w:val="22"/>
                <w:lang w:val="sr-Latn-RS" w:eastAsia="de-AT"/>
              </w:rPr>
              <w:t>105 (9.6)</w:t>
            </w:r>
          </w:p>
        </w:tc>
        <w:tc>
          <w:tcPr>
            <w:tcW w:w="940" w:type="pct"/>
            <w:tcBorders>
              <w:top w:val="outset" w:sz="6" w:space="0" w:color="auto"/>
              <w:left w:val="outset" w:sz="6" w:space="0" w:color="auto"/>
              <w:bottom w:val="outset" w:sz="6" w:space="0" w:color="auto"/>
              <w:right w:val="outset" w:sz="6" w:space="0" w:color="auto"/>
            </w:tcBorders>
          </w:tcPr>
          <w:p w14:paraId="519FDA43"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7C85302D"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15 (1.4)</w:t>
            </w:r>
          </w:p>
        </w:tc>
      </w:tr>
      <w:tr w:rsidR="00000498" w:rsidRPr="00E00E21" w14:paraId="2DFF9724" w14:textId="77777777" w:rsidTr="00000498">
        <w:trPr>
          <w:tblCellSpacing w:w="0" w:type="dxa"/>
        </w:trPr>
        <w:tc>
          <w:tcPr>
            <w:tcW w:w="913" w:type="pct"/>
            <w:vMerge/>
            <w:tcBorders>
              <w:left w:val="outset" w:sz="6" w:space="0" w:color="auto"/>
              <w:right w:val="outset" w:sz="6" w:space="0" w:color="auto"/>
            </w:tcBorders>
            <w:hideMark/>
          </w:tcPr>
          <w:p w14:paraId="47767520"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267830BB"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Dispepsija</w:t>
            </w:r>
          </w:p>
        </w:tc>
        <w:tc>
          <w:tcPr>
            <w:tcW w:w="704" w:type="pct"/>
            <w:tcBorders>
              <w:top w:val="outset" w:sz="6" w:space="0" w:color="auto"/>
              <w:left w:val="outset" w:sz="6" w:space="0" w:color="auto"/>
              <w:bottom w:val="outset" w:sz="6" w:space="0" w:color="auto"/>
              <w:right w:val="outset" w:sz="6" w:space="0" w:color="auto"/>
            </w:tcBorders>
            <w:hideMark/>
          </w:tcPr>
          <w:p w14:paraId="6BF2432F"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48084654"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53 (4.9)</w:t>
            </w:r>
          </w:p>
        </w:tc>
        <w:tc>
          <w:tcPr>
            <w:tcW w:w="940" w:type="pct"/>
            <w:tcBorders>
              <w:top w:val="outset" w:sz="6" w:space="0" w:color="auto"/>
              <w:left w:val="outset" w:sz="6" w:space="0" w:color="auto"/>
              <w:bottom w:val="outset" w:sz="6" w:space="0" w:color="auto"/>
              <w:right w:val="outset" w:sz="6" w:space="0" w:color="auto"/>
            </w:tcBorders>
          </w:tcPr>
          <w:p w14:paraId="007EDFDB"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1E5E9825"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7620044E" w14:textId="77777777" w:rsidTr="00000498">
        <w:trPr>
          <w:tblCellSpacing w:w="0" w:type="dxa"/>
        </w:trPr>
        <w:tc>
          <w:tcPr>
            <w:tcW w:w="913" w:type="pct"/>
            <w:vMerge/>
            <w:tcBorders>
              <w:left w:val="outset" w:sz="6" w:space="0" w:color="auto"/>
              <w:right w:val="outset" w:sz="6" w:space="0" w:color="auto"/>
            </w:tcBorders>
            <w:hideMark/>
          </w:tcPr>
          <w:p w14:paraId="4155FAEF"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1A888386" w14:textId="77777777" w:rsidR="00000498" w:rsidRPr="00E00E21" w:rsidRDefault="00000498" w:rsidP="005810F2">
            <w:pPr>
              <w:spacing w:before="100" w:beforeAutospacing="1" w:after="100" w:afterAutospacing="1"/>
              <w:rPr>
                <w:sz w:val="22"/>
                <w:szCs w:val="22"/>
                <w:lang w:val="sr-Latn-RS" w:eastAsia="de-AT"/>
              </w:rPr>
            </w:pPr>
            <w:r w:rsidRPr="00E00E21">
              <w:rPr>
                <w:sz w:val="22"/>
                <w:szCs w:val="22"/>
                <w:lang w:val="sr-Latn-RS" w:eastAsia="de-AT"/>
              </w:rPr>
              <w:t>Bol u gornjem dijelu abdomena</w:t>
            </w:r>
          </w:p>
        </w:tc>
        <w:tc>
          <w:tcPr>
            <w:tcW w:w="704" w:type="pct"/>
            <w:tcBorders>
              <w:top w:val="outset" w:sz="6" w:space="0" w:color="auto"/>
              <w:left w:val="outset" w:sz="6" w:space="0" w:color="auto"/>
              <w:bottom w:val="outset" w:sz="6" w:space="0" w:color="auto"/>
              <w:right w:val="outset" w:sz="6" w:space="0" w:color="auto"/>
            </w:tcBorders>
            <w:hideMark/>
          </w:tcPr>
          <w:p w14:paraId="022A5BA3"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E0A3948"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46 (4.2)</w:t>
            </w:r>
          </w:p>
        </w:tc>
        <w:tc>
          <w:tcPr>
            <w:tcW w:w="940" w:type="pct"/>
            <w:tcBorders>
              <w:top w:val="outset" w:sz="6" w:space="0" w:color="auto"/>
              <w:left w:val="outset" w:sz="6" w:space="0" w:color="auto"/>
              <w:bottom w:val="outset" w:sz="6" w:space="0" w:color="auto"/>
              <w:right w:val="outset" w:sz="6" w:space="0" w:color="auto"/>
            </w:tcBorders>
          </w:tcPr>
          <w:p w14:paraId="59445A6C"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E4DB4DB"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 (&lt; 0.1)</w:t>
            </w:r>
          </w:p>
        </w:tc>
      </w:tr>
      <w:tr w:rsidR="00000498" w:rsidRPr="00E00E21" w14:paraId="2AA71860" w14:textId="77777777" w:rsidTr="00000498">
        <w:trPr>
          <w:tblCellSpacing w:w="0" w:type="dxa"/>
        </w:trPr>
        <w:tc>
          <w:tcPr>
            <w:tcW w:w="913" w:type="pct"/>
            <w:vMerge/>
            <w:tcBorders>
              <w:left w:val="outset" w:sz="6" w:space="0" w:color="auto"/>
              <w:right w:val="outset" w:sz="6" w:space="0" w:color="auto"/>
            </w:tcBorders>
            <w:hideMark/>
          </w:tcPr>
          <w:p w14:paraId="455220DE"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7AC3BA4A" w14:textId="77777777" w:rsidR="00000498" w:rsidRPr="00E00E21" w:rsidRDefault="00000498" w:rsidP="005810F2">
            <w:pPr>
              <w:spacing w:before="100" w:beforeAutospacing="1" w:after="100" w:afterAutospacing="1"/>
              <w:rPr>
                <w:sz w:val="22"/>
                <w:szCs w:val="22"/>
                <w:lang w:val="sr-Latn-RS" w:eastAsia="de-AT"/>
              </w:rPr>
            </w:pPr>
            <w:r w:rsidRPr="00E00E21">
              <w:rPr>
                <w:sz w:val="22"/>
                <w:szCs w:val="22"/>
                <w:lang w:val="sr-Latn-RS" w:eastAsia="de-AT"/>
              </w:rPr>
              <w:t>Hemoroidi</w:t>
            </w:r>
          </w:p>
        </w:tc>
        <w:tc>
          <w:tcPr>
            <w:tcW w:w="704" w:type="pct"/>
            <w:tcBorders>
              <w:top w:val="outset" w:sz="6" w:space="0" w:color="auto"/>
              <w:left w:val="outset" w:sz="6" w:space="0" w:color="auto"/>
              <w:bottom w:val="outset" w:sz="6" w:space="0" w:color="auto"/>
              <w:right w:val="outset" w:sz="6" w:space="0" w:color="auto"/>
            </w:tcBorders>
            <w:hideMark/>
          </w:tcPr>
          <w:p w14:paraId="41CE9A53"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E033C4B"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22 (2.0)</w:t>
            </w:r>
          </w:p>
        </w:tc>
        <w:tc>
          <w:tcPr>
            <w:tcW w:w="940" w:type="pct"/>
            <w:tcBorders>
              <w:top w:val="outset" w:sz="6" w:space="0" w:color="auto"/>
              <w:left w:val="outset" w:sz="6" w:space="0" w:color="auto"/>
              <w:bottom w:val="outset" w:sz="6" w:space="0" w:color="auto"/>
              <w:right w:val="outset" w:sz="6" w:space="0" w:color="auto"/>
            </w:tcBorders>
          </w:tcPr>
          <w:p w14:paraId="4D2CD06D"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4B44D4DE"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1B8943EA" w14:textId="77777777" w:rsidTr="00000498">
        <w:trPr>
          <w:tblCellSpacing w:w="0" w:type="dxa"/>
        </w:trPr>
        <w:tc>
          <w:tcPr>
            <w:tcW w:w="913" w:type="pct"/>
            <w:vMerge/>
            <w:tcBorders>
              <w:left w:val="outset" w:sz="6" w:space="0" w:color="auto"/>
              <w:right w:val="outset" w:sz="6" w:space="0" w:color="auto"/>
            </w:tcBorders>
            <w:hideMark/>
          </w:tcPr>
          <w:p w14:paraId="675ED88A"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3CA612C8" w14:textId="77777777" w:rsidR="00000498" w:rsidRPr="00E00E21" w:rsidRDefault="00000498" w:rsidP="005810F2">
            <w:pPr>
              <w:spacing w:before="100" w:beforeAutospacing="1" w:after="100" w:afterAutospacing="1"/>
              <w:rPr>
                <w:sz w:val="22"/>
                <w:szCs w:val="22"/>
                <w:lang w:val="sr-Latn-RS" w:eastAsia="de-AT"/>
              </w:rPr>
            </w:pPr>
            <w:r w:rsidRPr="00E00E21">
              <w:rPr>
                <w:sz w:val="22"/>
                <w:szCs w:val="22"/>
                <w:lang w:val="sr-Latn-RS" w:eastAsia="de-AT"/>
              </w:rPr>
              <w:t>Gastroezofagealna refluksna bolest</w:t>
            </w:r>
          </w:p>
        </w:tc>
        <w:tc>
          <w:tcPr>
            <w:tcW w:w="704" w:type="pct"/>
            <w:tcBorders>
              <w:top w:val="outset" w:sz="6" w:space="0" w:color="auto"/>
              <w:left w:val="outset" w:sz="6" w:space="0" w:color="auto"/>
              <w:bottom w:val="outset" w:sz="6" w:space="0" w:color="auto"/>
              <w:right w:val="outset" w:sz="6" w:space="0" w:color="auto"/>
            </w:tcBorders>
            <w:hideMark/>
          </w:tcPr>
          <w:p w14:paraId="4A2B44AB"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78F62EEE"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26 (2.4)</w:t>
            </w:r>
          </w:p>
        </w:tc>
        <w:tc>
          <w:tcPr>
            <w:tcW w:w="940" w:type="pct"/>
            <w:tcBorders>
              <w:top w:val="outset" w:sz="6" w:space="0" w:color="auto"/>
              <w:left w:val="outset" w:sz="6" w:space="0" w:color="auto"/>
              <w:bottom w:val="outset" w:sz="6" w:space="0" w:color="auto"/>
              <w:right w:val="outset" w:sz="6" w:space="0" w:color="auto"/>
            </w:tcBorders>
          </w:tcPr>
          <w:p w14:paraId="1773665C"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412AA1AD"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 (&lt; 0.1)</w:t>
            </w:r>
          </w:p>
        </w:tc>
      </w:tr>
      <w:tr w:rsidR="00000498" w:rsidRPr="00E00E21" w14:paraId="6145119C" w14:textId="77777777" w:rsidTr="00000498">
        <w:trPr>
          <w:tblCellSpacing w:w="0" w:type="dxa"/>
        </w:trPr>
        <w:tc>
          <w:tcPr>
            <w:tcW w:w="913" w:type="pct"/>
            <w:vMerge/>
            <w:tcBorders>
              <w:left w:val="outset" w:sz="6" w:space="0" w:color="auto"/>
              <w:right w:val="outset" w:sz="6" w:space="0" w:color="auto"/>
            </w:tcBorders>
            <w:hideMark/>
          </w:tcPr>
          <w:p w14:paraId="7BFF2838"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6B6DFBD"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Rektalno krvarenje</w:t>
            </w:r>
          </w:p>
        </w:tc>
        <w:tc>
          <w:tcPr>
            <w:tcW w:w="704" w:type="pct"/>
            <w:tcBorders>
              <w:top w:val="outset" w:sz="6" w:space="0" w:color="auto"/>
              <w:left w:val="outset" w:sz="6" w:space="0" w:color="auto"/>
              <w:bottom w:val="outset" w:sz="6" w:space="0" w:color="auto"/>
              <w:right w:val="outset" w:sz="6" w:space="0" w:color="auto"/>
            </w:tcBorders>
            <w:hideMark/>
          </w:tcPr>
          <w:p w14:paraId="30B1FEA6"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3782E77E"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14 (1.3)</w:t>
            </w:r>
          </w:p>
        </w:tc>
        <w:tc>
          <w:tcPr>
            <w:tcW w:w="940" w:type="pct"/>
            <w:tcBorders>
              <w:top w:val="outset" w:sz="6" w:space="0" w:color="auto"/>
              <w:left w:val="outset" w:sz="6" w:space="0" w:color="auto"/>
              <w:bottom w:val="outset" w:sz="6" w:space="0" w:color="auto"/>
              <w:right w:val="outset" w:sz="6" w:space="0" w:color="auto"/>
            </w:tcBorders>
          </w:tcPr>
          <w:p w14:paraId="33F7A7AA"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3EE7E4E6"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4 (0.4)</w:t>
            </w:r>
          </w:p>
        </w:tc>
      </w:tr>
      <w:tr w:rsidR="00000498" w:rsidRPr="00E00E21" w14:paraId="227C15FE" w14:textId="77777777" w:rsidTr="00000498">
        <w:trPr>
          <w:tblCellSpacing w:w="0" w:type="dxa"/>
        </w:trPr>
        <w:tc>
          <w:tcPr>
            <w:tcW w:w="913" w:type="pct"/>
            <w:vMerge/>
            <w:tcBorders>
              <w:left w:val="outset" w:sz="6" w:space="0" w:color="auto"/>
              <w:right w:val="outset" w:sz="6" w:space="0" w:color="auto"/>
            </w:tcBorders>
            <w:hideMark/>
          </w:tcPr>
          <w:p w14:paraId="31C18782"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878470A"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Suva usta</w:t>
            </w:r>
          </w:p>
        </w:tc>
        <w:tc>
          <w:tcPr>
            <w:tcW w:w="704" w:type="pct"/>
            <w:tcBorders>
              <w:top w:val="outset" w:sz="6" w:space="0" w:color="auto"/>
              <w:left w:val="outset" w:sz="6" w:space="0" w:color="auto"/>
              <w:bottom w:val="outset" w:sz="6" w:space="0" w:color="auto"/>
              <w:right w:val="outset" w:sz="6" w:space="0" w:color="auto"/>
            </w:tcBorders>
            <w:hideMark/>
          </w:tcPr>
          <w:p w14:paraId="694A290A"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D155FBD"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19 (1.7)</w:t>
            </w:r>
          </w:p>
        </w:tc>
        <w:tc>
          <w:tcPr>
            <w:tcW w:w="940" w:type="pct"/>
            <w:tcBorders>
              <w:top w:val="outset" w:sz="6" w:space="0" w:color="auto"/>
              <w:left w:val="outset" w:sz="6" w:space="0" w:color="auto"/>
              <w:bottom w:val="outset" w:sz="6" w:space="0" w:color="auto"/>
              <w:right w:val="outset" w:sz="6" w:space="0" w:color="auto"/>
            </w:tcBorders>
          </w:tcPr>
          <w:p w14:paraId="1806C036"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56089655"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2 (0.2)</w:t>
            </w:r>
          </w:p>
        </w:tc>
      </w:tr>
      <w:tr w:rsidR="00000498" w:rsidRPr="00E00E21" w14:paraId="488D2431" w14:textId="77777777" w:rsidTr="00000498">
        <w:trPr>
          <w:tblCellSpacing w:w="0" w:type="dxa"/>
        </w:trPr>
        <w:tc>
          <w:tcPr>
            <w:tcW w:w="913" w:type="pct"/>
            <w:vMerge/>
            <w:tcBorders>
              <w:left w:val="outset" w:sz="6" w:space="0" w:color="auto"/>
              <w:right w:val="outset" w:sz="6" w:space="0" w:color="auto"/>
            </w:tcBorders>
            <w:hideMark/>
          </w:tcPr>
          <w:p w14:paraId="0D648652"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481B17B"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Distenzija abdomena</w:t>
            </w:r>
          </w:p>
        </w:tc>
        <w:tc>
          <w:tcPr>
            <w:tcW w:w="704" w:type="pct"/>
            <w:tcBorders>
              <w:top w:val="outset" w:sz="6" w:space="0" w:color="auto"/>
              <w:left w:val="outset" w:sz="6" w:space="0" w:color="auto"/>
              <w:bottom w:val="outset" w:sz="6" w:space="0" w:color="auto"/>
              <w:right w:val="outset" w:sz="6" w:space="0" w:color="auto"/>
            </w:tcBorders>
            <w:hideMark/>
          </w:tcPr>
          <w:p w14:paraId="5E82B6A4"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7A58E30"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14 (1.3)</w:t>
            </w:r>
          </w:p>
        </w:tc>
        <w:tc>
          <w:tcPr>
            <w:tcW w:w="940" w:type="pct"/>
            <w:tcBorders>
              <w:top w:val="outset" w:sz="6" w:space="0" w:color="auto"/>
              <w:left w:val="outset" w:sz="6" w:space="0" w:color="auto"/>
              <w:bottom w:val="outset" w:sz="6" w:space="0" w:color="auto"/>
              <w:right w:val="outset" w:sz="6" w:space="0" w:color="auto"/>
            </w:tcBorders>
          </w:tcPr>
          <w:p w14:paraId="054CB4C3"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ABF50D6"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 (&lt; 0.1)</w:t>
            </w:r>
          </w:p>
        </w:tc>
      </w:tr>
      <w:tr w:rsidR="00000498" w:rsidRPr="00E00E21" w14:paraId="686C885B" w14:textId="77777777" w:rsidTr="00826291">
        <w:trPr>
          <w:tblCellSpacing w:w="0" w:type="dxa"/>
        </w:trPr>
        <w:tc>
          <w:tcPr>
            <w:tcW w:w="913" w:type="pct"/>
            <w:vMerge/>
            <w:tcBorders>
              <w:left w:val="outset" w:sz="6" w:space="0" w:color="auto"/>
              <w:right w:val="outset" w:sz="6" w:space="0" w:color="auto"/>
            </w:tcBorders>
          </w:tcPr>
          <w:p w14:paraId="69B24EB4"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78824699"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Stomatitis</w:t>
            </w:r>
          </w:p>
        </w:tc>
        <w:tc>
          <w:tcPr>
            <w:tcW w:w="704" w:type="pct"/>
            <w:tcBorders>
              <w:top w:val="outset" w:sz="6" w:space="0" w:color="auto"/>
              <w:left w:val="outset" w:sz="6" w:space="0" w:color="auto"/>
              <w:bottom w:val="outset" w:sz="6" w:space="0" w:color="auto"/>
              <w:right w:val="outset" w:sz="6" w:space="0" w:color="auto"/>
            </w:tcBorders>
          </w:tcPr>
          <w:p w14:paraId="38DB5B69"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524EA07D"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46 (4.2)</w:t>
            </w:r>
          </w:p>
        </w:tc>
        <w:tc>
          <w:tcPr>
            <w:tcW w:w="940" w:type="pct"/>
            <w:tcBorders>
              <w:top w:val="outset" w:sz="6" w:space="0" w:color="auto"/>
              <w:left w:val="outset" w:sz="6" w:space="0" w:color="auto"/>
              <w:bottom w:val="outset" w:sz="6" w:space="0" w:color="auto"/>
              <w:right w:val="outset" w:sz="6" w:space="0" w:color="auto"/>
            </w:tcBorders>
          </w:tcPr>
          <w:p w14:paraId="2D6FB0FB" w14:textId="77777777" w:rsidR="00000498" w:rsidRPr="00E00E21" w:rsidRDefault="00000498"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30E5514B"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2 (0.2)</w:t>
            </w:r>
          </w:p>
        </w:tc>
      </w:tr>
      <w:tr w:rsidR="00000498" w:rsidRPr="00E00E21" w14:paraId="32639E08" w14:textId="77777777" w:rsidTr="00546C8E">
        <w:trPr>
          <w:tblCellSpacing w:w="0" w:type="dxa"/>
        </w:trPr>
        <w:tc>
          <w:tcPr>
            <w:tcW w:w="913" w:type="pct"/>
            <w:vMerge/>
            <w:tcBorders>
              <w:left w:val="outset" w:sz="6" w:space="0" w:color="auto"/>
              <w:right w:val="outset" w:sz="6" w:space="0" w:color="auto"/>
            </w:tcBorders>
          </w:tcPr>
          <w:p w14:paraId="26B7EA4B"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78A413E9"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Ileus*</w:t>
            </w:r>
          </w:p>
        </w:tc>
        <w:tc>
          <w:tcPr>
            <w:tcW w:w="704" w:type="pct"/>
            <w:tcBorders>
              <w:top w:val="outset" w:sz="6" w:space="0" w:color="auto"/>
              <w:left w:val="outset" w:sz="6" w:space="0" w:color="auto"/>
              <w:bottom w:val="outset" w:sz="6" w:space="0" w:color="auto"/>
              <w:right w:val="outset" w:sz="6" w:space="0" w:color="auto"/>
            </w:tcBorders>
          </w:tcPr>
          <w:p w14:paraId="499CDB96"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21A0F2C5" w14:textId="77777777" w:rsidR="00000498" w:rsidRPr="00E00E21" w:rsidRDefault="00000498"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368E2AE9"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7 (0.6)</w:t>
            </w:r>
          </w:p>
        </w:tc>
        <w:tc>
          <w:tcPr>
            <w:tcW w:w="623" w:type="pct"/>
            <w:tcBorders>
              <w:top w:val="outset" w:sz="6" w:space="0" w:color="auto"/>
              <w:left w:val="outset" w:sz="6" w:space="0" w:color="auto"/>
              <w:bottom w:val="outset" w:sz="6" w:space="0" w:color="auto"/>
              <w:right w:val="outset" w:sz="6" w:space="0" w:color="auto"/>
            </w:tcBorders>
          </w:tcPr>
          <w:p w14:paraId="07110118"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5 (0.5)</w:t>
            </w:r>
          </w:p>
        </w:tc>
      </w:tr>
      <w:tr w:rsidR="00000498" w:rsidRPr="00E00E21" w14:paraId="4770A4FD" w14:textId="77777777" w:rsidTr="00546C8E">
        <w:trPr>
          <w:tblCellSpacing w:w="0" w:type="dxa"/>
        </w:trPr>
        <w:tc>
          <w:tcPr>
            <w:tcW w:w="913" w:type="pct"/>
            <w:vMerge/>
            <w:tcBorders>
              <w:left w:val="outset" w:sz="6" w:space="0" w:color="auto"/>
              <w:right w:val="outset" w:sz="6" w:space="0" w:color="auto"/>
            </w:tcBorders>
          </w:tcPr>
          <w:p w14:paraId="32B2681B"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0150AD6D"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Gastritis</w:t>
            </w:r>
          </w:p>
        </w:tc>
        <w:tc>
          <w:tcPr>
            <w:tcW w:w="704" w:type="pct"/>
            <w:tcBorders>
              <w:top w:val="outset" w:sz="6" w:space="0" w:color="auto"/>
              <w:left w:val="outset" w:sz="6" w:space="0" w:color="auto"/>
              <w:bottom w:val="outset" w:sz="6" w:space="0" w:color="auto"/>
              <w:right w:val="outset" w:sz="6" w:space="0" w:color="auto"/>
            </w:tcBorders>
          </w:tcPr>
          <w:p w14:paraId="0F19EB5E"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70673489" w14:textId="77777777" w:rsidR="00000498" w:rsidRPr="00E00E21" w:rsidRDefault="00000498"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42576ABC"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10 (0.9)</w:t>
            </w:r>
          </w:p>
        </w:tc>
        <w:tc>
          <w:tcPr>
            <w:tcW w:w="623" w:type="pct"/>
            <w:tcBorders>
              <w:top w:val="outset" w:sz="6" w:space="0" w:color="auto"/>
              <w:left w:val="outset" w:sz="6" w:space="0" w:color="auto"/>
              <w:bottom w:val="outset" w:sz="6" w:space="0" w:color="auto"/>
              <w:right w:val="outset" w:sz="6" w:space="0" w:color="auto"/>
            </w:tcBorders>
          </w:tcPr>
          <w:p w14:paraId="2EA69360"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1F3D901D" w14:textId="77777777" w:rsidTr="00546C8E">
        <w:trPr>
          <w:tblCellSpacing w:w="0" w:type="dxa"/>
        </w:trPr>
        <w:tc>
          <w:tcPr>
            <w:tcW w:w="913" w:type="pct"/>
            <w:vMerge/>
            <w:tcBorders>
              <w:left w:val="outset" w:sz="6" w:space="0" w:color="auto"/>
              <w:right w:val="outset" w:sz="6" w:space="0" w:color="auto"/>
            </w:tcBorders>
          </w:tcPr>
          <w:p w14:paraId="477652F4"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21593AB3"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Kolitis*</w:t>
            </w:r>
          </w:p>
        </w:tc>
        <w:tc>
          <w:tcPr>
            <w:tcW w:w="704" w:type="pct"/>
            <w:tcBorders>
              <w:top w:val="outset" w:sz="6" w:space="0" w:color="auto"/>
              <w:left w:val="outset" w:sz="6" w:space="0" w:color="auto"/>
              <w:bottom w:val="outset" w:sz="6" w:space="0" w:color="auto"/>
              <w:right w:val="outset" w:sz="6" w:space="0" w:color="auto"/>
            </w:tcBorders>
          </w:tcPr>
          <w:p w14:paraId="772DB99E"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3036E560" w14:textId="77777777" w:rsidR="00000498" w:rsidRPr="00E00E21" w:rsidRDefault="00000498"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450A5AD5"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10 (0.9)</w:t>
            </w:r>
          </w:p>
        </w:tc>
        <w:tc>
          <w:tcPr>
            <w:tcW w:w="623" w:type="pct"/>
            <w:tcBorders>
              <w:top w:val="outset" w:sz="6" w:space="0" w:color="auto"/>
              <w:left w:val="outset" w:sz="6" w:space="0" w:color="auto"/>
              <w:bottom w:val="outset" w:sz="6" w:space="0" w:color="auto"/>
              <w:right w:val="outset" w:sz="6" w:space="0" w:color="auto"/>
            </w:tcBorders>
          </w:tcPr>
          <w:p w14:paraId="394B77BE"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5 (0.5)</w:t>
            </w:r>
          </w:p>
        </w:tc>
      </w:tr>
      <w:tr w:rsidR="00000498" w:rsidRPr="00E00E21" w14:paraId="081A473C" w14:textId="77777777" w:rsidTr="00546C8E">
        <w:trPr>
          <w:tblCellSpacing w:w="0" w:type="dxa"/>
        </w:trPr>
        <w:tc>
          <w:tcPr>
            <w:tcW w:w="913" w:type="pct"/>
            <w:vMerge/>
            <w:tcBorders>
              <w:left w:val="outset" w:sz="6" w:space="0" w:color="auto"/>
              <w:right w:val="outset" w:sz="6" w:space="0" w:color="auto"/>
            </w:tcBorders>
          </w:tcPr>
          <w:p w14:paraId="17CE6514"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6408811D" w14:textId="77777777" w:rsidR="00000498" w:rsidRPr="00E00E21" w:rsidRDefault="00000498" w:rsidP="005810F2">
            <w:pPr>
              <w:spacing w:before="100" w:beforeAutospacing="1" w:after="100" w:afterAutospacing="1"/>
              <w:rPr>
                <w:sz w:val="22"/>
                <w:szCs w:val="22"/>
                <w:lang w:val="sr-Latn-RS" w:eastAsia="de-AT"/>
              </w:rPr>
            </w:pPr>
            <w:r w:rsidRPr="00E00E21">
              <w:rPr>
                <w:sz w:val="22"/>
                <w:szCs w:val="22"/>
                <w:lang w:val="sr-Latn-RS" w:eastAsia="de-AT"/>
              </w:rPr>
              <w:t>Gastrointestinala perforacija</w:t>
            </w:r>
          </w:p>
        </w:tc>
        <w:tc>
          <w:tcPr>
            <w:tcW w:w="704" w:type="pct"/>
            <w:tcBorders>
              <w:top w:val="outset" w:sz="6" w:space="0" w:color="auto"/>
              <w:left w:val="outset" w:sz="6" w:space="0" w:color="auto"/>
              <w:bottom w:val="outset" w:sz="6" w:space="0" w:color="auto"/>
              <w:right w:val="outset" w:sz="6" w:space="0" w:color="auto"/>
            </w:tcBorders>
          </w:tcPr>
          <w:p w14:paraId="354E0F00"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0EA24832" w14:textId="77777777" w:rsidR="00000498" w:rsidRPr="00E00E21" w:rsidRDefault="00000498"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02B86DCD"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3 (0.3)</w:t>
            </w:r>
          </w:p>
        </w:tc>
        <w:tc>
          <w:tcPr>
            <w:tcW w:w="623" w:type="pct"/>
            <w:tcBorders>
              <w:top w:val="outset" w:sz="6" w:space="0" w:color="auto"/>
              <w:left w:val="outset" w:sz="6" w:space="0" w:color="auto"/>
              <w:bottom w:val="outset" w:sz="6" w:space="0" w:color="auto"/>
              <w:right w:val="outset" w:sz="6" w:space="0" w:color="auto"/>
            </w:tcBorders>
          </w:tcPr>
          <w:p w14:paraId="7858F775"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 (&lt; 0.1)</w:t>
            </w:r>
          </w:p>
        </w:tc>
      </w:tr>
      <w:tr w:rsidR="00000498" w:rsidRPr="00E00E21" w14:paraId="53548536" w14:textId="77777777" w:rsidTr="00000498">
        <w:trPr>
          <w:tblCellSpacing w:w="0" w:type="dxa"/>
        </w:trPr>
        <w:tc>
          <w:tcPr>
            <w:tcW w:w="913" w:type="pct"/>
            <w:vMerge/>
            <w:tcBorders>
              <w:left w:val="outset" w:sz="6" w:space="0" w:color="auto"/>
              <w:bottom w:val="outset" w:sz="6" w:space="0" w:color="auto"/>
              <w:right w:val="outset" w:sz="6" w:space="0" w:color="auto"/>
            </w:tcBorders>
          </w:tcPr>
          <w:p w14:paraId="732B796C" w14:textId="77777777" w:rsidR="00000498" w:rsidRPr="00E00E21" w:rsidRDefault="00000498"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65DE2004"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Gastrointestinalno krvarenje</w:t>
            </w:r>
          </w:p>
        </w:tc>
        <w:tc>
          <w:tcPr>
            <w:tcW w:w="704" w:type="pct"/>
            <w:tcBorders>
              <w:top w:val="outset" w:sz="6" w:space="0" w:color="auto"/>
              <w:left w:val="outset" w:sz="6" w:space="0" w:color="auto"/>
              <w:bottom w:val="outset" w:sz="6" w:space="0" w:color="auto"/>
              <w:right w:val="outset" w:sz="6" w:space="0" w:color="auto"/>
            </w:tcBorders>
          </w:tcPr>
          <w:p w14:paraId="157F15FE" w14:textId="77777777" w:rsidR="00000498" w:rsidRPr="00E00E21" w:rsidRDefault="00000498"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477B7143" w14:textId="77777777" w:rsidR="00000498" w:rsidRPr="00E00E21" w:rsidRDefault="00000498"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65B4F5D3"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2 (0.2)</w:t>
            </w:r>
          </w:p>
        </w:tc>
        <w:tc>
          <w:tcPr>
            <w:tcW w:w="623" w:type="pct"/>
            <w:tcBorders>
              <w:top w:val="outset" w:sz="6" w:space="0" w:color="auto"/>
              <w:left w:val="outset" w:sz="6" w:space="0" w:color="auto"/>
              <w:bottom w:val="outset" w:sz="6" w:space="0" w:color="auto"/>
              <w:right w:val="outset" w:sz="6" w:space="0" w:color="auto"/>
            </w:tcBorders>
          </w:tcPr>
          <w:p w14:paraId="6A477B5D" w14:textId="77777777" w:rsidR="00000498" w:rsidRPr="00E00E21" w:rsidRDefault="00000498" w:rsidP="00B53F7D">
            <w:pPr>
              <w:spacing w:before="100" w:beforeAutospacing="1" w:after="100" w:afterAutospacing="1"/>
              <w:rPr>
                <w:sz w:val="22"/>
                <w:szCs w:val="22"/>
                <w:lang w:val="sr-Latn-RS" w:eastAsia="de-AT"/>
              </w:rPr>
            </w:pPr>
            <w:r w:rsidRPr="00E00E21">
              <w:rPr>
                <w:sz w:val="22"/>
                <w:szCs w:val="22"/>
                <w:lang w:val="sr-Latn-RS" w:eastAsia="de-AT"/>
              </w:rPr>
              <w:t>1 (&lt; 0.1)</w:t>
            </w:r>
          </w:p>
        </w:tc>
      </w:tr>
      <w:tr w:rsidR="00000498" w:rsidRPr="00E00E21" w14:paraId="7A01C4FA" w14:textId="77777777" w:rsidTr="00000498">
        <w:trPr>
          <w:tblCellSpacing w:w="0" w:type="dxa"/>
        </w:trPr>
        <w:tc>
          <w:tcPr>
            <w:tcW w:w="913" w:type="pct"/>
            <w:vMerge w:val="restart"/>
            <w:tcBorders>
              <w:top w:val="outset" w:sz="6" w:space="0" w:color="auto"/>
              <w:left w:val="outset" w:sz="6" w:space="0" w:color="auto"/>
              <w:right w:val="outset" w:sz="6" w:space="0" w:color="auto"/>
            </w:tcBorders>
            <w:vAlign w:val="center"/>
            <w:hideMark/>
          </w:tcPr>
          <w:p w14:paraId="6C874E11" w14:textId="77777777" w:rsidR="00B53F7D" w:rsidRPr="00E00E21" w:rsidRDefault="005810F2" w:rsidP="005810F2">
            <w:pPr>
              <w:spacing w:before="100" w:beforeAutospacing="1" w:after="100" w:afterAutospacing="1"/>
              <w:rPr>
                <w:sz w:val="22"/>
                <w:szCs w:val="22"/>
                <w:lang w:val="sr-Latn-RS" w:eastAsia="de-AT"/>
              </w:rPr>
            </w:pPr>
            <w:r w:rsidRPr="00E00E21">
              <w:rPr>
                <w:sz w:val="22"/>
                <w:szCs w:val="22"/>
                <w:lang w:val="sr-Latn-RS" w:eastAsia="de-AT"/>
              </w:rPr>
              <w:t>Poremećaj kože i potkožnog tkiva</w:t>
            </w:r>
          </w:p>
        </w:tc>
        <w:tc>
          <w:tcPr>
            <w:tcW w:w="961" w:type="pct"/>
            <w:tcBorders>
              <w:top w:val="outset" w:sz="6" w:space="0" w:color="auto"/>
              <w:left w:val="outset" w:sz="6" w:space="0" w:color="auto"/>
              <w:bottom w:val="outset" w:sz="6" w:space="0" w:color="auto"/>
              <w:right w:val="outset" w:sz="6" w:space="0" w:color="auto"/>
            </w:tcBorders>
            <w:hideMark/>
          </w:tcPr>
          <w:p w14:paraId="1DCAE022"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Alopeci</w:t>
            </w:r>
            <w:r w:rsidR="005810F2" w:rsidRPr="00E00E21">
              <w:rPr>
                <w:sz w:val="22"/>
                <w:szCs w:val="22"/>
                <w:lang w:val="sr-Latn-RS" w:eastAsia="de-AT"/>
              </w:rPr>
              <w:t>j</w:t>
            </w:r>
            <w:r w:rsidRPr="00E00E21">
              <w:rPr>
                <w:sz w:val="22"/>
                <w:szCs w:val="22"/>
                <w:lang w:val="sr-Latn-RS" w:eastAsia="de-AT"/>
              </w:rPr>
              <w:t>a</w:t>
            </w:r>
          </w:p>
        </w:tc>
        <w:tc>
          <w:tcPr>
            <w:tcW w:w="704" w:type="pct"/>
            <w:tcBorders>
              <w:top w:val="outset" w:sz="6" w:space="0" w:color="auto"/>
              <w:left w:val="outset" w:sz="6" w:space="0" w:color="auto"/>
              <w:bottom w:val="outset" w:sz="6" w:space="0" w:color="auto"/>
              <w:right w:val="outset" w:sz="6" w:space="0" w:color="auto"/>
            </w:tcBorders>
            <w:hideMark/>
          </w:tcPr>
          <w:p w14:paraId="0B0538DE" w14:textId="77777777" w:rsidR="00B53F7D" w:rsidRPr="00E00E21" w:rsidRDefault="00B53F7D" w:rsidP="00B53F7D">
            <w:pPr>
              <w:spacing w:before="100" w:beforeAutospacing="1" w:after="100" w:afterAutospacing="1"/>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62635F2F" w14:textId="77777777" w:rsidR="00B53F7D" w:rsidRPr="00E00E21" w:rsidRDefault="00B53F7D" w:rsidP="00B53F7D">
            <w:pPr>
              <w:rPr>
                <w:sz w:val="22"/>
                <w:szCs w:val="22"/>
                <w:lang w:val="sr-Latn-RS" w:eastAsia="de-AT"/>
              </w:rPr>
            </w:pPr>
            <w:r w:rsidRPr="00E00E21">
              <w:rPr>
                <w:sz w:val="22"/>
                <w:szCs w:val="22"/>
                <w:lang w:val="sr-Latn-RS" w:eastAsia="de-AT"/>
              </w:rPr>
              <w:t>80 (7.3)</w:t>
            </w:r>
          </w:p>
        </w:tc>
        <w:tc>
          <w:tcPr>
            <w:tcW w:w="940" w:type="pct"/>
            <w:tcBorders>
              <w:top w:val="outset" w:sz="6" w:space="0" w:color="auto"/>
              <w:left w:val="outset" w:sz="6" w:space="0" w:color="auto"/>
              <w:bottom w:val="outset" w:sz="6" w:space="0" w:color="auto"/>
              <w:right w:val="outset" w:sz="6" w:space="0" w:color="auto"/>
            </w:tcBorders>
          </w:tcPr>
          <w:p w14:paraId="1947734E"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51F3A0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36BE6A46" w14:textId="77777777" w:rsidTr="00000498">
        <w:trPr>
          <w:tblCellSpacing w:w="0" w:type="dxa"/>
        </w:trPr>
        <w:tc>
          <w:tcPr>
            <w:tcW w:w="913" w:type="pct"/>
            <w:vMerge/>
            <w:tcBorders>
              <w:left w:val="outset" w:sz="6" w:space="0" w:color="auto"/>
              <w:right w:val="outset" w:sz="6" w:space="0" w:color="auto"/>
            </w:tcBorders>
            <w:hideMark/>
          </w:tcPr>
          <w:p w14:paraId="30EEB1FE"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502F2AD3" w14:textId="77777777" w:rsidR="00B53F7D" w:rsidRPr="00E00E21" w:rsidRDefault="005810F2" w:rsidP="00B53F7D">
            <w:pPr>
              <w:spacing w:before="100" w:beforeAutospacing="1" w:after="100" w:afterAutospacing="1"/>
              <w:rPr>
                <w:sz w:val="22"/>
                <w:szCs w:val="22"/>
                <w:lang w:val="sr-Latn-RS" w:eastAsia="de-AT"/>
              </w:rPr>
            </w:pPr>
            <w:r w:rsidRPr="00E00E21">
              <w:rPr>
                <w:sz w:val="22"/>
                <w:szCs w:val="22"/>
                <w:lang w:val="sr-Latn-RS" w:eastAsia="de-AT"/>
              </w:rPr>
              <w:t>Suva koža</w:t>
            </w:r>
          </w:p>
        </w:tc>
        <w:tc>
          <w:tcPr>
            <w:tcW w:w="704" w:type="pct"/>
            <w:tcBorders>
              <w:top w:val="outset" w:sz="6" w:space="0" w:color="auto"/>
              <w:left w:val="outset" w:sz="6" w:space="0" w:color="auto"/>
              <w:bottom w:val="outset" w:sz="6" w:space="0" w:color="auto"/>
              <w:right w:val="outset" w:sz="6" w:space="0" w:color="auto"/>
            </w:tcBorders>
            <w:hideMark/>
          </w:tcPr>
          <w:p w14:paraId="3C8ABA6B"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311E6593"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23 (2.1)</w:t>
            </w:r>
          </w:p>
        </w:tc>
        <w:tc>
          <w:tcPr>
            <w:tcW w:w="940" w:type="pct"/>
            <w:tcBorders>
              <w:top w:val="outset" w:sz="6" w:space="0" w:color="auto"/>
              <w:left w:val="outset" w:sz="6" w:space="0" w:color="auto"/>
              <w:bottom w:val="outset" w:sz="6" w:space="0" w:color="auto"/>
              <w:right w:val="outset" w:sz="6" w:space="0" w:color="auto"/>
            </w:tcBorders>
          </w:tcPr>
          <w:p w14:paraId="762B95E9"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0122FFDD"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72A639B9" w14:textId="77777777" w:rsidTr="00000498">
        <w:trPr>
          <w:tblCellSpacing w:w="0" w:type="dxa"/>
        </w:trPr>
        <w:tc>
          <w:tcPr>
            <w:tcW w:w="913" w:type="pct"/>
            <w:vMerge/>
            <w:tcBorders>
              <w:left w:val="outset" w:sz="6" w:space="0" w:color="auto"/>
              <w:right w:val="outset" w:sz="6" w:space="0" w:color="auto"/>
            </w:tcBorders>
            <w:hideMark/>
          </w:tcPr>
          <w:p w14:paraId="41FFC09E"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B8D53C1" w14:textId="77777777" w:rsidR="00B53F7D" w:rsidRPr="00E00E21" w:rsidRDefault="005810F2" w:rsidP="00B53F7D">
            <w:pPr>
              <w:spacing w:before="100" w:beforeAutospacing="1" w:after="100" w:afterAutospacing="1"/>
              <w:rPr>
                <w:sz w:val="22"/>
                <w:szCs w:val="22"/>
                <w:lang w:val="sr-Latn-RS" w:eastAsia="de-AT"/>
              </w:rPr>
            </w:pPr>
            <w:r w:rsidRPr="00E00E21">
              <w:rPr>
                <w:sz w:val="22"/>
                <w:szCs w:val="22"/>
                <w:lang w:val="sr-Latn-RS" w:eastAsia="de-AT"/>
              </w:rPr>
              <w:t>Eritem</w:t>
            </w:r>
          </w:p>
        </w:tc>
        <w:tc>
          <w:tcPr>
            <w:tcW w:w="704" w:type="pct"/>
            <w:tcBorders>
              <w:top w:val="outset" w:sz="6" w:space="0" w:color="auto"/>
              <w:left w:val="outset" w:sz="6" w:space="0" w:color="auto"/>
              <w:bottom w:val="outset" w:sz="6" w:space="0" w:color="auto"/>
              <w:right w:val="outset" w:sz="6" w:space="0" w:color="auto"/>
            </w:tcBorders>
            <w:hideMark/>
          </w:tcPr>
          <w:p w14:paraId="47D2CB3C"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7CCB9881"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29A699A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8 (0.7)</w:t>
            </w:r>
          </w:p>
        </w:tc>
        <w:tc>
          <w:tcPr>
            <w:tcW w:w="623" w:type="pct"/>
            <w:tcBorders>
              <w:top w:val="outset" w:sz="6" w:space="0" w:color="auto"/>
              <w:left w:val="outset" w:sz="6" w:space="0" w:color="auto"/>
              <w:bottom w:val="outset" w:sz="6" w:space="0" w:color="auto"/>
              <w:right w:val="outset" w:sz="6" w:space="0" w:color="auto"/>
            </w:tcBorders>
            <w:hideMark/>
          </w:tcPr>
          <w:p w14:paraId="77618131"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7379FE3A" w14:textId="77777777" w:rsidTr="00000498">
        <w:trPr>
          <w:tblCellSpacing w:w="0" w:type="dxa"/>
        </w:trPr>
        <w:tc>
          <w:tcPr>
            <w:tcW w:w="913" w:type="pct"/>
            <w:vMerge/>
            <w:tcBorders>
              <w:left w:val="outset" w:sz="6" w:space="0" w:color="auto"/>
              <w:bottom w:val="outset" w:sz="6" w:space="0" w:color="auto"/>
              <w:right w:val="outset" w:sz="6" w:space="0" w:color="auto"/>
            </w:tcBorders>
          </w:tcPr>
          <w:p w14:paraId="6E015109"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438EB696" w14:textId="77777777" w:rsidR="00B53F7D" w:rsidRPr="00E00E21" w:rsidRDefault="005810F2" w:rsidP="00B53F7D">
            <w:pPr>
              <w:spacing w:before="100" w:beforeAutospacing="1" w:after="100" w:afterAutospacing="1"/>
              <w:rPr>
                <w:sz w:val="22"/>
                <w:szCs w:val="22"/>
                <w:lang w:val="sr-Latn-RS" w:eastAsia="de-AT"/>
              </w:rPr>
            </w:pPr>
            <w:r w:rsidRPr="00E00E21">
              <w:rPr>
                <w:sz w:val="22"/>
                <w:szCs w:val="22"/>
                <w:lang w:val="sr-Latn-RS" w:eastAsia="de-AT"/>
              </w:rPr>
              <w:t>Poremećaj noktiju</w:t>
            </w:r>
          </w:p>
        </w:tc>
        <w:tc>
          <w:tcPr>
            <w:tcW w:w="704" w:type="pct"/>
            <w:tcBorders>
              <w:top w:val="outset" w:sz="6" w:space="0" w:color="auto"/>
              <w:left w:val="outset" w:sz="6" w:space="0" w:color="auto"/>
              <w:bottom w:val="outset" w:sz="6" w:space="0" w:color="auto"/>
              <w:right w:val="outset" w:sz="6" w:space="0" w:color="auto"/>
            </w:tcBorders>
          </w:tcPr>
          <w:p w14:paraId="54FF7D1F"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686FE5ED"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18 (1.6)</w:t>
            </w:r>
          </w:p>
        </w:tc>
        <w:tc>
          <w:tcPr>
            <w:tcW w:w="940" w:type="pct"/>
            <w:tcBorders>
              <w:top w:val="outset" w:sz="6" w:space="0" w:color="auto"/>
              <w:left w:val="outset" w:sz="6" w:space="0" w:color="auto"/>
              <w:bottom w:val="outset" w:sz="6" w:space="0" w:color="auto"/>
              <w:right w:val="outset" w:sz="6" w:space="0" w:color="auto"/>
            </w:tcBorders>
          </w:tcPr>
          <w:p w14:paraId="27D4A2DF"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2378FC76"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71459C22"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2A1ADC3A" w14:textId="036E1E7E" w:rsidR="00B53F7D" w:rsidRPr="00E00E21" w:rsidRDefault="00D5390C" w:rsidP="00B53F7D">
            <w:pPr>
              <w:spacing w:before="100" w:beforeAutospacing="1" w:after="100" w:afterAutospacing="1"/>
              <w:rPr>
                <w:sz w:val="22"/>
                <w:szCs w:val="22"/>
                <w:lang w:val="sr-Latn-RS" w:eastAsia="de-AT"/>
              </w:rPr>
            </w:pPr>
            <w:r w:rsidRPr="00E00E21">
              <w:rPr>
                <w:sz w:val="22"/>
                <w:szCs w:val="22"/>
                <w:lang w:val="sr-Latn-RS"/>
              </w:rPr>
              <w:t>Poremećaji mišićno - ko</w:t>
            </w:r>
            <w:r w:rsidR="009B6A1F" w:rsidRPr="00E00E21">
              <w:rPr>
                <w:sz w:val="22"/>
                <w:szCs w:val="22"/>
                <w:lang w:val="sr-Latn-RS"/>
              </w:rPr>
              <w:t>st</w:t>
            </w:r>
            <w:r w:rsidRPr="00E00E21">
              <w:rPr>
                <w:sz w:val="22"/>
                <w:szCs w:val="22"/>
                <w:lang w:val="sr-Latn-RS"/>
              </w:rPr>
              <w:t>nog sistema i vezivnog tkiva</w:t>
            </w:r>
          </w:p>
        </w:tc>
        <w:tc>
          <w:tcPr>
            <w:tcW w:w="961" w:type="pct"/>
            <w:tcBorders>
              <w:top w:val="outset" w:sz="6" w:space="0" w:color="auto"/>
              <w:left w:val="outset" w:sz="6" w:space="0" w:color="auto"/>
              <w:bottom w:val="outset" w:sz="6" w:space="0" w:color="auto"/>
              <w:right w:val="outset" w:sz="6" w:space="0" w:color="auto"/>
            </w:tcBorders>
            <w:hideMark/>
          </w:tcPr>
          <w:p w14:paraId="637F58F0" w14:textId="77777777" w:rsidR="00B53F7D" w:rsidRPr="00E00E21" w:rsidRDefault="00B53F7D" w:rsidP="009E543F">
            <w:pPr>
              <w:spacing w:before="100" w:beforeAutospacing="1" w:after="100" w:afterAutospacing="1"/>
              <w:rPr>
                <w:sz w:val="22"/>
                <w:szCs w:val="22"/>
                <w:lang w:val="sr-Latn-RS" w:eastAsia="de-AT"/>
              </w:rPr>
            </w:pPr>
            <w:r w:rsidRPr="00E00E21">
              <w:rPr>
                <w:sz w:val="22"/>
                <w:szCs w:val="22"/>
                <w:lang w:val="sr-Latn-RS" w:eastAsia="de-AT"/>
              </w:rPr>
              <w:t>B</w:t>
            </w:r>
            <w:r w:rsidR="009E543F" w:rsidRPr="00E00E21">
              <w:rPr>
                <w:sz w:val="22"/>
                <w:szCs w:val="22"/>
                <w:lang w:val="sr-Latn-RS" w:eastAsia="de-AT"/>
              </w:rPr>
              <w:t>ol u leđima</w:t>
            </w:r>
          </w:p>
        </w:tc>
        <w:tc>
          <w:tcPr>
            <w:tcW w:w="704" w:type="pct"/>
            <w:tcBorders>
              <w:top w:val="outset" w:sz="6" w:space="0" w:color="auto"/>
              <w:left w:val="outset" w:sz="6" w:space="0" w:color="auto"/>
              <w:bottom w:val="outset" w:sz="6" w:space="0" w:color="auto"/>
              <w:right w:val="outset" w:sz="6" w:space="0" w:color="auto"/>
            </w:tcBorders>
            <w:hideMark/>
          </w:tcPr>
          <w:p w14:paraId="2783CE0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166 (15.2)</w:t>
            </w:r>
          </w:p>
        </w:tc>
        <w:tc>
          <w:tcPr>
            <w:tcW w:w="859" w:type="pct"/>
            <w:tcBorders>
              <w:top w:val="outset" w:sz="6" w:space="0" w:color="auto"/>
              <w:left w:val="outset" w:sz="6" w:space="0" w:color="auto"/>
              <w:bottom w:val="outset" w:sz="6" w:space="0" w:color="auto"/>
              <w:right w:val="outset" w:sz="6" w:space="0" w:color="auto"/>
            </w:tcBorders>
            <w:hideMark/>
          </w:tcPr>
          <w:p w14:paraId="06847A8E" w14:textId="77777777" w:rsidR="00B53F7D" w:rsidRPr="00E00E21" w:rsidRDefault="00B53F7D" w:rsidP="00B53F7D">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235E450C"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728B9E52"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24 (2.2)</w:t>
            </w:r>
          </w:p>
        </w:tc>
      </w:tr>
      <w:tr w:rsidR="00000498" w:rsidRPr="00E00E21" w14:paraId="5E4CC1D5"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1683B75F"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561E6418" w14:textId="77777777" w:rsidR="00B53F7D" w:rsidRPr="00E00E21" w:rsidRDefault="009E543F" w:rsidP="00B53F7D">
            <w:pPr>
              <w:spacing w:before="100" w:beforeAutospacing="1" w:after="100" w:afterAutospacing="1"/>
              <w:rPr>
                <w:sz w:val="22"/>
                <w:szCs w:val="22"/>
                <w:lang w:val="sr-Latn-RS" w:eastAsia="de-AT"/>
              </w:rPr>
            </w:pPr>
            <w:r w:rsidRPr="00E00E21">
              <w:rPr>
                <w:sz w:val="22"/>
                <w:szCs w:val="22"/>
                <w:lang w:val="sr-Latn-RS" w:eastAsia="de-AT"/>
              </w:rPr>
              <w:t>Artralgija</w:t>
            </w:r>
          </w:p>
        </w:tc>
        <w:tc>
          <w:tcPr>
            <w:tcW w:w="704" w:type="pct"/>
            <w:tcBorders>
              <w:top w:val="outset" w:sz="6" w:space="0" w:color="auto"/>
              <w:left w:val="outset" w:sz="6" w:space="0" w:color="auto"/>
              <w:bottom w:val="outset" w:sz="6" w:space="0" w:color="auto"/>
              <w:right w:val="outset" w:sz="6" w:space="0" w:color="auto"/>
            </w:tcBorders>
            <w:hideMark/>
          </w:tcPr>
          <w:p w14:paraId="66F2C97A" w14:textId="77777777" w:rsidR="00B53F7D" w:rsidRPr="00E00E21" w:rsidRDefault="00B53F7D" w:rsidP="00B53F7D">
            <w:pPr>
              <w:spacing w:before="100" w:beforeAutospacing="1" w:after="100" w:afterAutospacing="1"/>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0B284895" w14:textId="77777777" w:rsidR="00B53F7D" w:rsidRPr="00E00E21" w:rsidRDefault="00B53F7D" w:rsidP="00B53F7D">
            <w:pPr>
              <w:rPr>
                <w:sz w:val="22"/>
                <w:szCs w:val="22"/>
                <w:lang w:val="sr-Latn-RS" w:eastAsia="de-AT"/>
              </w:rPr>
            </w:pPr>
            <w:r w:rsidRPr="00E00E21">
              <w:rPr>
                <w:sz w:val="22"/>
                <w:szCs w:val="22"/>
                <w:lang w:val="sr-Latn-RS" w:eastAsia="de-AT"/>
              </w:rPr>
              <w:t>88 (8.1)</w:t>
            </w:r>
          </w:p>
        </w:tc>
        <w:tc>
          <w:tcPr>
            <w:tcW w:w="940" w:type="pct"/>
            <w:tcBorders>
              <w:top w:val="outset" w:sz="6" w:space="0" w:color="auto"/>
              <w:left w:val="outset" w:sz="6" w:space="0" w:color="auto"/>
              <w:bottom w:val="outset" w:sz="6" w:space="0" w:color="auto"/>
              <w:right w:val="outset" w:sz="6" w:space="0" w:color="auto"/>
            </w:tcBorders>
          </w:tcPr>
          <w:p w14:paraId="237527E4"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0880C4D"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9 (0.8)</w:t>
            </w:r>
          </w:p>
        </w:tc>
      </w:tr>
      <w:tr w:rsidR="00000498" w:rsidRPr="00E00E21" w14:paraId="68145664"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41B4FCBE"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5750E23C" w14:textId="77777777" w:rsidR="00B53F7D" w:rsidRPr="00E00E21" w:rsidRDefault="009E543F" w:rsidP="00B53F7D">
            <w:pPr>
              <w:spacing w:before="100" w:beforeAutospacing="1" w:after="100" w:afterAutospacing="1"/>
              <w:rPr>
                <w:sz w:val="22"/>
                <w:szCs w:val="22"/>
                <w:lang w:val="sr-Latn-RS" w:eastAsia="de-AT"/>
              </w:rPr>
            </w:pPr>
            <w:r w:rsidRPr="00E00E21">
              <w:rPr>
                <w:sz w:val="22"/>
                <w:szCs w:val="22"/>
                <w:lang w:val="sr-Latn-RS" w:eastAsia="de-AT"/>
              </w:rPr>
              <w:t>Bol u ekstremitetima</w:t>
            </w:r>
          </w:p>
        </w:tc>
        <w:tc>
          <w:tcPr>
            <w:tcW w:w="704" w:type="pct"/>
            <w:tcBorders>
              <w:top w:val="outset" w:sz="6" w:space="0" w:color="auto"/>
              <w:left w:val="outset" w:sz="6" w:space="0" w:color="auto"/>
              <w:bottom w:val="outset" w:sz="6" w:space="0" w:color="auto"/>
              <w:right w:val="outset" w:sz="6" w:space="0" w:color="auto"/>
            </w:tcBorders>
            <w:hideMark/>
          </w:tcPr>
          <w:p w14:paraId="5503F023"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13204E7A"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76 (7.0)</w:t>
            </w:r>
          </w:p>
        </w:tc>
        <w:tc>
          <w:tcPr>
            <w:tcW w:w="940" w:type="pct"/>
            <w:tcBorders>
              <w:top w:val="outset" w:sz="6" w:space="0" w:color="auto"/>
              <w:left w:val="outset" w:sz="6" w:space="0" w:color="auto"/>
              <w:bottom w:val="outset" w:sz="6" w:space="0" w:color="auto"/>
              <w:right w:val="outset" w:sz="6" w:space="0" w:color="auto"/>
            </w:tcBorders>
          </w:tcPr>
          <w:p w14:paraId="596F570A"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1F6B07BB"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9 (0.8)</w:t>
            </w:r>
          </w:p>
        </w:tc>
      </w:tr>
      <w:tr w:rsidR="00000498" w:rsidRPr="00E00E21" w14:paraId="12D57624"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6F4322C7"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7D9A0E12" w14:textId="77777777" w:rsidR="00B53F7D" w:rsidRPr="00E00E21" w:rsidRDefault="009E543F" w:rsidP="00B53F7D">
            <w:pPr>
              <w:spacing w:before="100" w:beforeAutospacing="1" w:after="100" w:afterAutospacing="1"/>
              <w:rPr>
                <w:sz w:val="22"/>
                <w:szCs w:val="22"/>
                <w:lang w:val="sr-Latn-RS" w:eastAsia="de-AT"/>
              </w:rPr>
            </w:pPr>
            <w:r w:rsidRPr="00E00E21">
              <w:rPr>
                <w:sz w:val="22"/>
                <w:szCs w:val="22"/>
                <w:lang w:val="sr-Latn-RS" w:eastAsia="de-AT"/>
              </w:rPr>
              <w:t>Mišićni spazam</w:t>
            </w:r>
          </w:p>
        </w:tc>
        <w:tc>
          <w:tcPr>
            <w:tcW w:w="704" w:type="pct"/>
            <w:tcBorders>
              <w:top w:val="outset" w:sz="6" w:space="0" w:color="auto"/>
              <w:left w:val="outset" w:sz="6" w:space="0" w:color="auto"/>
              <w:bottom w:val="outset" w:sz="6" w:space="0" w:color="auto"/>
              <w:right w:val="outset" w:sz="6" w:space="0" w:color="auto"/>
            </w:tcBorders>
            <w:hideMark/>
          </w:tcPr>
          <w:p w14:paraId="1A1ACA64"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10D32FEE"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51 (4.7)</w:t>
            </w:r>
          </w:p>
        </w:tc>
        <w:tc>
          <w:tcPr>
            <w:tcW w:w="940" w:type="pct"/>
            <w:tcBorders>
              <w:top w:val="outset" w:sz="6" w:space="0" w:color="auto"/>
              <w:left w:val="outset" w:sz="6" w:space="0" w:color="auto"/>
              <w:bottom w:val="outset" w:sz="6" w:space="0" w:color="auto"/>
              <w:right w:val="outset" w:sz="6" w:space="0" w:color="auto"/>
            </w:tcBorders>
          </w:tcPr>
          <w:p w14:paraId="10E26986"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58F6E5A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5C9ABABA"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2221EC37"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A6FC91C" w14:textId="77777777" w:rsidR="00B53F7D" w:rsidRPr="00E00E21" w:rsidRDefault="009E543F" w:rsidP="00B53F7D">
            <w:pPr>
              <w:spacing w:before="100" w:beforeAutospacing="1" w:after="100" w:afterAutospacing="1"/>
              <w:rPr>
                <w:sz w:val="22"/>
                <w:szCs w:val="22"/>
                <w:lang w:val="sr-Latn-RS" w:eastAsia="de-AT"/>
              </w:rPr>
            </w:pPr>
            <w:r w:rsidRPr="00E00E21">
              <w:rPr>
                <w:sz w:val="22"/>
                <w:szCs w:val="22"/>
                <w:lang w:val="sr-Latn-RS" w:eastAsia="de-AT"/>
              </w:rPr>
              <w:t>Mijalgija</w:t>
            </w:r>
          </w:p>
        </w:tc>
        <w:tc>
          <w:tcPr>
            <w:tcW w:w="704" w:type="pct"/>
            <w:tcBorders>
              <w:top w:val="outset" w:sz="6" w:space="0" w:color="auto"/>
              <w:left w:val="outset" w:sz="6" w:space="0" w:color="auto"/>
              <w:bottom w:val="outset" w:sz="6" w:space="0" w:color="auto"/>
              <w:right w:val="outset" w:sz="6" w:space="0" w:color="auto"/>
            </w:tcBorders>
            <w:hideMark/>
          </w:tcPr>
          <w:p w14:paraId="7D82E373"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15CC06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40 (3.7)</w:t>
            </w:r>
          </w:p>
        </w:tc>
        <w:tc>
          <w:tcPr>
            <w:tcW w:w="940" w:type="pct"/>
            <w:tcBorders>
              <w:top w:val="outset" w:sz="6" w:space="0" w:color="auto"/>
              <w:left w:val="outset" w:sz="6" w:space="0" w:color="auto"/>
              <w:bottom w:val="outset" w:sz="6" w:space="0" w:color="auto"/>
              <w:right w:val="outset" w:sz="6" w:space="0" w:color="auto"/>
            </w:tcBorders>
          </w:tcPr>
          <w:p w14:paraId="7E4DA1DA"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03472D1F"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 (0.2)</w:t>
            </w:r>
          </w:p>
        </w:tc>
      </w:tr>
      <w:tr w:rsidR="00000498" w:rsidRPr="00E00E21" w14:paraId="54F55FF5"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36FA61D1"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3E875D27" w14:textId="07C7D4B5"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rPr>
              <w:t>Mišićno-skeletni bol u grudnom košu</w:t>
            </w:r>
          </w:p>
        </w:tc>
        <w:tc>
          <w:tcPr>
            <w:tcW w:w="704" w:type="pct"/>
            <w:tcBorders>
              <w:top w:val="outset" w:sz="6" w:space="0" w:color="auto"/>
              <w:left w:val="outset" w:sz="6" w:space="0" w:color="auto"/>
              <w:bottom w:val="outset" w:sz="6" w:space="0" w:color="auto"/>
              <w:right w:val="outset" w:sz="6" w:space="0" w:color="auto"/>
            </w:tcBorders>
            <w:hideMark/>
          </w:tcPr>
          <w:p w14:paraId="6A0D6CEB"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01865B7"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34 (3.1)</w:t>
            </w:r>
          </w:p>
        </w:tc>
        <w:tc>
          <w:tcPr>
            <w:tcW w:w="940" w:type="pct"/>
            <w:tcBorders>
              <w:top w:val="outset" w:sz="6" w:space="0" w:color="auto"/>
              <w:left w:val="outset" w:sz="6" w:space="0" w:color="auto"/>
              <w:bottom w:val="outset" w:sz="6" w:space="0" w:color="auto"/>
              <w:right w:val="outset" w:sz="6" w:space="0" w:color="auto"/>
            </w:tcBorders>
          </w:tcPr>
          <w:p w14:paraId="6302D7FF"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7F254C8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3 (0.3)</w:t>
            </w:r>
          </w:p>
        </w:tc>
      </w:tr>
      <w:tr w:rsidR="00000498" w:rsidRPr="00E00E21" w14:paraId="17A0A927"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tcPr>
          <w:p w14:paraId="646F2B85"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tcPr>
          <w:p w14:paraId="17E56E47"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Mišćna slabost</w:t>
            </w:r>
          </w:p>
        </w:tc>
        <w:tc>
          <w:tcPr>
            <w:tcW w:w="704" w:type="pct"/>
            <w:tcBorders>
              <w:top w:val="outset" w:sz="6" w:space="0" w:color="auto"/>
              <w:left w:val="outset" w:sz="6" w:space="0" w:color="auto"/>
              <w:bottom w:val="outset" w:sz="6" w:space="0" w:color="auto"/>
              <w:right w:val="outset" w:sz="6" w:space="0" w:color="auto"/>
            </w:tcBorders>
          </w:tcPr>
          <w:p w14:paraId="57C44EEA"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tcPr>
          <w:p w14:paraId="21145EE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31 (2.8)</w:t>
            </w:r>
          </w:p>
        </w:tc>
        <w:tc>
          <w:tcPr>
            <w:tcW w:w="940" w:type="pct"/>
            <w:tcBorders>
              <w:top w:val="outset" w:sz="6" w:space="0" w:color="auto"/>
              <w:left w:val="outset" w:sz="6" w:space="0" w:color="auto"/>
              <w:bottom w:val="outset" w:sz="6" w:space="0" w:color="auto"/>
              <w:right w:val="outset" w:sz="6" w:space="0" w:color="auto"/>
            </w:tcBorders>
          </w:tcPr>
          <w:p w14:paraId="258942A5"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tcPr>
          <w:p w14:paraId="1DCE8A6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 (0.2)</w:t>
            </w:r>
          </w:p>
        </w:tc>
      </w:tr>
      <w:tr w:rsidR="00000498" w:rsidRPr="00E00E21" w14:paraId="355EEAB6"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0985E9D4"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71682761"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Bol u bokovima</w:t>
            </w:r>
          </w:p>
        </w:tc>
        <w:tc>
          <w:tcPr>
            <w:tcW w:w="704" w:type="pct"/>
            <w:tcBorders>
              <w:top w:val="outset" w:sz="6" w:space="0" w:color="auto"/>
              <w:left w:val="outset" w:sz="6" w:space="0" w:color="auto"/>
              <w:bottom w:val="outset" w:sz="6" w:space="0" w:color="auto"/>
              <w:right w:val="outset" w:sz="6" w:space="0" w:color="auto"/>
            </w:tcBorders>
            <w:hideMark/>
          </w:tcPr>
          <w:p w14:paraId="43BBAB60"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11AA5486"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17 (1.6)</w:t>
            </w:r>
          </w:p>
        </w:tc>
        <w:tc>
          <w:tcPr>
            <w:tcW w:w="940" w:type="pct"/>
            <w:tcBorders>
              <w:top w:val="outset" w:sz="6" w:space="0" w:color="auto"/>
              <w:left w:val="outset" w:sz="6" w:space="0" w:color="auto"/>
              <w:bottom w:val="outset" w:sz="6" w:space="0" w:color="auto"/>
              <w:right w:val="outset" w:sz="6" w:space="0" w:color="auto"/>
            </w:tcBorders>
          </w:tcPr>
          <w:p w14:paraId="4E795991"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06DF50E"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5 (0.5)</w:t>
            </w:r>
          </w:p>
        </w:tc>
      </w:tr>
      <w:tr w:rsidR="00000498" w:rsidRPr="00E00E21" w14:paraId="66448D82"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155F0CAE"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rPr>
              <w:t>Poremećaji bubrega i urinarnog sistema</w:t>
            </w:r>
          </w:p>
        </w:tc>
        <w:tc>
          <w:tcPr>
            <w:tcW w:w="961" w:type="pct"/>
            <w:tcBorders>
              <w:top w:val="outset" w:sz="6" w:space="0" w:color="auto"/>
              <w:left w:val="outset" w:sz="6" w:space="0" w:color="auto"/>
              <w:bottom w:val="outset" w:sz="6" w:space="0" w:color="auto"/>
              <w:right w:val="outset" w:sz="6" w:space="0" w:color="auto"/>
            </w:tcBorders>
            <w:hideMark/>
          </w:tcPr>
          <w:p w14:paraId="7A762A67" w14:textId="77777777" w:rsidR="00B53F7D" w:rsidRPr="00E00E21" w:rsidRDefault="00993AA7" w:rsidP="00993AA7">
            <w:pPr>
              <w:spacing w:before="100" w:beforeAutospacing="1" w:after="100" w:afterAutospacing="1"/>
              <w:rPr>
                <w:sz w:val="22"/>
                <w:szCs w:val="22"/>
                <w:lang w:val="sr-Latn-RS" w:eastAsia="de-AT"/>
              </w:rPr>
            </w:pPr>
            <w:r w:rsidRPr="00E00E21">
              <w:rPr>
                <w:sz w:val="22"/>
                <w:szCs w:val="22"/>
                <w:lang w:val="sr-Latn-RS" w:eastAsia="de-AT"/>
              </w:rPr>
              <w:t>Akutna insuficijencija bubrega</w:t>
            </w:r>
          </w:p>
        </w:tc>
        <w:tc>
          <w:tcPr>
            <w:tcW w:w="704" w:type="pct"/>
            <w:tcBorders>
              <w:top w:val="outset" w:sz="6" w:space="0" w:color="auto"/>
              <w:left w:val="outset" w:sz="6" w:space="0" w:color="auto"/>
              <w:bottom w:val="outset" w:sz="6" w:space="0" w:color="auto"/>
              <w:right w:val="outset" w:sz="6" w:space="0" w:color="auto"/>
            </w:tcBorders>
            <w:hideMark/>
          </w:tcPr>
          <w:p w14:paraId="22459E4A"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63D653DF"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21 (1.9)</w:t>
            </w:r>
          </w:p>
        </w:tc>
        <w:tc>
          <w:tcPr>
            <w:tcW w:w="940" w:type="pct"/>
            <w:tcBorders>
              <w:top w:val="outset" w:sz="6" w:space="0" w:color="auto"/>
              <w:left w:val="outset" w:sz="6" w:space="0" w:color="auto"/>
              <w:bottom w:val="outset" w:sz="6" w:space="0" w:color="auto"/>
              <w:right w:val="outset" w:sz="6" w:space="0" w:color="auto"/>
            </w:tcBorders>
          </w:tcPr>
          <w:p w14:paraId="305C8DCB"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9B8814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14 (1.3)</w:t>
            </w:r>
          </w:p>
        </w:tc>
      </w:tr>
      <w:tr w:rsidR="00000498" w:rsidRPr="00E00E21" w14:paraId="2F17417C"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6EF592B5"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5E0A2BD4"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Insuficijencija bubrega</w:t>
            </w:r>
          </w:p>
        </w:tc>
        <w:tc>
          <w:tcPr>
            <w:tcW w:w="704" w:type="pct"/>
            <w:tcBorders>
              <w:top w:val="outset" w:sz="6" w:space="0" w:color="auto"/>
              <w:left w:val="outset" w:sz="6" w:space="0" w:color="auto"/>
              <w:bottom w:val="outset" w:sz="6" w:space="0" w:color="auto"/>
              <w:right w:val="outset" w:sz="6" w:space="0" w:color="auto"/>
            </w:tcBorders>
            <w:hideMark/>
          </w:tcPr>
          <w:p w14:paraId="47404A71"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0874B682"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008A4A7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8 (0.7)</w:t>
            </w:r>
          </w:p>
        </w:tc>
        <w:tc>
          <w:tcPr>
            <w:tcW w:w="623" w:type="pct"/>
            <w:tcBorders>
              <w:top w:val="outset" w:sz="6" w:space="0" w:color="auto"/>
              <w:left w:val="outset" w:sz="6" w:space="0" w:color="auto"/>
              <w:bottom w:val="outset" w:sz="6" w:space="0" w:color="auto"/>
              <w:right w:val="outset" w:sz="6" w:space="0" w:color="auto"/>
            </w:tcBorders>
            <w:hideMark/>
          </w:tcPr>
          <w:p w14:paraId="54572AF1"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6 (0.5)</w:t>
            </w:r>
          </w:p>
        </w:tc>
      </w:tr>
      <w:tr w:rsidR="00000498" w:rsidRPr="00E00E21" w14:paraId="519469E2"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2A380080"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4177E8CB" w14:textId="77777777" w:rsidR="00B53F7D" w:rsidRPr="00E00E21" w:rsidRDefault="00993AA7" w:rsidP="00993AA7">
            <w:pPr>
              <w:spacing w:before="100" w:beforeAutospacing="1" w:after="100" w:afterAutospacing="1"/>
              <w:rPr>
                <w:sz w:val="22"/>
                <w:szCs w:val="22"/>
                <w:lang w:val="sr-Latn-RS" w:eastAsia="de-AT"/>
              </w:rPr>
            </w:pPr>
            <w:r w:rsidRPr="00E00E21">
              <w:rPr>
                <w:sz w:val="22"/>
                <w:szCs w:val="22"/>
                <w:lang w:val="sr-Latn-RS" w:eastAsia="de-AT"/>
              </w:rPr>
              <w:t>Diz</w:t>
            </w:r>
            <w:r w:rsidR="00B53F7D" w:rsidRPr="00E00E21">
              <w:rPr>
                <w:sz w:val="22"/>
                <w:szCs w:val="22"/>
                <w:lang w:val="sr-Latn-RS" w:eastAsia="de-AT"/>
              </w:rPr>
              <w:t>uri</w:t>
            </w:r>
            <w:r w:rsidRPr="00E00E21">
              <w:rPr>
                <w:sz w:val="22"/>
                <w:szCs w:val="22"/>
                <w:lang w:val="sr-Latn-RS" w:eastAsia="de-AT"/>
              </w:rPr>
              <w:t>j</w:t>
            </w:r>
            <w:r w:rsidR="00B53F7D" w:rsidRPr="00E00E21">
              <w:rPr>
                <w:sz w:val="22"/>
                <w:szCs w:val="22"/>
                <w:lang w:val="sr-Latn-RS" w:eastAsia="de-AT"/>
              </w:rPr>
              <w:t>a</w:t>
            </w:r>
          </w:p>
        </w:tc>
        <w:tc>
          <w:tcPr>
            <w:tcW w:w="704" w:type="pct"/>
            <w:tcBorders>
              <w:top w:val="outset" w:sz="6" w:space="0" w:color="auto"/>
              <w:left w:val="outset" w:sz="6" w:space="0" w:color="auto"/>
              <w:bottom w:val="outset" w:sz="6" w:space="0" w:color="auto"/>
              <w:right w:val="outset" w:sz="6" w:space="0" w:color="auto"/>
            </w:tcBorders>
            <w:hideMark/>
          </w:tcPr>
          <w:p w14:paraId="302A99BA"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6D583036"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52 (4.8)</w:t>
            </w:r>
          </w:p>
        </w:tc>
        <w:tc>
          <w:tcPr>
            <w:tcW w:w="940" w:type="pct"/>
            <w:tcBorders>
              <w:top w:val="outset" w:sz="6" w:space="0" w:color="auto"/>
              <w:left w:val="outset" w:sz="6" w:space="0" w:color="auto"/>
              <w:bottom w:val="outset" w:sz="6" w:space="0" w:color="auto"/>
              <w:right w:val="outset" w:sz="6" w:space="0" w:color="auto"/>
            </w:tcBorders>
          </w:tcPr>
          <w:p w14:paraId="6B3E77EF"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568BF07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53389426"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45AED17A"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5EA70F02"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Bubrežne kolike</w:t>
            </w:r>
            <w:r w:rsidR="00B53F7D" w:rsidRPr="00E00E21">
              <w:rPr>
                <w:sz w:val="22"/>
                <w:szCs w:val="22"/>
                <w:lang w:val="sr-Latn-RS" w:eastAsia="de-AT"/>
              </w:rPr>
              <w:t xml:space="preserve"> </w:t>
            </w:r>
          </w:p>
        </w:tc>
        <w:tc>
          <w:tcPr>
            <w:tcW w:w="704" w:type="pct"/>
            <w:tcBorders>
              <w:top w:val="outset" w:sz="6" w:space="0" w:color="auto"/>
              <w:left w:val="outset" w:sz="6" w:space="0" w:color="auto"/>
              <w:bottom w:val="outset" w:sz="6" w:space="0" w:color="auto"/>
              <w:right w:val="outset" w:sz="6" w:space="0" w:color="auto"/>
            </w:tcBorders>
            <w:hideMark/>
          </w:tcPr>
          <w:p w14:paraId="49F7A9D3"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3D3AE54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14 (1.3)</w:t>
            </w:r>
          </w:p>
        </w:tc>
        <w:tc>
          <w:tcPr>
            <w:tcW w:w="940" w:type="pct"/>
            <w:tcBorders>
              <w:top w:val="outset" w:sz="6" w:space="0" w:color="auto"/>
              <w:left w:val="outset" w:sz="6" w:space="0" w:color="auto"/>
              <w:bottom w:val="outset" w:sz="6" w:space="0" w:color="auto"/>
              <w:right w:val="outset" w:sz="6" w:space="0" w:color="auto"/>
            </w:tcBorders>
          </w:tcPr>
          <w:p w14:paraId="177AEF00"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622F7F6E"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 (0.2)</w:t>
            </w:r>
          </w:p>
        </w:tc>
      </w:tr>
      <w:tr w:rsidR="00000498" w:rsidRPr="00E00E21" w14:paraId="5BB5C606"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3C9852F1"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3AB2B8EC"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Hematurija</w:t>
            </w:r>
          </w:p>
        </w:tc>
        <w:tc>
          <w:tcPr>
            <w:tcW w:w="704" w:type="pct"/>
            <w:tcBorders>
              <w:top w:val="outset" w:sz="6" w:space="0" w:color="auto"/>
              <w:left w:val="outset" w:sz="6" w:space="0" w:color="auto"/>
              <w:bottom w:val="outset" w:sz="6" w:space="0" w:color="auto"/>
              <w:right w:val="outset" w:sz="6" w:space="0" w:color="auto"/>
            </w:tcBorders>
            <w:hideMark/>
          </w:tcPr>
          <w:p w14:paraId="756D199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205 (18.8)</w:t>
            </w:r>
          </w:p>
        </w:tc>
        <w:tc>
          <w:tcPr>
            <w:tcW w:w="859" w:type="pct"/>
            <w:tcBorders>
              <w:top w:val="outset" w:sz="6" w:space="0" w:color="auto"/>
              <w:left w:val="outset" w:sz="6" w:space="0" w:color="auto"/>
              <w:bottom w:val="outset" w:sz="6" w:space="0" w:color="auto"/>
              <w:right w:val="outset" w:sz="6" w:space="0" w:color="auto"/>
            </w:tcBorders>
            <w:hideMark/>
          </w:tcPr>
          <w:p w14:paraId="757C7ABE" w14:textId="77777777" w:rsidR="00B53F7D" w:rsidRPr="00E00E21" w:rsidRDefault="00B53F7D" w:rsidP="00B53F7D">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437DBBA4"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49945CB7"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33 (3.0)</w:t>
            </w:r>
          </w:p>
        </w:tc>
      </w:tr>
      <w:tr w:rsidR="00000498" w:rsidRPr="00E00E21" w14:paraId="5D46131C"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677AC372"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6BA8E280"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Pol</w:t>
            </w:r>
            <w:r w:rsidR="00B53F7D" w:rsidRPr="00E00E21">
              <w:rPr>
                <w:sz w:val="22"/>
                <w:szCs w:val="22"/>
                <w:lang w:val="sr-Latn-RS" w:eastAsia="de-AT"/>
              </w:rPr>
              <w:t>akiur</w:t>
            </w:r>
            <w:r w:rsidRPr="00E00E21">
              <w:rPr>
                <w:sz w:val="22"/>
                <w:szCs w:val="22"/>
                <w:lang w:val="sr-Latn-RS" w:eastAsia="de-AT"/>
              </w:rPr>
              <w:t>j</w:t>
            </w:r>
            <w:r w:rsidR="00B53F7D" w:rsidRPr="00E00E21">
              <w:rPr>
                <w:sz w:val="22"/>
                <w:szCs w:val="22"/>
                <w:lang w:val="sr-Latn-RS" w:eastAsia="de-AT"/>
              </w:rPr>
              <w:t>ia</w:t>
            </w:r>
          </w:p>
        </w:tc>
        <w:tc>
          <w:tcPr>
            <w:tcW w:w="704" w:type="pct"/>
            <w:tcBorders>
              <w:top w:val="outset" w:sz="6" w:space="0" w:color="auto"/>
              <w:left w:val="outset" w:sz="6" w:space="0" w:color="auto"/>
              <w:bottom w:val="outset" w:sz="6" w:space="0" w:color="auto"/>
              <w:right w:val="outset" w:sz="6" w:space="0" w:color="auto"/>
            </w:tcBorders>
            <w:hideMark/>
          </w:tcPr>
          <w:p w14:paraId="49062C87"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0CE723C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26 (2.4)</w:t>
            </w:r>
          </w:p>
        </w:tc>
        <w:tc>
          <w:tcPr>
            <w:tcW w:w="940" w:type="pct"/>
            <w:tcBorders>
              <w:top w:val="outset" w:sz="6" w:space="0" w:color="auto"/>
              <w:left w:val="outset" w:sz="6" w:space="0" w:color="auto"/>
              <w:bottom w:val="outset" w:sz="6" w:space="0" w:color="auto"/>
              <w:right w:val="outset" w:sz="6" w:space="0" w:color="auto"/>
            </w:tcBorders>
          </w:tcPr>
          <w:p w14:paraId="1A53DF30"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1EA5E4C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 (0.2)</w:t>
            </w:r>
          </w:p>
        </w:tc>
      </w:tr>
      <w:tr w:rsidR="00000498" w:rsidRPr="00E00E21" w14:paraId="272B5B15"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64580631"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1FF26AA8" w14:textId="77777777" w:rsidR="00B53F7D" w:rsidRPr="00E00E21" w:rsidRDefault="00993AA7" w:rsidP="00993AA7">
            <w:pPr>
              <w:spacing w:before="100" w:beforeAutospacing="1" w:after="100" w:afterAutospacing="1"/>
              <w:rPr>
                <w:sz w:val="22"/>
                <w:szCs w:val="22"/>
                <w:lang w:val="sr-Latn-RS" w:eastAsia="de-AT"/>
              </w:rPr>
            </w:pPr>
            <w:r w:rsidRPr="00E00E21">
              <w:rPr>
                <w:sz w:val="22"/>
                <w:szCs w:val="22"/>
                <w:lang w:val="sr-Latn-RS" w:eastAsia="de-AT"/>
              </w:rPr>
              <w:t>Hi</w:t>
            </w:r>
            <w:r w:rsidR="00B53F7D" w:rsidRPr="00E00E21">
              <w:rPr>
                <w:sz w:val="22"/>
                <w:szCs w:val="22"/>
                <w:lang w:val="sr-Latn-RS" w:eastAsia="de-AT"/>
              </w:rPr>
              <w:t>drone</w:t>
            </w:r>
            <w:r w:rsidRPr="00E00E21">
              <w:rPr>
                <w:sz w:val="22"/>
                <w:szCs w:val="22"/>
                <w:lang w:val="sr-Latn-RS" w:eastAsia="de-AT"/>
              </w:rPr>
              <w:t>fr</w:t>
            </w:r>
            <w:r w:rsidR="00B53F7D" w:rsidRPr="00E00E21">
              <w:rPr>
                <w:sz w:val="22"/>
                <w:szCs w:val="22"/>
                <w:lang w:val="sr-Latn-RS" w:eastAsia="de-AT"/>
              </w:rPr>
              <w:t>o</w:t>
            </w:r>
            <w:r w:rsidRPr="00E00E21">
              <w:rPr>
                <w:sz w:val="22"/>
                <w:szCs w:val="22"/>
                <w:lang w:val="sr-Latn-RS" w:eastAsia="de-AT"/>
              </w:rPr>
              <w:t>za</w:t>
            </w:r>
          </w:p>
        </w:tc>
        <w:tc>
          <w:tcPr>
            <w:tcW w:w="704" w:type="pct"/>
            <w:tcBorders>
              <w:top w:val="outset" w:sz="6" w:space="0" w:color="auto"/>
              <w:left w:val="outset" w:sz="6" w:space="0" w:color="auto"/>
              <w:bottom w:val="outset" w:sz="6" w:space="0" w:color="auto"/>
              <w:right w:val="outset" w:sz="6" w:space="0" w:color="auto"/>
            </w:tcBorders>
            <w:hideMark/>
          </w:tcPr>
          <w:p w14:paraId="31F2753E"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3D888691"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25 (2.3)</w:t>
            </w:r>
          </w:p>
        </w:tc>
        <w:tc>
          <w:tcPr>
            <w:tcW w:w="940" w:type="pct"/>
            <w:tcBorders>
              <w:top w:val="outset" w:sz="6" w:space="0" w:color="auto"/>
              <w:left w:val="outset" w:sz="6" w:space="0" w:color="auto"/>
              <w:bottom w:val="outset" w:sz="6" w:space="0" w:color="auto"/>
              <w:right w:val="outset" w:sz="6" w:space="0" w:color="auto"/>
            </w:tcBorders>
          </w:tcPr>
          <w:p w14:paraId="399F479C"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E8B0AD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13 (1.2)</w:t>
            </w:r>
          </w:p>
        </w:tc>
      </w:tr>
      <w:tr w:rsidR="00000498" w:rsidRPr="00E00E21" w14:paraId="10071FDE"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4551F5F7"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7455ED8D"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Retencija urina</w:t>
            </w:r>
          </w:p>
        </w:tc>
        <w:tc>
          <w:tcPr>
            <w:tcW w:w="704" w:type="pct"/>
            <w:tcBorders>
              <w:top w:val="outset" w:sz="6" w:space="0" w:color="auto"/>
              <w:left w:val="outset" w:sz="6" w:space="0" w:color="auto"/>
              <w:bottom w:val="outset" w:sz="6" w:space="0" w:color="auto"/>
              <w:right w:val="outset" w:sz="6" w:space="0" w:color="auto"/>
            </w:tcBorders>
            <w:hideMark/>
          </w:tcPr>
          <w:p w14:paraId="1F873ED9"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282D1CB"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36 (3.3)</w:t>
            </w:r>
          </w:p>
        </w:tc>
        <w:tc>
          <w:tcPr>
            <w:tcW w:w="940" w:type="pct"/>
            <w:tcBorders>
              <w:top w:val="outset" w:sz="6" w:space="0" w:color="auto"/>
              <w:left w:val="outset" w:sz="6" w:space="0" w:color="auto"/>
              <w:bottom w:val="outset" w:sz="6" w:space="0" w:color="auto"/>
              <w:right w:val="outset" w:sz="6" w:space="0" w:color="auto"/>
            </w:tcBorders>
          </w:tcPr>
          <w:p w14:paraId="0FB70CC0"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7C70D77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4 (0.4)</w:t>
            </w:r>
          </w:p>
        </w:tc>
      </w:tr>
      <w:tr w:rsidR="00000498" w:rsidRPr="00E00E21" w14:paraId="74386A92"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7C5E3221"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44B61BD1"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Urinarna inkontinencija</w:t>
            </w:r>
          </w:p>
        </w:tc>
        <w:tc>
          <w:tcPr>
            <w:tcW w:w="704" w:type="pct"/>
            <w:tcBorders>
              <w:top w:val="outset" w:sz="6" w:space="0" w:color="auto"/>
              <w:left w:val="outset" w:sz="6" w:space="0" w:color="auto"/>
              <w:bottom w:val="outset" w:sz="6" w:space="0" w:color="auto"/>
              <w:right w:val="outset" w:sz="6" w:space="0" w:color="auto"/>
            </w:tcBorders>
            <w:hideMark/>
          </w:tcPr>
          <w:p w14:paraId="1955F646"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11D58AA3"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22 (2.0)</w:t>
            </w:r>
          </w:p>
        </w:tc>
        <w:tc>
          <w:tcPr>
            <w:tcW w:w="940" w:type="pct"/>
            <w:tcBorders>
              <w:top w:val="outset" w:sz="6" w:space="0" w:color="auto"/>
              <w:left w:val="outset" w:sz="6" w:space="0" w:color="auto"/>
              <w:bottom w:val="outset" w:sz="6" w:space="0" w:color="auto"/>
              <w:right w:val="outset" w:sz="6" w:space="0" w:color="auto"/>
            </w:tcBorders>
          </w:tcPr>
          <w:p w14:paraId="48345353"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1A6D754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6BFED474"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335D5E13"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1FEEBC45" w14:textId="77777777" w:rsidR="00B53F7D" w:rsidRPr="00E00E21" w:rsidRDefault="00B53F7D" w:rsidP="00993AA7">
            <w:pPr>
              <w:spacing w:before="100" w:beforeAutospacing="1" w:after="100" w:afterAutospacing="1"/>
              <w:rPr>
                <w:sz w:val="22"/>
                <w:szCs w:val="22"/>
                <w:lang w:val="sr-Latn-RS" w:eastAsia="de-AT"/>
              </w:rPr>
            </w:pPr>
            <w:r w:rsidRPr="00E00E21">
              <w:rPr>
                <w:sz w:val="22"/>
                <w:szCs w:val="22"/>
                <w:lang w:val="sr-Latn-RS" w:eastAsia="de-AT"/>
              </w:rPr>
              <w:t>Ureter</w:t>
            </w:r>
            <w:r w:rsidR="00993AA7" w:rsidRPr="00E00E21">
              <w:rPr>
                <w:sz w:val="22"/>
                <w:szCs w:val="22"/>
                <w:lang w:val="sr-Latn-RS" w:eastAsia="de-AT"/>
              </w:rPr>
              <w:t xml:space="preserve">alna </w:t>
            </w:r>
            <w:r w:rsidRPr="00E00E21">
              <w:rPr>
                <w:sz w:val="22"/>
                <w:szCs w:val="22"/>
                <w:lang w:val="sr-Latn-RS" w:eastAsia="de-AT"/>
              </w:rPr>
              <w:t>obstru</w:t>
            </w:r>
            <w:r w:rsidR="00993AA7" w:rsidRPr="00E00E21">
              <w:rPr>
                <w:sz w:val="22"/>
                <w:szCs w:val="22"/>
                <w:lang w:val="sr-Latn-RS" w:eastAsia="de-AT"/>
              </w:rPr>
              <w:t>kcija</w:t>
            </w:r>
          </w:p>
        </w:tc>
        <w:tc>
          <w:tcPr>
            <w:tcW w:w="704" w:type="pct"/>
            <w:tcBorders>
              <w:top w:val="outset" w:sz="6" w:space="0" w:color="auto"/>
              <w:left w:val="outset" w:sz="6" w:space="0" w:color="auto"/>
              <w:bottom w:val="outset" w:sz="6" w:space="0" w:color="auto"/>
              <w:right w:val="outset" w:sz="6" w:space="0" w:color="auto"/>
            </w:tcBorders>
            <w:hideMark/>
          </w:tcPr>
          <w:p w14:paraId="24B973D7"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799DD199"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367EDA43"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8 (0.7)</w:t>
            </w:r>
          </w:p>
        </w:tc>
        <w:tc>
          <w:tcPr>
            <w:tcW w:w="623" w:type="pct"/>
            <w:tcBorders>
              <w:top w:val="outset" w:sz="6" w:space="0" w:color="auto"/>
              <w:left w:val="outset" w:sz="6" w:space="0" w:color="auto"/>
              <w:bottom w:val="outset" w:sz="6" w:space="0" w:color="auto"/>
              <w:right w:val="outset" w:sz="6" w:space="0" w:color="auto"/>
            </w:tcBorders>
            <w:hideMark/>
          </w:tcPr>
          <w:p w14:paraId="3B88039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6 (0.5)</w:t>
            </w:r>
          </w:p>
        </w:tc>
      </w:tr>
      <w:tr w:rsidR="00000498" w:rsidRPr="00E00E21" w14:paraId="27C2EC25" w14:textId="77777777" w:rsidTr="00000498">
        <w:trPr>
          <w:tblCellSpacing w:w="0" w:type="dxa"/>
        </w:trPr>
        <w:tc>
          <w:tcPr>
            <w:tcW w:w="913" w:type="pct"/>
            <w:tcBorders>
              <w:top w:val="outset" w:sz="6" w:space="0" w:color="auto"/>
              <w:left w:val="outset" w:sz="6" w:space="0" w:color="auto"/>
              <w:bottom w:val="outset" w:sz="6" w:space="0" w:color="auto"/>
              <w:right w:val="outset" w:sz="6" w:space="0" w:color="auto"/>
            </w:tcBorders>
            <w:vAlign w:val="center"/>
            <w:hideMark/>
          </w:tcPr>
          <w:p w14:paraId="2A29581C" w14:textId="77777777" w:rsidR="00B53F7D" w:rsidRPr="00E00E21" w:rsidRDefault="00993AA7" w:rsidP="00993AA7">
            <w:pPr>
              <w:spacing w:before="100" w:beforeAutospacing="1" w:after="100" w:afterAutospacing="1"/>
              <w:rPr>
                <w:sz w:val="22"/>
                <w:szCs w:val="22"/>
                <w:lang w:val="sr-Latn-RS" w:eastAsia="de-AT"/>
              </w:rPr>
            </w:pPr>
            <w:r w:rsidRPr="00E00E21">
              <w:rPr>
                <w:sz w:val="22"/>
                <w:szCs w:val="22"/>
                <w:lang w:val="sr-Latn-RS" w:eastAsia="de-AT"/>
              </w:rPr>
              <w:t>Poremećaji reproduktivnog sistema i dojki</w:t>
            </w:r>
          </w:p>
        </w:tc>
        <w:tc>
          <w:tcPr>
            <w:tcW w:w="961" w:type="pct"/>
            <w:tcBorders>
              <w:top w:val="outset" w:sz="6" w:space="0" w:color="auto"/>
              <w:left w:val="outset" w:sz="6" w:space="0" w:color="auto"/>
              <w:bottom w:val="outset" w:sz="6" w:space="0" w:color="auto"/>
              <w:right w:val="outset" w:sz="6" w:space="0" w:color="auto"/>
            </w:tcBorders>
            <w:hideMark/>
          </w:tcPr>
          <w:p w14:paraId="0F25E84A"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Bol u karlici</w:t>
            </w:r>
          </w:p>
        </w:tc>
        <w:tc>
          <w:tcPr>
            <w:tcW w:w="704" w:type="pct"/>
            <w:tcBorders>
              <w:top w:val="outset" w:sz="6" w:space="0" w:color="auto"/>
              <w:left w:val="outset" w:sz="6" w:space="0" w:color="auto"/>
              <w:bottom w:val="outset" w:sz="6" w:space="0" w:color="auto"/>
              <w:right w:val="outset" w:sz="6" w:space="0" w:color="auto"/>
            </w:tcBorders>
            <w:hideMark/>
          </w:tcPr>
          <w:p w14:paraId="3C4D289D"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771BDEAE"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20 (1.8)</w:t>
            </w:r>
          </w:p>
        </w:tc>
        <w:tc>
          <w:tcPr>
            <w:tcW w:w="940" w:type="pct"/>
            <w:tcBorders>
              <w:top w:val="outset" w:sz="6" w:space="0" w:color="auto"/>
              <w:left w:val="outset" w:sz="6" w:space="0" w:color="auto"/>
              <w:bottom w:val="outset" w:sz="6" w:space="0" w:color="auto"/>
              <w:right w:val="outset" w:sz="6" w:space="0" w:color="auto"/>
            </w:tcBorders>
          </w:tcPr>
          <w:p w14:paraId="033ABCA4"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7F6383C4"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5 (0.5)</w:t>
            </w:r>
          </w:p>
        </w:tc>
      </w:tr>
      <w:tr w:rsidR="00000498" w:rsidRPr="00E00E21" w14:paraId="0C8C210C"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7BEA0E3F"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rPr>
              <w:t>Opšti poremećaji i reakcije na mjestu primjene</w:t>
            </w:r>
          </w:p>
        </w:tc>
        <w:tc>
          <w:tcPr>
            <w:tcW w:w="961" w:type="pct"/>
            <w:tcBorders>
              <w:top w:val="outset" w:sz="6" w:space="0" w:color="auto"/>
              <w:left w:val="outset" w:sz="6" w:space="0" w:color="auto"/>
              <w:bottom w:val="outset" w:sz="6" w:space="0" w:color="auto"/>
              <w:right w:val="outset" w:sz="6" w:space="0" w:color="auto"/>
            </w:tcBorders>
            <w:hideMark/>
          </w:tcPr>
          <w:p w14:paraId="5D3179AD"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Umor</w:t>
            </w:r>
          </w:p>
        </w:tc>
        <w:tc>
          <w:tcPr>
            <w:tcW w:w="704" w:type="pct"/>
            <w:tcBorders>
              <w:top w:val="outset" w:sz="6" w:space="0" w:color="auto"/>
              <w:left w:val="outset" w:sz="6" w:space="0" w:color="auto"/>
              <w:bottom w:val="outset" w:sz="6" w:space="0" w:color="auto"/>
              <w:right w:val="outset" w:sz="6" w:space="0" w:color="auto"/>
            </w:tcBorders>
            <w:hideMark/>
          </w:tcPr>
          <w:p w14:paraId="4E15C62D"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333 (30.5)</w:t>
            </w:r>
          </w:p>
        </w:tc>
        <w:tc>
          <w:tcPr>
            <w:tcW w:w="859" w:type="pct"/>
            <w:tcBorders>
              <w:top w:val="outset" w:sz="6" w:space="0" w:color="auto"/>
              <w:left w:val="outset" w:sz="6" w:space="0" w:color="auto"/>
              <w:bottom w:val="outset" w:sz="6" w:space="0" w:color="auto"/>
              <w:right w:val="outset" w:sz="6" w:space="0" w:color="auto"/>
            </w:tcBorders>
            <w:hideMark/>
          </w:tcPr>
          <w:p w14:paraId="34608E81" w14:textId="77777777" w:rsidR="00B53F7D" w:rsidRPr="00E00E21" w:rsidRDefault="00B53F7D" w:rsidP="00B53F7D">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7747C2C0"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1707426E"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42 (3.8)</w:t>
            </w:r>
          </w:p>
        </w:tc>
      </w:tr>
      <w:tr w:rsidR="00000498" w:rsidRPr="00E00E21" w14:paraId="79FE5392"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76DC8DD7"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63A7210"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Aste</w:t>
            </w:r>
            <w:r w:rsidR="00B53F7D" w:rsidRPr="00E00E21">
              <w:rPr>
                <w:sz w:val="22"/>
                <w:szCs w:val="22"/>
                <w:lang w:val="sr-Latn-RS" w:eastAsia="de-AT"/>
              </w:rPr>
              <w:t>ni</w:t>
            </w:r>
            <w:r w:rsidRPr="00E00E21">
              <w:rPr>
                <w:sz w:val="22"/>
                <w:szCs w:val="22"/>
                <w:lang w:val="sr-Latn-RS" w:eastAsia="de-AT"/>
              </w:rPr>
              <w:t>j</w:t>
            </w:r>
            <w:r w:rsidR="00B53F7D" w:rsidRPr="00E00E21">
              <w:rPr>
                <w:sz w:val="22"/>
                <w:szCs w:val="22"/>
                <w:lang w:val="sr-Latn-RS" w:eastAsia="de-AT"/>
              </w:rPr>
              <w:t>a</w:t>
            </w:r>
          </w:p>
        </w:tc>
        <w:tc>
          <w:tcPr>
            <w:tcW w:w="704" w:type="pct"/>
            <w:tcBorders>
              <w:top w:val="outset" w:sz="6" w:space="0" w:color="auto"/>
              <w:left w:val="outset" w:sz="6" w:space="0" w:color="auto"/>
              <w:bottom w:val="outset" w:sz="6" w:space="0" w:color="auto"/>
              <w:right w:val="outset" w:sz="6" w:space="0" w:color="auto"/>
            </w:tcBorders>
            <w:hideMark/>
          </w:tcPr>
          <w:p w14:paraId="0B367428"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227 (20.8)</w:t>
            </w:r>
          </w:p>
        </w:tc>
        <w:tc>
          <w:tcPr>
            <w:tcW w:w="859" w:type="pct"/>
            <w:tcBorders>
              <w:top w:val="outset" w:sz="6" w:space="0" w:color="auto"/>
              <w:left w:val="outset" w:sz="6" w:space="0" w:color="auto"/>
              <w:bottom w:val="outset" w:sz="6" w:space="0" w:color="auto"/>
              <w:right w:val="outset" w:sz="6" w:space="0" w:color="auto"/>
            </w:tcBorders>
            <w:hideMark/>
          </w:tcPr>
          <w:p w14:paraId="4312D9AE" w14:textId="77777777" w:rsidR="00B53F7D" w:rsidRPr="00E00E21" w:rsidRDefault="00B53F7D" w:rsidP="00B53F7D">
            <w:pPr>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4535B610"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38965316"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32 (2.9)</w:t>
            </w:r>
          </w:p>
        </w:tc>
      </w:tr>
      <w:tr w:rsidR="00000498" w:rsidRPr="00E00E21" w14:paraId="408500F5"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2CD90D6A"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1DE45B46"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Pireksija</w:t>
            </w:r>
          </w:p>
        </w:tc>
        <w:tc>
          <w:tcPr>
            <w:tcW w:w="704" w:type="pct"/>
            <w:tcBorders>
              <w:top w:val="outset" w:sz="6" w:space="0" w:color="auto"/>
              <w:left w:val="outset" w:sz="6" w:space="0" w:color="auto"/>
              <w:bottom w:val="outset" w:sz="6" w:space="0" w:color="auto"/>
              <w:right w:val="outset" w:sz="6" w:space="0" w:color="auto"/>
            </w:tcBorders>
            <w:hideMark/>
          </w:tcPr>
          <w:p w14:paraId="5C8E5602" w14:textId="77777777" w:rsidR="00B53F7D" w:rsidRPr="00E00E21" w:rsidRDefault="00B53F7D" w:rsidP="00B53F7D">
            <w:pPr>
              <w:spacing w:before="100" w:beforeAutospacing="1" w:after="100" w:afterAutospacing="1"/>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B8672CD" w14:textId="77777777" w:rsidR="00B53F7D" w:rsidRPr="00E00E21" w:rsidRDefault="00B53F7D" w:rsidP="00B53F7D">
            <w:pPr>
              <w:rPr>
                <w:sz w:val="22"/>
                <w:szCs w:val="22"/>
                <w:lang w:val="sr-Latn-RS" w:eastAsia="de-AT"/>
              </w:rPr>
            </w:pPr>
            <w:r w:rsidRPr="00E00E21">
              <w:rPr>
                <w:sz w:val="22"/>
                <w:szCs w:val="22"/>
                <w:lang w:val="sr-Latn-RS" w:eastAsia="de-AT"/>
              </w:rPr>
              <w:t>90 (8.2)</w:t>
            </w:r>
          </w:p>
        </w:tc>
        <w:tc>
          <w:tcPr>
            <w:tcW w:w="940" w:type="pct"/>
            <w:tcBorders>
              <w:top w:val="outset" w:sz="6" w:space="0" w:color="auto"/>
              <w:left w:val="outset" w:sz="6" w:space="0" w:color="auto"/>
              <w:bottom w:val="outset" w:sz="6" w:space="0" w:color="auto"/>
              <w:right w:val="outset" w:sz="6" w:space="0" w:color="auto"/>
            </w:tcBorders>
          </w:tcPr>
          <w:p w14:paraId="4FEF07C6"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00A26F3"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5 (0.5)</w:t>
            </w:r>
          </w:p>
        </w:tc>
      </w:tr>
      <w:tr w:rsidR="00000498" w:rsidRPr="00E00E21" w14:paraId="49F91068"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49829830"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32153378" w14:textId="77777777" w:rsidR="00B53F7D" w:rsidRPr="00E00E21" w:rsidRDefault="00993AA7" w:rsidP="00993AA7">
            <w:pPr>
              <w:spacing w:before="100" w:beforeAutospacing="1" w:after="100" w:afterAutospacing="1"/>
              <w:rPr>
                <w:sz w:val="22"/>
                <w:szCs w:val="22"/>
                <w:lang w:val="sr-Latn-RS" w:eastAsia="de-AT"/>
              </w:rPr>
            </w:pPr>
            <w:r w:rsidRPr="00E00E21">
              <w:rPr>
                <w:sz w:val="22"/>
                <w:szCs w:val="22"/>
                <w:lang w:val="sr-Latn-RS" w:eastAsia="de-AT"/>
              </w:rPr>
              <w:t xml:space="preserve">Periferni </w:t>
            </w:r>
            <w:r w:rsidR="00B53F7D" w:rsidRPr="00E00E21">
              <w:rPr>
                <w:sz w:val="22"/>
                <w:szCs w:val="22"/>
                <w:lang w:val="sr-Latn-RS" w:eastAsia="de-AT"/>
              </w:rPr>
              <w:t>edem</w:t>
            </w:r>
          </w:p>
        </w:tc>
        <w:tc>
          <w:tcPr>
            <w:tcW w:w="704" w:type="pct"/>
            <w:tcBorders>
              <w:top w:val="outset" w:sz="6" w:space="0" w:color="auto"/>
              <w:left w:val="outset" w:sz="6" w:space="0" w:color="auto"/>
              <w:bottom w:val="outset" w:sz="6" w:space="0" w:color="auto"/>
              <w:right w:val="outset" w:sz="6" w:space="0" w:color="auto"/>
            </w:tcBorders>
            <w:hideMark/>
          </w:tcPr>
          <w:p w14:paraId="726447C0"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0C2183B2"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96 (8.8)</w:t>
            </w:r>
          </w:p>
        </w:tc>
        <w:tc>
          <w:tcPr>
            <w:tcW w:w="940" w:type="pct"/>
            <w:tcBorders>
              <w:top w:val="outset" w:sz="6" w:space="0" w:color="auto"/>
              <w:left w:val="outset" w:sz="6" w:space="0" w:color="auto"/>
              <w:bottom w:val="outset" w:sz="6" w:space="0" w:color="auto"/>
              <w:right w:val="outset" w:sz="6" w:space="0" w:color="auto"/>
            </w:tcBorders>
          </w:tcPr>
          <w:p w14:paraId="7CC5E95A"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4F96098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 (0.2)</w:t>
            </w:r>
          </w:p>
        </w:tc>
      </w:tr>
      <w:tr w:rsidR="00000498" w:rsidRPr="00E00E21" w14:paraId="79D69AFE"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72F749BC"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13D496FA"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Zapaljenje sluzokože</w:t>
            </w:r>
          </w:p>
        </w:tc>
        <w:tc>
          <w:tcPr>
            <w:tcW w:w="704" w:type="pct"/>
            <w:tcBorders>
              <w:top w:val="outset" w:sz="6" w:space="0" w:color="auto"/>
              <w:left w:val="outset" w:sz="6" w:space="0" w:color="auto"/>
              <w:bottom w:val="outset" w:sz="6" w:space="0" w:color="auto"/>
              <w:right w:val="outset" w:sz="6" w:space="0" w:color="auto"/>
            </w:tcBorders>
            <w:hideMark/>
          </w:tcPr>
          <w:p w14:paraId="5DB0BB07"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6003DCF3"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23 (2.1)</w:t>
            </w:r>
          </w:p>
        </w:tc>
        <w:tc>
          <w:tcPr>
            <w:tcW w:w="940" w:type="pct"/>
            <w:tcBorders>
              <w:top w:val="outset" w:sz="6" w:space="0" w:color="auto"/>
              <w:left w:val="outset" w:sz="6" w:space="0" w:color="auto"/>
              <w:bottom w:val="outset" w:sz="6" w:space="0" w:color="auto"/>
              <w:right w:val="outset" w:sz="6" w:space="0" w:color="auto"/>
            </w:tcBorders>
          </w:tcPr>
          <w:p w14:paraId="0F403537"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2D4637C7"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 (&lt;0.1)</w:t>
            </w:r>
          </w:p>
        </w:tc>
      </w:tr>
      <w:tr w:rsidR="00000498" w:rsidRPr="00E00E21" w14:paraId="1933F3A8"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3904E9FA"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C90DE49"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Bol</w:t>
            </w:r>
          </w:p>
        </w:tc>
        <w:tc>
          <w:tcPr>
            <w:tcW w:w="704" w:type="pct"/>
            <w:tcBorders>
              <w:top w:val="outset" w:sz="6" w:space="0" w:color="auto"/>
              <w:left w:val="outset" w:sz="6" w:space="0" w:color="auto"/>
              <w:bottom w:val="outset" w:sz="6" w:space="0" w:color="auto"/>
              <w:right w:val="outset" w:sz="6" w:space="0" w:color="auto"/>
            </w:tcBorders>
            <w:hideMark/>
          </w:tcPr>
          <w:p w14:paraId="2CAC4E6B"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694925AD"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36 (3.3)</w:t>
            </w:r>
          </w:p>
        </w:tc>
        <w:tc>
          <w:tcPr>
            <w:tcW w:w="940" w:type="pct"/>
            <w:tcBorders>
              <w:top w:val="outset" w:sz="6" w:space="0" w:color="auto"/>
              <w:left w:val="outset" w:sz="6" w:space="0" w:color="auto"/>
              <w:bottom w:val="outset" w:sz="6" w:space="0" w:color="auto"/>
              <w:right w:val="outset" w:sz="6" w:space="0" w:color="auto"/>
            </w:tcBorders>
          </w:tcPr>
          <w:p w14:paraId="363750A4"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031D618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7 (0.6)</w:t>
            </w:r>
          </w:p>
        </w:tc>
      </w:tr>
      <w:tr w:rsidR="00000498" w:rsidRPr="00E00E21" w14:paraId="46E11392"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7917258F"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808D245" w14:textId="77777777" w:rsidR="00B53F7D" w:rsidRPr="00E00E21" w:rsidRDefault="00993AA7" w:rsidP="00993AA7">
            <w:pPr>
              <w:spacing w:before="100" w:beforeAutospacing="1" w:after="100" w:afterAutospacing="1"/>
              <w:rPr>
                <w:sz w:val="22"/>
                <w:szCs w:val="22"/>
                <w:lang w:val="sr-Latn-RS" w:eastAsia="de-AT"/>
              </w:rPr>
            </w:pPr>
            <w:r w:rsidRPr="00E00E21">
              <w:rPr>
                <w:sz w:val="22"/>
                <w:szCs w:val="22"/>
                <w:lang w:val="sr-Latn-RS" w:eastAsia="de-AT"/>
              </w:rPr>
              <w:t>Bol u grudima</w:t>
            </w:r>
          </w:p>
        </w:tc>
        <w:tc>
          <w:tcPr>
            <w:tcW w:w="704" w:type="pct"/>
            <w:tcBorders>
              <w:top w:val="outset" w:sz="6" w:space="0" w:color="auto"/>
              <w:left w:val="outset" w:sz="6" w:space="0" w:color="auto"/>
              <w:bottom w:val="outset" w:sz="6" w:space="0" w:color="auto"/>
              <w:right w:val="outset" w:sz="6" w:space="0" w:color="auto"/>
            </w:tcBorders>
            <w:hideMark/>
          </w:tcPr>
          <w:p w14:paraId="55774328"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B58482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11 (1.0)</w:t>
            </w:r>
          </w:p>
        </w:tc>
        <w:tc>
          <w:tcPr>
            <w:tcW w:w="940" w:type="pct"/>
            <w:tcBorders>
              <w:top w:val="outset" w:sz="6" w:space="0" w:color="auto"/>
              <w:left w:val="outset" w:sz="6" w:space="0" w:color="auto"/>
              <w:bottom w:val="outset" w:sz="6" w:space="0" w:color="auto"/>
              <w:right w:val="outset" w:sz="6" w:space="0" w:color="auto"/>
            </w:tcBorders>
          </w:tcPr>
          <w:p w14:paraId="64D59660"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70F6CB45"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 (0.2)</w:t>
            </w:r>
          </w:p>
        </w:tc>
      </w:tr>
      <w:tr w:rsidR="00000498" w:rsidRPr="00E00E21" w14:paraId="3CA6BAFD"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43B8AB78"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1E96F5DC"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Edem</w:t>
            </w:r>
          </w:p>
        </w:tc>
        <w:tc>
          <w:tcPr>
            <w:tcW w:w="704" w:type="pct"/>
            <w:tcBorders>
              <w:top w:val="outset" w:sz="6" w:space="0" w:color="auto"/>
              <w:left w:val="outset" w:sz="6" w:space="0" w:color="auto"/>
              <w:bottom w:val="outset" w:sz="6" w:space="0" w:color="auto"/>
              <w:right w:val="outset" w:sz="6" w:space="0" w:color="auto"/>
            </w:tcBorders>
            <w:hideMark/>
          </w:tcPr>
          <w:p w14:paraId="2062B58B"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05DB46F4"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483DAD9F"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8 (0.7)</w:t>
            </w:r>
          </w:p>
        </w:tc>
        <w:tc>
          <w:tcPr>
            <w:tcW w:w="623" w:type="pct"/>
            <w:tcBorders>
              <w:top w:val="outset" w:sz="6" w:space="0" w:color="auto"/>
              <w:left w:val="outset" w:sz="6" w:space="0" w:color="auto"/>
              <w:bottom w:val="outset" w:sz="6" w:space="0" w:color="auto"/>
              <w:right w:val="outset" w:sz="6" w:space="0" w:color="auto"/>
            </w:tcBorders>
            <w:hideMark/>
          </w:tcPr>
          <w:p w14:paraId="013A8256"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 (&lt;0.1)</w:t>
            </w:r>
          </w:p>
        </w:tc>
      </w:tr>
      <w:tr w:rsidR="00000498" w:rsidRPr="00E00E21" w14:paraId="1DD529EC"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63605A05"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26A5C85"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Jeza</w:t>
            </w:r>
          </w:p>
        </w:tc>
        <w:tc>
          <w:tcPr>
            <w:tcW w:w="704" w:type="pct"/>
            <w:tcBorders>
              <w:top w:val="outset" w:sz="6" w:space="0" w:color="auto"/>
              <w:left w:val="outset" w:sz="6" w:space="0" w:color="auto"/>
              <w:bottom w:val="outset" w:sz="6" w:space="0" w:color="auto"/>
              <w:right w:val="outset" w:sz="6" w:space="0" w:color="auto"/>
            </w:tcBorders>
            <w:hideMark/>
          </w:tcPr>
          <w:p w14:paraId="456C009B"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B600D2E"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12 (1.1)</w:t>
            </w:r>
          </w:p>
        </w:tc>
        <w:tc>
          <w:tcPr>
            <w:tcW w:w="940" w:type="pct"/>
            <w:tcBorders>
              <w:top w:val="outset" w:sz="6" w:space="0" w:color="auto"/>
              <w:left w:val="outset" w:sz="6" w:space="0" w:color="auto"/>
              <w:bottom w:val="outset" w:sz="6" w:space="0" w:color="auto"/>
              <w:right w:val="outset" w:sz="6" w:space="0" w:color="auto"/>
            </w:tcBorders>
          </w:tcPr>
          <w:p w14:paraId="0EE68A83"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3D5C6D2D"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1E575BCB"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15B5FCA8"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01AA7C2C"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Slabost</w:t>
            </w:r>
          </w:p>
        </w:tc>
        <w:tc>
          <w:tcPr>
            <w:tcW w:w="704" w:type="pct"/>
            <w:tcBorders>
              <w:top w:val="outset" w:sz="6" w:space="0" w:color="auto"/>
              <w:left w:val="outset" w:sz="6" w:space="0" w:color="auto"/>
              <w:bottom w:val="outset" w:sz="6" w:space="0" w:color="auto"/>
              <w:right w:val="outset" w:sz="6" w:space="0" w:color="auto"/>
            </w:tcBorders>
            <w:hideMark/>
          </w:tcPr>
          <w:p w14:paraId="046A4DE0"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7D3A2C17"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21 (1.9)</w:t>
            </w:r>
          </w:p>
        </w:tc>
        <w:tc>
          <w:tcPr>
            <w:tcW w:w="940" w:type="pct"/>
            <w:tcBorders>
              <w:top w:val="outset" w:sz="6" w:space="0" w:color="auto"/>
              <w:left w:val="outset" w:sz="6" w:space="0" w:color="auto"/>
              <w:bottom w:val="outset" w:sz="6" w:space="0" w:color="auto"/>
              <w:right w:val="outset" w:sz="6" w:space="0" w:color="auto"/>
            </w:tcBorders>
          </w:tcPr>
          <w:p w14:paraId="3BBA7B83"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7C212362"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1AD4E29C" w14:textId="77777777" w:rsidTr="00000498">
        <w:trPr>
          <w:tblCellSpacing w:w="0" w:type="dxa"/>
        </w:trPr>
        <w:tc>
          <w:tcPr>
            <w:tcW w:w="913" w:type="pct"/>
            <w:vMerge w:val="restart"/>
            <w:tcBorders>
              <w:top w:val="outset" w:sz="6" w:space="0" w:color="auto"/>
              <w:left w:val="outset" w:sz="6" w:space="0" w:color="auto"/>
              <w:bottom w:val="outset" w:sz="6" w:space="0" w:color="auto"/>
              <w:right w:val="outset" w:sz="6" w:space="0" w:color="auto"/>
            </w:tcBorders>
            <w:vAlign w:val="center"/>
            <w:hideMark/>
          </w:tcPr>
          <w:p w14:paraId="18693185" w14:textId="77777777" w:rsidR="00B53F7D" w:rsidRPr="00E00E21" w:rsidRDefault="00B53F7D" w:rsidP="00993AA7">
            <w:pPr>
              <w:spacing w:before="100" w:beforeAutospacing="1" w:after="100" w:afterAutospacing="1"/>
              <w:rPr>
                <w:sz w:val="22"/>
                <w:szCs w:val="22"/>
                <w:lang w:val="sr-Latn-RS" w:eastAsia="de-AT"/>
              </w:rPr>
            </w:pPr>
            <w:r w:rsidRPr="00E00E21">
              <w:rPr>
                <w:sz w:val="22"/>
                <w:szCs w:val="22"/>
                <w:lang w:val="sr-Latn-RS" w:eastAsia="de-AT"/>
              </w:rPr>
              <w:t>I</w:t>
            </w:r>
            <w:r w:rsidR="00993AA7" w:rsidRPr="00E00E21">
              <w:rPr>
                <w:sz w:val="22"/>
                <w:szCs w:val="22"/>
                <w:lang w:val="sr-Latn-RS" w:eastAsia="de-AT"/>
              </w:rPr>
              <w:t>spitivanja</w:t>
            </w:r>
          </w:p>
        </w:tc>
        <w:tc>
          <w:tcPr>
            <w:tcW w:w="961" w:type="pct"/>
            <w:tcBorders>
              <w:top w:val="outset" w:sz="6" w:space="0" w:color="auto"/>
              <w:left w:val="outset" w:sz="6" w:space="0" w:color="auto"/>
              <w:bottom w:val="outset" w:sz="6" w:space="0" w:color="auto"/>
              <w:right w:val="outset" w:sz="6" w:space="0" w:color="auto"/>
            </w:tcBorders>
            <w:hideMark/>
          </w:tcPr>
          <w:p w14:paraId="169D8CB1" w14:textId="77777777" w:rsidR="00B53F7D" w:rsidRPr="00E00E21" w:rsidRDefault="00993AA7" w:rsidP="00B53F7D">
            <w:pPr>
              <w:spacing w:before="100" w:beforeAutospacing="1" w:after="100" w:afterAutospacing="1"/>
              <w:rPr>
                <w:sz w:val="22"/>
                <w:szCs w:val="22"/>
                <w:lang w:val="sr-Latn-RS" w:eastAsia="de-AT"/>
              </w:rPr>
            </w:pPr>
            <w:r w:rsidRPr="00E00E21">
              <w:rPr>
                <w:sz w:val="22"/>
                <w:szCs w:val="22"/>
                <w:lang w:val="sr-Latn-RS" w:eastAsia="de-AT"/>
              </w:rPr>
              <w:t>Smanjenje tjelesne mase</w:t>
            </w:r>
          </w:p>
        </w:tc>
        <w:tc>
          <w:tcPr>
            <w:tcW w:w="704" w:type="pct"/>
            <w:tcBorders>
              <w:top w:val="outset" w:sz="6" w:space="0" w:color="auto"/>
              <w:left w:val="outset" w:sz="6" w:space="0" w:color="auto"/>
              <w:bottom w:val="outset" w:sz="6" w:space="0" w:color="auto"/>
              <w:right w:val="outset" w:sz="6" w:space="0" w:color="auto"/>
            </w:tcBorders>
            <w:hideMark/>
          </w:tcPr>
          <w:p w14:paraId="352B1FD1"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527073A2"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81 (7.4)</w:t>
            </w:r>
          </w:p>
        </w:tc>
        <w:tc>
          <w:tcPr>
            <w:tcW w:w="940" w:type="pct"/>
            <w:tcBorders>
              <w:top w:val="outset" w:sz="6" w:space="0" w:color="auto"/>
              <w:left w:val="outset" w:sz="6" w:space="0" w:color="auto"/>
              <w:bottom w:val="outset" w:sz="6" w:space="0" w:color="auto"/>
              <w:right w:val="outset" w:sz="6" w:space="0" w:color="auto"/>
            </w:tcBorders>
          </w:tcPr>
          <w:p w14:paraId="3F10FE78"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09FF1BA9"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0</w:t>
            </w:r>
          </w:p>
        </w:tc>
      </w:tr>
      <w:tr w:rsidR="00000498" w:rsidRPr="00E00E21" w14:paraId="40EF35FF"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740647B2"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2FF96D61" w14:textId="77777777" w:rsidR="00B53F7D" w:rsidRPr="00E00E21" w:rsidRDefault="00993AA7" w:rsidP="00993AA7">
            <w:pPr>
              <w:spacing w:before="100" w:beforeAutospacing="1" w:after="100" w:afterAutospacing="1"/>
              <w:rPr>
                <w:sz w:val="22"/>
                <w:szCs w:val="22"/>
                <w:lang w:val="sr-Latn-RS" w:eastAsia="de-AT"/>
              </w:rPr>
            </w:pPr>
            <w:r w:rsidRPr="00E00E21">
              <w:rPr>
                <w:sz w:val="22"/>
                <w:szCs w:val="22"/>
                <w:lang w:val="sr-Latn-RS" w:eastAsia="de-AT"/>
              </w:rPr>
              <w:t>Povišene vrijednosti a</w:t>
            </w:r>
            <w:r w:rsidR="00B53F7D" w:rsidRPr="00E00E21">
              <w:rPr>
                <w:sz w:val="22"/>
                <w:szCs w:val="22"/>
                <w:lang w:val="sr-Latn-RS" w:eastAsia="de-AT"/>
              </w:rPr>
              <w:t>spartat aminotransfera</w:t>
            </w:r>
            <w:r w:rsidRPr="00E00E21">
              <w:rPr>
                <w:sz w:val="22"/>
                <w:szCs w:val="22"/>
                <w:lang w:val="sr-Latn-RS" w:eastAsia="de-AT"/>
              </w:rPr>
              <w:t xml:space="preserve">ze </w:t>
            </w:r>
          </w:p>
        </w:tc>
        <w:tc>
          <w:tcPr>
            <w:tcW w:w="704" w:type="pct"/>
            <w:tcBorders>
              <w:top w:val="outset" w:sz="6" w:space="0" w:color="auto"/>
              <w:left w:val="outset" w:sz="6" w:space="0" w:color="auto"/>
              <w:bottom w:val="outset" w:sz="6" w:space="0" w:color="auto"/>
              <w:right w:val="outset" w:sz="6" w:space="0" w:color="auto"/>
            </w:tcBorders>
            <w:hideMark/>
          </w:tcPr>
          <w:p w14:paraId="0EE5E381"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455875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13 (1.2)</w:t>
            </w:r>
          </w:p>
        </w:tc>
        <w:tc>
          <w:tcPr>
            <w:tcW w:w="940" w:type="pct"/>
            <w:tcBorders>
              <w:top w:val="outset" w:sz="6" w:space="0" w:color="auto"/>
              <w:left w:val="outset" w:sz="6" w:space="0" w:color="auto"/>
              <w:bottom w:val="outset" w:sz="6" w:space="0" w:color="auto"/>
              <w:right w:val="outset" w:sz="6" w:space="0" w:color="auto"/>
            </w:tcBorders>
          </w:tcPr>
          <w:p w14:paraId="00369072" w14:textId="77777777" w:rsidR="00B53F7D" w:rsidRPr="00E00E21" w:rsidRDefault="00B53F7D" w:rsidP="00B53F7D">
            <w:pPr>
              <w:spacing w:before="100" w:beforeAutospacing="1" w:after="100" w:afterAutospacing="1"/>
              <w:rPr>
                <w:sz w:val="22"/>
                <w:szCs w:val="22"/>
                <w:lang w:val="sr-Latn-RS" w:eastAsia="de-AT"/>
              </w:rPr>
            </w:pPr>
          </w:p>
        </w:tc>
        <w:tc>
          <w:tcPr>
            <w:tcW w:w="623" w:type="pct"/>
            <w:tcBorders>
              <w:top w:val="outset" w:sz="6" w:space="0" w:color="auto"/>
              <w:left w:val="outset" w:sz="6" w:space="0" w:color="auto"/>
              <w:bottom w:val="outset" w:sz="6" w:space="0" w:color="auto"/>
              <w:right w:val="outset" w:sz="6" w:space="0" w:color="auto"/>
            </w:tcBorders>
            <w:hideMark/>
          </w:tcPr>
          <w:p w14:paraId="4850057C"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 xml:space="preserve">1 (&lt;0.1) </w:t>
            </w:r>
          </w:p>
        </w:tc>
      </w:tr>
      <w:tr w:rsidR="00000498" w:rsidRPr="00E00E21" w14:paraId="6A426BD5" w14:textId="77777777" w:rsidTr="00000498">
        <w:trPr>
          <w:tblCellSpacing w:w="0" w:type="dxa"/>
        </w:trPr>
        <w:tc>
          <w:tcPr>
            <w:tcW w:w="913" w:type="pct"/>
            <w:vMerge/>
            <w:tcBorders>
              <w:top w:val="outset" w:sz="6" w:space="0" w:color="auto"/>
              <w:left w:val="outset" w:sz="6" w:space="0" w:color="auto"/>
              <w:bottom w:val="outset" w:sz="6" w:space="0" w:color="auto"/>
              <w:right w:val="outset" w:sz="6" w:space="0" w:color="auto"/>
            </w:tcBorders>
            <w:hideMark/>
          </w:tcPr>
          <w:p w14:paraId="33F75898" w14:textId="77777777" w:rsidR="00B53F7D" w:rsidRPr="00E00E21" w:rsidRDefault="00B53F7D" w:rsidP="00B53F7D">
            <w:pPr>
              <w:rPr>
                <w:sz w:val="22"/>
                <w:szCs w:val="22"/>
                <w:lang w:val="sr-Latn-RS" w:eastAsia="de-AT"/>
              </w:rPr>
            </w:pPr>
          </w:p>
        </w:tc>
        <w:tc>
          <w:tcPr>
            <w:tcW w:w="961" w:type="pct"/>
            <w:tcBorders>
              <w:top w:val="outset" w:sz="6" w:space="0" w:color="auto"/>
              <w:left w:val="outset" w:sz="6" w:space="0" w:color="auto"/>
              <w:bottom w:val="outset" w:sz="6" w:space="0" w:color="auto"/>
              <w:right w:val="outset" w:sz="6" w:space="0" w:color="auto"/>
            </w:tcBorders>
            <w:hideMark/>
          </w:tcPr>
          <w:p w14:paraId="330E9AB5" w14:textId="77777777" w:rsidR="00B53F7D" w:rsidRPr="00E00E21" w:rsidRDefault="00993AA7" w:rsidP="00993AA7">
            <w:pPr>
              <w:spacing w:before="100" w:beforeAutospacing="1" w:after="100" w:afterAutospacing="1"/>
              <w:rPr>
                <w:sz w:val="22"/>
                <w:szCs w:val="22"/>
                <w:lang w:val="sr-Latn-RS" w:eastAsia="de-AT"/>
              </w:rPr>
            </w:pPr>
            <w:r w:rsidRPr="00E00E21">
              <w:rPr>
                <w:sz w:val="22"/>
                <w:szCs w:val="22"/>
                <w:lang w:val="sr-Latn-RS" w:eastAsia="de-AT"/>
              </w:rPr>
              <w:t>Povišene vrijednosti t</w:t>
            </w:r>
            <w:r w:rsidR="00B53F7D" w:rsidRPr="00E00E21">
              <w:rPr>
                <w:sz w:val="22"/>
                <w:szCs w:val="22"/>
                <w:lang w:val="sr-Latn-RS" w:eastAsia="de-AT"/>
              </w:rPr>
              <w:t>ransamina</w:t>
            </w:r>
            <w:r w:rsidRPr="00E00E21">
              <w:rPr>
                <w:sz w:val="22"/>
                <w:szCs w:val="22"/>
                <w:lang w:val="sr-Latn-RS" w:eastAsia="de-AT"/>
              </w:rPr>
              <w:t>za</w:t>
            </w:r>
          </w:p>
        </w:tc>
        <w:tc>
          <w:tcPr>
            <w:tcW w:w="704" w:type="pct"/>
            <w:tcBorders>
              <w:top w:val="outset" w:sz="6" w:space="0" w:color="auto"/>
              <w:left w:val="outset" w:sz="6" w:space="0" w:color="auto"/>
              <w:bottom w:val="outset" w:sz="6" w:space="0" w:color="auto"/>
              <w:right w:val="outset" w:sz="6" w:space="0" w:color="auto"/>
            </w:tcBorders>
            <w:hideMark/>
          </w:tcPr>
          <w:p w14:paraId="5251E346" w14:textId="77777777" w:rsidR="00B53F7D" w:rsidRPr="00E00E21" w:rsidRDefault="00B53F7D" w:rsidP="00B53F7D">
            <w:pPr>
              <w:rPr>
                <w:sz w:val="22"/>
                <w:szCs w:val="22"/>
                <w:lang w:val="sr-Latn-RS" w:eastAsia="de-AT"/>
              </w:rPr>
            </w:pPr>
          </w:p>
        </w:tc>
        <w:tc>
          <w:tcPr>
            <w:tcW w:w="859" w:type="pct"/>
            <w:tcBorders>
              <w:top w:val="outset" w:sz="6" w:space="0" w:color="auto"/>
              <w:left w:val="outset" w:sz="6" w:space="0" w:color="auto"/>
              <w:bottom w:val="outset" w:sz="6" w:space="0" w:color="auto"/>
              <w:right w:val="outset" w:sz="6" w:space="0" w:color="auto"/>
            </w:tcBorders>
            <w:hideMark/>
          </w:tcPr>
          <w:p w14:paraId="2A88E63F" w14:textId="77777777" w:rsidR="00B53F7D" w:rsidRPr="00E00E21" w:rsidRDefault="00B53F7D" w:rsidP="00B53F7D">
            <w:pPr>
              <w:spacing w:before="100" w:beforeAutospacing="1" w:after="100" w:afterAutospacing="1"/>
              <w:rPr>
                <w:sz w:val="22"/>
                <w:szCs w:val="22"/>
                <w:lang w:val="sr-Latn-RS" w:eastAsia="de-AT"/>
              </w:rPr>
            </w:pPr>
          </w:p>
        </w:tc>
        <w:tc>
          <w:tcPr>
            <w:tcW w:w="940" w:type="pct"/>
            <w:tcBorders>
              <w:top w:val="outset" w:sz="6" w:space="0" w:color="auto"/>
              <w:left w:val="outset" w:sz="6" w:space="0" w:color="auto"/>
              <w:bottom w:val="outset" w:sz="6" w:space="0" w:color="auto"/>
              <w:right w:val="outset" w:sz="6" w:space="0" w:color="auto"/>
            </w:tcBorders>
          </w:tcPr>
          <w:p w14:paraId="60F5D55A"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7 (0.6)</w:t>
            </w:r>
          </w:p>
        </w:tc>
        <w:tc>
          <w:tcPr>
            <w:tcW w:w="623" w:type="pct"/>
            <w:tcBorders>
              <w:top w:val="outset" w:sz="6" w:space="0" w:color="auto"/>
              <w:left w:val="outset" w:sz="6" w:space="0" w:color="auto"/>
              <w:bottom w:val="outset" w:sz="6" w:space="0" w:color="auto"/>
              <w:right w:val="outset" w:sz="6" w:space="0" w:color="auto"/>
            </w:tcBorders>
            <w:hideMark/>
          </w:tcPr>
          <w:p w14:paraId="5206CF10" w14:textId="77777777" w:rsidR="00B53F7D" w:rsidRPr="00E00E21" w:rsidRDefault="00B53F7D" w:rsidP="00B53F7D">
            <w:pPr>
              <w:spacing w:before="100" w:beforeAutospacing="1" w:after="100" w:afterAutospacing="1"/>
              <w:rPr>
                <w:sz w:val="22"/>
                <w:szCs w:val="22"/>
                <w:lang w:val="sr-Latn-RS" w:eastAsia="de-AT"/>
              </w:rPr>
            </w:pPr>
            <w:r w:rsidRPr="00E00E21">
              <w:rPr>
                <w:sz w:val="22"/>
                <w:szCs w:val="22"/>
                <w:lang w:val="sr-Latn-RS" w:eastAsia="de-AT"/>
              </w:rPr>
              <w:t xml:space="preserve">1 (&lt;0.1) </w:t>
            </w:r>
          </w:p>
        </w:tc>
      </w:tr>
    </w:tbl>
    <w:p w14:paraId="112FAE1D" w14:textId="77777777" w:rsidR="00B53F7D" w:rsidRPr="00E00E21" w:rsidRDefault="00B53F7D" w:rsidP="00480FB1">
      <w:pPr>
        <w:tabs>
          <w:tab w:val="left" w:pos="540"/>
          <w:tab w:val="left" w:pos="569"/>
        </w:tabs>
        <w:rPr>
          <w:b/>
          <w:bCs/>
          <w:sz w:val="22"/>
          <w:szCs w:val="22"/>
          <w:lang w:val="sr-Latn-RS"/>
        </w:rPr>
      </w:pPr>
    </w:p>
    <w:p w14:paraId="6D3738F1" w14:textId="77777777" w:rsidR="00F2676B" w:rsidRPr="00E00E21" w:rsidRDefault="00F2676B" w:rsidP="00E630C6">
      <w:pPr>
        <w:tabs>
          <w:tab w:val="left" w:pos="540"/>
          <w:tab w:val="left" w:pos="569"/>
        </w:tabs>
        <w:jc w:val="both"/>
        <w:rPr>
          <w:bCs/>
          <w:sz w:val="22"/>
          <w:szCs w:val="22"/>
          <w:lang w:val="sr-Latn-RS"/>
        </w:rPr>
      </w:pPr>
      <w:r w:rsidRPr="00E00E21">
        <w:rPr>
          <w:bCs/>
          <w:sz w:val="22"/>
          <w:szCs w:val="22"/>
          <w:vertAlign w:val="superscript"/>
          <w:lang w:val="sr-Latn-RS"/>
        </w:rPr>
        <w:t>a</w:t>
      </w:r>
      <w:r w:rsidRPr="00E00E21">
        <w:rPr>
          <w:bCs/>
          <w:sz w:val="22"/>
          <w:szCs w:val="22"/>
          <w:lang w:val="sr-Latn-RS"/>
        </w:rPr>
        <w:t>na osnovu laboratorijskih vrijednosti</w:t>
      </w:r>
    </w:p>
    <w:p w14:paraId="7A906E68" w14:textId="77777777" w:rsidR="00B53F7D" w:rsidRPr="00E00E21" w:rsidRDefault="00F2676B" w:rsidP="00E630C6">
      <w:pPr>
        <w:tabs>
          <w:tab w:val="left" w:pos="540"/>
          <w:tab w:val="left" w:pos="569"/>
        </w:tabs>
        <w:jc w:val="both"/>
        <w:rPr>
          <w:bCs/>
          <w:sz w:val="22"/>
          <w:szCs w:val="22"/>
          <w:lang w:val="sr-Latn-RS"/>
        </w:rPr>
      </w:pPr>
      <w:r w:rsidRPr="00E00E21">
        <w:rPr>
          <w:bCs/>
          <w:sz w:val="22"/>
          <w:szCs w:val="22"/>
          <w:lang w:val="sr-Latn-RS"/>
        </w:rPr>
        <w:t>* vidjeti detaljniji opis u nastavku</w:t>
      </w:r>
    </w:p>
    <w:p w14:paraId="11E88B8A" w14:textId="77777777" w:rsidR="00B53F7D" w:rsidRPr="00E00E21" w:rsidRDefault="00B53F7D" w:rsidP="00E630C6">
      <w:pPr>
        <w:tabs>
          <w:tab w:val="left" w:pos="540"/>
          <w:tab w:val="left" w:pos="569"/>
        </w:tabs>
        <w:jc w:val="both"/>
        <w:rPr>
          <w:b/>
          <w:bCs/>
          <w:sz w:val="22"/>
          <w:szCs w:val="22"/>
          <w:lang w:val="sr-Latn-RS"/>
        </w:rPr>
      </w:pPr>
    </w:p>
    <w:p w14:paraId="213DD512" w14:textId="77777777" w:rsidR="00F2676B" w:rsidRPr="00E00E21" w:rsidRDefault="00F2676B" w:rsidP="00E93932">
      <w:pPr>
        <w:tabs>
          <w:tab w:val="left" w:pos="540"/>
          <w:tab w:val="left" w:pos="569"/>
        </w:tabs>
        <w:jc w:val="both"/>
        <w:rPr>
          <w:sz w:val="22"/>
          <w:szCs w:val="22"/>
          <w:u w:val="single"/>
          <w:lang w:val="sr-Latn-RS"/>
        </w:rPr>
      </w:pPr>
      <w:r w:rsidRPr="00E00E21">
        <w:rPr>
          <w:sz w:val="22"/>
          <w:szCs w:val="22"/>
          <w:u w:val="single"/>
          <w:lang w:val="sr-Latn-RS"/>
        </w:rPr>
        <w:t xml:space="preserve">Opis izdvojenih neželjenih dejstava </w:t>
      </w:r>
    </w:p>
    <w:p w14:paraId="5C23E642" w14:textId="77777777" w:rsidR="00F2676B" w:rsidRPr="00E00E21" w:rsidRDefault="00F2676B" w:rsidP="004F26A0">
      <w:pPr>
        <w:tabs>
          <w:tab w:val="left" w:pos="540"/>
          <w:tab w:val="left" w:pos="569"/>
        </w:tabs>
        <w:jc w:val="both"/>
        <w:rPr>
          <w:sz w:val="22"/>
          <w:szCs w:val="22"/>
          <w:lang w:val="sr-Latn-RS"/>
        </w:rPr>
      </w:pPr>
    </w:p>
    <w:p w14:paraId="68456032" w14:textId="77777777" w:rsidR="00F946DA" w:rsidRPr="00E00E21" w:rsidRDefault="00F2676B" w:rsidP="00370E1E">
      <w:pPr>
        <w:tabs>
          <w:tab w:val="left" w:pos="540"/>
          <w:tab w:val="left" w:pos="569"/>
        </w:tabs>
        <w:jc w:val="both"/>
        <w:rPr>
          <w:sz w:val="22"/>
          <w:szCs w:val="22"/>
          <w:lang w:val="sr-Latn-RS"/>
        </w:rPr>
      </w:pPr>
      <w:r w:rsidRPr="00E00E21">
        <w:rPr>
          <w:i/>
          <w:sz w:val="22"/>
          <w:szCs w:val="22"/>
          <w:lang w:val="sr-Latn-RS"/>
        </w:rPr>
        <w:t>Neutropenija i povezani klinički događaji</w:t>
      </w:r>
      <w:r w:rsidRPr="00E00E21">
        <w:rPr>
          <w:sz w:val="22"/>
          <w:szCs w:val="22"/>
          <w:lang w:val="sr-Latn-RS"/>
        </w:rPr>
        <w:t xml:space="preserve"> </w:t>
      </w:r>
    </w:p>
    <w:p w14:paraId="4D1B35D6" w14:textId="477106AE" w:rsidR="006E722C" w:rsidRPr="00E00E21" w:rsidRDefault="00F2676B" w:rsidP="009B6A1F">
      <w:pPr>
        <w:tabs>
          <w:tab w:val="left" w:pos="540"/>
          <w:tab w:val="left" w:pos="569"/>
        </w:tabs>
        <w:jc w:val="both"/>
        <w:rPr>
          <w:sz w:val="22"/>
          <w:szCs w:val="22"/>
          <w:lang w:val="sr-Latn-RS"/>
        </w:rPr>
      </w:pPr>
      <w:r w:rsidRPr="00E00E21">
        <w:rPr>
          <w:sz w:val="22"/>
          <w:szCs w:val="22"/>
          <w:lang w:val="sr-Latn-RS"/>
        </w:rPr>
        <w:t>Pokazalo se da prim</w:t>
      </w:r>
      <w:r w:rsidR="00F946DA" w:rsidRPr="00E00E21">
        <w:rPr>
          <w:sz w:val="22"/>
          <w:szCs w:val="22"/>
          <w:lang w:val="sr-Latn-RS"/>
        </w:rPr>
        <w:t>j</w:t>
      </w:r>
      <w:r w:rsidRPr="00E00E21">
        <w:rPr>
          <w:sz w:val="22"/>
          <w:szCs w:val="22"/>
          <w:lang w:val="sr-Latn-RS"/>
        </w:rPr>
        <w:t>ena G-CSF-a smanjuje incidencu i ozbi</w:t>
      </w:r>
      <w:r w:rsidR="00F946DA" w:rsidRPr="00E00E21">
        <w:rPr>
          <w:sz w:val="22"/>
          <w:szCs w:val="22"/>
          <w:lang w:val="sr-Latn-RS"/>
        </w:rPr>
        <w:t xml:space="preserve">ljnost neutropenije (vidjeti </w:t>
      </w:r>
      <w:r w:rsidRPr="00E00E21">
        <w:rPr>
          <w:sz w:val="22"/>
          <w:szCs w:val="22"/>
          <w:lang w:val="sr-Latn-RS"/>
        </w:rPr>
        <w:t>d</w:t>
      </w:r>
      <w:r w:rsidR="00F946DA" w:rsidRPr="00E00E21">
        <w:rPr>
          <w:sz w:val="22"/>
          <w:szCs w:val="22"/>
          <w:lang w:val="sr-Latn-RS"/>
        </w:rPr>
        <w:t>i</w:t>
      </w:r>
      <w:r w:rsidRPr="00E00E21">
        <w:rPr>
          <w:sz w:val="22"/>
          <w:szCs w:val="22"/>
          <w:lang w:val="sr-Latn-RS"/>
        </w:rPr>
        <w:t xml:space="preserve">o 4.2 i 4.4). </w:t>
      </w:r>
      <w:r w:rsidR="009B6A1F" w:rsidRPr="00E00E21">
        <w:rPr>
          <w:sz w:val="22"/>
          <w:szCs w:val="22"/>
          <w:lang w:val="sr-Latn-RS"/>
        </w:rPr>
        <w:t xml:space="preserve"> </w:t>
      </w:r>
      <w:r w:rsidR="00F946DA" w:rsidRPr="00E00E21">
        <w:rPr>
          <w:sz w:val="22"/>
          <w:szCs w:val="22"/>
          <w:lang w:val="sr-Latn-RS"/>
        </w:rPr>
        <w:t>Incidenca netropenije stepena ≥</w:t>
      </w:r>
      <w:r w:rsidR="009B6A1F" w:rsidRPr="00E00E21">
        <w:rPr>
          <w:sz w:val="22"/>
          <w:szCs w:val="22"/>
          <w:lang w:val="sr-Latn-RS"/>
        </w:rPr>
        <w:t xml:space="preserve"> </w:t>
      </w:r>
      <w:r w:rsidR="00F946DA" w:rsidRPr="00E00E21">
        <w:rPr>
          <w:sz w:val="22"/>
          <w:szCs w:val="22"/>
          <w:lang w:val="sr-Latn-RS"/>
        </w:rPr>
        <w:t>3</w:t>
      </w:r>
      <w:r w:rsidR="006E722C" w:rsidRPr="00E00E21">
        <w:rPr>
          <w:sz w:val="22"/>
          <w:szCs w:val="22"/>
          <w:lang w:val="sr-Latn-RS"/>
        </w:rPr>
        <w:t xml:space="preserve"> prema laboratorijskim nalazima razlikovala se u zavisnosti od  primjene G-CSF-a od 44,7% do 76,7% sa najnižom prijavljenom incidencom kada je primijenjena profilaksa G-CSF-om. Slično tome, incidenca febrilne neutropenije stepena ≥ 3 kretala </w:t>
      </w:r>
      <w:r w:rsidR="00A91AAD" w:rsidRPr="00E00E21">
        <w:rPr>
          <w:sz w:val="22"/>
          <w:szCs w:val="22"/>
          <w:lang w:val="sr-Latn-RS"/>
        </w:rPr>
        <w:t>se u</w:t>
      </w:r>
      <w:r w:rsidR="006E722C" w:rsidRPr="00E00E21">
        <w:rPr>
          <w:sz w:val="22"/>
          <w:szCs w:val="22"/>
          <w:lang w:val="sr-Latn-RS"/>
        </w:rPr>
        <w:t xml:space="preserve"> rasponu od 3,2</w:t>
      </w:r>
      <w:r w:rsidR="009B6A1F" w:rsidRPr="00E00E21">
        <w:rPr>
          <w:sz w:val="22"/>
          <w:szCs w:val="22"/>
          <w:lang w:val="sr-Latn-RS"/>
        </w:rPr>
        <w:t xml:space="preserve"> </w:t>
      </w:r>
      <w:r w:rsidR="006E722C" w:rsidRPr="00E00E21">
        <w:rPr>
          <w:sz w:val="22"/>
          <w:szCs w:val="22"/>
          <w:lang w:val="sr-Latn-RS"/>
        </w:rPr>
        <w:t>% do 8,6</w:t>
      </w:r>
      <w:r w:rsidR="009B6A1F" w:rsidRPr="00E00E21">
        <w:rPr>
          <w:sz w:val="22"/>
          <w:szCs w:val="22"/>
          <w:lang w:val="sr-Latn-RS"/>
        </w:rPr>
        <w:t xml:space="preserve"> </w:t>
      </w:r>
      <w:r w:rsidR="006E722C" w:rsidRPr="00E00E21">
        <w:rPr>
          <w:sz w:val="22"/>
          <w:szCs w:val="22"/>
          <w:lang w:val="sr-Latn-RS"/>
        </w:rPr>
        <w:t xml:space="preserve">%. </w:t>
      </w:r>
    </w:p>
    <w:p w14:paraId="27ED1FB2" w14:textId="7DDB31C6" w:rsidR="00F946DA" w:rsidRPr="00E00E21" w:rsidRDefault="006E722C" w:rsidP="009B6A1F">
      <w:pPr>
        <w:tabs>
          <w:tab w:val="left" w:pos="540"/>
          <w:tab w:val="left" w:pos="569"/>
        </w:tabs>
        <w:jc w:val="both"/>
        <w:rPr>
          <w:sz w:val="22"/>
          <w:szCs w:val="22"/>
          <w:lang w:val="sr-Latn-RS"/>
        </w:rPr>
      </w:pPr>
      <w:r w:rsidRPr="00E00E21">
        <w:rPr>
          <w:sz w:val="22"/>
          <w:szCs w:val="22"/>
          <w:lang w:val="sr-Latn-RS"/>
        </w:rPr>
        <w:t>Neutropenijske komplikacije (uključujući febrilnu neutropeniju,</w:t>
      </w:r>
      <w:r w:rsidR="009B6A1F" w:rsidRPr="00E00E21">
        <w:rPr>
          <w:sz w:val="22"/>
          <w:szCs w:val="22"/>
          <w:lang w:val="sr-Latn-RS"/>
        </w:rPr>
        <w:t xml:space="preserve"> </w:t>
      </w:r>
      <w:r w:rsidRPr="00E00E21">
        <w:rPr>
          <w:sz w:val="22"/>
          <w:szCs w:val="22"/>
          <w:lang w:val="sr-Latn-RS"/>
        </w:rPr>
        <w:t xml:space="preserve">neutropenijske infekcije, neutropenijsku sepsu i neutropenijski kolitis), koji su u nekim slučajevima rezultirali smrtnim ishodom, prijavljene su kod 4,0% pacijenat kada je </w:t>
      </w:r>
      <w:r w:rsidR="00A91AAD" w:rsidRPr="00E00E21">
        <w:rPr>
          <w:sz w:val="22"/>
          <w:szCs w:val="22"/>
          <w:lang w:val="sr-Latn-RS"/>
        </w:rPr>
        <w:t>primijenjena</w:t>
      </w:r>
      <w:r w:rsidRPr="00E00E21">
        <w:rPr>
          <w:sz w:val="22"/>
          <w:szCs w:val="22"/>
          <w:lang w:val="sr-Latn-RS"/>
        </w:rPr>
        <w:t xml:space="preserve"> primarna profil</w:t>
      </w:r>
      <w:r w:rsidR="00A91AAD" w:rsidRPr="00E00E21">
        <w:rPr>
          <w:sz w:val="22"/>
          <w:szCs w:val="22"/>
          <w:lang w:val="sr-Latn-RS"/>
        </w:rPr>
        <w:t xml:space="preserve">aksa G-CSF-om, a kada ona nije primijenjena kod </w:t>
      </w:r>
      <w:r w:rsidRPr="00E00E21">
        <w:rPr>
          <w:sz w:val="22"/>
          <w:szCs w:val="22"/>
          <w:lang w:val="sr-Latn-RS"/>
        </w:rPr>
        <w:t xml:space="preserve">12,8% </w:t>
      </w:r>
      <w:r w:rsidR="00A91AAD" w:rsidRPr="00E00E21">
        <w:rPr>
          <w:sz w:val="22"/>
          <w:szCs w:val="22"/>
          <w:lang w:val="sr-Latn-RS"/>
        </w:rPr>
        <w:t>pacijenata</w:t>
      </w:r>
      <w:r w:rsidR="00F946DA" w:rsidRPr="00E00E21">
        <w:rPr>
          <w:sz w:val="22"/>
          <w:szCs w:val="22"/>
          <w:lang w:val="sr-Latn-RS"/>
        </w:rPr>
        <w:t xml:space="preserve">. </w:t>
      </w:r>
    </w:p>
    <w:p w14:paraId="4EE5B80B" w14:textId="77777777" w:rsidR="00F946DA" w:rsidRPr="00E00E21" w:rsidRDefault="00F946DA">
      <w:pPr>
        <w:tabs>
          <w:tab w:val="left" w:pos="540"/>
          <w:tab w:val="left" w:pos="569"/>
        </w:tabs>
        <w:jc w:val="both"/>
        <w:rPr>
          <w:sz w:val="22"/>
          <w:szCs w:val="22"/>
          <w:lang w:val="sr-Latn-RS"/>
        </w:rPr>
      </w:pPr>
    </w:p>
    <w:p w14:paraId="5DD269AB" w14:textId="77777777" w:rsidR="00FC2147" w:rsidRPr="00E00E21" w:rsidRDefault="00F2676B">
      <w:pPr>
        <w:tabs>
          <w:tab w:val="left" w:pos="540"/>
          <w:tab w:val="left" w:pos="569"/>
        </w:tabs>
        <w:jc w:val="both"/>
        <w:rPr>
          <w:i/>
          <w:sz w:val="22"/>
          <w:szCs w:val="22"/>
          <w:lang w:val="sr-Latn-RS"/>
        </w:rPr>
      </w:pPr>
      <w:r w:rsidRPr="00E00E21">
        <w:rPr>
          <w:i/>
          <w:sz w:val="22"/>
          <w:szCs w:val="22"/>
          <w:lang w:val="sr-Latn-RS"/>
        </w:rPr>
        <w:t xml:space="preserve">Srčani poremećaji i aritmije </w:t>
      </w:r>
    </w:p>
    <w:p w14:paraId="06F4F3E1" w14:textId="5255D272" w:rsidR="00FC2147" w:rsidRPr="00E00E21" w:rsidRDefault="00FC2147">
      <w:pPr>
        <w:tabs>
          <w:tab w:val="left" w:pos="540"/>
          <w:tab w:val="left" w:pos="569"/>
        </w:tabs>
        <w:jc w:val="both"/>
        <w:rPr>
          <w:sz w:val="22"/>
          <w:szCs w:val="22"/>
          <w:lang w:val="sr-Latn-RS"/>
        </w:rPr>
      </w:pPr>
      <w:r w:rsidRPr="00E00E21">
        <w:rPr>
          <w:sz w:val="22"/>
          <w:szCs w:val="22"/>
          <w:lang w:val="sr-Latn-RS"/>
        </w:rPr>
        <w:t>U objedinjenoj analizi, srčani poremećaji su prijavljeni kod 5,5% pacijenata od kojih je 1,1% imalo srčanu aritmiju stepena</w:t>
      </w:r>
      <w:r w:rsidR="009B6A1F" w:rsidRPr="00E00E21">
        <w:rPr>
          <w:sz w:val="22"/>
          <w:szCs w:val="22"/>
          <w:lang w:val="sr-Latn-RS"/>
        </w:rPr>
        <w:t xml:space="preserve"> </w:t>
      </w:r>
      <w:r w:rsidRPr="00E00E21">
        <w:rPr>
          <w:sz w:val="22"/>
          <w:szCs w:val="22"/>
          <w:lang w:val="sr-Latn-RS"/>
        </w:rPr>
        <w:t>≥ 3. Incidenca tahikardije u grupi koja je primala kabazitaksel iznosila je 1,0</w:t>
      </w:r>
      <w:r w:rsidR="009B6A1F" w:rsidRPr="00E00E21">
        <w:rPr>
          <w:sz w:val="22"/>
          <w:szCs w:val="22"/>
          <w:lang w:val="sr-Latn-RS"/>
        </w:rPr>
        <w:t xml:space="preserve"> </w:t>
      </w:r>
      <w:r w:rsidRPr="00E00E21">
        <w:rPr>
          <w:sz w:val="22"/>
          <w:szCs w:val="22"/>
          <w:lang w:val="sr-Latn-RS"/>
        </w:rPr>
        <w:t xml:space="preserve">%, od kojih  je manje od 0,1% bilo stepena ≥ 3. Incidenca atrijalne fibrilacije iznosila je 1,3%. Slučajevi insuficijencije srca zabilježeni su kod 2 pacijenta (0,2%), od kojih je jedan pacijent umro.  Ventrikularna fibrilacija sa smrtnim ishodom prijavljena je kod 1 pacijenta (0,3%), a srčani zastoj kod 3 pacijenta (0,5%). </w:t>
      </w:r>
      <w:r w:rsidR="003833BD" w:rsidRPr="00E00E21">
        <w:rPr>
          <w:sz w:val="22"/>
          <w:szCs w:val="22"/>
          <w:lang w:val="sr-Latn-RS"/>
        </w:rPr>
        <w:t>Ni jedan slučaj, po mišljenju ispitivača, nije bio povezan sa prim</w:t>
      </w:r>
      <w:r w:rsidR="000E5855" w:rsidRPr="00E00E21">
        <w:rPr>
          <w:sz w:val="22"/>
          <w:szCs w:val="22"/>
          <w:lang w:val="sr-Latn-RS"/>
        </w:rPr>
        <w:t>j</w:t>
      </w:r>
      <w:r w:rsidR="003833BD" w:rsidRPr="00E00E21">
        <w:rPr>
          <w:sz w:val="22"/>
          <w:szCs w:val="22"/>
          <w:lang w:val="sr-Latn-RS"/>
        </w:rPr>
        <w:t>enom lijeka</w:t>
      </w:r>
      <w:r w:rsidRPr="00E00E21">
        <w:rPr>
          <w:sz w:val="22"/>
          <w:szCs w:val="22"/>
          <w:lang w:val="sr-Latn-RS"/>
        </w:rPr>
        <w:t xml:space="preserve">. </w:t>
      </w:r>
    </w:p>
    <w:p w14:paraId="7E3CB31C" w14:textId="77777777" w:rsidR="003833BD" w:rsidRPr="00E00E21" w:rsidRDefault="003833BD">
      <w:pPr>
        <w:tabs>
          <w:tab w:val="left" w:pos="540"/>
          <w:tab w:val="left" w:pos="569"/>
        </w:tabs>
        <w:jc w:val="both"/>
        <w:rPr>
          <w:sz w:val="22"/>
          <w:szCs w:val="22"/>
          <w:lang w:val="sr-Latn-RS"/>
        </w:rPr>
      </w:pPr>
    </w:p>
    <w:p w14:paraId="79B03819" w14:textId="77777777" w:rsidR="003833BD" w:rsidRPr="00E00E21" w:rsidRDefault="00F2676B">
      <w:pPr>
        <w:tabs>
          <w:tab w:val="left" w:pos="540"/>
          <w:tab w:val="left" w:pos="569"/>
        </w:tabs>
        <w:jc w:val="both"/>
        <w:rPr>
          <w:i/>
          <w:sz w:val="22"/>
          <w:szCs w:val="22"/>
          <w:lang w:val="sr-Latn-RS"/>
        </w:rPr>
      </w:pPr>
      <w:r w:rsidRPr="00E00E21">
        <w:rPr>
          <w:i/>
          <w:sz w:val="22"/>
          <w:szCs w:val="22"/>
          <w:lang w:val="sr-Latn-RS"/>
        </w:rPr>
        <w:t xml:space="preserve">Hematurija </w:t>
      </w:r>
    </w:p>
    <w:p w14:paraId="578630EC" w14:textId="72ED39C1" w:rsidR="001022A0" w:rsidRPr="00E00E21" w:rsidRDefault="001022A0">
      <w:pPr>
        <w:tabs>
          <w:tab w:val="left" w:pos="540"/>
          <w:tab w:val="left" w:pos="569"/>
        </w:tabs>
        <w:jc w:val="both"/>
        <w:rPr>
          <w:sz w:val="22"/>
          <w:szCs w:val="22"/>
          <w:lang w:val="sr-Latn-RS"/>
        </w:rPr>
      </w:pPr>
      <w:r w:rsidRPr="00E00E21">
        <w:rPr>
          <w:sz w:val="22"/>
          <w:szCs w:val="22"/>
          <w:lang w:val="sr-Latn-RS"/>
        </w:rPr>
        <w:t>U objedinjenoj analizi, svi stepeni hematurije su bili zastupljeni sa učestalošću od 18,8% pri dozama od 25 mg/m</w:t>
      </w:r>
      <w:r w:rsidRPr="00E00E21">
        <w:rPr>
          <w:sz w:val="22"/>
          <w:szCs w:val="22"/>
          <w:vertAlign w:val="superscript"/>
          <w:lang w:val="sr-Latn-RS"/>
        </w:rPr>
        <w:t>2</w:t>
      </w:r>
      <w:r w:rsidRPr="00E00E21">
        <w:rPr>
          <w:sz w:val="22"/>
          <w:szCs w:val="22"/>
          <w:lang w:val="sr-Latn-RS"/>
        </w:rPr>
        <w:t xml:space="preserve"> (vidjeti dio 5.1). Ometajući uzroci, poput progresije bolesti, manipulacije medicinskim instrumentima, infekcije ili terapije antikoagulansima/ljekovima iz grupe NSAIL/acetilsalicilnom kiselinom (aspirin) identifikovani su kod gotovo dv</w:t>
      </w:r>
      <w:r w:rsidR="000648FA" w:rsidRPr="00E00E21">
        <w:rPr>
          <w:sz w:val="22"/>
          <w:szCs w:val="22"/>
          <w:lang w:val="sr-Latn-RS"/>
        </w:rPr>
        <w:t>ij</w:t>
      </w:r>
      <w:r w:rsidRPr="00E00E21">
        <w:rPr>
          <w:sz w:val="22"/>
          <w:szCs w:val="22"/>
          <w:lang w:val="sr-Latn-RS"/>
        </w:rPr>
        <w:t>e trećine pacijenata.</w:t>
      </w:r>
    </w:p>
    <w:p w14:paraId="520FBAC1" w14:textId="77777777" w:rsidR="001022A0" w:rsidRPr="00E00E21" w:rsidRDefault="001022A0">
      <w:pPr>
        <w:tabs>
          <w:tab w:val="left" w:pos="540"/>
          <w:tab w:val="left" w:pos="569"/>
        </w:tabs>
        <w:jc w:val="both"/>
        <w:rPr>
          <w:sz w:val="22"/>
          <w:szCs w:val="22"/>
          <w:lang w:val="sr-Latn-RS"/>
        </w:rPr>
      </w:pPr>
    </w:p>
    <w:p w14:paraId="407C62F8" w14:textId="77777777" w:rsidR="001022A0" w:rsidRPr="00E00E21" w:rsidRDefault="00F2676B">
      <w:pPr>
        <w:tabs>
          <w:tab w:val="left" w:pos="540"/>
          <w:tab w:val="left" w:pos="569"/>
        </w:tabs>
        <w:jc w:val="both"/>
        <w:rPr>
          <w:i/>
          <w:sz w:val="22"/>
          <w:szCs w:val="22"/>
          <w:lang w:val="sr-Latn-RS"/>
        </w:rPr>
      </w:pPr>
      <w:r w:rsidRPr="00E00E21">
        <w:rPr>
          <w:i/>
          <w:sz w:val="22"/>
          <w:szCs w:val="22"/>
          <w:lang w:val="sr-Latn-RS"/>
        </w:rPr>
        <w:t xml:space="preserve">Ostala odstupanja laboratorijskih </w:t>
      </w:r>
      <w:r w:rsidR="001022A0" w:rsidRPr="00E00E21">
        <w:rPr>
          <w:i/>
          <w:sz w:val="22"/>
          <w:szCs w:val="22"/>
          <w:lang w:val="sr-Latn-RS"/>
        </w:rPr>
        <w:t>vrijednosti</w:t>
      </w:r>
      <w:r w:rsidRPr="00E00E21">
        <w:rPr>
          <w:i/>
          <w:sz w:val="22"/>
          <w:szCs w:val="22"/>
          <w:lang w:val="sr-Latn-RS"/>
        </w:rPr>
        <w:t xml:space="preserve"> </w:t>
      </w:r>
    </w:p>
    <w:p w14:paraId="3ECC9907" w14:textId="77777777" w:rsidR="00F52F41" w:rsidRPr="00E00E21" w:rsidRDefault="00F52F41">
      <w:pPr>
        <w:tabs>
          <w:tab w:val="left" w:pos="540"/>
          <w:tab w:val="left" w:pos="569"/>
        </w:tabs>
        <w:jc w:val="both"/>
        <w:rPr>
          <w:i/>
          <w:sz w:val="22"/>
          <w:szCs w:val="22"/>
          <w:lang w:val="sr-Latn-RS"/>
        </w:rPr>
      </w:pPr>
    </w:p>
    <w:p w14:paraId="7EED8A4C" w14:textId="11F744D1" w:rsidR="001022A0" w:rsidRPr="00E00E21" w:rsidRDefault="001022A0">
      <w:pPr>
        <w:tabs>
          <w:tab w:val="left" w:pos="540"/>
          <w:tab w:val="left" w:pos="569"/>
        </w:tabs>
        <w:jc w:val="both"/>
        <w:rPr>
          <w:sz w:val="22"/>
          <w:szCs w:val="22"/>
          <w:lang w:val="sr-Latn-RS"/>
        </w:rPr>
      </w:pPr>
      <w:r w:rsidRPr="00E00E21">
        <w:rPr>
          <w:sz w:val="22"/>
          <w:szCs w:val="22"/>
          <w:lang w:val="sr-Latn-RS"/>
        </w:rPr>
        <w:t xml:space="preserve">U objedinjenoj analizi, </w:t>
      </w:r>
      <w:r w:rsidR="00970B8B" w:rsidRPr="00E00E21">
        <w:rPr>
          <w:sz w:val="22"/>
          <w:szCs w:val="22"/>
          <w:lang w:val="sr-Latn-RS"/>
        </w:rPr>
        <w:t xml:space="preserve">na osnovu laboratorijskih rezultata, </w:t>
      </w:r>
      <w:r w:rsidRPr="00E00E21">
        <w:rPr>
          <w:sz w:val="22"/>
          <w:szCs w:val="22"/>
          <w:lang w:val="sr-Latn-RS"/>
        </w:rPr>
        <w:t>i</w:t>
      </w:r>
      <w:r w:rsidR="00F2676B" w:rsidRPr="00E00E21">
        <w:rPr>
          <w:sz w:val="22"/>
          <w:szCs w:val="22"/>
          <w:lang w:val="sr-Latn-RS"/>
        </w:rPr>
        <w:t>ncidenca anemije stepena ≥</w:t>
      </w:r>
      <w:r w:rsidR="000648FA" w:rsidRPr="00E00E21">
        <w:rPr>
          <w:sz w:val="22"/>
          <w:szCs w:val="22"/>
          <w:lang w:val="sr-Latn-RS"/>
        </w:rPr>
        <w:t xml:space="preserve"> </w:t>
      </w:r>
      <w:r w:rsidR="00F2676B" w:rsidRPr="00E00E21">
        <w:rPr>
          <w:sz w:val="22"/>
          <w:szCs w:val="22"/>
          <w:lang w:val="sr-Latn-RS"/>
        </w:rPr>
        <w:t>3</w:t>
      </w:r>
      <w:r w:rsidR="00970B8B" w:rsidRPr="00E00E21">
        <w:rPr>
          <w:sz w:val="22"/>
          <w:szCs w:val="22"/>
          <w:lang w:val="sr-Latn-RS"/>
        </w:rPr>
        <w:t xml:space="preserve"> iznosila je 12%, incidenca</w:t>
      </w:r>
      <w:r w:rsidR="00F2676B" w:rsidRPr="00E00E21">
        <w:rPr>
          <w:sz w:val="22"/>
          <w:szCs w:val="22"/>
          <w:lang w:val="sr-Latn-RS"/>
        </w:rPr>
        <w:t xml:space="preserve"> </w:t>
      </w:r>
      <w:r w:rsidR="00970B8B" w:rsidRPr="00E00E21">
        <w:rPr>
          <w:sz w:val="22"/>
          <w:szCs w:val="22"/>
          <w:lang w:val="sr-Latn-RS"/>
        </w:rPr>
        <w:t xml:space="preserve">povišenih </w:t>
      </w:r>
      <w:r w:rsidRPr="00E00E21">
        <w:rPr>
          <w:sz w:val="22"/>
          <w:szCs w:val="22"/>
          <w:lang w:val="sr-Latn-RS"/>
        </w:rPr>
        <w:t>vrijednosti</w:t>
      </w:r>
      <w:r w:rsidR="00F2676B" w:rsidRPr="00E00E21">
        <w:rPr>
          <w:sz w:val="22"/>
          <w:szCs w:val="22"/>
          <w:lang w:val="sr-Latn-RS"/>
        </w:rPr>
        <w:t xml:space="preserve"> AST</w:t>
      </w:r>
      <w:r w:rsidR="00970B8B" w:rsidRPr="00E00E21">
        <w:rPr>
          <w:sz w:val="22"/>
          <w:szCs w:val="22"/>
          <w:lang w:val="sr-Latn-RS"/>
        </w:rPr>
        <w:t>-a</w:t>
      </w:r>
      <w:r w:rsidR="00F2676B" w:rsidRPr="00E00E21">
        <w:rPr>
          <w:sz w:val="22"/>
          <w:szCs w:val="22"/>
          <w:lang w:val="sr-Latn-RS"/>
        </w:rPr>
        <w:t>, ALT</w:t>
      </w:r>
      <w:r w:rsidR="00970B8B" w:rsidRPr="00E00E21">
        <w:rPr>
          <w:sz w:val="22"/>
          <w:szCs w:val="22"/>
          <w:lang w:val="sr-Latn-RS"/>
        </w:rPr>
        <w:t>-a</w:t>
      </w:r>
      <w:r w:rsidR="00F2676B" w:rsidRPr="00E00E21">
        <w:rPr>
          <w:sz w:val="22"/>
          <w:szCs w:val="22"/>
          <w:lang w:val="sr-Latn-RS"/>
        </w:rPr>
        <w:t xml:space="preserve"> i bilirubina, iznosila je </w:t>
      </w:r>
      <w:r w:rsidR="00970B8B" w:rsidRPr="00E00E21">
        <w:rPr>
          <w:sz w:val="22"/>
          <w:szCs w:val="22"/>
          <w:lang w:val="sr-Latn-RS"/>
        </w:rPr>
        <w:t>1,3%, 1%, odnosno 0,5%.</w:t>
      </w:r>
    </w:p>
    <w:p w14:paraId="79DF8D60" w14:textId="77777777" w:rsidR="001022A0" w:rsidRPr="00E00E21" w:rsidRDefault="001022A0">
      <w:pPr>
        <w:tabs>
          <w:tab w:val="left" w:pos="540"/>
          <w:tab w:val="left" w:pos="569"/>
        </w:tabs>
        <w:jc w:val="both"/>
        <w:rPr>
          <w:sz w:val="22"/>
          <w:szCs w:val="22"/>
          <w:lang w:val="sr-Latn-RS"/>
        </w:rPr>
      </w:pPr>
    </w:p>
    <w:p w14:paraId="103FA12D" w14:textId="0040B7BE" w:rsidR="001022A0" w:rsidRPr="00E00E21" w:rsidRDefault="00F2676B">
      <w:pPr>
        <w:tabs>
          <w:tab w:val="left" w:pos="540"/>
          <w:tab w:val="left" w:pos="569"/>
        </w:tabs>
        <w:jc w:val="both"/>
        <w:rPr>
          <w:i/>
          <w:sz w:val="22"/>
          <w:szCs w:val="22"/>
          <w:lang w:val="sr-Latn-RS"/>
        </w:rPr>
      </w:pPr>
      <w:r w:rsidRPr="00E00E21">
        <w:rPr>
          <w:i/>
          <w:sz w:val="22"/>
          <w:szCs w:val="22"/>
          <w:lang w:val="sr-Latn-RS"/>
        </w:rPr>
        <w:t xml:space="preserve">Gastrointestinalni poremećaji </w:t>
      </w:r>
    </w:p>
    <w:p w14:paraId="2CAF4476" w14:textId="77777777" w:rsidR="00F52F41" w:rsidRPr="00E00E21" w:rsidRDefault="00F52F41">
      <w:pPr>
        <w:tabs>
          <w:tab w:val="left" w:pos="540"/>
          <w:tab w:val="left" w:pos="569"/>
        </w:tabs>
        <w:jc w:val="both"/>
        <w:rPr>
          <w:i/>
          <w:sz w:val="22"/>
          <w:szCs w:val="22"/>
          <w:lang w:val="sr-Latn-RS"/>
        </w:rPr>
      </w:pPr>
    </w:p>
    <w:p w14:paraId="7416F437" w14:textId="3306E7E3" w:rsidR="00F94684" w:rsidRPr="00E00E21" w:rsidRDefault="00F2676B">
      <w:pPr>
        <w:tabs>
          <w:tab w:val="left" w:pos="540"/>
          <w:tab w:val="left" w:pos="569"/>
        </w:tabs>
        <w:jc w:val="both"/>
        <w:rPr>
          <w:sz w:val="22"/>
          <w:szCs w:val="22"/>
          <w:lang w:val="sr-Latn-RS"/>
        </w:rPr>
      </w:pPr>
      <w:r w:rsidRPr="00E00E21">
        <w:rPr>
          <w:sz w:val="22"/>
          <w:szCs w:val="22"/>
          <w:lang w:val="sr-Latn-RS"/>
        </w:rPr>
        <w:t>Zab</w:t>
      </w:r>
      <w:r w:rsidR="001022A0" w:rsidRPr="00E00E21">
        <w:rPr>
          <w:sz w:val="22"/>
          <w:szCs w:val="22"/>
          <w:lang w:val="sr-Latn-RS"/>
        </w:rPr>
        <w:t>i</w:t>
      </w:r>
      <w:r w:rsidRPr="00E00E21">
        <w:rPr>
          <w:sz w:val="22"/>
          <w:szCs w:val="22"/>
          <w:lang w:val="sr-Latn-RS"/>
        </w:rPr>
        <w:t>l</w:t>
      </w:r>
      <w:r w:rsidR="001022A0" w:rsidRPr="00E00E21">
        <w:rPr>
          <w:sz w:val="22"/>
          <w:szCs w:val="22"/>
          <w:lang w:val="sr-Latn-RS"/>
        </w:rPr>
        <w:t>j</w:t>
      </w:r>
      <w:r w:rsidR="00F94684" w:rsidRPr="00E00E21">
        <w:rPr>
          <w:sz w:val="22"/>
          <w:szCs w:val="22"/>
          <w:lang w:val="sr-Latn-RS"/>
        </w:rPr>
        <w:t xml:space="preserve">eženi su </w:t>
      </w:r>
      <w:r w:rsidR="000648FA" w:rsidRPr="00E00E21">
        <w:rPr>
          <w:sz w:val="22"/>
          <w:szCs w:val="22"/>
          <w:lang w:val="sr-Latn-RS"/>
        </w:rPr>
        <w:t>k</w:t>
      </w:r>
      <w:r w:rsidR="00F94684" w:rsidRPr="00E00E21">
        <w:rPr>
          <w:sz w:val="22"/>
          <w:szCs w:val="22"/>
          <w:lang w:val="sr-Latn-RS"/>
        </w:rPr>
        <w:t xml:space="preserve">olitis (uključujući </w:t>
      </w:r>
      <w:r w:rsidRPr="00E00E21">
        <w:rPr>
          <w:sz w:val="22"/>
          <w:szCs w:val="22"/>
          <w:lang w:val="sr-Latn-RS"/>
        </w:rPr>
        <w:t>enterokolitis i neutropenijski enterokolitis</w:t>
      </w:r>
      <w:r w:rsidR="00F94684" w:rsidRPr="00E00E21">
        <w:rPr>
          <w:sz w:val="22"/>
          <w:szCs w:val="22"/>
          <w:lang w:val="sr-Latn-RS"/>
        </w:rPr>
        <w:t>) i gastritis</w:t>
      </w:r>
      <w:r w:rsidRPr="00E00E21">
        <w:rPr>
          <w:sz w:val="22"/>
          <w:szCs w:val="22"/>
          <w:lang w:val="sr-Latn-RS"/>
        </w:rPr>
        <w:t>. Takođe su zab</w:t>
      </w:r>
      <w:r w:rsidR="00F94684" w:rsidRPr="00E00E21">
        <w:rPr>
          <w:sz w:val="22"/>
          <w:szCs w:val="22"/>
          <w:lang w:val="sr-Latn-RS"/>
        </w:rPr>
        <w:t>i</w:t>
      </w:r>
      <w:r w:rsidRPr="00E00E21">
        <w:rPr>
          <w:sz w:val="22"/>
          <w:szCs w:val="22"/>
          <w:lang w:val="sr-Latn-RS"/>
        </w:rPr>
        <w:t>l</w:t>
      </w:r>
      <w:r w:rsidR="00F94684" w:rsidRPr="00E00E21">
        <w:rPr>
          <w:sz w:val="22"/>
          <w:szCs w:val="22"/>
          <w:lang w:val="sr-Latn-RS"/>
        </w:rPr>
        <w:t>j</w:t>
      </w:r>
      <w:r w:rsidRPr="00E00E21">
        <w:rPr>
          <w:sz w:val="22"/>
          <w:szCs w:val="22"/>
          <w:lang w:val="sr-Latn-RS"/>
        </w:rPr>
        <w:t>eženi gastrointestinalno krvarenje i perforacije, ileus i intestinalna opstrukcija (</w:t>
      </w:r>
      <w:r w:rsidR="000648FA" w:rsidRPr="00E00E21">
        <w:rPr>
          <w:sz w:val="22"/>
          <w:szCs w:val="22"/>
          <w:lang w:val="sr-Latn-RS"/>
        </w:rPr>
        <w:t xml:space="preserve">vidjeti </w:t>
      </w:r>
      <w:r w:rsidR="00F94684" w:rsidRPr="00E00E21">
        <w:rPr>
          <w:sz w:val="22"/>
          <w:szCs w:val="22"/>
          <w:lang w:val="sr-Latn-RS"/>
        </w:rPr>
        <w:t>dio</w:t>
      </w:r>
      <w:r w:rsidRPr="00E00E21">
        <w:rPr>
          <w:sz w:val="22"/>
          <w:szCs w:val="22"/>
          <w:lang w:val="sr-Latn-RS"/>
        </w:rPr>
        <w:t xml:space="preserve"> 4.4). </w:t>
      </w:r>
    </w:p>
    <w:p w14:paraId="2FA3DD04" w14:textId="77777777" w:rsidR="00F94684" w:rsidRPr="00E00E21" w:rsidRDefault="00F94684">
      <w:pPr>
        <w:tabs>
          <w:tab w:val="left" w:pos="540"/>
          <w:tab w:val="left" w:pos="569"/>
        </w:tabs>
        <w:jc w:val="both"/>
        <w:rPr>
          <w:sz w:val="22"/>
          <w:szCs w:val="22"/>
          <w:lang w:val="sr-Latn-RS"/>
        </w:rPr>
      </w:pPr>
    </w:p>
    <w:p w14:paraId="3C629FD2" w14:textId="77777777" w:rsidR="00F94684" w:rsidRPr="00E00E21" w:rsidRDefault="00F2676B">
      <w:pPr>
        <w:tabs>
          <w:tab w:val="left" w:pos="540"/>
          <w:tab w:val="left" w:pos="569"/>
        </w:tabs>
        <w:jc w:val="both"/>
        <w:rPr>
          <w:i/>
          <w:sz w:val="22"/>
          <w:szCs w:val="22"/>
          <w:lang w:val="sr-Latn-RS"/>
        </w:rPr>
      </w:pPr>
      <w:r w:rsidRPr="00E00E21">
        <w:rPr>
          <w:i/>
          <w:sz w:val="22"/>
          <w:szCs w:val="22"/>
          <w:lang w:val="sr-Latn-RS"/>
        </w:rPr>
        <w:t xml:space="preserve">Poremećaji respiratornog sistema </w:t>
      </w:r>
    </w:p>
    <w:p w14:paraId="0FB91307" w14:textId="77777777" w:rsidR="00F52F41" w:rsidRPr="00E00E21" w:rsidRDefault="00F52F41">
      <w:pPr>
        <w:tabs>
          <w:tab w:val="left" w:pos="540"/>
          <w:tab w:val="left" w:pos="569"/>
        </w:tabs>
        <w:jc w:val="both"/>
        <w:rPr>
          <w:i/>
          <w:sz w:val="22"/>
          <w:szCs w:val="22"/>
          <w:lang w:val="sr-Latn-RS"/>
        </w:rPr>
      </w:pPr>
    </w:p>
    <w:p w14:paraId="2E9A0C10" w14:textId="38471434" w:rsidR="009F2C36" w:rsidRPr="00E00E21" w:rsidRDefault="00F2676B">
      <w:pPr>
        <w:tabs>
          <w:tab w:val="left" w:pos="540"/>
          <w:tab w:val="left" w:pos="569"/>
        </w:tabs>
        <w:jc w:val="both"/>
        <w:rPr>
          <w:sz w:val="22"/>
          <w:szCs w:val="22"/>
          <w:lang w:val="sr-Latn-RS"/>
        </w:rPr>
      </w:pPr>
      <w:r w:rsidRPr="00E00E21">
        <w:rPr>
          <w:sz w:val="22"/>
          <w:szCs w:val="22"/>
          <w:lang w:val="sr-Latn-RS"/>
        </w:rPr>
        <w:t xml:space="preserve">Prijavljivani su slučajevi intersticijalne pneumonije/pneumonitisa i intersticijalne bolesti pluća, ponekad sa smrtnim ishodom i sa nepoznatom učestalošću (učestalost se ne može </w:t>
      </w:r>
      <w:r w:rsidR="009F2C36" w:rsidRPr="00E00E21">
        <w:rPr>
          <w:sz w:val="22"/>
          <w:szCs w:val="22"/>
          <w:lang w:val="sr-Latn-RS"/>
        </w:rPr>
        <w:t>procijeniti</w:t>
      </w:r>
      <w:r w:rsidRPr="00E00E21">
        <w:rPr>
          <w:sz w:val="22"/>
          <w:szCs w:val="22"/>
          <w:lang w:val="sr-Latn-RS"/>
        </w:rPr>
        <w:t xml:space="preserve"> na osnovu dostupnih podataka) (</w:t>
      </w:r>
      <w:r w:rsidR="009F2C36" w:rsidRPr="00E00E21">
        <w:rPr>
          <w:sz w:val="22"/>
          <w:szCs w:val="22"/>
          <w:lang w:val="sr-Latn-RS"/>
        </w:rPr>
        <w:t>vidjeti</w:t>
      </w:r>
      <w:r w:rsidRPr="00E00E21">
        <w:rPr>
          <w:sz w:val="22"/>
          <w:szCs w:val="22"/>
          <w:lang w:val="sr-Latn-RS"/>
        </w:rPr>
        <w:t xml:space="preserve"> </w:t>
      </w:r>
      <w:r w:rsidR="00F94684" w:rsidRPr="00E00E21">
        <w:rPr>
          <w:sz w:val="22"/>
          <w:szCs w:val="22"/>
          <w:lang w:val="sr-Latn-RS"/>
        </w:rPr>
        <w:t>dio</w:t>
      </w:r>
      <w:r w:rsidRPr="00E00E21">
        <w:rPr>
          <w:sz w:val="22"/>
          <w:szCs w:val="22"/>
          <w:lang w:val="sr-Latn-RS"/>
        </w:rPr>
        <w:t xml:space="preserve"> 4.4) </w:t>
      </w:r>
    </w:p>
    <w:p w14:paraId="66CD944E" w14:textId="77777777" w:rsidR="009F2C36" w:rsidRPr="00E00E21" w:rsidRDefault="009F2C36">
      <w:pPr>
        <w:tabs>
          <w:tab w:val="left" w:pos="540"/>
          <w:tab w:val="left" w:pos="569"/>
        </w:tabs>
        <w:jc w:val="both"/>
        <w:rPr>
          <w:sz w:val="22"/>
          <w:szCs w:val="22"/>
          <w:lang w:val="sr-Latn-RS"/>
        </w:rPr>
      </w:pPr>
    </w:p>
    <w:p w14:paraId="77BF7403" w14:textId="77777777" w:rsidR="009F2C36" w:rsidRPr="00E00E21" w:rsidRDefault="00F2676B">
      <w:pPr>
        <w:tabs>
          <w:tab w:val="left" w:pos="540"/>
          <w:tab w:val="left" w:pos="569"/>
        </w:tabs>
        <w:jc w:val="both"/>
        <w:rPr>
          <w:i/>
          <w:sz w:val="22"/>
          <w:szCs w:val="22"/>
          <w:lang w:val="sr-Latn-RS"/>
        </w:rPr>
      </w:pPr>
      <w:r w:rsidRPr="00E00E21">
        <w:rPr>
          <w:i/>
          <w:sz w:val="22"/>
          <w:szCs w:val="22"/>
          <w:lang w:val="sr-Latn-RS"/>
        </w:rPr>
        <w:t xml:space="preserve">Poremećaji bubrega i mokraćnog sistema </w:t>
      </w:r>
    </w:p>
    <w:p w14:paraId="0C4E21B9" w14:textId="77777777" w:rsidR="00F52F41" w:rsidRPr="00E00E21" w:rsidRDefault="00F52F41">
      <w:pPr>
        <w:tabs>
          <w:tab w:val="left" w:pos="540"/>
          <w:tab w:val="left" w:pos="569"/>
        </w:tabs>
        <w:jc w:val="both"/>
        <w:rPr>
          <w:i/>
          <w:sz w:val="22"/>
          <w:szCs w:val="22"/>
          <w:lang w:val="sr-Latn-RS"/>
        </w:rPr>
      </w:pPr>
    </w:p>
    <w:p w14:paraId="06D284B7" w14:textId="3072969A" w:rsidR="009F2C36" w:rsidRPr="00E00E21" w:rsidRDefault="00F2676B">
      <w:pPr>
        <w:tabs>
          <w:tab w:val="left" w:pos="540"/>
          <w:tab w:val="left" w:pos="569"/>
        </w:tabs>
        <w:jc w:val="both"/>
        <w:rPr>
          <w:sz w:val="22"/>
          <w:szCs w:val="22"/>
          <w:lang w:val="sr-Latn-RS"/>
        </w:rPr>
      </w:pPr>
      <w:r w:rsidRPr="00E00E21">
        <w:rPr>
          <w:sz w:val="22"/>
          <w:szCs w:val="22"/>
          <w:lang w:val="sr-Latn-RS"/>
        </w:rPr>
        <w:t>Po</w:t>
      </w:r>
      <w:r w:rsidR="008B16FD" w:rsidRPr="00E00E21">
        <w:rPr>
          <w:sz w:val="22"/>
          <w:szCs w:val="22"/>
          <w:lang w:val="sr-Latn-RS"/>
        </w:rPr>
        <w:t>vreme</w:t>
      </w:r>
      <w:r w:rsidRPr="00E00E21">
        <w:rPr>
          <w:sz w:val="22"/>
          <w:szCs w:val="22"/>
          <w:lang w:val="sr-Latn-RS"/>
        </w:rPr>
        <w:t>no se javlja cistitis usl</w:t>
      </w:r>
      <w:r w:rsidR="000648FA" w:rsidRPr="00E00E21">
        <w:rPr>
          <w:sz w:val="22"/>
          <w:szCs w:val="22"/>
          <w:lang w:val="sr-Latn-RS"/>
        </w:rPr>
        <w:t>j</w:t>
      </w:r>
      <w:r w:rsidRPr="00E00E21">
        <w:rPr>
          <w:sz w:val="22"/>
          <w:szCs w:val="22"/>
          <w:lang w:val="sr-Latn-RS"/>
        </w:rPr>
        <w:t>ed</w:t>
      </w:r>
      <w:r w:rsidR="000648FA" w:rsidRPr="00E00E21">
        <w:rPr>
          <w:sz w:val="22"/>
          <w:szCs w:val="22"/>
          <w:lang w:val="sr-Latn-RS"/>
        </w:rPr>
        <w:t xml:space="preserve"> radijacijske upalne reakcije (eng.</w:t>
      </w:r>
      <w:r w:rsidRPr="00E00E21">
        <w:rPr>
          <w:sz w:val="22"/>
          <w:szCs w:val="22"/>
          <w:lang w:val="sr-Latn-RS"/>
        </w:rPr>
        <w:t xml:space="preserve"> </w:t>
      </w:r>
      <w:r w:rsidRPr="00E00E21">
        <w:rPr>
          <w:i/>
          <w:sz w:val="22"/>
          <w:szCs w:val="22"/>
          <w:lang w:val="sr-Latn-RS"/>
        </w:rPr>
        <w:t>radiation recall</w:t>
      </w:r>
      <w:r w:rsidR="000648FA" w:rsidRPr="00E00E21">
        <w:rPr>
          <w:sz w:val="22"/>
          <w:szCs w:val="22"/>
          <w:lang w:val="sr-Latn-RS"/>
        </w:rPr>
        <w:t>)</w:t>
      </w:r>
      <w:r w:rsidRPr="00E00E21">
        <w:rPr>
          <w:sz w:val="22"/>
          <w:szCs w:val="22"/>
          <w:lang w:val="sr-Latn-RS"/>
        </w:rPr>
        <w:t xml:space="preserve"> uključujući hemoragični cistitis. </w:t>
      </w:r>
    </w:p>
    <w:p w14:paraId="553A0A11" w14:textId="77777777" w:rsidR="009F2C36" w:rsidRPr="00E00E21" w:rsidRDefault="009F2C36">
      <w:pPr>
        <w:tabs>
          <w:tab w:val="left" w:pos="540"/>
          <w:tab w:val="left" w:pos="569"/>
        </w:tabs>
        <w:jc w:val="both"/>
        <w:rPr>
          <w:sz w:val="22"/>
          <w:szCs w:val="22"/>
          <w:lang w:val="sr-Latn-RS"/>
        </w:rPr>
      </w:pPr>
    </w:p>
    <w:p w14:paraId="2EA100C0" w14:textId="77777777" w:rsidR="009F2C36" w:rsidRPr="00E00E21" w:rsidRDefault="00F2676B">
      <w:pPr>
        <w:tabs>
          <w:tab w:val="left" w:pos="540"/>
          <w:tab w:val="left" w:pos="569"/>
        </w:tabs>
        <w:jc w:val="both"/>
        <w:rPr>
          <w:sz w:val="22"/>
          <w:szCs w:val="22"/>
          <w:u w:val="single"/>
          <w:lang w:val="sr-Latn-RS"/>
        </w:rPr>
      </w:pPr>
      <w:r w:rsidRPr="00E00E21">
        <w:rPr>
          <w:sz w:val="22"/>
          <w:szCs w:val="22"/>
          <w:u w:val="single"/>
          <w:lang w:val="sr-Latn-RS"/>
        </w:rPr>
        <w:t xml:space="preserve">Pedijatrijska populacija </w:t>
      </w:r>
    </w:p>
    <w:p w14:paraId="71A67FAB" w14:textId="77777777" w:rsidR="009F2C36" w:rsidRPr="00E00E21" w:rsidRDefault="00F2676B">
      <w:pPr>
        <w:tabs>
          <w:tab w:val="left" w:pos="540"/>
          <w:tab w:val="left" w:pos="569"/>
        </w:tabs>
        <w:jc w:val="both"/>
        <w:rPr>
          <w:sz w:val="22"/>
          <w:szCs w:val="22"/>
          <w:lang w:val="sr-Latn-RS"/>
        </w:rPr>
      </w:pPr>
      <w:r w:rsidRPr="00E00E21">
        <w:rPr>
          <w:sz w:val="22"/>
          <w:szCs w:val="22"/>
          <w:lang w:val="sr-Latn-RS"/>
        </w:rPr>
        <w:t xml:space="preserve">Pogledajte </w:t>
      </w:r>
      <w:r w:rsidR="00F94684" w:rsidRPr="00E00E21">
        <w:rPr>
          <w:sz w:val="22"/>
          <w:szCs w:val="22"/>
          <w:lang w:val="sr-Latn-RS"/>
        </w:rPr>
        <w:t>dio</w:t>
      </w:r>
      <w:r w:rsidR="009F2C36" w:rsidRPr="00E00E21">
        <w:rPr>
          <w:sz w:val="22"/>
          <w:szCs w:val="22"/>
          <w:lang w:val="sr-Latn-RS"/>
        </w:rPr>
        <w:t xml:space="preserve"> 4.2.</w:t>
      </w:r>
    </w:p>
    <w:p w14:paraId="1B7CAC9F" w14:textId="77777777" w:rsidR="009F2C36" w:rsidRPr="00E00E21" w:rsidRDefault="009F2C36">
      <w:pPr>
        <w:tabs>
          <w:tab w:val="left" w:pos="540"/>
          <w:tab w:val="left" w:pos="569"/>
        </w:tabs>
        <w:jc w:val="both"/>
        <w:rPr>
          <w:sz w:val="22"/>
          <w:szCs w:val="22"/>
          <w:lang w:val="sr-Latn-RS"/>
        </w:rPr>
      </w:pPr>
    </w:p>
    <w:p w14:paraId="18F72003" w14:textId="77777777" w:rsidR="009F2C36" w:rsidRPr="00E00E21" w:rsidRDefault="00F2676B">
      <w:pPr>
        <w:tabs>
          <w:tab w:val="left" w:pos="540"/>
          <w:tab w:val="left" w:pos="569"/>
        </w:tabs>
        <w:jc w:val="both"/>
        <w:rPr>
          <w:sz w:val="22"/>
          <w:szCs w:val="22"/>
          <w:u w:val="single"/>
          <w:lang w:val="sr-Latn-RS"/>
        </w:rPr>
      </w:pPr>
      <w:r w:rsidRPr="00E00E21">
        <w:rPr>
          <w:sz w:val="22"/>
          <w:szCs w:val="22"/>
          <w:u w:val="single"/>
          <w:lang w:val="sr-Latn-RS"/>
        </w:rPr>
        <w:t xml:space="preserve">Ostale posebne populacije </w:t>
      </w:r>
    </w:p>
    <w:p w14:paraId="5B93DB2B" w14:textId="77777777" w:rsidR="009F2C36" w:rsidRPr="00E00E21" w:rsidRDefault="009F2C36">
      <w:pPr>
        <w:tabs>
          <w:tab w:val="left" w:pos="540"/>
          <w:tab w:val="left" w:pos="569"/>
        </w:tabs>
        <w:jc w:val="both"/>
        <w:rPr>
          <w:sz w:val="22"/>
          <w:szCs w:val="22"/>
          <w:lang w:val="sr-Latn-RS"/>
        </w:rPr>
      </w:pPr>
    </w:p>
    <w:p w14:paraId="524BF6C8" w14:textId="77777777" w:rsidR="009F2C36" w:rsidRPr="00E00E21" w:rsidRDefault="00F2676B">
      <w:pPr>
        <w:tabs>
          <w:tab w:val="left" w:pos="540"/>
          <w:tab w:val="left" w:pos="569"/>
        </w:tabs>
        <w:jc w:val="both"/>
        <w:rPr>
          <w:i/>
          <w:sz w:val="22"/>
          <w:szCs w:val="22"/>
          <w:lang w:val="sr-Latn-RS"/>
        </w:rPr>
      </w:pPr>
      <w:r w:rsidRPr="00E00E21">
        <w:rPr>
          <w:i/>
          <w:sz w:val="22"/>
          <w:szCs w:val="22"/>
          <w:lang w:val="sr-Latn-RS"/>
        </w:rPr>
        <w:t xml:space="preserve">Starije osobe </w:t>
      </w:r>
    </w:p>
    <w:p w14:paraId="4F56D9D3" w14:textId="77777777" w:rsidR="00F52F41" w:rsidRPr="00E00E21" w:rsidRDefault="00F52F41">
      <w:pPr>
        <w:tabs>
          <w:tab w:val="left" w:pos="540"/>
          <w:tab w:val="left" w:pos="569"/>
        </w:tabs>
        <w:jc w:val="both"/>
        <w:rPr>
          <w:i/>
          <w:sz w:val="22"/>
          <w:szCs w:val="22"/>
          <w:lang w:val="sr-Latn-RS"/>
        </w:rPr>
      </w:pPr>
    </w:p>
    <w:p w14:paraId="474741A7" w14:textId="4EE3D5F0" w:rsidR="009F2C36" w:rsidRPr="00E00E21" w:rsidRDefault="00F2676B">
      <w:pPr>
        <w:tabs>
          <w:tab w:val="left" w:pos="540"/>
          <w:tab w:val="left" w:pos="569"/>
        </w:tabs>
        <w:jc w:val="both"/>
        <w:rPr>
          <w:sz w:val="22"/>
          <w:szCs w:val="22"/>
          <w:lang w:val="sr-Latn-RS"/>
        </w:rPr>
      </w:pPr>
      <w:r w:rsidRPr="00E00E21">
        <w:rPr>
          <w:sz w:val="22"/>
          <w:szCs w:val="22"/>
          <w:lang w:val="sr-Latn-RS"/>
        </w:rPr>
        <w:t xml:space="preserve">Od </w:t>
      </w:r>
      <w:r w:rsidR="009F2C36" w:rsidRPr="00E00E21">
        <w:rPr>
          <w:sz w:val="22"/>
          <w:szCs w:val="22"/>
          <w:lang w:val="sr-Latn-RS"/>
        </w:rPr>
        <w:t>1092</w:t>
      </w:r>
      <w:r w:rsidRPr="00E00E21">
        <w:rPr>
          <w:sz w:val="22"/>
          <w:szCs w:val="22"/>
          <w:lang w:val="sr-Latn-RS"/>
        </w:rPr>
        <w:t xml:space="preserve"> pacijenta </w:t>
      </w:r>
      <w:r w:rsidR="00F946DA" w:rsidRPr="00E00E21">
        <w:rPr>
          <w:sz w:val="22"/>
          <w:szCs w:val="22"/>
          <w:lang w:val="sr-Latn-RS"/>
        </w:rPr>
        <w:t>liječe</w:t>
      </w:r>
      <w:r w:rsidRPr="00E00E21">
        <w:rPr>
          <w:sz w:val="22"/>
          <w:szCs w:val="22"/>
          <w:lang w:val="sr-Latn-RS"/>
        </w:rPr>
        <w:t>nih kabazitakselom</w:t>
      </w:r>
      <w:r w:rsidR="009F2C36" w:rsidRPr="00E00E21">
        <w:rPr>
          <w:sz w:val="22"/>
          <w:szCs w:val="22"/>
          <w:lang w:val="sr-Latn-RS"/>
        </w:rPr>
        <w:t xml:space="preserve"> u dozi od 25 mg/m</w:t>
      </w:r>
      <w:r w:rsidR="009F2C36" w:rsidRPr="00E00E21">
        <w:rPr>
          <w:sz w:val="22"/>
          <w:szCs w:val="22"/>
          <w:vertAlign w:val="superscript"/>
          <w:lang w:val="sr-Latn-RS"/>
        </w:rPr>
        <w:t>2</w:t>
      </w:r>
      <w:r w:rsidRPr="00E00E21">
        <w:rPr>
          <w:sz w:val="22"/>
          <w:szCs w:val="22"/>
          <w:lang w:val="sr-Latn-RS"/>
        </w:rPr>
        <w:t xml:space="preserve"> u studiji karcinoma prostate, </w:t>
      </w:r>
      <w:r w:rsidR="009F2C36" w:rsidRPr="00E00E21">
        <w:rPr>
          <w:sz w:val="22"/>
          <w:szCs w:val="22"/>
          <w:lang w:val="sr-Latn-RS"/>
        </w:rPr>
        <w:t xml:space="preserve">755 </w:t>
      </w:r>
      <w:r w:rsidRPr="00E00E21">
        <w:rPr>
          <w:sz w:val="22"/>
          <w:szCs w:val="22"/>
          <w:lang w:val="sr-Latn-RS"/>
        </w:rPr>
        <w:t xml:space="preserve">pacijenata bilo je starosti 65 godina ili više, uključujući </w:t>
      </w:r>
      <w:r w:rsidR="009F2C36" w:rsidRPr="00E00E21">
        <w:rPr>
          <w:sz w:val="22"/>
          <w:szCs w:val="22"/>
          <w:lang w:val="sr-Latn-RS"/>
        </w:rPr>
        <w:t xml:space="preserve">238 </w:t>
      </w:r>
      <w:r w:rsidRPr="00E00E21">
        <w:rPr>
          <w:sz w:val="22"/>
          <w:szCs w:val="22"/>
          <w:lang w:val="sr-Latn-RS"/>
        </w:rPr>
        <w:t>pacijenata starijih od 75 godina. Sl</w:t>
      </w:r>
      <w:r w:rsidR="000648FA" w:rsidRPr="00E00E21">
        <w:rPr>
          <w:sz w:val="22"/>
          <w:szCs w:val="22"/>
          <w:lang w:val="sr-Latn-RS"/>
        </w:rPr>
        <w:t>j</w:t>
      </w:r>
      <w:r w:rsidRPr="00E00E21">
        <w:rPr>
          <w:sz w:val="22"/>
          <w:szCs w:val="22"/>
          <w:lang w:val="sr-Latn-RS"/>
        </w:rPr>
        <w:t>edeće neželjene reakcije prijavljene su sa učestalošću koja je bila ≥ 5% već</w:t>
      </w:r>
      <w:r w:rsidR="002851D1" w:rsidRPr="00E00E21">
        <w:rPr>
          <w:sz w:val="22"/>
          <w:szCs w:val="22"/>
          <w:lang w:val="sr-Latn-RS"/>
        </w:rPr>
        <w:t xml:space="preserve">a </w:t>
      </w:r>
      <w:r w:rsidRPr="00E00E21">
        <w:rPr>
          <w:sz w:val="22"/>
          <w:szCs w:val="22"/>
          <w:lang w:val="sr-Latn-RS"/>
        </w:rPr>
        <w:t>kod pacijenata od 65 godina i starijih, u poređenju sa mlađim pacijentima: umor (</w:t>
      </w:r>
      <w:r w:rsidR="009F2C36" w:rsidRPr="00E00E21">
        <w:rPr>
          <w:sz w:val="22"/>
          <w:szCs w:val="22"/>
          <w:lang w:val="sr-Latn-RS"/>
        </w:rPr>
        <w:t>33</w:t>
      </w:r>
      <w:r w:rsidRPr="00E00E21">
        <w:rPr>
          <w:sz w:val="22"/>
          <w:szCs w:val="22"/>
          <w:lang w:val="sr-Latn-RS"/>
        </w:rPr>
        <w:t>,</w:t>
      </w:r>
      <w:r w:rsidR="009F2C36" w:rsidRPr="00E00E21">
        <w:rPr>
          <w:sz w:val="22"/>
          <w:szCs w:val="22"/>
          <w:lang w:val="sr-Latn-RS"/>
        </w:rPr>
        <w:t>5</w:t>
      </w:r>
      <w:r w:rsidRPr="00E00E21">
        <w:rPr>
          <w:sz w:val="22"/>
          <w:szCs w:val="22"/>
          <w:lang w:val="sr-Latn-RS"/>
        </w:rPr>
        <w:t>% prema 2</w:t>
      </w:r>
      <w:r w:rsidR="009F2C36" w:rsidRPr="00E00E21">
        <w:rPr>
          <w:sz w:val="22"/>
          <w:szCs w:val="22"/>
          <w:lang w:val="sr-Latn-RS"/>
        </w:rPr>
        <w:t>3</w:t>
      </w:r>
      <w:r w:rsidRPr="00E00E21">
        <w:rPr>
          <w:sz w:val="22"/>
          <w:szCs w:val="22"/>
          <w:lang w:val="sr-Latn-RS"/>
        </w:rPr>
        <w:t>,</w:t>
      </w:r>
      <w:r w:rsidR="009F2C36" w:rsidRPr="00E00E21">
        <w:rPr>
          <w:sz w:val="22"/>
          <w:szCs w:val="22"/>
          <w:lang w:val="sr-Latn-RS"/>
        </w:rPr>
        <w:t>7</w:t>
      </w:r>
      <w:r w:rsidRPr="00E00E21">
        <w:rPr>
          <w:sz w:val="22"/>
          <w:szCs w:val="22"/>
          <w:lang w:val="sr-Latn-RS"/>
        </w:rPr>
        <w:t>%), astenija (23,</w:t>
      </w:r>
      <w:r w:rsidR="009F2C36" w:rsidRPr="00E00E21">
        <w:rPr>
          <w:sz w:val="22"/>
          <w:szCs w:val="22"/>
          <w:lang w:val="sr-Latn-RS"/>
        </w:rPr>
        <w:t>7% prema 14,2</w:t>
      </w:r>
      <w:r w:rsidRPr="00E00E21">
        <w:rPr>
          <w:sz w:val="22"/>
          <w:szCs w:val="22"/>
          <w:lang w:val="sr-Latn-RS"/>
        </w:rPr>
        <w:t xml:space="preserve">%), </w:t>
      </w:r>
      <w:r w:rsidR="009F2C36" w:rsidRPr="00E00E21">
        <w:rPr>
          <w:sz w:val="22"/>
          <w:szCs w:val="22"/>
          <w:lang w:val="sr-Latn-RS"/>
        </w:rPr>
        <w:t>konstipacija</w:t>
      </w:r>
      <w:r w:rsidRPr="00E00E21">
        <w:rPr>
          <w:sz w:val="22"/>
          <w:szCs w:val="22"/>
          <w:lang w:val="sr-Latn-RS"/>
        </w:rPr>
        <w:t xml:space="preserve"> (</w:t>
      </w:r>
      <w:r w:rsidR="009F2C36" w:rsidRPr="00E00E21">
        <w:rPr>
          <w:sz w:val="22"/>
          <w:szCs w:val="22"/>
          <w:lang w:val="sr-Latn-RS"/>
        </w:rPr>
        <w:t>20</w:t>
      </w:r>
      <w:r w:rsidRPr="00E00E21">
        <w:rPr>
          <w:sz w:val="22"/>
          <w:szCs w:val="22"/>
          <w:lang w:val="sr-Latn-RS"/>
        </w:rPr>
        <w:t>,</w:t>
      </w:r>
      <w:r w:rsidR="009F2C36" w:rsidRPr="00E00E21">
        <w:rPr>
          <w:sz w:val="22"/>
          <w:szCs w:val="22"/>
          <w:lang w:val="sr-Latn-RS"/>
        </w:rPr>
        <w:t>4% prema 14</w:t>
      </w:r>
      <w:r w:rsidRPr="00E00E21">
        <w:rPr>
          <w:sz w:val="22"/>
          <w:szCs w:val="22"/>
          <w:lang w:val="sr-Latn-RS"/>
        </w:rPr>
        <w:t>,</w:t>
      </w:r>
      <w:r w:rsidR="009F2C36" w:rsidRPr="00E00E21">
        <w:rPr>
          <w:sz w:val="22"/>
          <w:szCs w:val="22"/>
          <w:lang w:val="sr-Latn-RS"/>
        </w:rPr>
        <w:t xml:space="preserve">2%) i dispnea (10,3% prema </w:t>
      </w:r>
      <w:r w:rsidR="006E263C" w:rsidRPr="00E00E21">
        <w:rPr>
          <w:sz w:val="22"/>
          <w:szCs w:val="22"/>
          <w:lang w:val="sr-Latn-RS"/>
        </w:rPr>
        <w:t>5</w:t>
      </w:r>
      <w:r w:rsidR="009F2C36" w:rsidRPr="00E00E21">
        <w:rPr>
          <w:sz w:val="22"/>
          <w:szCs w:val="22"/>
          <w:lang w:val="sr-Latn-RS"/>
        </w:rPr>
        <w:t>,</w:t>
      </w:r>
      <w:r w:rsidR="006E263C" w:rsidRPr="00E00E21">
        <w:rPr>
          <w:sz w:val="22"/>
          <w:szCs w:val="22"/>
          <w:lang w:val="sr-Latn-RS"/>
        </w:rPr>
        <w:t>6</w:t>
      </w:r>
      <w:r w:rsidR="009F2C36" w:rsidRPr="00E00E21">
        <w:rPr>
          <w:sz w:val="22"/>
          <w:szCs w:val="22"/>
          <w:lang w:val="sr-Latn-RS"/>
        </w:rPr>
        <w:t>%).</w:t>
      </w:r>
      <w:r w:rsidR="006E263C" w:rsidRPr="00E00E21">
        <w:rPr>
          <w:sz w:val="22"/>
          <w:szCs w:val="22"/>
          <w:lang w:val="sr-Latn-RS"/>
        </w:rPr>
        <w:t xml:space="preserve"> Neutropenija (90,9%  prema 81,2%) i trombocitopenija (48,8% prema na 36,1%) </w:t>
      </w:r>
      <w:r w:rsidR="002851D1" w:rsidRPr="00E00E21">
        <w:rPr>
          <w:sz w:val="22"/>
          <w:szCs w:val="22"/>
          <w:lang w:val="sr-Latn-RS"/>
        </w:rPr>
        <w:t xml:space="preserve">su </w:t>
      </w:r>
      <w:r w:rsidR="006E263C" w:rsidRPr="00E00E21">
        <w:rPr>
          <w:sz w:val="22"/>
          <w:szCs w:val="22"/>
          <w:lang w:val="sr-Latn-RS"/>
        </w:rPr>
        <w:t>takođe</w:t>
      </w:r>
      <w:r w:rsidR="002851D1" w:rsidRPr="00E00E21">
        <w:rPr>
          <w:sz w:val="22"/>
          <w:szCs w:val="22"/>
          <w:lang w:val="sr-Latn-RS"/>
        </w:rPr>
        <w:t xml:space="preserve"> bile</w:t>
      </w:r>
      <w:r w:rsidR="006E263C" w:rsidRPr="00E00E21">
        <w:rPr>
          <w:sz w:val="22"/>
          <w:szCs w:val="22"/>
          <w:lang w:val="sr-Latn-RS"/>
        </w:rPr>
        <w:t xml:space="preserve"> 5% veće kod pacijenata od 65 godina i starijih, u poređenju sa mlađim pacijentima.</w:t>
      </w:r>
    </w:p>
    <w:p w14:paraId="13AE8C32" w14:textId="067F93E8" w:rsidR="004E16E4" w:rsidRPr="00E00E21" w:rsidRDefault="006E263C">
      <w:pPr>
        <w:tabs>
          <w:tab w:val="left" w:pos="540"/>
          <w:tab w:val="left" w:pos="569"/>
        </w:tabs>
        <w:jc w:val="both"/>
        <w:rPr>
          <w:sz w:val="22"/>
          <w:szCs w:val="22"/>
          <w:lang w:val="sr-Latn-RS"/>
        </w:rPr>
      </w:pPr>
      <w:r w:rsidRPr="00E00E21">
        <w:rPr>
          <w:sz w:val="22"/>
          <w:szCs w:val="22"/>
          <w:lang w:val="sr-Latn-RS"/>
        </w:rPr>
        <w:t xml:space="preserve">Neutropenija </w:t>
      </w:r>
      <w:r w:rsidR="00F2676B" w:rsidRPr="00E00E21">
        <w:rPr>
          <w:sz w:val="22"/>
          <w:szCs w:val="22"/>
          <w:lang w:val="sr-Latn-RS"/>
        </w:rPr>
        <w:t>stepena ≥</w:t>
      </w:r>
      <w:r w:rsidR="000648FA" w:rsidRPr="00E00E21">
        <w:rPr>
          <w:sz w:val="22"/>
          <w:szCs w:val="22"/>
          <w:lang w:val="sr-Latn-RS"/>
        </w:rPr>
        <w:t xml:space="preserve"> </w:t>
      </w:r>
      <w:r w:rsidR="00F2676B" w:rsidRPr="00E00E21">
        <w:rPr>
          <w:sz w:val="22"/>
          <w:szCs w:val="22"/>
          <w:lang w:val="sr-Latn-RS"/>
        </w:rPr>
        <w:t>3</w:t>
      </w:r>
      <w:r w:rsidRPr="00E00E21">
        <w:rPr>
          <w:sz w:val="22"/>
          <w:szCs w:val="22"/>
          <w:lang w:val="sr-Latn-RS"/>
        </w:rPr>
        <w:t xml:space="preserve"> i febrilna neutropenija su prijavljene s</w:t>
      </w:r>
      <w:r w:rsidR="002851D1" w:rsidRPr="00E00E21">
        <w:rPr>
          <w:sz w:val="22"/>
          <w:szCs w:val="22"/>
          <w:lang w:val="sr-Latn-RS"/>
        </w:rPr>
        <w:t>a</w:t>
      </w:r>
      <w:r w:rsidRPr="00E00E21">
        <w:rPr>
          <w:sz w:val="22"/>
          <w:szCs w:val="22"/>
          <w:lang w:val="sr-Latn-RS"/>
        </w:rPr>
        <w:t xml:space="preserve"> najvećim stopama razlike </w:t>
      </w:r>
      <w:r w:rsidR="002851D1" w:rsidRPr="00E00E21">
        <w:rPr>
          <w:sz w:val="22"/>
          <w:szCs w:val="22"/>
          <w:lang w:val="sr-Latn-RS"/>
        </w:rPr>
        <w:t xml:space="preserve">između obje starosne grupe. </w:t>
      </w:r>
      <w:r w:rsidR="00F2676B" w:rsidRPr="00E00E21">
        <w:rPr>
          <w:sz w:val="22"/>
          <w:szCs w:val="22"/>
          <w:lang w:val="sr-Latn-RS"/>
        </w:rPr>
        <w:t>(</w:t>
      </w:r>
      <w:r w:rsidR="002851D1" w:rsidRPr="00E00E21">
        <w:rPr>
          <w:sz w:val="22"/>
          <w:szCs w:val="22"/>
          <w:lang w:val="sr-Latn-RS"/>
        </w:rPr>
        <w:t>Neutropenija 14%, a febrilna neutropenija 4</w:t>
      </w:r>
      <w:r w:rsidR="00F2676B" w:rsidRPr="00E00E21">
        <w:rPr>
          <w:sz w:val="22"/>
          <w:szCs w:val="22"/>
          <w:lang w:val="sr-Latn-RS"/>
        </w:rPr>
        <w:t>%</w:t>
      </w:r>
      <w:r w:rsidR="002851D1" w:rsidRPr="00E00E21">
        <w:rPr>
          <w:sz w:val="22"/>
          <w:szCs w:val="22"/>
          <w:lang w:val="sr-Latn-RS"/>
        </w:rPr>
        <w:t xml:space="preserve"> veća kod pacijenata od 65 godina i starijih) (</w:t>
      </w:r>
      <w:r w:rsidR="000648FA" w:rsidRPr="00E00E21">
        <w:rPr>
          <w:sz w:val="22"/>
          <w:szCs w:val="22"/>
          <w:lang w:val="sr-Latn-RS"/>
        </w:rPr>
        <w:t xml:space="preserve">vidjeti </w:t>
      </w:r>
      <w:r w:rsidR="002851D1" w:rsidRPr="00E00E21">
        <w:rPr>
          <w:sz w:val="22"/>
          <w:szCs w:val="22"/>
          <w:lang w:val="sr-Latn-RS"/>
        </w:rPr>
        <w:t>djelove</w:t>
      </w:r>
      <w:r w:rsidR="00F2676B" w:rsidRPr="00E00E21">
        <w:rPr>
          <w:sz w:val="22"/>
          <w:szCs w:val="22"/>
          <w:lang w:val="sr-Latn-RS"/>
        </w:rPr>
        <w:t xml:space="preserve"> 4.2 i 4.4). </w:t>
      </w:r>
    </w:p>
    <w:p w14:paraId="2A451C8D" w14:textId="77777777" w:rsidR="002851D1" w:rsidRPr="00E00E21" w:rsidRDefault="002851D1">
      <w:pPr>
        <w:tabs>
          <w:tab w:val="left" w:pos="540"/>
          <w:tab w:val="left" w:pos="569"/>
        </w:tabs>
        <w:jc w:val="both"/>
        <w:rPr>
          <w:sz w:val="22"/>
          <w:szCs w:val="22"/>
          <w:lang w:val="sr-Latn-RS"/>
        </w:rPr>
      </w:pPr>
    </w:p>
    <w:p w14:paraId="38652484" w14:textId="77777777" w:rsidR="005A23D2" w:rsidRPr="00E00E21" w:rsidRDefault="005A23D2" w:rsidP="00E630C6">
      <w:pPr>
        <w:spacing w:after="200" w:line="276" w:lineRule="auto"/>
        <w:jc w:val="both"/>
        <w:rPr>
          <w:rFonts w:eastAsia="Calibri"/>
          <w:sz w:val="22"/>
          <w:szCs w:val="22"/>
          <w:u w:val="single"/>
          <w:lang w:val="sr-Latn-RS"/>
        </w:rPr>
      </w:pPr>
      <w:r w:rsidRPr="00E00E21">
        <w:rPr>
          <w:rFonts w:eastAsia="Calibri"/>
          <w:sz w:val="22"/>
          <w:szCs w:val="22"/>
          <w:u w:val="single"/>
          <w:lang w:val="sr-Latn-RS"/>
        </w:rPr>
        <w:t>Prijavljivanje sumnji na neželjena dejstva</w:t>
      </w:r>
    </w:p>
    <w:p w14:paraId="1B36A6E2" w14:textId="77777777" w:rsidR="005A23D2" w:rsidRPr="00E00E21" w:rsidRDefault="005A23D2" w:rsidP="00E93932">
      <w:pPr>
        <w:spacing w:after="200"/>
        <w:jc w:val="both"/>
        <w:rPr>
          <w:rFonts w:eastAsia="Calibri"/>
          <w:sz w:val="22"/>
          <w:szCs w:val="22"/>
          <w:lang w:val="sr-Latn-RS"/>
        </w:rPr>
      </w:pPr>
      <w:r w:rsidRPr="00E00E21">
        <w:rPr>
          <w:rFonts w:eastAsia="Calibri"/>
          <w:sz w:val="22"/>
          <w:szCs w:val="22"/>
          <w:lang w:val="sr-Latn-RS"/>
        </w:rPr>
        <w:lastRenderedPageBreak/>
        <w:t>Prijavljivanje neželjenih dejstava nakon dobijanja dozvole je od velikog značaja jer obezbjeđuje kont</w:t>
      </w:r>
      <w:r w:rsidR="00EA5765" w:rsidRPr="00E00E21">
        <w:rPr>
          <w:rFonts w:eastAsia="Calibri"/>
          <w:sz w:val="22"/>
          <w:szCs w:val="22"/>
          <w:lang w:val="sr-Latn-RS"/>
        </w:rPr>
        <w:t>inuirano praćenje odnosa korist</w:t>
      </w:r>
      <w:r w:rsidRPr="00E00E21">
        <w:rPr>
          <w:rFonts w:eastAsia="Calibri"/>
          <w:sz w:val="22"/>
          <w:szCs w:val="22"/>
          <w:lang w:val="sr-Latn-RS"/>
        </w:rPr>
        <w:t>/rizik primjene lijeka. Zdravstveni radnici treba da prijave svaku sumnju na neželjeno</w:t>
      </w:r>
      <w:r w:rsidR="009B062A" w:rsidRPr="00E00E21">
        <w:rPr>
          <w:rFonts w:eastAsia="Calibri"/>
          <w:sz w:val="22"/>
          <w:szCs w:val="22"/>
          <w:lang w:val="sr-Latn-RS"/>
        </w:rPr>
        <w:t xml:space="preserve"> </w:t>
      </w:r>
      <w:r w:rsidRPr="00E00E21">
        <w:rPr>
          <w:rFonts w:eastAsia="Calibri"/>
          <w:sz w:val="22"/>
          <w:szCs w:val="22"/>
          <w:lang w:val="sr-Latn-RS"/>
        </w:rPr>
        <w:t xml:space="preserve">dejstvo ovog lijeka </w:t>
      </w:r>
      <w:r w:rsidR="004E70AD" w:rsidRPr="00E00E21">
        <w:rPr>
          <w:rFonts w:eastAsia="Calibri"/>
          <w:sz w:val="22"/>
          <w:szCs w:val="22"/>
          <w:lang w:val="sr-Latn-RS"/>
        </w:rPr>
        <w:t>Institutu</w:t>
      </w:r>
      <w:r w:rsidRPr="00E00E21">
        <w:rPr>
          <w:rFonts w:eastAsia="Calibri"/>
          <w:sz w:val="22"/>
          <w:szCs w:val="22"/>
          <w:lang w:val="sr-Latn-RS"/>
        </w:rPr>
        <w:t xml:space="preserve"> za ljekove i medicinska sredstva</w:t>
      </w:r>
      <w:r w:rsidR="004E70AD" w:rsidRPr="00E00E21">
        <w:rPr>
          <w:rFonts w:eastAsia="Calibri"/>
          <w:sz w:val="22"/>
          <w:szCs w:val="22"/>
          <w:lang w:val="sr-Latn-RS"/>
        </w:rPr>
        <w:t xml:space="preserve"> </w:t>
      </w:r>
      <w:r w:rsidRPr="00E00E21">
        <w:rPr>
          <w:rFonts w:eastAsia="Calibri"/>
          <w:sz w:val="22"/>
          <w:szCs w:val="22"/>
          <w:lang w:val="sr-Latn-RS"/>
        </w:rPr>
        <w:t>(</w:t>
      </w:r>
      <w:r w:rsidR="004E70AD" w:rsidRPr="00E00E21">
        <w:rPr>
          <w:rFonts w:eastAsia="Calibri"/>
          <w:sz w:val="22"/>
          <w:szCs w:val="22"/>
          <w:lang w:val="sr-Latn-RS"/>
        </w:rPr>
        <w:t>CInMED</w:t>
      </w:r>
      <w:r w:rsidRPr="00E00E21">
        <w:rPr>
          <w:rFonts w:eastAsia="Calibri"/>
          <w:sz w:val="22"/>
          <w:szCs w:val="22"/>
          <w:lang w:val="sr-Latn-RS"/>
        </w:rPr>
        <w:t>):</w:t>
      </w:r>
    </w:p>
    <w:p w14:paraId="1AACF828" w14:textId="77777777" w:rsidR="005A23D2" w:rsidRPr="00E00E21" w:rsidRDefault="004E70AD" w:rsidP="004F26A0">
      <w:pPr>
        <w:pStyle w:val="NoSpacing"/>
        <w:jc w:val="both"/>
        <w:rPr>
          <w:rFonts w:eastAsia="Calibri"/>
          <w:sz w:val="22"/>
          <w:szCs w:val="22"/>
          <w:lang w:val="sr-Latn-RS"/>
        </w:rPr>
      </w:pPr>
      <w:r w:rsidRPr="00E00E21">
        <w:rPr>
          <w:rFonts w:eastAsia="Calibri"/>
          <w:sz w:val="22"/>
          <w:szCs w:val="22"/>
          <w:lang w:val="sr-Latn-RS"/>
        </w:rPr>
        <w:t xml:space="preserve">Institut </w:t>
      </w:r>
      <w:r w:rsidR="005A23D2" w:rsidRPr="00E00E21">
        <w:rPr>
          <w:rFonts w:eastAsia="Calibri"/>
          <w:sz w:val="22"/>
          <w:szCs w:val="22"/>
          <w:lang w:val="sr-Latn-RS"/>
        </w:rPr>
        <w:t xml:space="preserve">za ljekove i medicinska sredstva </w:t>
      </w:r>
    </w:p>
    <w:p w14:paraId="78B8D804" w14:textId="77777777" w:rsidR="005A23D2" w:rsidRPr="00E00E21" w:rsidRDefault="005A23D2" w:rsidP="005C5D3F">
      <w:pPr>
        <w:pStyle w:val="NoSpacing"/>
        <w:jc w:val="both"/>
        <w:rPr>
          <w:rFonts w:eastAsia="Calibri"/>
          <w:sz w:val="22"/>
          <w:szCs w:val="22"/>
          <w:lang w:val="sr-Latn-RS"/>
        </w:rPr>
      </w:pPr>
      <w:r w:rsidRPr="00E00E21">
        <w:rPr>
          <w:rFonts w:eastAsia="Calibri"/>
          <w:sz w:val="22"/>
          <w:szCs w:val="22"/>
          <w:lang w:val="sr-Latn-RS"/>
        </w:rPr>
        <w:t>Odjeljenje za farmakovigilancu</w:t>
      </w:r>
    </w:p>
    <w:p w14:paraId="66440836" w14:textId="77777777" w:rsidR="00EA5765" w:rsidRPr="00E00E21" w:rsidRDefault="005A23D2" w:rsidP="00370E1E">
      <w:pPr>
        <w:pStyle w:val="NoSpacing"/>
        <w:jc w:val="both"/>
        <w:rPr>
          <w:rFonts w:eastAsia="Calibri"/>
          <w:sz w:val="22"/>
          <w:szCs w:val="22"/>
          <w:lang w:val="sr-Latn-RS"/>
        </w:rPr>
      </w:pPr>
      <w:r w:rsidRPr="00E00E21">
        <w:rPr>
          <w:rFonts w:eastAsia="Calibri"/>
          <w:sz w:val="22"/>
          <w:szCs w:val="22"/>
          <w:lang w:val="sr-Latn-RS"/>
        </w:rPr>
        <w:t>Bulevar Ivana Crnojevića 64a, 81000 Podgorica</w:t>
      </w:r>
    </w:p>
    <w:p w14:paraId="5AFBFC12" w14:textId="77777777" w:rsidR="00EA5765" w:rsidRPr="00E00E21" w:rsidRDefault="00EA5765" w:rsidP="00E630C6">
      <w:pPr>
        <w:pStyle w:val="NoSpacing"/>
        <w:jc w:val="both"/>
        <w:rPr>
          <w:rFonts w:eastAsia="Calibri"/>
          <w:sz w:val="22"/>
          <w:szCs w:val="22"/>
          <w:lang w:val="sr-Latn-RS"/>
        </w:rPr>
      </w:pPr>
    </w:p>
    <w:p w14:paraId="1002336E" w14:textId="77777777" w:rsidR="005A23D2" w:rsidRPr="00E00E21" w:rsidRDefault="005A23D2" w:rsidP="00E93932">
      <w:pPr>
        <w:pStyle w:val="NoSpacing"/>
        <w:jc w:val="both"/>
        <w:rPr>
          <w:rFonts w:eastAsia="Calibri"/>
          <w:sz w:val="22"/>
          <w:szCs w:val="22"/>
          <w:lang w:val="sr-Latn-RS"/>
        </w:rPr>
      </w:pPr>
      <w:r w:rsidRPr="00E00E21">
        <w:rPr>
          <w:rFonts w:eastAsia="Calibri"/>
          <w:sz w:val="22"/>
          <w:szCs w:val="22"/>
          <w:lang w:val="sr-Latn-RS"/>
        </w:rPr>
        <w:t>tel: +382 (0) 20 310 280</w:t>
      </w:r>
    </w:p>
    <w:p w14:paraId="3F7BC439" w14:textId="77777777" w:rsidR="00EA5765" w:rsidRPr="00E00E21" w:rsidRDefault="005A23D2" w:rsidP="004F26A0">
      <w:pPr>
        <w:pStyle w:val="NoSpacing"/>
        <w:tabs>
          <w:tab w:val="left" w:pos="6720"/>
        </w:tabs>
        <w:jc w:val="both"/>
        <w:rPr>
          <w:rFonts w:eastAsia="Calibri"/>
          <w:sz w:val="22"/>
          <w:szCs w:val="22"/>
          <w:lang w:val="sr-Latn-RS"/>
        </w:rPr>
      </w:pPr>
      <w:r w:rsidRPr="00E00E21">
        <w:rPr>
          <w:rFonts w:eastAsia="Calibri"/>
          <w:sz w:val="22"/>
          <w:szCs w:val="22"/>
          <w:lang w:val="sr-Latn-RS"/>
        </w:rPr>
        <w:t>fax:</w:t>
      </w:r>
      <w:r w:rsidR="00EA5765" w:rsidRPr="00E00E21">
        <w:rPr>
          <w:rFonts w:eastAsia="Calibri"/>
          <w:sz w:val="22"/>
          <w:szCs w:val="22"/>
          <w:lang w:val="sr-Latn-RS"/>
        </w:rPr>
        <w:t xml:space="preserve"> </w:t>
      </w:r>
      <w:r w:rsidRPr="00E00E21">
        <w:rPr>
          <w:rFonts w:eastAsia="Calibri"/>
          <w:sz w:val="22"/>
          <w:szCs w:val="22"/>
          <w:lang w:val="sr-Latn-RS"/>
        </w:rPr>
        <w:t>+382 (0) 20 310 581</w:t>
      </w:r>
      <w:r w:rsidR="00FF3EDF" w:rsidRPr="00E00E21">
        <w:rPr>
          <w:rFonts w:eastAsia="Calibri"/>
          <w:sz w:val="22"/>
          <w:szCs w:val="22"/>
          <w:lang w:val="sr-Latn-RS"/>
        </w:rPr>
        <w:tab/>
      </w:r>
    </w:p>
    <w:p w14:paraId="0A23A091" w14:textId="77777777" w:rsidR="005A23D2" w:rsidRPr="00E00E21" w:rsidRDefault="00B25FCA" w:rsidP="00370E1E">
      <w:pPr>
        <w:pStyle w:val="NoSpacing"/>
        <w:jc w:val="both"/>
        <w:rPr>
          <w:rFonts w:eastAsia="Calibri"/>
          <w:sz w:val="22"/>
          <w:szCs w:val="22"/>
          <w:lang w:val="sr-Latn-RS"/>
        </w:rPr>
      </w:pPr>
      <w:hyperlink r:id="rId8" w:history="1">
        <w:r w:rsidR="004E70AD" w:rsidRPr="00E00E21">
          <w:rPr>
            <w:rStyle w:val="Hyperlink"/>
            <w:rFonts w:eastAsia="Calibri"/>
            <w:sz w:val="22"/>
            <w:szCs w:val="22"/>
            <w:lang w:val="sr-Latn-RS"/>
          </w:rPr>
          <w:t>www.cinmed.me</w:t>
        </w:r>
      </w:hyperlink>
    </w:p>
    <w:p w14:paraId="13D396B2" w14:textId="77777777" w:rsidR="00EA5765" w:rsidRPr="00E00E21" w:rsidRDefault="00B25FCA" w:rsidP="009B6A1F">
      <w:pPr>
        <w:pStyle w:val="NoSpacing"/>
        <w:jc w:val="both"/>
        <w:rPr>
          <w:rFonts w:eastAsia="Calibri"/>
          <w:color w:val="0000FF"/>
          <w:sz w:val="22"/>
          <w:szCs w:val="22"/>
          <w:u w:val="single"/>
          <w:lang w:val="sr-Latn-RS"/>
        </w:rPr>
      </w:pPr>
      <w:hyperlink r:id="rId9" w:history="1">
        <w:r w:rsidR="004E70AD" w:rsidRPr="00E00E21">
          <w:rPr>
            <w:rStyle w:val="Hyperlink"/>
            <w:rFonts w:eastAsia="Calibri"/>
            <w:sz w:val="22"/>
            <w:szCs w:val="22"/>
            <w:lang w:val="sr-Latn-RS"/>
          </w:rPr>
          <w:t>nezeljenadejstva@cinmed.me</w:t>
        </w:r>
      </w:hyperlink>
    </w:p>
    <w:p w14:paraId="3748F119" w14:textId="77777777" w:rsidR="005A23D2" w:rsidRPr="00E00E21" w:rsidRDefault="005A23D2">
      <w:pPr>
        <w:pStyle w:val="NoSpacing"/>
        <w:jc w:val="both"/>
        <w:rPr>
          <w:rFonts w:eastAsia="Calibri"/>
          <w:sz w:val="22"/>
          <w:szCs w:val="22"/>
          <w:lang w:val="sr-Latn-RS"/>
        </w:rPr>
      </w:pPr>
      <w:r w:rsidRPr="00E00E21">
        <w:rPr>
          <w:rFonts w:eastAsia="Calibri"/>
          <w:sz w:val="22"/>
          <w:szCs w:val="22"/>
          <w:lang w:val="sr-Latn-RS"/>
        </w:rPr>
        <w:t>putem IS zdravstvene zaštite</w:t>
      </w:r>
    </w:p>
    <w:p w14:paraId="04561C09" w14:textId="77777777" w:rsidR="007E31E9" w:rsidRPr="00E00E21" w:rsidRDefault="007E31E9">
      <w:pPr>
        <w:pStyle w:val="NoSpacing"/>
        <w:jc w:val="both"/>
        <w:rPr>
          <w:rFonts w:eastAsia="Calibri"/>
          <w:sz w:val="22"/>
          <w:szCs w:val="22"/>
          <w:lang w:val="sr-Latn-RS"/>
        </w:rPr>
      </w:pPr>
      <w:r w:rsidRPr="00E00E21">
        <w:rPr>
          <w:rFonts w:eastAsia="Calibri"/>
          <w:sz w:val="22"/>
          <w:szCs w:val="22"/>
          <w:lang w:val="sr-Latn-RS"/>
        </w:rPr>
        <w:t>QR kod za online prijavu</w:t>
      </w:r>
      <w:r w:rsidR="00D74CD2" w:rsidRPr="00E00E21">
        <w:rPr>
          <w:rFonts w:eastAsia="Calibri"/>
          <w:sz w:val="22"/>
          <w:szCs w:val="22"/>
          <w:lang w:val="sr-Latn-RS"/>
        </w:rPr>
        <w:t xml:space="preserve"> sumnje na neželjeno dejstvo lijeka</w:t>
      </w:r>
      <w:r w:rsidRPr="00E00E21">
        <w:rPr>
          <w:rFonts w:eastAsia="Calibri"/>
          <w:sz w:val="22"/>
          <w:szCs w:val="22"/>
          <w:lang w:val="sr-Latn-RS"/>
        </w:rPr>
        <w:t>:</w:t>
      </w:r>
    </w:p>
    <w:p w14:paraId="767E3179" w14:textId="77777777" w:rsidR="007E31E9" w:rsidRPr="00E00E21" w:rsidRDefault="007E31E9">
      <w:pPr>
        <w:pStyle w:val="NoSpacing"/>
        <w:jc w:val="both"/>
        <w:rPr>
          <w:rFonts w:eastAsia="Calibri"/>
          <w:sz w:val="22"/>
          <w:szCs w:val="22"/>
          <w:lang w:val="sr-Latn-RS"/>
        </w:rPr>
      </w:pPr>
    </w:p>
    <w:p w14:paraId="623CF59A" w14:textId="15932883" w:rsidR="004F17E2" w:rsidRPr="00E00E21" w:rsidRDefault="00FC653C" w:rsidP="00E630C6">
      <w:pPr>
        <w:pStyle w:val="NoSpacing"/>
        <w:jc w:val="both"/>
        <w:rPr>
          <w:rFonts w:eastAsia="Calibri"/>
          <w:sz w:val="22"/>
          <w:szCs w:val="22"/>
          <w:lang w:val="sr-Latn-RS"/>
        </w:rPr>
      </w:pPr>
      <w:r w:rsidRPr="00E00E21">
        <w:rPr>
          <w:b/>
          <w:bCs/>
          <w:noProof/>
          <w:sz w:val="22"/>
          <w:szCs w:val="22"/>
        </w:rPr>
        <w:drawing>
          <wp:inline distT="0" distB="0" distL="0" distR="0" wp14:anchorId="09B915C6" wp14:editId="72D37CAC">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7A6FE85" w14:textId="77777777" w:rsidR="00836B35" w:rsidRPr="00E00E21" w:rsidRDefault="00836B35" w:rsidP="00E630C6">
      <w:pPr>
        <w:tabs>
          <w:tab w:val="left" w:pos="540"/>
          <w:tab w:val="left" w:pos="569"/>
        </w:tabs>
        <w:jc w:val="both"/>
        <w:rPr>
          <w:b/>
          <w:bCs/>
          <w:sz w:val="22"/>
          <w:szCs w:val="22"/>
          <w:lang w:val="sr-Latn-RS"/>
        </w:rPr>
      </w:pPr>
    </w:p>
    <w:p w14:paraId="3C7F0B89" w14:textId="77777777" w:rsidR="00CD6F02" w:rsidRPr="00E00E21" w:rsidRDefault="0072020E" w:rsidP="00E630C6">
      <w:pPr>
        <w:tabs>
          <w:tab w:val="left" w:pos="540"/>
          <w:tab w:val="left" w:pos="569"/>
        </w:tabs>
        <w:jc w:val="both"/>
        <w:rPr>
          <w:b/>
          <w:bCs/>
          <w:sz w:val="22"/>
          <w:szCs w:val="22"/>
          <w:lang w:val="sr-Latn-RS"/>
        </w:rPr>
      </w:pPr>
      <w:r w:rsidRPr="00E00E21">
        <w:rPr>
          <w:b/>
          <w:bCs/>
          <w:sz w:val="22"/>
          <w:szCs w:val="22"/>
          <w:lang w:val="sr-Latn-RS"/>
        </w:rPr>
        <w:t xml:space="preserve">4.9. </w:t>
      </w:r>
      <w:r w:rsidR="00480FB1" w:rsidRPr="00E00E21">
        <w:rPr>
          <w:b/>
          <w:bCs/>
          <w:sz w:val="22"/>
          <w:szCs w:val="22"/>
          <w:lang w:val="sr-Latn-RS"/>
        </w:rPr>
        <w:tab/>
      </w:r>
      <w:r w:rsidRPr="00E00E21">
        <w:rPr>
          <w:b/>
          <w:bCs/>
          <w:sz w:val="22"/>
          <w:szCs w:val="22"/>
          <w:lang w:val="sr-Latn-RS"/>
        </w:rPr>
        <w:t>Predoziranje</w:t>
      </w:r>
      <w:r w:rsidR="002846DB" w:rsidRPr="00E00E21">
        <w:rPr>
          <w:b/>
          <w:bCs/>
          <w:sz w:val="22"/>
          <w:szCs w:val="22"/>
          <w:lang w:val="sr-Latn-RS"/>
        </w:rPr>
        <w:t xml:space="preserve"> </w:t>
      </w:r>
    </w:p>
    <w:p w14:paraId="70EA4ABA" w14:textId="77777777" w:rsidR="00CD6F02" w:rsidRPr="00E00E21" w:rsidRDefault="00CD6F02" w:rsidP="00E93932">
      <w:pPr>
        <w:tabs>
          <w:tab w:val="left" w:pos="540"/>
          <w:tab w:val="left" w:pos="569"/>
        </w:tabs>
        <w:jc w:val="both"/>
        <w:rPr>
          <w:b/>
          <w:bCs/>
          <w:sz w:val="22"/>
          <w:szCs w:val="22"/>
          <w:lang w:val="sr-Latn-RS"/>
        </w:rPr>
      </w:pPr>
    </w:p>
    <w:p w14:paraId="6741B81B" w14:textId="1F1D1069" w:rsidR="003042DF" w:rsidRPr="00E00E21" w:rsidRDefault="00F2676B" w:rsidP="004F26A0">
      <w:pPr>
        <w:tabs>
          <w:tab w:val="left" w:pos="540"/>
          <w:tab w:val="left" w:pos="569"/>
        </w:tabs>
        <w:jc w:val="both"/>
        <w:rPr>
          <w:sz w:val="22"/>
          <w:szCs w:val="22"/>
          <w:lang w:val="sr-Latn-RS"/>
        </w:rPr>
      </w:pPr>
      <w:r w:rsidRPr="00E00E21">
        <w:rPr>
          <w:sz w:val="22"/>
          <w:szCs w:val="22"/>
          <w:lang w:val="sr-Latn-RS"/>
        </w:rPr>
        <w:t>Nema poznatog antidota za kabazitaksel. Očekivane komplikacije kod predoziranja mogle bi da dovedu do pogoršanja neželjenih reakcija, kao što su supresija ko</w:t>
      </w:r>
      <w:r w:rsidR="000648FA" w:rsidRPr="00E00E21">
        <w:rPr>
          <w:sz w:val="22"/>
          <w:szCs w:val="22"/>
          <w:lang w:val="sr-Latn-RS"/>
        </w:rPr>
        <w:t>st</w:t>
      </w:r>
      <w:r w:rsidRPr="00E00E21">
        <w:rPr>
          <w:sz w:val="22"/>
          <w:szCs w:val="22"/>
          <w:lang w:val="sr-Latn-RS"/>
        </w:rPr>
        <w:t xml:space="preserve">ne srži i gastrointestinalni poremećaji. </w:t>
      </w:r>
    </w:p>
    <w:p w14:paraId="78781106" w14:textId="77777777" w:rsidR="00F52F41" w:rsidRPr="00E00E21" w:rsidRDefault="00F52F41" w:rsidP="004F26A0">
      <w:pPr>
        <w:tabs>
          <w:tab w:val="left" w:pos="540"/>
          <w:tab w:val="left" w:pos="569"/>
        </w:tabs>
        <w:jc w:val="both"/>
        <w:rPr>
          <w:sz w:val="22"/>
          <w:szCs w:val="22"/>
          <w:lang w:val="sr-Latn-RS"/>
        </w:rPr>
      </w:pPr>
    </w:p>
    <w:p w14:paraId="5F40CB6F" w14:textId="4F3B9AE5" w:rsidR="003042DF" w:rsidRPr="00E00E21" w:rsidRDefault="00F2676B" w:rsidP="00370E1E">
      <w:pPr>
        <w:tabs>
          <w:tab w:val="left" w:pos="540"/>
          <w:tab w:val="left" w:pos="569"/>
        </w:tabs>
        <w:jc w:val="both"/>
        <w:rPr>
          <w:sz w:val="22"/>
          <w:szCs w:val="22"/>
          <w:lang w:val="sr-Latn-RS"/>
        </w:rPr>
      </w:pPr>
      <w:r w:rsidRPr="00E00E21">
        <w:rPr>
          <w:sz w:val="22"/>
          <w:szCs w:val="22"/>
          <w:lang w:val="sr-Latn-RS"/>
        </w:rPr>
        <w:t>U slučaju predoziranja, pacijenta treba zadržati na specijalizovanom od</w:t>
      </w:r>
      <w:r w:rsidR="000648FA" w:rsidRPr="00E00E21">
        <w:rPr>
          <w:sz w:val="22"/>
          <w:szCs w:val="22"/>
          <w:lang w:val="sr-Latn-RS"/>
        </w:rPr>
        <w:t>j</w:t>
      </w:r>
      <w:r w:rsidRPr="00E00E21">
        <w:rPr>
          <w:sz w:val="22"/>
          <w:szCs w:val="22"/>
          <w:lang w:val="sr-Latn-RS"/>
        </w:rPr>
        <w:t>eljenju i pod strogim nadzorom. Pacijenti treba da prime terapiju G-CSF-om što je</w:t>
      </w:r>
      <w:r w:rsidR="003042DF" w:rsidRPr="00E00E21">
        <w:rPr>
          <w:sz w:val="22"/>
          <w:szCs w:val="22"/>
          <w:lang w:val="sr-Latn-RS"/>
        </w:rPr>
        <w:t xml:space="preserve"> prije</w:t>
      </w:r>
      <w:r w:rsidRPr="00E00E21">
        <w:rPr>
          <w:sz w:val="22"/>
          <w:szCs w:val="22"/>
          <w:lang w:val="sr-Latn-RS"/>
        </w:rPr>
        <w:t xml:space="preserve"> moguće nakon otkrivanja predoziranja. Treba preduzeti i druge adekvatne m</w:t>
      </w:r>
      <w:r w:rsidR="003042DF" w:rsidRPr="00E00E21">
        <w:rPr>
          <w:sz w:val="22"/>
          <w:szCs w:val="22"/>
          <w:lang w:val="sr-Latn-RS"/>
        </w:rPr>
        <w:t>j</w:t>
      </w:r>
      <w:r w:rsidRPr="00E00E21">
        <w:rPr>
          <w:sz w:val="22"/>
          <w:szCs w:val="22"/>
          <w:lang w:val="sr-Latn-RS"/>
        </w:rPr>
        <w:t xml:space="preserve">ere </w:t>
      </w:r>
      <w:r w:rsidR="00F946DA" w:rsidRPr="00E00E21">
        <w:rPr>
          <w:sz w:val="22"/>
          <w:szCs w:val="22"/>
          <w:lang w:val="sr-Latn-RS"/>
        </w:rPr>
        <w:t>liječe</w:t>
      </w:r>
      <w:r w:rsidRPr="00E00E21">
        <w:rPr>
          <w:sz w:val="22"/>
          <w:szCs w:val="22"/>
          <w:lang w:val="sr-Latn-RS"/>
        </w:rPr>
        <w:t>nja.</w:t>
      </w:r>
    </w:p>
    <w:p w14:paraId="16BA3CDE" w14:textId="77777777" w:rsidR="000648FA" w:rsidRPr="00E00E21" w:rsidRDefault="000648FA" w:rsidP="00370E1E">
      <w:pPr>
        <w:tabs>
          <w:tab w:val="left" w:pos="540"/>
          <w:tab w:val="left" w:pos="569"/>
        </w:tabs>
        <w:jc w:val="both"/>
        <w:rPr>
          <w:sz w:val="22"/>
          <w:szCs w:val="22"/>
          <w:lang w:val="sr-Latn-RS"/>
        </w:rPr>
      </w:pPr>
    </w:p>
    <w:p w14:paraId="53C9432E" w14:textId="77777777" w:rsidR="003042DF" w:rsidRPr="00E00E21" w:rsidRDefault="003042DF" w:rsidP="00E630C6">
      <w:pPr>
        <w:tabs>
          <w:tab w:val="left" w:pos="540"/>
          <w:tab w:val="left" w:pos="569"/>
        </w:tabs>
        <w:jc w:val="both"/>
        <w:rPr>
          <w:sz w:val="22"/>
          <w:szCs w:val="22"/>
          <w:lang w:val="sr-Latn-RS"/>
        </w:rPr>
      </w:pPr>
    </w:p>
    <w:p w14:paraId="6B231E17" w14:textId="77777777" w:rsidR="003042DF" w:rsidRPr="00E00E21" w:rsidRDefault="00F2676B" w:rsidP="00E630C6">
      <w:pPr>
        <w:tabs>
          <w:tab w:val="left" w:pos="540"/>
          <w:tab w:val="left" w:pos="569"/>
        </w:tabs>
        <w:jc w:val="both"/>
        <w:rPr>
          <w:b/>
          <w:bCs/>
          <w:sz w:val="22"/>
          <w:szCs w:val="22"/>
          <w:lang w:val="sr-Latn-RS"/>
        </w:rPr>
      </w:pPr>
      <w:r w:rsidRPr="00E00E21">
        <w:rPr>
          <w:sz w:val="22"/>
          <w:szCs w:val="22"/>
          <w:lang w:val="sr-Latn-RS"/>
        </w:rPr>
        <w:t xml:space="preserve"> </w:t>
      </w:r>
      <w:r w:rsidR="003042DF" w:rsidRPr="00E00E21">
        <w:rPr>
          <w:b/>
          <w:bCs/>
          <w:sz w:val="22"/>
          <w:szCs w:val="22"/>
          <w:lang w:val="sr-Latn-RS"/>
        </w:rPr>
        <w:t xml:space="preserve">5. </w:t>
      </w:r>
      <w:r w:rsidR="003042DF" w:rsidRPr="00E00E21">
        <w:rPr>
          <w:b/>
          <w:bCs/>
          <w:sz w:val="22"/>
          <w:szCs w:val="22"/>
          <w:lang w:val="sr-Latn-RS"/>
        </w:rPr>
        <w:tab/>
        <w:t>FARMAKOLOŠKI PODACI</w:t>
      </w:r>
    </w:p>
    <w:p w14:paraId="3D464527" w14:textId="77777777" w:rsidR="003042DF" w:rsidRPr="00E00E21" w:rsidRDefault="003042DF" w:rsidP="00E630C6">
      <w:pPr>
        <w:tabs>
          <w:tab w:val="left" w:pos="540"/>
          <w:tab w:val="left" w:pos="569"/>
        </w:tabs>
        <w:jc w:val="both"/>
        <w:rPr>
          <w:b/>
          <w:bCs/>
          <w:sz w:val="22"/>
          <w:szCs w:val="22"/>
          <w:lang w:val="sr-Latn-RS"/>
        </w:rPr>
      </w:pPr>
    </w:p>
    <w:p w14:paraId="4BD7B91E" w14:textId="77777777" w:rsidR="003042DF" w:rsidRPr="00E00E21" w:rsidRDefault="003042DF" w:rsidP="00E630C6">
      <w:pPr>
        <w:tabs>
          <w:tab w:val="left" w:pos="540"/>
          <w:tab w:val="left" w:pos="569"/>
        </w:tabs>
        <w:jc w:val="both"/>
        <w:rPr>
          <w:b/>
          <w:bCs/>
          <w:sz w:val="22"/>
          <w:szCs w:val="22"/>
          <w:lang w:val="sr-Latn-RS"/>
        </w:rPr>
      </w:pPr>
      <w:r w:rsidRPr="00E00E21">
        <w:rPr>
          <w:b/>
          <w:bCs/>
          <w:sz w:val="22"/>
          <w:szCs w:val="22"/>
          <w:lang w:val="sr-Latn-RS"/>
        </w:rPr>
        <w:t xml:space="preserve">5.1. </w:t>
      </w:r>
      <w:r w:rsidRPr="00E00E21">
        <w:rPr>
          <w:b/>
          <w:bCs/>
          <w:sz w:val="22"/>
          <w:szCs w:val="22"/>
          <w:lang w:val="sr-Latn-RS"/>
        </w:rPr>
        <w:tab/>
        <w:t xml:space="preserve">Farmakodinamski podaci </w:t>
      </w:r>
    </w:p>
    <w:p w14:paraId="2DE58679" w14:textId="77777777" w:rsidR="003042DF" w:rsidRPr="00E00E21" w:rsidRDefault="003042DF" w:rsidP="00E630C6">
      <w:pPr>
        <w:tabs>
          <w:tab w:val="left" w:pos="540"/>
          <w:tab w:val="left" w:pos="569"/>
        </w:tabs>
        <w:jc w:val="both"/>
        <w:rPr>
          <w:b/>
          <w:bCs/>
          <w:sz w:val="22"/>
          <w:szCs w:val="22"/>
          <w:lang w:val="sr-Latn-RS"/>
        </w:rPr>
      </w:pPr>
    </w:p>
    <w:p w14:paraId="596489E0" w14:textId="43963B15" w:rsidR="003042DF" w:rsidRPr="00E00E21" w:rsidRDefault="003042DF" w:rsidP="00E630C6">
      <w:pPr>
        <w:tabs>
          <w:tab w:val="left" w:pos="540"/>
          <w:tab w:val="left" w:pos="569"/>
        </w:tabs>
        <w:jc w:val="both"/>
        <w:rPr>
          <w:bCs/>
          <w:sz w:val="22"/>
          <w:szCs w:val="22"/>
          <w:lang w:val="sr-Latn-RS"/>
        </w:rPr>
      </w:pPr>
      <w:r w:rsidRPr="00E00E21">
        <w:rPr>
          <w:bCs/>
          <w:sz w:val="22"/>
          <w:szCs w:val="22"/>
          <w:lang w:val="sr-Latn-RS"/>
        </w:rPr>
        <w:t>Farmakoterapijska grupa:</w:t>
      </w:r>
      <w:r w:rsidRPr="00E00E21">
        <w:rPr>
          <w:sz w:val="22"/>
          <w:szCs w:val="22"/>
          <w:lang w:val="sr-Latn-RS"/>
        </w:rPr>
        <w:t xml:space="preserve"> </w:t>
      </w:r>
      <w:r w:rsidR="00522CCB" w:rsidRPr="00E00E21">
        <w:rPr>
          <w:sz w:val="22"/>
          <w:szCs w:val="22"/>
          <w:lang w:val="sr-Latn-RS"/>
        </w:rPr>
        <w:t>a</w:t>
      </w:r>
      <w:r w:rsidRPr="00E00E21">
        <w:rPr>
          <w:sz w:val="22"/>
          <w:szCs w:val="22"/>
          <w:lang w:val="sr-Latn-RS"/>
        </w:rPr>
        <w:t xml:space="preserve">ntineoplastici; </w:t>
      </w:r>
      <w:r w:rsidR="00522CCB" w:rsidRPr="00E00E21">
        <w:rPr>
          <w:sz w:val="22"/>
          <w:szCs w:val="22"/>
          <w:lang w:val="sr-Latn-RS"/>
        </w:rPr>
        <w:t>t</w:t>
      </w:r>
      <w:r w:rsidRPr="00E00E21">
        <w:rPr>
          <w:sz w:val="22"/>
          <w:szCs w:val="22"/>
          <w:lang w:val="sr-Latn-RS"/>
        </w:rPr>
        <w:t>aksani</w:t>
      </w:r>
    </w:p>
    <w:p w14:paraId="010A3FE1" w14:textId="77777777" w:rsidR="003042DF" w:rsidRPr="00E00E21" w:rsidRDefault="003042DF" w:rsidP="00E630C6">
      <w:pPr>
        <w:tabs>
          <w:tab w:val="left" w:pos="540"/>
          <w:tab w:val="left" w:pos="569"/>
        </w:tabs>
        <w:jc w:val="both"/>
        <w:rPr>
          <w:bCs/>
          <w:sz w:val="22"/>
          <w:szCs w:val="22"/>
          <w:lang w:val="sr-Latn-RS"/>
        </w:rPr>
      </w:pPr>
    </w:p>
    <w:p w14:paraId="014144A1" w14:textId="77777777" w:rsidR="003042DF" w:rsidRPr="00E00E21" w:rsidRDefault="003042DF" w:rsidP="00E630C6">
      <w:pPr>
        <w:tabs>
          <w:tab w:val="left" w:pos="540"/>
          <w:tab w:val="left" w:pos="569"/>
        </w:tabs>
        <w:jc w:val="both"/>
        <w:rPr>
          <w:bCs/>
          <w:sz w:val="22"/>
          <w:szCs w:val="22"/>
          <w:lang w:val="sr-Latn-RS"/>
        </w:rPr>
      </w:pPr>
      <w:r w:rsidRPr="00E00E21">
        <w:rPr>
          <w:bCs/>
          <w:sz w:val="22"/>
          <w:szCs w:val="22"/>
          <w:lang w:val="sr-Latn-RS"/>
        </w:rPr>
        <w:t>ATC kod:</w:t>
      </w:r>
      <w:r w:rsidRPr="00E00E21">
        <w:rPr>
          <w:sz w:val="22"/>
          <w:szCs w:val="22"/>
          <w:lang w:val="sr-Latn-RS"/>
        </w:rPr>
        <w:t xml:space="preserve"> L01CD04</w:t>
      </w:r>
    </w:p>
    <w:p w14:paraId="3FF27635" w14:textId="77777777" w:rsidR="003042DF" w:rsidRPr="00E00E21" w:rsidRDefault="003042DF" w:rsidP="00E93932">
      <w:pPr>
        <w:tabs>
          <w:tab w:val="left" w:pos="540"/>
          <w:tab w:val="left" w:pos="569"/>
        </w:tabs>
        <w:jc w:val="both"/>
        <w:rPr>
          <w:sz w:val="22"/>
          <w:szCs w:val="22"/>
          <w:lang w:val="sr-Latn-RS"/>
        </w:rPr>
      </w:pPr>
    </w:p>
    <w:p w14:paraId="53ADAA8D" w14:textId="77777777" w:rsidR="003042DF" w:rsidRPr="00E00E21" w:rsidRDefault="00F2676B" w:rsidP="004F26A0">
      <w:pPr>
        <w:tabs>
          <w:tab w:val="left" w:pos="540"/>
          <w:tab w:val="left" w:pos="569"/>
        </w:tabs>
        <w:jc w:val="both"/>
        <w:rPr>
          <w:sz w:val="22"/>
          <w:szCs w:val="22"/>
          <w:u w:val="single"/>
          <w:lang w:val="sr-Latn-RS"/>
        </w:rPr>
      </w:pPr>
      <w:r w:rsidRPr="00E00E21">
        <w:rPr>
          <w:sz w:val="22"/>
          <w:szCs w:val="22"/>
          <w:u w:val="single"/>
          <w:lang w:val="sr-Latn-RS"/>
        </w:rPr>
        <w:t>Mehanizam d</w:t>
      </w:r>
      <w:r w:rsidR="003042DF" w:rsidRPr="00E00E21">
        <w:rPr>
          <w:sz w:val="22"/>
          <w:szCs w:val="22"/>
          <w:u w:val="single"/>
          <w:lang w:val="sr-Latn-RS"/>
        </w:rPr>
        <w:t>j</w:t>
      </w:r>
      <w:r w:rsidRPr="00E00E21">
        <w:rPr>
          <w:sz w:val="22"/>
          <w:szCs w:val="22"/>
          <w:u w:val="single"/>
          <w:lang w:val="sr-Latn-RS"/>
        </w:rPr>
        <w:t xml:space="preserve">elovanja </w:t>
      </w:r>
    </w:p>
    <w:p w14:paraId="4874C5E7" w14:textId="79CC3285" w:rsidR="003042DF" w:rsidRPr="00E00E21" w:rsidRDefault="00F2676B" w:rsidP="00370E1E">
      <w:pPr>
        <w:tabs>
          <w:tab w:val="left" w:pos="540"/>
          <w:tab w:val="left" w:pos="569"/>
        </w:tabs>
        <w:jc w:val="both"/>
        <w:rPr>
          <w:sz w:val="22"/>
          <w:szCs w:val="22"/>
          <w:lang w:val="sr-Latn-RS"/>
        </w:rPr>
      </w:pPr>
      <w:r w:rsidRPr="00E00E21">
        <w:rPr>
          <w:sz w:val="22"/>
          <w:szCs w:val="22"/>
          <w:lang w:val="sr-Latn-RS"/>
        </w:rPr>
        <w:t>Kabazitaksel je antineoplastik koji d</w:t>
      </w:r>
      <w:r w:rsidR="00522CCB" w:rsidRPr="00E00E21">
        <w:rPr>
          <w:sz w:val="22"/>
          <w:szCs w:val="22"/>
          <w:lang w:val="sr-Latn-RS"/>
        </w:rPr>
        <w:t>j</w:t>
      </w:r>
      <w:r w:rsidRPr="00E00E21">
        <w:rPr>
          <w:sz w:val="22"/>
          <w:szCs w:val="22"/>
          <w:lang w:val="sr-Latn-RS"/>
        </w:rPr>
        <w:t xml:space="preserve">eluje razaranjem mikrotubularne mreže u ćelijama. Kabazitaksel se vezuje na tubulin i podstiče </w:t>
      </w:r>
      <w:r w:rsidR="00522CCB" w:rsidRPr="00E00E21">
        <w:rPr>
          <w:sz w:val="22"/>
          <w:szCs w:val="22"/>
          <w:lang w:val="sr-Latn-RS"/>
        </w:rPr>
        <w:t xml:space="preserve">spajanje </w:t>
      </w:r>
      <w:r w:rsidRPr="00E00E21">
        <w:rPr>
          <w:sz w:val="22"/>
          <w:szCs w:val="22"/>
          <w:lang w:val="sr-Latn-RS"/>
        </w:rPr>
        <w:t>tubulina u mikrotubul</w:t>
      </w:r>
      <w:r w:rsidR="00522CCB" w:rsidRPr="00E00E21">
        <w:rPr>
          <w:sz w:val="22"/>
          <w:szCs w:val="22"/>
          <w:lang w:val="sr-Latn-RS"/>
        </w:rPr>
        <w:t>e</w:t>
      </w:r>
      <w:r w:rsidRPr="00E00E21">
        <w:rPr>
          <w:sz w:val="22"/>
          <w:szCs w:val="22"/>
          <w:lang w:val="sr-Latn-RS"/>
        </w:rPr>
        <w:t xml:space="preserve"> uz isto</w:t>
      </w:r>
      <w:r w:rsidR="008B16FD" w:rsidRPr="00E00E21">
        <w:rPr>
          <w:sz w:val="22"/>
          <w:szCs w:val="22"/>
          <w:lang w:val="sr-Latn-RS"/>
        </w:rPr>
        <w:t>vreme</w:t>
      </w:r>
      <w:r w:rsidRPr="00E00E21">
        <w:rPr>
          <w:sz w:val="22"/>
          <w:szCs w:val="22"/>
          <w:lang w:val="sr-Latn-RS"/>
        </w:rPr>
        <w:t>no inhibiranje njihovog razdvajanja. To dovodi do stabilizacije mikrotubula, što ima za posl</w:t>
      </w:r>
      <w:r w:rsidR="00522CCB" w:rsidRPr="00E00E21">
        <w:rPr>
          <w:sz w:val="22"/>
          <w:szCs w:val="22"/>
          <w:lang w:val="sr-Latn-RS"/>
        </w:rPr>
        <w:t>j</w:t>
      </w:r>
      <w:r w:rsidRPr="00E00E21">
        <w:rPr>
          <w:sz w:val="22"/>
          <w:szCs w:val="22"/>
          <w:lang w:val="sr-Latn-RS"/>
        </w:rPr>
        <w:t xml:space="preserve">edicu inhibiciju mitotičkih i interfaznih ćelijskih funkcija. </w:t>
      </w:r>
    </w:p>
    <w:p w14:paraId="42D91139" w14:textId="77777777" w:rsidR="003042DF" w:rsidRPr="00E00E21" w:rsidRDefault="003042DF" w:rsidP="00E630C6">
      <w:pPr>
        <w:tabs>
          <w:tab w:val="left" w:pos="540"/>
          <w:tab w:val="left" w:pos="569"/>
        </w:tabs>
        <w:jc w:val="both"/>
        <w:rPr>
          <w:sz w:val="22"/>
          <w:szCs w:val="22"/>
          <w:lang w:val="sr-Latn-RS"/>
        </w:rPr>
      </w:pPr>
    </w:p>
    <w:p w14:paraId="1C769D89" w14:textId="77777777" w:rsidR="003042DF" w:rsidRPr="00E00E21" w:rsidRDefault="00F2676B" w:rsidP="00E630C6">
      <w:pPr>
        <w:tabs>
          <w:tab w:val="left" w:pos="540"/>
          <w:tab w:val="left" w:pos="569"/>
        </w:tabs>
        <w:jc w:val="both"/>
        <w:rPr>
          <w:sz w:val="22"/>
          <w:szCs w:val="22"/>
          <w:u w:val="single"/>
          <w:lang w:val="sr-Latn-RS"/>
        </w:rPr>
      </w:pPr>
      <w:r w:rsidRPr="00E00E21">
        <w:rPr>
          <w:sz w:val="22"/>
          <w:szCs w:val="22"/>
          <w:u w:val="single"/>
          <w:lang w:val="sr-Latn-RS"/>
        </w:rPr>
        <w:t xml:space="preserve">Farmakodinamski efekti </w:t>
      </w:r>
    </w:p>
    <w:p w14:paraId="0D8664D8" w14:textId="75238BEC" w:rsidR="003042DF" w:rsidRPr="00E00E21" w:rsidRDefault="00F2676B" w:rsidP="00E630C6">
      <w:pPr>
        <w:tabs>
          <w:tab w:val="left" w:pos="540"/>
          <w:tab w:val="left" w:pos="569"/>
        </w:tabs>
        <w:jc w:val="both"/>
        <w:rPr>
          <w:sz w:val="22"/>
          <w:szCs w:val="22"/>
          <w:lang w:val="sr-Latn-RS"/>
        </w:rPr>
      </w:pPr>
      <w:r w:rsidRPr="00E00E21">
        <w:rPr>
          <w:sz w:val="22"/>
          <w:szCs w:val="22"/>
          <w:lang w:val="sr-Latn-RS"/>
        </w:rPr>
        <w:t>Kabazitaksel je pokazao široki spektar antitumorske aktivnosti prema uznapredovalim humanim tumorima presađenim kod miševa. Kabazitaksel je aktivan prema tumorima os</w:t>
      </w:r>
      <w:r w:rsidR="003042DF" w:rsidRPr="00E00E21">
        <w:rPr>
          <w:sz w:val="22"/>
          <w:szCs w:val="22"/>
          <w:lang w:val="sr-Latn-RS"/>
        </w:rPr>
        <w:t>j</w:t>
      </w:r>
      <w:r w:rsidRPr="00E00E21">
        <w:rPr>
          <w:sz w:val="22"/>
          <w:szCs w:val="22"/>
          <w:lang w:val="sr-Latn-RS"/>
        </w:rPr>
        <w:t>etljivim na docetaksel. Osim toga, kabazitaksel je pokazao aktivnost prema tumorskim modelima neos</w:t>
      </w:r>
      <w:r w:rsidR="003042DF" w:rsidRPr="00E00E21">
        <w:rPr>
          <w:sz w:val="22"/>
          <w:szCs w:val="22"/>
          <w:lang w:val="sr-Latn-RS"/>
        </w:rPr>
        <w:t>j</w:t>
      </w:r>
      <w:r w:rsidRPr="00E00E21">
        <w:rPr>
          <w:sz w:val="22"/>
          <w:szCs w:val="22"/>
          <w:lang w:val="sr-Latn-RS"/>
        </w:rPr>
        <w:t>etljivim na</w:t>
      </w:r>
      <w:r w:rsidR="00522CCB" w:rsidRPr="00E00E21">
        <w:rPr>
          <w:sz w:val="22"/>
          <w:szCs w:val="22"/>
          <w:lang w:val="sr-Latn-RS"/>
        </w:rPr>
        <w:t xml:space="preserve"> </w:t>
      </w:r>
      <w:r w:rsidRPr="00E00E21">
        <w:rPr>
          <w:sz w:val="22"/>
          <w:szCs w:val="22"/>
          <w:lang w:val="sr-Latn-RS"/>
        </w:rPr>
        <w:t xml:space="preserve">hemioterapiju koja uključuje docetaksel. </w:t>
      </w:r>
    </w:p>
    <w:p w14:paraId="77D75E4C" w14:textId="77777777" w:rsidR="003042DF" w:rsidRPr="00E00E21" w:rsidRDefault="003042DF" w:rsidP="00E630C6">
      <w:pPr>
        <w:tabs>
          <w:tab w:val="left" w:pos="540"/>
          <w:tab w:val="left" w:pos="569"/>
        </w:tabs>
        <w:jc w:val="both"/>
        <w:rPr>
          <w:sz w:val="22"/>
          <w:szCs w:val="22"/>
          <w:lang w:val="sr-Latn-RS"/>
        </w:rPr>
      </w:pPr>
    </w:p>
    <w:p w14:paraId="1C4993C8" w14:textId="77777777" w:rsidR="003042DF" w:rsidRPr="00E00E21" w:rsidRDefault="00F2676B" w:rsidP="00E93932">
      <w:pPr>
        <w:tabs>
          <w:tab w:val="left" w:pos="540"/>
          <w:tab w:val="left" w:pos="569"/>
        </w:tabs>
        <w:jc w:val="both"/>
        <w:rPr>
          <w:sz w:val="22"/>
          <w:szCs w:val="22"/>
          <w:u w:val="single"/>
          <w:lang w:val="sr-Latn-RS"/>
        </w:rPr>
      </w:pPr>
      <w:r w:rsidRPr="00E00E21">
        <w:rPr>
          <w:sz w:val="22"/>
          <w:szCs w:val="22"/>
          <w:u w:val="single"/>
          <w:lang w:val="sr-Latn-RS"/>
        </w:rPr>
        <w:t xml:space="preserve">Klinička efikasnost i </w:t>
      </w:r>
      <w:r w:rsidR="003042DF" w:rsidRPr="00E00E21">
        <w:rPr>
          <w:sz w:val="22"/>
          <w:szCs w:val="22"/>
          <w:u w:val="single"/>
          <w:lang w:val="sr-Latn-RS"/>
        </w:rPr>
        <w:t>bezbjednost</w:t>
      </w:r>
      <w:r w:rsidRPr="00E00E21">
        <w:rPr>
          <w:sz w:val="22"/>
          <w:szCs w:val="22"/>
          <w:u w:val="single"/>
          <w:lang w:val="sr-Latn-RS"/>
        </w:rPr>
        <w:t xml:space="preserve"> </w:t>
      </w:r>
      <w:r w:rsidR="003042DF" w:rsidRPr="00E00E21">
        <w:rPr>
          <w:sz w:val="22"/>
          <w:szCs w:val="22"/>
          <w:u w:val="single"/>
          <w:lang w:val="sr-Latn-RS"/>
        </w:rPr>
        <w:t xml:space="preserve">primjene </w:t>
      </w:r>
      <w:r w:rsidRPr="00E00E21">
        <w:rPr>
          <w:sz w:val="22"/>
          <w:szCs w:val="22"/>
          <w:u w:val="single"/>
          <w:lang w:val="sr-Latn-RS"/>
        </w:rPr>
        <w:t xml:space="preserve"> </w:t>
      </w:r>
    </w:p>
    <w:p w14:paraId="4DB71109" w14:textId="568D67F9" w:rsidR="003042DF" w:rsidRPr="00E00E21" w:rsidRDefault="00F2676B" w:rsidP="004F26A0">
      <w:pPr>
        <w:tabs>
          <w:tab w:val="left" w:pos="540"/>
          <w:tab w:val="left" w:pos="569"/>
        </w:tabs>
        <w:jc w:val="both"/>
        <w:rPr>
          <w:sz w:val="22"/>
          <w:szCs w:val="22"/>
          <w:lang w:val="sr-Latn-RS"/>
        </w:rPr>
      </w:pPr>
      <w:r w:rsidRPr="00E00E21">
        <w:rPr>
          <w:sz w:val="22"/>
          <w:szCs w:val="22"/>
          <w:lang w:val="sr-Latn-RS"/>
        </w:rPr>
        <w:t xml:space="preserve">Efikasnost i </w:t>
      </w:r>
      <w:r w:rsidR="003042DF" w:rsidRPr="00E00E21">
        <w:rPr>
          <w:sz w:val="22"/>
          <w:szCs w:val="22"/>
          <w:lang w:val="sr-Latn-RS"/>
        </w:rPr>
        <w:t>bezbjednost</w:t>
      </w:r>
      <w:r w:rsidRPr="00E00E21">
        <w:rPr>
          <w:sz w:val="22"/>
          <w:szCs w:val="22"/>
          <w:lang w:val="sr-Latn-RS"/>
        </w:rPr>
        <w:t xml:space="preserve"> </w:t>
      </w:r>
      <w:r w:rsidR="003042DF" w:rsidRPr="00E00E21">
        <w:rPr>
          <w:sz w:val="22"/>
          <w:szCs w:val="22"/>
          <w:lang w:val="sr-Latn-RS"/>
        </w:rPr>
        <w:t>primjene</w:t>
      </w:r>
      <w:r w:rsidRPr="00E00E21">
        <w:rPr>
          <w:sz w:val="22"/>
          <w:szCs w:val="22"/>
          <w:lang w:val="sr-Latn-RS"/>
        </w:rPr>
        <w:t xml:space="preserve"> </w:t>
      </w:r>
      <w:r w:rsidR="003042DF" w:rsidRPr="00E00E21">
        <w:rPr>
          <w:sz w:val="22"/>
          <w:szCs w:val="22"/>
          <w:lang w:val="sr-Latn-RS"/>
        </w:rPr>
        <w:t>k</w:t>
      </w:r>
      <w:r w:rsidR="00F946DA" w:rsidRPr="00E00E21">
        <w:rPr>
          <w:sz w:val="22"/>
          <w:szCs w:val="22"/>
          <w:lang w:val="sr-Latn-RS"/>
        </w:rPr>
        <w:t>abazitaksel</w:t>
      </w:r>
      <w:r w:rsidR="003042DF" w:rsidRPr="00E00E21">
        <w:rPr>
          <w:sz w:val="22"/>
          <w:szCs w:val="22"/>
          <w:lang w:val="sr-Latn-RS"/>
        </w:rPr>
        <w:t xml:space="preserve">a </w:t>
      </w:r>
      <w:r w:rsidRPr="00E00E21">
        <w:rPr>
          <w:sz w:val="22"/>
          <w:szCs w:val="22"/>
          <w:lang w:val="sr-Latn-RS"/>
        </w:rPr>
        <w:t>u kombinaciji sa prednizonom ili prednizolonom proc</w:t>
      </w:r>
      <w:r w:rsidR="003042DF" w:rsidRPr="00E00E21">
        <w:rPr>
          <w:sz w:val="22"/>
          <w:szCs w:val="22"/>
          <w:lang w:val="sr-Latn-RS"/>
        </w:rPr>
        <w:t>ij</w:t>
      </w:r>
      <w:r w:rsidRPr="00E00E21">
        <w:rPr>
          <w:sz w:val="22"/>
          <w:szCs w:val="22"/>
          <w:lang w:val="sr-Latn-RS"/>
        </w:rPr>
        <w:t xml:space="preserve">enjena je u randomiziranoj, otvorenoj, internacionalnoj, multicentričnoj studiji faze III (EFC6193 </w:t>
      </w:r>
      <w:r w:rsidRPr="00E00E21">
        <w:rPr>
          <w:sz w:val="22"/>
          <w:szCs w:val="22"/>
          <w:lang w:val="sr-Latn-RS"/>
        </w:rPr>
        <w:lastRenderedPageBreak/>
        <w:t xml:space="preserve">studija) sprovedenoj kod pacijenata sa metastatskim karcinomom prostate rezistentnim na kastraciju, koji su prethodno bili na režimu </w:t>
      </w:r>
      <w:r w:rsidR="00F946DA" w:rsidRPr="00E00E21">
        <w:rPr>
          <w:sz w:val="22"/>
          <w:szCs w:val="22"/>
          <w:lang w:val="sr-Latn-RS"/>
        </w:rPr>
        <w:t>liječe</w:t>
      </w:r>
      <w:r w:rsidRPr="00E00E21">
        <w:rPr>
          <w:sz w:val="22"/>
          <w:szCs w:val="22"/>
          <w:lang w:val="sr-Latn-RS"/>
        </w:rPr>
        <w:t xml:space="preserve">nja koji je uključivao docetaksel. </w:t>
      </w:r>
    </w:p>
    <w:p w14:paraId="4F6EC8E8" w14:textId="77777777" w:rsidR="00522CCB" w:rsidRPr="00E00E21" w:rsidRDefault="00522CCB" w:rsidP="004F26A0">
      <w:pPr>
        <w:tabs>
          <w:tab w:val="left" w:pos="540"/>
          <w:tab w:val="left" w:pos="569"/>
        </w:tabs>
        <w:jc w:val="both"/>
        <w:rPr>
          <w:sz w:val="22"/>
          <w:szCs w:val="22"/>
          <w:lang w:val="sr-Latn-RS"/>
        </w:rPr>
      </w:pPr>
    </w:p>
    <w:p w14:paraId="031554A6" w14:textId="5E553F9C" w:rsidR="003042DF" w:rsidRPr="00E00E21" w:rsidRDefault="00F2676B" w:rsidP="00520757">
      <w:pPr>
        <w:tabs>
          <w:tab w:val="left" w:pos="540"/>
          <w:tab w:val="left" w:pos="569"/>
        </w:tabs>
        <w:jc w:val="both"/>
        <w:rPr>
          <w:sz w:val="22"/>
          <w:szCs w:val="22"/>
          <w:lang w:val="sr-Latn-RS"/>
        </w:rPr>
      </w:pPr>
      <w:r w:rsidRPr="00E00E21">
        <w:rPr>
          <w:sz w:val="22"/>
          <w:szCs w:val="22"/>
          <w:lang w:val="sr-Latn-RS"/>
        </w:rPr>
        <w:t>Primarni parametar praćenja efikasnosti studije bilo je ukupno preživljavanje</w:t>
      </w:r>
      <w:r w:rsidR="00522CCB" w:rsidRPr="00E00E21">
        <w:rPr>
          <w:sz w:val="22"/>
          <w:szCs w:val="22"/>
          <w:lang w:val="sr-Latn-RS"/>
        </w:rPr>
        <w:t xml:space="preserve"> (engl. </w:t>
      </w:r>
      <w:r w:rsidR="00522CCB" w:rsidRPr="00E00E21">
        <w:rPr>
          <w:i/>
          <w:sz w:val="22"/>
          <w:szCs w:val="22"/>
          <w:lang w:val="sr-Latn-RS"/>
        </w:rPr>
        <w:t>overall survival</w:t>
      </w:r>
      <w:r w:rsidR="00522CCB" w:rsidRPr="00E00E21">
        <w:rPr>
          <w:sz w:val="22"/>
          <w:szCs w:val="22"/>
          <w:lang w:val="sr-Latn-RS"/>
        </w:rPr>
        <w:t>, OS)</w:t>
      </w:r>
      <w:r w:rsidRPr="00E00E21">
        <w:rPr>
          <w:sz w:val="22"/>
          <w:szCs w:val="22"/>
          <w:lang w:val="sr-Latn-RS"/>
        </w:rPr>
        <w:t xml:space="preserve">. </w:t>
      </w:r>
    </w:p>
    <w:p w14:paraId="5FA7A104" w14:textId="77777777" w:rsidR="00F52F41" w:rsidRPr="00E00E21" w:rsidRDefault="00F52F41" w:rsidP="00520757">
      <w:pPr>
        <w:tabs>
          <w:tab w:val="left" w:pos="540"/>
          <w:tab w:val="left" w:pos="569"/>
        </w:tabs>
        <w:jc w:val="both"/>
        <w:rPr>
          <w:sz w:val="22"/>
          <w:szCs w:val="22"/>
          <w:lang w:val="sr-Latn-RS"/>
        </w:rPr>
      </w:pPr>
    </w:p>
    <w:p w14:paraId="645D17A1" w14:textId="0F376DCE" w:rsidR="00AF3070" w:rsidRPr="00E00E21" w:rsidRDefault="00F2676B" w:rsidP="003D023B">
      <w:pPr>
        <w:tabs>
          <w:tab w:val="left" w:pos="540"/>
          <w:tab w:val="left" w:pos="569"/>
        </w:tabs>
        <w:jc w:val="both"/>
        <w:rPr>
          <w:sz w:val="22"/>
          <w:szCs w:val="22"/>
          <w:lang w:val="sr-Latn-RS"/>
        </w:rPr>
      </w:pPr>
      <w:r w:rsidRPr="00E00E21">
        <w:rPr>
          <w:sz w:val="22"/>
          <w:szCs w:val="22"/>
          <w:lang w:val="sr-Latn-RS"/>
        </w:rPr>
        <w:t>Sekundarni parametar praćenja efikasnosti podrazum</w:t>
      </w:r>
      <w:r w:rsidR="003042DF" w:rsidRPr="00E00E21">
        <w:rPr>
          <w:sz w:val="22"/>
          <w:szCs w:val="22"/>
          <w:lang w:val="sr-Latn-RS"/>
        </w:rPr>
        <w:t>j</w:t>
      </w:r>
      <w:r w:rsidRPr="00E00E21">
        <w:rPr>
          <w:sz w:val="22"/>
          <w:szCs w:val="22"/>
          <w:lang w:val="sr-Latn-RS"/>
        </w:rPr>
        <w:t xml:space="preserve">evao je preživljavanje bez progresije bolesti [PFS; definisano kao </w:t>
      </w:r>
      <w:r w:rsidR="008B16FD" w:rsidRPr="00E00E21">
        <w:rPr>
          <w:sz w:val="22"/>
          <w:szCs w:val="22"/>
          <w:lang w:val="sr-Latn-RS"/>
        </w:rPr>
        <w:t>vrijeme</w:t>
      </w:r>
      <w:r w:rsidRPr="00E00E21">
        <w:rPr>
          <w:sz w:val="22"/>
          <w:szCs w:val="22"/>
          <w:lang w:val="sr-Latn-RS"/>
        </w:rPr>
        <w:t xml:space="preserve"> od randomizacije do progresije tumora, progresije PSA (prostata specifični antigen, engl. </w:t>
      </w:r>
      <w:r w:rsidRPr="00E00E21">
        <w:rPr>
          <w:i/>
          <w:sz w:val="22"/>
          <w:szCs w:val="22"/>
          <w:lang w:val="sr-Latn-RS"/>
        </w:rPr>
        <w:t>Prostatic Specific Antigen</w:t>
      </w:r>
      <w:r w:rsidRPr="00E00E21">
        <w:rPr>
          <w:sz w:val="22"/>
          <w:szCs w:val="22"/>
          <w:lang w:val="sr-Latn-RS"/>
        </w:rPr>
        <w:t xml:space="preserve">), progresije bola ili smrti zbog bilo kog uzroka, šta god da se desilo prvo], stopa tumorskog odgovora baziranog na RECIST kriterijumima (engl. </w:t>
      </w:r>
      <w:r w:rsidRPr="00E00E21">
        <w:rPr>
          <w:i/>
          <w:sz w:val="22"/>
          <w:szCs w:val="22"/>
          <w:lang w:val="sr-Latn-RS"/>
        </w:rPr>
        <w:t>Response Evaluation Criteria in Solid Tumours</w:t>
      </w:r>
      <w:r w:rsidRPr="00E00E21">
        <w:rPr>
          <w:sz w:val="22"/>
          <w:szCs w:val="22"/>
          <w:lang w:val="sr-Latn-RS"/>
        </w:rPr>
        <w:t>), progresiju PSA (definisanu kao povećanje ≥</w:t>
      </w:r>
      <w:r w:rsidR="00522CCB" w:rsidRPr="00E00E21">
        <w:rPr>
          <w:sz w:val="22"/>
          <w:szCs w:val="22"/>
          <w:lang w:val="sr-Latn-RS"/>
        </w:rPr>
        <w:t xml:space="preserve"> </w:t>
      </w:r>
      <w:r w:rsidRPr="00E00E21">
        <w:rPr>
          <w:sz w:val="22"/>
          <w:szCs w:val="22"/>
          <w:lang w:val="sr-Latn-RS"/>
        </w:rPr>
        <w:t>25% kod pacijenata kod kojih nema odgovora ili povećanje &gt;</w:t>
      </w:r>
      <w:r w:rsidR="00522CCB" w:rsidRPr="00E00E21">
        <w:rPr>
          <w:sz w:val="22"/>
          <w:szCs w:val="22"/>
          <w:lang w:val="sr-Latn-RS"/>
        </w:rPr>
        <w:t xml:space="preserve"> </w:t>
      </w:r>
      <w:r w:rsidRPr="00E00E21">
        <w:rPr>
          <w:sz w:val="22"/>
          <w:szCs w:val="22"/>
          <w:lang w:val="sr-Latn-RS"/>
        </w:rPr>
        <w:t>50% kod pacijenata kod kojih ima odgovora na terapiju), PSA odgovor (sniženje nivoa PSA u serumu od najmanje 50%), progresiju bola [oc</w:t>
      </w:r>
      <w:r w:rsidR="00522CCB" w:rsidRPr="00E00E21">
        <w:rPr>
          <w:sz w:val="22"/>
          <w:szCs w:val="22"/>
          <w:lang w:val="sr-Latn-RS"/>
        </w:rPr>
        <w:t>ij</w:t>
      </w:r>
      <w:r w:rsidRPr="00E00E21">
        <w:rPr>
          <w:sz w:val="22"/>
          <w:szCs w:val="22"/>
          <w:lang w:val="sr-Latn-RS"/>
        </w:rPr>
        <w:t xml:space="preserve">enjeno korišćenjem PPI skale (engl. </w:t>
      </w:r>
      <w:r w:rsidRPr="00E00E21">
        <w:rPr>
          <w:i/>
          <w:sz w:val="22"/>
          <w:szCs w:val="22"/>
          <w:lang w:val="sr-Latn-RS"/>
        </w:rPr>
        <w:t>Present Pain Intensity</w:t>
      </w:r>
      <w:r w:rsidRPr="00E00E21">
        <w:rPr>
          <w:sz w:val="22"/>
          <w:szCs w:val="22"/>
          <w:lang w:val="sr-Latn-RS"/>
        </w:rPr>
        <w:t xml:space="preserve">) iz McGill-Melzack upitnika i Analgetskog skora (engl. </w:t>
      </w:r>
      <w:r w:rsidRPr="00E00E21">
        <w:rPr>
          <w:i/>
          <w:sz w:val="22"/>
          <w:szCs w:val="22"/>
          <w:lang w:val="sr-Latn-RS"/>
        </w:rPr>
        <w:t>Analgesic Score</w:t>
      </w:r>
      <w:r w:rsidRPr="00E00E21">
        <w:rPr>
          <w:sz w:val="22"/>
          <w:szCs w:val="22"/>
          <w:lang w:val="sr-Latn-RS"/>
        </w:rPr>
        <w:t xml:space="preserve">, AS)] i efekat </w:t>
      </w:r>
      <w:r w:rsidR="00F946DA" w:rsidRPr="00E00E21">
        <w:rPr>
          <w:sz w:val="22"/>
          <w:szCs w:val="22"/>
          <w:lang w:val="sr-Latn-RS"/>
        </w:rPr>
        <w:t>liječe</w:t>
      </w:r>
      <w:r w:rsidRPr="00E00E21">
        <w:rPr>
          <w:sz w:val="22"/>
          <w:szCs w:val="22"/>
          <w:lang w:val="sr-Latn-RS"/>
        </w:rPr>
        <w:t xml:space="preserve">nja na bol (definisano kao smanjenje za 2 poena u odnosu na medijanu </w:t>
      </w:r>
      <w:r w:rsidR="001022A0" w:rsidRPr="00E00E21">
        <w:rPr>
          <w:sz w:val="22"/>
          <w:szCs w:val="22"/>
          <w:lang w:val="sr-Latn-RS"/>
        </w:rPr>
        <w:t>vrijednosti</w:t>
      </w:r>
      <w:r w:rsidRPr="00E00E21">
        <w:rPr>
          <w:sz w:val="22"/>
          <w:szCs w:val="22"/>
          <w:lang w:val="sr-Latn-RS"/>
        </w:rPr>
        <w:t xml:space="preserve"> PPI na početku, bez isto</w:t>
      </w:r>
      <w:r w:rsidR="008B16FD" w:rsidRPr="00E00E21">
        <w:rPr>
          <w:sz w:val="22"/>
          <w:szCs w:val="22"/>
          <w:lang w:val="sr-Latn-RS"/>
        </w:rPr>
        <w:t>vreme</w:t>
      </w:r>
      <w:r w:rsidRPr="00E00E21">
        <w:rPr>
          <w:sz w:val="22"/>
          <w:szCs w:val="22"/>
          <w:lang w:val="sr-Latn-RS"/>
        </w:rPr>
        <w:t>nog povećanja AS ili smanjenje upotrebe analgetika od ≥</w:t>
      </w:r>
      <w:r w:rsidR="00522CCB" w:rsidRPr="00E00E21">
        <w:rPr>
          <w:sz w:val="22"/>
          <w:szCs w:val="22"/>
          <w:lang w:val="sr-Latn-RS"/>
        </w:rPr>
        <w:t xml:space="preserve"> </w:t>
      </w:r>
      <w:r w:rsidRPr="00E00E21">
        <w:rPr>
          <w:sz w:val="22"/>
          <w:szCs w:val="22"/>
          <w:lang w:val="sr-Latn-RS"/>
        </w:rPr>
        <w:t>50% u odnosu na pros</w:t>
      </w:r>
      <w:r w:rsidR="003042DF" w:rsidRPr="00E00E21">
        <w:rPr>
          <w:sz w:val="22"/>
          <w:szCs w:val="22"/>
          <w:lang w:val="sr-Latn-RS"/>
        </w:rPr>
        <w:t>j</w:t>
      </w:r>
      <w:r w:rsidRPr="00E00E21">
        <w:rPr>
          <w:sz w:val="22"/>
          <w:szCs w:val="22"/>
          <w:lang w:val="sr-Latn-RS"/>
        </w:rPr>
        <w:t>ečnu početnu vr</w:t>
      </w:r>
      <w:r w:rsidR="003042DF" w:rsidRPr="00E00E21">
        <w:rPr>
          <w:sz w:val="22"/>
          <w:szCs w:val="22"/>
          <w:lang w:val="sr-Latn-RS"/>
        </w:rPr>
        <w:t>ij</w:t>
      </w:r>
      <w:r w:rsidRPr="00E00E21">
        <w:rPr>
          <w:sz w:val="22"/>
          <w:szCs w:val="22"/>
          <w:lang w:val="sr-Latn-RS"/>
        </w:rPr>
        <w:t>ednost AS, bez isto</w:t>
      </w:r>
      <w:r w:rsidR="008B16FD" w:rsidRPr="00E00E21">
        <w:rPr>
          <w:sz w:val="22"/>
          <w:szCs w:val="22"/>
          <w:lang w:val="sr-Latn-RS"/>
        </w:rPr>
        <w:t>vreme</w:t>
      </w:r>
      <w:r w:rsidRPr="00E00E21">
        <w:rPr>
          <w:sz w:val="22"/>
          <w:szCs w:val="22"/>
          <w:lang w:val="sr-Latn-RS"/>
        </w:rPr>
        <w:t xml:space="preserve">nog povećanja bola). </w:t>
      </w:r>
    </w:p>
    <w:p w14:paraId="401C24E5" w14:textId="77777777" w:rsidR="00522CCB" w:rsidRPr="00E00E21" w:rsidRDefault="00522CCB" w:rsidP="003D023B">
      <w:pPr>
        <w:tabs>
          <w:tab w:val="left" w:pos="540"/>
          <w:tab w:val="left" w:pos="569"/>
        </w:tabs>
        <w:jc w:val="both"/>
        <w:rPr>
          <w:sz w:val="22"/>
          <w:szCs w:val="22"/>
          <w:lang w:val="sr-Latn-RS"/>
        </w:rPr>
      </w:pPr>
    </w:p>
    <w:p w14:paraId="07FF537F" w14:textId="77777777" w:rsidR="00F52F41" w:rsidRPr="00E00E21" w:rsidRDefault="00F2676B" w:rsidP="00370E1E">
      <w:pPr>
        <w:tabs>
          <w:tab w:val="left" w:pos="540"/>
          <w:tab w:val="left" w:pos="569"/>
        </w:tabs>
        <w:jc w:val="both"/>
        <w:rPr>
          <w:sz w:val="22"/>
          <w:szCs w:val="22"/>
          <w:lang w:val="sr-Latn-RS"/>
        </w:rPr>
      </w:pPr>
      <w:r w:rsidRPr="00E00E21">
        <w:rPr>
          <w:sz w:val="22"/>
          <w:szCs w:val="22"/>
          <w:lang w:val="sr-Latn-RS"/>
        </w:rPr>
        <w:t xml:space="preserve">Ukupno je randomizirano 755 pacijenata koji su primali ili </w:t>
      </w:r>
      <w:r w:rsidR="00AF3070" w:rsidRPr="00E00E21">
        <w:rPr>
          <w:sz w:val="22"/>
          <w:szCs w:val="22"/>
          <w:lang w:val="sr-Latn-RS"/>
        </w:rPr>
        <w:t>k</w:t>
      </w:r>
      <w:r w:rsidR="00F946DA" w:rsidRPr="00E00E21">
        <w:rPr>
          <w:sz w:val="22"/>
          <w:szCs w:val="22"/>
          <w:lang w:val="sr-Latn-RS"/>
        </w:rPr>
        <w:t xml:space="preserve">abazitaksel </w:t>
      </w:r>
      <w:r w:rsidRPr="00E00E21">
        <w:rPr>
          <w:sz w:val="22"/>
          <w:szCs w:val="22"/>
          <w:lang w:val="sr-Latn-RS"/>
        </w:rPr>
        <w:t>25 mg/m</w:t>
      </w:r>
      <w:r w:rsidRPr="00E00E21">
        <w:rPr>
          <w:sz w:val="22"/>
          <w:szCs w:val="22"/>
          <w:vertAlign w:val="superscript"/>
          <w:lang w:val="sr-Latn-RS"/>
        </w:rPr>
        <w:t>2</w:t>
      </w:r>
      <w:r w:rsidRPr="00E00E21">
        <w:rPr>
          <w:sz w:val="22"/>
          <w:szCs w:val="22"/>
          <w:lang w:val="sr-Latn-RS"/>
        </w:rPr>
        <w:t xml:space="preserve"> intravenski svake 3 ned</w:t>
      </w:r>
      <w:r w:rsidR="00522CCB" w:rsidRPr="00E00E21">
        <w:rPr>
          <w:sz w:val="22"/>
          <w:szCs w:val="22"/>
          <w:lang w:val="sr-Latn-RS"/>
        </w:rPr>
        <w:t>j</w:t>
      </w:r>
      <w:r w:rsidRPr="00E00E21">
        <w:rPr>
          <w:sz w:val="22"/>
          <w:szCs w:val="22"/>
          <w:lang w:val="sr-Latn-RS"/>
        </w:rPr>
        <w:t>elje do maksimalno 10 ciklusa, uz prednizon ili prednizolon 10 mg dnevno prim</w:t>
      </w:r>
      <w:r w:rsidR="00AF3070" w:rsidRPr="00E00E21">
        <w:rPr>
          <w:sz w:val="22"/>
          <w:szCs w:val="22"/>
          <w:lang w:val="sr-Latn-RS"/>
        </w:rPr>
        <w:t>ij</w:t>
      </w:r>
      <w:r w:rsidRPr="00E00E21">
        <w:rPr>
          <w:sz w:val="22"/>
          <w:szCs w:val="22"/>
          <w:lang w:val="sr-Latn-RS"/>
        </w:rPr>
        <w:t>enjen oralno (n=378) ili mitoksantron 12 mg/m</w:t>
      </w:r>
      <w:r w:rsidRPr="00E00E21">
        <w:rPr>
          <w:sz w:val="22"/>
          <w:szCs w:val="22"/>
          <w:vertAlign w:val="superscript"/>
          <w:lang w:val="sr-Latn-RS"/>
        </w:rPr>
        <w:t>2</w:t>
      </w:r>
      <w:r w:rsidRPr="00E00E21">
        <w:rPr>
          <w:sz w:val="22"/>
          <w:szCs w:val="22"/>
          <w:lang w:val="sr-Latn-RS"/>
        </w:rPr>
        <w:t xml:space="preserve"> intravenski svake 3 ned</w:t>
      </w:r>
      <w:r w:rsidR="00522CCB" w:rsidRPr="00E00E21">
        <w:rPr>
          <w:sz w:val="22"/>
          <w:szCs w:val="22"/>
          <w:lang w:val="sr-Latn-RS"/>
        </w:rPr>
        <w:t>j</w:t>
      </w:r>
      <w:r w:rsidRPr="00E00E21">
        <w:rPr>
          <w:sz w:val="22"/>
          <w:szCs w:val="22"/>
          <w:lang w:val="sr-Latn-RS"/>
        </w:rPr>
        <w:t>elje do maksimalno 10 ciklusa, uz prednizon ili prednizolon 10 mg dnevno prim</w:t>
      </w:r>
      <w:r w:rsidR="00522CCB" w:rsidRPr="00E00E21">
        <w:rPr>
          <w:sz w:val="22"/>
          <w:szCs w:val="22"/>
          <w:lang w:val="sr-Latn-RS"/>
        </w:rPr>
        <w:t>ij</w:t>
      </w:r>
      <w:r w:rsidRPr="00E00E21">
        <w:rPr>
          <w:sz w:val="22"/>
          <w:szCs w:val="22"/>
          <w:lang w:val="sr-Latn-RS"/>
        </w:rPr>
        <w:t xml:space="preserve">enjen oralno (n=377). </w:t>
      </w:r>
    </w:p>
    <w:p w14:paraId="46E6A66E" w14:textId="77777777" w:rsidR="00F52F41" w:rsidRPr="00E00E21" w:rsidRDefault="00F52F41" w:rsidP="00370E1E">
      <w:pPr>
        <w:tabs>
          <w:tab w:val="left" w:pos="540"/>
          <w:tab w:val="left" w:pos="569"/>
        </w:tabs>
        <w:jc w:val="both"/>
        <w:rPr>
          <w:sz w:val="22"/>
          <w:szCs w:val="22"/>
          <w:lang w:val="sr-Latn-RS"/>
        </w:rPr>
      </w:pPr>
    </w:p>
    <w:p w14:paraId="62606596" w14:textId="76917FF4" w:rsidR="00227BDB" w:rsidRPr="00E00E21" w:rsidRDefault="00F2676B" w:rsidP="00370E1E">
      <w:pPr>
        <w:tabs>
          <w:tab w:val="left" w:pos="540"/>
          <w:tab w:val="left" w:pos="569"/>
        </w:tabs>
        <w:jc w:val="both"/>
        <w:rPr>
          <w:sz w:val="22"/>
          <w:szCs w:val="22"/>
          <w:lang w:val="sr-Latn-RS"/>
        </w:rPr>
      </w:pPr>
      <w:r w:rsidRPr="00E00E21">
        <w:rPr>
          <w:sz w:val="22"/>
          <w:szCs w:val="22"/>
          <w:lang w:val="sr-Latn-RS"/>
        </w:rPr>
        <w:t>Navedena studija uključivala je pacijente starije od 18 godina sa metastatskim karcinomom prostate rezistentnim na kastraciju, bilo m</w:t>
      </w:r>
      <w:r w:rsidR="00AF3070" w:rsidRPr="00E00E21">
        <w:rPr>
          <w:sz w:val="22"/>
          <w:szCs w:val="22"/>
          <w:lang w:val="sr-Latn-RS"/>
        </w:rPr>
        <w:t>j</w:t>
      </w:r>
      <w:r w:rsidRPr="00E00E21">
        <w:rPr>
          <w:sz w:val="22"/>
          <w:szCs w:val="22"/>
          <w:lang w:val="sr-Latn-RS"/>
        </w:rPr>
        <w:t>erljivim prema kriterijumima RECIST ili nem</w:t>
      </w:r>
      <w:r w:rsidR="00AF3070" w:rsidRPr="00E00E21">
        <w:rPr>
          <w:sz w:val="22"/>
          <w:szCs w:val="22"/>
          <w:lang w:val="sr-Latn-RS"/>
        </w:rPr>
        <w:t>j</w:t>
      </w:r>
      <w:r w:rsidRPr="00E00E21">
        <w:rPr>
          <w:sz w:val="22"/>
          <w:szCs w:val="22"/>
          <w:lang w:val="sr-Latn-RS"/>
        </w:rPr>
        <w:t xml:space="preserve">erljivim sa rastućim nivoima PSA ili sa pojavom novih lezija i sa ECOG (engl. </w:t>
      </w:r>
      <w:r w:rsidRPr="00E00E21">
        <w:rPr>
          <w:i/>
          <w:sz w:val="22"/>
          <w:szCs w:val="22"/>
          <w:lang w:val="sr-Latn-RS"/>
        </w:rPr>
        <w:t>Eastern Cooperative Oncology Group</w:t>
      </w:r>
      <w:r w:rsidRPr="00E00E21">
        <w:rPr>
          <w:sz w:val="22"/>
          <w:szCs w:val="22"/>
          <w:lang w:val="sr-Latn-RS"/>
        </w:rPr>
        <w:t>) statusom od 0 do 2. Pacijenti su morali da imaju broj neutrofila &gt;1500/mm</w:t>
      </w:r>
      <w:r w:rsidRPr="00E00E21">
        <w:rPr>
          <w:sz w:val="22"/>
          <w:szCs w:val="22"/>
          <w:vertAlign w:val="superscript"/>
          <w:lang w:val="sr-Latn-RS"/>
        </w:rPr>
        <w:t>3</w:t>
      </w:r>
      <w:r w:rsidRPr="00E00E21">
        <w:rPr>
          <w:sz w:val="22"/>
          <w:szCs w:val="22"/>
          <w:lang w:val="sr-Latn-RS"/>
        </w:rPr>
        <w:t>, trombocita &gt;100</w:t>
      </w:r>
      <w:r w:rsidR="00522CCB" w:rsidRPr="00E00E21">
        <w:rPr>
          <w:sz w:val="22"/>
          <w:szCs w:val="22"/>
          <w:lang w:val="sr-Latn-RS"/>
        </w:rPr>
        <w:t xml:space="preserve"> </w:t>
      </w:r>
      <w:r w:rsidRPr="00E00E21">
        <w:rPr>
          <w:sz w:val="22"/>
          <w:szCs w:val="22"/>
          <w:lang w:val="sr-Latn-RS"/>
        </w:rPr>
        <w:t>000/ mm</w:t>
      </w:r>
      <w:r w:rsidRPr="00E00E21">
        <w:rPr>
          <w:sz w:val="22"/>
          <w:szCs w:val="22"/>
          <w:vertAlign w:val="superscript"/>
          <w:lang w:val="sr-Latn-RS"/>
        </w:rPr>
        <w:t>3</w:t>
      </w:r>
      <w:r w:rsidRPr="00E00E21">
        <w:rPr>
          <w:sz w:val="22"/>
          <w:szCs w:val="22"/>
          <w:lang w:val="sr-Latn-RS"/>
        </w:rPr>
        <w:t>, hemoglobin &gt;10 g/d</w:t>
      </w:r>
      <w:r w:rsidR="00522CCB" w:rsidRPr="00E00E21">
        <w:rPr>
          <w:sz w:val="22"/>
          <w:szCs w:val="22"/>
          <w:lang w:val="sr-Latn-RS"/>
        </w:rPr>
        <w:t>l</w:t>
      </w:r>
      <w:r w:rsidRPr="00E00E21">
        <w:rPr>
          <w:sz w:val="22"/>
          <w:szCs w:val="22"/>
          <w:lang w:val="sr-Latn-RS"/>
        </w:rPr>
        <w:t>, kreatinin</w:t>
      </w:r>
      <w:r w:rsidR="00AF3070" w:rsidRPr="00E00E21">
        <w:rPr>
          <w:sz w:val="22"/>
          <w:szCs w:val="22"/>
          <w:lang w:val="sr-Latn-RS"/>
        </w:rPr>
        <w:t xml:space="preserve"> kreatinin &lt;</w:t>
      </w:r>
      <w:r w:rsidR="00522CCB" w:rsidRPr="00E00E21">
        <w:rPr>
          <w:sz w:val="22"/>
          <w:szCs w:val="22"/>
          <w:lang w:val="sr-Latn-RS"/>
        </w:rPr>
        <w:t xml:space="preserve"> </w:t>
      </w:r>
      <w:r w:rsidR="00AF3070" w:rsidRPr="00E00E21">
        <w:rPr>
          <w:sz w:val="22"/>
          <w:szCs w:val="22"/>
          <w:lang w:val="sr-Latn-RS"/>
        </w:rPr>
        <w:t>1,5 x ULN, ukupni bilirubin &lt;</w:t>
      </w:r>
      <w:r w:rsidR="00522CCB" w:rsidRPr="00E00E21">
        <w:rPr>
          <w:sz w:val="22"/>
          <w:szCs w:val="22"/>
          <w:lang w:val="sr-Latn-RS"/>
        </w:rPr>
        <w:t xml:space="preserve"> </w:t>
      </w:r>
      <w:r w:rsidR="00AF3070" w:rsidRPr="00E00E21">
        <w:rPr>
          <w:sz w:val="22"/>
          <w:szCs w:val="22"/>
          <w:lang w:val="sr-Latn-RS"/>
        </w:rPr>
        <w:t>1 x ULN, vrijednost AST i ALT &lt;</w:t>
      </w:r>
      <w:r w:rsidR="00522CCB" w:rsidRPr="00E00E21">
        <w:rPr>
          <w:sz w:val="22"/>
          <w:szCs w:val="22"/>
          <w:lang w:val="sr-Latn-RS"/>
        </w:rPr>
        <w:t xml:space="preserve"> </w:t>
      </w:r>
      <w:r w:rsidR="00AF3070" w:rsidRPr="00E00E21">
        <w:rPr>
          <w:sz w:val="22"/>
          <w:szCs w:val="22"/>
          <w:lang w:val="sr-Latn-RS"/>
        </w:rPr>
        <w:t>1,5 x ULN</w:t>
      </w:r>
      <w:r w:rsidR="00AA188A" w:rsidRPr="00E00E21">
        <w:rPr>
          <w:sz w:val="22"/>
          <w:szCs w:val="22"/>
          <w:lang w:val="sr-Latn-RS"/>
        </w:rPr>
        <w:t>.</w:t>
      </w:r>
    </w:p>
    <w:p w14:paraId="579A061C" w14:textId="77777777" w:rsidR="00AA188A" w:rsidRPr="00E00E21" w:rsidRDefault="00AA188A" w:rsidP="00370E1E">
      <w:pPr>
        <w:tabs>
          <w:tab w:val="left" w:pos="540"/>
          <w:tab w:val="left" w:pos="569"/>
        </w:tabs>
        <w:jc w:val="both"/>
        <w:rPr>
          <w:sz w:val="22"/>
          <w:szCs w:val="22"/>
          <w:lang w:val="sr-Latn-RS"/>
        </w:rPr>
      </w:pPr>
    </w:p>
    <w:p w14:paraId="27262421" w14:textId="007EF27B" w:rsidR="00AF3070" w:rsidRPr="00E00E21" w:rsidRDefault="00AF3070" w:rsidP="009B6A1F">
      <w:pPr>
        <w:tabs>
          <w:tab w:val="left" w:pos="540"/>
          <w:tab w:val="left" w:pos="569"/>
        </w:tabs>
        <w:jc w:val="both"/>
        <w:rPr>
          <w:sz w:val="22"/>
          <w:szCs w:val="22"/>
          <w:lang w:val="sr-Latn-RS"/>
        </w:rPr>
      </w:pPr>
      <w:r w:rsidRPr="00E00E21">
        <w:rPr>
          <w:sz w:val="22"/>
          <w:szCs w:val="22"/>
          <w:lang w:val="sr-Latn-RS"/>
        </w:rPr>
        <w:t>Pacijenti sa kongestivnim zastojem srca u istoriji bolesti, pacijenti koji su imali infarkt miokarda u zadnjih 6 mjeseci i pacijenti sa nekontrolisanim srčanim aritmijama, anginom pektoris i/ili hipertenzijom ni</w:t>
      </w:r>
      <w:r w:rsidR="00AA188A" w:rsidRPr="00E00E21">
        <w:rPr>
          <w:sz w:val="22"/>
          <w:szCs w:val="22"/>
          <w:lang w:val="sr-Latn-RS"/>
        </w:rPr>
        <w:t>je</w:t>
      </w:r>
      <w:r w:rsidRPr="00E00E21">
        <w:rPr>
          <w:sz w:val="22"/>
          <w:szCs w:val="22"/>
          <w:lang w:val="sr-Latn-RS"/>
        </w:rPr>
        <w:t xml:space="preserve">su bili uključeni u studiju. </w:t>
      </w:r>
    </w:p>
    <w:p w14:paraId="32DD131E" w14:textId="77777777" w:rsidR="00AA188A" w:rsidRPr="00E00E21" w:rsidRDefault="00AA188A" w:rsidP="009B6A1F">
      <w:pPr>
        <w:tabs>
          <w:tab w:val="left" w:pos="540"/>
          <w:tab w:val="left" w:pos="569"/>
        </w:tabs>
        <w:jc w:val="both"/>
        <w:rPr>
          <w:sz w:val="22"/>
          <w:szCs w:val="22"/>
          <w:lang w:val="sr-Latn-RS"/>
        </w:rPr>
      </w:pPr>
    </w:p>
    <w:p w14:paraId="6A8A03DE" w14:textId="23BB935C" w:rsidR="00AA188A" w:rsidRPr="00E00E21" w:rsidRDefault="00AF3070" w:rsidP="00AA188A">
      <w:pPr>
        <w:tabs>
          <w:tab w:val="left" w:pos="540"/>
          <w:tab w:val="left" w:pos="569"/>
        </w:tabs>
        <w:jc w:val="both"/>
        <w:rPr>
          <w:sz w:val="22"/>
          <w:szCs w:val="22"/>
          <w:lang w:val="sr-Latn-RS"/>
        </w:rPr>
      </w:pPr>
      <w:r w:rsidRPr="00E00E21">
        <w:rPr>
          <w:sz w:val="22"/>
          <w:szCs w:val="22"/>
          <w:lang w:val="sr-Latn-RS"/>
        </w:rPr>
        <w:t>Demografske karakteristike, uključujući starost, rasu i ECOG status (0 do 2) bile su uravnotežene između terapijskih grupa. U grupi koja je primala kabazitaksel, prosječna starost bila je 68 godina (raspon od 46 do 92), a distribucija rasa sl</w:t>
      </w:r>
      <w:r w:rsidR="00AA188A" w:rsidRPr="00E00E21">
        <w:rPr>
          <w:sz w:val="22"/>
          <w:szCs w:val="22"/>
          <w:lang w:val="sr-Latn-RS"/>
        </w:rPr>
        <w:t>j</w:t>
      </w:r>
      <w:r w:rsidRPr="00E00E21">
        <w:rPr>
          <w:sz w:val="22"/>
          <w:szCs w:val="22"/>
          <w:lang w:val="sr-Latn-RS"/>
        </w:rPr>
        <w:t xml:space="preserve">edeća: 83,9% bijela rasa, 6,9% azijska/orijentalna, 5,3% crna rasa i 4% ostali. </w:t>
      </w:r>
    </w:p>
    <w:p w14:paraId="5EB87296" w14:textId="77777777" w:rsidR="00AA188A" w:rsidRPr="00E00E21" w:rsidRDefault="00AA188A" w:rsidP="00AA188A">
      <w:pPr>
        <w:tabs>
          <w:tab w:val="left" w:pos="540"/>
          <w:tab w:val="left" w:pos="569"/>
        </w:tabs>
        <w:jc w:val="both"/>
        <w:rPr>
          <w:sz w:val="22"/>
          <w:szCs w:val="22"/>
          <w:lang w:val="sr-Latn-RS"/>
        </w:rPr>
      </w:pPr>
    </w:p>
    <w:p w14:paraId="36226180" w14:textId="77777777" w:rsidR="00AA188A" w:rsidRPr="00E00E21" w:rsidRDefault="00AF3070" w:rsidP="00AA188A">
      <w:pPr>
        <w:tabs>
          <w:tab w:val="left" w:pos="540"/>
          <w:tab w:val="left" w:pos="569"/>
        </w:tabs>
        <w:jc w:val="both"/>
        <w:rPr>
          <w:sz w:val="22"/>
          <w:szCs w:val="22"/>
          <w:lang w:val="sr-Latn-RS"/>
        </w:rPr>
      </w:pPr>
      <w:r w:rsidRPr="00E00E21">
        <w:rPr>
          <w:sz w:val="22"/>
          <w:szCs w:val="22"/>
          <w:lang w:val="sr-Latn-RS"/>
        </w:rPr>
        <w:t xml:space="preserve">Medijana broja ciklusa bila je 6 u grupi koja je primala kabazitaksel, a 4 u grupi koja je primala mitoksantron. Procenat pacijenata u studiji koji su završili terapiju (ciklusa) iznosio je 29,4% za kabazitaksel i 13,5% za drugu grupu. </w:t>
      </w:r>
    </w:p>
    <w:p w14:paraId="7C2082D9" w14:textId="77777777" w:rsidR="00AA188A" w:rsidRPr="00E00E21" w:rsidRDefault="00AA188A" w:rsidP="00AA188A">
      <w:pPr>
        <w:tabs>
          <w:tab w:val="left" w:pos="540"/>
          <w:tab w:val="left" w:pos="569"/>
        </w:tabs>
        <w:jc w:val="both"/>
        <w:rPr>
          <w:sz w:val="22"/>
          <w:szCs w:val="22"/>
          <w:lang w:val="sr-Latn-RS"/>
        </w:rPr>
      </w:pPr>
    </w:p>
    <w:p w14:paraId="54E038FF" w14:textId="038C078B" w:rsidR="00AA188A" w:rsidRPr="00E00E21" w:rsidRDefault="00AF3070" w:rsidP="00AA188A">
      <w:pPr>
        <w:tabs>
          <w:tab w:val="left" w:pos="540"/>
          <w:tab w:val="left" w:pos="569"/>
        </w:tabs>
        <w:jc w:val="both"/>
        <w:rPr>
          <w:sz w:val="22"/>
          <w:szCs w:val="22"/>
          <w:lang w:val="sr-Latn-RS"/>
        </w:rPr>
      </w:pPr>
      <w:r w:rsidRPr="00E00E21">
        <w:rPr>
          <w:sz w:val="22"/>
          <w:szCs w:val="22"/>
          <w:lang w:val="sr-Latn-RS"/>
        </w:rPr>
        <w:t>Ukupno preživljavanje bilo je značajno duže u grupi koja je primala kabazitaksel u poređenju sa grupom koja je primala mitoksantron (15,1 mjesec prema 12,7 mjeseci), uz 30%</w:t>
      </w:r>
      <w:r w:rsidR="00AA188A" w:rsidRPr="00E00E21">
        <w:rPr>
          <w:sz w:val="22"/>
          <w:szCs w:val="22"/>
          <w:lang w:val="sr-Latn-RS"/>
        </w:rPr>
        <w:t xml:space="preserve">-tno </w:t>
      </w:r>
      <w:r w:rsidRPr="00E00E21">
        <w:rPr>
          <w:sz w:val="22"/>
          <w:szCs w:val="22"/>
          <w:lang w:val="sr-Latn-RS"/>
        </w:rPr>
        <w:t>smanjenje rizika od smrti u poređenju sa mitoksantronom (</w:t>
      </w:r>
      <w:r w:rsidR="00AA188A" w:rsidRPr="00E00E21">
        <w:rPr>
          <w:sz w:val="22"/>
          <w:szCs w:val="22"/>
          <w:lang w:val="sr-Latn-RS"/>
        </w:rPr>
        <w:t xml:space="preserve">vidjeti </w:t>
      </w:r>
      <w:r w:rsidRPr="00E00E21">
        <w:rPr>
          <w:sz w:val="22"/>
          <w:szCs w:val="22"/>
          <w:lang w:val="sr-Latn-RS"/>
        </w:rPr>
        <w:t xml:space="preserve">tabelu 3. i sliku 1.). </w:t>
      </w:r>
    </w:p>
    <w:p w14:paraId="3A2ABCB2" w14:textId="77777777" w:rsidR="00AA188A" w:rsidRPr="00E00E21" w:rsidRDefault="00AA188A" w:rsidP="00AA188A">
      <w:pPr>
        <w:tabs>
          <w:tab w:val="left" w:pos="540"/>
          <w:tab w:val="left" w:pos="569"/>
        </w:tabs>
        <w:jc w:val="both"/>
        <w:rPr>
          <w:sz w:val="22"/>
          <w:szCs w:val="22"/>
          <w:lang w:val="sr-Latn-RS"/>
        </w:rPr>
      </w:pPr>
    </w:p>
    <w:p w14:paraId="53157EAC" w14:textId="110FDF9B" w:rsidR="00AF3070" w:rsidRPr="00E00E21" w:rsidRDefault="00AF3070" w:rsidP="00AA188A">
      <w:pPr>
        <w:tabs>
          <w:tab w:val="left" w:pos="540"/>
          <w:tab w:val="left" w:pos="569"/>
        </w:tabs>
        <w:jc w:val="both"/>
        <w:rPr>
          <w:sz w:val="22"/>
          <w:szCs w:val="22"/>
          <w:lang w:val="sr-Latn-RS"/>
        </w:rPr>
      </w:pPr>
      <w:r w:rsidRPr="00E00E21">
        <w:rPr>
          <w:sz w:val="22"/>
          <w:szCs w:val="22"/>
          <w:lang w:val="sr-Latn-RS"/>
        </w:rPr>
        <w:t>Podgrupa od 59 pacijenata prethodno je primila kumulativnu dozu docetaksela &lt;</w:t>
      </w:r>
      <w:r w:rsidR="00AA188A" w:rsidRPr="00E00E21">
        <w:rPr>
          <w:sz w:val="22"/>
          <w:szCs w:val="22"/>
          <w:lang w:val="sr-Latn-RS"/>
        </w:rPr>
        <w:t xml:space="preserve"> </w:t>
      </w:r>
      <w:r w:rsidRPr="00E00E21">
        <w:rPr>
          <w:sz w:val="22"/>
          <w:szCs w:val="22"/>
          <w:lang w:val="sr-Latn-RS"/>
        </w:rPr>
        <w:t>225 mg/m</w:t>
      </w:r>
      <w:r w:rsidRPr="00E00E21">
        <w:rPr>
          <w:sz w:val="22"/>
          <w:szCs w:val="22"/>
          <w:vertAlign w:val="superscript"/>
          <w:lang w:val="sr-Latn-RS"/>
        </w:rPr>
        <w:t>2</w:t>
      </w:r>
      <w:r w:rsidR="00AA188A" w:rsidRPr="00E00E21">
        <w:rPr>
          <w:sz w:val="22"/>
          <w:szCs w:val="22"/>
          <w:lang w:val="sr-Latn-RS"/>
        </w:rPr>
        <w:t xml:space="preserve"> </w:t>
      </w:r>
      <w:r w:rsidRPr="00E00E21">
        <w:rPr>
          <w:sz w:val="22"/>
          <w:szCs w:val="22"/>
          <w:lang w:val="sr-Latn-RS"/>
        </w:rPr>
        <w:t>(29 pacijenata u kabazitaksel grupi i 30 pacijenata u mitoksantron grupi). Nije bilo značajne razlike u ukupnom preživljavanju u toj grupi pacijenata (HR (95%CI) 0,96 (0,49-1,86)).</w:t>
      </w:r>
    </w:p>
    <w:p w14:paraId="7AA98198" w14:textId="77777777" w:rsidR="00AF3070" w:rsidRPr="00E00E21" w:rsidRDefault="00AF3070" w:rsidP="00AA188A">
      <w:pPr>
        <w:tabs>
          <w:tab w:val="left" w:pos="540"/>
          <w:tab w:val="left" w:pos="569"/>
        </w:tabs>
        <w:jc w:val="both"/>
        <w:rPr>
          <w:sz w:val="22"/>
          <w:szCs w:val="22"/>
          <w:lang w:val="sr-Latn-RS"/>
        </w:rPr>
      </w:pPr>
    </w:p>
    <w:p w14:paraId="53DDA0C0" w14:textId="77777777" w:rsidR="00AF3070" w:rsidRPr="00E00E21" w:rsidRDefault="00AF3070" w:rsidP="00E630C6">
      <w:pPr>
        <w:tabs>
          <w:tab w:val="left" w:pos="540"/>
          <w:tab w:val="left" w:pos="569"/>
        </w:tabs>
        <w:rPr>
          <w:sz w:val="22"/>
          <w:szCs w:val="22"/>
          <w:lang w:val="sr-Latn-RS"/>
        </w:rPr>
      </w:pPr>
      <w:r w:rsidRPr="00E00E21">
        <w:rPr>
          <w:sz w:val="22"/>
          <w:szCs w:val="22"/>
          <w:lang w:val="sr-Latn-RS"/>
        </w:rPr>
        <w:t>Tabela 3. Efikasnost kabazitaksela u studiji EFC6193 u liječenju pacijenata sa metastatskim karcinomom prostate rezistentnim na kastraciju</w:t>
      </w:r>
    </w:p>
    <w:tbl>
      <w:tblPr>
        <w:tblW w:w="949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36"/>
        <w:gridCol w:w="2834"/>
        <w:gridCol w:w="3120"/>
      </w:tblGrid>
      <w:tr w:rsidR="00593BF0" w:rsidRPr="00E00E21" w14:paraId="39DCAE0C" w14:textId="77777777" w:rsidTr="00F946DA">
        <w:trPr>
          <w:tblCellSpacing w:w="0" w:type="dxa"/>
        </w:trPr>
        <w:tc>
          <w:tcPr>
            <w:tcW w:w="1863" w:type="pct"/>
            <w:tcBorders>
              <w:top w:val="outset" w:sz="6" w:space="0" w:color="auto"/>
              <w:left w:val="outset" w:sz="6" w:space="0" w:color="auto"/>
              <w:bottom w:val="outset" w:sz="6" w:space="0" w:color="auto"/>
              <w:right w:val="outset" w:sz="6" w:space="0" w:color="auto"/>
            </w:tcBorders>
            <w:hideMark/>
          </w:tcPr>
          <w:p w14:paraId="7E5DDCC4" w14:textId="77777777" w:rsidR="00593BF0" w:rsidRPr="00E00E21" w:rsidRDefault="00593BF0" w:rsidP="00593BF0">
            <w:pPr>
              <w:rPr>
                <w:sz w:val="22"/>
                <w:szCs w:val="22"/>
                <w:lang w:val="sr-Latn-RS" w:eastAsia="de-AT"/>
              </w:rPr>
            </w:pPr>
          </w:p>
        </w:tc>
        <w:tc>
          <w:tcPr>
            <w:tcW w:w="1493" w:type="pct"/>
            <w:tcBorders>
              <w:top w:val="outset" w:sz="6" w:space="0" w:color="auto"/>
              <w:left w:val="outset" w:sz="6" w:space="0" w:color="auto"/>
              <w:bottom w:val="outset" w:sz="6" w:space="0" w:color="auto"/>
              <w:right w:val="outset" w:sz="6" w:space="0" w:color="auto"/>
            </w:tcBorders>
            <w:hideMark/>
          </w:tcPr>
          <w:p w14:paraId="71EB4BB4" w14:textId="77777777" w:rsidR="00593BF0" w:rsidRPr="00E00E21" w:rsidRDefault="00593BF0" w:rsidP="00593BF0">
            <w:pPr>
              <w:spacing w:before="100" w:beforeAutospacing="1" w:after="100" w:afterAutospacing="1"/>
              <w:jc w:val="center"/>
              <w:rPr>
                <w:sz w:val="22"/>
                <w:szCs w:val="22"/>
                <w:lang w:val="sr-Latn-RS" w:eastAsia="de-AT"/>
              </w:rPr>
            </w:pPr>
            <w:r w:rsidRPr="00E00E21">
              <w:rPr>
                <w:b/>
                <w:bCs/>
                <w:sz w:val="22"/>
                <w:szCs w:val="22"/>
                <w:lang w:val="sr-Latn-RS" w:eastAsia="de-AT"/>
              </w:rPr>
              <w:t>Cabazitaksel + prednizon</w:t>
            </w:r>
            <w:r w:rsidRPr="00E00E21">
              <w:rPr>
                <w:sz w:val="22"/>
                <w:szCs w:val="22"/>
                <w:lang w:val="sr-Latn-RS" w:eastAsia="de-AT"/>
              </w:rPr>
              <w:t xml:space="preserve"> </w:t>
            </w:r>
          </w:p>
          <w:p w14:paraId="6AC42602" w14:textId="77777777" w:rsidR="00593BF0" w:rsidRPr="00E00E21" w:rsidRDefault="00593BF0" w:rsidP="00593BF0">
            <w:pPr>
              <w:spacing w:before="100" w:beforeAutospacing="1" w:after="100" w:afterAutospacing="1"/>
              <w:jc w:val="center"/>
              <w:rPr>
                <w:sz w:val="22"/>
                <w:szCs w:val="22"/>
                <w:lang w:val="sr-Latn-RS" w:eastAsia="de-AT"/>
              </w:rPr>
            </w:pPr>
            <w:r w:rsidRPr="00E00E21">
              <w:rPr>
                <w:b/>
                <w:bCs/>
                <w:sz w:val="22"/>
                <w:szCs w:val="22"/>
                <w:lang w:val="sr-Latn-RS" w:eastAsia="de-AT"/>
              </w:rPr>
              <w:lastRenderedPageBreak/>
              <w:t>n=378</w:t>
            </w:r>
            <w:r w:rsidRPr="00E00E21">
              <w:rPr>
                <w:sz w:val="22"/>
                <w:szCs w:val="22"/>
                <w:lang w:val="sr-Latn-RS" w:eastAsia="de-AT"/>
              </w:rPr>
              <w:t xml:space="preserve"> </w:t>
            </w:r>
          </w:p>
        </w:tc>
        <w:tc>
          <w:tcPr>
            <w:tcW w:w="1644" w:type="pct"/>
            <w:tcBorders>
              <w:top w:val="outset" w:sz="6" w:space="0" w:color="auto"/>
              <w:left w:val="outset" w:sz="6" w:space="0" w:color="auto"/>
              <w:bottom w:val="outset" w:sz="6" w:space="0" w:color="auto"/>
              <w:right w:val="outset" w:sz="6" w:space="0" w:color="auto"/>
            </w:tcBorders>
            <w:hideMark/>
          </w:tcPr>
          <w:p w14:paraId="01F3110B" w14:textId="77777777" w:rsidR="00593BF0" w:rsidRPr="00E00E21" w:rsidRDefault="00593BF0" w:rsidP="00593BF0">
            <w:pPr>
              <w:spacing w:before="100" w:beforeAutospacing="1" w:after="100" w:afterAutospacing="1"/>
              <w:jc w:val="center"/>
              <w:rPr>
                <w:sz w:val="22"/>
                <w:szCs w:val="22"/>
                <w:lang w:val="sr-Latn-RS" w:eastAsia="de-AT"/>
              </w:rPr>
            </w:pPr>
            <w:r w:rsidRPr="00E00E21">
              <w:rPr>
                <w:b/>
                <w:bCs/>
                <w:sz w:val="22"/>
                <w:szCs w:val="22"/>
                <w:lang w:val="sr-Latn-RS" w:eastAsia="de-AT"/>
              </w:rPr>
              <w:lastRenderedPageBreak/>
              <w:t>mitoksantron + prednizon</w:t>
            </w:r>
            <w:r w:rsidRPr="00E00E21">
              <w:rPr>
                <w:sz w:val="22"/>
                <w:szCs w:val="22"/>
                <w:lang w:val="sr-Latn-RS" w:eastAsia="de-AT"/>
              </w:rPr>
              <w:t xml:space="preserve"> </w:t>
            </w:r>
          </w:p>
          <w:p w14:paraId="64E17F47" w14:textId="77777777" w:rsidR="00593BF0" w:rsidRPr="00E00E21" w:rsidRDefault="00593BF0" w:rsidP="00593BF0">
            <w:pPr>
              <w:spacing w:before="100" w:beforeAutospacing="1" w:after="100" w:afterAutospacing="1"/>
              <w:jc w:val="center"/>
              <w:rPr>
                <w:sz w:val="22"/>
                <w:szCs w:val="22"/>
                <w:lang w:val="sr-Latn-RS" w:eastAsia="de-AT"/>
              </w:rPr>
            </w:pPr>
            <w:r w:rsidRPr="00E00E21">
              <w:rPr>
                <w:b/>
                <w:bCs/>
                <w:sz w:val="22"/>
                <w:szCs w:val="22"/>
                <w:lang w:val="sr-Latn-RS" w:eastAsia="de-AT"/>
              </w:rPr>
              <w:lastRenderedPageBreak/>
              <w:t>n=377</w:t>
            </w:r>
            <w:r w:rsidRPr="00E00E21">
              <w:rPr>
                <w:sz w:val="22"/>
                <w:szCs w:val="22"/>
                <w:lang w:val="sr-Latn-RS" w:eastAsia="de-AT"/>
              </w:rPr>
              <w:t xml:space="preserve"> </w:t>
            </w:r>
          </w:p>
        </w:tc>
      </w:tr>
      <w:tr w:rsidR="00593BF0" w:rsidRPr="00E00E21" w14:paraId="4E4F6641" w14:textId="77777777" w:rsidTr="00F946DA">
        <w:trPr>
          <w:tblCellSpacing w:w="0" w:type="dxa"/>
        </w:trPr>
        <w:tc>
          <w:tcPr>
            <w:tcW w:w="1863" w:type="pct"/>
            <w:tcBorders>
              <w:top w:val="outset" w:sz="6" w:space="0" w:color="auto"/>
              <w:left w:val="outset" w:sz="6" w:space="0" w:color="auto"/>
              <w:bottom w:val="outset" w:sz="6" w:space="0" w:color="auto"/>
              <w:right w:val="outset" w:sz="6" w:space="0" w:color="auto"/>
            </w:tcBorders>
            <w:hideMark/>
          </w:tcPr>
          <w:p w14:paraId="620DD860" w14:textId="77777777" w:rsidR="00593BF0" w:rsidRPr="00E00E21" w:rsidRDefault="00593BF0" w:rsidP="00593BF0">
            <w:pPr>
              <w:spacing w:before="100" w:beforeAutospacing="1" w:after="100" w:afterAutospacing="1"/>
              <w:rPr>
                <w:sz w:val="22"/>
                <w:szCs w:val="22"/>
                <w:lang w:val="sr-Latn-RS" w:eastAsia="de-AT"/>
              </w:rPr>
            </w:pPr>
            <w:r w:rsidRPr="00E00E21">
              <w:rPr>
                <w:b/>
                <w:bCs/>
                <w:sz w:val="22"/>
                <w:szCs w:val="22"/>
                <w:lang w:val="sr-Latn-RS" w:eastAsia="de-AT"/>
              </w:rPr>
              <w:lastRenderedPageBreak/>
              <w:t>Ukupno preživljavanje</w:t>
            </w:r>
            <w:r w:rsidRPr="00E00E21">
              <w:rPr>
                <w:sz w:val="22"/>
                <w:szCs w:val="22"/>
                <w:lang w:val="sr-Latn-RS" w:eastAsia="de-AT"/>
              </w:rPr>
              <w:t xml:space="preserve"> </w:t>
            </w:r>
          </w:p>
        </w:tc>
        <w:tc>
          <w:tcPr>
            <w:tcW w:w="1493" w:type="pct"/>
            <w:tcBorders>
              <w:top w:val="outset" w:sz="6" w:space="0" w:color="auto"/>
              <w:left w:val="outset" w:sz="6" w:space="0" w:color="auto"/>
              <w:bottom w:val="outset" w:sz="6" w:space="0" w:color="auto"/>
              <w:right w:val="outset" w:sz="6" w:space="0" w:color="auto"/>
            </w:tcBorders>
            <w:hideMark/>
          </w:tcPr>
          <w:p w14:paraId="4832C8CB" w14:textId="77777777" w:rsidR="00593BF0" w:rsidRPr="00E00E21" w:rsidRDefault="00593BF0" w:rsidP="00593BF0">
            <w:pPr>
              <w:rPr>
                <w:sz w:val="22"/>
                <w:szCs w:val="22"/>
                <w:lang w:val="sr-Latn-RS" w:eastAsia="de-AT"/>
              </w:rPr>
            </w:pPr>
          </w:p>
        </w:tc>
        <w:tc>
          <w:tcPr>
            <w:tcW w:w="1644" w:type="pct"/>
            <w:tcBorders>
              <w:top w:val="outset" w:sz="6" w:space="0" w:color="auto"/>
              <w:left w:val="outset" w:sz="6" w:space="0" w:color="auto"/>
              <w:bottom w:val="outset" w:sz="6" w:space="0" w:color="auto"/>
              <w:right w:val="outset" w:sz="6" w:space="0" w:color="auto"/>
            </w:tcBorders>
            <w:hideMark/>
          </w:tcPr>
          <w:p w14:paraId="5F4DFF7E" w14:textId="77777777" w:rsidR="00593BF0" w:rsidRPr="00E00E21" w:rsidRDefault="00593BF0" w:rsidP="00593BF0">
            <w:pPr>
              <w:rPr>
                <w:sz w:val="22"/>
                <w:szCs w:val="22"/>
                <w:lang w:val="sr-Latn-RS" w:eastAsia="de-AT"/>
              </w:rPr>
            </w:pPr>
          </w:p>
        </w:tc>
      </w:tr>
      <w:tr w:rsidR="00593BF0" w:rsidRPr="00E00E21" w14:paraId="7C678783" w14:textId="77777777" w:rsidTr="00F946DA">
        <w:trPr>
          <w:tblCellSpacing w:w="0" w:type="dxa"/>
        </w:trPr>
        <w:tc>
          <w:tcPr>
            <w:tcW w:w="1863" w:type="pct"/>
            <w:tcBorders>
              <w:top w:val="outset" w:sz="6" w:space="0" w:color="auto"/>
              <w:left w:val="outset" w:sz="6" w:space="0" w:color="auto"/>
              <w:bottom w:val="outset" w:sz="6" w:space="0" w:color="auto"/>
              <w:right w:val="outset" w:sz="6" w:space="0" w:color="auto"/>
            </w:tcBorders>
            <w:vAlign w:val="center"/>
            <w:hideMark/>
          </w:tcPr>
          <w:p w14:paraId="5712B184" w14:textId="77777777" w:rsidR="00593BF0" w:rsidRPr="00E00E21" w:rsidRDefault="00593BF0" w:rsidP="00593BF0">
            <w:pPr>
              <w:spacing w:before="100" w:beforeAutospacing="1" w:after="100" w:afterAutospacing="1"/>
              <w:rPr>
                <w:sz w:val="22"/>
                <w:szCs w:val="22"/>
                <w:lang w:val="sr-Latn-RS" w:eastAsia="de-AT"/>
              </w:rPr>
            </w:pPr>
            <w:r w:rsidRPr="00E00E21">
              <w:rPr>
                <w:sz w:val="22"/>
                <w:szCs w:val="22"/>
                <w:lang w:val="sr-Latn-RS" w:eastAsia="de-AT"/>
              </w:rPr>
              <w:t>Broj umrlih pacijenata (%)</w:t>
            </w:r>
          </w:p>
        </w:tc>
        <w:tc>
          <w:tcPr>
            <w:tcW w:w="1493" w:type="pct"/>
            <w:tcBorders>
              <w:top w:val="outset" w:sz="6" w:space="0" w:color="auto"/>
              <w:left w:val="outset" w:sz="6" w:space="0" w:color="auto"/>
              <w:bottom w:val="outset" w:sz="6" w:space="0" w:color="auto"/>
              <w:right w:val="outset" w:sz="6" w:space="0" w:color="auto"/>
            </w:tcBorders>
            <w:hideMark/>
          </w:tcPr>
          <w:p w14:paraId="0330EFFF"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234 (61.9%)</w:t>
            </w:r>
          </w:p>
        </w:tc>
        <w:tc>
          <w:tcPr>
            <w:tcW w:w="1644" w:type="pct"/>
            <w:tcBorders>
              <w:top w:val="outset" w:sz="6" w:space="0" w:color="auto"/>
              <w:left w:val="outset" w:sz="6" w:space="0" w:color="auto"/>
              <w:bottom w:val="outset" w:sz="6" w:space="0" w:color="auto"/>
              <w:right w:val="outset" w:sz="6" w:space="0" w:color="auto"/>
            </w:tcBorders>
            <w:hideMark/>
          </w:tcPr>
          <w:p w14:paraId="0773B15A"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279 (74%)</w:t>
            </w:r>
          </w:p>
        </w:tc>
      </w:tr>
      <w:tr w:rsidR="00593BF0" w:rsidRPr="00E00E21" w14:paraId="2B68F2F3" w14:textId="77777777" w:rsidTr="00F946DA">
        <w:trPr>
          <w:tblCellSpacing w:w="0" w:type="dxa"/>
        </w:trPr>
        <w:tc>
          <w:tcPr>
            <w:tcW w:w="1863" w:type="pct"/>
            <w:tcBorders>
              <w:top w:val="outset" w:sz="6" w:space="0" w:color="auto"/>
              <w:left w:val="outset" w:sz="6" w:space="0" w:color="auto"/>
              <w:bottom w:val="outset" w:sz="6" w:space="0" w:color="auto"/>
              <w:right w:val="outset" w:sz="6" w:space="0" w:color="auto"/>
            </w:tcBorders>
            <w:hideMark/>
          </w:tcPr>
          <w:p w14:paraId="2AC697CE" w14:textId="77777777" w:rsidR="00593BF0" w:rsidRPr="00E00E21" w:rsidRDefault="00593BF0" w:rsidP="00593BF0">
            <w:pPr>
              <w:spacing w:before="100" w:beforeAutospacing="1" w:after="100" w:afterAutospacing="1"/>
              <w:rPr>
                <w:sz w:val="22"/>
                <w:szCs w:val="22"/>
                <w:lang w:val="sr-Latn-RS" w:eastAsia="de-AT"/>
              </w:rPr>
            </w:pPr>
            <w:r w:rsidRPr="00E00E21">
              <w:rPr>
                <w:sz w:val="22"/>
                <w:szCs w:val="22"/>
                <w:lang w:val="sr-Latn-RS" w:eastAsia="de-AT"/>
              </w:rPr>
              <w:t>Medijana preživljavanja (mjeseci) (95% CI)</w:t>
            </w:r>
          </w:p>
        </w:tc>
        <w:tc>
          <w:tcPr>
            <w:tcW w:w="1493" w:type="pct"/>
            <w:tcBorders>
              <w:top w:val="outset" w:sz="6" w:space="0" w:color="auto"/>
              <w:left w:val="outset" w:sz="6" w:space="0" w:color="auto"/>
              <w:bottom w:val="outset" w:sz="6" w:space="0" w:color="auto"/>
              <w:right w:val="outset" w:sz="6" w:space="0" w:color="auto"/>
            </w:tcBorders>
            <w:hideMark/>
          </w:tcPr>
          <w:p w14:paraId="1FBA81B2"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15.1 (14.1-16.3)</w:t>
            </w:r>
          </w:p>
        </w:tc>
        <w:tc>
          <w:tcPr>
            <w:tcW w:w="1644" w:type="pct"/>
            <w:tcBorders>
              <w:top w:val="outset" w:sz="6" w:space="0" w:color="auto"/>
              <w:left w:val="outset" w:sz="6" w:space="0" w:color="auto"/>
              <w:bottom w:val="outset" w:sz="6" w:space="0" w:color="auto"/>
              <w:right w:val="outset" w:sz="6" w:space="0" w:color="auto"/>
            </w:tcBorders>
            <w:hideMark/>
          </w:tcPr>
          <w:p w14:paraId="510E448F"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12.7 (11.6-13.7)</w:t>
            </w:r>
          </w:p>
        </w:tc>
      </w:tr>
      <w:tr w:rsidR="00593BF0" w:rsidRPr="00E00E21" w14:paraId="2E40FEB2" w14:textId="77777777" w:rsidTr="00F946DA">
        <w:trPr>
          <w:tblCellSpacing w:w="0" w:type="dxa"/>
        </w:trPr>
        <w:tc>
          <w:tcPr>
            <w:tcW w:w="1863" w:type="pct"/>
            <w:tcBorders>
              <w:top w:val="outset" w:sz="6" w:space="0" w:color="auto"/>
              <w:left w:val="outset" w:sz="6" w:space="0" w:color="auto"/>
              <w:bottom w:val="outset" w:sz="6" w:space="0" w:color="auto"/>
              <w:right w:val="outset" w:sz="6" w:space="0" w:color="auto"/>
            </w:tcBorders>
            <w:hideMark/>
          </w:tcPr>
          <w:p w14:paraId="743D1550" w14:textId="77777777" w:rsidR="00593BF0" w:rsidRPr="00E00E21" w:rsidRDefault="00593BF0" w:rsidP="00593BF0">
            <w:pPr>
              <w:spacing w:before="100" w:beforeAutospacing="1" w:after="100" w:afterAutospacing="1"/>
              <w:rPr>
                <w:sz w:val="22"/>
                <w:szCs w:val="22"/>
                <w:lang w:val="sr-Latn-RS" w:eastAsia="de-AT"/>
              </w:rPr>
            </w:pPr>
            <w:r w:rsidRPr="00E00E21">
              <w:rPr>
                <w:i/>
                <w:sz w:val="22"/>
                <w:szCs w:val="22"/>
                <w:lang w:val="sr-Latn-RS" w:eastAsia="de-AT"/>
              </w:rPr>
              <w:t>Hazard Ratio</w:t>
            </w:r>
            <w:r w:rsidRPr="00E00E21">
              <w:rPr>
                <w:sz w:val="22"/>
                <w:szCs w:val="22"/>
                <w:lang w:val="sr-Latn-RS" w:eastAsia="de-AT"/>
              </w:rPr>
              <w:t xml:space="preserve"> (HR)</w:t>
            </w:r>
            <w:r w:rsidRPr="00E00E21">
              <w:rPr>
                <w:sz w:val="22"/>
                <w:szCs w:val="22"/>
                <w:vertAlign w:val="superscript"/>
                <w:lang w:val="sr-Latn-RS" w:eastAsia="de-AT"/>
              </w:rPr>
              <w:t>1</w:t>
            </w:r>
            <w:r w:rsidRPr="00E00E21">
              <w:rPr>
                <w:sz w:val="22"/>
                <w:szCs w:val="22"/>
                <w:lang w:val="sr-Latn-RS" w:eastAsia="de-AT"/>
              </w:rPr>
              <w:t xml:space="preserve"> (95% CI)</w:t>
            </w:r>
          </w:p>
        </w:tc>
        <w:tc>
          <w:tcPr>
            <w:tcW w:w="3137" w:type="pct"/>
            <w:gridSpan w:val="2"/>
            <w:tcBorders>
              <w:top w:val="outset" w:sz="6" w:space="0" w:color="auto"/>
              <w:left w:val="outset" w:sz="6" w:space="0" w:color="auto"/>
              <w:bottom w:val="outset" w:sz="6" w:space="0" w:color="auto"/>
              <w:right w:val="outset" w:sz="6" w:space="0" w:color="auto"/>
            </w:tcBorders>
            <w:hideMark/>
          </w:tcPr>
          <w:p w14:paraId="66679160"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0.70 (0.59-0.83)</w:t>
            </w:r>
          </w:p>
        </w:tc>
      </w:tr>
      <w:tr w:rsidR="00593BF0" w:rsidRPr="00E00E21" w14:paraId="45557CF3" w14:textId="77777777" w:rsidTr="00AF3070">
        <w:trPr>
          <w:trHeight w:val="25"/>
          <w:tblCellSpacing w:w="0" w:type="dxa"/>
        </w:trPr>
        <w:tc>
          <w:tcPr>
            <w:tcW w:w="1863" w:type="pct"/>
            <w:tcBorders>
              <w:top w:val="outset" w:sz="6" w:space="0" w:color="auto"/>
              <w:left w:val="outset" w:sz="6" w:space="0" w:color="auto"/>
              <w:bottom w:val="outset" w:sz="6" w:space="0" w:color="auto"/>
              <w:right w:val="outset" w:sz="6" w:space="0" w:color="auto"/>
            </w:tcBorders>
            <w:hideMark/>
          </w:tcPr>
          <w:p w14:paraId="0E77BEF2" w14:textId="77777777" w:rsidR="00593BF0" w:rsidRPr="00E00E21" w:rsidRDefault="00593BF0" w:rsidP="00593BF0">
            <w:pPr>
              <w:spacing w:before="100" w:beforeAutospacing="1" w:after="100" w:afterAutospacing="1"/>
              <w:rPr>
                <w:sz w:val="22"/>
                <w:szCs w:val="22"/>
                <w:lang w:val="sr-Latn-RS" w:eastAsia="de-AT"/>
              </w:rPr>
            </w:pPr>
            <w:r w:rsidRPr="00E00E21">
              <w:rPr>
                <w:sz w:val="22"/>
                <w:szCs w:val="22"/>
                <w:lang w:val="sr-Latn-RS" w:eastAsia="de-AT"/>
              </w:rPr>
              <w:t>p-vrijednost</w:t>
            </w:r>
          </w:p>
        </w:tc>
        <w:tc>
          <w:tcPr>
            <w:tcW w:w="3137" w:type="pct"/>
            <w:gridSpan w:val="2"/>
            <w:tcBorders>
              <w:top w:val="outset" w:sz="6" w:space="0" w:color="auto"/>
              <w:left w:val="outset" w:sz="6" w:space="0" w:color="auto"/>
              <w:bottom w:val="outset" w:sz="6" w:space="0" w:color="auto"/>
              <w:right w:val="outset" w:sz="6" w:space="0" w:color="auto"/>
            </w:tcBorders>
            <w:hideMark/>
          </w:tcPr>
          <w:p w14:paraId="22E4F9F2" w14:textId="1A3CB8F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&lt;</w:t>
            </w:r>
            <w:r w:rsidR="0092401F" w:rsidRPr="00E00E21">
              <w:rPr>
                <w:sz w:val="22"/>
                <w:szCs w:val="22"/>
                <w:lang w:val="sr-Latn-RS" w:eastAsia="de-AT"/>
              </w:rPr>
              <w:t xml:space="preserve"> </w:t>
            </w:r>
            <w:r w:rsidRPr="00E00E21">
              <w:rPr>
                <w:sz w:val="22"/>
                <w:szCs w:val="22"/>
                <w:lang w:val="sr-Latn-RS" w:eastAsia="de-AT"/>
              </w:rPr>
              <w:t>0.0001</w:t>
            </w:r>
          </w:p>
        </w:tc>
      </w:tr>
    </w:tbl>
    <w:p w14:paraId="7BA74D6A" w14:textId="0BF82CD1" w:rsidR="00593BF0" w:rsidRPr="00E00E21" w:rsidRDefault="00593BF0" w:rsidP="00480FB1">
      <w:pPr>
        <w:tabs>
          <w:tab w:val="left" w:pos="540"/>
          <w:tab w:val="left" w:pos="569"/>
        </w:tabs>
        <w:rPr>
          <w:sz w:val="22"/>
          <w:szCs w:val="22"/>
          <w:lang w:val="sr-Latn-RS"/>
        </w:rPr>
      </w:pPr>
      <w:r w:rsidRPr="00E00E21">
        <w:rPr>
          <w:sz w:val="22"/>
          <w:szCs w:val="22"/>
          <w:vertAlign w:val="superscript"/>
          <w:lang w:val="sr-Latn-RS"/>
        </w:rPr>
        <w:t>1</w:t>
      </w:r>
      <w:r w:rsidRPr="00E00E21">
        <w:rPr>
          <w:sz w:val="22"/>
          <w:szCs w:val="22"/>
          <w:lang w:val="sr-Latn-RS"/>
        </w:rPr>
        <w:t xml:space="preserve"> HR procijenjen pomoću Cox modela; hazard ratio manji od</w:t>
      </w:r>
      <w:r w:rsidR="0092401F" w:rsidRPr="00E00E21">
        <w:rPr>
          <w:sz w:val="22"/>
          <w:szCs w:val="22"/>
          <w:lang w:val="sr-Latn-RS"/>
        </w:rPr>
        <w:t xml:space="preserve"> </w:t>
      </w:r>
      <w:r w:rsidRPr="00E00E21">
        <w:rPr>
          <w:sz w:val="22"/>
          <w:szCs w:val="22"/>
          <w:lang w:val="sr-Latn-RS"/>
        </w:rPr>
        <w:t>1 ukazuje na prednost kabazitaksela</w:t>
      </w:r>
    </w:p>
    <w:p w14:paraId="5C51E53A" w14:textId="77777777" w:rsidR="00593BF0" w:rsidRPr="00E00E21" w:rsidRDefault="00593BF0" w:rsidP="00480FB1">
      <w:pPr>
        <w:tabs>
          <w:tab w:val="left" w:pos="540"/>
          <w:tab w:val="left" w:pos="569"/>
        </w:tabs>
        <w:rPr>
          <w:sz w:val="22"/>
          <w:szCs w:val="22"/>
          <w:lang w:val="sr-Latn-RS"/>
        </w:rPr>
      </w:pPr>
    </w:p>
    <w:p w14:paraId="06F8FBD0" w14:textId="77777777" w:rsidR="00AA188A" w:rsidRPr="00E00E21" w:rsidRDefault="00AA188A" w:rsidP="00480FB1">
      <w:pPr>
        <w:tabs>
          <w:tab w:val="left" w:pos="540"/>
          <w:tab w:val="left" w:pos="569"/>
        </w:tabs>
        <w:rPr>
          <w:sz w:val="22"/>
          <w:szCs w:val="22"/>
          <w:lang w:val="sr-Latn-RS"/>
        </w:rPr>
      </w:pPr>
    </w:p>
    <w:p w14:paraId="4CD3B684" w14:textId="5A298C52" w:rsidR="00593BF0" w:rsidRPr="00E00E21" w:rsidRDefault="00593BF0" w:rsidP="00480FB1">
      <w:pPr>
        <w:tabs>
          <w:tab w:val="left" w:pos="540"/>
          <w:tab w:val="left" w:pos="569"/>
        </w:tabs>
        <w:rPr>
          <w:sz w:val="22"/>
          <w:szCs w:val="22"/>
          <w:lang w:val="sr-Latn-RS"/>
        </w:rPr>
      </w:pPr>
      <w:r w:rsidRPr="00E00E21">
        <w:rPr>
          <w:sz w:val="22"/>
          <w:szCs w:val="22"/>
          <w:lang w:val="sr-Latn-RS"/>
        </w:rPr>
        <w:t>Slika 1: Kaplan Meier-ova kriva ukupnog preživljenja (EFC6193)</w:t>
      </w:r>
      <w:r w:rsidRPr="00E00E21">
        <w:rPr>
          <w:sz w:val="22"/>
          <w:szCs w:val="22"/>
          <w:lang w:val="sr-Latn-RS"/>
        </w:rPr>
        <w:cr/>
      </w:r>
    </w:p>
    <w:p w14:paraId="710DB4A0" w14:textId="77777777" w:rsidR="00593BF0" w:rsidRPr="00E00E21" w:rsidRDefault="00593BF0" w:rsidP="00480FB1">
      <w:pPr>
        <w:tabs>
          <w:tab w:val="left" w:pos="540"/>
          <w:tab w:val="left" w:pos="569"/>
        </w:tabs>
        <w:rPr>
          <w:b/>
          <w:bCs/>
          <w:sz w:val="22"/>
          <w:szCs w:val="22"/>
          <w:lang w:val="sr-Latn-RS"/>
        </w:rPr>
      </w:pPr>
      <w:r w:rsidRPr="00E00E21">
        <w:rPr>
          <w:noProof/>
          <w:sz w:val="22"/>
          <w:szCs w:val="22"/>
        </w:rPr>
        <w:drawing>
          <wp:inline distT="0" distB="0" distL="0" distR="0" wp14:anchorId="4A238731" wp14:editId="50064BED">
            <wp:extent cx="5760720" cy="417385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173855"/>
                    </a:xfrm>
                    <a:prstGeom prst="rect">
                      <a:avLst/>
                    </a:prstGeom>
                  </pic:spPr>
                </pic:pic>
              </a:graphicData>
            </a:graphic>
          </wp:inline>
        </w:drawing>
      </w:r>
    </w:p>
    <w:p w14:paraId="35D753B0" w14:textId="77777777" w:rsidR="00593BF0" w:rsidRPr="00E00E21" w:rsidRDefault="00593BF0" w:rsidP="00480FB1">
      <w:pPr>
        <w:tabs>
          <w:tab w:val="left" w:pos="540"/>
          <w:tab w:val="left" w:pos="569"/>
        </w:tabs>
        <w:rPr>
          <w:b/>
          <w:bCs/>
          <w:sz w:val="22"/>
          <w:szCs w:val="22"/>
          <w:lang w:val="sr-Latn-RS"/>
        </w:rPr>
      </w:pPr>
    </w:p>
    <w:p w14:paraId="20B260A1" w14:textId="77777777" w:rsidR="00593BF0" w:rsidRPr="00E00E21" w:rsidRDefault="00593BF0" w:rsidP="00480FB1">
      <w:pPr>
        <w:tabs>
          <w:tab w:val="left" w:pos="540"/>
          <w:tab w:val="left" w:pos="569"/>
        </w:tabs>
        <w:rPr>
          <w:b/>
          <w:bCs/>
          <w:sz w:val="22"/>
          <w:szCs w:val="22"/>
          <w:lang w:val="sr-Latn-RS"/>
        </w:rPr>
      </w:pPr>
    </w:p>
    <w:p w14:paraId="7631C438" w14:textId="77777777" w:rsidR="00593BF0" w:rsidRPr="00E00E21" w:rsidRDefault="00593BF0" w:rsidP="00480FB1">
      <w:pPr>
        <w:tabs>
          <w:tab w:val="left" w:pos="540"/>
          <w:tab w:val="left" w:pos="569"/>
        </w:tabs>
        <w:rPr>
          <w:b/>
          <w:bCs/>
          <w:sz w:val="22"/>
          <w:szCs w:val="22"/>
          <w:lang w:val="sr-Latn-RS"/>
        </w:rPr>
      </w:pPr>
    </w:p>
    <w:p w14:paraId="2E06935F" w14:textId="3328D388" w:rsidR="00593BF0" w:rsidRPr="00E00E21" w:rsidRDefault="00593BF0" w:rsidP="00370E1E">
      <w:pPr>
        <w:tabs>
          <w:tab w:val="left" w:pos="540"/>
          <w:tab w:val="left" w:pos="569"/>
        </w:tabs>
        <w:jc w:val="both"/>
        <w:rPr>
          <w:bCs/>
          <w:sz w:val="22"/>
          <w:szCs w:val="22"/>
          <w:lang w:val="sr-Latn-RS"/>
        </w:rPr>
      </w:pPr>
      <w:r w:rsidRPr="00E00E21">
        <w:rPr>
          <w:bCs/>
          <w:sz w:val="22"/>
          <w:szCs w:val="22"/>
          <w:lang w:val="sr-Latn-RS"/>
        </w:rPr>
        <w:t xml:space="preserve">U grupi koja je primala </w:t>
      </w:r>
      <w:r w:rsidR="00AF3070" w:rsidRPr="00E00E21">
        <w:rPr>
          <w:bCs/>
          <w:sz w:val="22"/>
          <w:szCs w:val="22"/>
          <w:lang w:val="sr-Latn-RS"/>
        </w:rPr>
        <w:t>k</w:t>
      </w:r>
      <w:r w:rsidR="00F946DA" w:rsidRPr="00E00E21">
        <w:rPr>
          <w:bCs/>
          <w:sz w:val="22"/>
          <w:szCs w:val="22"/>
          <w:lang w:val="sr-Latn-RS"/>
        </w:rPr>
        <w:t xml:space="preserve">abazitaksel </w:t>
      </w:r>
      <w:r w:rsidRPr="00E00E21">
        <w:rPr>
          <w:bCs/>
          <w:sz w:val="22"/>
          <w:szCs w:val="22"/>
          <w:lang w:val="sr-Latn-RS"/>
        </w:rPr>
        <w:t xml:space="preserve">u odnosu na grupu koja je primala mitoksantron </w:t>
      </w:r>
      <w:r w:rsidR="00AF3070" w:rsidRPr="00E00E21">
        <w:rPr>
          <w:bCs/>
          <w:sz w:val="22"/>
          <w:szCs w:val="22"/>
          <w:lang w:val="sr-Latn-RS"/>
        </w:rPr>
        <w:t>zabilježeno</w:t>
      </w:r>
      <w:r w:rsidRPr="00E00E21">
        <w:rPr>
          <w:bCs/>
          <w:sz w:val="22"/>
          <w:szCs w:val="22"/>
          <w:lang w:val="sr-Latn-RS"/>
        </w:rPr>
        <w:t xml:space="preserve"> je</w:t>
      </w:r>
      <w:r w:rsidR="002803F5" w:rsidRPr="00E00E21">
        <w:rPr>
          <w:bCs/>
          <w:sz w:val="22"/>
          <w:szCs w:val="22"/>
          <w:lang w:val="sr-Latn-RS"/>
        </w:rPr>
        <w:t xml:space="preserve"> </w:t>
      </w:r>
      <w:r w:rsidRPr="00E00E21">
        <w:rPr>
          <w:bCs/>
          <w:sz w:val="22"/>
          <w:szCs w:val="22"/>
          <w:lang w:val="sr-Latn-RS"/>
        </w:rPr>
        <w:t xml:space="preserve">poboljšanje u preživljavanju bez progresije bolesti (PFS) i to 2,8 (2,4-3,0) </w:t>
      </w:r>
      <w:r w:rsidR="00AF3070" w:rsidRPr="00E00E21">
        <w:rPr>
          <w:bCs/>
          <w:sz w:val="22"/>
          <w:szCs w:val="22"/>
          <w:lang w:val="sr-Latn-RS"/>
        </w:rPr>
        <w:t>mjeseci</w:t>
      </w:r>
      <w:r w:rsidRPr="00E00E21">
        <w:rPr>
          <w:bCs/>
          <w:sz w:val="22"/>
          <w:szCs w:val="22"/>
          <w:lang w:val="sr-Latn-RS"/>
        </w:rPr>
        <w:t xml:space="preserve"> prema 1,4 (1,4-1,7)</w:t>
      </w:r>
      <w:r w:rsidR="002803F5" w:rsidRPr="00E00E21">
        <w:rPr>
          <w:bCs/>
          <w:sz w:val="22"/>
          <w:szCs w:val="22"/>
          <w:lang w:val="sr-Latn-RS"/>
        </w:rPr>
        <w:t xml:space="preserve"> </w:t>
      </w:r>
      <w:r w:rsidR="00AF3070" w:rsidRPr="00E00E21">
        <w:rPr>
          <w:bCs/>
          <w:sz w:val="22"/>
          <w:szCs w:val="22"/>
          <w:lang w:val="sr-Latn-RS"/>
        </w:rPr>
        <w:t>mjeseci</w:t>
      </w:r>
      <w:r w:rsidRPr="00E00E21">
        <w:rPr>
          <w:bCs/>
          <w:sz w:val="22"/>
          <w:szCs w:val="22"/>
          <w:lang w:val="sr-Latn-RS"/>
        </w:rPr>
        <w:t>, HR (95%CI) 0,74 (0,64-0,86), p&lt;0,0001.</w:t>
      </w:r>
    </w:p>
    <w:p w14:paraId="660DCF36" w14:textId="77777777" w:rsidR="002803F5" w:rsidRPr="00E00E21" w:rsidRDefault="002803F5" w:rsidP="00370E1E">
      <w:pPr>
        <w:tabs>
          <w:tab w:val="left" w:pos="540"/>
          <w:tab w:val="left" w:pos="569"/>
        </w:tabs>
        <w:jc w:val="both"/>
        <w:rPr>
          <w:bCs/>
          <w:sz w:val="22"/>
          <w:szCs w:val="22"/>
          <w:lang w:val="sr-Latn-RS"/>
        </w:rPr>
      </w:pPr>
    </w:p>
    <w:p w14:paraId="45C45C53" w14:textId="39529606" w:rsidR="002803F5" w:rsidRPr="00E00E21" w:rsidRDefault="00AF3070" w:rsidP="009B6A1F">
      <w:pPr>
        <w:tabs>
          <w:tab w:val="left" w:pos="540"/>
          <w:tab w:val="left" w:pos="569"/>
        </w:tabs>
        <w:jc w:val="both"/>
        <w:rPr>
          <w:bCs/>
          <w:sz w:val="22"/>
          <w:szCs w:val="22"/>
          <w:lang w:val="sr-Latn-RS"/>
        </w:rPr>
      </w:pPr>
      <w:r w:rsidRPr="00E00E21">
        <w:rPr>
          <w:bCs/>
          <w:sz w:val="22"/>
          <w:szCs w:val="22"/>
          <w:lang w:val="sr-Latn-RS"/>
        </w:rPr>
        <w:t>Zabi</w:t>
      </w:r>
      <w:r w:rsidR="00593BF0" w:rsidRPr="00E00E21">
        <w:rPr>
          <w:bCs/>
          <w:sz w:val="22"/>
          <w:szCs w:val="22"/>
          <w:lang w:val="sr-Latn-RS"/>
        </w:rPr>
        <w:t>l</w:t>
      </w:r>
      <w:r w:rsidRPr="00E00E21">
        <w:rPr>
          <w:bCs/>
          <w:sz w:val="22"/>
          <w:szCs w:val="22"/>
          <w:lang w:val="sr-Latn-RS"/>
        </w:rPr>
        <w:t>j</w:t>
      </w:r>
      <w:r w:rsidR="00593BF0" w:rsidRPr="00E00E21">
        <w:rPr>
          <w:bCs/>
          <w:sz w:val="22"/>
          <w:szCs w:val="22"/>
          <w:lang w:val="sr-Latn-RS"/>
        </w:rPr>
        <w:t xml:space="preserve">ežen je značajno viši nivo odgovora na tumorsku terapiju, 14,4% (95%CI: 9,6-19,3) kod pacijenata u </w:t>
      </w:r>
      <w:r w:rsidRPr="00E00E21">
        <w:rPr>
          <w:bCs/>
          <w:sz w:val="22"/>
          <w:szCs w:val="22"/>
          <w:lang w:val="sr-Latn-RS"/>
        </w:rPr>
        <w:t>k</w:t>
      </w:r>
      <w:r w:rsidR="00F946DA" w:rsidRPr="00E00E21">
        <w:rPr>
          <w:bCs/>
          <w:sz w:val="22"/>
          <w:szCs w:val="22"/>
          <w:lang w:val="sr-Latn-RS"/>
        </w:rPr>
        <w:t xml:space="preserve">abazitaksel </w:t>
      </w:r>
      <w:r w:rsidR="00593BF0" w:rsidRPr="00E00E21">
        <w:rPr>
          <w:bCs/>
          <w:sz w:val="22"/>
          <w:szCs w:val="22"/>
          <w:lang w:val="sr-Latn-RS"/>
        </w:rPr>
        <w:t>grupi, u odnosu na 4,4% (95%</w:t>
      </w:r>
      <w:r w:rsidR="002803F5" w:rsidRPr="00E00E21">
        <w:rPr>
          <w:bCs/>
          <w:sz w:val="22"/>
          <w:szCs w:val="22"/>
          <w:lang w:val="sr-Latn-RS"/>
        </w:rPr>
        <w:t xml:space="preserve"> </w:t>
      </w:r>
      <w:r w:rsidR="00593BF0" w:rsidRPr="00E00E21">
        <w:rPr>
          <w:bCs/>
          <w:sz w:val="22"/>
          <w:szCs w:val="22"/>
          <w:lang w:val="sr-Latn-RS"/>
        </w:rPr>
        <w:t>CI: 1,6-7,2) za pacijente u mitoksantron grupi, p=0,0005.</w:t>
      </w:r>
    </w:p>
    <w:p w14:paraId="4D50752F" w14:textId="2A8EDD16" w:rsidR="00593BF0" w:rsidRPr="00E00E21" w:rsidRDefault="00593BF0" w:rsidP="009B6A1F">
      <w:pPr>
        <w:tabs>
          <w:tab w:val="left" w:pos="540"/>
          <w:tab w:val="left" w:pos="569"/>
        </w:tabs>
        <w:jc w:val="both"/>
        <w:rPr>
          <w:bCs/>
          <w:sz w:val="22"/>
          <w:szCs w:val="22"/>
          <w:lang w:val="sr-Latn-RS"/>
        </w:rPr>
      </w:pPr>
      <w:r w:rsidRPr="00E00E21">
        <w:rPr>
          <w:bCs/>
          <w:sz w:val="22"/>
          <w:szCs w:val="22"/>
          <w:lang w:val="sr-Latn-RS"/>
        </w:rPr>
        <w:t xml:space="preserve"> </w:t>
      </w:r>
    </w:p>
    <w:p w14:paraId="22AC6577" w14:textId="77777777" w:rsidR="00593BF0" w:rsidRPr="00E00E21" w:rsidRDefault="00593BF0" w:rsidP="002803F5">
      <w:pPr>
        <w:tabs>
          <w:tab w:val="left" w:pos="540"/>
          <w:tab w:val="left" w:pos="569"/>
        </w:tabs>
        <w:jc w:val="both"/>
        <w:rPr>
          <w:bCs/>
          <w:sz w:val="22"/>
          <w:szCs w:val="22"/>
          <w:lang w:val="sr-Latn-RS"/>
        </w:rPr>
      </w:pPr>
      <w:r w:rsidRPr="00E00E21">
        <w:rPr>
          <w:bCs/>
          <w:sz w:val="22"/>
          <w:szCs w:val="22"/>
          <w:lang w:val="sr-Latn-RS"/>
        </w:rPr>
        <w:t xml:space="preserve">Sekundarni PSA ishodi bili su pozitivni u grupi koja je primala </w:t>
      </w:r>
      <w:r w:rsidR="00AF3070" w:rsidRPr="00E00E21">
        <w:rPr>
          <w:bCs/>
          <w:sz w:val="22"/>
          <w:szCs w:val="22"/>
          <w:lang w:val="sr-Latn-RS"/>
        </w:rPr>
        <w:t>k</w:t>
      </w:r>
      <w:r w:rsidR="00F946DA" w:rsidRPr="00E00E21">
        <w:rPr>
          <w:bCs/>
          <w:sz w:val="22"/>
          <w:szCs w:val="22"/>
          <w:lang w:val="sr-Latn-RS"/>
        </w:rPr>
        <w:t>abazitaksel</w:t>
      </w:r>
      <w:r w:rsidRPr="00E00E21">
        <w:rPr>
          <w:bCs/>
          <w:sz w:val="22"/>
          <w:szCs w:val="22"/>
          <w:lang w:val="sr-Latn-RS"/>
        </w:rPr>
        <w:t xml:space="preserve">. Medijana progresije PSA </w:t>
      </w:r>
    </w:p>
    <w:p w14:paraId="4ABD5475" w14:textId="7ED05A83" w:rsidR="00593BF0" w:rsidRPr="00E00E21" w:rsidRDefault="00593BF0" w:rsidP="002803F5">
      <w:pPr>
        <w:tabs>
          <w:tab w:val="left" w:pos="540"/>
          <w:tab w:val="left" w:pos="569"/>
        </w:tabs>
        <w:jc w:val="both"/>
        <w:rPr>
          <w:bCs/>
          <w:sz w:val="22"/>
          <w:szCs w:val="22"/>
          <w:lang w:val="sr-Latn-RS"/>
        </w:rPr>
      </w:pPr>
      <w:r w:rsidRPr="00E00E21">
        <w:rPr>
          <w:bCs/>
          <w:sz w:val="22"/>
          <w:szCs w:val="22"/>
          <w:lang w:val="sr-Latn-RS"/>
        </w:rPr>
        <w:t xml:space="preserve">iznosila je 6,4 </w:t>
      </w:r>
      <w:r w:rsidR="00AF3070" w:rsidRPr="00E00E21">
        <w:rPr>
          <w:bCs/>
          <w:sz w:val="22"/>
          <w:szCs w:val="22"/>
          <w:lang w:val="sr-Latn-RS"/>
        </w:rPr>
        <w:t>mjeseci</w:t>
      </w:r>
      <w:r w:rsidRPr="00E00E21">
        <w:rPr>
          <w:bCs/>
          <w:sz w:val="22"/>
          <w:szCs w:val="22"/>
          <w:lang w:val="sr-Latn-RS"/>
        </w:rPr>
        <w:t xml:space="preserve"> (95%</w:t>
      </w:r>
      <w:r w:rsidR="002803F5" w:rsidRPr="00E00E21">
        <w:rPr>
          <w:bCs/>
          <w:sz w:val="22"/>
          <w:szCs w:val="22"/>
          <w:lang w:val="sr-Latn-RS"/>
        </w:rPr>
        <w:t xml:space="preserve"> </w:t>
      </w:r>
      <w:r w:rsidRPr="00E00E21">
        <w:rPr>
          <w:bCs/>
          <w:sz w:val="22"/>
          <w:szCs w:val="22"/>
          <w:lang w:val="sr-Latn-RS"/>
        </w:rPr>
        <w:t xml:space="preserve">CI: 5,1-7,3) za pacijente u </w:t>
      </w:r>
      <w:r w:rsidR="00AF3070" w:rsidRPr="00E00E21">
        <w:rPr>
          <w:bCs/>
          <w:sz w:val="22"/>
          <w:szCs w:val="22"/>
          <w:lang w:val="sr-Latn-RS"/>
        </w:rPr>
        <w:t>k</w:t>
      </w:r>
      <w:r w:rsidR="00F946DA" w:rsidRPr="00E00E21">
        <w:rPr>
          <w:bCs/>
          <w:sz w:val="22"/>
          <w:szCs w:val="22"/>
          <w:lang w:val="sr-Latn-RS"/>
        </w:rPr>
        <w:t xml:space="preserve">abazitaksel </w:t>
      </w:r>
      <w:r w:rsidRPr="00E00E21">
        <w:rPr>
          <w:bCs/>
          <w:sz w:val="22"/>
          <w:szCs w:val="22"/>
          <w:lang w:val="sr-Latn-RS"/>
        </w:rPr>
        <w:t>grupi, u poređenju sa 3,1 m</w:t>
      </w:r>
      <w:r w:rsidR="002803F5" w:rsidRPr="00E00E21">
        <w:rPr>
          <w:bCs/>
          <w:sz w:val="22"/>
          <w:szCs w:val="22"/>
          <w:lang w:val="sr-Latn-RS"/>
        </w:rPr>
        <w:t>j</w:t>
      </w:r>
      <w:r w:rsidRPr="00E00E21">
        <w:rPr>
          <w:bCs/>
          <w:sz w:val="22"/>
          <w:szCs w:val="22"/>
          <w:lang w:val="sr-Latn-RS"/>
        </w:rPr>
        <w:t xml:space="preserve">esecom (95%CI: 2,2-4,4) u mitoksantron grupi, HR 0,75 </w:t>
      </w:r>
      <w:r w:rsidR="00AF3070" w:rsidRPr="00E00E21">
        <w:rPr>
          <w:bCs/>
          <w:sz w:val="22"/>
          <w:szCs w:val="22"/>
          <w:lang w:val="sr-Latn-RS"/>
        </w:rPr>
        <w:t>mjeseci</w:t>
      </w:r>
      <w:r w:rsidRPr="00E00E21">
        <w:rPr>
          <w:bCs/>
          <w:sz w:val="22"/>
          <w:szCs w:val="22"/>
          <w:lang w:val="sr-Latn-RS"/>
        </w:rPr>
        <w:t xml:space="preserve"> (95%CI: 0,63-0,90), p=0,0010. Terapijski odgovor u pogledu nivoa PSA iznosio je 39,2% kod pacijenata na </w:t>
      </w:r>
      <w:r w:rsidR="00AF3070" w:rsidRPr="00E00E21">
        <w:rPr>
          <w:bCs/>
          <w:sz w:val="22"/>
          <w:szCs w:val="22"/>
          <w:lang w:val="sr-Latn-RS"/>
        </w:rPr>
        <w:t>kabazitakselu</w:t>
      </w:r>
      <w:r w:rsidRPr="00E00E21">
        <w:rPr>
          <w:bCs/>
          <w:sz w:val="22"/>
          <w:szCs w:val="22"/>
          <w:lang w:val="sr-Latn-RS"/>
        </w:rPr>
        <w:t xml:space="preserve"> (95%</w:t>
      </w:r>
      <w:r w:rsidR="002803F5" w:rsidRPr="00E00E21">
        <w:rPr>
          <w:bCs/>
          <w:sz w:val="22"/>
          <w:szCs w:val="22"/>
          <w:lang w:val="sr-Latn-RS"/>
        </w:rPr>
        <w:t xml:space="preserve"> </w:t>
      </w:r>
      <w:r w:rsidRPr="00E00E21">
        <w:rPr>
          <w:bCs/>
          <w:sz w:val="22"/>
          <w:szCs w:val="22"/>
          <w:lang w:val="sr-Latn-RS"/>
        </w:rPr>
        <w:t xml:space="preserve">CI: 33,9-44,5) prema 17,8% kod pacijenata na mitoksantronu (95% CI: 13,7-22,0), p=0,0002. </w:t>
      </w:r>
    </w:p>
    <w:p w14:paraId="4CDC7A37" w14:textId="77777777" w:rsidR="002803F5" w:rsidRPr="00E00E21" w:rsidRDefault="002803F5">
      <w:pPr>
        <w:tabs>
          <w:tab w:val="left" w:pos="540"/>
          <w:tab w:val="left" w:pos="569"/>
        </w:tabs>
        <w:jc w:val="both"/>
        <w:rPr>
          <w:bCs/>
          <w:sz w:val="22"/>
          <w:szCs w:val="22"/>
          <w:lang w:val="sr-Latn-RS"/>
        </w:rPr>
      </w:pPr>
    </w:p>
    <w:p w14:paraId="173E27F5" w14:textId="71BF78DE" w:rsidR="00593BF0" w:rsidRPr="00E00E21" w:rsidRDefault="00593BF0">
      <w:pPr>
        <w:tabs>
          <w:tab w:val="left" w:pos="540"/>
          <w:tab w:val="left" w:pos="569"/>
        </w:tabs>
        <w:jc w:val="both"/>
        <w:rPr>
          <w:bCs/>
          <w:sz w:val="22"/>
          <w:szCs w:val="22"/>
          <w:lang w:val="sr-Latn-RS"/>
        </w:rPr>
      </w:pPr>
      <w:r w:rsidRPr="00E00E21">
        <w:rPr>
          <w:bCs/>
          <w:sz w:val="22"/>
          <w:szCs w:val="22"/>
          <w:lang w:val="sr-Latn-RS"/>
        </w:rPr>
        <w:lastRenderedPageBreak/>
        <w:t xml:space="preserve">Među </w:t>
      </w:r>
      <w:r w:rsidR="00F946DA" w:rsidRPr="00E00E21">
        <w:rPr>
          <w:bCs/>
          <w:sz w:val="22"/>
          <w:szCs w:val="22"/>
          <w:lang w:val="sr-Latn-RS"/>
        </w:rPr>
        <w:t>liječe</w:t>
      </w:r>
      <w:r w:rsidRPr="00E00E21">
        <w:rPr>
          <w:bCs/>
          <w:sz w:val="22"/>
          <w:szCs w:val="22"/>
          <w:lang w:val="sr-Latn-RS"/>
        </w:rPr>
        <w:t>nim grupama pacijenata ni</w:t>
      </w:r>
      <w:r w:rsidR="002803F5" w:rsidRPr="00E00E21">
        <w:rPr>
          <w:bCs/>
          <w:sz w:val="22"/>
          <w:szCs w:val="22"/>
          <w:lang w:val="sr-Latn-RS"/>
        </w:rPr>
        <w:t>je</w:t>
      </w:r>
      <w:r w:rsidRPr="00E00E21">
        <w:rPr>
          <w:bCs/>
          <w:sz w:val="22"/>
          <w:szCs w:val="22"/>
          <w:lang w:val="sr-Latn-RS"/>
        </w:rPr>
        <w:t xml:space="preserve">su </w:t>
      </w:r>
      <w:r w:rsidR="00AF3070" w:rsidRPr="00E00E21">
        <w:rPr>
          <w:bCs/>
          <w:sz w:val="22"/>
          <w:szCs w:val="22"/>
          <w:lang w:val="sr-Latn-RS"/>
        </w:rPr>
        <w:t>zabilježene</w:t>
      </w:r>
      <w:r w:rsidRPr="00E00E21">
        <w:rPr>
          <w:bCs/>
          <w:sz w:val="22"/>
          <w:szCs w:val="22"/>
          <w:lang w:val="sr-Latn-RS"/>
        </w:rPr>
        <w:t xml:space="preserve"> statističke razlike u progresiji bola i terapijskom</w:t>
      </w:r>
      <w:r w:rsidR="002803F5" w:rsidRPr="00E00E21">
        <w:rPr>
          <w:bCs/>
          <w:sz w:val="22"/>
          <w:szCs w:val="22"/>
          <w:lang w:val="sr-Latn-RS"/>
        </w:rPr>
        <w:t xml:space="preserve"> </w:t>
      </w:r>
      <w:r w:rsidRPr="00E00E21">
        <w:rPr>
          <w:bCs/>
          <w:sz w:val="22"/>
          <w:szCs w:val="22"/>
          <w:lang w:val="sr-Latn-RS"/>
        </w:rPr>
        <w:t>odgovoru na bol.</w:t>
      </w:r>
    </w:p>
    <w:p w14:paraId="018F1687" w14:textId="77777777" w:rsidR="002803F5" w:rsidRPr="00E00E21" w:rsidRDefault="002803F5">
      <w:pPr>
        <w:tabs>
          <w:tab w:val="left" w:pos="540"/>
          <w:tab w:val="left" w:pos="569"/>
        </w:tabs>
        <w:jc w:val="both"/>
        <w:rPr>
          <w:bCs/>
          <w:sz w:val="22"/>
          <w:szCs w:val="22"/>
          <w:lang w:val="sr-Latn-RS"/>
        </w:rPr>
      </w:pPr>
    </w:p>
    <w:p w14:paraId="468F9C86" w14:textId="52DD7504" w:rsidR="00593BF0" w:rsidRPr="00E00E21" w:rsidRDefault="00593BF0">
      <w:pPr>
        <w:tabs>
          <w:tab w:val="left" w:pos="540"/>
          <w:tab w:val="left" w:pos="569"/>
        </w:tabs>
        <w:jc w:val="both"/>
        <w:rPr>
          <w:bCs/>
          <w:sz w:val="22"/>
          <w:szCs w:val="22"/>
          <w:lang w:val="sr-Latn-RS"/>
        </w:rPr>
      </w:pPr>
      <w:r w:rsidRPr="00E00E21">
        <w:rPr>
          <w:bCs/>
          <w:sz w:val="22"/>
          <w:szCs w:val="22"/>
          <w:lang w:val="sr-Latn-RS"/>
        </w:rPr>
        <w:t>U neinferiornoj, multicentričnoj, multinacionalnoj, randomizovanoj, otvorenoj studiji faze III (EFC11785</w:t>
      </w:r>
      <w:r w:rsidR="002803F5" w:rsidRPr="00E00E21">
        <w:rPr>
          <w:bCs/>
          <w:sz w:val="22"/>
          <w:szCs w:val="22"/>
          <w:lang w:val="sr-Latn-RS"/>
        </w:rPr>
        <w:t xml:space="preserve"> </w:t>
      </w:r>
      <w:r w:rsidRPr="00E00E21">
        <w:rPr>
          <w:bCs/>
          <w:sz w:val="22"/>
          <w:szCs w:val="22"/>
          <w:lang w:val="sr-Latn-RS"/>
        </w:rPr>
        <w:t xml:space="preserve">studija), 1200 pacijenata sa metastatskim karcinomom prostate rezistentnim na kastraciju, koji su prethodno bili na režimu </w:t>
      </w:r>
      <w:r w:rsidR="00F946DA" w:rsidRPr="00E00E21">
        <w:rPr>
          <w:bCs/>
          <w:sz w:val="22"/>
          <w:szCs w:val="22"/>
          <w:lang w:val="sr-Latn-RS"/>
        </w:rPr>
        <w:t>liječe</w:t>
      </w:r>
      <w:r w:rsidRPr="00E00E21">
        <w:rPr>
          <w:bCs/>
          <w:sz w:val="22"/>
          <w:szCs w:val="22"/>
          <w:lang w:val="sr-Latn-RS"/>
        </w:rPr>
        <w:t>nja koji je uključivao docetaksel, dobijali su randomizovano kabazitaksel 25 mg/m</w:t>
      </w:r>
      <w:r w:rsidRPr="00E00E21">
        <w:rPr>
          <w:bCs/>
          <w:sz w:val="22"/>
          <w:szCs w:val="22"/>
          <w:vertAlign w:val="superscript"/>
          <w:lang w:val="sr-Latn-RS"/>
        </w:rPr>
        <w:t>2</w:t>
      </w:r>
      <w:r w:rsidR="00AF3070" w:rsidRPr="00E00E21">
        <w:rPr>
          <w:bCs/>
          <w:sz w:val="22"/>
          <w:szCs w:val="22"/>
          <w:lang w:val="sr-Latn-RS"/>
        </w:rPr>
        <w:t xml:space="preserve"> </w:t>
      </w:r>
      <w:r w:rsidRPr="00E00E21">
        <w:rPr>
          <w:bCs/>
          <w:sz w:val="22"/>
          <w:szCs w:val="22"/>
          <w:lang w:val="sr-Latn-RS"/>
        </w:rPr>
        <w:t>(n=602) ili 20 mg/m</w:t>
      </w:r>
      <w:r w:rsidRPr="00E00E21">
        <w:rPr>
          <w:bCs/>
          <w:sz w:val="22"/>
          <w:szCs w:val="22"/>
          <w:vertAlign w:val="superscript"/>
          <w:lang w:val="sr-Latn-RS"/>
        </w:rPr>
        <w:t>2</w:t>
      </w:r>
      <w:r w:rsidRPr="00E00E21">
        <w:rPr>
          <w:bCs/>
          <w:sz w:val="22"/>
          <w:szCs w:val="22"/>
          <w:lang w:val="sr-Latn-RS"/>
        </w:rPr>
        <w:t>(n=598).</w:t>
      </w:r>
      <w:r w:rsidR="002803F5" w:rsidRPr="00E00E21">
        <w:rPr>
          <w:bCs/>
          <w:sz w:val="22"/>
          <w:szCs w:val="22"/>
          <w:lang w:val="sr-Latn-RS"/>
        </w:rPr>
        <w:t xml:space="preserve"> </w:t>
      </w:r>
      <w:r w:rsidRPr="00E00E21">
        <w:rPr>
          <w:bCs/>
          <w:sz w:val="22"/>
          <w:szCs w:val="22"/>
          <w:lang w:val="sr-Latn-RS"/>
        </w:rPr>
        <w:t>Ukupno preživljavanje je bio primarni parametar praćenja efikasnosti studije.</w:t>
      </w:r>
    </w:p>
    <w:p w14:paraId="1B58FC20" w14:textId="77777777" w:rsidR="00F52F41" w:rsidRPr="00E00E21" w:rsidRDefault="00F52F41">
      <w:pPr>
        <w:tabs>
          <w:tab w:val="left" w:pos="540"/>
          <w:tab w:val="left" w:pos="569"/>
        </w:tabs>
        <w:jc w:val="both"/>
        <w:rPr>
          <w:bCs/>
          <w:sz w:val="22"/>
          <w:szCs w:val="22"/>
          <w:lang w:val="sr-Latn-RS"/>
        </w:rPr>
      </w:pPr>
    </w:p>
    <w:p w14:paraId="1229B211" w14:textId="55D2241E" w:rsidR="00593BF0" w:rsidRPr="00E00E21" w:rsidRDefault="00593BF0">
      <w:pPr>
        <w:tabs>
          <w:tab w:val="left" w:pos="540"/>
          <w:tab w:val="left" w:pos="569"/>
        </w:tabs>
        <w:jc w:val="both"/>
        <w:rPr>
          <w:bCs/>
          <w:sz w:val="22"/>
          <w:szCs w:val="22"/>
          <w:lang w:val="sr-Latn-RS"/>
        </w:rPr>
      </w:pPr>
      <w:r w:rsidRPr="00E00E21">
        <w:rPr>
          <w:bCs/>
          <w:sz w:val="22"/>
          <w:szCs w:val="22"/>
          <w:lang w:val="sr-Latn-RS"/>
        </w:rPr>
        <w:t>U studiji je ispunjen primarni cilj, da se dokaže neinferiornost kabazitaksela 20 mg/m</w:t>
      </w:r>
      <w:r w:rsidRPr="00E00E21">
        <w:rPr>
          <w:bCs/>
          <w:sz w:val="22"/>
          <w:szCs w:val="22"/>
          <w:vertAlign w:val="superscript"/>
          <w:lang w:val="sr-Latn-RS"/>
        </w:rPr>
        <w:t>2</w:t>
      </w:r>
      <w:r w:rsidR="00356EDC" w:rsidRPr="00E00E21">
        <w:rPr>
          <w:bCs/>
          <w:sz w:val="22"/>
          <w:szCs w:val="22"/>
          <w:lang w:val="sr-Latn-RS"/>
        </w:rPr>
        <w:t xml:space="preserve"> </w:t>
      </w:r>
      <w:r w:rsidRPr="00E00E21">
        <w:rPr>
          <w:bCs/>
          <w:sz w:val="22"/>
          <w:szCs w:val="22"/>
          <w:lang w:val="sr-Latn-RS"/>
        </w:rPr>
        <w:t>u poređenju sa 25</w:t>
      </w:r>
      <w:r w:rsidR="002803F5" w:rsidRPr="00E00E21">
        <w:rPr>
          <w:bCs/>
          <w:sz w:val="22"/>
          <w:szCs w:val="22"/>
          <w:lang w:val="sr-Latn-RS"/>
        </w:rPr>
        <w:t xml:space="preserve"> </w:t>
      </w:r>
      <w:r w:rsidRPr="00E00E21">
        <w:rPr>
          <w:bCs/>
          <w:sz w:val="22"/>
          <w:szCs w:val="22"/>
          <w:lang w:val="sr-Latn-RS"/>
        </w:rPr>
        <w:t>mg/m</w:t>
      </w:r>
      <w:r w:rsidRPr="00E00E21">
        <w:rPr>
          <w:bCs/>
          <w:sz w:val="22"/>
          <w:szCs w:val="22"/>
          <w:vertAlign w:val="superscript"/>
          <w:lang w:val="sr-Latn-RS"/>
        </w:rPr>
        <w:t>2</w:t>
      </w:r>
      <w:r w:rsidRPr="00E00E21">
        <w:rPr>
          <w:bCs/>
          <w:sz w:val="22"/>
          <w:szCs w:val="22"/>
          <w:lang w:val="sr-Latn-RS"/>
        </w:rPr>
        <w:t>(</w:t>
      </w:r>
      <w:r w:rsidR="009F2C36" w:rsidRPr="00E00E21">
        <w:rPr>
          <w:bCs/>
          <w:sz w:val="22"/>
          <w:szCs w:val="22"/>
          <w:lang w:val="sr-Latn-RS"/>
        </w:rPr>
        <w:t>vidjeti</w:t>
      </w:r>
      <w:r w:rsidRPr="00E00E21">
        <w:rPr>
          <w:bCs/>
          <w:sz w:val="22"/>
          <w:szCs w:val="22"/>
          <w:lang w:val="sr-Latn-RS"/>
        </w:rPr>
        <w:t xml:space="preserve"> tabelu 4).</w:t>
      </w:r>
      <w:r w:rsidR="00356EDC" w:rsidRPr="00E00E21">
        <w:rPr>
          <w:bCs/>
          <w:sz w:val="22"/>
          <w:szCs w:val="22"/>
          <w:lang w:val="sr-Latn-RS"/>
        </w:rPr>
        <w:t xml:space="preserve"> </w:t>
      </w:r>
      <w:r w:rsidRPr="00E00E21">
        <w:rPr>
          <w:bCs/>
          <w:sz w:val="22"/>
          <w:szCs w:val="22"/>
          <w:lang w:val="sr-Latn-RS"/>
        </w:rPr>
        <w:t>Statistički značajno veći procenat (p</w:t>
      </w:r>
      <w:r w:rsidR="002803F5" w:rsidRPr="00E00E21">
        <w:rPr>
          <w:bCs/>
          <w:sz w:val="22"/>
          <w:szCs w:val="22"/>
          <w:lang w:val="sr-Latn-RS"/>
        </w:rPr>
        <w:t xml:space="preserve"> </w:t>
      </w:r>
      <w:r w:rsidRPr="00E00E21">
        <w:rPr>
          <w:bCs/>
          <w:sz w:val="22"/>
          <w:szCs w:val="22"/>
          <w:lang w:val="sr-Latn-RS"/>
        </w:rPr>
        <w:t>&lt;</w:t>
      </w:r>
      <w:r w:rsidR="002803F5" w:rsidRPr="00E00E21">
        <w:rPr>
          <w:bCs/>
          <w:sz w:val="22"/>
          <w:szCs w:val="22"/>
          <w:lang w:val="sr-Latn-RS"/>
        </w:rPr>
        <w:t xml:space="preserve"> </w:t>
      </w:r>
      <w:r w:rsidRPr="00E00E21">
        <w:rPr>
          <w:bCs/>
          <w:sz w:val="22"/>
          <w:szCs w:val="22"/>
          <w:lang w:val="sr-Latn-RS"/>
        </w:rPr>
        <w:t>0,001) pacijenata je pokazao PSA odgovor u grupi koja je dobijala 25 mg/m</w:t>
      </w:r>
      <w:r w:rsidRPr="00E00E21">
        <w:rPr>
          <w:bCs/>
          <w:sz w:val="22"/>
          <w:szCs w:val="22"/>
          <w:vertAlign w:val="superscript"/>
          <w:lang w:val="sr-Latn-RS"/>
        </w:rPr>
        <w:t>2</w:t>
      </w:r>
      <w:r w:rsidR="00356EDC" w:rsidRPr="00E00E21">
        <w:rPr>
          <w:bCs/>
          <w:sz w:val="22"/>
          <w:szCs w:val="22"/>
          <w:lang w:val="sr-Latn-RS"/>
        </w:rPr>
        <w:t xml:space="preserve"> </w:t>
      </w:r>
      <w:r w:rsidRPr="00E00E21">
        <w:rPr>
          <w:bCs/>
          <w:sz w:val="22"/>
          <w:szCs w:val="22"/>
          <w:lang w:val="sr-Latn-RS"/>
        </w:rPr>
        <w:t>(42,9%) u poređenju sa grupom koja je dobijala 20 mg/m</w:t>
      </w:r>
      <w:r w:rsidRPr="00E00E21">
        <w:rPr>
          <w:bCs/>
          <w:sz w:val="22"/>
          <w:szCs w:val="22"/>
          <w:vertAlign w:val="superscript"/>
          <w:lang w:val="sr-Latn-RS"/>
        </w:rPr>
        <w:t>2</w:t>
      </w:r>
      <w:r w:rsidR="002803F5" w:rsidRPr="00E00E21">
        <w:rPr>
          <w:bCs/>
          <w:sz w:val="22"/>
          <w:szCs w:val="22"/>
          <w:vertAlign w:val="superscript"/>
          <w:lang w:val="sr-Latn-RS"/>
        </w:rPr>
        <w:t xml:space="preserve"> </w:t>
      </w:r>
      <w:r w:rsidRPr="00E00E21">
        <w:rPr>
          <w:bCs/>
          <w:sz w:val="22"/>
          <w:szCs w:val="22"/>
          <w:lang w:val="sr-Latn-RS"/>
        </w:rPr>
        <w:t>(29,5%).</w:t>
      </w:r>
      <w:r w:rsidR="00F52F41" w:rsidRPr="00E00E21">
        <w:rPr>
          <w:bCs/>
          <w:sz w:val="22"/>
          <w:szCs w:val="22"/>
          <w:lang w:val="sr-Latn-RS"/>
        </w:rPr>
        <w:t xml:space="preserve"> </w:t>
      </w:r>
      <w:r w:rsidR="00356EDC" w:rsidRPr="00E00E21">
        <w:rPr>
          <w:bCs/>
          <w:sz w:val="22"/>
          <w:szCs w:val="22"/>
          <w:lang w:val="sr-Latn-RS"/>
        </w:rPr>
        <w:t>Zabilježen</w:t>
      </w:r>
      <w:r w:rsidRPr="00E00E21">
        <w:rPr>
          <w:bCs/>
          <w:sz w:val="22"/>
          <w:szCs w:val="22"/>
          <w:lang w:val="sr-Latn-RS"/>
        </w:rPr>
        <w:t xml:space="preserve"> je statistički značajno povećan rizik od porasta PSA u grupi sa 20 mg/m</w:t>
      </w:r>
      <w:r w:rsidR="00356EDC" w:rsidRPr="00E00E21">
        <w:rPr>
          <w:bCs/>
          <w:sz w:val="22"/>
          <w:szCs w:val="22"/>
          <w:vertAlign w:val="superscript"/>
          <w:lang w:val="sr-Latn-RS"/>
        </w:rPr>
        <w:t>2</w:t>
      </w:r>
      <w:r w:rsidR="00356EDC" w:rsidRPr="00E00E21">
        <w:rPr>
          <w:bCs/>
          <w:sz w:val="22"/>
          <w:szCs w:val="22"/>
          <w:lang w:val="sr-Latn-RS"/>
        </w:rPr>
        <w:t xml:space="preserve"> </w:t>
      </w:r>
      <w:r w:rsidRPr="00E00E21">
        <w:rPr>
          <w:bCs/>
          <w:sz w:val="22"/>
          <w:szCs w:val="22"/>
          <w:lang w:val="sr-Latn-RS"/>
        </w:rPr>
        <w:t>u odnosu na grupu sa 25 mg/m</w:t>
      </w:r>
      <w:r w:rsidRPr="00E00E21">
        <w:rPr>
          <w:bCs/>
          <w:sz w:val="22"/>
          <w:szCs w:val="22"/>
          <w:vertAlign w:val="superscript"/>
          <w:lang w:val="sr-Latn-RS"/>
        </w:rPr>
        <w:t>2</w:t>
      </w:r>
      <w:r w:rsidR="00D76387" w:rsidRPr="00E00E21">
        <w:rPr>
          <w:bCs/>
          <w:sz w:val="22"/>
          <w:szCs w:val="22"/>
          <w:lang w:val="sr-Latn-RS"/>
        </w:rPr>
        <w:t xml:space="preserve"> </w:t>
      </w:r>
      <w:r w:rsidRPr="00E00E21">
        <w:rPr>
          <w:bCs/>
          <w:sz w:val="22"/>
          <w:szCs w:val="22"/>
          <w:lang w:val="sr-Latn-RS"/>
        </w:rPr>
        <w:t>(HR 1,195 ; 95%CI: 1,025 do 1,393). Nije bilo statistički značajnih razlika u odnosu na</w:t>
      </w:r>
      <w:r w:rsidR="00D76387" w:rsidRPr="00E00E21">
        <w:rPr>
          <w:bCs/>
          <w:sz w:val="22"/>
          <w:szCs w:val="22"/>
          <w:lang w:val="sr-Latn-RS"/>
        </w:rPr>
        <w:t xml:space="preserve"> </w:t>
      </w:r>
      <w:r w:rsidRPr="00E00E21">
        <w:rPr>
          <w:bCs/>
          <w:sz w:val="22"/>
          <w:szCs w:val="22"/>
          <w:lang w:val="sr-Latn-RS"/>
        </w:rPr>
        <w:t>sekundarne parametre praćenja efikasnosti (preživljavanje bez progresije bolesti, terapijski odgovor na tumor</w:t>
      </w:r>
      <w:r w:rsidR="00BA201C" w:rsidRPr="00E00E21">
        <w:rPr>
          <w:bCs/>
          <w:sz w:val="22"/>
          <w:szCs w:val="22"/>
          <w:lang w:val="sr-Latn-RS"/>
        </w:rPr>
        <w:t xml:space="preserve"> </w:t>
      </w:r>
      <w:r w:rsidRPr="00E00E21">
        <w:rPr>
          <w:bCs/>
          <w:sz w:val="22"/>
          <w:szCs w:val="22"/>
          <w:lang w:val="sr-Latn-RS"/>
        </w:rPr>
        <w:t>i bol, progresija bola i tumora i četiri podkategorije</w:t>
      </w:r>
      <w:r w:rsidR="00D76387" w:rsidRPr="00E00E21">
        <w:rPr>
          <w:bCs/>
          <w:sz w:val="22"/>
          <w:szCs w:val="22"/>
          <w:lang w:val="sr-Latn-RS"/>
        </w:rPr>
        <w:t xml:space="preserve"> (engl. </w:t>
      </w:r>
      <w:r w:rsidR="00D76387" w:rsidRPr="00E00E21">
        <w:rPr>
          <w:bCs/>
          <w:i/>
          <w:sz w:val="22"/>
          <w:szCs w:val="22"/>
          <w:lang w:val="sr-Latn-RS"/>
        </w:rPr>
        <w:t>Functional Assessment of Cancer Therapy-Prostate</w:t>
      </w:r>
      <w:r w:rsidR="00D76387" w:rsidRPr="00E00E21">
        <w:rPr>
          <w:bCs/>
          <w:sz w:val="22"/>
          <w:szCs w:val="22"/>
          <w:lang w:val="sr-Latn-RS"/>
        </w:rPr>
        <w:t xml:space="preserve"> -</w:t>
      </w:r>
      <w:r w:rsidRPr="00E00E21">
        <w:rPr>
          <w:bCs/>
          <w:sz w:val="22"/>
          <w:szCs w:val="22"/>
          <w:lang w:val="sr-Latn-RS"/>
        </w:rPr>
        <w:t>FACT-P).</w:t>
      </w:r>
    </w:p>
    <w:p w14:paraId="64A0E9CD" w14:textId="77777777" w:rsidR="00BA201C" w:rsidRPr="00E00E21" w:rsidRDefault="00BA201C">
      <w:pPr>
        <w:tabs>
          <w:tab w:val="left" w:pos="540"/>
          <w:tab w:val="left" w:pos="569"/>
        </w:tabs>
        <w:jc w:val="both"/>
        <w:rPr>
          <w:bCs/>
          <w:sz w:val="22"/>
          <w:szCs w:val="22"/>
          <w:lang w:val="sr-Latn-RS"/>
        </w:rPr>
      </w:pPr>
    </w:p>
    <w:p w14:paraId="0C363D16" w14:textId="147C015F" w:rsidR="00593BF0" w:rsidRPr="00E00E21" w:rsidRDefault="00593BF0">
      <w:pPr>
        <w:tabs>
          <w:tab w:val="left" w:pos="540"/>
          <w:tab w:val="left" w:pos="569"/>
        </w:tabs>
        <w:jc w:val="both"/>
        <w:rPr>
          <w:bCs/>
          <w:sz w:val="22"/>
          <w:szCs w:val="22"/>
          <w:lang w:val="sr-Latn-RS"/>
        </w:rPr>
      </w:pPr>
      <w:r w:rsidRPr="00E00E21">
        <w:rPr>
          <w:bCs/>
          <w:sz w:val="22"/>
          <w:szCs w:val="22"/>
          <w:lang w:val="sr-Latn-RS"/>
        </w:rPr>
        <w:t xml:space="preserve">Tabela </w:t>
      </w:r>
      <w:r w:rsidR="00D76387" w:rsidRPr="00E00E21">
        <w:rPr>
          <w:bCs/>
          <w:sz w:val="22"/>
          <w:szCs w:val="22"/>
          <w:lang w:val="sr-Latn-RS"/>
        </w:rPr>
        <w:t>1</w:t>
      </w:r>
      <w:r w:rsidRPr="00E00E21">
        <w:rPr>
          <w:bCs/>
          <w:sz w:val="22"/>
          <w:szCs w:val="22"/>
          <w:lang w:val="sr-Latn-RS"/>
        </w:rPr>
        <w:t xml:space="preserve"> - Ukupno preživljavanje u EFC11785 studiji u grupi sa 25 mg/m</w:t>
      </w:r>
      <w:r w:rsidRPr="00E00E21">
        <w:rPr>
          <w:bCs/>
          <w:sz w:val="22"/>
          <w:szCs w:val="22"/>
          <w:vertAlign w:val="superscript"/>
          <w:lang w:val="sr-Latn-RS"/>
        </w:rPr>
        <w:t>2</w:t>
      </w:r>
      <w:r w:rsidR="00BA201C" w:rsidRPr="00E00E21">
        <w:rPr>
          <w:bCs/>
          <w:sz w:val="22"/>
          <w:szCs w:val="22"/>
          <w:lang w:val="sr-Latn-RS"/>
        </w:rPr>
        <w:t xml:space="preserve"> </w:t>
      </w:r>
      <w:r w:rsidRPr="00E00E21">
        <w:rPr>
          <w:bCs/>
          <w:sz w:val="22"/>
          <w:szCs w:val="22"/>
          <w:lang w:val="sr-Latn-RS"/>
        </w:rPr>
        <w:t>kabazitaksela u odnosu na grupusa 20 mg/m</w:t>
      </w:r>
      <w:r w:rsidRPr="00E00E21">
        <w:rPr>
          <w:bCs/>
          <w:sz w:val="22"/>
          <w:szCs w:val="22"/>
          <w:vertAlign w:val="superscript"/>
          <w:lang w:val="sr-Latn-RS"/>
        </w:rPr>
        <w:t>2</w:t>
      </w:r>
      <w:r w:rsidR="00BA201C" w:rsidRPr="00E00E21">
        <w:rPr>
          <w:bCs/>
          <w:sz w:val="22"/>
          <w:szCs w:val="22"/>
          <w:lang w:val="sr-Latn-RS"/>
        </w:rPr>
        <w:t xml:space="preserve"> </w:t>
      </w:r>
      <w:r w:rsidRPr="00E00E21">
        <w:rPr>
          <w:bCs/>
          <w:sz w:val="22"/>
          <w:szCs w:val="22"/>
          <w:lang w:val="sr-Latn-RS"/>
        </w:rPr>
        <w:t>kabazitaksela (</w:t>
      </w:r>
      <w:r w:rsidRPr="00E00E21">
        <w:rPr>
          <w:bCs/>
          <w:i/>
          <w:sz w:val="22"/>
          <w:szCs w:val="22"/>
          <w:lang w:val="sr-Latn-RS"/>
        </w:rPr>
        <w:t>Intent-to–treat analiza</w:t>
      </w:r>
      <w:r w:rsidRPr="00E00E21">
        <w:rPr>
          <w:bCs/>
          <w:sz w:val="22"/>
          <w:szCs w:val="22"/>
          <w:lang w:val="sr-Latn-RS"/>
        </w:rPr>
        <w:t>) - primarni parametar praćenja efikasnosti</w:t>
      </w:r>
    </w:p>
    <w:p w14:paraId="17D21FC7" w14:textId="77777777" w:rsidR="00593BF0" w:rsidRPr="00E00E21" w:rsidRDefault="00593BF0" w:rsidP="00480FB1">
      <w:pPr>
        <w:tabs>
          <w:tab w:val="left" w:pos="540"/>
          <w:tab w:val="left" w:pos="569"/>
        </w:tabs>
        <w:rPr>
          <w:b/>
          <w:bCs/>
          <w:sz w:val="22"/>
          <w:szCs w:val="22"/>
          <w:lang w:val="sr-Latn-RS"/>
        </w:rPr>
      </w:pPr>
    </w:p>
    <w:tbl>
      <w:tblPr>
        <w:tblW w:w="920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53"/>
        <w:gridCol w:w="2409"/>
        <w:gridCol w:w="3544"/>
      </w:tblGrid>
      <w:tr w:rsidR="00593BF0" w:rsidRPr="00E00E21" w14:paraId="2477BA41" w14:textId="77777777" w:rsidTr="00F946DA">
        <w:trPr>
          <w:tblCellSpacing w:w="0" w:type="dxa"/>
        </w:trPr>
        <w:tc>
          <w:tcPr>
            <w:tcW w:w="1766" w:type="pct"/>
            <w:tcBorders>
              <w:top w:val="outset" w:sz="6" w:space="0" w:color="auto"/>
              <w:left w:val="outset" w:sz="6" w:space="0" w:color="auto"/>
              <w:bottom w:val="outset" w:sz="6" w:space="0" w:color="auto"/>
              <w:right w:val="outset" w:sz="6" w:space="0" w:color="auto"/>
            </w:tcBorders>
            <w:hideMark/>
          </w:tcPr>
          <w:p w14:paraId="7319E444" w14:textId="77777777" w:rsidR="00593BF0" w:rsidRPr="00E00E21" w:rsidRDefault="00593BF0" w:rsidP="00593BF0">
            <w:pPr>
              <w:rPr>
                <w:sz w:val="22"/>
                <w:szCs w:val="22"/>
                <w:lang w:val="sr-Latn-RS" w:eastAsia="de-AT"/>
              </w:rPr>
            </w:pPr>
          </w:p>
        </w:tc>
        <w:tc>
          <w:tcPr>
            <w:tcW w:w="1308" w:type="pct"/>
            <w:tcBorders>
              <w:top w:val="outset" w:sz="6" w:space="0" w:color="auto"/>
              <w:left w:val="outset" w:sz="6" w:space="0" w:color="auto"/>
              <w:bottom w:val="outset" w:sz="6" w:space="0" w:color="auto"/>
              <w:right w:val="outset" w:sz="6" w:space="0" w:color="auto"/>
            </w:tcBorders>
            <w:hideMark/>
          </w:tcPr>
          <w:p w14:paraId="4356EFC7" w14:textId="77777777" w:rsidR="00593BF0" w:rsidRPr="00E00E21" w:rsidRDefault="00593BF0" w:rsidP="00593BF0">
            <w:pPr>
              <w:spacing w:before="100" w:beforeAutospacing="1" w:after="100" w:afterAutospacing="1"/>
              <w:jc w:val="center"/>
              <w:rPr>
                <w:sz w:val="22"/>
                <w:szCs w:val="22"/>
                <w:lang w:val="sr-Latn-RS" w:eastAsia="de-AT"/>
              </w:rPr>
            </w:pPr>
            <w:r w:rsidRPr="00E00E21">
              <w:rPr>
                <w:b/>
                <w:bCs/>
                <w:sz w:val="22"/>
                <w:szCs w:val="22"/>
                <w:lang w:val="sr-Latn-RS" w:eastAsia="de-AT"/>
              </w:rPr>
              <w:t>CBZ20+PRED</w:t>
            </w:r>
            <w:r w:rsidRPr="00E00E21">
              <w:rPr>
                <w:sz w:val="22"/>
                <w:szCs w:val="22"/>
                <w:lang w:val="sr-Latn-RS" w:eastAsia="de-AT"/>
              </w:rPr>
              <w:t xml:space="preserve"> </w:t>
            </w:r>
          </w:p>
          <w:p w14:paraId="79396E7F" w14:textId="77777777" w:rsidR="00593BF0" w:rsidRPr="00E00E21" w:rsidRDefault="00593BF0" w:rsidP="00593BF0">
            <w:pPr>
              <w:spacing w:before="100" w:beforeAutospacing="1" w:after="100" w:afterAutospacing="1"/>
              <w:jc w:val="center"/>
              <w:rPr>
                <w:sz w:val="22"/>
                <w:szCs w:val="22"/>
                <w:lang w:val="sr-Latn-RS" w:eastAsia="de-AT"/>
              </w:rPr>
            </w:pPr>
            <w:r w:rsidRPr="00E00E21">
              <w:rPr>
                <w:b/>
                <w:bCs/>
                <w:sz w:val="22"/>
                <w:szCs w:val="22"/>
                <w:lang w:val="sr-Latn-RS" w:eastAsia="de-AT"/>
              </w:rPr>
              <w:t>n=598</w:t>
            </w:r>
            <w:r w:rsidRPr="00E00E21">
              <w:rPr>
                <w:sz w:val="22"/>
                <w:szCs w:val="22"/>
                <w:lang w:val="sr-Latn-RS" w:eastAsia="de-AT"/>
              </w:rPr>
              <w:t xml:space="preserve"> </w:t>
            </w:r>
          </w:p>
        </w:tc>
        <w:tc>
          <w:tcPr>
            <w:tcW w:w="1925" w:type="pct"/>
            <w:tcBorders>
              <w:top w:val="outset" w:sz="6" w:space="0" w:color="auto"/>
              <w:left w:val="outset" w:sz="6" w:space="0" w:color="auto"/>
              <w:bottom w:val="outset" w:sz="6" w:space="0" w:color="auto"/>
              <w:right w:val="outset" w:sz="6" w:space="0" w:color="auto"/>
            </w:tcBorders>
            <w:hideMark/>
          </w:tcPr>
          <w:p w14:paraId="2B50E9BC" w14:textId="77777777" w:rsidR="00593BF0" w:rsidRPr="00E00E21" w:rsidRDefault="00593BF0" w:rsidP="00593BF0">
            <w:pPr>
              <w:spacing w:before="100" w:beforeAutospacing="1" w:after="100" w:afterAutospacing="1"/>
              <w:jc w:val="center"/>
              <w:rPr>
                <w:sz w:val="22"/>
                <w:szCs w:val="22"/>
                <w:lang w:val="sr-Latn-RS" w:eastAsia="de-AT"/>
              </w:rPr>
            </w:pPr>
            <w:r w:rsidRPr="00E00E21">
              <w:rPr>
                <w:b/>
                <w:bCs/>
                <w:sz w:val="22"/>
                <w:szCs w:val="22"/>
                <w:lang w:val="sr-Latn-RS" w:eastAsia="de-AT"/>
              </w:rPr>
              <w:t>CBZ25+PRED</w:t>
            </w:r>
            <w:r w:rsidRPr="00E00E21">
              <w:rPr>
                <w:sz w:val="22"/>
                <w:szCs w:val="22"/>
                <w:lang w:val="sr-Latn-RS" w:eastAsia="de-AT"/>
              </w:rPr>
              <w:t xml:space="preserve"> </w:t>
            </w:r>
          </w:p>
          <w:p w14:paraId="5A23A4D7" w14:textId="77777777" w:rsidR="00593BF0" w:rsidRPr="00E00E21" w:rsidRDefault="00593BF0" w:rsidP="00593BF0">
            <w:pPr>
              <w:spacing w:before="100" w:beforeAutospacing="1" w:after="100" w:afterAutospacing="1"/>
              <w:jc w:val="center"/>
              <w:rPr>
                <w:sz w:val="22"/>
                <w:szCs w:val="22"/>
                <w:lang w:val="sr-Latn-RS" w:eastAsia="de-AT"/>
              </w:rPr>
            </w:pPr>
            <w:r w:rsidRPr="00E00E21">
              <w:rPr>
                <w:b/>
                <w:bCs/>
                <w:sz w:val="22"/>
                <w:szCs w:val="22"/>
                <w:lang w:val="sr-Latn-RS" w:eastAsia="de-AT"/>
              </w:rPr>
              <w:t>n=602</w:t>
            </w:r>
            <w:r w:rsidRPr="00E00E21">
              <w:rPr>
                <w:sz w:val="22"/>
                <w:szCs w:val="22"/>
                <w:lang w:val="sr-Latn-RS" w:eastAsia="de-AT"/>
              </w:rPr>
              <w:t xml:space="preserve"> </w:t>
            </w:r>
          </w:p>
        </w:tc>
      </w:tr>
      <w:tr w:rsidR="00593BF0" w:rsidRPr="00E00E21" w14:paraId="754B2443" w14:textId="77777777" w:rsidTr="00F946DA">
        <w:trPr>
          <w:tblCellSpacing w:w="0" w:type="dxa"/>
        </w:trPr>
        <w:tc>
          <w:tcPr>
            <w:tcW w:w="1766" w:type="pct"/>
            <w:tcBorders>
              <w:top w:val="outset" w:sz="6" w:space="0" w:color="auto"/>
              <w:left w:val="outset" w:sz="6" w:space="0" w:color="auto"/>
              <w:bottom w:val="outset" w:sz="6" w:space="0" w:color="auto"/>
              <w:right w:val="outset" w:sz="6" w:space="0" w:color="auto"/>
            </w:tcBorders>
            <w:hideMark/>
          </w:tcPr>
          <w:p w14:paraId="2031038A" w14:textId="77777777" w:rsidR="00593BF0" w:rsidRPr="00E00E21" w:rsidRDefault="00593BF0" w:rsidP="00593BF0">
            <w:pPr>
              <w:spacing w:before="100" w:beforeAutospacing="1" w:after="100" w:afterAutospacing="1"/>
              <w:rPr>
                <w:sz w:val="22"/>
                <w:szCs w:val="22"/>
                <w:lang w:val="sr-Latn-RS" w:eastAsia="de-AT"/>
              </w:rPr>
            </w:pPr>
            <w:r w:rsidRPr="00E00E21">
              <w:rPr>
                <w:b/>
                <w:bCs/>
                <w:sz w:val="22"/>
                <w:szCs w:val="22"/>
                <w:lang w:val="sr-Latn-RS" w:eastAsia="de-AT"/>
              </w:rPr>
              <w:t>Ukupno preživljavanje</w:t>
            </w:r>
            <w:r w:rsidRPr="00E00E21">
              <w:rPr>
                <w:sz w:val="22"/>
                <w:szCs w:val="22"/>
                <w:lang w:val="sr-Latn-RS" w:eastAsia="de-AT"/>
              </w:rPr>
              <w:t xml:space="preserve"> </w:t>
            </w:r>
          </w:p>
        </w:tc>
        <w:tc>
          <w:tcPr>
            <w:tcW w:w="1308" w:type="pct"/>
            <w:tcBorders>
              <w:top w:val="outset" w:sz="6" w:space="0" w:color="auto"/>
              <w:left w:val="outset" w:sz="6" w:space="0" w:color="auto"/>
              <w:bottom w:val="outset" w:sz="6" w:space="0" w:color="auto"/>
              <w:right w:val="outset" w:sz="6" w:space="0" w:color="auto"/>
            </w:tcBorders>
            <w:hideMark/>
          </w:tcPr>
          <w:p w14:paraId="13619A41" w14:textId="77777777" w:rsidR="00593BF0" w:rsidRPr="00E00E21" w:rsidRDefault="00593BF0" w:rsidP="00593BF0">
            <w:pPr>
              <w:rPr>
                <w:sz w:val="22"/>
                <w:szCs w:val="22"/>
                <w:lang w:val="sr-Latn-RS" w:eastAsia="de-AT"/>
              </w:rPr>
            </w:pPr>
          </w:p>
        </w:tc>
        <w:tc>
          <w:tcPr>
            <w:tcW w:w="1925" w:type="pct"/>
            <w:tcBorders>
              <w:top w:val="outset" w:sz="6" w:space="0" w:color="auto"/>
              <w:left w:val="outset" w:sz="6" w:space="0" w:color="auto"/>
              <w:bottom w:val="outset" w:sz="6" w:space="0" w:color="auto"/>
              <w:right w:val="outset" w:sz="6" w:space="0" w:color="auto"/>
            </w:tcBorders>
            <w:hideMark/>
          </w:tcPr>
          <w:p w14:paraId="22677047" w14:textId="77777777" w:rsidR="00593BF0" w:rsidRPr="00E00E21" w:rsidRDefault="00593BF0" w:rsidP="00593BF0">
            <w:pPr>
              <w:rPr>
                <w:sz w:val="22"/>
                <w:szCs w:val="22"/>
                <w:lang w:val="sr-Latn-RS" w:eastAsia="de-AT"/>
              </w:rPr>
            </w:pPr>
          </w:p>
        </w:tc>
      </w:tr>
      <w:tr w:rsidR="00593BF0" w:rsidRPr="00E00E21" w14:paraId="090DFEBA" w14:textId="77777777" w:rsidTr="00F946DA">
        <w:trPr>
          <w:tblCellSpacing w:w="0" w:type="dxa"/>
        </w:trPr>
        <w:tc>
          <w:tcPr>
            <w:tcW w:w="1766" w:type="pct"/>
            <w:tcBorders>
              <w:top w:val="outset" w:sz="6" w:space="0" w:color="auto"/>
              <w:left w:val="outset" w:sz="6" w:space="0" w:color="auto"/>
              <w:bottom w:val="outset" w:sz="6" w:space="0" w:color="auto"/>
              <w:right w:val="outset" w:sz="6" w:space="0" w:color="auto"/>
            </w:tcBorders>
            <w:vAlign w:val="center"/>
            <w:hideMark/>
          </w:tcPr>
          <w:p w14:paraId="5EBB21B0" w14:textId="77777777" w:rsidR="00593BF0" w:rsidRPr="00E00E21" w:rsidRDefault="00593BF0" w:rsidP="00593BF0">
            <w:pPr>
              <w:spacing w:before="100" w:beforeAutospacing="1" w:after="100" w:afterAutospacing="1"/>
              <w:rPr>
                <w:sz w:val="22"/>
                <w:szCs w:val="22"/>
                <w:lang w:val="sr-Latn-RS" w:eastAsia="de-AT"/>
              </w:rPr>
            </w:pPr>
            <w:r w:rsidRPr="00E00E21">
              <w:rPr>
                <w:sz w:val="22"/>
                <w:szCs w:val="22"/>
                <w:lang w:val="sr-Latn-RS" w:eastAsia="de-AT"/>
              </w:rPr>
              <w:t>Broj smrtnih slučajeva, n (%)</w:t>
            </w:r>
          </w:p>
        </w:tc>
        <w:tc>
          <w:tcPr>
            <w:tcW w:w="1308" w:type="pct"/>
            <w:tcBorders>
              <w:top w:val="outset" w:sz="6" w:space="0" w:color="auto"/>
              <w:left w:val="outset" w:sz="6" w:space="0" w:color="auto"/>
              <w:bottom w:val="outset" w:sz="6" w:space="0" w:color="auto"/>
              <w:right w:val="outset" w:sz="6" w:space="0" w:color="auto"/>
            </w:tcBorders>
            <w:hideMark/>
          </w:tcPr>
          <w:p w14:paraId="4C0846D0"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497 (83.1 %)</w:t>
            </w:r>
          </w:p>
        </w:tc>
        <w:tc>
          <w:tcPr>
            <w:tcW w:w="1925" w:type="pct"/>
            <w:tcBorders>
              <w:top w:val="outset" w:sz="6" w:space="0" w:color="auto"/>
              <w:left w:val="outset" w:sz="6" w:space="0" w:color="auto"/>
              <w:bottom w:val="outset" w:sz="6" w:space="0" w:color="auto"/>
              <w:right w:val="outset" w:sz="6" w:space="0" w:color="auto"/>
            </w:tcBorders>
            <w:hideMark/>
          </w:tcPr>
          <w:p w14:paraId="74916649"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501 (83.2%)</w:t>
            </w:r>
          </w:p>
        </w:tc>
      </w:tr>
      <w:tr w:rsidR="00593BF0" w:rsidRPr="00E00E21" w14:paraId="352FC2C1" w14:textId="77777777" w:rsidTr="00F946DA">
        <w:trPr>
          <w:tblCellSpacing w:w="0" w:type="dxa"/>
        </w:trPr>
        <w:tc>
          <w:tcPr>
            <w:tcW w:w="1766" w:type="pct"/>
            <w:tcBorders>
              <w:top w:val="outset" w:sz="6" w:space="0" w:color="auto"/>
              <w:left w:val="outset" w:sz="6" w:space="0" w:color="auto"/>
              <w:bottom w:val="outset" w:sz="6" w:space="0" w:color="auto"/>
              <w:right w:val="outset" w:sz="6" w:space="0" w:color="auto"/>
            </w:tcBorders>
            <w:hideMark/>
          </w:tcPr>
          <w:p w14:paraId="78F1D0F3" w14:textId="77777777" w:rsidR="00593BF0" w:rsidRPr="00E00E21" w:rsidRDefault="00BA201C" w:rsidP="00593BF0">
            <w:pPr>
              <w:spacing w:before="100" w:beforeAutospacing="1" w:after="100" w:afterAutospacing="1"/>
              <w:rPr>
                <w:sz w:val="22"/>
                <w:szCs w:val="22"/>
                <w:lang w:val="sr-Latn-RS" w:eastAsia="de-AT"/>
              </w:rPr>
            </w:pPr>
            <w:r w:rsidRPr="00E00E21">
              <w:rPr>
                <w:sz w:val="22"/>
                <w:szCs w:val="22"/>
                <w:lang w:val="sr-Latn-RS" w:eastAsia="de-AT"/>
              </w:rPr>
              <w:t>Medijana p</w:t>
            </w:r>
            <w:r w:rsidR="00593BF0" w:rsidRPr="00E00E21">
              <w:rPr>
                <w:sz w:val="22"/>
                <w:szCs w:val="22"/>
                <w:lang w:val="sr-Latn-RS" w:eastAsia="de-AT"/>
              </w:rPr>
              <w:t xml:space="preserve">reživljavanja (95% CI) (mjeseci) </w:t>
            </w:r>
          </w:p>
        </w:tc>
        <w:tc>
          <w:tcPr>
            <w:tcW w:w="1308" w:type="pct"/>
            <w:tcBorders>
              <w:top w:val="outset" w:sz="6" w:space="0" w:color="auto"/>
              <w:left w:val="outset" w:sz="6" w:space="0" w:color="auto"/>
              <w:bottom w:val="outset" w:sz="6" w:space="0" w:color="auto"/>
              <w:right w:val="outset" w:sz="6" w:space="0" w:color="auto"/>
            </w:tcBorders>
            <w:hideMark/>
          </w:tcPr>
          <w:p w14:paraId="6FEA00FF"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13.4 (12.19 to 14.88)</w:t>
            </w:r>
          </w:p>
        </w:tc>
        <w:tc>
          <w:tcPr>
            <w:tcW w:w="1925" w:type="pct"/>
            <w:tcBorders>
              <w:top w:val="outset" w:sz="6" w:space="0" w:color="auto"/>
              <w:left w:val="outset" w:sz="6" w:space="0" w:color="auto"/>
              <w:bottom w:val="outset" w:sz="6" w:space="0" w:color="auto"/>
              <w:right w:val="outset" w:sz="6" w:space="0" w:color="auto"/>
            </w:tcBorders>
            <w:hideMark/>
          </w:tcPr>
          <w:p w14:paraId="7F352740"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14.5 (13.47 to 15.28)</w:t>
            </w:r>
          </w:p>
        </w:tc>
      </w:tr>
      <w:tr w:rsidR="00593BF0" w:rsidRPr="00E00E21" w14:paraId="49DE6928" w14:textId="77777777" w:rsidTr="00F946DA">
        <w:trPr>
          <w:tblCellSpacing w:w="0" w:type="dxa"/>
        </w:trPr>
        <w:tc>
          <w:tcPr>
            <w:tcW w:w="1766" w:type="pct"/>
            <w:tcBorders>
              <w:top w:val="outset" w:sz="6" w:space="0" w:color="auto"/>
              <w:left w:val="outset" w:sz="6" w:space="0" w:color="auto"/>
              <w:bottom w:val="outset" w:sz="6" w:space="0" w:color="auto"/>
              <w:right w:val="outset" w:sz="6" w:space="0" w:color="auto"/>
            </w:tcBorders>
            <w:hideMark/>
          </w:tcPr>
          <w:p w14:paraId="044F2D60" w14:textId="77777777" w:rsidR="00593BF0" w:rsidRPr="00E00E21" w:rsidRDefault="00593BF0" w:rsidP="00593BF0">
            <w:pPr>
              <w:spacing w:before="100" w:beforeAutospacing="1" w:after="100" w:afterAutospacing="1"/>
              <w:rPr>
                <w:sz w:val="22"/>
                <w:szCs w:val="22"/>
                <w:lang w:val="sr-Latn-RS" w:eastAsia="de-AT"/>
              </w:rPr>
            </w:pPr>
            <w:r w:rsidRPr="00E00E21">
              <w:rPr>
                <w:i/>
                <w:sz w:val="22"/>
                <w:szCs w:val="22"/>
                <w:lang w:val="sr-Latn-RS" w:eastAsia="de-AT"/>
              </w:rPr>
              <w:t>Hazard Ratio</w:t>
            </w:r>
            <w:r w:rsidRPr="00E00E21">
              <w:rPr>
                <w:sz w:val="22"/>
                <w:szCs w:val="22"/>
                <w:vertAlign w:val="superscript"/>
                <w:lang w:val="sr-Latn-RS" w:eastAsia="de-AT"/>
              </w:rPr>
              <w:t>a</w:t>
            </w:r>
            <w:r w:rsidRPr="00E00E21">
              <w:rPr>
                <w:sz w:val="22"/>
                <w:szCs w:val="22"/>
                <w:lang w:val="sr-Latn-RS" w:eastAsia="de-AT"/>
              </w:rPr>
              <w:t xml:space="preserve"> </w:t>
            </w:r>
          </w:p>
        </w:tc>
        <w:tc>
          <w:tcPr>
            <w:tcW w:w="1308" w:type="pct"/>
            <w:tcBorders>
              <w:top w:val="outset" w:sz="6" w:space="0" w:color="auto"/>
              <w:left w:val="outset" w:sz="6" w:space="0" w:color="auto"/>
              <w:bottom w:val="outset" w:sz="6" w:space="0" w:color="auto"/>
              <w:right w:val="outset" w:sz="6" w:space="0" w:color="auto"/>
            </w:tcBorders>
            <w:hideMark/>
          </w:tcPr>
          <w:p w14:paraId="6C8C6562" w14:textId="77777777" w:rsidR="00593BF0" w:rsidRPr="00E00E21" w:rsidRDefault="00593BF0" w:rsidP="00593BF0">
            <w:pPr>
              <w:rPr>
                <w:sz w:val="22"/>
                <w:szCs w:val="22"/>
                <w:lang w:val="sr-Latn-RS" w:eastAsia="de-AT"/>
              </w:rPr>
            </w:pPr>
          </w:p>
        </w:tc>
        <w:tc>
          <w:tcPr>
            <w:tcW w:w="1925" w:type="pct"/>
            <w:tcBorders>
              <w:top w:val="outset" w:sz="6" w:space="0" w:color="auto"/>
              <w:left w:val="outset" w:sz="6" w:space="0" w:color="auto"/>
              <w:bottom w:val="outset" w:sz="6" w:space="0" w:color="auto"/>
              <w:right w:val="outset" w:sz="6" w:space="0" w:color="auto"/>
            </w:tcBorders>
            <w:hideMark/>
          </w:tcPr>
          <w:p w14:paraId="611A5291" w14:textId="77777777" w:rsidR="00593BF0" w:rsidRPr="00E00E21" w:rsidRDefault="00593BF0" w:rsidP="00593BF0">
            <w:pPr>
              <w:rPr>
                <w:sz w:val="22"/>
                <w:szCs w:val="22"/>
                <w:lang w:val="sr-Latn-RS" w:eastAsia="de-AT"/>
              </w:rPr>
            </w:pPr>
          </w:p>
        </w:tc>
      </w:tr>
      <w:tr w:rsidR="00593BF0" w:rsidRPr="00E00E21" w14:paraId="06A0EABC" w14:textId="77777777" w:rsidTr="00F946DA">
        <w:trPr>
          <w:tblCellSpacing w:w="0" w:type="dxa"/>
        </w:trPr>
        <w:tc>
          <w:tcPr>
            <w:tcW w:w="1766" w:type="pct"/>
            <w:tcBorders>
              <w:top w:val="outset" w:sz="6" w:space="0" w:color="auto"/>
              <w:left w:val="outset" w:sz="6" w:space="0" w:color="auto"/>
              <w:bottom w:val="outset" w:sz="6" w:space="0" w:color="auto"/>
              <w:right w:val="outset" w:sz="6" w:space="0" w:color="auto"/>
            </w:tcBorders>
            <w:hideMark/>
          </w:tcPr>
          <w:p w14:paraId="7474ED42" w14:textId="77777777" w:rsidR="00593BF0" w:rsidRPr="00E00E21" w:rsidRDefault="00593BF0" w:rsidP="00593BF0">
            <w:pPr>
              <w:spacing w:before="100" w:beforeAutospacing="1" w:after="100" w:afterAutospacing="1"/>
              <w:rPr>
                <w:sz w:val="22"/>
                <w:szCs w:val="22"/>
                <w:lang w:val="sr-Latn-RS" w:eastAsia="de-AT"/>
              </w:rPr>
            </w:pPr>
            <w:r w:rsidRPr="00E00E21">
              <w:rPr>
                <w:sz w:val="22"/>
                <w:szCs w:val="22"/>
                <w:lang w:val="sr-Latn-RS" w:eastAsia="de-AT"/>
              </w:rPr>
              <w:t>u odnosu na CBZ25+PRED</w:t>
            </w:r>
          </w:p>
        </w:tc>
        <w:tc>
          <w:tcPr>
            <w:tcW w:w="1308" w:type="pct"/>
            <w:tcBorders>
              <w:top w:val="outset" w:sz="6" w:space="0" w:color="auto"/>
              <w:left w:val="outset" w:sz="6" w:space="0" w:color="auto"/>
              <w:bottom w:val="outset" w:sz="6" w:space="0" w:color="auto"/>
              <w:right w:val="outset" w:sz="6" w:space="0" w:color="auto"/>
            </w:tcBorders>
            <w:vAlign w:val="bottom"/>
            <w:hideMark/>
          </w:tcPr>
          <w:p w14:paraId="44BEF2FD"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1.024</w:t>
            </w:r>
          </w:p>
        </w:tc>
        <w:tc>
          <w:tcPr>
            <w:tcW w:w="1925" w:type="pct"/>
            <w:tcBorders>
              <w:top w:val="outset" w:sz="6" w:space="0" w:color="auto"/>
              <w:left w:val="outset" w:sz="6" w:space="0" w:color="auto"/>
              <w:bottom w:val="outset" w:sz="6" w:space="0" w:color="auto"/>
              <w:right w:val="outset" w:sz="6" w:space="0" w:color="auto"/>
            </w:tcBorders>
            <w:vAlign w:val="bottom"/>
            <w:hideMark/>
          </w:tcPr>
          <w:p w14:paraId="6C7CB10B"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w:t>
            </w:r>
          </w:p>
        </w:tc>
      </w:tr>
      <w:tr w:rsidR="00593BF0" w:rsidRPr="00E00E21" w14:paraId="2D0DF00C" w14:textId="77777777" w:rsidTr="00F946DA">
        <w:trPr>
          <w:tblCellSpacing w:w="0" w:type="dxa"/>
        </w:trPr>
        <w:tc>
          <w:tcPr>
            <w:tcW w:w="1766" w:type="pct"/>
            <w:tcBorders>
              <w:top w:val="outset" w:sz="6" w:space="0" w:color="auto"/>
              <w:left w:val="outset" w:sz="6" w:space="0" w:color="auto"/>
              <w:bottom w:val="outset" w:sz="6" w:space="0" w:color="auto"/>
              <w:right w:val="outset" w:sz="6" w:space="0" w:color="auto"/>
            </w:tcBorders>
            <w:vAlign w:val="bottom"/>
            <w:hideMark/>
          </w:tcPr>
          <w:p w14:paraId="6659EBF6" w14:textId="77777777" w:rsidR="00593BF0" w:rsidRPr="00E00E21" w:rsidRDefault="00593BF0" w:rsidP="00593BF0">
            <w:pPr>
              <w:spacing w:before="100" w:beforeAutospacing="1" w:after="100" w:afterAutospacing="1"/>
              <w:rPr>
                <w:sz w:val="22"/>
                <w:szCs w:val="22"/>
                <w:lang w:val="sr-Latn-RS" w:eastAsia="de-AT"/>
              </w:rPr>
            </w:pPr>
            <w:r w:rsidRPr="00E00E21">
              <w:rPr>
                <w:sz w:val="22"/>
                <w:szCs w:val="22"/>
                <w:lang w:val="sr-Latn-RS" w:eastAsia="de-AT"/>
              </w:rPr>
              <w:t>jednostrano 98.89% UCI</w:t>
            </w:r>
          </w:p>
        </w:tc>
        <w:tc>
          <w:tcPr>
            <w:tcW w:w="1308" w:type="pct"/>
            <w:tcBorders>
              <w:top w:val="outset" w:sz="6" w:space="0" w:color="auto"/>
              <w:left w:val="outset" w:sz="6" w:space="0" w:color="auto"/>
              <w:bottom w:val="outset" w:sz="6" w:space="0" w:color="auto"/>
              <w:right w:val="outset" w:sz="6" w:space="0" w:color="auto"/>
            </w:tcBorders>
            <w:vAlign w:val="bottom"/>
            <w:hideMark/>
          </w:tcPr>
          <w:p w14:paraId="22BE2904"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1.184</w:t>
            </w:r>
          </w:p>
        </w:tc>
        <w:tc>
          <w:tcPr>
            <w:tcW w:w="1925" w:type="pct"/>
            <w:tcBorders>
              <w:top w:val="outset" w:sz="6" w:space="0" w:color="auto"/>
              <w:left w:val="outset" w:sz="6" w:space="0" w:color="auto"/>
              <w:bottom w:val="outset" w:sz="6" w:space="0" w:color="auto"/>
              <w:right w:val="outset" w:sz="6" w:space="0" w:color="auto"/>
            </w:tcBorders>
            <w:hideMark/>
          </w:tcPr>
          <w:p w14:paraId="74384076"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w:t>
            </w:r>
          </w:p>
        </w:tc>
      </w:tr>
      <w:tr w:rsidR="00593BF0" w:rsidRPr="00E00E21" w14:paraId="754FAA30" w14:textId="77777777" w:rsidTr="00F946DA">
        <w:trPr>
          <w:tblCellSpacing w:w="0" w:type="dxa"/>
        </w:trPr>
        <w:tc>
          <w:tcPr>
            <w:tcW w:w="1766" w:type="pct"/>
            <w:tcBorders>
              <w:top w:val="outset" w:sz="6" w:space="0" w:color="auto"/>
              <w:left w:val="outset" w:sz="6" w:space="0" w:color="auto"/>
              <w:bottom w:val="outset" w:sz="6" w:space="0" w:color="auto"/>
              <w:right w:val="outset" w:sz="6" w:space="0" w:color="auto"/>
            </w:tcBorders>
            <w:vAlign w:val="bottom"/>
            <w:hideMark/>
          </w:tcPr>
          <w:p w14:paraId="0ABEB589" w14:textId="77777777" w:rsidR="00593BF0" w:rsidRPr="00E00E21" w:rsidRDefault="00593BF0" w:rsidP="00593BF0">
            <w:pPr>
              <w:spacing w:before="100" w:beforeAutospacing="1" w:after="100" w:afterAutospacing="1"/>
              <w:rPr>
                <w:sz w:val="22"/>
                <w:szCs w:val="22"/>
                <w:lang w:val="sr-Latn-RS" w:eastAsia="de-AT"/>
              </w:rPr>
            </w:pPr>
            <w:r w:rsidRPr="00E00E21">
              <w:rPr>
                <w:sz w:val="22"/>
                <w:szCs w:val="22"/>
                <w:lang w:val="sr-Latn-RS" w:eastAsia="de-AT"/>
              </w:rPr>
              <w:t>jednostrano 95% LCI</w:t>
            </w:r>
          </w:p>
        </w:tc>
        <w:tc>
          <w:tcPr>
            <w:tcW w:w="1308" w:type="pct"/>
            <w:tcBorders>
              <w:top w:val="outset" w:sz="6" w:space="0" w:color="auto"/>
              <w:left w:val="outset" w:sz="6" w:space="0" w:color="auto"/>
              <w:bottom w:val="outset" w:sz="6" w:space="0" w:color="auto"/>
              <w:right w:val="outset" w:sz="6" w:space="0" w:color="auto"/>
            </w:tcBorders>
            <w:vAlign w:val="bottom"/>
            <w:hideMark/>
          </w:tcPr>
          <w:p w14:paraId="5146EC96"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0.922</w:t>
            </w:r>
          </w:p>
        </w:tc>
        <w:tc>
          <w:tcPr>
            <w:tcW w:w="1925" w:type="pct"/>
            <w:tcBorders>
              <w:top w:val="outset" w:sz="6" w:space="0" w:color="auto"/>
              <w:left w:val="outset" w:sz="6" w:space="0" w:color="auto"/>
              <w:bottom w:val="outset" w:sz="6" w:space="0" w:color="auto"/>
              <w:right w:val="outset" w:sz="6" w:space="0" w:color="auto"/>
            </w:tcBorders>
            <w:hideMark/>
          </w:tcPr>
          <w:p w14:paraId="28EF0997"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w:t>
            </w:r>
          </w:p>
        </w:tc>
      </w:tr>
    </w:tbl>
    <w:p w14:paraId="13A9FFC2" w14:textId="24E0FDC6" w:rsidR="00BA201C" w:rsidRPr="00E00E21" w:rsidRDefault="00BA201C" w:rsidP="00593BF0">
      <w:pPr>
        <w:tabs>
          <w:tab w:val="left" w:pos="540"/>
          <w:tab w:val="left" w:pos="569"/>
        </w:tabs>
        <w:jc w:val="both"/>
        <w:rPr>
          <w:bCs/>
          <w:sz w:val="22"/>
          <w:szCs w:val="22"/>
          <w:lang w:val="sr-Latn-RS"/>
        </w:rPr>
      </w:pPr>
      <w:r w:rsidRPr="00E00E21">
        <w:rPr>
          <w:bCs/>
          <w:sz w:val="22"/>
          <w:szCs w:val="22"/>
          <w:lang w:val="sr-Latn-RS"/>
        </w:rPr>
        <w:t>CBZ20= kabazitaksel 20 mg/m</w:t>
      </w:r>
      <w:r w:rsidR="00593BF0" w:rsidRPr="00E00E21">
        <w:rPr>
          <w:bCs/>
          <w:sz w:val="22"/>
          <w:szCs w:val="22"/>
          <w:vertAlign w:val="superscript"/>
          <w:lang w:val="sr-Latn-RS"/>
        </w:rPr>
        <w:t>2</w:t>
      </w:r>
      <w:r w:rsidR="00593BF0" w:rsidRPr="00E00E21">
        <w:rPr>
          <w:bCs/>
          <w:sz w:val="22"/>
          <w:szCs w:val="22"/>
          <w:lang w:val="sr-Latn-RS"/>
        </w:rPr>
        <w:t>, CBZ25= kabazitaksel 25 mg/m</w:t>
      </w:r>
      <w:r w:rsidR="00593BF0" w:rsidRPr="00E00E21">
        <w:rPr>
          <w:bCs/>
          <w:sz w:val="22"/>
          <w:szCs w:val="22"/>
          <w:vertAlign w:val="superscript"/>
          <w:lang w:val="sr-Latn-RS"/>
        </w:rPr>
        <w:t>2</w:t>
      </w:r>
      <w:r w:rsidR="00593BF0" w:rsidRPr="00E00E21">
        <w:rPr>
          <w:bCs/>
          <w:sz w:val="22"/>
          <w:szCs w:val="22"/>
          <w:lang w:val="sr-Latn-RS"/>
        </w:rPr>
        <w:t xml:space="preserve">, PRED=prednizon/prednizolon </w:t>
      </w:r>
    </w:p>
    <w:p w14:paraId="7BC56401" w14:textId="77777777" w:rsidR="00BA201C" w:rsidRPr="00E00E21" w:rsidRDefault="00593BF0" w:rsidP="00593BF0">
      <w:pPr>
        <w:tabs>
          <w:tab w:val="left" w:pos="540"/>
          <w:tab w:val="left" w:pos="569"/>
        </w:tabs>
        <w:jc w:val="both"/>
        <w:rPr>
          <w:bCs/>
          <w:sz w:val="22"/>
          <w:szCs w:val="22"/>
          <w:lang w:val="sr-Latn-RS"/>
        </w:rPr>
      </w:pPr>
      <w:r w:rsidRPr="00E00E21">
        <w:rPr>
          <w:bCs/>
          <w:sz w:val="22"/>
          <w:szCs w:val="22"/>
          <w:lang w:val="sr-Latn-RS"/>
        </w:rPr>
        <w:t xml:space="preserve">CI=interval pouzdanosti, LCI= donja granica intervala pouzdanosti, UCI= gornja granica intervala pouzdanosti </w:t>
      </w:r>
    </w:p>
    <w:p w14:paraId="1A451507" w14:textId="77777777" w:rsidR="00D76387" w:rsidRPr="00E00E21" w:rsidRDefault="00593BF0" w:rsidP="00593BF0">
      <w:pPr>
        <w:tabs>
          <w:tab w:val="left" w:pos="540"/>
          <w:tab w:val="left" w:pos="569"/>
        </w:tabs>
        <w:jc w:val="both"/>
        <w:rPr>
          <w:bCs/>
          <w:sz w:val="22"/>
          <w:szCs w:val="22"/>
          <w:lang w:val="sr-Latn-RS"/>
        </w:rPr>
      </w:pPr>
      <w:r w:rsidRPr="00E00E21">
        <w:rPr>
          <w:bCs/>
          <w:i/>
          <w:sz w:val="22"/>
          <w:szCs w:val="22"/>
          <w:vertAlign w:val="superscript"/>
          <w:lang w:val="sr-Latn-RS"/>
        </w:rPr>
        <w:t>a</w:t>
      </w:r>
      <w:r w:rsidRPr="00E00E21">
        <w:rPr>
          <w:bCs/>
          <w:sz w:val="22"/>
          <w:szCs w:val="22"/>
          <w:lang w:val="sr-Latn-RS"/>
        </w:rPr>
        <w:t xml:space="preserve"> Hazard Ratio je proc</w:t>
      </w:r>
      <w:r w:rsidR="00BA201C" w:rsidRPr="00E00E21">
        <w:rPr>
          <w:bCs/>
          <w:sz w:val="22"/>
          <w:szCs w:val="22"/>
          <w:lang w:val="sr-Latn-RS"/>
        </w:rPr>
        <w:t>ij</w:t>
      </w:r>
      <w:r w:rsidRPr="00E00E21">
        <w:rPr>
          <w:bCs/>
          <w:sz w:val="22"/>
          <w:szCs w:val="22"/>
          <w:lang w:val="sr-Latn-RS"/>
        </w:rPr>
        <w:t>enjen koristeći Koksov proporcionalni hazardni regresioni model. Hazard Ratio &lt; 1 ukazuje na manji rizik od</w:t>
      </w:r>
      <w:r w:rsidR="00BA201C" w:rsidRPr="00E00E21">
        <w:rPr>
          <w:bCs/>
          <w:sz w:val="22"/>
          <w:szCs w:val="22"/>
          <w:lang w:val="sr-Latn-RS"/>
        </w:rPr>
        <w:t xml:space="preserve"> 20 mg/m</w:t>
      </w:r>
      <w:r w:rsidRPr="00E00E21">
        <w:rPr>
          <w:bCs/>
          <w:sz w:val="22"/>
          <w:szCs w:val="22"/>
          <w:vertAlign w:val="superscript"/>
          <w:lang w:val="sr-Latn-RS"/>
        </w:rPr>
        <w:t>2</w:t>
      </w:r>
      <w:r w:rsidRPr="00E00E21">
        <w:rPr>
          <w:bCs/>
          <w:sz w:val="22"/>
          <w:szCs w:val="22"/>
          <w:lang w:val="sr-Latn-RS"/>
        </w:rPr>
        <w:t xml:space="preserve"> u odnosu na 25 mg/m</w:t>
      </w:r>
      <w:r w:rsidRPr="00E00E21">
        <w:rPr>
          <w:bCs/>
          <w:sz w:val="22"/>
          <w:szCs w:val="22"/>
          <w:vertAlign w:val="superscript"/>
          <w:lang w:val="sr-Latn-RS"/>
        </w:rPr>
        <w:t>2</w:t>
      </w:r>
      <w:r w:rsidRPr="00E00E21">
        <w:rPr>
          <w:bCs/>
          <w:sz w:val="22"/>
          <w:szCs w:val="22"/>
          <w:lang w:val="sr-Latn-RS"/>
        </w:rPr>
        <w:t>.</w:t>
      </w:r>
    </w:p>
    <w:p w14:paraId="5E9A72D9" w14:textId="5B7E6066" w:rsidR="00BA201C" w:rsidRPr="00E00E21" w:rsidRDefault="00593BF0" w:rsidP="00593BF0">
      <w:pPr>
        <w:tabs>
          <w:tab w:val="left" w:pos="540"/>
          <w:tab w:val="left" w:pos="569"/>
        </w:tabs>
        <w:jc w:val="both"/>
        <w:rPr>
          <w:bCs/>
          <w:sz w:val="22"/>
          <w:szCs w:val="22"/>
          <w:lang w:val="sr-Latn-RS"/>
        </w:rPr>
      </w:pPr>
      <w:r w:rsidRPr="00E00E21">
        <w:rPr>
          <w:bCs/>
          <w:sz w:val="22"/>
          <w:szCs w:val="22"/>
          <w:lang w:val="sr-Latn-RS"/>
        </w:rPr>
        <w:t xml:space="preserve"> </w:t>
      </w:r>
    </w:p>
    <w:p w14:paraId="6634CBAB" w14:textId="7CBC15E9" w:rsidR="00BA201C" w:rsidRPr="00E00E21" w:rsidRDefault="00593BF0" w:rsidP="00593BF0">
      <w:pPr>
        <w:tabs>
          <w:tab w:val="left" w:pos="540"/>
          <w:tab w:val="left" w:pos="569"/>
        </w:tabs>
        <w:jc w:val="both"/>
        <w:rPr>
          <w:bCs/>
          <w:sz w:val="22"/>
          <w:szCs w:val="22"/>
          <w:lang w:val="sr-Latn-RS"/>
        </w:rPr>
      </w:pPr>
      <w:r w:rsidRPr="00E00E21">
        <w:rPr>
          <w:bCs/>
          <w:sz w:val="22"/>
          <w:szCs w:val="22"/>
          <w:lang w:val="sr-Latn-RS"/>
        </w:rPr>
        <w:t>Bezb</w:t>
      </w:r>
      <w:r w:rsidR="00BA201C" w:rsidRPr="00E00E21">
        <w:rPr>
          <w:bCs/>
          <w:sz w:val="22"/>
          <w:szCs w:val="22"/>
          <w:lang w:val="sr-Latn-RS"/>
        </w:rPr>
        <w:t>j</w:t>
      </w:r>
      <w:r w:rsidRPr="00E00E21">
        <w:rPr>
          <w:bCs/>
          <w:sz w:val="22"/>
          <w:szCs w:val="22"/>
          <w:lang w:val="sr-Latn-RS"/>
        </w:rPr>
        <w:t>edosni profil kabazitaksela 25 mg/m</w:t>
      </w:r>
      <w:r w:rsidRPr="00E00E21">
        <w:rPr>
          <w:bCs/>
          <w:sz w:val="22"/>
          <w:szCs w:val="22"/>
          <w:vertAlign w:val="superscript"/>
          <w:lang w:val="sr-Latn-RS"/>
        </w:rPr>
        <w:t>2</w:t>
      </w:r>
      <w:r w:rsidRPr="00E00E21">
        <w:rPr>
          <w:bCs/>
          <w:sz w:val="22"/>
          <w:szCs w:val="22"/>
          <w:lang w:val="sr-Latn-RS"/>
        </w:rPr>
        <w:t xml:space="preserve"> posmatran u studiji EFC11785 bio je kvantitativno i kvalitativno sličan kao i u studiji EFC6193. Studija EFC11785 je pokazala bolji bezb</w:t>
      </w:r>
      <w:r w:rsidR="00D76387" w:rsidRPr="00E00E21">
        <w:rPr>
          <w:bCs/>
          <w:sz w:val="22"/>
          <w:szCs w:val="22"/>
          <w:lang w:val="sr-Latn-RS"/>
        </w:rPr>
        <w:t>j</w:t>
      </w:r>
      <w:r w:rsidRPr="00E00E21">
        <w:rPr>
          <w:bCs/>
          <w:sz w:val="22"/>
          <w:szCs w:val="22"/>
          <w:lang w:val="sr-Latn-RS"/>
        </w:rPr>
        <w:t>ednosni profil za doze kabazitaksela od 20 mg/m</w:t>
      </w:r>
      <w:r w:rsidRPr="00E00E21">
        <w:rPr>
          <w:bCs/>
          <w:sz w:val="22"/>
          <w:szCs w:val="22"/>
          <w:vertAlign w:val="superscript"/>
          <w:lang w:val="sr-Latn-RS"/>
        </w:rPr>
        <w:t>2</w:t>
      </w:r>
      <w:r w:rsidR="00BA201C" w:rsidRPr="00E00E21">
        <w:rPr>
          <w:bCs/>
          <w:sz w:val="22"/>
          <w:szCs w:val="22"/>
          <w:lang w:val="sr-Latn-RS"/>
        </w:rPr>
        <w:t>.</w:t>
      </w:r>
    </w:p>
    <w:p w14:paraId="12763AFC" w14:textId="77777777" w:rsidR="00BA201C" w:rsidRPr="00E00E21" w:rsidRDefault="00BA201C" w:rsidP="00593BF0">
      <w:pPr>
        <w:tabs>
          <w:tab w:val="left" w:pos="540"/>
          <w:tab w:val="left" w:pos="569"/>
        </w:tabs>
        <w:jc w:val="both"/>
        <w:rPr>
          <w:bCs/>
          <w:sz w:val="22"/>
          <w:szCs w:val="22"/>
          <w:lang w:val="sr-Latn-RS"/>
        </w:rPr>
      </w:pPr>
    </w:p>
    <w:p w14:paraId="5CC1A38C" w14:textId="77777777" w:rsidR="00593BF0" w:rsidRPr="00E00E21" w:rsidRDefault="00593BF0" w:rsidP="00E630C6">
      <w:pPr>
        <w:tabs>
          <w:tab w:val="left" w:pos="540"/>
          <w:tab w:val="left" w:pos="569"/>
        </w:tabs>
        <w:rPr>
          <w:bCs/>
          <w:sz w:val="22"/>
          <w:szCs w:val="22"/>
          <w:lang w:val="sr-Latn-RS"/>
        </w:rPr>
      </w:pPr>
      <w:r w:rsidRPr="00E00E21">
        <w:rPr>
          <w:bCs/>
          <w:sz w:val="22"/>
          <w:szCs w:val="22"/>
          <w:lang w:val="sr-Latn-RS"/>
        </w:rPr>
        <w:t>Tabela 5 - Sažetak bezb</w:t>
      </w:r>
      <w:r w:rsidR="00BA201C" w:rsidRPr="00E00E21">
        <w:rPr>
          <w:bCs/>
          <w:sz w:val="22"/>
          <w:szCs w:val="22"/>
          <w:lang w:val="sr-Latn-RS"/>
        </w:rPr>
        <w:t>j</w:t>
      </w:r>
      <w:r w:rsidRPr="00E00E21">
        <w:rPr>
          <w:bCs/>
          <w:sz w:val="22"/>
          <w:szCs w:val="22"/>
          <w:lang w:val="sr-Latn-RS"/>
        </w:rPr>
        <w:t>ednosnog profila za grupu kabazitaksel 25 mg/m</w:t>
      </w:r>
      <w:r w:rsidRPr="00E00E21">
        <w:rPr>
          <w:bCs/>
          <w:sz w:val="22"/>
          <w:szCs w:val="22"/>
          <w:vertAlign w:val="superscript"/>
          <w:lang w:val="sr-Latn-RS"/>
        </w:rPr>
        <w:t>2</w:t>
      </w:r>
      <w:r w:rsidRPr="00E00E21">
        <w:rPr>
          <w:bCs/>
          <w:sz w:val="22"/>
          <w:szCs w:val="22"/>
          <w:lang w:val="sr-Latn-RS"/>
        </w:rPr>
        <w:t xml:space="preserve"> u odnosu na grupu kabazitaksel 20 mg/m </w:t>
      </w:r>
      <w:r w:rsidRPr="00E00E21">
        <w:rPr>
          <w:bCs/>
          <w:sz w:val="22"/>
          <w:szCs w:val="22"/>
          <w:vertAlign w:val="superscript"/>
          <w:lang w:val="sr-Latn-RS"/>
        </w:rPr>
        <w:t>2</w:t>
      </w:r>
      <w:r w:rsidRPr="00E00E21">
        <w:rPr>
          <w:bCs/>
          <w:sz w:val="22"/>
          <w:szCs w:val="22"/>
          <w:lang w:val="sr-Latn-RS"/>
        </w:rPr>
        <w:t xml:space="preserve"> u EFC11785 studiji</w:t>
      </w:r>
    </w:p>
    <w:tbl>
      <w:tblPr>
        <w:tblW w:w="920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26"/>
        <w:gridCol w:w="2977"/>
        <w:gridCol w:w="3403"/>
      </w:tblGrid>
      <w:tr w:rsidR="00593BF0" w:rsidRPr="00E00E21" w14:paraId="73C663AC"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62CAFDE1" w14:textId="77777777" w:rsidR="00593BF0" w:rsidRPr="00E00E21" w:rsidRDefault="00593BF0" w:rsidP="00593BF0">
            <w:pPr>
              <w:rPr>
                <w:sz w:val="22"/>
                <w:szCs w:val="22"/>
                <w:lang w:val="sr-Latn-RS" w:eastAsia="de-AT"/>
              </w:rPr>
            </w:pPr>
          </w:p>
        </w:tc>
        <w:tc>
          <w:tcPr>
            <w:tcW w:w="1617" w:type="pct"/>
            <w:tcBorders>
              <w:top w:val="outset" w:sz="6" w:space="0" w:color="auto"/>
              <w:left w:val="outset" w:sz="6" w:space="0" w:color="auto"/>
              <w:bottom w:val="outset" w:sz="6" w:space="0" w:color="auto"/>
              <w:right w:val="outset" w:sz="6" w:space="0" w:color="auto"/>
            </w:tcBorders>
            <w:hideMark/>
          </w:tcPr>
          <w:p w14:paraId="207A8080"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CBZ20+PRED</w:t>
            </w:r>
          </w:p>
          <w:p w14:paraId="16A06739"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n=580</w:t>
            </w:r>
          </w:p>
        </w:tc>
        <w:tc>
          <w:tcPr>
            <w:tcW w:w="1848" w:type="pct"/>
            <w:tcBorders>
              <w:top w:val="outset" w:sz="6" w:space="0" w:color="auto"/>
              <w:left w:val="outset" w:sz="6" w:space="0" w:color="auto"/>
              <w:bottom w:val="outset" w:sz="6" w:space="0" w:color="auto"/>
              <w:right w:val="outset" w:sz="6" w:space="0" w:color="auto"/>
            </w:tcBorders>
            <w:hideMark/>
          </w:tcPr>
          <w:p w14:paraId="22A4BC71"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CBZ25+PRED</w:t>
            </w:r>
          </w:p>
          <w:p w14:paraId="24DE0083"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n=595</w:t>
            </w:r>
          </w:p>
        </w:tc>
      </w:tr>
      <w:tr w:rsidR="00593BF0" w:rsidRPr="00E00E21" w14:paraId="2EE40F6C"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1CEAC5A2" w14:textId="77777777" w:rsidR="00593BF0" w:rsidRPr="00E00E21" w:rsidRDefault="00593BF0" w:rsidP="00D76387">
            <w:pPr>
              <w:spacing w:before="100" w:beforeAutospacing="1" w:after="100" w:afterAutospacing="1"/>
              <w:rPr>
                <w:sz w:val="22"/>
                <w:szCs w:val="22"/>
                <w:lang w:val="sr-Latn-RS" w:eastAsia="de-AT"/>
              </w:rPr>
            </w:pPr>
            <w:r w:rsidRPr="00E00E21">
              <w:rPr>
                <w:sz w:val="22"/>
                <w:szCs w:val="22"/>
                <w:lang w:val="sr-Latn-RS" w:eastAsia="de-AT"/>
              </w:rPr>
              <w:t>Medijana  broja ciklusa/ Medijana  trajanja liječenja</w:t>
            </w:r>
          </w:p>
        </w:tc>
        <w:tc>
          <w:tcPr>
            <w:tcW w:w="1617" w:type="pct"/>
            <w:tcBorders>
              <w:top w:val="outset" w:sz="6" w:space="0" w:color="auto"/>
              <w:left w:val="outset" w:sz="6" w:space="0" w:color="auto"/>
              <w:bottom w:val="outset" w:sz="6" w:space="0" w:color="auto"/>
              <w:right w:val="outset" w:sz="6" w:space="0" w:color="auto"/>
            </w:tcBorders>
            <w:hideMark/>
          </w:tcPr>
          <w:p w14:paraId="75AC8CF9"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6/ 18 nedjelja</w:t>
            </w:r>
          </w:p>
        </w:tc>
        <w:tc>
          <w:tcPr>
            <w:tcW w:w="1848" w:type="pct"/>
            <w:tcBorders>
              <w:top w:val="outset" w:sz="6" w:space="0" w:color="auto"/>
              <w:left w:val="outset" w:sz="6" w:space="0" w:color="auto"/>
              <w:bottom w:val="outset" w:sz="6" w:space="0" w:color="auto"/>
              <w:right w:val="outset" w:sz="6" w:space="0" w:color="auto"/>
            </w:tcBorders>
            <w:hideMark/>
          </w:tcPr>
          <w:p w14:paraId="77A92457"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7/ 21 nedjelja</w:t>
            </w:r>
          </w:p>
        </w:tc>
      </w:tr>
      <w:tr w:rsidR="00593BF0" w:rsidRPr="00E00E21" w14:paraId="62EE3E0B"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7E3078C6" w14:textId="77777777" w:rsidR="00593BF0" w:rsidRPr="00E00E21" w:rsidRDefault="00593BF0" w:rsidP="00D76387">
            <w:pPr>
              <w:spacing w:before="100" w:beforeAutospacing="1" w:after="100" w:afterAutospacing="1"/>
              <w:rPr>
                <w:sz w:val="22"/>
                <w:szCs w:val="22"/>
                <w:lang w:val="sr-Latn-RS" w:eastAsia="de-AT"/>
              </w:rPr>
            </w:pPr>
            <w:r w:rsidRPr="00E00E21">
              <w:rPr>
                <w:sz w:val="22"/>
                <w:szCs w:val="22"/>
                <w:lang w:val="sr-Latn-RS" w:eastAsia="de-AT"/>
              </w:rPr>
              <w:t>Broj</w:t>
            </w:r>
            <w:r w:rsidR="002861E9" w:rsidRPr="00E00E21">
              <w:rPr>
                <w:sz w:val="22"/>
                <w:szCs w:val="22"/>
                <w:lang w:val="sr-Latn-RS" w:eastAsia="de-AT"/>
              </w:rPr>
              <w:t xml:space="preserve"> pacijenata sa redukcijom doze</w:t>
            </w:r>
            <w:r w:rsidRPr="00E00E21">
              <w:rPr>
                <w:sz w:val="22"/>
                <w:szCs w:val="22"/>
                <w:lang w:val="sr-Latn-RS" w:eastAsia="de-AT"/>
              </w:rPr>
              <w:t xml:space="preserve"> (%)</w:t>
            </w:r>
          </w:p>
        </w:tc>
        <w:tc>
          <w:tcPr>
            <w:tcW w:w="1617" w:type="pct"/>
            <w:tcBorders>
              <w:top w:val="outset" w:sz="6" w:space="0" w:color="auto"/>
              <w:left w:val="outset" w:sz="6" w:space="0" w:color="auto"/>
              <w:bottom w:val="outset" w:sz="6" w:space="0" w:color="auto"/>
              <w:right w:val="outset" w:sz="6" w:space="0" w:color="auto"/>
            </w:tcBorders>
            <w:hideMark/>
          </w:tcPr>
          <w:p w14:paraId="24963C44" w14:textId="77777777" w:rsidR="00593BF0" w:rsidRPr="00E00E21" w:rsidRDefault="002861E9" w:rsidP="00593BF0">
            <w:pPr>
              <w:spacing w:before="100" w:beforeAutospacing="1" w:after="100" w:afterAutospacing="1"/>
              <w:jc w:val="center"/>
              <w:rPr>
                <w:sz w:val="22"/>
                <w:szCs w:val="22"/>
                <w:lang w:val="sr-Latn-RS" w:eastAsia="de-AT"/>
              </w:rPr>
            </w:pPr>
            <w:r w:rsidRPr="00E00E21">
              <w:rPr>
                <w:sz w:val="22"/>
                <w:szCs w:val="22"/>
                <w:lang w:val="sr-Latn-RS" w:eastAsia="de-AT"/>
              </w:rPr>
              <w:t>Sa</w:t>
            </w:r>
            <w:r w:rsidR="00593BF0" w:rsidRPr="00E00E21">
              <w:rPr>
                <w:sz w:val="22"/>
                <w:szCs w:val="22"/>
                <w:lang w:val="sr-Latn-RS" w:eastAsia="de-AT"/>
              </w:rPr>
              <w:t xml:space="preserve"> 20 </w:t>
            </w:r>
            <w:r w:rsidRPr="00E00E21">
              <w:rPr>
                <w:sz w:val="22"/>
                <w:szCs w:val="22"/>
                <w:lang w:val="sr-Latn-RS" w:eastAsia="de-AT"/>
              </w:rPr>
              <w:t>na</w:t>
            </w:r>
            <w:r w:rsidR="00593BF0" w:rsidRPr="00E00E21">
              <w:rPr>
                <w:sz w:val="22"/>
                <w:szCs w:val="22"/>
                <w:lang w:val="sr-Latn-RS" w:eastAsia="de-AT"/>
              </w:rPr>
              <w:t xml:space="preserve"> 15 mg/m</w:t>
            </w:r>
            <w:r w:rsidR="00593BF0" w:rsidRPr="00E00E21">
              <w:rPr>
                <w:sz w:val="22"/>
                <w:szCs w:val="22"/>
                <w:vertAlign w:val="superscript"/>
                <w:lang w:val="sr-Latn-RS" w:eastAsia="de-AT"/>
              </w:rPr>
              <w:t>2</w:t>
            </w:r>
            <w:r w:rsidR="00593BF0" w:rsidRPr="00E00E21">
              <w:rPr>
                <w:sz w:val="22"/>
                <w:szCs w:val="22"/>
                <w:lang w:val="sr-Latn-RS" w:eastAsia="de-AT"/>
              </w:rPr>
              <w:t>: 58 (10.0%)</w:t>
            </w:r>
          </w:p>
          <w:p w14:paraId="3292CBC1" w14:textId="77777777" w:rsidR="00593BF0" w:rsidRPr="00E00E21" w:rsidRDefault="002861E9" w:rsidP="002861E9">
            <w:pPr>
              <w:spacing w:before="100" w:beforeAutospacing="1" w:after="100" w:afterAutospacing="1"/>
              <w:rPr>
                <w:sz w:val="22"/>
                <w:szCs w:val="22"/>
                <w:lang w:val="sr-Latn-RS" w:eastAsia="de-AT"/>
              </w:rPr>
            </w:pPr>
            <w:r w:rsidRPr="00E00E21">
              <w:rPr>
                <w:sz w:val="22"/>
                <w:szCs w:val="22"/>
                <w:lang w:val="sr-Latn-RS" w:eastAsia="de-AT"/>
              </w:rPr>
              <w:lastRenderedPageBreak/>
              <w:t>Sa</w:t>
            </w:r>
            <w:r w:rsidR="00593BF0" w:rsidRPr="00E00E21">
              <w:rPr>
                <w:sz w:val="22"/>
                <w:szCs w:val="22"/>
                <w:lang w:val="sr-Latn-RS" w:eastAsia="de-AT"/>
              </w:rPr>
              <w:t xml:space="preserve"> 15 </w:t>
            </w:r>
            <w:r w:rsidRPr="00E00E21">
              <w:rPr>
                <w:sz w:val="22"/>
                <w:szCs w:val="22"/>
                <w:lang w:val="sr-Latn-RS" w:eastAsia="de-AT"/>
              </w:rPr>
              <w:t>na</w:t>
            </w:r>
            <w:r w:rsidR="00593BF0" w:rsidRPr="00E00E21">
              <w:rPr>
                <w:sz w:val="22"/>
                <w:szCs w:val="22"/>
                <w:lang w:val="sr-Latn-RS" w:eastAsia="de-AT"/>
              </w:rPr>
              <w:t xml:space="preserve"> 12 mg/m</w:t>
            </w:r>
            <w:r w:rsidR="00593BF0" w:rsidRPr="00E00E21">
              <w:rPr>
                <w:sz w:val="22"/>
                <w:szCs w:val="22"/>
                <w:vertAlign w:val="superscript"/>
                <w:lang w:val="sr-Latn-RS" w:eastAsia="de-AT"/>
              </w:rPr>
              <w:t>2</w:t>
            </w:r>
            <w:r w:rsidR="00593BF0" w:rsidRPr="00E00E21">
              <w:rPr>
                <w:sz w:val="22"/>
                <w:szCs w:val="22"/>
                <w:lang w:val="sr-Latn-RS" w:eastAsia="de-AT"/>
              </w:rPr>
              <w:t>: 9 (1.6%)</w:t>
            </w:r>
          </w:p>
        </w:tc>
        <w:tc>
          <w:tcPr>
            <w:tcW w:w="1848" w:type="pct"/>
            <w:tcBorders>
              <w:top w:val="outset" w:sz="6" w:space="0" w:color="auto"/>
              <w:left w:val="outset" w:sz="6" w:space="0" w:color="auto"/>
              <w:bottom w:val="outset" w:sz="6" w:space="0" w:color="auto"/>
              <w:right w:val="outset" w:sz="6" w:space="0" w:color="auto"/>
            </w:tcBorders>
            <w:hideMark/>
          </w:tcPr>
          <w:p w14:paraId="449F76CA" w14:textId="77777777" w:rsidR="00593BF0" w:rsidRPr="00E00E21" w:rsidRDefault="002861E9" w:rsidP="00E630C6">
            <w:pPr>
              <w:spacing w:before="100" w:beforeAutospacing="1" w:after="100" w:afterAutospacing="1"/>
              <w:rPr>
                <w:sz w:val="22"/>
                <w:szCs w:val="22"/>
                <w:lang w:val="sr-Latn-RS" w:eastAsia="de-AT"/>
              </w:rPr>
            </w:pPr>
            <w:r w:rsidRPr="00E00E21">
              <w:rPr>
                <w:sz w:val="22"/>
                <w:szCs w:val="22"/>
                <w:lang w:val="sr-Latn-RS" w:eastAsia="de-AT"/>
              </w:rPr>
              <w:lastRenderedPageBreak/>
              <w:t>Sa</w:t>
            </w:r>
            <w:r w:rsidR="00593BF0" w:rsidRPr="00E00E21">
              <w:rPr>
                <w:sz w:val="22"/>
                <w:szCs w:val="22"/>
                <w:lang w:val="sr-Latn-RS" w:eastAsia="de-AT"/>
              </w:rPr>
              <w:t xml:space="preserve"> 25 </w:t>
            </w:r>
            <w:r w:rsidRPr="00E00E21">
              <w:rPr>
                <w:sz w:val="22"/>
                <w:szCs w:val="22"/>
                <w:lang w:val="sr-Latn-RS" w:eastAsia="de-AT"/>
              </w:rPr>
              <w:t>na</w:t>
            </w:r>
            <w:r w:rsidR="00593BF0" w:rsidRPr="00E00E21">
              <w:rPr>
                <w:sz w:val="22"/>
                <w:szCs w:val="22"/>
                <w:lang w:val="sr-Latn-RS" w:eastAsia="de-AT"/>
              </w:rPr>
              <w:t xml:space="preserve"> 20 mg/m</w:t>
            </w:r>
            <w:r w:rsidR="00593BF0" w:rsidRPr="00E00E21">
              <w:rPr>
                <w:sz w:val="22"/>
                <w:szCs w:val="22"/>
                <w:vertAlign w:val="superscript"/>
                <w:lang w:val="sr-Latn-RS" w:eastAsia="de-AT"/>
              </w:rPr>
              <w:t>2</w:t>
            </w:r>
            <w:r w:rsidR="00593BF0" w:rsidRPr="00E00E21">
              <w:rPr>
                <w:sz w:val="22"/>
                <w:szCs w:val="22"/>
                <w:lang w:val="sr-Latn-RS" w:eastAsia="de-AT"/>
              </w:rPr>
              <w:t>: 128 (21.5%)</w:t>
            </w:r>
          </w:p>
          <w:p w14:paraId="349D0EC2"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lastRenderedPageBreak/>
              <w:t>Sa 20 na</w:t>
            </w:r>
            <w:r w:rsidR="00593BF0" w:rsidRPr="00E00E21">
              <w:rPr>
                <w:sz w:val="22"/>
                <w:szCs w:val="22"/>
                <w:lang w:val="sr-Latn-RS" w:eastAsia="de-AT"/>
              </w:rPr>
              <w:t xml:space="preserve"> 15 mg/m</w:t>
            </w:r>
            <w:r w:rsidR="00593BF0" w:rsidRPr="00E00E21">
              <w:rPr>
                <w:sz w:val="22"/>
                <w:szCs w:val="22"/>
                <w:vertAlign w:val="superscript"/>
                <w:lang w:val="sr-Latn-RS" w:eastAsia="de-AT"/>
              </w:rPr>
              <w:t>2</w:t>
            </w:r>
            <w:r w:rsidR="00593BF0" w:rsidRPr="00E00E21">
              <w:rPr>
                <w:sz w:val="22"/>
                <w:szCs w:val="22"/>
                <w:lang w:val="sr-Latn-RS" w:eastAsia="de-AT"/>
              </w:rPr>
              <w:t>: 19 (3.2%)</w:t>
            </w:r>
          </w:p>
          <w:p w14:paraId="084BE71F"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 xml:space="preserve">Sa 15 na </w:t>
            </w:r>
            <w:r w:rsidR="00593BF0" w:rsidRPr="00E00E21">
              <w:rPr>
                <w:sz w:val="22"/>
                <w:szCs w:val="22"/>
                <w:lang w:val="sr-Latn-RS" w:eastAsia="de-AT"/>
              </w:rPr>
              <w:t>12 mg/m</w:t>
            </w:r>
            <w:r w:rsidR="00593BF0" w:rsidRPr="00E00E21">
              <w:rPr>
                <w:sz w:val="22"/>
                <w:szCs w:val="22"/>
                <w:vertAlign w:val="superscript"/>
                <w:lang w:val="sr-Latn-RS" w:eastAsia="de-AT"/>
              </w:rPr>
              <w:t>2</w:t>
            </w:r>
            <w:r w:rsidR="00593BF0" w:rsidRPr="00E00E21">
              <w:rPr>
                <w:sz w:val="22"/>
                <w:szCs w:val="22"/>
                <w:lang w:val="sr-Latn-RS" w:eastAsia="de-AT"/>
              </w:rPr>
              <w:t>: 1 (0.2%)</w:t>
            </w:r>
          </w:p>
        </w:tc>
      </w:tr>
      <w:tr w:rsidR="00593BF0" w:rsidRPr="00E00E21" w14:paraId="1FDF66E2" w14:textId="77777777" w:rsidTr="00F946DA">
        <w:trPr>
          <w:tblCellSpacing w:w="0" w:type="dxa"/>
        </w:trPr>
        <w:tc>
          <w:tcPr>
            <w:tcW w:w="3152" w:type="pct"/>
            <w:gridSpan w:val="2"/>
            <w:tcBorders>
              <w:top w:val="outset" w:sz="6" w:space="0" w:color="auto"/>
              <w:left w:val="outset" w:sz="6" w:space="0" w:color="auto"/>
              <w:bottom w:val="outset" w:sz="6" w:space="0" w:color="auto"/>
              <w:right w:val="outset" w:sz="6" w:space="0" w:color="auto"/>
            </w:tcBorders>
            <w:hideMark/>
          </w:tcPr>
          <w:p w14:paraId="68CF0529" w14:textId="77777777" w:rsidR="00593BF0" w:rsidRPr="00E00E21" w:rsidRDefault="002861E9" w:rsidP="00593BF0">
            <w:pPr>
              <w:spacing w:before="100" w:beforeAutospacing="1" w:after="100" w:afterAutospacing="1"/>
              <w:rPr>
                <w:sz w:val="22"/>
                <w:szCs w:val="22"/>
                <w:lang w:val="sr-Latn-RS" w:eastAsia="de-AT"/>
              </w:rPr>
            </w:pPr>
            <w:r w:rsidRPr="00E00E21">
              <w:rPr>
                <w:b/>
                <w:bCs/>
                <w:sz w:val="22"/>
                <w:szCs w:val="22"/>
                <w:lang w:val="sr-Latn-RS" w:eastAsia="de-AT"/>
              </w:rPr>
              <w:lastRenderedPageBreak/>
              <w:t>Neželjene reakcije svih stepena</w:t>
            </w:r>
            <w:r w:rsidR="00593BF0" w:rsidRPr="00E00E21">
              <w:rPr>
                <w:sz w:val="22"/>
                <w:szCs w:val="22"/>
                <w:lang w:val="sr-Latn-RS" w:eastAsia="de-AT"/>
              </w:rPr>
              <w:t xml:space="preserve"> </w:t>
            </w:r>
            <w:r w:rsidR="00593BF0" w:rsidRPr="00E00E21">
              <w:rPr>
                <w:sz w:val="22"/>
                <w:szCs w:val="22"/>
                <w:vertAlign w:val="superscript"/>
                <w:lang w:val="sr-Latn-RS" w:eastAsia="de-AT"/>
              </w:rPr>
              <w:t>a</w:t>
            </w:r>
            <w:r w:rsidR="00593BF0" w:rsidRPr="00E00E21">
              <w:rPr>
                <w:sz w:val="22"/>
                <w:szCs w:val="22"/>
                <w:lang w:val="sr-Latn-RS" w:eastAsia="de-AT"/>
              </w:rPr>
              <w:t xml:space="preserve"> (%)</w:t>
            </w:r>
          </w:p>
        </w:tc>
        <w:tc>
          <w:tcPr>
            <w:tcW w:w="1848" w:type="pct"/>
            <w:tcBorders>
              <w:top w:val="outset" w:sz="6" w:space="0" w:color="auto"/>
              <w:left w:val="outset" w:sz="6" w:space="0" w:color="auto"/>
              <w:bottom w:val="outset" w:sz="6" w:space="0" w:color="auto"/>
              <w:right w:val="outset" w:sz="6" w:space="0" w:color="auto"/>
            </w:tcBorders>
            <w:hideMark/>
          </w:tcPr>
          <w:p w14:paraId="6905D593" w14:textId="77777777" w:rsidR="00593BF0" w:rsidRPr="00E00E21" w:rsidRDefault="00593BF0" w:rsidP="00593BF0">
            <w:pPr>
              <w:rPr>
                <w:sz w:val="22"/>
                <w:szCs w:val="22"/>
                <w:lang w:val="sr-Latn-RS" w:eastAsia="de-AT"/>
              </w:rPr>
            </w:pPr>
          </w:p>
        </w:tc>
      </w:tr>
      <w:tr w:rsidR="00593BF0" w:rsidRPr="00E00E21" w14:paraId="593BB8D4"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587AB6F4" w14:textId="77777777" w:rsidR="00593BF0" w:rsidRPr="00E00E21" w:rsidRDefault="00593BF0" w:rsidP="002861E9">
            <w:pPr>
              <w:spacing w:before="100" w:beforeAutospacing="1" w:after="100" w:afterAutospacing="1"/>
              <w:rPr>
                <w:sz w:val="22"/>
                <w:szCs w:val="22"/>
                <w:lang w:val="sr-Latn-RS" w:eastAsia="de-AT"/>
              </w:rPr>
            </w:pPr>
            <w:r w:rsidRPr="00E00E21">
              <w:rPr>
                <w:sz w:val="22"/>
                <w:szCs w:val="22"/>
                <w:lang w:val="sr-Latn-RS" w:eastAsia="de-AT"/>
              </w:rPr>
              <w:t>Di</w:t>
            </w:r>
            <w:r w:rsidR="002861E9" w:rsidRPr="00E00E21">
              <w:rPr>
                <w:sz w:val="22"/>
                <w:szCs w:val="22"/>
                <w:lang w:val="sr-Latn-RS" w:eastAsia="de-AT"/>
              </w:rPr>
              <w:t>jareja</w:t>
            </w:r>
          </w:p>
        </w:tc>
        <w:tc>
          <w:tcPr>
            <w:tcW w:w="1617" w:type="pct"/>
            <w:tcBorders>
              <w:top w:val="outset" w:sz="6" w:space="0" w:color="auto"/>
              <w:left w:val="outset" w:sz="6" w:space="0" w:color="auto"/>
              <w:bottom w:val="outset" w:sz="6" w:space="0" w:color="auto"/>
              <w:right w:val="outset" w:sz="6" w:space="0" w:color="auto"/>
            </w:tcBorders>
            <w:hideMark/>
          </w:tcPr>
          <w:p w14:paraId="76C99A16"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30.7</w:t>
            </w:r>
          </w:p>
        </w:tc>
        <w:tc>
          <w:tcPr>
            <w:tcW w:w="1848" w:type="pct"/>
            <w:tcBorders>
              <w:top w:val="outset" w:sz="6" w:space="0" w:color="auto"/>
              <w:left w:val="outset" w:sz="6" w:space="0" w:color="auto"/>
              <w:bottom w:val="outset" w:sz="6" w:space="0" w:color="auto"/>
              <w:right w:val="outset" w:sz="6" w:space="0" w:color="auto"/>
            </w:tcBorders>
            <w:hideMark/>
          </w:tcPr>
          <w:p w14:paraId="2F2929F7"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39.8</w:t>
            </w:r>
          </w:p>
        </w:tc>
      </w:tr>
      <w:tr w:rsidR="00593BF0" w:rsidRPr="00E00E21" w14:paraId="72F987EC"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632E7D85"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Mučnina</w:t>
            </w:r>
          </w:p>
        </w:tc>
        <w:tc>
          <w:tcPr>
            <w:tcW w:w="1617" w:type="pct"/>
            <w:tcBorders>
              <w:top w:val="outset" w:sz="6" w:space="0" w:color="auto"/>
              <w:left w:val="outset" w:sz="6" w:space="0" w:color="auto"/>
              <w:bottom w:val="outset" w:sz="6" w:space="0" w:color="auto"/>
              <w:right w:val="outset" w:sz="6" w:space="0" w:color="auto"/>
            </w:tcBorders>
            <w:hideMark/>
          </w:tcPr>
          <w:p w14:paraId="099255B9"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24.5</w:t>
            </w:r>
          </w:p>
        </w:tc>
        <w:tc>
          <w:tcPr>
            <w:tcW w:w="1848" w:type="pct"/>
            <w:tcBorders>
              <w:top w:val="outset" w:sz="6" w:space="0" w:color="auto"/>
              <w:left w:val="outset" w:sz="6" w:space="0" w:color="auto"/>
              <w:bottom w:val="outset" w:sz="6" w:space="0" w:color="auto"/>
              <w:right w:val="outset" w:sz="6" w:space="0" w:color="auto"/>
            </w:tcBorders>
            <w:hideMark/>
          </w:tcPr>
          <w:p w14:paraId="4DEF5E17"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32.1</w:t>
            </w:r>
          </w:p>
        </w:tc>
      </w:tr>
      <w:tr w:rsidR="00593BF0" w:rsidRPr="00E00E21" w14:paraId="6C60A086"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69E05454"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Umor</w:t>
            </w:r>
          </w:p>
        </w:tc>
        <w:tc>
          <w:tcPr>
            <w:tcW w:w="1617" w:type="pct"/>
            <w:tcBorders>
              <w:top w:val="outset" w:sz="6" w:space="0" w:color="auto"/>
              <w:left w:val="outset" w:sz="6" w:space="0" w:color="auto"/>
              <w:bottom w:val="outset" w:sz="6" w:space="0" w:color="auto"/>
              <w:right w:val="outset" w:sz="6" w:space="0" w:color="auto"/>
            </w:tcBorders>
            <w:hideMark/>
          </w:tcPr>
          <w:p w14:paraId="5E10146C"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24.7</w:t>
            </w:r>
          </w:p>
        </w:tc>
        <w:tc>
          <w:tcPr>
            <w:tcW w:w="1848" w:type="pct"/>
            <w:tcBorders>
              <w:top w:val="outset" w:sz="6" w:space="0" w:color="auto"/>
              <w:left w:val="outset" w:sz="6" w:space="0" w:color="auto"/>
              <w:bottom w:val="outset" w:sz="6" w:space="0" w:color="auto"/>
              <w:right w:val="outset" w:sz="6" w:space="0" w:color="auto"/>
            </w:tcBorders>
            <w:hideMark/>
          </w:tcPr>
          <w:p w14:paraId="29EC6161"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27.1</w:t>
            </w:r>
          </w:p>
        </w:tc>
      </w:tr>
      <w:tr w:rsidR="00593BF0" w:rsidRPr="00E00E21" w14:paraId="0FE4173E"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51FB3029"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Hamaturija</w:t>
            </w:r>
          </w:p>
        </w:tc>
        <w:tc>
          <w:tcPr>
            <w:tcW w:w="1617" w:type="pct"/>
            <w:tcBorders>
              <w:top w:val="outset" w:sz="6" w:space="0" w:color="auto"/>
              <w:left w:val="outset" w:sz="6" w:space="0" w:color="auto"/>
              <w:bottom w:val="outset" w:sz="6" w:space="0" w:color="auto"/>
              <w:right w:val="outset" w:sz="6" w:space="0" w:color="auto"/>
            </w:tcBorders>
            <w:hideMark/>
          </w:tcPr>
          <w:p w14:paraId="2C737BEC"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14.1</w:t>
            </w:r>
          </w:p>
        </w:tc>
        <w:tc>
          <w:tcPr>
            <w:tcW w:w="1848" w:type="pct"/>
            <w:tcBorders>
              <w:top w:val="outset" w:sz="6" w:space="0" w:color="auto"/>
              <w:left w:val="outset" w:sz="6" w:space="0" w:color="auto"/>
              <w:bottom w:val="outset" w:sz="6" w:space="0" w:color="auto"/>
              <w:right w:val="outset" w:sz="6" w:space="0" w:color="auto"/>
            </w:tcBorders>
            <w:hideMark/>
          </w:tcPr>
          <w:p w14:paraId="6565DD35"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20.8</w:t>
            </w:r>
          </w:p>
        </w:tc>
      </w:tr>
      <w:tr w:rsidR="00593BF0" w:rsidRPr="00E00E21" w14:paraId="4301B3CA"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3C5C68F6"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Astenija</w:t>
            </w:r>
          </w:p>
        </w:tc>
        <w:tc>
          <w:tcPr>
            <w:tcW w:w="1617" w:type="pct"/>
            <w:tcBorders>
              <w:top w:val="outset" w:sz="6" w:space="0" w:color="auto"/>
              <w:left w:val="outset" w:sz="6" w:space="0" w:color="auto"/>
              <w:bottom w:val="outset" w:sz="6" w:space="0" w:color="auto"/>
              <w:right w:val="outset" w:sz="6" w:space="0" w:color="auto"/>
            </w:tcBorders>
            <w:hideMark/>
          </w:tcPr>
          <w:p w14:paraId="40336B20"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15.3</w:t>
            </w:r>
          </w:p>
        </w:tc>
        <w:tc>
          <w:tcPr>
            <w:tcW w:w="1848" w:type="pct"/>
            <w:tcBorders>
              <w:top w:val="outset" w:sz="6" w:space="0" w:color="auto"/>
              <w:left w:val="outset" w:sz="6" w:space="0" w:color="auto"/>
              <w:bottom w:val="outset" w:sz="6" w:space="0" w:color="auto"/>
              <w:right w:val="outset" w:sz="6" w:space="0" w:color="auto"/>
            </w:tcBorders>
            <w:hideMark/>
          </w:tcPr>
          <w:p w14:paraId="0FA18897"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19.7</w:t>
            </w:r>
          </w:p>
        </w:tc>
      </w:tr>
      <w:tr w:rsidR="00593BF0" w:rsidRPr="00E00E21" w14:paraId="41055B07"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335B294C"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Smanjenje apetita</w:t>
            </w:r>
          </w:p>
        </w:tc>
        <w:tc>
          <w:tcPr>
            <w:tcW w:w="1617" w:type="pct"/>
            <w:tcBorders>
              <w:top w:val="outset" w:sz="6" w:space="0" w:color="auto"/>
              <w:left w:val="outset" w:sz="6" w:space="0" w:color="auto"/>
              <w:bottom w:val="outset" w:sz="6" w:space="0" w:color="auto"/>
              <w:right w:val="outset" w:sz="6" w:space="0" w:color="auto"/>
            </w:tcBorders>
            <w:hideMark/>
          </w:tcPr>
          <w:p w14:paraId="4B4C0513"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13.1</w:t>
            </w:r>
          </w:p>
        </w:tc>
        <w:tc>
          <w:tcPr>
            <w:tcW w:w="1848" w:type="pct"/>
            <w:tcBorders>
              <w:top w:val="outset" w:sz="6" w:space="0" w:color="auto"/>
              <w:left w:val="outset" w:sz="6" w:space="0" w:color="auto"/>
              <w:bottom w:val="outset" w:sz="6" w:space="0" w:color="auto"/>
              <w:right w:val="outset" w:sz="6" w:space="0" w:color="auto"/>
            </w:tcBorders>
            <w:hideMark/>
          </w:tcPr>
          <w:p w14:paraId="3E6B9A25"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18.5</w:t>
            </w:r>
          </w:p>
        </w:tc>
      </w:tr>
      <w:tr w:rsidR="00593BF0" w:rsidRPr="00E00E21" w14:paraId="743898ED"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0581F05E"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Povraćanje</w:t>
            </w:r>
          </w:p>
        </w:tc>
        <w:tc>
          <w:tcPr>
            <w:tcW w:w="1617" w:type="pct"/>
            <w:tcBorders>
              <w:top w:val="outset" w:sz="6" w:space="0" w:color="auto"/>
              <w:left w:val="outset" w:sz="6" w:space="0" w:color="auto"/>
              <w:bottom w:val="outset" w:sz="6" w:space="0" w:color="auto"/>
              <w:right w:val="outset" w:sz="6" w:space="0" w:color="auto"/>
            </w:tcBorders>
            <w:hideMark/>
          </w:tcPr>
          <w:p w14:paraId="64EEEAF0"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14.5</w:t>
            </w:r>
          </w:p>
        </w:tc>
        <w:tc>
          <w:tcPr>
            <w:tcW w:w="1848" w:type="pct"/>
            <w:tcBorders>
              <w:top w:val="outset" w:sz="6" w:space="0" w:color="auto"/>
              <w:left w:val="outset" w:sz="6" w:space="0" w:color="auto"/>
              <w:bottom w:val="outset" w:sz="6" w:space="0" w:color="auto"/>
              <w:right w:val="outset" w:sz="6" w:space="0" w:color="auto"/>
            </w:tcBorders>
            <w:hideMark/>
          </w:tcPr>
          <w:p w14:paraId="3CB7DA25"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18.2</w:t>
            </w:r>
          </w:p>
        </w:tc>
      </w:tr>
      <w:tr w:rsidR="00593BF0" w:rsidRPr="00E00E21" w14:paraId="26384A99"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3A4FB3FC"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Konstipacija</w:t>
            </w:r>
          </w:p>
        </w:tc>
        <w:tc>
          <w:tcPr>
            <w:tcW w:w="1617" w:type="pct"/>
            <w:tcBorders>
              <w:top w:val="outset" w:sz="6" w:space="0" w:color="auto"/>
              <w:left w:val="outset" w:sz="6" w:space="0" w:color="auto"/>
              <w:bottom w:val="outset" w:sz="6" w:space="0" w:color="auto"/>
              <w:right w:val="outset" w:sz="6" w:space="0" w:color="auto"/>
            </w:tcBorders>
            <w:hideMark/>
          </w:tcPr>
          <w:p w14:paraId="1EB89601"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17.6</w:t>
            </w:r>
          </w:p>
        </w:tc>
        <w:tc>
          <w:tcPr>
            <w:tcW w:w="1848" w:type="pct"/>
            <w:tcBorders>
              <w:top w:val="outset" w:sz="6" w:space="0" w:color="auto"/>
              <w:left w:val="outset" w:sz="6" w:space="0" w:color="auto"/>
              <w:bottom w:val="outset" w:sz="6" w:space="0" w:color="auto"/>
              <w:right w:val="outset" w:sz="6" w:space="0" w:color="auto"/>
            </w:tcBorders>
            <w:hideMark/>
          </w:tcPr>
          <w:p w14:paraId="2A5F5478"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18.0</w:t>
            </w:r>
          </w:p>
        </w:tc>
      </w:tr>
      <w:tr w:rsidR="00593BF0" w:rsidRPr="00E00E21" w14:paraId="2D4A6842"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vAlign w:val="center"/>
            <w:hideMark/>
          </w:tcPr>
          <w:p w14:paraId="5892A29A"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Bol u leđima</w:t>
            </w:r>
          </w:p>
        </w:tc>
        <w:tc>
          <w:tcPr>
            <w:tcW w:w="1617" w:type="pct"/>
            <w:tcBorders>
              <w:top w:val="outset" w:sz="6" w:space="0" w:color="auto"/>
              <w:left w:val="outset" w:sz="6" w:space="0" w:color="auto"/>
              <w:bottom w:val="outset" w:sz="6" w:space="0" w:color="auto"/>
              <w:right w:val="outset" w:sz="6" w:space="0" w:color="auto"/>
            </w:tcBorders>
            <w:hideMark/>
          </w:tcPr>
          <w:p w14:paraId="0C74D1AE"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11.0</w:t>
            </w:r>
          </w:p>
        </w:tc>
        <w:tc>
          <w:tcPr>
            <w:tcW w:w="1848" w:type="pct"/>
            <w:tcBorders>
              <w:top w:val="outset" w:sz="6" w:space="0" w:color="auto"/>
              <w:left w:val="outset" w:sz="6" w:space="0" w:color="auto"/>
              <w:bottom w:val="outset" w:sz="6" w:space="0" w:color="auto"/>
              <w:right w:val="outset" w:sz="6" w:space="0" w:color="auto"/>
            </w:tcBorders>
            <w:hideMark/>
          </w:tcPr>
          <w:p w14:paraId="789CAA9E"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13.9</w:t>
            </w:r>
          </w:p>
        </w:tc>
      </w:tr>
      <w:tr w:rsidR="00593BF0" w:rsidRPr="00E00E21" w14:paraId="36FA3F77"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1A8E855E"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 xml:space="preserve">Klinička </w:t>
            </w:r>
            <w:r w:rsidR="00593BF0" w:rsidRPr="00E00E21">
              <w:rPr>
                <w:sz w:val="22"/>
                <w:szCs w:val="22"/>
                <w:lang w:val="sr-Latn-RS" w:eastAsia="de-AT"/>
              </w:rPr>
              <w:t>neutropeni</w:t>
            </w:r>
            <w:r w:rsidRPr="00E00E21">
              <w:rPr>
                <w:sz w:val="22"/>
                <w:szCs w:val="22"/>
                <w:lang w:val="sr-Latn-RS" w:eastAsia="de-AT"/>
              </w:rPr>
              <w:t>j</w:t>
            </w:r>
            <w:r w:rsidR="00593BF0" w:rsidRPr="00E00E21">
              <w:rPr>
                <w:sz w:val="22"/>
                <w:szCs w:val="22"/>
                <w:lang w:val="sr-Latn-RS" w:eastAsia="de-AT"/>
              </w:rPr>
              <w:t>a</w:t>
            </w:r>
          </w:p>
        </w:tc>
        <w:tc>
          <w:tcPr>
            <w:tcW w:w="1617" w:type="pct"/>
            <w:tcBorders>
              <w:top w:val="outset" w:sz="6" w:space="0" w:color="auto"/>
              <w:left w:val="outset" w:sz="6" w:space="0" w:color="auto"/>
              <w:bottom w:val="outset" w:sz="6" w:space="0" w:color="auto"/>
              <w:right w:val="outset" w:sz="6" w:space="0" w:color="auto"/>
            </w:tcBorders>
            <w:hideMark/>
          </w:tcPr>
          <w:p w14:paraId="689F355F"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3.1</w:t>
            </w:r>
          </w:p>
        </w:tc>
        <w:tc>
          <w:tcPr>
            <w:tcW w:w="1848" w:type="pct"/>
            <w:tcBorders>
              <w:top w:val="outset" w:sz="6" w:space="0" w:color="auto"/>
              <w:left w:val="outset" w:sz="6" w:space="0" w:color="auto"/>
              <w:bottom w:val="outset" w:sz="6" w:space="0" w:color="auto"/>
              <w:right w:val="outset" w:sz="6" w:space="0" w:color="auto"/>
            </w:tcBorders>
            <w:hideMark/>
          </w:tcPr>
          <w:p w14:paraId="3ECF6FA1"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10.9</w:t>
            </w:r>
          </w:p>
        </w:tc>
      </w:tr>
      <w:tr w:rsidR="00593BF0" w:rsidRPr="00E00E21" w14:paraId="220E9917"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3961991D"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Infekcija urinarnog trakta</w:t>
            </w:r>
          </w:p>
        </w:tc>
        <w:tc>
          <w:tcPr>
            <w:tcW w:w="1617" w:type="pct"/>
            <w:tcBorders>
              <w:top w:val="outset" w:sz="6" w:space="0" w:color="auto"/>
              <w:left w:val="outset" w:sz="6" w:space="0" w:color="auto"/>
              <w:bottom w:val="outset" w:sz="6" w:space="0" w:color="auto"/>
              <w:right w:val="outset" w:sz="6" w:space="0" w:color="auto"/>
            </w:tcBorders>
            <w:hideMark/>
          </w:tcPr>
          <w:p w14:paraId="703BC20D"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6.9</w:t>
            </w:r>
          </w:p>
        </w:tc>
        <w:tc>
          <w:tcPr>
            <w:tcW w:w="1848" w:type="pct"/>
            <w:tcBorders>
              <w:top w:val="outset" w:sz="6" w:space="0" w:color="auto"/>
              <w:left w:val="outset" w:sz="6" w:space="0" w:color="auto"/>
              <w:bottom w:val="outset" w:sz="6" w:space="0" w:color="auto"/>
              <w:right w:val="outset" w:sz="6" w:space="0" w:color="auto"/>
            </w:tcBorders>
            <w:hideMark/>
          </w:tcPr>
          <w:p w14:paraId="3F9068BB"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10.8</w:t>
            </w:r>
          </w:p>
        </w:tc>
      </w:tr>
      <w:tr w:rsidR="00593BF0" w:rsidRPr="00E00E21" w14:paraId="2C670D07"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2513C1F4"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Periferna senzorna neutropatija</w:t>
            </w:r>
          </w:p>
        </w:tc>
        <w:tc>
          <w:tcPr>
            <w:tcW w:w="1617" w:type="pct"/>
            <w:tcBorders>
              <w:top w:val="outset" w:sz="6" w:space="0" w:color="auto"/>
              <w:left w:val="outset" w:sz="6" w:space="0" w:color="auto"/>
              <w:bottom w:val="outset" w:sz="6" w:space="0" w:color="auto"/>
              <w:right w:val="outset" w:sz="6" w:space="0" w:color="auto"/>
            </w:tcBorders>
            <w:hideMark/>
          </w:tcPr>
          <w:p w14:paraId="020462C5"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6.6</w:t>
            </w:r>
          </w:p>
        </w:tc>
        <w:tc>
          <w:tcPr>
            <w:tcW w:w="1848" w:type="pct"/>
            <w:tcBorders>
              <w:top w:val="outset" w:sz="6" w:space="0" w:color="auto"/>
              <w:left w:val="outset" w:sz="6" w:space="0" w:color="auto"/>
              <w:bottom w:val="outset" w:sz="6" w:space="0" w:color="auto"/>
              <w:right w:val="outset" w:sz="6" w:space="0" w:color="auto"/>
            </w:tcBorders>
            <w:hideMark/>
          </w:tcPr>
          <w:p w14:paraId="7D4DCAB9"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10.6</w:t>
            </w:r>
          </w:p>
        </w:tc>
      </w:tr>
      <w:tr w:rsidR="00593BF0" w:rsidRPr="00E00E21" w14:paraId="520B95D2"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086B8CA7" w14:textId="77777777" w:rsidR="00593BF0" w:rsidRPr="00E00E21" w:rsidRDefault="00593BF0" w:rsidP="002861E9">
            <w:pPr>
              <w:spacing w:before="100" w:beforeAutospacing="1" w:after="100" w:afterAutospacing="1"/>
              <w:rPr>
                <w:sz w:val="22"/>
                <w:szCs w:val="22"/>
                <w:lang w:val="sr-Latn-RS" w:eastAsia="de-AT"/>
              </w:rPr>
            </w:pPr>
            <w:r w:rsidRPr="00E00E21">
              <w:rPr>
                <w:sz w:val="22"/>
                <w:szCs w:val="22"/>
                <w:lang w:val="sr-Latn-RS" w:eastAsia="de-AT"/>
              </w:rPr>
              <w:t>D</w:t>
            </w:r>
            <w:r w:rsidR="002861E9" w:rsidRPr="00E00E21">
              <w:rPr>
                <w:sz w:val="22"/>
                <w:szCs w:val="22"/>
                <w:lang w:val="sr-Latn-RS" w:eastAsia="de-AT"/>
              </w:rPr>
              <w:t>isgeuzija</w:t>
            </w:r>
          </w:p>
        </w:tc>
        <w:tc>
          <w:tcPr>
            <w:tcW w:w="1617" w:type="pct"/>
            <w:tcBorders>
              <w:top w:val="outset" w:sz="6" w:space="0" w:color="auto"/>
              <w:left w:val="outset" w:sz="6" w:space="0" w:color="auto"/>
              <w:bottom w:val="outset" w:sz="6" w:space="0" w:color="auto"/>
              <w:right w:val="outset" w:sz="6" w:space="0" w:color="auto"/>
            </w:tcBorders>
            <w:hideMark/>
          </w:tcPr>
          <w:p w14:paraId="20FFA49B"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7.1</w:t>
            </w:r>
          </w:p>
        </w:tc>
        <w:tc>
          <w:tcPr>
            <w:tcW w:w="1848" w:type="pct"/>
            <w:tcBorders>
              <w:top w:val="outset" w:sz="6" w:space="0" w:color="auto"/>
              <w:left w:val="outset" w:sz="6" w:space="0" w:color="auto"/>
              <w:bottom w:val="outset" w:sz="6" w:space="0" w:color="auto"/>
              <w:right w:val="outset" w:sz="6" w:space="0" w:color="auto"/>
            </w:tcBorders>
            <w:hideMark/>
          </w:tcPr>
          <w:p w14:paraId="0A5AA228"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10.6</w:t>
            </w:r>
          </w:p>
        </w:tc>
      </w:tr>
      <w:tr w:rsidR="00593BF0" w:rsidRPr="00E00E21" w14:paraId="237B9234" w14:textId="77777777" w:rsidTr="00F946DA">
        <w:trPr>
          <w:tblCellSpacing w:w="0" w:type="dxa"/>
        </w:trPr>
        <w:tc>
          <w:tcPr>
            <w:tcW w:w="3152" w:type="pct"/>
            <w:gridSpan w:val="2"/>
            <w:tcBorders>
              <w:top w:val="outset" w:sz="6" w:space="0" w:color="auto"/>
              <w:left w:val="outset" w:sz="6" w:space="0" w:color="auto"/>
              <w:bottom w:val="outset" w:sz="6" w:space="0" w:color="auto"/>
              <w:right w:val="outset" w:sz="6" w:space="0" w:color="auto"/>
            </w:tcBorders>
            <w:hideMark/>
          </w:tcPr>
          <w:p w14:paraId="217F8975" w14:textId="77777777" w:rsidR="00593BF0" w:rsidRPr="00E00E21" w:rsidRDefault="002861E9" w:rsidP="002861E9">
            <w:pPr>
              <w:spacing w:before="100" w:beforeAutospacing="1" w:after="100" w:afterAutospacing="1"/>
              <w:rPr>
                <w:sz w:val="22"/>
                <w:szCs w:val="22"/>
                <w:lang w:val="sr-Latn-RS" w:eastAsia="de-AT"/>
              </w:rPr>
            </w:pPr>
            <w:r w:rsidRPr="00E00E21">
              <w:rPr>
                <w:b/>
                <w:bCs/>
                <w:sz w:val="22"/>
                <w:szCs w:val="22"/>
                <w:lang w:val="sr-Latn-RS" w:eastAsia="de-AT"/>
              </w:rPr>
              <w:t>Neželjene reakcije stepena</w:t>
            </w:r>
            <w:r w:rsidR="00593BF0" w:rsidRPr="00E00E21">
              <w:rPr>
                <w:b/>
                <w:bCs/>
                <w:sz w:val="22"/>
                <w:szCs w:val="22"/>
                <w:lang w:val="sr-Latn-RS" w:eastAsia="de-AT"/>
              </w:rPr>
              <w:t xml:space="preserve"> ≥ 3</w:t>
            </w:r>
            <w:r w:rsidR="00593BF0" w:rsidRPr="00E00E21">
              <w:rPr>
                <w:sz w:val="22"/>
                <w:szCs w:val="22"/>
                <w:lang w:val="sr-Latn-RS" w:eastAsia="de-AT"/>
              </w:rPr>
              <w:t xml:space="preserve"> </w:t>
            </w:r>
            <w:r w:rsidR="00593BF0" w:rsidRPr="00E00E21">
              <w:rPr>
                <w:sz w:val="22"/>
                <w:szCs w:val="22"/>
                <w:vertAlign w:val="superscript"/>
                <w:lang w:val="sr-Latn-RS" w:eastAsia="de-AT"/>
              </w:rPr>
              <w:t xml:space="preserve">b </w:t>
            </w:r>
            <w:r w:rsidR="00593BF0" w:rsidRPr="00E00E21">
              <w:rPr>
                <w:sz w:val="22"/>
                <w:szCs w:val="22"/>
                <w:lang w:val="sr-Latn-RS" w:eastAsia="de-AT"/>
              </w:rPr>
              <w:t>(%)</w:t>
            </w:r>
          </w:p>
        </w:tc>
        <w:tc>
          <w:tcPr>
            <w:tcW w:w="1848" w:type="pct"/>
            <w:tcBorders>
              <w:top w:val="outset" w:sz="6" w:space="0" w:color="auto"/>
              <w:left w:val="outset" w:sz="6" w:space="0" w:color="auto"/>
              <w:bottom w:val="outset" w:sz="6" w:space="0" w:color="auto"/>
              <w:right w:val="outset" w:sz="6" w:space="0" w:color="auto"/>
            </w:tcBorders>
            <w:hideMark/>
          </w:tcPr>
          <w:p w14:paraId="34C9241F" w14:textId="77777777" w:rsidR="00593BF0" w:rsidRPr="00E00E21" w:rsidRDefault="00593BF0" w:rsidP="00593BF0">
            <w:pPr>
              <w:rPr>
                <w:sz w:val="22"/>
                <w:szCs w:val="22"/>
                <w:lang w:val="sr-Latn-RS" w:eastAsia="de-AT"/>
              </w:rPr>
            </w:pPr>
          </w:p>
        </w:tc>
      </w:tr>
      <w:tr w:rsidR="00593BF0" w:rsidRPr="00E00E21" w14:paraId="611CC47F"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56A49FAB" w14:textId="77777777" w:rsidR="00593BF0" w:rsidRPr="00E00E21" w:rsidRDefault="002861E9" w:rsidP="00593BF0">
            <w:pPr>
              <w:spacing w:before="100" w:beforeAutospacing="1" w:after="100" w:afterAutospacing="1"/>
              <w:rPr>
                <w:sz w:val="22"/>
                <w:szCs w:val="22"/>
                <w:lang w:val="sr-Latn-RS" w:eastAsia="de-AT"/>
              </w:rPr>
            </w:pPr>
            <w:r w:rsidRPr="00E00E21">
              <w:rPr>
                <w:sz w:val="22"/>
                <w:szCs w:val="22"/>
                <w:lang w:val="sr-Latn-RS" w:eastAsia="de-AT"/>
              </w:rPr>
              <w:t>Klinička neutropenija</w:t>
            </w:r>
          </w:p>
        </w:tc>
        <w:tc>
          <w:tcPr>
            <w:tcW w:w="1617" w:type="pct"/>
            <w:tcBorders>
              <w:top w:val="outset" w:sz="6" w:space="0" w:color="auto"/>
              <w:left w:val="outset" w:sz="6" w:space="0" w:color="auto"/>
              <w:bottom w:val="outset" w:sz="6" w:space="0" w:color="auto"/>
              <w:right w:val="outset" w:sz="6" w:space="0" w:color="auto"/>
            </w:tcBorders>
            <w:hideMark/>
          </w:tcPr>
          <w:p w14:paraId="048E479B"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2.4</w:t>
            </w:r>
          </w:p>
        </w:tc>
        <w:tc>
          <w:tcPr>
            <w:tcW w:w="1848" w:type="pct"/>
            <w:tcBorders>
              <w:top w:val="outset" w:sz="6" w:space="0" w:color="auto"/>
              <w:left w:val="outset" w:sz="6" w:space="0" w:color="auto"/>
              <w:bottom w:val="outset" w:sz="6" w:space="0" w:color="auto"/>
              <w:right w:val="outset" w:sz="6" w:space="0" w:color="auto"/>
            </w:tcBorders>
            <w:hideMark/>
          </w:tcPr>
          <w:p w14:paraId="615DA8AC"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9.6</w:t>
            </w:r>
          </w:p>
        </w:tc>
      </w:tr>
      <w:tr w:rsidR="00593BF0" w:rsidRPr="00E00E21" w14:paraId="288F7234"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hideMark/>
          </w:tcPr>
          <w:p w14:paraId="27AB1933" w14:textId="77777777" w:rsidR="00593BF0" w:rsidRPr="00E00E21" w:rsidRDefault="00593BF0" w:rsidP="002861E9">
            <w:pPr>
              <w:spacing w:before="100" w:beforeAutospacing="1" w:after="100" w:afterAutospacing="1"/>
              <w:rPr>
                <w:sz w:val="22"/>
                <w:szCs w:val="22"/>
                <w:lang w:val="sr-Latn-RS" w:eastAsia="de-AT"/>
              </w:rPr>
            </w:pPr>
            <w:r w:rsidRPr="00E00E21">
              <w:rPr>
                <w:sz w:val="22"/>
                <w:szCs w:val="22"/>
                <w:lang w:val="sr-Latn-RS" w:eastAsia="de-AT"/>
              </w:rPr>
              <w:t>Febril</w:t>
            </w:r>
            <w:r w:rsidR="002861E9" w:rsidRPr="00E00E21">
              <w:rPr>
                <w:sz w:val="22"/>
                <w:szCs w:val="22"/>
                <w:lang w:val="sr-Latn-RS" w:eastAsia="de-AT"/>
              </w:rPr>
              <w:t>na</w:t>
            </w:r>
            <w:r w:rsidRPr="00E00E21">
              <w:rPr>
                <w:sz w:val="22"/>
                <w:szCs w:val="22"/>
                <w:lang w:val="sr-Latn-RS" w:eastAsia="de-AT"/>
              </w:rPr>
              <w:t xml:space="preserve"> neutropeni</w:t>
            </w:r>
            <w:r w:rsidR="002861E9" w:rsidRPr="00E00E21">
              <w:rPr>
                <w:sz w:val="22"/>
                <w:szCs w:val="22"/>
                <w:lang w:val="sr-Latn-RS" w:eastAsia="de-AT"/>
              </w:rPr>
              <w:t>j</w:t>
            </w:r>
            <w:r w:rsidRPr="00E00E21">
              <w:rPr>
                <w:sz w:val="22"/>
                <w:szCs w:val="22"/>
                <w:lang w:val="sr-Latn-RS" w:eastAsia="de-AT"/>
              </w:rPr>
              <w:t>a</w:t>
            </w:r>
          </w:p>
        </w:tc>
        <w:tc>
          <w:tcPr>
            <w:tcW w:w="1617" w:type="pct"/>
            <w:tcBorders>
              <w:top w:val="outset" w:sz="6" w:space="0" w:color="auto"/>
              <w:left w:val="outset" w:sz="6" w:space="0" w:color="auto"/>
              <w:bottom w:val="outset" w:sz="6" w:space="0" w:color="auto"/>
              <w:right w:val="outset" w:sz="6" w:space="0" w:color="auto"/>
            </w:tcBorders>
            <w:hideMark/>
          </w:tcPr>
          <w:p w14:paraId="69F283EE"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2.1</w:t>
            </w:r>
          </w:p>
        </w:tc>
        <w:tc>
          <w:tcPr>
            <w:tcW w:w="1848" w:type="pct"/>
            <w:tcBorders>
              <w:top w:val="outset" w:sz="6" w:space="0" w:color="auto"/>
              <w:left w:val="outset" w:sz="6" w:space="0" w:color="auto"/>
              <w:bottom w:val="outset" w:sz="6" w:space="0" w:color="auto"/>
              <w:right w:val="outset" w:sz="6" w:space="0" w:color="auto"/>
            </w:tcBorders>
            <w:hideMark/>
          </w:tcPr>
          <w:p w14:paraId="17BC2977"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9.2</w:t>
            </w:r>
          </w:p>
        </w:tc>
      </w:tr>
      <w:tr w:rsidR="00593BF0" w:rsidRPr="00E00E21" w14:paraId="5CC1944D" w14:textId="77777777" w:rsidTr="00F946DA">
        <w:trPr>
          <w:tblCellSpacing w:w="0" w:type="dxa"/>
        </w:trPr>
        <w:tc>
          <w:tcPr>
            <w:tcW w:w="3152" w:type="pct"/>
            <w:gridSpan w:val="2"/>
            <w:tcBorders>
              <w:top w:val="outset" w:sz="6" w:space="0" w:color="auto"/>
              <w:left w:val="outset" w:sz="6" w:space="0" w:color="auto"/>
              <w:bottom w:val="outset" w:sz="6" w:space="0" w:color="auto"/>
              <w:right w:val="outset" w:sz="6" w:space="0" w:color="auto"/>
            </w:tcBorders>
            <w:hideMark/>
          </w:tcPr>
          <w:p w14:paraId="221D02AB" w14:textId="77777777" w:rsidR="00593BF0" w:rsidRPr="00E00E21" w:rsidRDefault="00593BF0" w:rsidP="002861E9">
            <w:pPr>
              <w:spacing w:before="100" w:beforeAutospacing="1" w:after="100" w:afterAutospacing="1"/>
              <w:rPr>
                <w:sz w:val="22"/>
                <w:szCs w:val="22"/>
                <w:lang w:val="sr-Latn-RS" w:eastAsia="de-AT"/>
              </w:rPr>
            </w:pPr>
            <w:r w:rsidRPr="00E00E21">
              <w:rPr>
                <w:b/>
                <w:bCs/>
                <w:sz w:val="22"/>
                <w:szCs w:val="22"/>
                <w:lang w:val="sr-Latn-RS" w:eastAsia="de-AT"/>
              </w:rPr>
              <w:t>Haematolo</w:t>
            </w:r>
            <w:r w:rsidR="002861E9" w:rsidRPr="00E00E21">
              <w:rPr>
                <w:b/>
                <w:bCs/>
                <w:sz w:val="22"/>
                <w:szCs w:val="22"/>
                <w:lang w:val="sr-Latn-RS" w:eastAsia="de-AT"/>
              </w:rPr>
              <w:t>ška odstupanja</w:t>
            </w:r>
            <w:r w:rsidRPr="00E00E21">
              <w:rPr>
                <w:sz w:val="22"/>
                <w:szCs w:val="22"/>
                <w:lang w:val="sr-Latn-RS" w:eastAsia="de-AT"/>
              </w:rPr>
              <w:t xml:space="preserve"> </w:t>
            </w:r>
            <w:r w:rsidRPr="00E00E21">
              <w:rPr>
                <w:sz w:val="22"/>
                <w:szCs w:val="22"/>
                <w:vertAlign w:val="superscript"/>
                <w:lang w:val="sr-Latn-RS" w:eastAsia="de-AT"/>
              </w:rPr>
              <w:t xml:space="preserve">c </w:t>
            </w:r>
            <w:r w:rsidRPr="00E00E21">
              <w:rPr>
                <w:sz w:val="22"/>
                <w:szCs w:val="22"/>
                <w:lang w:val="sr-Latn-RS" w:eastAsia="de-AT"/>
              </w:rPr>
              <w:t>(%)</w:t>
            </w:r>
          </w:p>
        </w:tc>
        <w:tc>
          <w:tcPr>
            <w:tcW w:w="1848" w:type="pct"/>
            <w:tcBorders>
              <w:top w:val="outset" w:sz="6" w:space="0" w:color="auto"/>
              <w:left w:val="outset" w:sz="6" w:space="0" w:color="auto"/>
              <w:bottom w:val="outset" w:sz="6" w:space="0" w:color="auto"/>
              <w:right w:val="outset" w:sz="6" w:space="0" w:color="auto"/>
            </w:tcBorders>
            <w:vAlign w:val="bottom"/>
            <w:hideMark/>
          </w:tcPr>
          <w:p w14:paraId="4DFC226D" w14:textId="77777777" w:rsidR="00593BF0" w:rsidRPr="00E00E21" w:rsidRDefault="00593BF0" w:rsidP="00593BF0">
            <w:pPr>
              <w:rPr>
                <w:sz w:val="22"/>
                <w:szCs w:val="22"/>
                <w:lang w:val="sr-Latn-RS" w:eastAsia="de-AT"/>
              </w:rPr>
            </w:pPr>
          </w:p>
        </w:tc>
      </w:tr>
      <w:tr w:rsidR="00593BF0" w:rsidRPr="00E00E21" w14:paraId="5FBB8FA3"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vAlign w:val="bottom"/>
            <w:hideMark/>
          </w:tcPr>
          <w:p w14:paraId="09632C9C" w14:textId="77777777" w:rsidR="00593BF0" w:rsidRPr="00E00E21" w:rsidRDefault="002861E9" w:rsidP="002861E9">
            <w:pPr>
              <w:spacing w:before="100" w:beforeAutospacing="1" w:after="100" w:afterAutospacing="1"/>
              <w:rPr>
                <w:sz w:val="22"/>
                <w:szCs w:val="22"/>
                <w:lang w:val="sr-Latn-RS" w:eastAsia="de-AT"/>
              </w:rPr>
            </w:pPr>
            <w:r w:rsidRPr="00E00E21">
              <w:rPr>
                <w:sz w:val="22"/>
                <w:szCs w:val="22"/>
                <w:lang w:val="sr-Latn-RS" w:eastAsia="de-AT"/>
              </w:rPr>
              <w:t xml:space="preserve">Neutropenija stepena </w:t>
            </w:r>
            <w:r w:rsidR="00593BF0" w:rsidRPr="00E00E21">
              <w:rPr>
                <w:sz w:val="22"/>
                <w:szCs w:val="22"/>
                <w:lang w:val="sr-Latn-RS" w:eastAsia="de-AT"/>
              </w:rPr>
              <w:t xml:space="preserve"> ≥ 3 </w:t>
            </w:r>
          </w:p>
        </w:tc>
        <w:tc>
          <w:tcPr>
            <w:tcW w:w="1617" w:type="pct"/>
            <w:tcBorders>
              <w:top w:val="outset" w:sz="6" w:space="0" w:color="auto"/>
              <w:left w:val="outset" w:sz="6" w:space="0" w:color="auto"/>
              <w:bottom w:val="outset" w:sz="6" w:space="0" w:color="auto"/>
              <w:right w:val="outset" w:sz="6" w:space="0" w:color="auto"/>
            </w:tcBorders>
            <w:vAlign w:val="bottom"/>
            <w:hideMark/>
          </w:tcPr>
          <w:p w14:paraId="3CB31FF5"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41.8</w:t>
            </w:r>
          </w:p>
        </w:tc>
        <w:tc>
          <w:tcPr>
            <w:tcW w:w="1848" w:type="pct"/>
            <w:tcBorders>
              <w:top w:val="outset" w:sz="6" w:space="0" w:color="auto"/>
              <w:left w:val="outset" w:sz="6" w:space="0" w:color="auto"/>
              <w:bottom w:val="outset" w:sz="6" w:space="0" w:color="auto"/>
              <w:right w:val="outset" w:sz="6" w:space="0" w:color="auto"/>
            </w:tcBorders>
            <w:hideMark/>
          </w:tcPr>
          <w:p w14:paraId="3EDDD830"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73.3</w:t>
            </w:r>
          </w:p>
        </w:tc>
      </w:tr>
      <w:tr w:rsidR="00593BF0" w:rsidRPr="00E00E21" w14:paraId="3446DC8C"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vAlign w:val="bottom"/>
            <w:hideMark/>
          </w:tcPr>
          <w:p w14:paraId="39825720" w14:textId="77777777" w:rsidR="00593BF0" w:rsidRPr="00E00E21" w:rsidRDefault="002861E9" w:rsidP="002861E9">
            <w:pPr>
              <w:spacing w:before="100" w:beforeAutospacing="1" w:after="100" w:afterAutospacing="1"/>
              <w:rPr>
                <w:sz w:val="22"/>
                <w:szCs w:val="22"/>
                <w:lang w:val="sr-Latn-RS" w:eastAsia="de-AT"/>
              </w:rPr>
            </w:pPr>
            <w:r w:rsidRPr="00E00E21">
              <w:rPr>
                <w:sz w:val="22"/>
                <w:szCs w:val="22"/>
                <w:lang w:val="sr-Latn-RS" w:eastAsia="de-AT"/>
              </w:rPr>
              <w:t>Anemija stepena</w:t>
            </w:r>
            <w:r w:rsidR="00593BF0" w:rsidRPr="00E00E21">
              <w:rPr>
                <w:sz w:val="22"/>
                <w:szCs w:val="22"/>
                <w:lang w:val="sr-Latn-RS" w:eastAsia="de-AT"/>
              </w:rPr>
              <w:t xml:space="preserve"> ≥ 3 </w:t>
            </w:r>
          </w:p>
        </w:tc>
        <w:tc>
          <w:tcPr>
            <w:tcW w:w="1617" w:type="pct"/>
            <w:tcBorders>
              <w:top w:val="outset" w:sz="6" w:space="0" w:color="auto"/>
              <w:left w:val="outset" w:sz="6" w:space="0" w:color="auto"/>
              <w:bottom w:val="outset" w:sz="6" w:space="0" w:color="auto"/>
              <w:right w:val="outset" w:sz="6" w:space="0" w:color="auto"/>
            </w:tcBorders>
            <w:vAlign w:val="bottom"/>
            <w:hideMark/>
          </w:tcPr>
          <w:p w14:paraId="58554A94"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9.9</w:t>
            </w:r>
          </w:p>
        </w:tc>
        <w:tc>
          <w:tcPr>
            <w:tcW w:w="1848" w:type="pct"/>
            <w:tcBorders>
              <w:top w:val="outset" w:sz="6" w:space="0" w:color="auto"/>
              <w:left w:val="outset" w:sz="6" w:space="0" w:color="auto"/>
              <w:bottom w:val="outset" w:sz="6" w:space="0" w:color="auto"/>
              <w:right w:val="outset" w:sz="6" w:space="0" w:color="auto"/>
            </w:tcBorders>
            <w:hideMark/>
          </w:tcPr>
          <w:p w14:paraId="5B1AF571"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13.7</w:t>
            </w:r>
          </w:p>
        </w:tc>
      </w:tr>
      <w:tr w:rsidR="00593BF0" w:rsidRPr="00E00E21" w14:paraId="4A4B58CB" w14:textId="77777777" w:rsidTr="00F946DA">
        <w:trPr>
          <w:tblCellSpacing w:w="0" w:type="dxa"/>
        </w:trPr>
        <w:tc>
          <w:tcPr>
            <w:tcW w:w="1535" w:type="pct"/>
            <w:tcBorders>
              <w:top w:val="outset" w:sz="6" w:space="0" w:color="auto"/>
              <w:left w:val="outset" w:sz="6" w:space="0" w:color="auto"/>
              <w:bottom w:val="outset" w:sz="6" w:space="0" w:color="auto"/>
              <w:right w:val="outset" w:sz="6" w:space="0" w:color="auto"/>
            </w:tcBorders>
            <w:vAlign w:val="bottom"/>
            <w:hideMark/>
          </w:tcPr>
          <w:p w14:paraId="1D87C14D" w14:textId="0B82B045" w:rsidR="00593BF0" w:rsidRPr="00E00E21" w:rsidRDefault="002861E9" w:rsidP="002861E9">
            <w:pPr>
              <w:spacing w:before="100" w:beforeAutospacing="1" w:after="100" w:afterAutospacing="1"/>
              <w:rPr>
                <w:sz w:val="22"/>
                <w:szCs w:val="22"/>
                <w:lang w:val="sr-Latn-RS" w:eastAsia="de-AT"/>
              </w:rPr>
            </w:pPr>
            <w:r w:rsidRPr="00E00E21">
              <w:rPr>
                <w:sz w:val="22"/>
                <w:szCs w:val="22"/>
                <w:lang w:val="sr-Latn-RS" w:eastAsia="de-AT"/>
              </w:rPr>
              <w:t>Trombictopenija stepena</w:t>
            </w:r>
            <w:r w:rsidR="00D76387" w:rsidRPr="00E00E21">
              <w:rPr>
                <w:sz w:val="22"/>
                <w:szCs w:val="22"/>
                <w:lang w:val="sr-Latn-RS" w:eastAsia="de-AT"/>
              </w:rPr>
              <w:t xml:space="preserve"> </w:t>
            </w:r>
            <w:r w:rsidR="00593BF0" w:rsidRPr="00E00E21">
              <w:rPr>
                <w:sz w:val="22"/>
                <w:szCs w:val="22"/>
                <w:lang w:val="sr-Latn-RS" w:eastAsia="de-AT"/>
              </w:rPr>
              <w:t xml:space="preserve">≥ 3 </w:t>
            </w:r>
          </w:p>
        </w:tc>
        <w:tc>
          <w:tcPr>
            <w:tcW w:w="1617" w:type="pct"/>
            <w:tcBorders>
              <w:top w:val="outset" w:sz="6" w:space="0" w:color="auto"/>
              <w:left w:val="outset" w:sz="6" w:space="0" w:color="auto"/>
              <w:bottom w:val="outset" w:sz="6" w:space="0" w:color="auto"/>
              <w:right w:val="outset" w:sz="6" w:space="0" w:color="auto"/>
            </w:tcBorders>
            <w:vAlign w:val="bottom"/>
            <w:hideMark/>
          </w:tcPr>
          <w:p w14:paraId="7C0F63A9"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2.6</w:t>
            </w:r>
          </w:p>
        </w:tc>
        <w:tc>
          <w:tcPr>
            <w:tcW w:w="1848" w:type="pct"/>
            <w:tcBorders>
              <w:top w:val="outset" w:sz="6" w:space="0" w:color="auto"/>
              <w:left w:val="outset" w:sz="6" w:space="0" w:color="auto"/>
              <w:bottom w:val="outset" w:sz="6" w:space="0" w:color="auto"/>
              <w:right w:val="outset" w:sz="6" w:space="0" w:color="auto"/>
            </w:tcBorders>
            <w:hideMark/>
          </w:tcPr>
          <w:p w14:paraId="756F4F8A" w14:textId="77777777" w:rsidR="00593BF0" w:rsidRPr="00E00E21" w:rsidRDefault="00593BF0" w:rsidP="00593BF0">
            <w:pPr>
              <w:spacing w:before="100" w:beforeAutospacing="1" w:after="100" w:afterAutospacing="1"/>
              <w:jc w:val="center"/>
              <w:rPr>
                <w:sz w:val="22"/>
                <w:szCs w:val="22"/>
                <w:lang w:val="sr-Latn-RS" w:eastAsia="de-AT"/>
              </w:rPr>
            </w:pPr>
            <w:r w:rsidRPr="00E00E21">
              <w:rPr>
                <w:sz w:val="22"/>
                <w:szCs w:val="22"/>
                <w:lang w:val="sr-Latn-RS" w:eastAsia="de-AT"/>
              </w:rPr>
              <w:t>4.2</w:t>
            </w:r>
          </w:p>
        </w:tc>
      </w:tr>
    </w:tbl>
    <w:p w14:paraId="65DE050E" w14:textId="2CFB9F59" w:rsidR="00BA201C" w:rsidRPr="00E00E21" w:rsidRDefault="00BA201C" w:rsidP="00F946DA">
      <w:pPr>
        <w:tabs>
          <w:tab w:val="left" w:pos="540"/>
          <w:tab w:val="left" w:pos="569"/>
        </w:tabs>
        <w:jc w:val="both"/>
        <w:rPr>
          <w:sz w:val="22"/>
          <w:szCs w:val="22"/>
          <w:lang w:val="sr-Latn-RS"/>
        </w:rPr>
      </w:pPr>
      <w:r w:rsidRPr="00E00E21">
        <w:rPr>
          <w:sz w:val="22"/>
          <w:szCs w:val="22"/>
          <w:lang w:val="sr-Latn-RS"/>
        </w:rPr>
        <w:t>CBZ20=kabazitaksel 20</w:t>
      </w:r>
      <w:r w:rsidR="00F946DA" w:rsidRPr="00E00E21">
        <w:rPr>
          <w:sz w:val="22"/>
          <w:szCs w:val="22"/>
          <w:lang w:val="sr-Latn-RS"/>
        </w:rPr>
        <w:t>mg/m</w:t>
      </w:r>
      <w:r w:rsidR="00F946DA" w:rsidRPr="00E00E21">
        <w:rPr>
          <w:sz w:val="22"/>
          <w:szCs w:val="22"/>
          <w:vertAlign w:val="superscript"/>
          <w:lang w:val="sr-Latn-RS"/>
        </w:rPr>
        <w:t>2</w:t>
      </w:r>
      <w:r w:rsidRPr="00E00E21">
        <w:rPr>
          <w:sz w:val="22"/>
          <w:szCs w:val="22"/>
          <w:lang w:val="sr-Latn-RS"/>
        </w:rPr>
        <w:t>, CBZ25=kabazitaksel 25</w:t>
      </w:r>
      <w:r w:rsidR="00F946DA" w:rsidRPr="00E00E21">
        <w:rPr>
          <w:sz w:val="22"/>
          <w:szCs w:val="22"/>
          <w:lang w:val="sr-Latn-RS"/>
        </w:rPr>
        <w:t>mg/m</w:t>
      </w:r>
      <w:r w:rsidR="00F946DA" w:rsidRPr="00E00E21">
        <w:rPr>
          <w:sz w:val="22"/>
          <w:szCs w:val="22"/>
          <w:vertAlign w:val="superscript"/>
          <w:lang w:val="sr-Latn-RS"/>
        </w:rPr>
        <w:t>2</w:t>
      </w:r>
      <w:r w:rsidR="00F946DA" w:rsidRPr="00E00E21">
        <w:rPr>
          <w:sz w:val="22"/>
          <w:szCs w:val="22"/>
          <w:lang w:val="sr-Latn-RS"/>
        </w:rPr>
        <w:t xml:space="preserve">, PRED=Prednizon/Prednizolon </w:t>
      </w:r>
    </w:p>
    <w:p w14:paraId="1174C80D" w14:textId="77777777" w:rsidR="00BA201C" w:rsidRPr="00E00E21" w:rsidRDefault="00F946DA" w:rsidP="00F946DA">
      <w:pPr>
        <w:tabs>
          <w:tab w:val="left" w:pos="540"/>
          <w:tab w:val="left" w:pos="569"/>
        </w:tabs>
        <w:jc w:val="both"/>
        <w:rPr>
          <w:sz w:val="22"/>
          <w:szCs w:val="22"/>
          <w:lang w:val="sr-Latn-RS"/>
        </w:rPr>
      </w:pPr>
      <w:r w:rsidRPr="00E00E21">
        <w:rPr>
          <w:i/>
          <w:sz w:val="22"/>
          <w:szCs w:val="22"/>
          <w:vertAlign w:val="superscript"/>
          <w:lang w:val="sr-Latn-RS"/>
        </w:rPr>
        <w:t>a</w:t>
      </w:r>
      <w:r w:rsidRPr="00E00E21">
        <w:rPr>
          <w:sz w:val="22"/>
          <w:szCs w:val="22"/>
          <w:lang w:val="sr-Latn-RS"/>
        </w:rPr>
        <w:t xml:space="preserve"> Neželjene reakcije svih stepena sa incidencom pojavljivanja većom od 10% </w:t>
      </w:r>
    </w:p>
    <w:p w14:paraId="482B45A8" w14:textId="77777777" w:rsidR="00BA201C" w:rsidRPr="00E00E21" w:rsidRDefault="00F946DA" w:rsidP="00F946DA">
      <w:pPr>
        <w:tabs>
          <w:tab w:val="left" w:pos="540"/>
          <w:tab w:val="left" w:pos="569"/>
        </w:tabs>
        <w:jc w:val="both"/>
        <w:rPr>
          <w:sz w:val="22"/>
          <w:szCs w:val="22"/>
          <w:lang w:val="sr-Latn-RS"/>
        </w:rPr>
      </w:pPr>
      <w:r w:rsidRPr="00E00E21">
        <w:rPr>
          <w:i/>
          <w:sz w:val="22"/>
          <w:szCs w:val="22"/>
          <w:vertAlign w:val="superscript"/>
          <w:lang w:val="sr-Latn-RS"/>
        </w:rPr>
        <w:t>b</w:t>
      </w:r>
      <w:r w:rsidRPr="00E00E21">
        <w:rPr>
          <w:sz w:val="22"/>
          <w:szCs w:val="22"/>
          <w:lang w:val="sr-Latn-RS"/>
        </w:rPr>
        <w:t xml:space="preserve"> Neželjene reakcije stepena ≥ 3 sa incidencom pojavljivanja većom od 5% </w:t>
      </w:r>
    </w:p>
    <w:p w14:paraId="3F1C1AF1" w14:textId="77777777" w:rsidR="00BA201C" w:rsidRPr="00E00E21" w:rsidRDefault="00F946DA" w:rsidP="00F946DA">
      <w:pPr>
        <w:tabs>
          <w:tab w:val="left" w:pos="540"/>
          <w:tab w:val="left" w:pos="569"/>
        </w:tabs>
        <w:jc w:val="both"/>
        <w:rPr>
          <w:sz w:val="22"/>
          <w:szCs w:val="22"/>
          <w:lang w:val="sr-Latn-RS"/>
        </w:rPr>
      </w:pPr>
      <w:r w:rsidRPr="00E00E21">
        <w:rPr>
          <w:sz w:val="22"/>
          <w:szCs w:val="22"/>
          <w:vertAlign w:val="superscript"/>
          <w:lang w:val="sr-Latn-RS"/>
        </w:rPr>
        <w:t>c</w:t>
      </w:r>
      <w:r w:rsidRPr="00E00E21">
        <w:rPr>
          <w:sz w:val="22"/>
          <w:szCs w:val="22"/>
          <w:lang w:val="sr-Latn-RS"/>
        </w:rPr>
        <w:t xml:space="preserve"> Zasnovano na laboratorijskim analizama </w:t>
      </w:r>
    </w:p>
    <w:p w14:paraId="34427262" w14:textId="77777777" w:rsidR="00BA201C" w:rsidRPr="00E00E21" w:rsidRDefault="00BA201C" w:rsidP="00F946DA">
      <w:pPr>
        <w:tabs>
          <w:tab w:val="left" w:pos="540"/>
          <w:tab w:val="left" w:pos="569"/>
        </w:tabs>
        <w:jc w:val="both"/>
        <w:rPr>
          <w:sz w:val="22"/>
          <w:szCs w:val="22"/>
          <w:lang w:val="sr-Latn-RS"/>
        </w:rPr>
      </w:pPr>
    </w:p>
    <w:p w14:paraId="742AE37A" w14:textId="3CE07824" w:rsidR="00F63E68" w:rsidRPr="00E00E21" w:rsidRDefault="00F63E68" w:rsidP="00F63E68">
      <w:pPr>
        <w:tabs>
          <w:tab w:val="left" w:pos="540"/>
          <w:tab w:val="left" w:pos="569"/>
        </w:tabs>
        <w:jc w:val="both"/>
        <w:rPr>
          <w:sz w:val="22"/>
          <w:szCs w:val="22"/>
          <w:lang w:val="sr-Latn-RS"/>
        </w:rPr>
      </w:pPr>
      <w:r w:rsidRPr="00E00E21">
        <w:rPr>
          <w:sz w:val="22"/>
          <w:szCs w:val="22"/>
          <w:lang w:val="sr-Latn-RS"/>
        </w:rPr>
        <w:t>U prospektivnoj, multinacionalnoj, randomiziranoj, aktivno kontroliranoj i otvorenoj kliničkoj</w:t>
      </w:r>
      <w:r w:rsidR="00335124" w:rsidRPr="00E00E21">
        <w:rPr>
          <w:sz w:val="22"/>
          <w:szCs w:val="22"/>
          <w:lang w:val="sr-Latn-RS"/>
        </w:rPr>
        <w:t xml:space="preserve"> </w:t>
      </w:r>
      <w:r w:rsidRPr="00E00E21">
        <w:rPr>
          <w:sz w:val="22"/>
          <w:szCs w:val="22"/>
          <w:lang w:val="sr-Latn-RS"/>
        </w:rPr>
        <w:t xml:space="preserve">studiji faze IV (ispitivanje LPS14201/CARD) 255 pacijenata sa metastatskim karcinomom prostate rezistentnim na kastraciju (engl. </w:t>
      </w:r>
      <w:r w:rsidRPr="00E00E21">
        <w:rPr>
          <w:i/>
          <w:sz w:val="22"/>
          <w:szCs w:val="22"/>
          <w:lang w:val="sr-Latn-RS"/>
        </w:rPr>
        <w:t>metastatic castration resistant prostate cancer</w:t>
      </w:r>
      <w:r w:rsidRPr="00E00E21">
        <w:rPr>
          <w:sz w:val="22"/>
          <w:szCs w:val="22"/>
          <w:lang w:val="sr-Latn-RS"/>
        </w:rPr>
        <w:t xml:space="preserve">, mCRPC), prethodno liječenih hemoterapijskim protokolom koji je uključivao docetaksel i lijekom koji cilja androgeni receptor (abirateron ili enzalutamid, sa progresijom bolesti </w:t>
      </w:r>
      <w:r w:rsidR="00D76387" w:rsidRPr="00E00E21">
        <w:rPr>
          <w:sz w:val="22"/>
          <w:szCs w:val="22"/>
          <w:lang w:val="sr-Latn-RS"/>
        </w:rPr>
        <w:t xml:space="preserve">u roku od </w:t>
      </w:r>
      <w:r w:rsidRPr="00E00E21">
        <w:rPr>
          <w:sz w:val="22"/>
          <w:szCs w:val="22"/>
          <w:lang w:val="sr-Latn-RS"/>
        </w:rPr>
        <w:t>12 mjeseci od početka liječenja) u bilo kojem redos</w:t>
      </w:r>
      <w:r w:rsidR="00D76387" w:rsidRPr="00E00E21">
        <w:rPr>
          <w:sz w:val="22"/>
          <w:szCs w:val="22"/>
          <w:lang w:val="sr-Latn-RS"/>
        </w:rPr>
        <w:t>lj</w:t>
      </w:r>
      <w:r w:rsidRPr="00E00E21">
        <w:rPr>
          <w:sz w:val="22"/>
          <w:szCs w:val="22"/>
          <w:lang w:val="sr-Latn-RS"/>
        </w:rPr>
        <w:t>edu, randomizirani su tako da primaju ili kabazitaksel u dozi od 25 mg/m</w:t>
      </w:r>
      <w:r w:rsidRPr="00E00E21">
        <w:rPr>
          <w:sz w:val="22"/>
          <w:szCs w:val="22"/>
          <w:vertAlign w:val="superscript"/>
          <w:lang w:val="sr-Latn-RS"/>
        </w:rPr>
        <w:t>2</w:t>
      </w:r>
      <w:r w:rsidRPr="00E00E21">
        <w:rPr>
          <w:sz w:val="22"/>
          <w:szCs w:val="22"/>
          <w:lang w:val="sr-Latn-RS"/>
        </w:rPr>
        <w:t xml:space="preserve"> svake 3 ned</w:t>
      </w:r>
      <w:r w:rsidR="00D76387" w:rsidRPr="00E00E21">
        <w:rPr>
          <w:sz w:val="22"/>
          <w:szCs w:val="22"/>
          <w:lang w:val="sr-Latn-RS"/>
        </w:rPr>
        <w:t>j</w:t>
      </w:r>
      <w:r w:rsidRPr="00E00E21">
        <w:rPr>
          <w:sz w:val="22"/>
          <w:szCs w:val="22"/>
          <w:lang w:val="sr-Latn-RS"/>
        </w:rPr>
        <w:t>elje + prednizon/prednizolon 10 mg dnevno (n=129) ili ljekove koji ciljaju androgeni receptor (abirateron 1000 mg jednom dnevno + prednizon/prednizolon 5 mg dva puta dnevno ili enzalutamid 160 mg jednom dnevno) (n=126). Preživlj</w:t>
      </w:r>
      <w:r w:rsidR="00335124" w:rsidRPr="00E00E21">
        <w:rPr>
          <w:sz w:val="22"/>
          <w:szCs w:val="22"/>
          <w:lang w:val="sr-Latn-RS"/>
        </w:rPr>
        <w:t>avan</w:t>
      </w:r>
      <w:r w:rsidRPr="00E00E21">
        <w:rPr>
          <w:sz w:val="22"/>
          <w:szCs w:val="22"/>
          <w:lang w:val="sr-Latn-RS"/>
        </w:rPr>
        <w:t>je bez radiografske progresije bolesti (</w:t>
      </w:r>
      <w:r w:rsidRPr="00E00E21">
        <w:rPr>
          <w:i/>
          <w:sz w:val="22"/>
          <w:szCs w:val="22"/>
          <w:lang w:val="sr-Latn-RS"/>
        </w:rPr>
        <w:t>engl. radiographic progression-free survival, rPFS</w:t>
      </w:r>
      <w:r w:rsidR="00335124" w:rsidRPr="00E00E21">
        <w:rPr>
          <w:sz w:val="22"/>
          <w:szCs w:val="22"/>
          <w:lang w:val="sr-Latn-RS"/>
        </w:rPr>
        <w:t>), defini</w:t>
      </w:r>
      <w:r w:rsidRPr="00E00E21">
        <w:rPr>
          <w:sz w:val="22"/>
          <w:szCs w:val="22"/>
          <w:lang w:val="sr-Latn-RS"/>
        </w:rPr>
        <w:t xml:space="preserve">sano kriterijima PCWG2 (engl. </w:t>
      </w:r>
      <w:r w:rsidRPr="00E00E21">
        <w:rPr>
          <w:i/>
          <w:sz w:val="22"/>
          <w:szCs w:val="22"/>
          <w:lang w:val="sr-Latn-RS"/>
        </w:rPr>
        <w:t xml:space="preserve">Prostate Cancer Clinical Trials Working Group </w:t>
      </w:r>
      <w:r w:rsidRPr="00E00E21">
        <w:rPr>
          <w:sz w:val="22"/>
          <w:szCs w:val="22"/>
          <w:lang w:val="sr-Latn-RS"/>
        </w:rPr>
        <w:t xml:space="preserve">2), bilo je primarna mjera ishoda. Sekundarne mjere ishoda uključivale su ukupno preživljavanje, preživljavanje bez progresije bolesti, </w:t>
      </w:r>
      <w:r w:rsidR="00054975" w:rsidRPr="00E00E21">
        <w:rPr>
          <w:sz w:val="22"/>
          <w:szCs w:val="22"/>
          <w:lang w:val="sr-Latn-RS"/>
        </w:rPr>
        <w:t xml:space="preserve">efekat </w:t>
      </w:r>
      <w:r w:rsidRPr="00E00E21">
        <w:rPr>
          <w:sz w:val="22"/>
          <w:szCs w:val="22"/>
          <w:lang w:val="sr-Latn-RS"/>
        </w:rPr>
        <w:t xml:space="preserve">na </w:t>
      </w:r>
      <w:r w:rsidR="00054975" w:rsidRPr="00E00E21">
        <w:rPr>
          <w:sz w:val="22"/>
          <w:szCs w:val="22"/>
          <w:lang w:val="sr-Latn-RS"/>
        </w:rPr>
        <w:t>nivo</w:t>
      </w:r>
      <w:r w:rsidRPr="00E00E21">
        <w:rPr>
          <w:sz w:val="22"/>
          <w:szCs w:val="22"/>
          <w:lang w:val="sr-Latn-RS"/>
        </w:rPr>
        <w:t xml:space="preserve"> PSA i tumorski odgovor.</w:t>
      </w:r>
    </w:p>
    <w:p w14:paraId="2FBF6778" w14:textId="77777777" w:rsidR="00F52F41" w:rsidRPr="00E00E21" w:rsidRDefault="00F52F41" w:rsidP="00F63E68">
      <w:pPr>
        <w:tabs>
          <w:tab w:val="left" w:pos="540"/>
          <w:tab w:val="left" w:pos="569"/>
        </w:tabs>
        <w:jc w:val="both"/>
        <w:rPr>
          <w:sz w:val="22"/>
          <w:szCs w:val="22"/>
          <w:lang w:val="sr-Latn-RS"/>
        </w:rPr>
      </w:pPr>
    </w:p>
    <w:p w14:paraId="2C65C345" w14:textId="5D6611A2" w:rsidR="00F63E68" w:rsidRPr="00E00E21" w:rsidRDefault="00335124" w:rsidP="00F63E68">
      <w:pPr>
        <w:tabs>
          <w:tab w:val="left" w:pos="540"/>
          <w:tab w:val="left" w:pos="569"/>
        </w:tabs>
        <w:jc w:val="both"/>
        <w:rPr>
          <w:sz w:val="22"/>
          <w:szCs w:val="22"/>
          <w:lang w:val="sr-Latn-RS"/>
        </w:rPr>
      </w:pPr>
      <w:r w:rsidRPr="00E00E21">
        <w:rPr>
          <w:sz w:val="22"/>
          <w:szCs w:val="22"/>
          <w:lang w:val="sr-Latn-RS"/>
        </w:rPr>
        <w:t>Demografske karakteristike i značaj</w:t>
      </w:r>
      <w:r w:rsidR="00F63E68" w:rsidRPr="00E00E21">
        <w:rPr>
          <w:sz w:val="22"/>
          <w:szCs w:val="22"/>
          <w:lang w:val="sr-Latn-RS"/>
        </w:rPr>
        <w:t xml:space="preserve"> bolesti bile su </w:t>
      </w:r>
      <w:r w:rsidRPr="00E00E21">
        <w:rPr>
          <w:sz w:val="22"/>
          <w:szCs w:val="22"/>
          <w:lang w:val="sr-Latn-RS"/>
        </w:rPr>
        <w:t>uravnotežene između terapijskih grupa</w:t>
      </w:r>
      <w:r w:rsidR="00F63E68" w:rsidRPr="00E00E21">
        <w:rPr>
          <w:sz w:val="22"/>
          <w:szCs w:val="22"/>
          <w:lang w:val="sr-Latn-RS"/>
        </w:rPr>
        <w:t>. Na početku</w:t>
      </w:r>
      <w:r w:rsidRPr="00E00E21">
        <w:rPr>
          <w:sz w:val="22"/>
          <w:szCs w:val="22"/>
          <w:lang w:val="sr-Latn-RS"/>
        </w:rPr>
        <w:t xml:space="preserve"> ispitivanja, </w:t>
      </w:r>
      <w:r w:rsidR="00F63E68" w:rsidRPr="00E00E21">
        <w:rPr>
          <w:sz w:val="22"/>
          <w:szCs w:val="22"/>
          <w:lang w:val="sr-Latn-RS"/>
        </w:rPr>
        <w:t>ukupn</w:t>
      </w:r>
      <w:r w:rsidRPr="00E00E21">
        <w:rPr>
          <w:sz w:val="22"/>
          <w:szCs w:val="22"/>
          <w:lang w:val="sr-Latn-RS"/>
        </w:rPr>
        <w:t>a</w:t>
      </w:r>
      <w:r w:rsidR="00F63E68" w:rsidRPr="00E00E21">
        <w:rPr>
          <w:sz w:val="22"/>
          <w:szCs w:val="22"/>
          <w:lang w:val="sr-Latn-RS"/>
        </w:rPr>
        <w:t xml:space="preserve"> medijan</w:t>
      </w:r>
      <w:r w:rsidRPr="00E00E21">
        <w:rPr>
          <w:sz w:val="22"/>
          <w:szCs w:val="22"/>
          <w:lang w:val="sr-Latn-RS"/>
        </w:rPr>
        <w:t>a</w:t>
      </w:r>
      <w:r w:rsidR="00F63E68" w:rsidRPr="00E00E21">
        <w:rPr>
          <w:sz w:val="22"/>
          <w:szCs w:val="22"/>
          <w:lang w:val="sr-Latn-RS"/>
        </w:rPr>
        <w:t xml:space="preserve"> </w:t>
      </w:r>
      <w:r w:rsidRPr="00E00E21">
        <w:rPr>
          <w:sz w:val="22"/>
          <w:szCs w:val="22"/>
          <w:lang w:val="sr-Latn-RS"/>
        </w:rPr>
        <w:t>starosti iznosila je</w:t>
      </w:r>
      <w:r w:rsidR="00F63E68" w:rsidRPr="00E00E21">
        <w:rPr>
          <w:sz w:val="22"/>
          <w:szCs w:val="22"/>
          <w:lang w:val="sr-Latn-RS"/>
        </w:rPr>
        <w:t xml:space="preserve"> 70 godina, 95% </w:t>
      </w:r>
      <w:r w:rsidRPr="00E00E21">
        <w:rPr>
          <w:sz w:val="22"/>
          <w:szCs w:val="22"/>
          <w:lang w:val="sr-Latn-RS"/>
        </w:rPr>
        <w:t>pacijenata</w:t>
      </w:r>
      <w:r w:rsidR="00F63E68" w:rsidRPr="00E00E21">
        <w:rPr>
          <w:sz w:val="22"/>
          <w:szCs w:val="22"/>
          <w:lang w:val="sr-Latn-RS"/>
        </w:rPr>
        <w:t xml:space="preserve"> imalo je ECOG status od 0 do 1, a medijan</w:t>
      </w:r>
      <w:r w:rsidRPr="00E00E21">
        <w:rPr>
          <w:sz w:val="22"/>
          <w:szCs w:val="22"/>
          <w:lang w:val="sr-Latn-RS"/>
        </w:rPr>
        <w:t>a</w:t>
      </w:r>
      <w:r w:rsidR="00F63E68" w:rsidRPr="00E00E21">
        <w:rPr>
          <w:sz w:val="22"/>
          <w:szCs w:val="22"/>
          <w:lang w:val="sr-Latn-RS"/>
        </w:rPr>
        <w:t xml:space="preserve"> </w:t>
      </w:r>
      <w:r w:rsidRPr="00E00E21">
        <w:rPr>
          <w:sz w:val="22"/>
          <w:szCs w:val="22"/>
          <w:lang w:val="sr-Latn-RS"/>
        </w:rPr>
        <w:t xml:space="preserve">Gleason-ovog skora je </w:t>
      </w:r>
      <w:r w:rsidR="00F63E68" w:rsidRPr="00E00E21">
        <w:rPr>
          <w:sz w:val="22"/>
          <w:szCs w:val="22"/>
          <w:lang w:val="sr-Latn-RS"/>
        </w:rPr>
        <w:t>iznosi</w:t>
      </w:r>
      <w:r w:rsidRPr="00E00E21">
        <w:rPr>
          <w:sz w:val="22"/>
          <w:szCs w:val="22"/>
          <w:lang w:val="sr-Latn-RS"/>
        </w:rPr>
        <w:t>la</w:t>
      </w:r>
      <w:r w:rsidR="00F63E68" w:rsidRPr="00E00E21">
        <w:rPr>
          <w:sz w:val="22"/>
          <w:szCs w:val="22"/>
          <w:lang w:val="sr-Latn-RS"/>
        </w:rPr>
        <w:t xml:space="preserve"> 8. Šezdeset jedan posto (61%) bolesnika prethodno je liječeno lijekom</w:t>
      </w:r>
      <w:r w:rsidRPr="00E00E21">
        <w:rPr>
          <w:sz w:val="22"/>
          <w:szCs w:val="22"/>
          <w:lang w:val="sr-Latn-RS"/>
        </w:rPr>
        <w:t xml:space="preserve"> </w:t>
      </w:r>
      <w:r w:rsidR="00F63E68" w:rsidRPr="00E00E21">
        <w:rPr>
          <w:sz w:val="22"/>
          <w:szCs w:val="22"/>
          <w:lang w:val="sr-Latn-RS"/>
        </w:rPr>
        <w:t>koji cilja androgeni receptor, nakon liječenja docetakselom.</w:t>
      </w:r>
    </w:p>
    <w:p w14:paraId="4D9DD232" w14:textId="77777777" w:rsidR="00D76387" w:rsidRPr="00E00E21" w:rsidRDefault="00D76387" w:rsidP="00F63E68">
      <w:pPr>
        <w:tabs>
          <w:tab w:val="left" w:pos="540"/>
          <w:tab w:val="left" w:pos="569"/>
        </w:tabs>
        <w:jc w:val="both"/>
        <w:rPr>
          <w:sz w:val="22"/>
          <w:szCs w:val="22"/>
          <w:lang w:val="sr-Latn-RS"/>
        </w:rPr>
      </w:pPr>
    </w:p>
    <w:p w14:paraId="570102F6" w14:textId="77777777" w:rsidR="00F63E68" w:rsidRPr="00E00E21" w:rsidRDefault="00F63E68" w:rsidP="00F63E68">
      <w:pPr>
        <w:tabs>
          <w:tab w:val="left" w:pos="540"/>
          <w:tab w:val="left" w:pos="569"/>
        </w:tabs>
        <w:jc w:val="both"/>
        <w:rPr>
          <w:sz w:val="22"/>
          <w:szCs w:val="22"/>
          <w:lang w:val="sr-Latn-RS"/>
        </w:rPr>
      </w:pPr>
      <w:r w:rsidRPr="00E00E21">
        <w:rPr>
          <w:sz w:val="22"/>
          <w:szCs w:val="22"/>
          <w:lang w:val="sr-Latn-RS"/>
        </w:rPr>
        <w:lastRenderedPageBreak/>
        <w:t>Ispitivanje je zadovoljilo svoju primarnu mjeru ishoda: preživlj</w:t>
      </w:r>
      <w:r w:rsidR="00335124" w:rsidRPr="00E00E21">
        <w:rPr>
          <w:sz w:val="22"/>
          <w:szCs w:val="22"/>
          <w:lang w:val="sr-Latn-RS"/>
        </w:rPr>
        <w:t>ava</w:t>
      </w:r>
      <w:r w:rsidRPr="00E00E21">
        <w:rPr>
          <w:sz w:val="22"/>
          <w:szCs w:val="22"/>
          <w:lang w:val="sr-Latn-RS"/>
        </w:rPr>
        <w:t xml:space="preserve">nje bez radiografske progresije bolesti bilo </w:t>
      </w:r>
      <w:r w:rsidR="00335124" w:rsidRPr="00E00E21">
        <w:rPr>
          <w:sz w:val="22"/>
          <w:szCs w:val="22"/>
          <w:lang w:val="sr-Latn-RS"/>
        </w:rPr>
        <w:t>j</w:t>
      </w:r>
      <w:r w:rsidRPr="00E00E21">
        <w:rPr>
          <w:sz w:val="22"/>
          <w:szCs w:val="22"/>
          <w:lang w:val="sr-Latn-RS"/>
        </w:rPr>
        <w:t>e značajno du</w:t>
      </w:r>
      <w:r w:rsidR="00335124" w:rsidRPr="00E00E21">
        <w:rPr>
          <w:sz w:val="22"/>
          <w:szCs w:val="22"/>
          <w:lang w:val="sr-Latn-RS"/>
        </w:rPr>
        <w:t>že</w:t>
      </w:r>
      <w:r w:rsidRPr="00E00E21">
        <w:rPr>
          <w:sz w:val="22"/>
          <w:szCs w:val="22"/>
          <w:lang w:val="sr-Latn-RS"/>
        </w:rPr>
        <w:t xml:space="preserve"> kod primjene kabazitaksela nego kod primjene lijeka koji cilja androgeni receptor (8,0 mjeseci u odnosu na 3,7 mjeseci), uz smanjenje rizika od radiografske progresije za 46% u </w:t>
      </w:r>
      <w:r w:rsidR="00335124" w:rsidRPr="00E00E21">
        <w:rPr>
          <w:sz w:val="22"/>
          <w:szCs w:val="22"/>
          <w:lang w:val="sr-Latn-RS"/>
        </w:rPr>
        <w:t>poređenju</w:t>
      </w:r>
      <w:r w:rsidRPr="00E00E21">
        <w:rPr>
          <w:sz w:val="22"/>
          <w:szCs w:val="22"/>
          <w:lang w:val="sr-Latn-RS"/>
        </w:rPr>
        <w:t xml:space="preserve"> s</w:t>
      </w:r>
      <w:r w:rsidR="00335124" w:rsidRPr="00E00E21">
        <w:rPr>
          <w:sz w:val="22"/>
          <w:szCs w:val="22"/>
          <w:lang w:val="sr-Latn-RS"/>
        </w:rPr>
        <w:t>a</w:t>
      </w:r>
      <w:r w:rsidRPr="00E00E21">
        <w:rPr>
          <w:sz w:val="22"/>
          <w:szCs w:val="22"/>
          <w:lang w:val="sr-Latn-RS"/>
        </w:rPr>
        <w:t xml:space="preserve"> lijekom koji cilja androgeni receptor (vidjeti Tab</w:t>
      </w:r>
      <w:r w:rsidR="00335124" w:rsidRPr="00E00E21">
        <w:rPr>
          <w:sz w:val="22"/>
          <w:szCs w:val="22"/>
          <w:lang w:val="sr-Latn-RS"/>
        </w:rPr>
        <w:t>elu</w:t>
      </w:r>
      <w:r w:rsidRPr="00E00E21">
        <w:rPr>
          <w:sz w:val="22"/>
          <w:szCs w:val="22"/>
          <w:lang w:val="sr-Latn-RS"/>
        </w:rPr>
        <w:t xml:space="preserve"> i Sliku 2).</w:t>
      </w:r>
    </w:p>
    <w:p w14:paraId="5CDB697D" w14:textId="77777777" w:rsidR="00335124" w:rsidRPr="00E00E21" w:rsidRDefault="00335124" w:rsidP="00F63E68">
      <w:pPr>
        <w:tabs>
          <w:tab w:val="left" w:pos="540"/>
          <w:tab w:val="left" w:pos="569"/>
        </w:tabs>
        <w:jc w:val="both"/>
        <w:rPr>
          <w:sz w:val="22"/>
          <w:szCs w:val="22"/>
          <w:lang w:val="sr-Latn-RS"/>
        </w:rPr>
      </w:pPr>
    </w:p>
    <w:p w14:paraId="686ABD3F" w14:textId="592C2280" w:rsidR="00BA201C" w:rsidRPr="00E00E21" w:rsidRDefault="00335124" w:rsidP="00E630C6">
      <w:pPr>
        <w:tabs>
          <w:tab w:val="left" w:pos="540"/>
          <w:tab w:val="left" w:pos="569"/>
        </w:tabs>
        <w:rPr>
          <w:sz w:val="22"/>
          <w:szCs w:val="22"/>
          <w:lang w:val="sr-Latn-RS"/>
        </w:rPr>
      </w:pPr>
      <w:r w:rsidRPr="00E00E21">
        <w:rPr>
          <w:sz w:val="22"/>
          <w:szCs w:val="22"/>
          <w:lang w:val="sr-Latn-RS"/>
        </w:rPr>
        <w:t>Tabela</w:t>
      </w:r>
      <w:r w:rsidR="00F63E68" w:rsidRPr="00E00E21">
        <w:rPr>
          <w:sz w:val="22"/>
          <w:szCs w:val="22"/>
          <w:lang w:val="sr-Latn-RS"/>
        </w:rPr>
        <w:t xml:space="preserve"> 6 </w:t>
      </w:r>
      <w:r w:rsidRPr="00E00E21">
        <w:rPr>
          <w:sz w:val="22"/>
          <w:szCs w:val="22"/>
          <w:lang w:val="sr-Latn-RS"/>
        </w:rPr>
        <w:t>–</w:t>
      </w:r>
      <w:r w:rsidR="00F63E68" w:rsidRPr="00E00E21">
        <w:rPr>
          <w:sz w:val="22"/>
          <w:szCs w:val="22"/>
          <w:lang w:val="sr-Latn-RS"/>
        </w:rPr>
        <w:t xml:space="preserve"> </w:t>
      </w:r>
      <w:r w:rsidRPr="00E00E21">
        <w:rPr>
          <w:sz w:val="22"/>
          <w:szCs w:val="22"/>
          <w:lang w:val="sr-Latn-RS"/>
        </w:rPr>
        <w:t xml:space="preserve">Efikasnost </w:t>
      </w:r>
      <w:r w:rsidR="00F63E68" w:rsidRPr="00E00E21">
        <w:rPr>
          <w:sz w:val="22"/>
          <w:szCs w:val="22"/>
          <w:lang w:val="sr-Latn-RS"/>
        </w:rPr>
        <w:t>kabazitaksela u ispitivanju CARD u lije</w:t>
      </w:r>
      <w:r w:rsidRPr="00E00E21">
        <w:rPr>
          <w:sz w:val="22"/>
          <w:szCs w:val="22"/>
          <w:lang w:val="sr-Latn-RS"/>
        </w:rPr>
        <w:t xml:space="preserve">čenju pacijenata sa metastatskim </w:t>
      </w:r>
      <w:r w:rsidR="00F63E68" w:rsidRPr="00E00E21">
        <w:rPr>
          <w:sz w:val="22"/>
          <w:szCs w:val="22"/>
          <w:lang w:val="sr-Latn-RS"/>
        </w:rPr>
        <w:t>karcinomom prostate rezistentnim na kastraciju (analiza populacije predviđene za liječenje) – preživlj</w:t>
      </w:r>
      <w:r w:rsidRPr="00E00E21">
        <w:rPr>
          <w:sz w:val="22"/>
          <w:szCs w:val="22"/>
          <w:lang w:val="sr-Latn-RS"/>
        </w:rPr>
        <w:t>ava</w:t>
      </w:r>
      <w:r w:rsidR="00F63E68" w:rsidRPr="00E00E21">
        <w:rPr>
          <w:sz w:val="22"/>
          <w:szCs w:val="22"/>
          <w:lang w:val="sr-Latn-RS"/>
        </w:rPr>
        <w:t>nje bez radiografske progresije bolesti (rPFS)</w:t>
      </w:r>
    </w:p>
    <w:tbl>
      <w:tblPr>
        <w:tblW w:w="906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52"/>
        <w:gridCol w:w="2835"/>
        <w:gridCol w:w="2977"/>
      </w:tblGrid>
      <w:tr w:rsidR="00000498" w:rsidRPr="00E00E21" w14:paraId="55083C22" w14:textId="77777777" w:rsidTr="00004651">
        <w:trPr>
          <w:tblCellSpacing w:w="0" w:type="dxa"/>
        </w:trPr>
        <w:tc>
          <w:tcPr>
            <w:tcW w:w="1794" w:type="pct"/>
            <w:tcBorders>
              <w:top w:val="outset" w:sz="6" w:space="0" w:color="auto"/>
              <w:left w:val="outset" w:sz="6" w:space="0" w:color="auto"/>
              <w:bottom w:val="outset" w:sz="6" w:space="0" w:color="auto"/>
              <w:right w:val="outset" w:sz="6" w:space="0" w:color="auto"/>
            </w:tcBorders>
            <w:hideMark/>
          </w:tcPr>
          <w:p w14:paraId="61EAF5BF" w14:textId="77777777" w:rsidR="00335124" w:rsidRPr="00E00E21" w:rsidRDefault="00335124" w:rsidP="00335124">
            <w:pPr>
              <w:rPr>
                <w:sz w:val="22"/>
                <w:szCs w:val="22"/>
                <w:lang w:val="sr-Latn-RS" w:eastAsia="de-AT"/>
              </w:rPr>
            </w:pPr>
          </w:p>
        </w:tc>
        <w:tc>
          <w:tcPr>
            <w:tcW w:w="1564" w:type="pct"/>
            <w:tcBorders>
              <w:top w:val="outset" w:sz="6" w:space="0" w:color="auto"/>
              <w:left w:val="outset" w:sz="6" w:space="0" w:color="auto"/>
              <w:bottom w:val="outset" w:sz="6" w:space="0" w:color="auto"/>
              <w:right w:val="outset" w:sz="6" w:space="0" w:color="auto"/>
            </w:tcBorders>
            <w:hideMark/>
          </w:tcPr>
          <w:p w14:paraId="0DE294C1" w14:textId="77777777" w:rsidR="00335124" w:rsidRPr="00E00E21" w:rsidRDefault="00335124" w:rsidP="00335124">
            <w:pPr>
              <w:jc w:val="center"/>
              <w:rPr>
                <w:sz w:val="22"/>
                <w:szCs w:val="22"/>
                <w:lang w:val="sr-Latn-RS" w:eastAsia="de-AT"/>
              </w:rPr>
            </w:pPr>
            <w:r w:rsidRPr="00E00E21">
              <w:rPr>
                <w:sz w:val="22"/>
                <w:szCs w:val="22"/>
                <w:lang w:val="sr-Latn-RS" w:eastAsia="de-AT"/>
              </w:rPr>
              <w:t>kabazitaksel</w:t>
            </w:r>
          </w:p>
          <w:p w14:paraId="487166F6" w14:textId="77777777" w:rsidR="00335124" w:rsidRPr="00E00E21" w:rsidRDefault="00335124" w:rsidP="00335124">
            <w:pPr>
              <w:jc w:val="center"/>
              <w:rPr>
                <w:sz w:val="22"/>
                <w:szCs w:val="22"/>
                <w:lang w:val="sr-Latn-RS" w:eastAsia="de-AT"/>
              </w:rPr>
            </w:pPr>
            <w:r w:rsidRPr="00E00E21">
              <w:rPr>
                <w:sz w:val="22"/>
                <w:szCs w:val="22"/>
                <w:lang w:val="sr-Latn-RS" w:eastAsia="de-AT"/>
              </w:rPr>
              <w:t xml:space="preserve">+ prednison/prednisolon  </w:t>
            </w:r>
          </w:p>
          <w:p w14:paraId="22B02B11" w14:textId="0D3479B8" w:rsidR="00000498" w:rsidRPr="00E00E21" w:rsidRDefault="00335124" w:rsidP="00335124">
            <w:pPr>
              <w:jc w:val="center"/>
              <w:rPr>
                <w:sz w:val="22"/>
                <w:szCs w:val="22"/>
                <w:lang w:val="sr-Latn-RS" w:eastAsia="de-AT"/>
              </w:rPr>
            </w:pPr>
            <w:r w:rsidRPr="00E00E21">
              <w:rPr>
                <w:sz w:val="22"/>
                <w:szCs w:val="22"/>
                <w:lang w:val="sr-Latn-RS" w:eastAsia="de-AT"/>
              </w:rPr>
              <w:t>+ G-CSF</w:t>
            </w:r>
          </w:p>
          <w:p w14:paraId="749E3994" w14:textId="77777777" w:rsidR="00335124" w:rsidRPr="00E00E21" w:rsidRDefault="00335124" w:rsidP="00335124">
            <w:pPr>
              <w:jc w:val="center"/>
              <w:rPr>
                <w:sz w:val="22"/>
                <w:szCs w:val="22"/>
                <w:lang w:val="sr-Latn-RS" w:eastAsia="de-AT"/>
              </w:rPr>
            </w:pPr>
            <w:r w:rsidRPr="00E00E21">
              <w:rPr>
                <w:sz w:val="22"/>
                <w:szCs w:val="22"/>
                <w:lang w:val="sr-Latn-RS" w:eastAsia="de-AT"/>
              </w:rPr>
              <w:t>n=129</w:t>
            </w:r>
          </w:p>
        </w:tc>
        <w:tc>
          <w:tcPr>
            <w:tcW w:w="1642" w:type="pct"/>
            <w:tcBorders>
              <w:top w:val="outset" w:sz="6" w:space="0" w:color="auto"/>
              <w:left w:val="outset" w:sz="6" w:space="0" w:color="auto"/>
              <w:bottom w:val="outset" w:sz="6" w:space="0" w:color="auto"/>
              <w:right w:val="outset" w:sz="6" w:space="0" w:color="auto"/>
            </w:tcBorders>
            <w:hideMark/>
          </w:tcPr>
          <w:p w14:paraId="13E93905" w14:textId="312E4CEE" w:rsidR="00335124" w:rsidRPr="00E00E21" w:rsidRDefault="00335124" w:rsidP="00000498">
            <w:pPr>
              <w:jc w:val="center"/>
              <w:rPr>
                <w:sz w:val="22"/>
                <w:szCs w:val="22"/>
                <w:lang w:val="sr-Latn-RS" w:eastAsia="de-AT"/>
              </w:rPr>
            </w:pPr>
            <w:r w:rsidRPr="00E00E21">
              <w:rPr>
                <w:sz w:val="22"/>
                <w:szCs w:val="22"/>
                <w:lang w:val="sr-Latn-RS" w:eastAsia="de-AT"/>
              </w:rPr>
              <w:t>Lijek koji cilja</w:t>
            </w:r>
            <w:r w:rsidR="00000498" w:rsidRPr="00E00E21">
              <w:rPr>
                <w:sz w:val="22"/>
                <w:szCs w:val="22"/>
                <w:lang w:val="sr-Latn-RS" w:eastAsia="de-AT"/>
              </w:rPr>
              <w:t xml:space="preserve"> </w:t>
            </w:r>
            <w:r w:rsidRPr="00E00E21">
              <w:rPr>
                <w:sz w:val="22"/>
                <w:szCs w:val="22"/>
                <w:lang w:val="sr-Latn-RS" w:eastAsia="de-AT"/>
              </w:rPr>
              <w:t>androgeni receptor:</w:t>
            </w:r>
          </w:p>
          <w:p w14:paraId="753D3746" w14:textId="15DBB7AE" w:rsidR="00335124" w:rsidRPr="00E00E21" w:rsidRDefault="00335124" w:rsidP="00000498">
            <w:pPr>
              <w:jc w:val="center"/>
              <w:rPr>
                <w:sz w:val="22"/>
                <w:szCs w:val="22"/>
                <w:lang w:val="sr-Latn-RS" w:eastAsia="de-AT"/>
              </w:rPr>
            </w:pPr>
            <w:r w:rsidRPr="00E00E21">
              <w:rPr>
                <w:sz w:val="22"/>
                <w:szCs w:val="22"/>
                <w:lang w:val="sr-Latn-RS" w:eastAsia="de-AT"/>
              </w:rPr>
              <w:t>abirateron +</w:t>
            </w:r>
          </w:p>
          <w:p w14:paraId="354F055C" w14:textId="2BBDDE90" w:rsidR="00335124" w:rsidRPr="00E00E21" w:rsidRDefault="00335124" w:rsidP="00000498">
            <w:pPr>
              <w:jc w:val="center"/>
              <w:rPr>
                <w:sz w:val="22"/>
                <w:szCs w:val="22"/>
                <w:lang w:val="sr-Latn-RS" w:eastAsia="de-AT"/>
              </w:rPr>
            </w:pPr>
            <w:r w:rsidRPr="00E00E21">
              <w:rPr>
                <w:sz w:val="22"/>
                <w:szCs w:val="22"/>
                <w:lang w:val="sr-Latn-RS" w:eastAsia="de-AT"/>
              </w:rPr>
              <w:t>prednizon/prednizolon</w:t>
            </w:r>
            <w:r w:rsidR="00000498" w:rsidRPr="00E00E21">
              <w:rPr>
                <w:sz w:val="22"/>
                <w:szCs w:val="22"/>
                <w:lang w:val="sr-Latn-RS" w:eastAsia="de-AT"/>
              </w:rPr>
              <w:t xml:space="preserve"> </w:t>
            </w:r>
            <w:r w:rsidRPr="00E00E21">
              <w:rPr>
                <w:sz w:val="22"/>
                <w:szCs w:val="22"/>
                <w:lang w:val="sr-Latn-RS" w:eastAsia="de-AT"/>
              </w:rPr>
              <w:t>ili</w:t>
            </w:r>
            <w:r w:rsidR="00000498" w:rsidRPr="00E00E21">
              <w:rPr>
                <w:sz w:val="22"/>
                <w:szCs w:val="22"/>
                <w:lang w:val="sr-Latn-RS" w:eastAsia="de-AT"/>
              </w:rPr>
              <w:t xml:space="preserve"> </w:t>
            </w:r>
            <w:r w:rsidRPr="00E00E21">
              <w:rPr>
                <w:sz w:val="22"/>
                <w:szCs w:val="22"/>
                <w:lang w:val="sr-Latn-RS" w:eastAsia="de-AT"/>
              </w:rPr>
              <w:t>enzalutamid</w:t>
            </w:r>
          </w:p>
          <w:p w14:paraId="338D7683" w14:textId="77777777" w:rsidR="00335124" w:rsidRPr="00E00E21" w:rsidRDefault="00335124" w:rsidP="00000498">
            <w:pPr>
              <w:jc w:val="center"/>
              <w:rPr>
                <w:sz w:val="22"/>
                <w:szCs w:val="22"/>
                <w:lang w:val="sr-Latn-RS" w:eastAsia="de-AT"/>
              </w:rPr>
            </w:pPr>
            <w:r w:rsidRPr="00E00E21">
              <w:rPr>
                <w:sz w:val="22"/>
                <w:szCs w:val="22"/>
                <w:lang w:val="sr-Latn-RS" w:eastAsia="de-AT"/>
              </w:rPr>
              <w:t>n=126</w:t>
            </w:r>
          </w:p>
        </w:tc>
      </w:tr>
      <w:tr w:rsidR="00000498" w:rsidRPr="00E00E21" w14:paraId="5A57576C" w14:textId="77777777" w:rsidTr="00004651">
        <w:trPr>
          <w:tblCellSpacing w:w="0" w:type="dxa"/>
        </w:trPr>
        <w:tc>
          <w:tcPr>
            <w:tcW w:w="1794" w:type="pct"/>
            <w:tcBorders>
              <w:top w:val="outset" w:sz="6" w:space="0" w:color="auto"/>
              <w:left w:val="outset" w:sz="6" w:space="0" w:color="auto"/>
              <w:bottom w:val="outset" w:sz="6" w:space="0" w:color="auto"/>
              <w:right w:val="outset" w:sz="6" w:space="0" w:color="auto"/>
            </w:tcBorders>
            <w:vAlign w:val="center"/>
            <w:hideMark/>
          </w:tcPr>
          <w:p w14:paraId="37F7B533" w14:textId="77777777" w:rsidR="00335124" w:rsidRPr="00E00E21" w:rsidRDefault="00335124" w:rsidP="00335124">
            <w:pPr>
              <w:rPr>
                <w:sz w:val="22"/>
                <w:szCs w:val="22"/>
                <w:lang w:val="sr-Latn-RS" w:eastAsia="de-AT"/>
              </w:rPr>
            </w:pPr>
            <w:r w:rsidRPr="00E00E21">
              <w:rPr>
                <w:sz w:val="22"/>
                <w:szCs w:val="22"/>
                <w:lang w:val="sr-Latn-RS" w:eastAsia="de-AT"/>
              </w:rPr>
              <w:t xml:space="preserve">Broj događaja na datum završetka </w:t>
            </w:r>
          </w:p>
          <w:p w14:paraId="34EF3EFE" w14:textId="77777777" w:rsidR="00335124" w:rsidRPr="00E00E21" w:rsidRDefault="00335124" w:rsidP="00335124">
            <w:pPr>
              <w:rPr>
                <w:sz w:val="22"/>
                <w:szCs w:val="22"/>
                <w:lang w:val="sr-Latn-RS" w:eastAsia="de-AT"/>
              </w:rPr>
            </w:pPr>
            <w:r w:rsidRPr="00E00E21">
              <w:rPr>
                <w:sz w:val="22"/>
                <w:szCs w:val="22"/>
                <w:lang w:val="sr-Latn-RS" w:eastAsia="de-AT"/>
              </w:rPr>
              <w:t>prikupljanja podataka (cut-off date) (%)</w:t>
            </w:r>
          </w:p>
        </w:tc>
        <w:tc>
          <w:tcPr>
            <w:tcW w:w="1564" w:type="pct"/>
            <w:tcBorders>
              <w:top w:val="outset" w:sz="6" w:space="0" w:color="auto"/>
              <w:left w:val="outset" w:sz="6" w:space="0" w:color="auto"/>
              <w:bottom w:val="outset" w:sz="6" w:space="0" w:color="auto"/>
              <w:right w:val="outset" w:sz="6" w:space="0" w:color="auto"/>
            </w:tcBorders>
            <w:hideMark/>
          </w:tcPr>
          <w:p w14:paraId="59506B77" w14:textId="77777777" w:rsidR="00335124" w:rsidRPr="00E00E21" w:rsidRDefault="00335124" w:rsidP="00335124">
            <w:pPr>
              <w:jc w:val="center"/>
              <w:rPr>
                <w:sz w:val="22"/>
                <w:szCs w:val="22"/>
                <w:lang w:val="sr-Latn-RS" w:eastAsia="de-AT"/>
              </w:rPr>
            </w:pPr>
            <w:r w:rsidRPr="00E00E21">
              <w:rPr>
                <w:sz w:val="22"/>
                <w:szCs w:val="22"/>
                <w:lang w:val="sr-Latn-RS" w:eastAsia="de-AT"/>
              </w:rPr>
              <w:t>95 (73.6%)</w:t>
            </w:r>
          </w:p>
        </w:tc>
        <w:tc>
          <w:tcPr>
            <w:tcW w:w="1642" w:type="pct"/>
            <w:tcBorders>
              <w:top w:val="outset" w:sz="6" w:space="0" w:color="auto"/>
              <w:left w:val="outset" w:sz="6" w:space="0" w:color="auto"/>
              <w:bottom w:val="outset" w:sz="6" w:space="0" w:color="auto"/>
              <w:right w:val="outset" w:sz="6" w:space="0" w:color="auto"/>
            </w:tcBorders>
            <w:hideMark/>
          </w:tcPr>
          <w:p w14:paraId="7D37A239" w14:textId="77777777" w:rsidR="00335124" w:rsidRPr="00E00E21" w:rsidRDefault="00335124" w:rsidP="00335124">
            <w:pPr>
              <w:jc w:val="center"/>
              <w:rPr>
                <w:sz w:val="22"/>
                <w:szCs w:val="22"/>
                <w:lang w:val="sr-Latn-RS" w:eastAsia="de-AT"/>
              </w:rPr>
            </w:pPr>
            <w:r w:rsidRPr="00E00E21">
              <w:rPr>
                <w:sz w:val="22"/>
                <w:szCs w:val="22"/>
                <w:lang w:val="sr-Latn-RS" w:eastAsia="de-AT"/>
              </w:rPr>
              <w:t>101 (80.2%)</w:t>
            </w:r>
          </w:p>
        </w:tc>
      </w:tr>
      <w:tr w:rsidR="00000498" w:rsidRPr="00E00E21" w14:paraId="4F1C51B4" w14:textId="77777777" w:rsidTr="00004651">
        <w:trPr>
          <w:tblCellSpacing w:w="0" w:type="dxa"/>
        </w:trPr>
        <w:tc>
          <w:tcPr>
            <w:tcW w:w="1794" w:type="pct"/>
            <w:tcBorders>
              <w:top w:val="outset" w:sz="6" w:space="0" w:color="auto"/>
              <w:left w:val="outset" w:sz="6" w:space="0" w:color="auto"/>
              <w:bottom w:val="outset" w:sz="6" w:space="0" w:color="auto"/>
              <w:right w:val="outset" w:sz="6" w:space="0" w:color="auto"/>
            </w:tcBorders>
            <w:hideMark/>
          </w:tcPr>
          <w:p w14:paraId="63C1A7AB" w14:textId="77777777" w:rsidR="00335124" w:rsidRPr="00E00E21" w:rsidRDefault="00335124" w:rsidP="00335124">
            <w:pPr>
              <w:rPr>
                <w:sz w:val="22"/>
                <w:szCs w:val="22"/>
                <w:lang w:val="sr-Latn-RS" w:eastAsia="de-AT"/>
              </w:rPr>
            </w:pPr>
            <w:r w:rsidRPr="00E00E21">
              <w:rPr>
                <w:sz w:val="22"/>
                <w:szCs w:val="22"/>
                <w:lang w:val="sr-Latn-RS" w:eastAsia="de-AT"/>
              </w:rPr>
              <w:t>Medijana rPFS (mjeseci) (95% CI)</w:t>
            </w:r>
          </w:p>
        </w:tc>
        <w:tc>
          <w:tcPr>
            <w:tcW w:w="1564" w:type="pct"/>
            <w:tcBorders>
              <w:top w:val="outset" w:sz="6" w:space="0" w:color="auto"/>
              <w:left w:val="outset" w:sz="6" w:space="0" w:color="auto"/>
              <w:bottom w:val="outset" w:sz="6" w:space="0" w:color="auto"/>
              <w:right w:val="outset" w:sz="6" w:space="0" w:color="auto"/>
            </w:tcBorders>
            <w:hideMark/>
          </w:tcPr>
          <w:p w14:paraId="174A385F" w14:textId="77777777" w:rsidR="00335124" w:rsidRPr="00E00E21" w:rsidRDefault="00335124" w:rsidP="00335124">
            <w:pPr>
              <w:jc w:val="center"/>
              <w:rPr>
                <w:sz w:val="22"/>
                <w:szCs w:val="22"/>
                <w:lang w:val="sr-Latn-RS" w:eastAsia="de-AT"/>
              </w:rPr>
            </w:pPr>
            <w:r w:rsidRPr="00E00E21">
              <w:rPr>
                <w:sz w:val="22"/>
                <w:szCs w:val="22"/>
                <w:lang w:val="sr-Latn-RS" w:eastAsia="de-AT"/>
              </w:rPr>
              <w:t>8.0 (5.7 to 9.2)</w:t>
            </w:r>
          </w:p>
        </w:tc>
        <w:tc>
          <w:tcPr>
            <w:tcW w:w="1642" w:type="pct"/>
            <w:tcBorders>
              <w:top w:val="outset" w:sz="6" w:space="0" w:color="auto"/>
              <w:left w:val="outset" w:sz="6" w:space="0" w:color="auto"/>
              <w:bottom w:val="outset" w:sz="6" w:space="0" w:color="auto"/>
              <w:right w:val="outset" w:sz="6" w:space="0" w:color="auto"/>
            </w:tcBorders>
            <w:hideMark/>
          </w:tcPr>
          <w:p w14:paraId="1561418C" w14:textId="77777777" w:rsidR="00335124" w:rsidRPr="00E00E21" w:rsidRDefault="00335124" w:rsidP="00335124">
            <w:pPr>
              <w:jc w:val="center"/>
              <w:rPr>
                <w:sz w:val="22"/>
                <w:szCs w:val="22"/>
                <w:lang w:val="sr-Latn-RS" w:eastAsia="de-AT"/>
              </w:rPr>
            </w:pPr>
            <w:r w:rsidRPr="00E00E21">
              <w:rPr>
                <w:sz w:val="22"/>
                <w:szCs w:val="22"/>
                <w:lang w:val="sr-Latn-RS" w:eastAsia="de-AT"/>
              </w:rPr>
              <w:t>3.7 (2.8 to 5.1)</w:t>
            </w:r>
          </w:p>
        </w:tc>
      </w:tr>
      <w:tr w:rsidR="00335124" w:rsidRPr="00E00E21" w14:paraId="34CE8584" w14:textId="77777777" w:rsidTr="00004651">
        <w:trPr>
          <w:tblCellSpacing w:w="0" w:type="dxa"/>
        </w:trPr>
        <w:tc>
          <w:tcPr>
            <w:tcW w:w="1794" w:type="pct"/>
            <w:tcBorders>
              <w:top w:val="outset" w:sz="6" w:space="0" w:color="auto"/>
              <w:left w:val="outset" w:sz="6" w:space="0" w:color="auto"/>
              <w:bottom w:val="outset" w:sz="6" w:space="0" w:color="auto"/>
              <w:right w:val="outset" w:sz="6" w:space="0" w:color="auto"/>
            </w:tcBorders>
            <w:hideMark/>
          </w:tcPr>
          <w:p w14:paraId="0C7748ED" w14:textId="77777777" w:rsidR="00335124" w:rsidRPr="00E00E21" w:rsidRDefault="00335124" w:rsidP="00335124">
            <w:pPr>
              <w:rPr>
                <w:sz w:val="22"/>
                <w:szCs w:val="22"/>
                <w:lang w:val="sr-Latn-RS" w:eastAsia="de-AT"/>
              </w:rPr>
            </w:pPr>
            <w:r w:rsidRPr="00E00E21">
              <w:rPr>
                <w:sz w:val="22"/>
                <w:szCs w:val="22"/>
                <w:lang w:val="sr-Latn-RS" w:eastAsia="de-AT"/>
              </w:rPr>
              <w:t>Hazard Ratio (HR) (95% CI)</w:t>
            </w:r>
          </w:p>
        </w:tc>
        <w:tc>
          <w:tcPr>
            <w:tcW w:w="3206" w:type="pct"/>
            <w:gridSpan w:val="2"/>
            <w:tcBorders>
              <w:top w:val="outset" w:sz="6" w:space="0" w:color="auto"/>
              <w:left w:val="outset" w:sz="6" w:space="0" w:color="auto"/>
              <w:bottom w:val="outset" w:sz="6" w:space="0" w:color="auto"/>
              <w:right w:val="outset" w:sz="6" w:space="0" w:color="auto"/>
            </w:tcBorders>
            <w:hideMark/>
          </w:tcPr>
          <w:p w14:paraId="57355A1A" w14:textId="77777777" w:rsidR="00335124" w:rsidRPr="00E00E21" w:rsidRDefault="00335124" w:rsidP="00335124">
            <w:pPr>
              <w:jc w:val="center"/>
              <w:rPr>
                <w:sz w:val="22"/>
                <w:szCs w:val="22"/>
                <w:lang w:val="sr-Latn-RS" w:eastAsia="de-AT"/>
              </w:rPr>
            </w:pPr>
            <w:r w:rsidRPr="00E00E21">
              <w:rPr>
                <w:sz w:val="22"/>
                <w:szCs w:val="22"/>
                <w:lang w:val="sr-Latn-RS" w:eastAsia="de-AT"/>
              </w:rPr>
              <w:t>0.54 (0.40 to 0.73)</w:t>
            </w:r>
          </w:p>
        </w:tc>
      </w:tr>
      <w:tr w:rsidR="00335124" w:rsidRPr="00E00E21" w14:paraId="6C5E10D8" w14:textId="77777777" w:rsidTr="00004651">
        <w:trPr>
          <w:tblCellSpacing w:w="0" w:type="dxa"/>
        </w:trPr>
        <w:tc>
          <w:tcPr>
            <w:tcW w:w="1794" w:type="pct"/>
            <w:tcBorders>
              <w:top w:val="outset" w:sz="6" w:space="0" w:color="auto"/>
              <w:left w:val="outset" w:sz="6" w:space="0" w:color="auto"/>
              <w:bottom w:val="outset" w:sz="6" w:space="0" w:color="auto"/>
              <w:right w:val="outset" w:sz="6" w:space="0" w:color="auto"/>
            </w:tcBorders>
            <w:hideMark/>
          </w:tcPr>
          <w:p w14:paraId="71E4EC45" w14:textId="77777777" w:rsidR="00335124" w:rsidRPr="00E00E21" w:rsidRDefault="00335124" w:rsidP="00335124">
            <w:pPr>
              <w:rPr>
                <w:sz w:val="22"/>
                <w:szCs w:val="22"/>
                <w:lang w:val="sr-Latn-RS" w:eastAsia="de-AT"/>
              </w:rPr>
            </w:pPr>
            <w:r w:rsidRPr="00E00E21">
              <w:rPr>
                <w:sz w:val="22"/>
                <w:szCs w:val="22"/>
                <w:lang w:val="sr-Latn-RS" w:eastAsia="de-AT"/>
              </w:rPr>
              <w:t>p-vrijednost</w:t>
            </w:r>
            <w:r w:rsidRPr="00E00E21">
              <w:rPr>
                <w:sz w:val="22"/>
                <w:szCs w:val="22"/>
                <w:vertAlign w:val="superscript"/>
                <w:lang w:val="sr-Latn-RS" w:eastAsia="de-AT"/>
              </w:rPr>
              <w:t>1</w:t>
            </w:r>
          </w:p>
        </w:tc>
        <w:tc>
          <w:tcPr>
            <w:tcW w:w="3206" w:type="pct"/>
            <w:gridSpan w:val="2"/>
            <w:tcBorders>
              <w:top w:val="outset" w:sz="6" w:space="0" w:color="auto"/>
              <w:left w:val="outset" w:sz="6" w:space="0" w:color="auto"/>
              <w:bottom w:val="outset" w:sz="6" w:space="0" w:color="auto"/>
              <w:right w:val="outset" w:sz="6" w:space="0" w:color="auto"/>
            </w:tcBorders>
            <w:hideMark/>
          </w:tcPr>
          <w:p w14:paraId="764912AB" w14:textId="77777777" w:rsidR="00335124" w:rsidRPr="00E00E21" w:rsidRDefault="00335124" w:rsidP="00335124">
            <w:pPr>
              <w:jc w:val="center"/>
              <w:rPr>
                <w:sz w:val="22"/>
                <w:szCs w:val="22"/>
                <w:lang w:val="sr-Latn-RS" w:eastAsia="de-AT"/>
              </w:rPr>
            </w:pPr>
            <w:r w:rsidRPr="00E00E21">
              <w:rPr>
                <w:sz w:val="22"/>
                <w:szCs w:val="22"/>
                <w:lang w:val="sr-Latn-RS" w:eastAsia="de-AT"/>
              </w:rPr>
              <w:t>&lt;0.0001</w:t>
            </w:r>
          </w:p>
        </w:tc>
      </w:tr>
    </w:tbl>
    <w:p w14:paraId="6FB92FDE" w14:textId="77777777" w:rsidR="00BA201C" w:rsidRPr="00E00E21" w:rsidRDefault="00335124" w:rsidP="008C70AE">
      <w:pPr>
        <w:tabs>
          <w:tab w:val="left" w:pos="540"/>
          <w:tab w:val="left" w:pos="569"/>
        </w:tabs>
        <w:jc w:val="both"/>
        <w:rPr>
          <w:sz w:val="22"/>
          <w:szCs w:val="22"/>
          <w:lang w:val="sr-Latn-RS"/>
        </w:rPr>
      </w:pPr>
      <w:r w:rsidRPr="00E00E21">
        <w:rPr>
          <w:sz w:val="22"/>
          <w:szCs w:val="22"/>
          <w:lang w:val="sr-Latn-RS"/>
        </w:rPr>
        <w:t xml:space="preserve"> </w:t>
      </w:r>
      <w:r w:rsidR="008C70AE" w:rsidRPr="00E00E21">
        <w:rPr>
          <w:sz w:val="22"/>
          <w:szCs w:val="22"/>
          <w:vertAlign w:val="superscript"/>
          <w:lang w:val="sr-Latn-RS"/>
        </w:rPr>
        <w:t>1</w:t>
      </w:r>
      <w:r w:rsidR="008C70AE" w:rsidRPr="00E00E21">
        <w:rPr>
          <w:sz w:val="22"/>
          <w:szCs w:val="22"/>
          <w:lang w:val="sr-Latn-RS"/>
        </w:rPr>
        <w:t>stratificirani log-rang test, prag signifikantnosti = 0,05</w:t>
      </w:r>
    </w:p>
    <w:p w14:paraId="2E6E4C2A" w14:textId="77777777" w:rsidR="000F16AA" w:rsidRPr="00E00E21" w:rsidRDefault="000F16AA" w:rsidP="008C70AE">
      <w:pPr>
        <w:tabs>
          <w:tab w:val="left" w:pos="540"/>
          <w:tab w:val="left" w:pos="569"/>
        </w:tabs>
        <w:jc w:val="both"/>
        <w:rPr>
          <w:sz w:val="22"/>
          <w:szCs w:val="22"/>
          <w:lang w:val="sr-Latn-RS"/>
        </w:rPr>
      </w:pPr>
    </w:p>
    <w:p w14:paraId="030C7200" w14:textId="2E1013DA" w:rsidR="0092401F" w:rsidRPr="00E00E21" w:rsidRDefault="000F16AA" w:rsidP="00E630C6">
      <w:pPr>
        <w:tabs>
          <w:tab w:val="left" w:pos="540"/>
          <w:tab w:val="left" w:pos="569"/>
        </w:tabs>
        <w:rPr>
          <w:sz w:val="22"/>
          <w:szCs w:val="22"/>
          <w:lang w:val="sr-Latn-RS"/>
        </w:rPr>
      </w:pPr>
      <w:r w:rsidRPr="00E00E21">
        <w:rPr>
          <w:sz w:val="22"/>
          <w:szCs w:val="22"/>
          <w:lang w:val="sr-Latn-RS"/>
        </w:rPr>
        <w:t>Slika 2 – Primarna mjera ishoda: Kaplan Meierov prikaz preživljavanja bez radiografske progresije bolesti (ITT populacija)</w:t>
      </w:r>
    </w:p>
    <w:p w14:paraId="5C13D1F7" w14:textId="77777777" w:rsidR="00BA201C" w:rsidRPr="00E00E21" w:rsidRDefault="000F16AA" w:rsidP="00F946DA">
      <w:pPr>
        <w:tabs>
          <w:tab w:val="left" w:pos="540"/>
          <w:tab w:val="left" w:pos="569"/>
        </w:tabs>
        <w:jc w:val="both"/>
        <w:rPr>
          <w:sz w:val="22"/>
          <w:szCs w:val="22"/>
          <w:lang w:val="sr-Latn-RS"/>
        </w:rPr>
      </w:pPr>
      <w:r w:rsidRPr="00E00E21">
        <w:rPr>
          <w:noProof/>
          <w:sz w:val="22"/>
          <w:szCs w:val="22"/>
        </w:rPr>
        <w:drawing>
          <wp:inline distT="0" distB="0" distL="0" distR="0" wp14:anchorId="1C9B96DF" wp14:editId="17F79F56">
            <wp:extent cx="5760720" cy="40633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063365"/>
                    </a:xfrm>
                    <a:prstGeom prst="rect">
                      <a:avLst/>
                    </a:prstGeom>
                  </pic:spPr>
                </pic:pic>
              </a:graphicData>
            </a:graphic>
          </wp:inline>
        </w:drawing>
      </w:r>
    </w:p>
    <w:p w14:paraId="7F6ACD1D" w14:textId="77777777" w:rsidR="000F16AA" w:rsidRPr="00E00E21" w:rsidRDefault="000F16AA" w:rsidP="00F946DA">
      <w:pPr>
        <w:tabs>
          <w:tab w:val="left" w:pos="540"/>
          <w:tab w:val="left" w:pos="569"/>
        </w:tabs>
        <w:jc w:val="both"/>
        <w:rPr>
          <w:sz w:val="22"/>
          <w:szCs w:val="22"/>
          <w:lang w:val="sr-Latn-RS"/>
        </w:rPr>
      </w:pPr>
    </w:p>
    <w:p w14:paraId="6E54E044" w14:textId="699EA9F3" w:rsidR="00514EE2" w:rsidRPr="00E00E21" w:rsidRDefault="000F16AA" w:rsidP="00E93932">
      <w:pPr>
        <w:tabs>
          <w:tab w:val="left" w:pos="540"/>
          <w:tab w:val="left" w:pos="569"/>
        </w:tabs>
        <w:jc w:val="both"/>
        <w:rPr>
          <w:sz w:val="22"/>
          <w:szCs w:val="22"/>
          <w:lang w:val="sr-Latn-RS"/>
        </w:rPr>
      </w:pPr>
      <w:r w:rsidRPr="00E00E21">
        <w:rPr>
          <w:sz w:val="22"/>
          <w:szCs w:val="22"/>
          <w:lang w:val="sr-Latn-RS"/>
        </w:rPr>
        <w:t xml:space="preserve">Planirane analize podgrupa za </w:t>
      </w:r>
      <w:r w:rsidR="00323E2A" w:rsidRPr="00E00E21">
        <w:rPr>
          <w:sz w:val="22"/>
          <w:szCs w:val="22"/>
          <w:lang w:val="sr-Latn-RS"/>
        </w:rPr>
        <w:t>preživljavanje</w:t>
      </w:r>
      <w:r w:rsidRPr="00E00E21">
        <w:rPr>
          <w:sz w:val="22"/>
          <w:szCs w:val="22"/>
          <w:lang w:val="sr-Latn-RS"/>
        </w:rPr>
        <w:t xml:space="preserve"> bez radiografske progresije bolesti na </w:t>
      </w:r>
      <w:r w:rsidR="00323E2A" w:rsidRPr="00E00E21">
        <w:rPr>
          <w:sz w:val="22"/>
          <w:szCs w:val="22"/>
          <w:lang w:val="sr-Latn-RS"/>
        </w:rPr>
        <w:t xml:space="preserve">osnovu </w:t>
      </w:r>
      <w:r w:rsidRPr="00E00E21">
        <w:rPr>
          <w:sz w:val="22"/>
          <w:szCs w:val="22"/>
          <w:lang w:val="sr-Latn-RS"/>
        </w:rPr>
        <w:t xml:space="preserve">faktora za stratifikaciju prilikom randomizacije dale su </w:t>
      </w:r>
      <w:r w:rsidR="00323E2A" w:rsidRPr="00E00E21">
        <w:rPr>
          <w:sz w:val="22"/>
          <w:szCs w:val="22"/>
          <w:lang w:val="sr-Latn-RS"/>
        </w:rPr>
        <w:t xml:space="preserve">odnos </w:t>
      </w:r>
      <w:r w:rsidRPr="00E00E21">
        <w:rPr>
          <w:sz w:val="22"/>
          <w:szCs w:val="22"/>
          <w:lang w:val="sr-Latn-RS"/>
        </w:rPr>
        <w:t xml:space="preserve">hazarda od 0,61 (95% CI: 0,39 do 0,96) </w:t>
      </w:r>
      <w:r w:rsidR="00323E2A" w:rsidRPr="00E00E21">
        <w:rPr>
          <w:sz w:val="22"/>
          <w:szCs w:val="22"/>
          <w:lang w:val="sr-Latn-RS"/>
        </w:rPr>
        <w:t>kod pacijenata</w:t>
      </w:r>
      <w:r w:rsidRPr="00E00E21">
        <w:rPr>
          <w:sz w:val="22"/>
          <w:szCs w:val="22"/>
          <w:lang w:val="sr-Latn-RS"/>
        </w:rPr>
        <w:t xml:space="preserve"> koji su prethodno primili lijek koji cilja androgeni receptor prije primjene docetaksela </w:t>
      </w:r>
      <w:r w:rsidR="00323E2A" w:rsidRPr="00E00E21">
        <w:rPr>
          <w:sz w:val="22"/>
          <w:szCs w:val="22"/>
          <w:lang w:val="sr-Latn-RS"/>
        </w:rPr>
        <w:t xml:space="preserve">i odnos </w:t>
      </w:r>
      <w:r w:rsidRPr="00E00E21">
        <w:rPr>
          <w:sz w:val="22"/>
          <w:szCs w:val="22"/>
          <w:lang w:val="sr-Latn-RS"/>
        </w:rPr>
        <w:t xml:space="preserve"> </w:t>
      </w:r>
      <w:r w:rsidRPr="00E00E21">
        <w:rPr>
          <w:sz w:val="22"/>
          <w:szCs w:val="22"/>
          <w:lang w:val="sr-Latn-RS"/>
        </w:rPr>
        <w:lastRenderedPageBreak/>
        <w:t xml:space="preserve">hazarda od 0,48 (95% CI: 0,32 do 0,70) </w:t>
      </w:r>
      <w:r w:rsidR="00323E2A" w:rsidRPr="00E00E21">
        <w:rPr>
          <w:sz w:val="22"/>
          <w:szCs w:val="22"/>
          <w:lang w:val="sr-Latn-RS"/>
        </w:rPr>
        <w:t xml:space="preserve">kod pacijenata </w:t>
      </w:r>
      <w:r w:rsidRPr="00E00E21">
        <w:rPr>
          <w:sz w:val="22"/>
          <w:szCs w:val="22"/>
          <w:lang w:val="sr-Latn-RS"/>
        </w:rPr>
        <w:t xml:space="preserve">koji su prethodno primili lijek koji cilja androgeni receptor nakon primjene docetaksela. </w:t>
      </w:r>
    </w:p>
    <w:p w14:paraId="0ED8F1B7" w14:textId="6612B127" w:rsidR="00514EE2" w:rsidRPr="00E00E21" w:rsidRDefault="000F16AA" w:rsidP="00E93932">
      <w:pPr>
        <w:tabs>
          <w:tab w:val="left" w:pos="540"/>
          <w:tab w:val="left" w:pos="569"/>
        </w:tabs>
        <w:jc w:val="both"/>
        <w:rPr>
          <w:sz w:val="22"/>
          <w:szCs w:val="22"/>
          <w:lang w:val="sr-Latn-RS"/>
        </w:rPr>
      </w:pPr>
      <w:r w:rsidRPr="00E00E21">
        <w:rPr>
          <w:sz w:val="22"/>
          <w:szCs w:val="22"/>
          <w:lang w:val="sr-Latn-RS"/>
        </w:rPr>
        <w:t xml:space="preserve">Kabazitaksel je statistički bio superioran u odnosu na komparatore koji ciljaju androgeni receptor za svaki od alfa-zaštićenih ključnih sekundarnih mjera ishoda uključujući ukupno </w:t>
      </w:r>
      <w:r w:rsidR="00323E2A" w:rsidRPr="00E00E21">
        <w:rPr>
          <w:sz w:val="22"/>
          <w:szCs w:val="22"/>
          <w:lang w:val="sr-Latn-RS"/>
        </w:rPr>
        <w:t>preživljavanje</w:t>
      </w:r>
      <w:r w:rsidRPr="00E00E21">
        <w:rPr>
          <w:sz w:val="22"/>
          <w:szCs w:val="22"/>
          <w:lang w:val="sr-Latn-RS"/>
        </w:rPr>
        <w:t xml:space="preserve"> (13,6 mjeseci u grupi koja je primala kabazitaksel u </w:t>
      </w:r>
      <w:r w:rsidR="00323E2A" w:rsidRPr="00E00E21">
        <w:rPr>
          <w:sz w:val="22"/>
          <w:szCs w:val="22"/>
          <w:lang w:val="sr-Latn-RS"/>
        </w:rPr>
        <w:t>poređenju</w:t>
      </w:r>
      <w:r w:rsidRPr="00E00E21">
        <w:rPr>
          <w:sz w:val="22"/>
          <w:szCs w:val="22"/>
          <w:lang w:val="sr-Latn-RS"/>
        </w:rPr>
        <w:t xml:space="preserve"> s</w:t>
      </w:r>
      <w:r w:rsidR="00323E2A" w:rsidRPr="00E00E21">
        <w:rPr>
          <w:sz w:val="22"/>
          <w:szCs w:val="22"/>
          <w:lang w:val="sr-Latn-RS"/>
        </w:rPr>
        <w:t>a</w:t>
      </w:r>
      <w:r w:rsidRPr="00E00E21">
        <w:rPr>
          <w:sz w:val="22"/>
          <w:szCs w:val="22"/>
          <w:lang w:val="sr-Latn-RS"/>
        </w:rPr>
        <w:t xml:space="preserve"> 11,0 mjeseci u grupi koja je primala lijek koji cilja androgeni receptor; HR 0,64; 95% CI: 0,46 do 0,89; p=0,008), </w:t>
      </w:r>
      <w:r w:rsidR="00323E2A" w:rsidRPr="00E00E21">
        <w:rPr>
          <w:sz w:val="22"/>
          <w:szCs w:val="22"/>
          <w:lang w:val="sr-Latn-RS"/>
        </w:rPr>
        <w:t>preživljavanje</w:t>
      </w:r>
      <w:r w:rsidRPr="00E00E21">
        <w:rPr>
          <w:sz w:val="22"/>
          <w:szCs w:val="22"/>
          <w:lang w:val="sr-Latn-RS"/>
        </w:rPr>
        <w:t xml:space="preserve"> bez progresije bolesti (4,4 mjeseci u grupi koja je primala kabazitaksel u </w:t>
      </w:r>
      <w:r w:rsidR="00323E2A" w:rsidRPr="00E00E21">
        <w:rPr>
          <w:sz w:val="22"/>
          <w:szCs w:val="22"/>
          <w:lang w:val="sr-Latn-RS"/>
        </w:rPr>
        <w:t xml:space="preserve">poređenju </w:t>
      </w:r>
      <w:r w:rsidRPr="00E00E21">
        <w:rPr>
          <w:sz w:val="22"/>
          <w:szCs w:val="22"/>
          <w:lang w:val="sr-Latn-RS"/>
        </w:rPr>
        <w:t>s</w:t>
      </w:r>
      <w:r w:rsidR="00323E2A" w:rsidRPr="00E00E21">
        <w:rPr>
          <w:sz w:val="22"/>
          <w:szCs w:val="22"/>
          <w:lang w:val="sr-Latn-RS"/>
        </w:rPr>
        <w:t>a</w:t>
      </w:r>
      <w:r w:rsidRPr="00E00E21">
        <w:rPr>
          <w:sz w:val="22"/>
          <w:szCs w:val="22"/>
          <w:lang w:val="sr-Latn-RS"/>
        </w:rPr>
        <w:t xml:space="preserve"> 2,7 mjeseci u grupi koja je primala lijek koji cilja androgeni receptor; HR 0,52; 95% CI: 0,40 do 0,68), potvrđeni </w:t>
      </w:r>
      <w:r w:rsidR="00323E2A" w:rsidRPr="00E00E21">
        <w:rPr>
          <w:sz w:val="22"/>
          <w:szCs w:val="22"/>
          <w:lang w:val="sr-Latn-RS"/>
        </w:rPr>
        <w:t>efekat</w:t>
      </w:r>
      <w:r w:rsidRPr="00E00E21">
        <w:rPr>
          <w:sz w:val="22"/>
          <w:szCs w:val="22"/>
          <w:lang w:val="sr-Latn-RS"/>
        </w:rPr>
        <w:t xml:space="preserve"> na </w:t>
      </w:r>
      <w:r w:rsidR="00323E2A" w:rsidRPr="00E00E21">
        <w:rPr>
          <w:sz w:val="22"/>
          <w:szCs w:val="22"/>
          <w:lang w:val="sr-Latn-RS"/>
        </w:rPr>
        <w:t>nivo</w:t>
      </w:r>
      <w:r w:rsidR="00514EE2" w:rsidRPr="00E00E21">
        <w:rPr>
          <w:sz w:val="22"/>
          <w:szCs w:val="22"/>
          <w:lang w:val="sr-Latn-RS"/>
        </w:rPr>
        <w:t>u</w:t>
      </w:r>
      <w:r w:rsidR="00323E2A" w:rsidRPr="00E00E21">
        <w:rPr>
          <w:sz w:val="22"/>
          <w:szCs w:val="22"/>
          <w:lang w:val="sr-Latn-RS"/>
        </w:rPr>
        <w:t xml:space="preserve"> </w:t>
      </w:r>
      <w:r w:rsidRPr="00E00E21">
        <w:rPr>
          <w:sz w:val="22"/>
          <w:szCs w:val="22"/>
          <w:lang w:val="sr-Latn-RS"/>
        </w:rPr>
        <w:t xml:space="preserve">PSA (36,3% u grupi koja je primala kabazitaksel u </w:t>
      </w:r>
      <w:r w:rsidR="00323E2A" w:rsidRPr="00E00E21">
        <w:rPr>
          <w:sz w:val="22"/>
          <w:szCs w:val="22"/>
          <w:lang w:val="sr-Latn-RS"/>
        </w:rPr>
        <w:t xml:space="preserve">poređenju sa </w:t>
      </w:r>
      <w:r w:rsidRPr="00E00E21">
        <w:rPr>
          <w:sz w:val="22"/>
          <w:szCs w:val="22"/>
          <w:lang w:val="sr-Latn-RS"/>
        </w:rPr>
        <w:t xml:space="preserve">14,3% u grupi koja je primala lijek koji cilja androgeni receptor, p=0,0003) i najbolji tumorski odgovor (36,5% u grupi koja je primala kabazitaksel u </w:t>
      </w:r>
      <w:r w:rsidR="00323E2A" w:rsidRPr="00E00E21">
        <w:rPr>
          <w:sz w:val="22"/>
          <w:szCs w:val="22"/>
          <w:lang w:val="sr-Latn-RS"/>
        </w:rPr>
        <w:t>poređenju</w:t>
      </w:r>
      <w:r w:rsidRPr="00E00E21">
        <w:rPr>
          <w:sz w:val="22"/>
          <w:szCs w:val="22"/>
          <w:lang w:val="sr-Latn-RS"/>
        </w:rPr>
        <w:t xml:space="preserve"> s</w:t>
      </w:r>
      <w:r w:rsidR="00323E2A" w:rsidRPr="00E00E21">
        <w:rPr>
          <w:sz w:val="22"/>
          <w:szCs w:val="22"/>
          <w:lang w:val="sr-Latn-RS"/>
        </w:rPr>
        <w:t>a</w:t>
      </w:r>
      <w:r w:rsidRPr="00E00E21">
        <w:rPr>
          <w:sz w:val="22"/>
          <w:szCs w:val="22"/>
          <w:lang w:val="sr-Latn-RS"/>
        </w:rPr>
        <w:t xml:space="preserve"> 11,5% u grupi koja je primala lijek koji cilja androgeni receptor; p=0,004). </w:t>
      </w:r>
    </w:p>
    <w:p w14:paraId="3F4BD050" w14:textId="26F03A2E" w:rsidR="000F16AA" w:rsidRPr="00E00E21" w:rsidRDefault="00514EE2" w:rsidP="00E93932">
      <w:pPr>
        <w:tabs>
          <w:tab w:val="left" w:pos="540"/>
          <w:tab w:val="left" w:pos="569"/>
        </w:tabs>
        <w:jc w:val="both"/>
        <w:rPr>
          <w:sz w:val="22"/>
          <w:szCs w:val="22"/>
          <w:lang w:val="sr-Latn-RS"/>
        </w:rPr>
      </w:pPr>
      <w:r w:rsidRPr="00E00E21">
        <w:rPr>
          <w:sz w:val="22"/>
          <w:szCs w:val="22"/>
          <w:lang w:val="sr-Latn-RS"/>
        </w:rPr>
        <w:t xml:space="preserve">Bezbjednosni </w:t>
      </w:r>
      <w:r w:rsidR="000F16AA" w:rsidRPr="00E00E21">
        <w:rPr>
          <w:sz w:val="22"/>
          <w:szCs w:val="22"/>
          <w:lang w:val="sr-Latn-RS"/>
        </w:rPr>
        <w:t>profil 25 mg/m</w:t>
      </w:r>
      <w:r w:rsidR="000F16AA" w:rsidRPr="00E00E21">
        <w:rPr>
          <w:sz w:val="22"/>
          <w:szCs w:val="22"/>
          <w:vertAlign w:val="superscript"/>
          <w:lang w:val="sr-Latn-RS"/>
        </w:rPr>
        <w:t>2</w:t>
      </w:r>
      <w:r w:rsidR="000F16AA" w:rsidRPr="00E00E21">
        <w:rPr>
          <w:sz w:val="22"/>
          <w:szCs w:val="22"/>
          <w:lang w:val="sr-Latn-RS"/>
        </w:rPr>
        <w:t xml:space="preserve"> kabazitaksela zabilježen u ispitivanju CARD sveukupno je bio u skladu s onim zabilježenim u ispitivanjima TROPIC i PROSELI</w:t>
      </w:r>
      <w:r w:rsidR="00323E2A" w:rsidRPr="00E00E21">
        <w:rPr>
          <w:sz w:val="22"/>
          <w:szCs w:val="22"/>
          <w:lang w:val="sr-Latn-RS"/>
        </w:rPr>
        <w:t>CA (vidjeti dio 4.8). Incidenc</w:t>
      </w:r>
      <w:r w:rsidR="000F16AA" w:rsidRPr="00E00E21">
        <w:rPr>
          <w:sz w:val="22"/>
          <w:szCs w:val="22"/>
          <w:lang w:val="sr-Latn-RS"/>
        </w:rPr>
        <w:t xml:space="preserve">a </w:t>
      </w:r>
      <w:r w:rsidR="00323E2A" w:rsidRPr="00E00E21">
        <w:rPr>
          <w:sz w:val="22"/>
          <w:szCs w:val="22"/>
          <w:lang w:val="sr-Latn-RS"/>
        </w:rPr>
        <w:t>neželjenih dejstava</w:t>
      </w:r>
      <w:r w:rsidR="000F16AA" w:rsidRPr="00E00E21">
        <w:rPr>
          <w:sz w:val="22"/>
          <w:szCs w:val="22"/>
          <w:lang w:val="sr-Latn-RS"/>
        </w:rPr>
        <w:t xml:space="preserve"> st</w:t>
      </w:r>
      <w:r w:rsidR="00323E2A" w:rsidRPr="00E00E21">
        <w:rPr>
          <w:sz w:val="22"/>
          <w:szCs w:val="22"/>
          <w:lang w:val="sr-Latn-RS"/>
        </w:rPr>
        <w:t>epena</w:t>
      </w:r>
      <w:r w:rsidR="000F16AA" w:rsidRPr="00E00E21">
        <w:rPr>
          <w:sz w:val="22"/>
          <w:szCs w:val="22"/>
          <w:lang w:val="sr-Latn-RS"/>
        </w:rPr>
        <w:t xml:space="preserve"> ≥ 3 iznosila je 53,2% u grupi koja je primala kabazitaksel u </w:t>
      </w:r>
      <w:r w:rsidR="00323E2A" w:rsidRPr="00E00E21">
        <w:rPr>
          <w:sz w:val="22"/>
          <w:szCs w:val="22"/>
          <w:lang w:val="sr-Latn-RS"/>
        </w:rPr>
        <w:t>poređenju</w:t>
      </w:r>
      <w:r w:rsidR="000F16AA" w:rsidRPr="00E00E21">
        <w:rPr>
          <w:sz w:val="22"/>
          <w:szCs w:val="22"/>
          <w:lang w:val="sr-Latn-RS"/>
        </w:rPr>
        <w:t xml:space="preserve"> s</w:t>
      </w:r>
      <w:r w:rsidR="00323E2A" w:rsidRPr="00E00E21">
        <w:rPr>
          <w:sz w:val="22"/>
          <w:szCs w:val="22"/>
          <w:lang w:val="sr-Latn-RS"/>
        </w:rPr>
        <w:t>a</w:t>
      </w:r>
      <w:r w:rsidR="000F16AA" w:rsidRPr="00E00E21">
        <w:rPr>
          <w:sz w:val="22"/>
          <w:szCs w:val="22"/>
          <w:lang w:val="sr-Latn-RS"/>
        </w:rPr>
        <w:t xml:space="preserve"> 46,0% u grupi koja je primala lijek koji cilja androgeni r</w:t>
      </w:r>
      <w:r w:rsidR="00323E2A" w:rsidRPr="00E00E21">
        <w:rPr>
          <w:sz w:val="22"/>
          <w:szCs w:val="22"/>
          <w:lang w:val="sr-Latn-RS"/>
        </w:rPr>
        <w:t>eceptor. Incidenc</w:t>
      </w:r>
      <w:r w:rsidR="000F16AA" w:rsidRPr="00E00E21">
        <w:rPr>
          <w:sz w:val="22"/>
          <w:szCs w:val="22"/>
          <w:lang w:val="sr-Latn-RS"/>
        </w:rPr>
        <w:t xml:space="preserve">a ozbiljnih </w:t>
      </w:r>
      <w:r w:rsidR="00323E2A" w:rsidRPr="00E00E21">
        <w:rPr>
          <w:sz w:val="22"/>
          <w:szCs w:val="22"/>
          <w:lang w:val="sr-Latn-RS"/>
        </w:rPr>
        <w:t>neželjenih dejstava stepena</w:t>
      </w:r>
      <w:r w:rsidRPr="00E00E21">
        <w:rPr>
          <w:sz w:val="22"/>
          <w:szCs w:val="22"/>
          <w:lang w:val="sr-Latn-RS"/>
        </w:rPr>
        <w:t xml:space="preserve"> </w:t>
      </w:r>
      <w:r w:rsidR="000F16AA" w:rsidRPr="00E00E21">
        <w:rPr>
          <w:sz w:val="22"/>
          <w:szCs w:val="22"/>
          <w:lang w:val="sr-Latn-RS"/>
        </w:rPr>
        <w:t xml:space="preserve">≥ 3 iznosila je 31,7% u grupi koja je primala kabazitaksel u </w:t>
      </w:r>
      <w:r w:rsidR="00323E2A" w:rsidRPr="00E00E21">
        <w:rPr>
          <w:sz w:val="22"/>
          <w:szCs w:val="22"/>
          <w:lang w:val="sr-Latn-RS"/>
        </w:rPr>
        <w:t>poređenju</w:t>
      </w:r>
      <w:r w:rsidR="000F16AA" w:rsidRPr="00E00E21">
        <w:rPr>
          <w:sz w:val="22"/>
          <w:szCs w:val="22"/>
          <w:lang w:val="sr-Latn-RS"/>
        </w:rPr>
        <w:t xml:space="preserve"> s</w:t>
      </w:r>
      <w:r w:rsidR="00323E2A" w:rsidRPr="00E00E21">
        <w:rPr>
          <w:sz w:val="22"/>
          <w:szCs w:val="22"/>
          <w:lang w:val="sr-Latn-RS"/>
        </w:rPr>
        <w:t>a</w:t>
      </w:r>
      <w:r w:rsidR="000F16AA" w:rsidRPr="00E00E21">
        <w:rPr>
          <w:sz w:val="22"/>
          <w:szCs w:val="22"/>
          <w:lang w:val="sr-Latn-RS"/>
        </w:rPr>
        <w:t xml:space="preserve"> 37,1% u grupi koja je primala lijek koji cil</w:t>
      </w:r>
      <w:r w:rsidR="00323E2A" w:rsidRPr="00E00E21">
        <w:rPr>
          <w:sz w:val="22"/>
          <w:szCs w:val="22"/>
          <w:lang w:val="sr-Latn-RS"/>
        </w:rPr>
        <w:t>ja androgeni receptor. Incidenc</w:t>
      </w:r>
      <w:r w:rsidR="000F16AA" w:rsidRPr="00E00E21">
        <w:rPr>
          <w:sz w:val="22"/>
          <w:szCs w:val="22"/>
          <w:lang w:val="sr-Latn-RS"/>
        </w:rPr>
        <w:t xml:space="preserve">a </w:t>
      </w:r>
      <w:r w:rsidR="00323E2A" w:rsidRPr="00E00E21">
        <w:rPr>
          <w:sz w:val="22"/>
          <w:szCs w:val="22"/>
          <w:lang w:val="sr-Latn-RS"/>
        </w:rPr>
        <w:t xml:space="preserve">pacijenata </w:t>
      </w:r>
      <w:r w:rsidR="000F16AA" w:rsidRPr="00E00E21">
        <w:rPr>
          <w:sz w:val="22"/>
          <w:szCs w:val="22"/>
          <w:lang w:val="sr-Latn-RS"/>
        </w:rPr>
        <w:t xml:space="preserve">u ispitivanju koji su trajno prekinuli liječenje zbog </w:t>
      </w:r>
      <w:r w:rsidR="00323E2A" w:rsidRPr="00E00E21">
        <w:rPr>
          <w:sz w:val="22"/>
          <w:szCs w:val="22"/>
          <w:lang w:val="sr-Latn-RS"/>
        </w:rPr>
        <w:t xml:space="preserve">neželjenih </w:t>
      </w:r>
      <w:r w:rsidR="000F16AA" w:rsidRPr="00E00E21">
        <w:rPr>
          <w:sz w:val="22"/>
          <w:szCs w:val="22"/>
          <w:lang w:val="sr-Latn-RS"/>
        </w:rPr>
        <w:t xml:space="preserve">događaja iznosila je 19,8% u grupi koja je primala kabazitaksel u </w:t>
      </w:r>
      <w:r w:rsidR="00323E2A" w:rsidRPr="00E00E21">
        <w:rPr>
          <w:sz w:val="22"/>
          <w:szCs w:val="22"/>
          <w:lang w:val="sr-Latn-RS"/>
        </w:rPr>
        <w:t>poređenju</w:t>
      </w:r>
      <w:r w:rsidR="000F16AA" w:rsidRPr="00E00E21">
        <w:rPr>
          <w:sz w:val="22"/>
          <w:szCs w:val="22"/>
          <w:lang w:val="sr-Latn-RS"/>
        </w:rPr>
        <w:t xml:space="preserve"> s</w:t>
      </w:r>
      <w:r w:rsidR="00323E2A" w:rsidRPr="00E00E21">
        <w:rPr>
          <w:sz w:val="22"/>
          <w:szCs w:val="22"/>
          <w:lang w:val="sr-Latn-RS"/>
        </w:rPr>
        <w:t>a</w:t>
      </w:r>
      <w:r w:rsidR="000F16AA" w:rsidRPr="00E00E21">
        <w:rPr>
          <w:sz w:val="22"/>
          <w:szCs w:val="22"/>
          <w:lang w:val="sr-Latn-RS"/>
        </w:rPr>
        <w:t xml:space="preserve"> 8,1% u grupi koja je primala lijek koji cilj</w:t>
      </w:r>
      <w:r w:rsidR="00323E2A" w:rsidRPr="00E00E21">
        <w:rPr>
          <w:sz w:val="22"/>
          <w:szCs w:val="22"/>
          <w:lang w:val="sr-Latn-RS"/>
        </w:rPr>
        <w:t>a androgeni receptor. Incidenc</w:t>
      </w:r>
      <w:r w:rsidR="000F16AA" w:rsidRPr="00E00E21">
        <w:rPr>
          <w:sz w:val="22"/>
          <w:szCs w:val="22"/>
          <w:lang w:val="sr-Latn-RS"/>
        </w:rPr>
        <w:t xml:space="preserve">a </w:t>
      </w:r>
      <w:r w:rsidR="00323E2A" w:rsidRPr="00E00E21">
        <w:rPr>
          <w:sz w:val="22"/>
          <w:szCs w:val="22"/>
          <w:lang w:val="sr-Latn-RS"/>
        </w:rPr>
        <w:t>neželjenih</w:t>
      </w:r>
      <w:r w:rsidR="000F16AA" w:rsidRPr="00E00E21">
        <w:rPr>
          <w:sz w:val="22"/>
          <w:szCs w:val="22"/>
          <w:lang w:val="sr-Latn-RS"/>
        </w:rPr>
        <w:t xml:space="preserve"> događaja koji su uzrokovali smrt iznosila je 5,6% u grupi koja je primala kabazitaksel u </w:t>
      </w:r>
      <w:r w:rsidR="00323E2A" w:rsidRPr="00E00E21">
        <w:rPr>
          <w:sz w:val="22"/>
          <w:szCs w:val="22"/>
          <w:lang w:val="sr-Latn-RS"/>
        </w:rPr>
        <w:t>poređenju</w:t>
      </w:r>
      <w:r w:rsidR="000F16AA" w:rsidRPr="00E00E21">
        <w:rPr>
          <w:sz w:val="22"/>
          <w:szCs w:val="22"/>
          <w:lang w:val="sr-Latn-RS"/>
        </w:rPr>
        <w:t xml:space="preserve"> s</w:t>
      </w:r>
      <w:r w:rsidR="00323E2A" w:rsidRPr="00E00E21">
        <w:rPr>
          <w:sz w:val="22"/>
          <w:szCs w:val="22"/>
          <w:lang w:val="sr-Latn-RS"/>
        </w:rPr>
        <w:t>a</w:t>
      </w:r>
      <w:r w:rsidR="000F16AA" w:rsidRPr="00E00E21">
        <w:rPr>
          <w:sz w:val="22"/>
          <w:szCs w:val="22"/>
          <w:lang w:val="sr-Latn-RS"/>
        </w:rPr>
        <w:t xml:space="preserve"> 10,5% u grupi koja je primala lijek koji cilja androgeni receptor.</w:t>
      </w:r>
    </w:p>
    <w:p w14:paraId="5A8373CA" w14:textId="77777777" w:rsidR="000F16AA" w:rsidRPr="00E00E21" w:rsidRDefault="000F16AA" w:rsidP="00E93932">
      <w:pPr>
        <w:tabs>
          <w:tab w:val="left" w:pos="540"/>
          <w:tab w:val="left" w:pos="569"/>
        </w:tabs>
        <w:jc w:val="both"/>
        <w:rPr>
          <w:sz w:val="22"/>
          <w:szCs w:val="22"/>
          <w:u w:val="single"/>
          <w:lang w:val="sr-Latn-RS"/>
        </w:rPr>
      </w:pPr>
    </w:p>
    <w:p w14:paraId="7FFDE758" w14:textId="77777777" w:rsidR="00507AD2" w:rsidRPr="00E00E21" w:rsidRDefault="00F946DA" w:rsidP="004F26A0">
      <w:pPr>
        <w:tabs>
          <w:tab w:val="left" w:pos="540"/>
          <w:tab w:val="left" w:pos="569"/>
        </w:tabs>
        <w:jc w:val="both"/>
        <w:rPr>
          <w:sz w:val="22"/>
          <w:szCs w:val="22"/>
          <w:u w:val="single"/>
          <w:lang w:val="sr-Latn-RS"/>
        </w:rPr>
      </w:pPr>
      <w:r w:rsidRPr="00E00E21">
        <w:rPr>
          <w:sz w:val="22"/>
          <w:szCs w:val="22"/>
          <w:u w:val="single"/>
          <w:lang w:val="sr-Latn-RS"/>
        </w:rPr>
        <w:t xml:space="preserve">Pedijatrijska populacija </w:t>
      </w:r>
    </w:p>
    <w:p w14:paraId="44A89259" w14:textId="77777777" w:rsidR="00F52F41" w:rsidRPr="00E00E21" w:rsidRDefault="00F52F41" w:rsidP="004F26A0">
      <w:pPr>
        <w:tabs>
          <w:tab w:val="left" w:pos="540"/>
          <w:tab w:val="left" w:pos="569"/>
        </w:tabs>
        <w:jc w:val="both"/>
        <w:rPr>
          <w:sz w:val="22"/>
          <w:szCs w:val="22"/>
          <w:u w:val="single"/>
          <w:lang w:val="sr-Latn-RS"/>
        </w:rPr>
      </w:pPr>
    </w:p>
    <w:p w14:paraId="4AA10870" w14:textId="2475A2E4" w:rsidR="00507AD2" w:rsidRPr="00E00E21" w:rsidRDefault="00F946DA" w:rsidP="004F26A0">
      <w:pPr>
        <w:tabs>
          <w:tab w:val="left" w:pos="540"/>
          <w:tab w:val="left" w:pos="569"/>
        </w:tabs>
        <w:jc w:val="both"/>
        <w:rPr>
          <w:sz w:val="22"/>
          <w:szCs w:val="22"/>
          <w:lang w:val="sr-Latn-RS"/>
        </w:rPr>
      </w:pPr>
      <w:r w:rsidRPr="00E00E21">
        <w:rPr>
          <w:sz w:val="22"/>
          <w:szCs w:val="22"/>
          <w:lang w:val="sr-Latn-RS"/>
        </w:rPr>
        <w:t>Evropska agencija za ljekove odložila je obavezu podnošenja rezultata ispitivanja</w:t>
      </w:r>
      <w:r w:rsidR="00507AD2" w:rsidRPr="00E00E21">
        <w:rPr>
          <w:sz w:val="22"/>
          <w:szCs w:val="22"/>
          <w:lang w:val="sr-Latn-RS"/>
        </w:rPr>
        <w:t xml:space="preserve"> k</w:t>
      </w:r>
      <w:r w:rsidRPr="00E00E21">
        <w:rPr>
          <w:sz w:val="22"/>
          <w:szCs w:val="22"/>
          <w:lang w:val="sr-Latn-RS"/>
        </w:rPr>
        <w:t>abazitaksel u svim podgrupama pedijatrijske populacije za indikaciju karcinom prostate (</w:t>
      </w:r>
      <w:r w:rsidR="00514EE2" w:rsidRPr="00E00E21">
        <w:rPr>
          <w:sz w:val="22"/>
          <w:szCs w:val="22"/>
          <w:lang w:val="sr-Latn-RS"/>
        </w:rPr>
        <w:t xml:space="preserve">vidjeti </w:t>
      </w:r>
      <w:r w:rsidR="00F94684" w:rsidRPr="00E00E21">
        <w:rPr>
          <w:sz w:val="22"/>
          <w:szCs w:val="22"/>
          <w:lang w:val="sr-Latn-RS"/>
        </w:rPr>
        <w:t>dio</w:t>
      </w:r>
      <w:r w:rsidRPr="00E00E21">
        <w:rPr>
          <w:sz w:val="22"/>
          <w:szCs w:val="22"/>
          <w:lang w:val="sr-Latn-RS"/>
        </w:rPr>
        <w:t xml:space="preserve"> 4.2. za informacije o upotrebi u pedijatrijskoj populaciji). </w:t>
      </w:r>
    </w:p>
    <w:p w14:paraId="1ECD9911" w14:textId="2ABE50C6" w:rsidR="00593BF0" w:rsidRPr="00E00E21" w:rsidRDefault="00F946DA" w:rsidP="00370E1E">
      <w:pPr>
        <w:tabs>
          <w:tab w:val="left" w:pos="540"/>
          <w:tab w:val="left" w:pos="569"/>
        </w:tabs>
        <w:jc w:val="both"/>
        <w:rPr>
          <w:sz w:val="22"/>
          <w:szCs w:val="22"/>
          <w:lang w:val="sr-Latn-RS"/>
        </w:rPr>
      </w:pPr>
      <w:r w:rsidRPr="00E00E21">
        <w:rPr>
          <w:sz w:val="22"/>
          <w:szCs w:val="22"/>
          <w:lang w:val="sr-Latn-RS"/>
        </w:rPr>
        <w:t>Kabazitaksel je proc</w:t>
      </w:r>
      <w:r w:rsidR="00507AD2" w:rsidRPr="00E00E21">
        <w:rPr>
          <w:sz w:val="22"/>
          <w:szCs w:val="22"/>
          <w:lang w:val="sr-Latn-RS"/>
        </w:rPr>
        <w:t>j</w:t>
      </w:r>
      <w:r w:rsidRPr="00E00E21">
        <w:rPr>
          <w:sz w:val="22"/>
          <w:szCs w:val="22"/>
          <w:lang w:val="sr-Latn-RS"/>
        </w:rPr>
        <w:t>enjivan u otvorenom, multicentričnom ispitivanju faze 1/2 sprovedenog kod 39 pedijatrijskih pacijenata (uzrasta od 4 do 18 godina u fazi 1 ispitivanja i između 3 i 16 godina starosti u fazi 2 ispitivanja). U fazi 2 ispitivanja nije pokazana efikasnost samostalno prim</w:t>
      </w:r>
      <w:r w:rsidR="00507AD2" w:rsidRPr="00E00E21">
        <w:rPr>
          <w:sz w:val="22"/>
          <w:szCs w:val="22"/>
          <w:lang w:val="sr-Latn-RS"/>
        </w:rPr>
        <w:t>ij</w:t>
      </w:r>
      <w:r w:rsidRPr="00E00E21">
        <w:rPr>
          <w:sz w:val="22"/>
          <w:szCs w:val="22"/>
          <w:lang w:val="sr-Latn-RS"/>
        </w:rPr>
        <w:t>enjenog kabazitaksela u pedijatrijskoj populaciji sa rekurentnim ili refraktornim difuznim intrinzičkim gliomom ponsa (DIPG) i gliomom visokog stepena malignosti (HGG) liječenog dozom od 30 mg/m</w:t>
      </w:r>
      <w:r w:rsidRPr="00E00E21">
        <w:rPr>
          <w:sz w:val="22"/>
          <w:szCs w:val="22"/>
          <w:vertAlign w:val="superscript"/>
          <w:lang w:val="sr-Latn-RS"/>
        </w:rPr>
        <w:t>2</w:t>
      </w:r>
      <w:r w:rsidRPr="00E00E21">
        <w:rPr>
          <w:sz w:val="22"/>
          <w:szCs w:val="22"/>
          <w:lang w:val="sr-Latn-RS"/>
        </w:rPr>
        <w:t>.</w:t>
      </w:r>
    </w:p>
    <w:p w14:paraId="5075D5A0" w14:textId="77777777" w:rsidR="002E37A5" w:rsidRPr="00E00E21" w:rsidRDefault="002E37A5" w:rsidP="00E630C6">
      <w:pPr>
        <w:tabs>
          <w:tab w:val="left" w:pos="540"/>
          <w:tab w:val="left" w:pos="569"/>
        </w:tabs>
        <w:jc w:val="both"/>
        <w:rPr>
          <w:b/>
          <w:bCs/>
          <w:sz w:val="22"/>
          <w:szCs w:val="22"/>
          <w:lang w:val="sr-Latn-RS"/>
        </w:rPr>
      </w:pPr>
    </w:p>
    <w:p w14:paraId="53913AA8" w14:textId="77777777" w:rsidR="0072020E" w:rsidRPr="00E00E21" w:rsidRDefault="0072020E" w:rsidP="00E630C6">
      <w:pPr>
        <w:tabs>
          <w:tab w:val="left" w:pos="540"/>
          <w:tab w:val="left" w:pos="569"/>
        </w:tabs>
        <w:jc w:val="both"/>
        <w:rPr>
          <w:b/>
          <w:bCs/>
          <w:sz w:val="22"/>
          <w:szCs w:val="22"/>
          <w:lang w:val="sr-Latn-RS"/>
        </w:rPr>
      </w:pPr>
      <w:r w:rsidRPr="00E00E21">
        <w:rPr>
          <w:b/>
          <w:bCs/>
          <w:sz w:val="22"/>
          <w:szCs w:val="22"/>
          <w:lang w:val="sr-Latn-RS"/>
        </w:rPr>
        <w:t xml:space="preserve">5.2. </w:t>
      </w:r>
      <w:r w:rsidR="00480FB1" w:rsidRPr="00E00E21">
        <w:rPr>
          <w:b/>
          <w:bCs/>
          <w:sz w:val="22"/>
          <w:szCs w:val="22"/>
          <w:lang w:val="sr-Latn-RS"/>
        </w:rPr>
        <w:tab/>
      </w:r>
      <w:r w:rsidRPr="00E00E21">
        <w:rPr>
          <w:b/>
          <w:bCs/>
          <w:sz w:val="22"/>
          <w:szCs w:val="22"/>
          <w:lang w:val="sr-Latn-RS"/>
        </w:rPr>
        <w:t>Farmakokinetički podaci</w:t>
      </w:r>
      <w:r w:rsidR="003A7059" w:rsidRPr="00E00E21">
        <w:rPr>
          <w:b/>
          <w:bCs/>
          <w:sz w:val="22"/>
          <w:szCs w:val="22"/>
          <w:lang w:val="sr-Latn-RS"/>
        </w:rPr>
        <w:t xml:space="preserve"> </w:t>
      </w:r>
    </w:p>
    <w:p w14:paraId="1FA10BD6" w14:textId="77777777" w:rsidR="00836B35" w:rsidRPr="00E00E21" w:rsidRDefault="00836B35" w:rsidP="00E630C6">
      <w:pPr>
        <w:tabs>
          <w:tab w:val="left" w:pos="540"/>
          <w:tab w:val="left" w:pos="569"/>
        </w:tabs>
        <w:jc w:val="both"/>
        <w:rPr>
          <w:bCs/>
          <w:sz w:val="22"/>
          <w:szCs w:val="22"/>
          <w:lang w:val="sr-Latn-RS"/>
        </w:rPr>
      </w:pPr>
    </w:p>
    <w:p w14:paraId="004FDD66" w14:textId="76E1EB83" w:rsidR="008B16FD" w:rsidRPr="00E00E21" w:rsidRDefault="00F946DA" w:rsidP="00E93932">
      <w:pPr>
        <w:tabs>
          <w:tab w:val="left" w:pos="540"/>
          <w:tab w:val="left" w:pos="569"/>
        </w:tabs>
        <w:jc w:val="both"/>
        <w:rPr>
          <w:sz w:val="22"/>
          <w:szCs w:val="22"/>
          <w:lang w:val="sr-Latn-RS"/>
        </w:rPr>
      </w:pPr>
      <w:r w:rsidRPr="00E00E21">
        <w:rPr>
          <w:sz w:val="22"/>
          <w:szCs w:val="22"/>
          <w:lang w:val="sr-Latn-RS"/>
        </w:rPr>
        <w:t>Populaciona farmakokinetička analiza sprovedena je kod 170 pacijenata, uključujući pacijente sa uznapredovalim solidnim tumorima (n=69), metastatskim karcinomom dojke (n=34) i metastatskim karcinomom prostate (n=67). Pacijenti su dobijali kabazitaksel u dozi od 10 do 30 mg/m</w:t>
      </w:r>
      <w:r w:rsidRPr="00E00E21">
        <w:rPr>
          <w:sz w:val="22"/>
          <w:szCs w:val="22"/>
          <w:vertAlign w:val="superscript"/>
          <w:lang w:val="sr-Latn-RS"/>
        </w:rPr>
        <w:t>2</w:t>
      </w:r>
      <w:r w:rsidRPr="00E00E21">
        <w:rPr>
          <w:sz w:val="22"/>
          <w:szCs w:val="22"/>
          <w:lang w:val="sr-Latn-RS"/>
        </w:rPr>
        <w:t xml:space="preserve"> ned</w:t>
      </w:r>
      <w:r w:rsidR="00514EE2" w:rsidRPr="00E00E21">
        <w:rPr>
          <w:sz w:val="22"/>
          <w:szCs w:val="22"/>
          <w:lang w:val="sr-Latn-RS"/>
        </w:rPr>
        <w:t>j</w:t>
      </w:r>
      <w:r w:rsidRPr="00E00E21">
        <w:rPr>
          <w:sz w:val="22"/>
          <w:szCs w:val="22"/>
          <w:lang w:val="sr-Latn-RS"/>
        </w:rPr>
        <w:t>eljno ili svake tri ned</w:t>
      </w:r>
      <w:r w:rsidR="00514EE2" w:rsidRPr="00E00E21">
        <w:rPr>
          <w:sz w:val="22"/>
          <w:szCs w:val="22"/>
          <w:lang w:val="sr-Latn-RS"/>
        </w:rPr>
        <w:t>j</w:t>
      </w:r>
      <w:r w:rsidRPr="00E00E21">
        <w:rPr>
          <w:sz w:val="22"/>
          <w:szCs w:val="22"/>
          <w:lang w:val="sr-Latn-RS"/>
        </w:rPr>
        <w:t xml:space="preserve">elje. </w:t>
      </w:r>
    </w:p>
    <w:p w14:paraId="12ED3E91" w14:textId="77777777" w:rsidR="008B16FD" w:rsidRPr="00E00E21" w:rsidRDefault="008B16FD" w:rsidP="00E630C6">
      <w:pPr>
        <w:tabs>
          <w:tab w:val="left" w:pos="540"/>
          <w:tab w:val="left" w:pos="569"/>
        </w:tabs>
        <w:jc w:val="both"/>
        <w:rPr>
          <w:sz w:val="22"/>
          <w:szCs w:val="22"/>
          <w:lang w:val="sr-Latn-RS"/>
        </w:rPr>
      </w:pPr>
    </w:p>
    <w:p w14:paraId="3285F01C" w14:textId="77777777" w:rsidR="008B16FD" w:rsidRPr="00E00E21" w:rsidRDefault="00F946DA" w:rsidP="00E93932">
      <w:pPr>
        <w:tabs>
          <w:tab w:val="left" w:pos="540"/>
          <w:tab w:val="left" w:pos="569"/>
        </w:tabs>
        <w:jc w:val="both"/>
        <w:rPr>
          <w:sz w:val="22"/>
          <w:szCs w:val="22"/>
          <w:u w:val="single"/>
          <w:lang w:val="sr-Latn-RS"/>
        </w:rPr>
      </w:pPr>
      <w:r w:rsidRPr="00E00E21">
        <w:rPr>
          <w:sz w:val="22"/>
          <w:szCs w:val="22"/>
          <w:u w:val="single"/>
          <w:lang w:val="sr-Latn-RS"/>
        </w:rPr>
        <w:t xml:space="preserve">Resorpcija </w:t>
      </w:r>
    </w:p>
    <w:p w14:paraId="012755C8" w14:textId="77777777" w:rsidR="00F52F41" w:rsidRPr="00E00E21" w:rsidRDefault="00F52F41" w:rsidP="00E93932">
      <w:pPr>
        <w:tabs>
          <w:tab w:val="left" w:pos="540"/>
          <w:tab w:val="left" w:pos="569"/>
        </w:tabs>
        <w:jc w:val="both"/>
        <w:rPr>
          <w:sz w:val="22"/>
          <w:szCs w:val="22"/>
          <w:u w:val="single"/>
          <w:lang w:val="sr-Latn-RS"/>
        </w:rPr>
      </w:pPr>
    </w:p>
    <w:p w14:paraId="36DDCA40" w14:textId="77777777" w:rsidR="00F52F41" w:rsidRPr="00E00E21" w:rsidRDefault="00F946DA" w:rsidP="004F26A0">
      <w:pPr>
        <w:tabs>
          <w:tab w:val="left" w:pos="540"/>
          <w:tab w:val="left" w:pos="569"/>
        </w:tabs>
        <w:jc w:val="both"/>
        <w:rPr>
          <w:sz w:val="22"/>
          <w:szCs w:val="22"/>
          <w:lang w:val="sr-Latn-RS"/>
        </w:rPr>
      </w:pPr>
      <w:r w:rsidRPr="00E00E21">
        <w:rPr>
          <w:sz w:val="22"/>
          <w:szCs w:val="22"/>
          <w:lang w:val="sr-Latn-RS"/>
        </w:rPr>
        <w:t xml:space="preserve">Nakon jednočasovne intravenske </w:t>
      </w:r>
      <w:r w:rsidR="003042DF" w:rsidRPr="00E00E21">
        <w:rPr>
          <w:sz w:val="22"/>
          <w:szCs w:val="22"/>
          <w:lang w:val="sr-Latn-RS"/>
        </w:rPr>
        <w:t>primjene</w:t>
      </w:r>
      <w:r w:rsidRPr="00E00E21">
        <w:rPr>
          <w:sz w:val="22"/>
          <w:szCs w:val="22"/>
          <w:lang w:val="sr-Latn-RS"/>
        </w:rPr>
        <w:t xml:space="preserve"> 25 mg/m</w:t>
      </w:r>
      <w:r w:rsidRPr="00E00E21">
        <w:rPr>
          <w:sz w:val="22"/>
          <w:szCs w:val="22"/>
          <w:vertAlign w:val="superscript"/>
          <w:lang w:val="sr-Latn-RS"/>
        </w:rPr>
        <w:t>2</w:t>
      </w:r>
      <w:r w:rsidRPr="00E00E21">
        <w:rPr>
          <w:sz w:val="22"/>
          <w:szCs w:val="22"/>
          <w:lang w:val="sr-Latn-RS"/>
        </w:rPr>
        <w:t xml:space="preserve"> kabazitaksela kod pacijenata sa metastatskim karcinomom prostate (n=67), C</w:t>
      </w:r>
      <w:r w:rsidRPr="00E00E21">
        <w:rPr>
          <w:sz w:val="22"/>
          <w:szCs w:val="22"/>
          <w:vertAlign w:val="subscript"/>
          <w:lang w:val="sr-Latn-RS"/>
        </w:rPr>
        <w:t xml:space="preserve">max </w:t>
      </w:r>
      <w:r w:rsidRPr="00E00E21">
        <w:rPr>
          <w:sz w:val="22"/>
          <w:szCs w:val="22"/>
          <w:lang w:val="sr-Latn-RS"/>
        </w:rPr>
        <w:t>iznosila je 226 nanograma/m</w:t>
      </w:r>
      <w:r w:rsidR="008B16FD" w:rsidRPr="00E00E21">
        <w:rPr>
          <w:sz w:val="22"/>
          <w:szCs w:val="22"/>
          <w:lang w:val="sr-Latn-RS"/>
        </w:rPr>
        <w:t>l</w:t>
      </w:r>
      <w:r w:rsidRPr="00E00E21">
        <w:rPr>
          <w:sz w:val="22"/>
          <w:szCs w:val="22"/>
          <w:lang w:val="sr-Latn-RS"/>
        </w:rPr>
        <w:t xml:space="preserve"> (koeficijent varijacije (CV): 107%) i bio je dostignut na kraju jednočasovne infuzije (T</w:t>
      </w:r>
      <w:r w:rsidRPr="00E00E21">
        <w:rPr>
          <w:sz w:val="22"/>
          <w:szCs w:val="22"/>
          <w:vertAlign w:val="subscript"/>
          <w:lang w:val="sr-Latn-RS"/>
        </w:rPr>
        <w:t>max</w:t>
      </w:r>
      <w:r w:rsidRPr="00E00E21">
        <w:rPr>
          <w:sz w:val="22"/>
          <w:szCs w:val="22"/>
          <w:lang w:val="sr-Latn-RS"/>
        </w:rPr>
        <w:t xml:space="preserve">). Srednja </w:t>
      </w:r>
      <w:r w:rsidR="008B16FD" w:rsidRPr="00E00E21">
        <w:rPr>
          <w:sz w:val="22"/>
          <w:szCs w:val="22"/>
          <w:lang w:val="sr-Latn-RS"/>
        </w:rPr>
        <w:t>vrijednost</w:t>
      </w:r>
      <w:r w:rsidRPr="00E00E21">
        <w:rPr>
          <w:sz w:val="22"/>
          <w:szCs w:val="22"/>
          <w:lang w:val="sr-Latn-RS"/>
        </w:rPr>
        <w:t xml:space="preserve"> PIK iznosila je 991 nanograma.h/m</w:t>
      </w:r>
      <w:r w:rsidR="008C3CF3" w:rsidRPr="00E00E21">
        <w:rPr>
          <w:sz w:val="22"/>
          <w:szCs w:val="22"/>
          <w:lang w:val="sr-Latn-RS"/>
        </w:rPr>
        <w:t>l</w:t>
      </w:r>
      <w:r w:rsidRPr="00E00E21">
        <w:rPr>
          <w:sz w:val="22"/>
          <w:szCs w:val="22"/>
          <w:lang w:val="sr-Latn-RS"/>
        </w:rPr>
        <w:t xml:space="preserve"> (CV: 34%). </w:t>
      </w:r>
    </w:p>
    <w:p w14:paraId="11BA3135" w14:textId="77777777" w:rsidR="00F52F41" w:rsidRPr="00E00E21" w:rsidRDefault="00F52F41" w:rsidP="004F26A0">
      <w:pPr>
        <w:tabs>
          <w:tab w:val="left" w:pos="540"/>
          <w:tab w:val="left" w:pos="569"/>
        </w:tabs>
        <w:jc w:val="both"/>
        <w:rPr>
          <w:sz w:val="22"/>
          <w:szCs w:val="22"/>
          <w:lang w:val="sr-Latn-RS"/>
        </w:rPr>
      </w:pPr>
    </w:p>
    <w:p w14:paraId="57592331" w14:textId="4B081FD6" w:rsidR="008B16FD" w:rsidRPr="00E00E21" w:rsidRDefault="00F946DA" w:rsidP="004F26A0">
      <w:pPr>
        <w:tabs>
          <w:tab w:val="left" w:pos="540"/>
          <w:tab w:val="left" w:pos="569"/>
        </w:tabs>
        <w:jc w:val="both"/>
        <w:rPr>
          <w:sz w:val="22"/>
          <w:szCs w:val="22"/>
          <w:lang w:val="sr-Latn-RS"/>
        </w:rPr>
      </w:pPr>
      <w:r w:rsidRPr="00E00E21">
        <w:rPr>
          <w:sz w:val="22"/>
          <w:szCs w:val="22"/>
          <w:lang w:val="sr-Latn-RS"/>
        </w:rPr>
        <w:t>Nije uočeno veliko odstupanje od proporcionalnosti doza u rasponu doza od 10 do 30 mg/m</w:t>
      </w:r>
      <w:r w:rsidRPr="00E00E21">
        <w:rPr>
          <w:sz w:val="22"/>
          <w:szCs w:val="22"/>
          <w:vertAlign w:val="superscript"/>
          <w:lang w:val="sr-Latn-RS"/>
        </w:rPr>
        <w:t>2</w:t>
      </w:r>
      <w:r w:rsidRPr="00E00E21">
        <w:rPr>
          <w:sz w:val="22"/>
          <w:szCs w:val="22"/>
          <w:lang w:val="sr-Latn-RS"/>
        </w:rPr>
        <w:t xml:space="preserve"> kod pacijenata sa uznapredovalim solidnim tumorima (n=126). </w:t>
      </w:r>
    </w:p>
    <w:p w14:paraId="11A7E39F" w14:textId="77777777" w:rsidR="008B16FD" w:rsidRPr="00E00E21" w:rsidRDefault="008B16FD" w:rsidP="00370E1E">
      <w:pPr>
        <w:tabs>
          <w:tab w:val="left" w:pos="540"/>
          <w:tab w:val="left" w:pos="569"/>
        </w:tabs>
        <w:jc w:val="both"/>
        <w:rPr>
          <w:sz w:val="22"/>
          <w:szCs w:val="22"/>
          <w:lang w:val="sr-Latn-RS"/>
        </w:rPr>
      </w:pPr>
    </w:p>
    <w:p w14:paraId="70D415EA" w14:textId="77777777" w:rsidR="008B16FD" w:rsidRPr="00E00E21" w:rsidRDefault="00F946DA" w:rsidP="009B6A1F">
      <w:pPr>
        <w:tabs>
          <w:tab w:val="left" w:pos="540"/>
          <w:tab w:val="left" w:pos="569"/>
        </w:tabs>
        <w:jc w:val="both"/>
        <w:rPr>
          <w:sz w:val="22"/>
          <w:szCs w:val="22"/>
          <w:u w:val="single"/>
          <w:lang w:val="sr-Latn-RS"/>
        </w:rPr>
      </w:pPr>
      <w:r w:rsidRPr="00E00E21">
        <w:rPr>
          <w:sz w:val="22"/>
          <w:szCs w:val="22"/>
          <w:u w:val="single"/>
          <w:lang w:val="sr-Latn-RS"/>
        </w:rPr>
        <w:t xml:space="preserve">Distribucija </w:t>
      </w:r>
    </w:p>
    <w:p w14:paraId="05D09FFD" w14:textId="77777777" w:rsidR="00F52F41" w:rsidRPr="00E00E21" w:rsidRDefault="00F52F41" w:rsidP="009B6A1F">
      <w:pPr>
        <w:tabs>
          <w:tab w:val="left" w:pos="540"/>
          <w:tab w:val="left" w:pos="569"/>
        </w:tabs>
        <w:jc w:val="both"/>
        <w:rPr>
          <w:sz w:val="22"/>
          <w:szCs w:val="22"/>
          <w:u w:val="single"/>
          <w:lang w:val="sr-Latn-RS"/>
        </w:rPr>
      </w:pPr>
    </w:p>
    <w:p w14:paraId="135992F8" w14:textId="48270C92" w:rsidR="008B16FD" w:rsidRPr="00E00E21" w:rsidRDefault="00F946DA" w:rsidP="008C3CF3">
      <w:pPr>
        <w:tabs>
          <w:tab w:val="left" w:pos="540"/>
          <w:tab w:val="left" w:pos="569"/>
        </w:tabs>
        <w:jc w:val="both"/>
        <w:rPr>
          <w:sz w:val="22"/>
          <w:szCs w:val="22"/>
          <w:lang w:val="sr-Latn-RS"/>
        </w:rPr>
      </w:pPr>
      <w:r w:rsidRPr="00E00E21">
        <w:rPr>
          <w:sz w:val="22"/>
          <w:szCs w:val="22"/>
          <w:lang w:val="sr-Latn-RS"/>
        </w:rPr>
        <w:t>Volumen distribucije u stanju dinamičke ravnoteže (V</w:t>
      </w:r>
      <w:r w:rsidRPr="00E00E21">
        <w:rPr>
          <w:sz w:val="22"/>
          <w:szCs w:val="22"/>
          <w:vertAlign w:val="subscript"/>
          <w:lang w:val="sr-Latn-RS"/>
        </w:rPr>
        <w:t>ss</w:t>
      </w:r>
      <w:r w:rsidRPr="00E00E21">
        <w:rPr>
          <w:sz w:val="22"/>
          <w:szCs w:val="22"/>
          <w:lang w:val="sr-Latn-RS"/>
        </w:rPr>
        <w:t xml:space="preserve">) iznosi 4870 </w:t>
      </w:r>
      <w:r w:rsidR="008C3CF3" w:rsidRPr="00E00E21">
        <w:rPr>
          <w:sz w:val="22"/>
          <w:szCs w:val="22"/>
          <w:lang w:val="sr-Latn-RS"/>
        </w:rPr>
        <w:t xml:space="preserve">l </w:t>
      </w:r>
      <w:r w:rsidRPr="00E00E21">
        <w:rPr>
          <w:sz w:val="22"/>
          <w:szCs w:val="22"/>
          <w:lang w:val="sr-Latn-RS"/>
        </w:rPr>
        <w:t xml:space="preserve">(2640 </w:t>
      </w:r>
      <w:r w:rsidR="008C3CF3" w:rsidRPr="00E00E21">
        <w:rPr>
          <w:sz w:val="22"/>
          <w:szCs w:val="22"/>
          <w:lang w:val="sr-Latn-RS"/>
        </w:rPr>
        <w:t>l</w:t>
      </w:r>
      <w:r w:rsidRPr="00E00E21">
        <w:rPr>
          <w:sz w:val="22"/>
          <w:szCs w:val="22"/>
          <w:lang w:val="sr-Latn-RS"/>
        </w:rPr>
        <w:t>/m</w:t>
      </w:r>
      <w:r w:rsidRPr="00E00E21">
        <w:rPr>
          <w:sz w:val="22"/>
          <w:szCs w:val="22"/>
          <w:vertAlign w:val="superscript"/>
          <w:lang w:val="sr-Latn-RS"/>
        </w:rPr>
        <w:t>2</w:t>
      </w:r>
      <w:r w:rsidRPr="00E00E21">
        <w:rPr>
          <w:sz w:val="22"/>
          <w:szCs w:val="22"/>
          <w:lang w:val="sr-Latn-RS"/>
        </w:rPr>
        <w:t xml:space="preserve"> za pacijente sa medijanom </w:t>
      </w:r>
      <w:r w:rsidR="001022A0" w:rsidRPr="00E00E21">
        <w:rPr>
          <w:sz w:val="22"/>
          <w:szCs w:val="22"/>
          <w:lang w:val="sr-Latn-RS"/>
        </w:rPr>
        <w:t>vrijednosti</w:t>
      </w:r>
      <w:r w:rsidRPr="00E00E21">
        <w:rPr>
          <w:sz w:val="22"/>
          <w:szCs w:val="22"/>
          <w:lang w:val="sr-Latn-RS"/>
        </w:rPr>
        <w:t xml:space="preserve"> t</w:t>
      </w:r>
      <w:r w:rsidR="008B16FD" w:rsidRPr="00E00E21">
        <w:rPr>
          <w:sz w:val="22"/>
          <w:szCs w:val="22"/>
          <w:lang w:val="sr-Latn-RS"/>
        </w:rPr>
        <w:t>j</w:t>
      </w:r>
      <w:r w:rsidRPr="00E00E21">
        <w:rPr>
          <w:sz w:val="22"/>
          <w:szCs w:val="22"/>
          <w:lang w:val="sr-Latn-RS"/>
        </w:rPr>
        <w:t>elesne površine od 1,84 m</w:t>
      </w:r>
      <w:r w:rsidRPr="00E00E21">
        <w:rPr>
          <w:sz w:val="22"/>
          <w:szCs w:val="22"/>
          <w:vertAlign w:val="superscript"/>
          <w:lang w:val="sr-Latn-RS"/>
        </w:rPr>
        <w:t>2</w:t>
      </w:r>
      <w:r w:rsidRPr="00E00E21">
        <w:rPr>
          <w:sz w:val="22"/>
          <w:szCs w:val="22"/>
          <w:lang w:val="sr-Latn-RS"/>
        </w:rPr>
        <w:t xml:space="preserve"> ). </w:t>
      </w:r>
    </w:p>
    <w:p w14:paraId="67CE5DEF" w14:textId="77777777" w:rsidR="00F52F41" w:rsidRPr="00E00E21" w:rsidRDefault="00F52F41" w:rsidP="008C3CF3">
      <w:pPr>
        <w:tabs>
          <w:tab w:val="left" w:pos="540"/>
          <w:tab w:val="left" w:pos="569"/>
        </w:tabs>
        <w:jc w:val="both"/>
        <w:rPr>
          <w:sz w:val="22"/>
          <w:szCs w:val="22"/>
          <w:lang w:val="sr-Latn-RS"/>
        </w:rPr>
      </w:pPr>
    </w:p>
    <w:p w14:paraId="6E67E95E" w14:textId="39D66E5C" w:rsidR="008B16FD" w:rsidRPr="00E00E21" w:rsidRDefault="00F946DA" w:rsidP="008C3CF3">
      <w:pPr>
        <w:tabs>
          <w:tab w:val="left" w:pos="540"/>
          <w:tab w:val="left" w:pos="569"/>
        </w:tabs>
        <w:jc w:val="both"/>
        <w:rPr>
          <w:sz w:val="22"/>
          <w:szCs w:val="22"/>
          <w:lang w:val="sr-Latn-RS"/>
        </w:rPr>
      </w:pPr>
      <w:r w:rsidRPr="00E00E21">
        <w:rPr>
          <w:sz w:val="22"/>
          <w:szCs w:val="22"/>
          <w:lang w:val="sr-Latn-RS"/>
        </w:rPr>
        <w:lastRenderedPageBreak/>
        <w:t xml:space="preserve">Vezivanje kabazitaksela </w:t>
      </w:r>
      <w:r w:rsidR="008C3CF3" w:rsidRPr="00E00E21">
        <w:rPr>
          <w:sz w:val="22"/>
          <w:szCs w:val="22"/>
          <w:lang w:val="sr-Latn-RS"/>
        </w:rPr>
        <w:t>z</w:t>
      </w:r>
      <w:r w:rsidRPr="00E00E21">
        <w:rPr>
          <w:sz w:val="22"/>
          <w:szCs w:val="22"/>
          <w:lang w:val="sr-Latn-RS"/>
        </w:rPr>
        <w:t xml:space="preserve">a proteine u humanom serumu iznosi 89-92% </w:t>
      </w:r>
      <w:r w:rsidRPr="00E00E21">
        <w:rPr>
          <w:i/>
          <w:sz w:val="22"/>
          <w:szCs w:val="22"/>
          <w:lang w:val="sr-Latn-RS"/>
        </w:rPr>
        <w:t>in vitro</w:t>
      </w:r>
      <w:r w:rsidRPr="00E00E21">
        <w:rPr>
          <w:sz w:val="22"/>
          <w:szCs w:val="22"/>
          <w:lang w:val="sr-Latn-RS"/>
        </w:rPr>
        <w:t xml:space="preserve"> i nije bilo zasićenja do nivoa od 50</w:t>
      </w:r>
      <w:r w:rsidR="008C3CF3" w:rsidRPr="00E00E21">
        <w:rPr>
          <w:sz w:val="22"/>
          <w:szCs w:val="22"/>
          <w:lang w:val="sr-Latn-RS"/>
        </w:rPr>
        <w:t xml:space="preserve"> </w:t>
      </w:r>
      <w:r w:rsidRPr="00E00E21">
        <w:rPr>
          <w:sz w:val="22"/>
          <w:szCs w:val="22"/>
          <w:lang w:val="sr-Latn-RS"/>
        </w:rPr>
        <w:t>000 nanograma/m</w:t>
      </w:r>
      <w:r w:rsidR="008B16FD" w:rsidRPr="00E00E21">
        <w:rPr>
          <w:sz w:val="22"/>
          <w:szCs w:val="22"/>
          <w:lang w:val="sr-Latn-RS"/>
        </w:rPr>
        <w:t>l</w:t>
      </w:r>
      <w:r w:rsidRPr="00E00E21">
        <w:rPr>
          <w:sz w:val="22"/>
          <w:szCs w:val="22"/>
          <w:lang w:val="sr-Latn-RS"/>
        </w:rPr>
        <w:t xml:space="preserve">, što pokriva maksimalne koncentracije </w:t>
      </w:r>
      <w:r w:rsidR="00AF3070" w:rsidRPr="00E00E21">
        <w:rPr>
          <w:sz w:val="22"/>
          <w:szCs w:val="22"/>
          <w:lang w:val="sr-Latn-RS"/>
        </w:rPr>
        <w:t>zabilježene</w:t>
      </w:r>
      <w:r w:rsidRPr="00E00E21">
        <w:rPr>
          <w:sz w:val="22"/>
          <w:szCs w:val="22"/>
          <w:lang w:val="sr-Latn-RS"/>
        </w:rPr>
        <w:t xml:space="preserve"> u kliničkim studijama. Kabazitaksel se uglavnom vezuje za albumin u humanom serumu (82,0%) i lipoproteine (87,9% za HDL69,8% za LDL i 55,8% za VLDL). </w:t>
      </w:r>
      <w:r w:rsidRPr="00E00E21">
        <w:rPr>
          <w:i/>
          <w:sz w:val="22"/>
          <w:szCs w:val="22"/>
          <w:lang w:val="sr-Latn-RS"/>
        </w:rPr>
        <w:t>In vitro</w:t>
      </w:r>
      <w:r w:rsidRPr="00E00E21">
        <w:rPr>
          <w:sz w:val="22"/>
          <w:szCs w:val="22"/>
          <w:lang w:val="sr-Latn-RS"/>
        </w:rPr>
        <w:t xml:space="preserve"> odnos koncentracija iz humane krvi i plazme bio je u rasponu od 0,90 do 0,99, što pokazuje da se kabazitaksel ravnom</w:t>
      </w:r>
      <w:r w:rsidR="008B16FD" w:rsidRPr="00E00E21">
        <w:rPr>
          <w:sz w:val="22"/>
          <w:szCs w:val="22"/>
          <w:lang w:val="sr-Latn-RS"/>
        </w:rPr>
        <w:t>j</w:t>
      </w:r>
      <w:r w:rsidRPr="00E00E21">
        <w:rPr>
          <w:sz w:val="22"/>
          <w:szCs w:val="22"/>
          <w:lang w:val="sr-Latn-RS"/>
        </w:rPr>
        <w:t xml:space="preserve">erno distribuira između krvi i plazme. </w:t>
      </w:r>
    </w:p>
    <w:p w14:paraId="23709A9C" w14:textId="77777777" w:rsidR="008B16FD" w:rsidRPr="00E00E21" w:rsidRDefault="008B16FD" w:rsidP="00E630C6">
      <w:pPr>
        <w:tabs>
          <w:tab w:val="left" w:pos="540"/>
          <w:tab w:val="left" w:pos="569"/>
        </w:tabs>
        <w:jc w:val="both"/>
        <w:rPr>
          <w:sz w:val="22"/>
          <w:szCs w:val="22"/>
          <w:lang w:val="sr-Latn-RS"/>
        </w:rPr>
      </w:pPr>
    </w:p>
    <w:p w14:paraId="31E81609" w14:textId="77777777" w:rsidR="008B16FD" w:rsidRPr="00E00E21" w:rsidRDefault="00F946DA" w:rsidP="00E93932">
      <w:pPr>
        <w:tabs>
          <w:tab w:val="left" w:pos="540"/>
          <w:tab w:val="left" w:pos="569"/>
        </w:tabs>
        <w:jc w:val="both"/>
        <w:rPr>
          <w:sz w:val="22"/>
          <w:szCs w:val="22"/>
          <w:u w:val="single"/>
          <w:lang w:val="sr-Latn-RS"/>
        </w:rPr>
      </w:pPr>
      <w:r w:rsidRPr="00E00E21">
        <w:rPr>
          <w:sz w:val="22"/>
          <w:szCs w:val="22"/>
          <w:u w:val="single"/>
          <w:lang w:val="sr-Latn-RS"/>
        </w:rPr>
        <w:t xml:space="preserve">Biotransformacija </w:t>
      </w:r>
    </w:p>
    <w:p w14:paraId="2222B0A7" w14:textId="77777777" w:rsidR="00F52F41" w:rsidRPr="00E00E21" w:rsidRDefault="00F52F41" w:rsidP="00E93932">
      <w:pPr>
        <w:tabs>
          <w:tab w:val="left" w:pos="540"/>
          <w:tab w:val="left" w:pos="569"/>
        </w:tabs>
        <w:jc w:val="both"/>
        <w:rPr>
          <w:sz w:val="22"/>
          <w:szCs w:val="22"/>
          <w:u w:val="single"/>
          <w:lang w:val="sr-Latn-RS"/>
        </w:rPr>
      </w:pPr>
    </w:p>
    <w:p w14:paraId="2FA21610" w14:textId="0D1700E2" w:rsidR="008B16FD" w:rsidRPr="00E00E21" w:rsidRDefault="00F946DA" w:rsidP="004F26A0">
      <w:pPr>
        <w:tabs>
          <w:tab w:val="left" w:pos="540"/>
          <w:tab w:val="left" w:pos="569"/>
        </w:tabs>
        <w:jc w:val="both"/>
        <w:rPr>
          <w:sz w:val="22"/>
          <w:szCs w:val="22"/>
          <w:lang w:val="sr-Latn-RS"/>
        </w:rPr>
      </w:pPr>
      <w:r w:rsidRPr="00E00E21">
        <w:rPr>
          <w:sz w:val="22"/>
          <w:szCs w:val="22"/>
          <w:lang w:val="sr-Latn-RS"/>
        </w:rPr>
        <w:t>Kabazitaksel se u velikoj m</w:t>
      </w:r>
      <w:r w:rsidR="008B16FD" w:rsidRPr="00E00E21">
        <w:rPr>
          <w:sz w:val="22"/>
          <w:szCs w:val="22"/>
          <w:lang w:val="sr-Latn-RS"/>
        </w:rPr>
        <w:t>j</w:t>
      </w:r>
      <w:r w:rsidRPr="00E00E21">
        <w:rPr>
          <w:sz w:val="22"/>
          <w:szCs w:val="22"/>
          <w:lang w:val="sr-Latn-RS"/>
        </w:rPr>
        <w:t>eri metaboliše u jetri (&gt;</w:t>
      </w:r>
      <w:r w:rsidR="008C3CF3" w:rsidRPr="00E00E21">
        <w:rPr>
          <w:sz w:val="22"/>
          <w:szCs w:val="22"/>
          <w:lang w:val="sr-Latn-RS"/>
        </w:rPr>
        <w:t xml:space="preserve"> </w:t>
      </w:r>
      <w:r w:rsidRPr="00E00E21">
        <w:rPr>
          <w:sz w:val="22"/>
          <w:szCs w:val="22"/>
          <w:lang w:val="sr-Latn-RS"/>
        </w:rPr>
        <w:t xml:space="preserve">95%), uglavnom pomoću izoenzima CYP3A (80% do 90%). Kabazitaksel je glavni cirkulišući metabolit u ljudskoj plazmi. Otkriveno je sedam metabolita u plazmi (uključujući 3 aktivna metabolita dobijenih O-demetilacijom), ali je procenat glavnog metabolita iznosio 5% početne izloženosti. Kod ljudi se oko 20 metabolita kabazitaksela izlučuje u urin i feces. </w:t>
      </w:r>
    </w:p>
    <w:p w14:paraId="006120D1" w14:textId="77777777" w:rsidR="00F52F41" w:rsidRPr="00E00E21" w:rsidRDefault="00F52F41" w:rsidP="004F26A0">
      <w:pPr>
        <w:tabs>
          <w:tab w:val="left" w:pos="540"/>
          <w:tab w:val="left" w:pos="569"/>
        </w:tabs>
        <w:jc w:val="both"/>
        <w:rPr>
          <w:sz w:val="22"/>
          <w:szCs w:val="22"/>
          <w:lang w:val="sr-Latn-RS"/>
        </w:rPr>
      </w:pPr>
    </w:p>
    <w:p w14:paraId="6C2183A6" w14:textId="77777777" w:rsidR="00F52F41" w:rsidRPr="00E00E21" w:rsidRDefault="00F946DA" w:rsidP="00370E1E">
      <w:pPr>
        <w:tabs>
          <w:tab w:val="left" w:pos="540"/>
          <w:tab w:val="left" w:pos="569"/>
        </w:tabs>
        <w:jc w:val="both"/>
        <w:rPr>
          <w:sz w:val="22"/>
          <w:szCs w:val="22"/>
          <w:lang w:val="sr-Latn-RS"/>
        </w:rPr>
      </w:pPr>
      <w:r w:rsidRPr="00E00E21">
        <w:rPr>
          <w:sz w:val="22"/>
          <w:szCs w:val="22"/>
          <w:lang w:val="sr-Latn-RS"/>
        </w:rPr>
        <w:t xml:space="preserve">Na osnovu rezultata </w:t>
      </w:r>
      <w:r w:rsidRPr="00E00E21">
        <w:rPr>
          <w:i/>
          <w:sz w:val="22"/>
          <w:szCs w:val="22"/>
          <w:lang w:val="sr-Latn-RS"/>
        </w:rPr>
        <w:t>in vitro</w:t>
      </w:r>
      <w:r w:rsidRPr="00E00E21">
        <w:rPr>
          <w:sz w:val="22"/>
          <w:szCs w:val="22"/>
          <w:lang w:val="sr-Latn-RS"/>
        </w:rPr>
        <w:t xml:space="preserve"> studija, postoji potencijalni rizik da kabazitaksel u klinički relevantnim koncentracijama inhibira d</w:t>
      </w:r>
      <w:r w:rsidR="008B16FD" w:rsidRPr="00E00E21">
        <w:rPr>
          <w:sz w:val="22"/>
          <w:szCs w:val="22"/>
          <w:lang w:val="sr-Latn-RS"/>
        </w:rPr>
        <w:t>j</w:t>
      </w:r>
      <w:r w:rsidRPr="00E00E21">
        <w:rPr>
          <w:sz w:val="22"/>
          <w:szCs w:val="22"/>
          <w:lang w:val="sr-Latn-RS"/>
        </w:rPr>
        <w:t xml:space="preserve">elovanje ljekova koji su većinom supstrati CYP3A. </w:t>
      </w:r>
    </w:p>
    <w:p w14:paraId="6CBA7E0F" w14:textId="77777777" w:rsidR="00F52F41" w:rsidRPr="00E00E21" w:rsidRDefault="00F52F41" w:rsidP="00370E1E">
      <w:pPr>
        <w:tabs>
          <w:tab w:val="left" w:pos="540"/>
          <w:tab w:val="left" w:pos="569"/>
        </w:tabs>
        <w:jc w:val="both"/>
        <w:rPr>
          <w:sz w:val="22"/>
          <w:szCs w:val="22"/>
          <w:lang w:val="sr-Latn-RS"/>
        </w:rPr>
      </w:pPr>
    </w:p>
    <w:p w14:paraId="406831B0" w14:textId="77777777" w:rsidR="00F52F41" w:rsidRPr="00E00E21" w:rsidRDefault="00F946DA" w:rsidP="00370E1E">
      <w:pPr>
        <w:tabs>
          <w:tab w:val="left" w:pos="540"/>
          <w:tab w:val="left" w:pos="569"/>
        </w:tabs>
        <w:jc w:val="both"/>
        <w:rPr>
          <w:sz w:val="22"/>
          <w:szCs w:val="22"/>
          <w:lang w:val="sr-Latn-RS"/>
        </w:rPr>
      </w:pPr>
      <w:r w:rsidRPr="00E00E21">
        <w:rPr>
          <w:sz w:val="22"/>
          <w:szCs w:val="22"/>
          <w:lang w:val="sr-Latn-RS"/>
        </w:rPr>
        <w:t>Međutim, klinička studija je pokazala da kabazitaksel (25 mg/m</w:t>
      </w:r>
      <w:r w:rsidRPr="00E00E21">
        <w:rPr>
          <w:sz w:val="22"/>
          <w:szCs w:val="22"/>
          <w:vertAlign w:val="superscript"/>
          <w:lang w:val="sr-Latn-RS"/>
        </w:rPr>
        <w:t>2</w:t>
      </w:r>
      <w:r w:rsidRPr="00E00E21">
        <w:rPr>
          <w:sz w:val="22"/>
          <w:szCs w:val="22"/>
          <w:lang w:val="sr-Latn-RS"/>
        </w:rPr>
        <w:t xml:space="preserve"> prim</w:t>
      </w:r>
      <w:r w:rsidR="008B16FD" w:rsidRPr="00E00E21">
        <w:rPr>
          <w:sz w:val="22"/>
          <w:szCs w:val="22"/>
          <w:lang w:val="sr-Latn-RS"/>
        </w:rPr>
        <w:t>ij</w:t>
      </w:r>
      <w:r w:rsidRPr="00E00E21">
        <w:rPr>
          <w:sz w:val="22"/>
          <w:szCs w:val="22"/>
          <w:lang w:val="sr-Latn-RS"/>
        </w:rPr>
        <w:t>enjen jednom, putem jednočasovne infuzije) nije modifikovao koncentraciju midazolama, probnog supstrata CYP3A, u plazmi. Stoga se pri isto</w:t>
      </w:r>
      <w:r w:rsidR="008B16FD" w:rsidRPr="00E00E21">
        <w:rPr>
          <w:sz w:val="22"/>
          <w:szCs w:val="22"/>
          <w:lang w:val="sr-Latn-RS"/>
        </w:rPr>
        <w:t>vreme</w:t>
      </w:r>
      <w:r w:rsidRPr="00E00E21">
        <w:rPr>
          <w:sz w:val="22"/>
          <w:szCs w:val="22"/>
          <w:lang w:val="sr-Latn-RS"/>
        </w:rPr>
        <w:t>noj prim</w:t>
      </w:r>
      <w:r w:rsidR="008B16FD" w:rsidRPr="00E00E21">
        <w:rPr>
          <w:sz w:val="22"/>
          <w:szCs w:val="22"/>
          <w:lang w:val="sr-Latn-RS"/>
        </w:rPr>
        <w:t>j</w:t>
      </w:r>
      <w:r w:rsidRPr="00E00E21">
        <w:rPr>
          <w:sz w:val="22"/>
          <w:szCs w:val="22"/>
          <w:lang w:val="sr-Latn-RS"/>
        </w:rPr>
        <w:t>eni supstrata za CYP3A i kabazitaksela u terapijskim dozama, ne očekuje klinički uticaj kod pacijenata.</w:t>
      </w:r>
    </w:p>
    <w:p w14:paraId="68D8EB69" w14:textId="77777777" w:rsidR="00F52F41" w:rsidRPr="00E00E21" w:rsidRDefault="00F52F41" w:rsidP="00370E1E">
      <w:pPr>
        <w:tabs>
          <w:tab w:val="left" w:pos="540"/>
          <w:tab w:val="left" w:pos="569"/>
        </w:tabs>
        <w:jc w:val="both"/>
        <w:rPr>
          <w:sz w:val="22"/>
          <w:szCs w:val="22"/>
          <w:lang w:val="sr-Latn-RS"/>
        </w:rPr>
      </w:pPr>
    </w:p>
    <w:p w14:paraId="39D990DF" w14:textId="77777777" w:rsidR="00F52F41" w:rsidRPr="00E00E21" w:rsidRDefault="00F946DA" w:rsidP="00370E1E">
      <w:pPr>
        <w:tabs>
          <w:tab w:val="left" w:pos="540"/>
          <w:tab w:val="left" w:pos="569"/>
        </w:tabs>
        <w:jc w:val="both"/>
        <w:rPr>
          <w:sz w:val="22"/>
          <w:szCs w:val="22"/>
          <w:lang w:val="sr-Latn-RS"/>
        </w:rPr>
      </w:pPr>
      <w:r w:rsidRPr="00E00E21">
        <w:rPr>
          <w:sz w:val="22"/>
          <w:szCs w:val="22"/>
          <w:lang w:val="sr-Latn-RS"/>
        </w:rPr>
        <w:t>Nema rizika od inhibicije ljekova koji su supstrati ostalih enzima CYP3A (1A2, 2B6, 2C9, 2C8, 2C19, 2E1 i 2D6), kao ni rizika da kabazitaksel indukuje d</w:t>
      </w:r>
      <w:r w:rsidR="008B16FD" w:rsidRPr="00E00E21">
        <w:rPr>
          <w:sz w:val="22"/>
          <w:szCs w:val="22"/>
          <w:lang w:val="sr-Latn-RS"/>
        </w:rPr>
        <w:t>j</w:t>
      </w:r>
      <w:r w:rsidRPr="00E00E21">
        <w:rPr>
          <w:sz w:val="22"/>
          <w:szCs w:val="22"/>
          <w:lang w:val="sr-Latn-RS"/>
        </w:rPr>
        <w:t xml:space="preserve">elovanje ljekova koji su supstrati CYP1A, CYP2C9 i CYP3A enzima. U ispitivanjima </w:t>
      </w:r>
      <w:r w:rsidRPr="00E00E21">
        <w:rPr>
          <w:i/>
          <w:sz w:val="22"/>
          <w:szCs w:val="22"/>
          <w:lang w:val="sr-Latn-RS"/>
        </w:rPr>
        <w:t>in vitro</w:t>
      </w:r>
      <w:r w:rsidRPr="00E00E21">
        <w:rPr>
          <w:sz w:val="22"/>
          <w:szCs w:val="22"/>
          <w:lang w:val="sr-Latn-RS"/>
        </w:rPr>
        <w:t xml:space="preserve">, kabazitaksel nije inhibirao glavni put biotransformacije varfarina u 7- hidroksivarfarin, što je posredovano enzimom CYP2C9. Zato se ne očekuje farmakokoinetička interakcija kabazitaksela i varfarina </w:t>
      </w:r>
      <w:r w:rsidRPr="00E00E21">
        <w:rPr>
          <w:i/>
          <w:sz w:val="22"/>
          <w:szCs w:val="22"/>
          <w:lang w:val="sr-Latn-RS"/>
        </w:rPr>
        <w:t>in vivo.</w:t>
      </w:r>
      <w:r w:rsidRPr="00E00E21">
        <w:rPr>
          <w:sz w:val="22"/>
          <w:szCs w:val="22"/>
          <w:lang w:val="sr-Latn-RS"/>
        </w:rPr>
        <w:t xml:space="preserve"> </w:t>
      </w:r>
    </w:p>
    <w:p w14:paraId="21195F45" w14:textId="77777777" w:rsidR="00F52F41" w:rsidRPr="00E00E21" w:rsidRDefault="00F52F41" w:rsidP="00370E1E">
      <w:pPr>
        <w:tabs>
          <w:tab w:val="left" w:pos="540"/>
          <w:tab w:val="left" w:pos="569"/>
        </w:tabs>
        <w:jc w:val="both"/>
        <w:rPr>
          <w:sz w:val="22"/>
          <w:szCs w:val="22"/>
          <w:lang w:val="sr-Latn-RS"/>
        </w:rPr>
      </w:pPr>
    </w:p>
    <w:p w14:paraId="78351F87" w14:textId="1CEBE769" w:rsidR="002221DB" w:rsidRPr="00E00E21" w:rsidRDefault="00F946DA" w:rsidP="00370E1E">
      <w:pPr>
        <w:tabs>
          <w:tab w:val="left" w:pos="540"/>
          <w:tab w:val="left" w:pos="569"/>
        </w:tabs>
        <w:jc w:val="both"/>
        <w:rPr>
          <w:sz w:val="22"/>
          <w:szCs w:val="22"/>
          <w:lang w:val="sr-Latn-RS"/>
        </w:rPr>
      </w:pPr>
      <w:r w:rsidRPr="00E00E21">
        <w:rPr>
          <w:sz w:val="22"/>
          <w:szCs w:val="22"/>
          <w:lang w:val="sr-Latn-RS"/>
        </w:rPr>
        <w:t xml:space="preserve">U studijama </w:t>
      </w:r>
      <w:r w:rsidRPr="00E00E21">
        <w:rPr>
          <w:i/>
          <w:sz w:val="22"/>
          <w:szCs w:val="22"/>
          <w:lang w:val="sr-Latn-RS"/>
        </w:rPr>
        <w:t xml:space="preserve">in vitro, </w:t>
      </w:r>
      <w:r w:rsidRPr="00E00E21">
        <w:rPr>
          <w:sz w:val="22"/>
          <w:szCs w:val="22"/>
          <w:lang w:val="sr-Latn-RS"/>
        </w:rPr>
        <w:t xml:space="preserve">kabazitaksel nije inhibirao MRP proteine (engl. </w:t>
      </w:r>
      <w:r w:rsidRPr="00E00E21">
        <w:rPr>
          <w:i/>
          <w:sz w:val="22"/>
          <w:szCs w:val="22"/>
          <w:lang w:val="sr-Latn-RS"/>
        </w:rPr>
        <w:t>Multidrug-Resistant Proteins</w:t>
      </w:r>
      <w:r w:rsidRPr="00E00E21">
        <w:rPr>
          <w:sz w:val="22"/>
          <w:szCs w:val="22"/>
          <w:lang w:val="sr-Latn-RS"/>
        </w:rPr>
        <w:t xml:space="preserve">): MRP1 i MRP2 ili organski katjonski transporter (OCT1). Kabazitaksel je inhibirao transport P-glikoproteina (PgP) (digoksin, vinblastin), BCR proteina (engl. </w:t>
      </w:r>
      <w:r w:rsidRPr="00E00E21">
        <w:rPr>
          <w:i/>
          <w:sz w:val="22"/>
          <w:szCs w:val="22"/>
          <w:lang w:val="sr-Latn-RS"/>
        </w:rPr>
        <w:t>Breast-Cancer-Resistant-Proteins</w:t>
      </w:r>
      <w:r w:rsidRPr="00E00E21">
        <w:rPr>
          <w:sz w:val="22"/>
          <w:szCs w:val="22"/>
          <w:lang w:val="sr-Latn-RS"/>
        </w:rPr>
        <w:t xml:space="preserve">) (metotreksat) i organskog anjonskog transportnog polipeptida OATP1B3 (CCK8), pri koncentracijama najmanje 15 puta većim od onih </w:t>
      </w:r>
      <w:r w:rsidR="00F94684" w:rsidRPr="00E00E21">
        <w:rPr>
          <w:sz w:val="22"/>
          <w:szCs w:val="22"/>
          <w:lang w:val="sr-Latn-RS"/>
        </w:rPr>
        <w:t>zabilježeni</w:t>
      </w:r>
      <w:r w:rsidRPr="00E00E21">
        <w:rPr>
          <w:sz w:val="22"/>
          <w:szCs w:val="22"/>
          <w:lang w:val="sr-Latn-RS"/>
        </w:rPr>
        <w:t xml:space="preserve">h u kliničkim uslovima, dok je transport OATP1B1 (estradiol-17β-glukuronid) inhibiran u koncentracijama samo 5 puta većim od </w:t>
      </w:r>
      <w:r w:rsidR="00F94684" w:rsidRPr="00E00E21">
        <w:rPr>
          <w:sz w:val="22"/>
          <w:szCs w:val="22"/>
          <w:lang w:val="sr-Latn-RS"/>
        </w:rPr>
        <w:t>zabilježeni</w:t>
      </w:r>
      <w:r w:rsidRPr="00E00E21">
        <w:rPr>
          <w:sz w:val="22"/>
          <w:szCs w:val="22"/>
          <w:lang w:val="sr-Latn-RS"/>
        </w:rPr>
        <w:t>h u kliničkim uslovima. Zato rizik od interakcije sa supstratima MRP, OCT1, PgP, i BCRP i transportera OATP1B3 nije v</w:t>
      </w:r>
      <w:r w:rsidR="008B16FD" w:rsidRPr="00E00E21">
        <w:rPr>
          <w:sz w:val="22"/>
          <w:szCs w:val="22"/>
          <w:lang w:val="sr-Latn-RS"/>
        </w:rPr>
        <w:t>j</w:t>
      </w:r>
      <w:r w:rsidRPr="00E00E21">
        <w:rPr>
          <w:sz w:val="22"/>
          <w:szCs w:val="22"/>
          <w:lang w:val="sr-Latn-RS"/>
        </w:rPr>
        <w:t>erovatan u dozama od 25 mg/m</w:t>
      </w:r>
      <w:r w:rsidRPr="00E00E21">
        <w:rPr>
          <w:sz w:val="22"/>
          <w:szCs w:val="22"/>
          <w:vertAlign w:val="superscript"/>
          <w:lang w:val="sr-Latn-RS"/>
        </w:rPr>
        <w:t>2</w:t>
      </w:r>
      <w:r w:rsidRPr="00E00E21">
        <w:rPr>
          <w:sz w:val="22"/>
          <w:szCs w:val="22"/>
          <w:lang w:val="sr-Latn-RS"/>
        </w:rPr>
        <w:t xml:space="preserve"> </w:t>
      </w:r>
      <w:r w:rsidRPr="00E00E21">
        <w:rPr>
          <w:i/>
          <w:sz w:val="22"/>
          <w:szCs w:val="22"/>
          <w:lang w:val="sr-Latn-RS"/>
        </w:rPr>
        <w:t>in vivo</w:t>
      </w:r>
      <w:r w:rsidRPr="00E00E21">
        <w:rPr>
          <w:sz w:val="22"/>
          <w:szCs w:val="22"/>
          <w:lang w:val="sr-Latn-RS"/>
        </w:rPr>
        <w:t xml:space="preserve">. Rizik od interakcije sa OATP1B1 transporterom je moguć, naročito za </w:t>
      </w:r>
      <w:r w:rsidR="008B16FD" w:rsidRPr="00E00E21">
        <w:rPr>
          <w:sz w:val="22"/>
          <w:szCs w:val="22"/>
          <w:lang w:val="sr-Latn-RS"/>
        </w:rPr>
        <w:t>vrijeme</w:t>
      </w:r>
      <w:r w:rsidRPr="00E00E21">
        <w:rPr>
          <w:sz w:val="22"/>
          <w:szCs w:val="22"/>
          <w:lang w:val="sr-Latn-RS"/>
        </w:rPr>
        <w:t xml:space="preserve"> trajanja infuzije (1 sat) pa do 20 minuta nakon završetka infuzije (</w:t>
      </w:r>
      <w:r w:rsidR="008C3CF3" w:rsidRPr="00E00E21">
        <w:rPr>
          <w:sz w:val="22"/>
          <w:szCs w:val="22"/>
          <w:lang w:val="sr-Latn-RS"/>
        </w:rPr>
        <w:t xml:space="preserve">vidjeti </w:t>
      </w:r>
      <w:r w:rsidR="00F94684" w:rsidRPr="00E00E21">
        <w:rPr>
          <w:sz w:val="22"/>
          <w:szCs w:val="22"/>
          <w:lang w:val="sr-Latn-RS"/>
        </w:rPr>
        <w:t>dio</w:t>
      </w:r>
      <w:r w:rsidRPr="00E00E21">
        <w:rPr>
          <w:sz w:val="22"/>
          <w:szCs w:val="22"/>
          <w:lang w:val="sr-Latn-RS"/>
        </w:rPr>
        <w:t xml:space="preserve"> 4.5).</w:t>
      </w:r>
    </w:p>
    <w:p w14:paraId="29077555" w14:textId="77777777" w:rsidR="002221DB" w:rsidRPr="00E00E21" w:rsidRDefault="002221DB" w:rsidP="00E630C6">
      <w:pPr>
        <w:tabs>
          <w:tab w:val="left" w:pos="540"/>
          <w:tab w:val="left" w:pos="569"/>
        </w:tabs>
        <w:jc w:val="both"/>
        <w:rPr>
          <w:sz w:val="22"/>
          <w:szCs w:val="22"/>
          <w:lang w:val="sr-Latn-RS"/>
        </w:rPr>
      </w:pPr>
    </w:p>
    <w:p w14:paraId="1E2CF7F3" w14:textId="1BFF639B" w:rsidR="002221DB" w:rsidRPr="00E00E21" w:rsidRDefault="00F946DA" w:rsidP="00E93932">
      <w:pPr>
        <w:tabs>
          <w:tab w:val="left" w:pos="540"/>
          <w:tab w:val="left" w:pos="569"/>
        </w:tabs>
        <w:jc w:val="both"/>
        <w:rPr>
          <w:sz w:val="22"/>
          <w:szCs w:val="22"/>
          <w:u w:val="single"/>
          <w:lang w:val="sr-Latn-RS"/>
        </w:rPr>
      </w:pPr>
      <w:r w:rsidRPr="00E00E21">
        <w:rPr>
          <w:sz w:val="22"/>
          <w:szCs w:val="22"/>
          <w:u w:val="single"/>
          <w:lang w:val="sr-Latn-RS"/>
        </w:rPr>
        <w:t xml:space="preserve">Eliminacija </w:t>
      </w:r>
    </w:p>
    <w:p w14:paraId="60E8F8CB" w14:textId="77777777" w:rsidR="00F52F41" w:rsidRPr="00E00E21" w:rsidRDefault="00F52F41" w:rsidP="00E93932">
      <w:pPr>
        <w:tabs>
          <w:tab w:val="left" w:pos="540"/>
          <w:tab w:val="left" w:pos="569"/>
        </w:tabs>
        <w:jc w:val="both"/>
        <w:rPr>
          <w:sz w:val="22"/>
          <w:szCs w:val="22"/>
          <w:u w:val="single"/>
          <w:lang w:val="sr-Latn-RS"/>
        </w:rPr>
      </w:pPr>
    </w:p>
    <w:p w14:paraId="10302B9F" w14:textId="77777777" w:rsidR="00F52F41" w:rsidRPr="00E00E21" w:rsidRDefault="00F946DA" w:rsidP="004F26A0">
      <w:pPr>
        <w:tabs>
          <w:tab w:val="left" w:pos="540"/>
          <w:tab w:val="left" w:pos="569"/>
        </w:tabs>
        <w:jc w:val="both"/>
        <w:rPr>
          <w:sz w:val="22"/>
          <w:szCs w:val="22"/>
          <w:lang w:val="sr-Latn-RS"/>
        </w:rPr>
      </w:pPr>
      <w:r w:rsidRPr="00E00E21">
        <w:rPr>
          <w:sz w:val="22"/>
          <w:szCs w:val="22"/>
          <w:lang w:val="sr-Latn-RS"/>
        </w:rPr>
        <w:t xml:space="preserve">Nakon jednočasovne intravenske infuzije [ 14C]-kabazitaksela, pri čemu su pacijenti primili dozu od 25 mg/m </w:t>
      </w:r>
      <w:r w:rsidRPr="00E00E21">
        <w:rPr>
          <w:sz w:val="22"/>
          <w:szCs w:val="22"/>
          <w:vertAlign w:val="superscript"/>
          <w:lang w:val="sr-Latn-RS"/>
        </w:rPr>
        <w:t>2</w:t>
      </w:r>
      <w:r w:rsidRPr="00E00E21">
        <w:rPr>
          <w:sz w:val="22"/>
          <w:szCs w:val="22"/>
          <w:lang w:val="sr-Latn-RS"/>
        </w:rPr>
        <w:t>, oko 80% prim</w:t>
      </w:r>
      <w:r w:rsidR="008C3CF3" w:rsidRPr="00E00E21">
        <w:rPr>
          <w:sz w:val="22"/>
          <w:szCs w:val="22"/>
          <w:lang w:val="sr-Latn-RS"/>
        </w:rPr>
        <w:t>ij</w:t>
      </w:r>
      <w:r w:rsidRPr="00E00E21">
        <w:rPr>
          <w:sz w:val="22"/>
          <w:szCs w:val="22"/>
          <w:lang w:val="sr-Latn-RS"/>
        </w:rPr>
        <w:t>enjene doze izlučeno je u roku od 2 ned</w:t>
      </w:r>
      <w:r w:rsidR="001759AF" w:rsidRPr="00E00E21">
        <w:rPr>
          <w:sz w:val="22"/>
          <w:szCs w:val="22"/>
          <w:lang w:val="sr-Latn-RS"/>
        </w:rPr>
        <w:t>j</w:t>
      </w:r>
      <w:r w:rsidRPr="00E00E21">
        <w:rPr>
          <w:sz w:val="22"/>
          <w:szCs w:val="22"/>
          <w:lang w:val="sr-Latn-RS"/>
        </w:rPr>
        <w:t>elje. Kabazitaksel se uglavnom izlučuje putem fecesa u obliku brojnih metabolita (76% doze), a renalno izlučivanje kabazitaksela i metabolita iznosi manje od 4% doze (2,3% u obliku neprom</w:t>
      </w:r>
      <w:r w:rsidR="001759AF" w:rsidRPr="00E00E21">
        <w:rPr>
          <w:sz w:val="22"/>
          <w:szCs w:val="22"/>
          <w:lang w:val="sr-Latn-RS"/>
        </w:rPr>
        <w:t>ij</w:t>
      </w:r>
      <w:r w:rsidRPr="00E00E21">
        <w:rPr>
          <w:sz w:val="22"/>
          <w:szCs w:val="22"/>
          <w:lang w:val="sr-Latn-RS"/>
        </w:rPr>
        <w:t>enjenog lijeka u urinu).</w:t>
      </w:r>
    </w:p>
    <w:p w14:paraId="01C96C68" w14:textId="77777777" w:rsidR="00F52F41" w:rsidRPr="00E00E21" w:rsidRDefault="00F52F41" w:rsidP="004F26A0">
      <w:pPr>
        <w:tabs>
          <w:tab w:val="left" w:pos="540"/>
          <w:tab w:val="left" w:pos="569"/>
        </w:tabs>
        <w:jc w:val="both"/>
        <w:rPr>
          <w:sz w:val="22"/>
          <w:szCs w:val="22"/>
          <w:lang w:val="sr-Latn-RS"/>
        </w:rPr>
      </w:pPr>
    </w:p>
    <w:p w14:paraId="3E30F65A" w14:textId="79148B1D" w:rsidR="001759AF" w:rsidRPr="00E00E21" w:rsidRDefault="00F946DA" w:rsidP="004F26A0">
      <w:pPr>
        <w:tabs>
          <w:tab w:val="left" w:pos="540"/>
          <w:tab w:val="left" w:pos="569"/>
        </w:tabs>
        <w:jc w:val="both"/>
        <w:rPr>
          <w:sz w:val="22"/>
          <w:szCs w:val="22"/>
          <w:lang w:val="sr-Latn-RS"/>
        </w:rPr>
      </w:pPr>
      <w:r w:rsidRPr="00E00E21">
        <w:rPr>
          <w:sz w:val="22"/>
          <w:szCs w:val="22"/>
          <w:lang w:val="sr-Latn-RS"/>
        </w:rPr>
        <w:t xml:space="preserve">Kabazitaksel ima visoki klirens iz plazme od 48,5 </w:t>
      </w:r>
      <w:r w:rsidR="008C3CF3" w:rsidRPr="00E00E21">
        <w:rPr>
          <w:sz w:val="22"/>
          <w:szCs w:val="22"/>
          <w:lang w:val="sr-Latn-RS"/>
        </w:rPr>
        <w:t>l</w:t>
      </w:r>
      <w:r w:rsidRPr="00E00E21">
        <w:rPr>
          <w:sz w:val="22"/>
          <w:szCs w:val="22"/>
          <w:lang w:val="sr-Latn-RS"/>
        </w:rPr>
        <w:t xml:space="preserve">/h (26,4 </w:t>
      </w:r>
      <w:r w:rsidR="008C3CF3" w:rsidRPr="00E00E21">
        <w:rPr>
          <w:sz w:val="22"/>
          <w:szCs w:val="22"/>
          <w:lang w:val="sr-Latn-RS"/>
        </w:rPr>
        <w:t>l</w:t>
      </w:r>
      <w:r w:rsidRPr="00E00E21">
        <w:rPr>
          <w:sz w:val="22"/>
          <w:szCs w:val="22"/>
          <w:lang w:val="sr-Latn-RS"/>
        </w:rPr>
        <w:t xml:space="preserve">/h/m² za pacijente sa medijanom </w:t>
      </w:r>
      <w:r w:rsidR="001022A0" w:rsidRPr="00E00E21">
        <w:rPr>
          <w:sz w:val="22"/>
          <w:szCs w:val="22"/>
          <w:lang w:val="sr-Latn-RS"/>
        </w:rPr>
        <w:t>vrijednosti</w:t>
      </w:r>
      <w:r w:rsidRPr="00E00E21">
        <w:rPr>
          <w:sz w:val="22"/>
          <w:szCs w:val="22"/>
          <w:lang w:val="sr-Latn-RS"/>
        </w:rPr>
        <w:t xml:space="preserve"> t</w:t>
      </w:r>
      <w:r w:rsidR="008C3CF3" w:rsidRPr="00E00E21">
        <w:rPr>
          <w:sz w:val="22"/>
          <w:szCs w:val="22"/>
          <w:lang w:val="sr-Latn-RS"/>
        </w:rPr>
        <w:t>j</w:t>
      </w:r>
      <w:r w:rsidRPr="00E00E21">
        <w:rPr>
          <w:sz w:val="22"/>
          <w:szCs w:val="22"/>
          <w:lang w:val="sr-Latn-RS"/>
        </w:rPr>
        <w:t>elesne površine od 1,84 m</w:t>
      </w:r>
      <w:r w:rsidRPr="00E00E21">
        <w:rPr>
          <w:sz w:val="22"/>
          <w:szCs w:val="22"/>
          <w:vertAlign w:val="superscript"/>
          <w:lang w:val="sr-Latn-RS"/>
        </w:rPr>
        <w:t>2</w:t>
      </w:r>
      <w:r w:rsidRPr="00E00E21">
        <w:rPr>
          <w:sz w:val="22"/>
          <w:szCs w:val="22"/>
          <w:lang w:val="sr-Latn-RS"/>
        </w:rPr>
        <w:t>) i dugo terminalno biološko polu</w:t>
      </w:r>
      <w:r w:rsidR="008B16FD" w:rsidRPr="00E00E21">
        <w:rPr>
          <w:sz w:val="22"/>
          <w:szCs w:val="22"/>
          <w:lang w:val="sr-Latn-RS"/>
        </w:rPr>
        <w:t>vrijeme</w:t>
      </w:r>
      <w:r w:rsidRPr="00E00E21">
        <w:rPr>
          <w:sz w:val="22"/>
          <w:szCs w:val="22"/>
          <w:lang w:val="sr-Latn-RS"/>
        </w:rPr>
        <w:t xml:space="preserve"> od 95 sati. </w:t>
      </w:r>
    </w:p>
    <w:p w14:paraId="7767A2B3" w14:textId="77777777" w:rsidR="001759AF" w:rsidRPr="00E00E21" w:rsidRDefault="001759AF" w:rsidP="00E630C6">
      <w:pPr>
        <w:tabs>
          <w:tab w:val="left" w:pos="540"/>
          <w:tab w:val="left" w:pos="569"/>
        </w:tabs>
        <w:jc w:val="both"/>
        <w:rPr>
          <w:sz w:val="22"/>
          <w:szCs w:val="22"/>
          <w:lang w:val="sr-Latn-RS"/>
        </w:rPr>
      </w:pPr>
    </w:p>
    <w:p w14:paraId="5DD99C38" w14:textId="77777777" w:rsidR="001759AF" w:rsidRPr="00E00E21" w:rsidRDefault="00F946DA" w:rsidP="00E630C6">
      <w:pPr>
        <w:tabs>
          <w:tab w:val="left" w:pos="540"/>
          <w:tab w:val="left" w:pos="569"/>
        </w:tabs>
        <w:jc w:val="both"/>
        <w:rPr>
          <w:sz w:val="22"/>
          <w:szCs w:val="22"/>
          <w:u w:val="single"/>
          <w:lang w:val="sr-Latn-RS"/>
        </w:rPr>
      </w:pPr>
      <w:r w:rsidRPr="00E00E21">
        <w:rPr>
          <w:sz w:val="22"/>
          <w:szCs w:val="22"/>
          <w:u w:val="single"/>
          <w:lang w:val="sr-Latn-RS"/>
        </w:rPr>
        <w:t xml:space="preserve">Posebne populacije </w:t>
      </w:r>
    </w:p>
    <w:p w14:paraId="004AFF77" w14:textId="77777777" w:rsidR="001759AF" w:rsidRPr="00E00E21" w:rsidRDefault="001759AF" w:rsidP="00E630C6">
      <w:pPr>
        <w:tabs>
          <w:tab w:val="left" w:pos="540"/>
          <w:tab w:val="left" w:pos="569"/>
        </w:tabs>
        <w:jc w:val="both"/>
        <w:rPr>
          <w:sz w:val="22"/>
          <w:szCs w:val="22"/>
          <w:lang w:val="sr-Latn-RS"/>
        </w:rPr>
      </w:pPr>
    </w:p>
    <w:p w14:paraId="58373A04" w14:textId="77777777" w:rsidR="001759AF" w:rsidRPr="00E00E21" w:rsidRDefault="00F946DA" w:rsidP="00E630C6">
      <w:pPr>
        <w:tabs>
          <w:tab w:val="left" w:pos="540"/>
          <w:tab w:val="left" w:pos="569"/>
        </w:tabs>
        <w:jc w:val="both"/>
        <w:rPr>
          <w:i/>
          <w:sz w:val="22"/>
          <w:szCs w:val="22"/>
          <w:lang w:val="sr-Latn-RS"/>
        </w:rPr>
      </w:pPr>
      <w:r w:rsidRPr="00E00E21">
        <w:rPr>
          <w:i/>
          <w:sz w:val="22"/>
          <w:szCs w:val="22"/>
          <w:lang w:val="sr-Latn-RS"/>
        </w:rPr>
        <w:t xml:space="preserve">Stariji pacijenti </w:t>
      </w:r>
    </w:p>
    <w:p w14:paraId="35346295" w14:textId="77777777" w:rsidR="00F52F41" w:rsidRPr="00E00E21" w:rsidRDefault="00F52F41" w:rsidP="00E630C6">
      <w:pPr>
        <w:tabs>
          <w:tab w:val="left" w:pos="540"/>
          <w:tab w:val="left" w:pos="569"/>
        </w:tabs>
        <w:jc w:val="both"/>
        <w:rPr>
          <w:i/>
          <w:sz w:val="22"/>
          <w:szCs w:val="22"/>
          <w:lang w:val="sr-Latn-RS"/>
        </w:rPr>
      </w:pPr>
    </w:p>
    <w:p w14:paraId="59B997BA" w14:textId="77777777" w:rsidR="001759AF" w:rsidRPr="00E00E21" w:rsidRDefault="00F946DA" w:rsidP="00E630C6">
      <w:pPr>
        <w:tabs>
          <w:tab w:val="left" w:pos="540"/>
          <w:tab w:val="left" w:pos="569"/>
        </w:tabs>
        <w:jc w:val="both"/>
        <w:rPr>
          <w:sz w:val="22"/>
          <w:szCs w:val="22"/>
          <w:lang w:val="sr-Latn-RS"/>
        </w:rPr>
      </w:pPr>
      <w:r w:rsidRPr="00E00E21">
        <w:rPr>
          <w:sz w:val="22"/>
          <w:szCs w:val="22"/>
          <w:lang w:val="sr-Latn-RS"/>
        </w:rPr>
        <w:lastRenderedPageBreak/>
        <w:t xml:space="preserve">U populacionoj farmakokinetičkoj analizi kod 70 pacijenata starosti od 65 godina i starijih (57 pacijenata starih od 65 do 75 godina i 13 starih iznad 75 godina), nije zapažen uticaj godina na farmakokinetiku kabazitaksela. </w:t>
      </w:r>
    </w:p>
    <w:p w14:paraId="3FFE8E7E" w14:textId="77777777" w:rsidR="001759AF" w:rsidRPr="00E00E21" w:rsidRDefault="001759AF" w:rsidP="00E630C6">
      <w:pPr>
        <w:tabs>
          <w:tab w:val="left" w:pos="540"/>
          <w:tab w:val="left" w:pos="569"/>
        </w:tabs>
        <w:jc w:val="both"/>
        <w:rPr>
          <w:sz w:val="22"/>
          <w:szCs w:val="22"/>
          <w:lang w:val="sr-Latn-RS"/>
        </w:rPr>
      </w:pPr>
    </w:p>
    <w:p w14:paraId="23AD3C09" w14:textId="77777777" w:rsidR="001759AF" w:rsidRPr="00E00E21" w:rsidRDefault="00F946DA" w:rsidP="00E630C6">
      <w:pPr>
        <w:tabs>
          <w:tab w:val="left" w:pos="540"/>
          <w:tab w:val="left" w:pos="569"/>
        </w:tabs>
        <w:jc w:val="both"/>
        <w:rPr>
          <w:i/>
          <w:sz w:val="22"/>
          <w:szCs w:val="22"/>
          <w:lang w:val="sr-Latn-RS"/>
        </w:rPr>
      </w:pPr>
      <w:r w:rsidRPr="00E00E21">
        <w:rPr>
          <w:i/>
          <w:sz w:val="22"/>
          <w:szCs w:val="22"/>
          <w:lang w:val="sr-Latn-RS"/>
        </w:rPr>
        <w:t xml:space="preserve">Pedijatrijski pacijenti </w:t>
      </w:r>
    </w:p>
    <w:p w14:paraId="3B5B7543" w14:textId="77777777" w:rsidR="00F52F41" w:rsidRPr="00E00E21" w:rsidRDefault="00F52F41" w:rsidP="00E630C6">
      <w:pPr>
        <w:tabs>
          <w:tab w:val="left" w:pos="540"/>
          <w:tab w:val="left" w:pos="569"/>
        </w:tabs>
        <w:jc w:val="both"/>
        <w:rPr>
          <w:i/>
          <w:sz w:val="22"/>
          <w:szCs w:val="22"/>
          <w:lang w:val="sr-Latn-RS"/>
        </w:rPr>
      </w:pPr>
    </w:p>
    <w:p w14:paraId="47E4EAF4" w14:textId="77777777" w:rsidR="001759AF" w:rsidRPr="00E00E21" w:rsidRDefault="003042DF" w:rsidP="00E630C6">
      <w:pPr>
        <w:tabs>
          <w:tab w:val="left" w:pos="540"/>
          <w:tab w:val="left" w:pos="569"/>
        </w:tabs>
        <w:jc w:val="both"/>
        <w:rPr>
          <w:sz w:val="22"/>
          <w:szCs w:val="22"/>
          <w:lang w:val="sr-Latn-RS"/>
        </w:rPr>
      </w:pPr>
      <w:r w:rsidRPr="00E00E21">
        <w:rPr>
          <w:sz w:val="22"/>
          <w:szCs w:val="22"/>
          <w:lang w:val="sr-Latn-RS"/>
        </w:rPr>
        <w:t>Bezbjednost</w:t>
      </w:r>
      <w:r w:rsidR="00F946DA" w:rsidRPr="00E00E21">
        <w:rPr>
          <w:sz w:val="22"/>
          <w:szCs w:val="22"/>
          <w:lang w:val="sr-Latn-RS"/>
        </w:rPr>
        <w:t xml:space="preserve"> i efektivnost lijeka Kabazitaksel EVER Pharma nije utvrđena kod d</w:t>
      </w:r>
      <w:r w:rsidR="001759AF" w:rsidRPr="00E00E21">
        <w:rPr>
          <w:sz w:val="22"/>
          <w:szCs w:val="22"/>
          <w:lang w:val="sr-Latn-RS"/>
        </w:rPr>
        <w:t>j</w:t>
      </w:r>
      <w:r w:rsidR="00F946DA" w:rsidRPr="00E00E21">
        <w:rPr>
          <w:sz w:val="22"/>
          <w:szCs w:val="22"/>
          <w:lang w:val="sr-Latn-RS"/>
        </w:rPr>
        <w:t xml:space="preserve">ece i adolescenata mlađih od 18 godina. </w:t>
      </w:r>
    </w:p>
    <w:p w14:paraId="341669A2" w14:textId="77777777" w:rsidR="001759AF" w:rsidRPr="00E00E21" w:rsidRDefault="001759AF" w:rsidP="00E630C6">
      <w:pPr>
        <w:tabs>
          <w:tab w:val="left" w:pos="540"/>
          <w:tab w:val="left" w:pos="569"/>
        </w:tabs>
        <w:jc w:val="both"/>
        <w:rPr>
          <w:sz w:val="22"/>
          <w:szCs w:val="22"/>
          <w:lang w:val="sr-Latn-RS"/>
        </w:rPr>
      </w:pPr>
    </w:p>
    <w:p w14:paraId="5ADF4145" w14:textId="77777777" w:rsidR="001759AF" w:rsidRPr="00E00E21" w:rsidRDefault="00F946DA" w:rsidP="00E93932">
      <w:pPr>
        <w:tabs>
          <w:tab w:val="left" w:pos="540"/>
          <w:tab w:val="left" w:pos="569"/>
        </w:tabs>
        <w:jc w:val="both"/>
        <w:rPr>
          <w:sz w:val="22"/>
          <w:szCs w:val="22"/>
          <w:lang w:val="sr-Latn-RS"/>
        </w:rPr>
      </w:pPr>
      <w:r w:rsidRPr="00E00E21">
        <w:rPr>
          <w:i/>
          <w:sz w:val="22"/>
          <w:szCs w:val="22"/>
          <w:lang w:val="sr-Latn-RS"/>
        </w:rPr>
        <w:t>Oštećenje funkcije jetre</w:t>
      </w:r>
      <w:r w:rsidRPr="00E00E21">
        <w:rPr>
          <w:sz w:val="22"/>
          <w:szCs w:val="22"/>
          <w:lang w:val="sr-Latn-RS"/>
        </w:rPr>
        <w:t xml:space="preserve"> </w:t>
      </w:r>
    </w:p>
    <w:p w14:paraId="2F1D752D" w14:textId="77777777" w:rsidR="00F52F41" w:rsidRPr="00E00E21" w:rsidRDefault="00F52F41" w:rsidP="00E93932">
      <w:pPr>
        <w:tabs>
          <w:tab w:val="left" w:pos="540"/>
          <w:tab w:val="left" w:pos="569"/>
        </w:tabs>
        <w:jc w:val="both"/>
        <w:rPr>
          <w:sz w:val="22"/>
          <w:szCs w:val="22"/>
          <w:lang w:val="sr-Latn-RS"/>
        </w:rPr>
      </w:pPr>
    </w:p>
    <w:p w14:paraId="29B6E76B" w14:textId="77777777" w:rsidR="008C3CF3" w:rsidRPr="00E00E21" w:rsidRDefault="00F946DA" w:rsidP="004F26A0">
      <w:pPr>
        <w:tabs>
          <w:tab w:val="left" w:pos="540"/>
          <w:tab w:val="left" w:pos="569"/>
        </w:tabs>
        <w:jc w:val="both"/>
        <w:rPr>
          <w:sz w:val="22"/>
          <w:szCs w:val="22"/>
          <w:lang w:val="sr-Latn-RS"/>
        </w:rPr>
      </w:pPr>
      <w:r w:rsidRPr="00E00E21">
        <w:rPr>
          <w:sz w:val="22"/>
          <w:szCs w:val="22"/>
          <w:lang w:val="sr-Latn-RS"/>
        </w:rPr>
        <w:t xml:space="preserve">Kabazitaksel se eliminiše primarno putem metabolizma u jetri. </w:t>
      </w:r>
    </w:p>
    <w:p w14:paraId="17D720DC" w14:textId="77777777" w:rsidR="00F52F41" w:rsidRPr="00E00E21" w:rsidRDefault="00F52F41" w:rsidP="004F26A0">
      <w:pPr>
        <w:tabs>
          <w:tab w:val="left" w:pos="540"/>
          <w:tab w:val="left" w:pos="569"/>
        </w:tabs>
        <w:jc w:val="both"/>
        <w:rPr>
          <w:sz w:val="22"/>
          <w:szCs w:val="22"/>
          <w:lang w:val="sr-Latn-RS"/>
        </w:rPr>
      </w:pPr>
    </w:p>
    <w:p w14:paraId="4AC436A9" w14:textId="77777777" w:rsidR="00F52F41" w:rsidRPr="00E00E21" w:rsidRDefault="00F946DA" w:rsidP="004F26A0">
      <w:pPr>
        <w:tabs>
          <w:tab w:val="left" w:pos="540"/>
          <w:tab w:val="left" w:pos="569"/>
        </w:tabs>
        <w:jc w:val="both"/>
        <w:rPr>
          <w:sz w:val="22"/>
          <w:szCs w:val="22"/>
          <w:lang w:val="sr-Latn-RS"/>
        </w:rPr>
      </w:pPr>
      <w:r w:rsidRPr="00E00E21">
        <w:rPr>
          <w:sz w:val="22"/>
          <w:szCs w:val="22"/>
          <w:lang w:val="sr-Latn-RS"/>
        </w:rPr>
        <w:t>U posebnoj studiji kod 43 onkološka pacijenta sa oštećenom funkcijom jetre pokazano je da blago (ukupan bilirubin &gt;</w:t>
      </w:r>
      <w:r w:rsidR="008C3CF3" w:rsidRPr="00E00E21">
        <w:rPr>
          <w:sz w:val="22"/>
          <w:szCs w:val="22"/>
          <w:lang w:val="sr-Latn-RS"/>
        </w:rPr>
        <w:t xml:space="preserve"> </w:t>
      </w:r>
      <w:r w:rsidRPr="00E00E21">
        <w:rPr>
          <w:sz w:val="22"/>
          <w:szCs w:val="22"/>
          <w:lang w:val="sr-Latn-RS"/>
        </w:rPr>
        <w:t>1 do ≤ 1,5 x GGN ili AST &gt;</w:t>
      </w:r>
      <w:r w:rsidR="008C3CF3" w:rsidRPr="00E00E21">
        <w:rPr>
          <w:sz w:val="22"/>
          <w:szCs w:val="22"/>
          <w:lang w:val="sr-Latn-RS"/>
        </w:rPr>
        <w:t xml:space="preserve"> </w:t>
      </w:r>
      <w:r w:rsidRPr="00E00E21">
        <w:rPr>
          <w:sz w:val="22"/>
          <w:szCs w:val="22"/>
          <w:lang w:val="sr-Latn-RS"/>
        </w:rPr>
        <w:t xml:space="preserve">1,5 x GGN) ili </w:t>
      </w:r>
      <w:r w:rsidR="00F52F41" w:rsidRPr="00E00E21">
        <w:rPr>
          <w:sz w:val="22"/>
          <w:szCs w:val="22"/>
          <w:lang w:val="sr-Latn-RS"/>
        </w:rPr>
        <w:t>umjereno (</w:t>
      </w:r>
      <w:r w:rsidRPr="00E00E21">
        <w:rPr>
          <w:sz w:val="22"/>
          <w:szCs w:val="22"/>
          <w:lang w:val="sr-Latn-RS"/>
        </w:rPr>
        <w:t>ukupan bilirubin &gt;1,5 do ≤ 3 x GGN) oštećenje funkcije jetre ne utiče na farmakokinetiku kabazitaksela. Najveća podnošljiva doz</w:t>
      </w:r>
      <w:r w:rsidR="001759AF" w:rsidRPr="00E00E21">
        <w:rPr>
          <w:sz w:val="22"/>
          <w:szCs w:val="22"/>
          <w:lang w:val="sr-Latn-RS"/>
        </w:rPr>
        <w:t>a kabazitaksela bila je 20 mg/m</w:t>
      </w:r>
      <w:r w:rsidRPr="00E00E21">
        <w:rPr>
          <w:sz w:val="22"/>
          <w:szCs w:val="22"/>
          <w:vertAlign w:val="superscript"/>
          <w:lang w:val="sr-Latn-RS"/>
        </w:rPr>
        <w:t>2</w:t>
      </w:r>
      <w:r w:rsidRPr="00E00E21">
        <w:rPr>
          <w:sz w:val="22"/>
          <w:szCs w:val="22"/>
          <w:lang w:val="sr-Latn-RS"/>
        </w:rPr>
        <w:t>, odnosno 15 mg/m</w:t>
      </w:r>
      <w:r w:rsidRPr="00E00E21">
        <w:rPr>
          <w:sz w:val="22"/>
          <w:szCs w:val="22"/>
          <w:vertAlign w:val="superscript"/>
          <w:lang w:val="sr-Latn-RS"/>
        </w:rPr>
        <w:t>2</w:t>
      </w:r>
      <w:r w:rsidRPr="00E00E21">
        <w:rPr>
          <w:sz w:val="22"/>
          <w:szCs w:val="22"/>
          <w:lang w:val="sr-Latn-RS"/>
        </w:rPr>
        <w:t xml:space="preserve">. Kod 3 pacijenta sa teškim oštećenjem funkcije jetre (ukupan bilirubin &gt;3 GGN), </w:t>
      </w:r>
      <w:r w:rsidR="00AF3070" w:rsidRPr="00E00E21">
        <w:rPr>
          <w:sz w:val="22"/>
          <w:szCs w:val="22"/>
          <w:lang w:val="sr-Latn-RS"/>
        </w:rPr>
        <w:t>zabilježeno</w:t>
      </w:r>
      <w:r w:rsidRPr="00E00E21">
        <w:rPr>
          <w:sz w:val="22"/>
          <w:szCs w:val="22"/>
          <w:lang w:val="sr-Latn-RS"/>
        </w:rPr>
        <w:t xml:space="preserve"> je smanjenje klirensa od 39% u poređenju sa pacijentima sa blagim oštećenjem funkcije jetre, što upućuje da ozbiljno oštećenje funkcije jetre ima određeni uticaj na farmakokinetiku kabazitaksela. Najveća podnošljiva doza kabazitaksela kod pacijenata sa teškim oštećenjem funkcije jetre nije ustanovljena. </w:t>
      </w:r>
    </w:p>
    <w:p w14:paraId="26F6247E" w14:textId="77777777" w:rsidR="00F52F41" w:rsidRPr="00E00E21" w:rsidRDefault="00F52F41" w:rsidP="004F26A0">
      <w:pPr>
        <w:tabs>
          <w:tab w:val="left" w:pos="540"/>
          <w:tab w:val="left" w:pos="569"/>
        </w:tabs>
        <w:jc w:val="both"/>
        <w:rPr>
          <w:sz w:val="22"/>
          <w:szCs w:val="22"/>
          <w:lang w:val="sr-Latn-RS"/>
        </w:rPr>
      </w:pPr>
    </w:p>
    <w:p w14:paraId="41D7D09A" w14:textId="1E93CB97" w:rsidR="001759AF" w:rsidRPr="00E00E21" w:rsidRDefault="00F946DA" w:rsidP="004F26A0">
      <w:pPr>
        <w:tabs>
          <w:tab w:val="left" w:pos="540"/>
          <w:tab w:val="left" w:pos="569"/>
        </w:tabs>
        <w:jc w:val="both"/>
        <w:rPr>
          <w:sz w:val="22"/>
          <w:szCs w:val="22"/>
          <w:lang w:val="sr-Latn-RS"/>
        </w:rPr>
      </w:pPr>
      <w:r w:rsidRPr="00E00E21">
        <w:rPr>
          <w:sz w:val="22"/>
          <w:szCs w:val="22"/>
          <w:lang w:val="sr-Latn-RS"/>
        </w:rPr>
        <w:t xml:space="preserve">Na osnovu podataka o </w:t>
      </w:r>
      <w:r w:rsidR="003042DF" w:rsidRPr="00E00E21">
        <w:rPr>
          <w:sz w:val="22"/>
          <w:szCs w:val="22"/>
          <w:lang w:val="sr-Latn-RS"/>
        </w:rPr>
        <w:t>bezbjednost</w:t>
      </w:r>
      <w:r w:rsidRPr="00E00E21">
        <w:rPr>
          <w:sz w:val="22"/>
          <w:szCs w:val="22"/>
          <w:lang w:val="sr-Latn-RS"/>
        </w:rPr>
        <w:t>i i podnošljivosti, dozu kabazitaksela treba smanjiti kod pacijenata sa blagim oštećenjem funkcije jetre (</w:t>
      </w:r>
      <w:r w:rsidR="009F2C36" w:rsidRPr="00E00E21">
        <w:rPr>
          <w:sz w:val="22"/>
          <w:szCs w:val="22"/>
          <w:lang w:val="sr-Latn-RS"/>
        </w:rPr>
        <w:t>vidjeti</w:t>
      </w:r>
      <w:r w:rsidRPr="00E00E21">
        <w:rPr>
          <w:sz w:val="22"/>
          <w:szCs w:val="22"/>
          <w:lang w:val="sr-Latn-RS"/>
        </w:rPr>
        <w:t xml:space="preserve"> </w:t>
      </w:r>
      <w:r w:rsidR="001759AF" w:rsidRPr="00E00E21">
        <w:rPr>
          <w:sz w:val="22"/>
          <w:szCs w:val="22"/>
          <w:lang w:val="sr-Latn-RS"/>
        </w:rPr>
        <w:t>djelove</w:t>
      </w:r>
      <w:r w:rsidRPr="00E00E21">
        <w:rPr>
          <w:sz w:val="22"/>
          <w:szCs w:val="22"/>
          <w:lang w:val="sr-Latn-RS"/>
        </w:rPr>
        <w:t xml:space="preserve"> 4.2, 4.4). Lijek Kabazitaksel EVER Pharma je kontraindikovan kod pacijenata sa teškim oštećenjem funkcije jetre (</w:t>
      </w:r>
      <w:r w:rsidR="009F2C36" w:rsidRPr="00E00E21">
        <w:rPr>
          <w:sz w:val="22"/>
          <w:szCs w:val="22"/>
          <w:lang w:val="sr-Latn-RS"/>
        </w:rPr>
        <w:t>vidjeti</w:t>
      </w:r>
      <w:r w:rsidRPr="00E00E21">
        <w:rPr>
          <w:sz w:val="22"/>
          <w:szCs w:val="22"/>
          <w:lang w:val="sr-Latn-RS"/>
        </w:rPr>
        <w:t xml:space="preserve"> </w:t>
      </w:r>
      <w:r w:rsidR="00F94684" w:rsidRPr="00E00E21">
        <w:rPr>
          <w:sz w:val="22"/>
          <w:szCs w:val="22"/>
          <w:lang w:val="sr-Latn-RS"/>
        </w:rPr>
        <w:t>dio</w:t>
      </w:r>
      <w:r w:rsidRPr="00E00E21">
        <w:rPr>
          <w:sz w:val="22"/>
          <w:szCs w:val="22"/>
          <w:lang w:val="sr-Latn-RS"/>
        </w:rPr>
        <w:t xml:space="preserve"> 4.3). </w:t>
      </w:r>
    </w:p>
    <w:p w14:paraId="0F6A8A4D" w14:textId="77777777" w:rsidR="001759AF" w:rsidRPr="00E00E21" w:rsidRDefault="001759AF" w:rsidP="00370E1E">
      <w:pPr>
        <w:tabs>
          <w:tab w:val="left" w:pos="540"/>
          <w:tab w:val="left" w:pos="569"/>
        </w:tabs>
        <w:jc w:val="both"/>
        <w:rPr>
          <w:sz w:val="22"/>
          <w:szCs w:val="22"/>
          <w:lang w:val="sr-Latn-RS"/>
        </w:rPr>
      </w:pPr>
    </w:p>
    <w:p w14:paraId="05486419" w14:textId="77777777" w:rsidR="001759AF" w:rsidRPr="00E00E21" w:rsidRDefault="00F946DA" w:rsidP="009B6A1F">
      <w:pPr>
        <w:tabs>
          <w:tab w:val="left" w:pos="540"/>
          <w:tab w:val="left" w:pos="569"/>
        </w:tabs>
        <w:jc w:val="both"/>
        <w:rPr>
          <w:i/>
          <w:sz w:val="22"/>
          <w:szCs w:val="22"/>
          <w:lang w:val="sr-Latn-RS"/>
        </w:rPr>
      </w:pPr>
      <w:r w:rsidRPr="00E00E21">
        <w:rPr>
          <w:i/>
          <w:sz w:val="22"/>
          <w:szCs w:val="22"/>
          <w:lang w:val="sr-Latn-RS"/>
        </w:rPr>
        <w:t xml:space="preserve">Oštećenje funkcije bubrega </w:t>
      </w:r>
    </w:p>
    <w:p w14:paraId="1341145C" w14:textId="77777777" w:rsidR="00F52F41" w:rsidRPr="00E00E21" w:rsidRDefault="00F52F41" w:rsidP="009B6A1F">
      <w:pPr>
        <w:tabs>
          <w:tab w:val="left" w:pos="540"/>
          <w:tab w:val="left" w:pos="569"/>
        </w:tabs>
        <w:jc w:val="both"/>
        <w:rPr>
          <w:i/>
          <w:sz w:val="22"/>
          <w:szCs w:val="22"/>
          <w:lang w:val="sr-Latn-RS"/>
        </w:rPr>
      </w:pPr>
    </w:p>
    <w:p w14:paraId="4534C86E" w14:textId="10660747" w:rsidR="001759AF" w:rsidRPr="00E00E21" w:rsidRDefault="00F946DA">
      <w:pPr>
        <w:tabs>
          <w:tab w:val="left" w:pos="540"/>
          <w:tab w:val="left" w:pos="569"/>
        </w:tabs>
        <w:jc w:val="both"/>
        <w:rPr>
          <w:sz w:val="22"/>
          <w:szCs w:val="22"/>
          <w:lang w:val="sr-Latn-RS"/>
        </w:rPr>
      </w:pPr>
      <w:r w:rsidRPr="00E00E21">
        <w:rPr>
          <w:sz w:val="22"/>
          <w:szCs w:val="22"/>
          <w:lang w:val="sr-Latn-RS"/>
        </w:rPr>
        <w:t>Kabazitaksel se minimalno izlučuje putem bubrega (2,3% doze). Populaciona farmakokokinetička analiza sprovedena kod 170 pacijenata, među kojima je bilo</w:t>
      </w:r>
      <w:r w:rsidR="008C3CF3" w:rsidRPr="00E00E21">
        <w:rPr>
          <w:sz w:val="22"/>
          <w:szCs w:val="22"/>
          <w:lang w:val="sr-Latn-RS"/>
        </w:rPr>
        <w:t xml:space="preserve"> </w:t>
      </w:r>
      <w:r w:rsidRPr="00E00E21">
        <w:rPr>
          <w:sz w:val="22"/>
          <w:szCs w:val="22"/>
          <w:lang w:val="sr-Latn-RS"/>
        </w:rPr>
        <w:t>14 pacijenata sa um</w:t>
      </w:r>
      <w:r w:rsidR="001759AF" w:rsidRPr="00E00E21">
        <w:rPr>
          <w:sz w:val="22"/>
          <w:szCs w:val="22"/>
          <w:lang w:val="sr-Latn-RS"/>
        </w:rPr>
        <w:t>j</w:t>
      </w:r>
      <w:r w:rsidRPr="00E00E21">
        <w:rPr>
          <w:sz w:val="22"/>
          <w:szCs w:val="22"/>
          <w:lang w:val="sr-Latn-RS"/>
        </w:rPr>
        <w:t>erenim oštećenjem funkcije bubrega (klirens kreatinina u rasponu od 30 do 50 m</w:t>
      </w:r>
      <w:r w:rsidR="001759AF" w:rsidRPr="00E00E21">
        <w:rPr>
          <w:sz w:val="22"/>
          <w:szCs w:val="22"/>
          <w:lang w:val="sr-Latn-RS"/>
        </w:rPr>
        <w:t>l</w:t>
      </w:r>
      <w:r w:rsidRPr="00E00E21">
        <w:rPr>
          <w:sz w:val="22"/>
          <w:szCs w:val="22"/>
          <w:lang w:val="sr-Latn-RS"/>
        </w:rPr>
        <w:t>/min) i 59 pacijenata sa blagim oštećenjem funkcije bubrega (klirens kreatinina u rasponu od 50 do 80 m</w:t>
      </w:r>
      <w:r w:rsidR="001759AF" w:rsidRPr="00E00E21">
        <w:rPr>
          <w:sz w:val="22"/>
          <w:szCs w:val="22"/>
          <w:lang w:val="sr-Latn-RS"/>
        </w:rPr>
        <w:t>l</w:t>
      </w:r>
      <w:r w:rsidRPr="00E00E21">
        <w:rPr>
          <w:sz w:val="22"/>
          <w:szCs w:val="22"/>
          <w:lang w:val="sr-Latn-RS"/>
        </w:rPr>
        <w:t xml:space="preserve">/min), pokazala je da blago do </w:t>
      </w:r>
      <w:r w:rsidR="001759AF" w:rsidRPr="00E00E21">
        <w:rPr>
          <w:sz w:val="22"/>
          <w:szCs w:val="22"/>
          <w:lang w:val="sr-Latn-RS"/>
        </w:rPr>
        <w:t>umjereno</w:t>
      </w:r>
      <w:r w:rsidRPr="00E00E21">
        <w:rPr>
          <w:sz w:val="22"/>
          <w:szCs w:val="22"/>
          <w:lang w:val="sr-Latn-RS"/>
        </w:rPr>
        <w:t xml:space="preserve"> oštećenje funkcije bubrega nema značajan uticaj na farmakokinetiku kabazitaksela. Ovo je potvrđeno u posebnoj komparativnoj farmakokinetičkoj studiji kod pacijenata sa solidnim tumorom, sa normalnom funkcijom bubrega (8 pacijenata), um</w:t>
      </w:r>
      <w:r w:rsidR="001759AF" w:rsidRPr="00E00E21">
        <w:rPr>
          <w:sz w:val="22"/>
          <w:szCs w:val="22"/>
          <w:lang w:val="sr-Latn-RS"/>
        </w:rPr>
        <w:t>j</w:t>
      </w:r>
      <w:r w:rsidRPr="00E00E21">
        <w:rPr>
          <w:sz w:val="22"/>
          <w:szCs w:val="22"/>
          <w:lang w:val="sr-Latn-RS"/>
        </w:rPr>
        <w:t xml:space="preserve">erenim (8 pacijenata) i teškim (9 pacijenata) oštećenjem funkcije bubrega, koji su primili nekoliko ciklusa kabazitaksela putem jedne </w:t>
      </w:r>
      <w:r w:rsidR="001759AF" w:rsidRPr="00E00E21">
        <w:rPr>
          <w:sz w:val="22"/>
          <w:szCs w:val="22"/>
          <w:lang w:val="sr-Latn-RS"/>
        </w:rPr>
        <w:t>intravenske infuzije do 25 mg/m</w:t>
      </w:r>
      <w:r w:rsidRPr="00E00E21">
        <w:rPr>
          <w:sz w:val="22"/>
          <w:szCs w:val="22"/>
          <w:vertAlign w:val="superscript"/>
          <w:lang w:val="sr-Latn-RS"/>
        </w:rPr>
        <w:t>2</w:t>
      </w:r>
      <w:r w:rsidRPr="00E00E21">
        <w:rPr>
          <w:sz w:val="22"/>
          <w:szCs w:val="22"/>
          <w:lang w:val="sr-Latn-RS"/>
        </w:rPr>
        <w:t xml:space="preserve">. </w:t>
      </w:r>
    </w:p>
    <w:p w14:paraId="14FA0A64" w14:textId="77777777" w:rsidR="001759AF" w:rsidRPr="00E00E21" w:rsidRDefault="001759AF" w:rsidP="00E630C6">
      <w:pPr>
        <w:tabs>
          <w:tab w:val="left" w:pos="540"/>
          <w:tab w:val="left" w:pos="569"/>
        </w:tabs>
        <w:jc w:val="both"/>
        <w:rPr>
          <w:sz w:val="22"/>
          <w:szCs w:val="22"/>
          <w:lang w:val="sr-Latn-RS"/>
        </w:rPr>
      </w:pPr>
    </w:p>
    <w:p w14:paraId="576D5D6B" w14:textId="77777777" w:rsidR="001759AF" w:rsidRPr="00E00E21" w:rsidRDefault="00F946DA" w:rsidP="00E630C6">
      <w:pPr>
        <w:tabs>
          <w:tab w:val="left" w:pos="540"/>
          <w:tab w:val="left" w:pos="569"/>
        </w:tabs>
        <w:jc w:val="both"/>
        <w:rPr>
          <w:sz w:val="22"/>
          <w:szCs w:val="22"/>
          <w:lang w:val="sr-Latn-RS"/>
        </w:rPr>
      </w:pPr>
      <w:r w:rsidRPr="00E00E21">
        <w:rPr>
          <w:b/>
          <w:bCs/>
          <w:sz w:val="22"/>
          <w:szCs w:val="22"/>
          <w:lang w:val="sr-Latn-RS"/>
        </w:rPr>
        <w:t xml:space="preserve">5.3. Pretklinički podaci o </w:t>
      </w:r>
      <w:r w:rsidR="003042DF" w:rsidRPr="00E00E21">
        <w:rPr>
          <w:b/>
          <w:bCs/>
          <w:sz w:val="22"/>
          <w:szCs w:val="22"/>
          <w:lang w:val="sr-Latn-RS"/>
        </w:rPr>
        <w:t>bezbjednost</w:t>
      </w:r>
      <w:r w:rsidRPr="00E00E21">
        <w:rPr>
          <w:b/>
          <w:bCs/>
          <w:sz w:val="22"/>
          <w:szCs w:val="22"/>
          <w:lang w:val="sr-Latn-RS"/>
        </w:rPr>
        <w:t>i lijeka</w:t>
      </w:r>
      <w:r w:rsidRPr="00E00E21">
        <w:rPr>
          <w:sz w:val="22"/>
          <w:szCs w:val="22"/>
          <w:lang w:val="sr-Latn-RS"/>
        </w:rPr>
        <w:t xml:space="preserve"> </w:t>
      </w:r>
    </w:p>
    <w:p w14:paraId="19A5A977" w14:textId="77777777" w:rsidR="001759AF" w:rsidRPr="00E00E21" w:rsidRDefault="001759AF" w:rsidP="00E630C6">
      <w:pPr>
        <w:tabs>
          <w:tab w:val="left" w:pos="540"/>
          <w:tab w:val="left" w:pos="569"/>
        </w:tabs>
        <w:jc w:val="both"/>
        <w:rPr>
          <w:sz w:val="22"/>
          <w:szCs w:val="22"/>
          <w:lang w:val="sr-Latn-RS"/>
        </w:rPr>
      </w:pPr>
    </w:p>
    <w:p w14:paraId="139EFCBF" w14:textId="775CFBF9" w:rsidR="0037134E" w:rsidRPr="00E00E21" w:rsidRDefault="00F946DA" w:rsidP="00E93932">
      <w:pPr>
        <w:tabs>
          <w:tab w:val="left" w:pos="540"/>
          <w:tab w:val="left" w:pos="569"/>
        </w:tabs>
        <w:jc w:val="both"/>
        <w:rPr>
          <w:sz w:val="22"/>
          <w:szCs w:val="22"/>
          <w:lang w:val="sr-Latn-RS"/>
        </w:rPr>
      </w:pPr>
      <w:r w:rsidRPr="00E00E21">
        <w:rPr>
          <w:sz w:val="22"/>
          <w:szCs w:val="22"/>
          <w:lang w:val="sr-Latn-RS"/>
        </w:rPr>
        <w:t>Neželjene reakcije koje ni</w:t>
      </w:r>
      <w:r w:rsidR="0037134E" w:rsidRPr="00E00E21">
        <w:rPr>
          <w:sz w:val="22"/>
          <w:szCs w:val="22"/>
          <w:lang w:val="sr-Latn-RS"/>
        </w:rPr>
        <w:t>je</w:t>
      </w:r>
      <w:r w:rsidRPr="00E00E21">
        <w:rPr>
          <w:sz w:val="22"/>
          <w:szCs w:val="22"/>
          <w:lang w:val="sr-Latn-RS"/>
        </w:rPr>
        <w:t xml:space="preserve">su </w:t>
      </w:r>
      <w:r w:rsidR="00AF3070" w:rsidRPr="00E00E21">
        <w:rPr>
          <w:sz w:val="22"/>
          <w:szCs w:val="22"/>
          <w:lang w:val="sr-Latn-RS"/>
        </w:rPr>
        <w:t>zabilježene</w:t>
      </w:r>
      <w:r w:rsidRPr="00E00E21">
        <w:rPr>
          <w:sz w:val="22"/>
          <w:szCs w:val="22"/>
          <w:lang w:val="sr-Latn-RS"/>
        </w:rPr>
        <w:t xml:space="preserve"> u kliničkim studijama, ali su </w:t>
      </w:r>
      <w:r w:rsidR="00AF3070" w:rsidRPr="00E00E21">
        <w:rPr>
          <w:sz w:val="22"/>
          <w:szCs w:val="22"/>
          <w:lang w:val="sr-Latn-RS"/>
        </w:rPr>
        <w:t>zabilježene</w:t>
      </w:r>
      <w:r w:rsidRPr="00E00E21">
        <w:rPr>
          <w:sz w:val="22"/>
          <w:szCs w:val="22"/>
          <w:lang w:val="sr-Latn-RS"/>
        </w:rPr>
        <w:t xml:space="preserve"> kod pasa nakon </w:t>
      </w:r>
      <w:r w:rsidR="003042DF" w:rsidRPr="00E00E21">
        <w:rPr>
          <w:sz w:val="22"/>
          <w:szCs w:val="22"/>
          <w:lang w:val="sr-Latn-RS"/>
        </w:rPr>
        <w:t>primjene</w:t>
      </w:r>
      <w:r w:rsidRPr="00E00E21">
        <w:rPr>
          <w:sz w:val="22"/>
          <w:szCs w:val="22"/>
          <w:lang w:val="sr-Latn-RS"/>
        </w:rPr>
        <w:t xml:space="preserve"> pojedinačne doze, 5-dnevne i ned</w:t>
      </w:r>
      <w:r w:rsidR="001759AF" w:rsidRPr="00E00E21">
        <w:rPr>
          <w:sz w:val="22"/>
          <w:szCs w:val="22"/>
          <w:lang w:val="sr-Latn-RS"/>
        </w:rPr>
        <w:t>j</w:t>
      </w:r>
      <w:r w:rsidRPr="00E00E21">
        <w:rPr>
          <w:sz w:val="22"/>
          <w:szCs w:val="22"/>
          <w:lang w:val="sr-Latn-RS"/>
        </w:rPr>
        <w:t xml:space="preserve">eljne </w:t>
      </w:r>
      <w:r w:rsidR="003042DF" w:rsidRPr="00E00E21">
        <w:rPr>
          <w:sz w:val="22"/>
          <w:szCs w:val="22"/>
          <w:lang w:val="sr-Latn-RS"/>
        </w:rPr>
        <w:t>primjene</w:t>
      </w:r>
      <w:r w:rsidRPr="00E00E21">
        <w:rPr>
          <w:sz w:val="22"/>
          <w:szCs w:val="22"/>
          <w:lang w:val="sr-Latn-RS"/>
        </w:rPr>
        <w:t>, pri stepenu izloženosti nižem od kliničkog i sa mogućim značajem za kliničku prim</w:t>
      </w:r>
      <w:r w:rsidR="001759AF" w:rsidRPr="00E00E21">
        <w:rPr>
          <w:sz w:val="22"/>
          <w:szCs w:val="22"/>
          <w:lang w:val="sr-Latn-RS"/>
        </w:rPr>
        <w:t>j</w:t>
      </w:r>
      <w:r w:rsidRPr="00E00E21">
        <w:rPr>
          <w:sz w:val="22"/>
          <w:szCs w:val="22"/>
          <w:lang w:val="sr-Latn-RS"/>
        </w:rPr>
        <w:t>enu, bile suarteriolarna/periarterolarna nekroza jetre, hiperplazija žučnih puteva i/ili hepatocelularna nekroza (</w:t>
      </w:r>
      <w:r w:rsidR="0037134E" w:rsidRPr="00E00E21">
        <w:rPr>
          <w:sz w:val="22"/>
          <w:szCs w:val="22"/>
          <w:lang w:val="sr-Latn-RS"/>
        </w:rPr>
        <w:t xml:space="preserve">vidjeti </w:t>
      </w:r>
      <w:r w:rsidR="00F94684" w:rsidRPr="00E00E21">
        <w:rPr>
          <w:sz w:val="22"/>
          <w:szCs w:val="22"/>
          <w:lang w:val="sr-Latn-RS"/>
        </w:rPr>
        <w:t>dio</w:t>
      </w:r>
      <w:r w:rsidRPr="00E00E21">
        <w:rPr>
          <w:sz w:val="22"/>
          <w:szCs w:val="22"/>
          <w:lang w:val="sr-Latn-RS"/>
        </w:rPr>
        <w:t xml:space="preserve"> 4.2). </w:t>
      </w:r>
    </w:p>
    <w:p w14:paraId="16251C3E" w14:textId="77777777" w:rsidR="0037134E" w:rsidRPr="00E00E21" w:rsidRDefault="0037134E" w:rsidP="00E93932">
      <w:pPr>
        <w:tabs>
          <w:tab w:val="left" w:pos="540"/>
          <w:tab w:val="left" w:pos="569"/>
        </w:tabs>
        <w:jc w:val="both"/>
        <w:rPr>
          <w:sz w:val="22"/>
          <w:szCs w:val="22"/>
          <w:lang w:val="sr-Latn-RS"/>
        </w:rPr>
      </w:pPr>
    </w:p>
    <w:p w14:paraId="43E431D4" w14:textId="60E7E4C5" w:rsidR="0037134E" w:rsidRPr="00E00E21" w:rsidRDefault="00F946DA" w:rsidP="00E93932">
      <w:pPr>
        <w:tabs>
          <w:tab w:val="left" w:pos="540"/>
          <w:tab w:val="left" w:pos="569"/>
        </w:tabs>
        <w:jc w:val="both"/>
        <w:rPr>
          <w:sz w:val="22"/>
          <w:szCs w:val="22"/>
          <w:lang w:val="sr-Latn-RS"/>
        </w:rPr>
      </w:pPr>
      <w:r w:rsidRPr="00E00E21">
        <w:rPr>
          <w:sz w:val="22"/>
          <w:szCs w:val="22"/>
          <w:lang w:val="sr-Latn-RS"/>
        </w:rPr>
        <w:t>Neželjene reakcije koje ni</w:t>
      </w:r>
      <w:r w:rsidR="0037134E" w:rsidRPr="00E00E21">
        <w:rPr>
          <w:sz w:val="22"/>
          <w:szCs w:val="22"/>
          <w:lang w:val="sr-Latn-RS"/>
        </w:rPr>
        <w:t>je</w:t>
      </w:r>
      <w:r w:rsidRPr="00E00E21">
        <w:rPr>
          <w:sz w:val="22"/>
          <w:szCs w:val="22"/>
          <w:lang w:val="sr-Latn-RS"/>
        </w:rPr>
        <w:t xml:space="preserve">su </w:t>
      </w:r>
      <w:r w:rsidR="00AF3070" w:rsidRPr="00E00E21">
        <w:rPr>
          <w:sz w:val="22"/>
          <w:szCs w:val="22"/>
          <w:lang w:val="sr-Latn-RS"/>
        </w:rPr>
        <w:t>zabilježene</w:t>
      </w:r>
      <w:r w:rsidRPr="00E00E21">
        <w:rPr>
          <w:sz w:val="22"/>
          <w:szCs w:val="22"/>
          <w:lang w:val="sr-Latn-RS"/>
        </w:rPr>
        <w:t xml:space="preserve"> u kliničkim studijama, ali su </w:t>
      </w:r>
      <w:r w:rsidR="00AF3070" w:rsidRPr="00E00E21">
        <w:rPr>
          <w:sz w:val="22"/>
          <w:szCs w:val="22"/>
          <w:lang w:val="sr-Latn-RS"/>
        </w:rPr>
        <w:t>zabilježene</w:t>
      </w:r>
      <w:r w:rsidRPr="00E00E21">
        <w:rPr>
          <w:sz w:val="22"/>
          <w:szCs w:val="22"/>
          <w:lang w:val="sr-Latn-RS"/>
        </w:rPr>
        <w:t xml:space="preserve"> kod pacova tokom studija toksičnosti ponovljenih doza, pri stepenu izloženosti većem od kliničkog i sa mogućim značajem za kliničku prim</w:t>
      </w:r>
      <w:r w:rsidR="001759AF" w:rsidRPr="00E00E21">
        <w:rPr>
          <w:sz w:val="22"/>
          <w:szCs w:val="22"/>
          <w:lang w:val="sr-Latn-RS"/>
        </w:rPr>
        <w:t>j</w:t>
      </w:r>
      <w:r w:rsidRPr="00E00E21">
        <w:rPr>
          <w:sz w:val="22"/>
          <w:szCs w:val="22"/>
          <w:lang w:val="sr-Latn-RS"/>
        </w:rPr>
        <w:t>enu, bile su poremećaji oka koji se karakterišu oticanjem/degeneracijom supkapsularnog tkiva sočiva. Ovi efekti su bili d</w:t>
      </w:r>
      <w:r w:rsidR="001759AF" w:rsidRPr="00E00E21">
        <w:rPr>
          <w:sz w:val="22"/>
          <w:szCs w:val="22"/>
          <w:lang w:val="sr-Latn-RS"/>
        </w:rPr>
        <w:t>j</w:t>
      </w:r>
      <w:r w:rsidRPr="00E00E21">
        <w:rPr>
          <w:sz w:val="22"/>
          <w:szCs w:val="22"/>
          <w:lang w:val="sr-Latn-RS"/>
        </w:rPr>
        <w:t>elimično reverzibilni nakon 8 ned</w:t>
      </w:r>
      <w:r w:rsidR="0037134E" w:rsidRPr="00E00E21">
        <w:rPr>
          <w:sz w:val="22"/>
          <w:szCs w:val="22"/>
          <w:lang w:val="sr-Latn-RS"/>
        </w:rPr>
        <w:t>j</w:t>
      </w:r>
      <w:r w:rsidRPr="00E00E21">
        <w:rPr>
          <w:sz w:val="22"/>
          <w:szCs w:val="22"/>
          <w:lang w:val="sr-Latn-RS"/>
        </w:rPr>
        <w:t>elja.</w:t>
      </w:r>
    </w:p>
    <w:p w14:paraId="0362FAAC" w14:textId="0782E6FD" w:rsidR="001759AF" w:rsidRPr="00E00E21" w:rsidRDefault="00F946DA" w:rsidP="00E93932">
      <w:pPr>
        <w:tabs>
          <w:tab w:val="left" w:pos="540"/>
          <w:tab w:val="left" w:pos="569"/>
        </w:tabs>
        <w:jc w:val="both"/>
        <w:rPr>
          <w:sz w:val="22"/>
          <w:szCs w:val="22"/>
          <w:lang w:val="sr-Latn-RS"/>
        </w:rPr>
      </w:pPr>
      <w:r w:rsidRPr="00E00E21">
        <w:rPr>
          <w:sz w:val="22"/>
          <w:szCs w:val="22"/>
          <w:lang w:val="sr-Latn-RS"/>
        </w:rPr>
        <w:t xml:space="preserve"> </w:t>
      </w:r>
    </w:p>
    <w:p w14:paraId="7A24186D" w14:textId="77777777" w:rsidR="00F52F41" w:rsidRPr="00E00E21" w:rsidRDefault="00F946DA" w:rsidP="00E93932">
      <w:pPr>
        <w:tabs>
          <w:tab w:val="left" w:pos="540"/>
          <w:tab w:val="left" w:pos="569"/>
        </w:tabs>
        <w:jc w:val="both"/>
        <w:rPr>
          <w:sz w:val="22"/>
          <w:szCs w:val="22"/>
          <w:lang w:val="sr-Latn-RS"/>
        </w:rPr>
      </w:pPr>
      <w:r w:rsidRPr="00E00E21">
        <w:rPr>
          <w:sz w:val="22"/>
          <w:szCs w:val="22"/>
          <w:lang w:val="sr-Latn-RS"/>
        </w:rPr>
        <w:t>Studije karcinogenosti ni</w:t>
      </w:r>
      <w:r w:rsidR="0037134E" w:rsidRPr="00E00E21">
        <w:rPr>
          <w:sz w:val="22"/>
          <w:szCs w:val="22"/>
          <w:lang w:val="sr-Latn-RS"/>
        </w:rPr>
        <w:t>je</w:t>
      </w:r>
      <w:r w:rsidRPr="00E00E21">
        <w:rPr>
          <w:sz w:val="22"/>
          <w:szCs w:val="22"/>
          <w:lang w:val="sr-Latn-RS"/>
        </w:rPr>
        <w:t xml:space="preserve">su sprovedene sa kabazitakselom. </w:t>
      </w:r>
    </w:p>
    <w:p w14:paraId="29DBDC59" w14:textId="77777777" w:rsidR="00F52F41" w:rsidRPr="00E00E21" w:rsidRDefault="00F52F41" w:rsidP="00E93932">
      <w:pPr>
        <w:tabs>
          <w:tab w:val="left" w:pos="540"/>
          <w:tab w:val="left" w:pos="569"/>
        </w:tabs>
        <w:jc w:val="both"/>
        <w:rPr>
          <w:sz w:val="22"/>
          <w:szCs w:val="22"/>
          <w:lang w:val="sr-Latn-RS"/>
        </w:rPr>
      </w:pPr>
    </w:p>
    <w:p w14:paraId="0737540E" w14:textId="603D470E" w:rsidR="001759AF" w:rsidRPr="00E00E21" w:rsidRDefault="00F946DA" w:rsidP="00E93932">
      <w:pPr>
        <w:tabs>
          <w:tab w:val="left" w:pos="540"/>
          <w:tab w:val="left" w:pos="569"/>
        </w:tabs>
        <w:jc w:val="both"/>
        <w:rPr>
          <w:sz w:val="22"/>
          <w:szCs w:val="22"/>
          <w:lang w:val="sr-Latn-RS"/>
        </w:rPr>
      </w:pPr>
      <w:r w:rsidRPr="00E00E21">
        <w:rPr>
          <w:sz w:val="22"/>
          <w:szCs w:val="22"/>
          <w:lang w:val="sr-Latn-RS"/>
        </w:rPr>
        <w:t xml:space="preserve">Kabazitaksel nije indukovao mutacije u testu bakterijske reverzne mutacije (Ames test). Nije se pokazao klastogenim u </w:t>
      </w:r>
      <w:r w:rsidRPr="00E00E21">
        <w:rPr>
          <w:i/>
          <w:sz w:val="22"/>
          <w:szCs w:val="22"/>
          <w:lang w:val="sr-Latn-RS"/>
        </w:rPr>
        <w:t xml:space="preserve">in vitro </w:t>
      </w:r>
      <w:r w:rsidRPr="00E00E21">
        <w:rPr>
          <w:sz w:val="22"/>
          <w:szCs w:val="22"/>
          <w:lang w:val="sr-Latn-RS"/>
        </w:rPr>
        <w:t xml:space="preserve">testovima na humanim limfocitima (nije bilo indukcije strukturalnih hromozomskih aberacija, ali se povećao broj poliploidnih ćelija), a indukovao je povećanje mikronukleusa kod ispitivanja na pacovima </w:t>
      </w:r>
      <w:r w:rsidRPr="00E00E21">
        <w:rPr>
          <w:i/>
          <w:sz w:val="22"/>
          <w:szCs w:val="22"/>
          <w:lang w:val="sr-Latn-RS"/>
        </w:rPr>
        <w:t>in vivo</w:t>
      </w:r>
      <w:r w:rsidRPr="00E00E21">
        <w:rPr>
          <w:sz w:val="22"/>
          <w:szCs w:val="22"/>
          <w:lang w:val="sr-Latn-RS"/>
        </w:rPr>
        <w:t xml:space="preserve">. Međutim, nalazi genotoksičnosti inherentni su </w:t>
      </w:r>
      <w:r w:rsidRPr="00E00E21">
        <w:rPr>
          <w:sz w:val="22"/>
          <w:szCs w:val="22"/>
          <w:lang w:val="sr-Latn-RS"/>
        </w:rPr>
        <w:lastRenderedPageBreak/>
        <w:t xml:space="preserve">farmakološkoj aktivnosti supstance (inhibicija depolimerizacije tubulina) i zapaženi su kod ljekova koji imaju istu farmakološku aktivnost. </w:t>
      </w:r>
    </w:p>
    <w:p w14:paraId="424BF28E" w14:textId="77777777" w:rsidR="0037134E" w:rsidRPr="00E00E21" w:rsidRDefault="0037134E" w:rsidP="00E93932">
      <w:pPr>
        <w:tabs>
          <w:tab w:val="left" w:pos="540"/>
          <w:tab w:val="left" w:pos="569"/>
        </w:tabs>
        <w:jc w:val="both"/>
        <w:rPr>
          <w:sz w:val="22"/>
          <w:szCs w:val="22"/>
          <w:lang w:val="sr-Latn-RS"/>
        </w:rPr>
      </w:pPr>
    </w:p>
    <w:p w14:paraId="48BAC659" w14:textId="2B8E2739" w:rsidR="0037134E" w:rsidRPr="00E00E21" w:rsidRDefault="00F946DA" w:rsidP="004F26A0">
      <w:pPr>
        <w:tabs>
          <w:tab w:val="left" w:pos="540"/>
          <w:tab w:val="left" w:pos="569"/>
        </w:tabs>
        <w:jc w:val="both"/>
        <w:rPr>
          <w:sz w:val="22"/>
          <w:szCs w:val="22"/>
          <w:lang w:val="sr-Latn-RS"/>
        </w:rPr>
      </w:pPr>
      <w:r w:rsidRPr="00E00E21">
        <w:rPr>
          <w:sz w:val="22"/>
          <w:szCs w:val="22"/>
          <w:lang w:val="sr-Latn-RS"/>
        </w:rPr>
        <w:t>Kabazitaksel nije uticao na sposobnost parenja ili plodnost tretiranih mužjaka pacova. Međutim, u studijama toksičnosti ponovljenih doza</w:t>
      </w:r>
      <w:r w:rsidR="0037134E" w:rsidRPr="00E00E21">
        <w:rPr>
          <w:sz w:val="22"/>
          <w:szCs w:val="22"/>
          <w:lang w:val="sr-Latn-RS"/>
        </w:rPr>
        <w:t xml:space="preserve">. </w:t>
      </w:r>
      <w:r w:rsidR="00356EDC" w:rsidRPr="00E00E21">
        <w:rPr>
          <w:sz w:val="22"/>
          <w:szCs w:val="22"/>
          <w:lang w:val="sr-Latn-RS"/>
        </w:rPr>
        <w:t>Zabilježen</w:t>
      </w:r>
      <w:r w:rsidRPr="00E00E21">
        <w:rPr>
          <w:sz w:val="22"/>
          <w:szCs w:val="22"/>
          <w:lang w:val="sr-Latn-RS"/>
        </w:rPr>
        <w:t>a je degeneracija s</w:t>
      </w:r>
      <w:r w:rsidR="001759AF" w:rsidRPr="00E00E21">
        <w:rPr>
          <w:sz w:val="22"/>
          <w:szCs w:val="22"/>
          <w:lang w:val="sr-Latn-RS"/>
        </w:rPr>
        <w:t>j</w:t>
      </w:r>
      <w:r w:rsidRPr="00E00E21">
        <w:rPr>
          <w:sz w:val="22"/>
          <w:szCs w:val="22"/>
          <w:lang w:val="sr-Latn-RS"/>
        </w:rPr>
        <w:t>emenih vezikula i atrofija s</w:t>
      </w:r>
      <w:r w:rsidR="0037134E" w:rsidRPr="00E00E21">
        <w:rPr>
          <w:sz w:val="22"/>
          <w:szCs w:val="22"/>
          <w:lang w:val="sr-Latn-RS"/>
        </w:rPr>
        <w:t>j</w:t>
      </w:r>
      <w:r w:rsidRPr="00E00E21">
        <w:rPr>
          <w:sz w:val="22"/>
          <w:szCs w:val="22"/>
          <w:lang w:val="sr-Latn-RS"/>
        </w:rPr>
        <w:t xml:space="preserve">emenih tubula u testisima pacova i testikularna degeneracija (minimalno nekroza jedne epitelne ćelije u epididimisu) kod pasa. Izloženost lijeku kod životinja bila je slična ili niža od one kod ljudi koji primaju klinički relevantne doze kabazitaksela. </w:t>
      </w:r>
    </w:p>
    <w:p w14:paraId="0208EEEB" w14:textId="77777777" w:rsidR="0037134E" w:rsidRPr="00E00E21" w:rsidRDefault="0037134E" w:rsidP="004F26A0">
      <w:pPr>
        <w:tabs>
          <w:tab w:val="left" w:pos="540"/>
          <w:tab w:val="left" w:pos="569"/>
        </w:tabs>
        <w:jc w:val="both"/>
        <w:rPr>
          <w:sz w:val="22"/>
          <w:szCs w:val="22"/>
          <w:lang w:val="sr-Latn-RS"/>
        </w:rPr>
      </w:pPr>
    </w:p>
    <w:p w14:paraId="0A416039" w14:textId="2F2FD78D" w:rsidR="00F52F41" w:rsidRPr="00E00E21" w:rsidRDefault="00F946DA" w:rsidP="004F26A0">
      <w:pPr>
        <w:tabs>
          <w:tab w:val="left" w:pos="540"/>
          <w:tab w:val="left" w:pos="569"/>
        </w:tabs>
        <w:jc w:val="both"/>
        <w:rPr>
          <w:sz w:val="22"/>
          <w:szCs w:val="22"/>
          <w:lang w:val="sr-Latn-RS"/>
        </w:rPr>
      </w:pPr>
      <w:r w:rsidRPr="00E00E21">
        <w:rPr>
          <w:sz w:val="22"/>
          <w:szCs w:val="22"/>
          <w:lang w:val="sr-Latn-RS"/>
        </w:rPr>
        <w:t xml:space="preserve">Kabazitaksel je kod ženki pacova tretiranih intravenski jednom dnevno od 6. </w:t>
      </w:r>
      <w:r w:rsidR="00970B8B" w:rsidRPr="00E00E21">
        <w:rPr>
          <w:sz w:val="22"/>
          <w:szCs w:val="22"/>
          <w:lang w:val="sr-Latn-RS"/>
        </w:rPr>
        <w:t xml:space="preserve">do </w:t>
      </w:r>
      <w:r w:rsidRPr="00E00E21">
        <w:rPr>
          <w:sz w:val="22"/>
          <w:szCs w:val="22"/>
          <w:lang w:val="sr-Latn-RS"/>
        </w:rPr>
        <w:t>17. gestacionog dana indukovao embriofetalnu toksičnost, što je bilo povezano sa toksičnošću za majku i uključivalo smrt fetusa i smanjenu pros</w:t>
      </w:r>
      <w:r w:rsidR="001759AF" w:rsidRPr="00E00E21">
        <w:rPr>
          <w:sz w:val="22"/>
          <w:szCs w:val="22"/>
          <w:lang w:val="sr-Latn-RS"/>
        </w:rPr>
        <w:t>j</w:t>
      </w:r>
      <w:r w:rsidRPr="00E00E21">
        <w:rPr>
          <w:sz w:val="22"/>
          <w:szCs w:val="22"/>
          <w:lang w:val="sr-Latn-RS"/>
        </w:rPr>
        <w:t xml:space="preserve">ečnu težinu fetusa povezanu sa odloženom osifikacijom skeleta. Izloženost lijeku kod životinja bila je niža od one kod ljudi koji primaju klinički relevantne doze kabazitaksela. Pokazalo se da kabazitaksel prolazi placentalnu barijeru kod pacova. </w:t>
      </w:r>
    </w:p>
    <w:p w14:paraId="6BE4F86E" w14:textId="77777777" w:rsidR="00F52F41" w:rsidRPr="00E00E21" w:rsidRDefault="00F52F41" w:rsidP="004F26A0">
      <w:pPr>
        <w:tabs>
          <w:tab w:val="left" w:pos="540"/>
          <w:tab w:val="left" w:pos="569"/>
        </w:tabs>
        <w:jc w:val="both"/>
        <w:rPr>
          <w:sz w:val="22"/>
          <w:szCs w:val="22"/>
          <w:lang w:val="sr-Latn-RS"/>
        </w:rPr>
      </w:pPr>
    </w:p>
    <w:p w14:paraId="70A06012" w14:textId="23B5A32B" w:rsidR="001759AF" w:rsidRPr="00E00E21" w:rsidRDefault="00F946DA" w:rsidP="004F26A0">
      <w:pPr>
        <w:tabs>
          <w:tab w:val="left" w:pos="540"/>
          <w:tab w:val="left" w:pos="569"/>
        </w:tabs>
        <w:jc w:val="both"/>
        <w:rPr>
          <w:sz w:val="22"/>
          <w:szCs w:val="22"/>
          <w:lang w:val="sr-Latn-RS"/>
        </w:rPr>
      </w:pPr>
      <w:r w:rsidRPr="00E00E21">
        <w:rPr>
          <w:sz w:val="22"/>
          <w:szCs w:val="22"/>
          <w:lang w:val="sr-Latn-RS"/>
        </w:rPr>
        <w:t>Kod pacova, kabazitaksel i njegovi metaboliti izlučuju se u majčino mljeko u količini do 1,5% prim</w:t>
      </w:r>
      <w:r w:rsidR="0037134E" w:rsidRPr="00E00E21">
        <w:rPr>
          <w:sz w:val="22"/>
          <w:szCs w:val="22"/>
          <w:lang w:val="sr-Latn-RS"/>
        </w:rPr>
        <w:t>ij</w:t>
      </w:r>
      <w:r w:rsidRPr="00E00E21">
        <w:rPr>
          <w:sz w:val="22"/>
          <w:szCs w:val="22"/>
          <w:lang w:val="sr-Latn-RS"/>
        </w:rPr>
        <w:t xml:space="preserve">enjene doze tokom 24 sata. </w:t>
      </w:r>
    </w:p>
    <w:p w14:paraId="53927B37" w14:textId="77777777" w:rsidR="001759AF" w:rsidRPr="00E00E21" w:rsidRDefault="001759AF" w:rsidP="00E630C6">
      <w:pPr>
        <w:tabs>
          <w:tab w:val="left" w:pos="540"/>
          <w:tab w:val="left" w:pos="569"/>
        </w:tabs>
        <w:jc w:val="both"/>
        <w:rPr>
          <w:sz w:val="22"/>
          <w:szCs w:val="22"/>
          <w:u w:val="single"/>
          <w:lang w:val="sr-Latn-RS"/>
        </w:rPr>
      </w:pPr>
    </w:p>
    <w:p w14:paraId="358DBD61" w14:textId="77777777" w:rsidR="001759AF" w:rsidRPr="00E00E21" w:rsidRDefault="00F946DA" w:rsidP="00E630C6">
      <w:pPr>
        <w:tabs>
          <w:tab w:val="left" w:pos="540"/>
          <w:tab w:val="left" w:pos="569"/>
        </w:tabs>
        <w:jc w:val="both"/>
        <w:rPr>
          <w:sz w:val="22"/>
          <w:szCs w:val="22"/>
          <w:lang w:val="sr-Latn-RS"/>
        </w:rPr>
      </w:pPr>
      <w:r w:rsidRPr="00E00E21">
        <w:rPr>
          <w:sz w:val="22"/>
          <w:szCs w:val="22"/>
          <w:u w:val="single"/>
          <w:lang w:val="sr-Latn-RS"/>
        </w:rPr>
        <w:t>Proc</w:t>
      </w:r>
      <w:r w:rsidR="001759AF" w:rsidRPr="00E00E21">
        <w:rPr>
          <w:sz w:val="22"/>
          <w:szCs w:val="22"/>
          <w:u w:val="single"/>
          <w:lang w:val="sr-Latn-RS"/>
        </w:rPr>
        <w:t>j</w:t>
      </w:r>
      <w:r w:rsidRPr="00E00E21">
        <w:rPr>
          <w:sz w:val="22"/>
          <w:szCs w:val="22"/>
          <w:u w:val="single"/>
          <w:lang w:val="sr-Latn-RS"/>
        </w:rPr>
        <w:t>ena rizika za okolinu</w:t>
      </w:r>
      <w:r w:rsidRPr="00E00E21">
        <w:rPr>
          <w:sz w:val="22"/>
          <w:szCs w:val="22"/>
          <w:lang w:val="sr-Latn-RS"/>
        </w:rPr>
        <w:t xml:space="preserve"> </w:t>
      </w:r>
    </w:p>
    <w:p w14:paraId="19A70842" w14:textId="610EF46E" w:rsidR="00396DFD" w:rsidRPr="00E00E21" w:rsidRDefault="00F946DA" w:rsidP="00E93932">
      <w:pPr>
        <w:tabs>
          <w:tab w:val="left" w:pos="540"/>
          <w:tab w:val="left" w:pos="569"/>
        </w:tabs>
        <w:jc w:val="both"/>
        <w:rPr>
          <w:sz w:val="22"/>
          <w:szCs w:val="22"/>
          <w:lang w:val="sr-Latn-RS"/>
        </w:rPr>
      </w:pPr>
      <w:r w:rsidRPr="00E00E21">
        <w:rPr>
          <w:sz w:val="22"/>
          <w:szCs w:val="22"/>
          <w:lang w:val="sr-Latn-RS"/>
        </w:rPr>
        <w:t>Rezultati studija proc</w:t>
      </w:r>
      <w:r w:rsidR="001759AF" w:rsidRPr="00E00E21">
        <w:rPr>
          <w:sz w:val="22"/>
          <w:szCs w:val="22"/>
          <w:lang w:val="sr-Latn-RS"/>
        </w:rPr>
        <w:t>j</w:t>
      </w:r>
      <w:r w:rsidRPr="00E00E21">
        <w:rPr>
          <w:sz w:val="22"/>
          <w:szCs w:val="22"/>
          <w:lang w:val="sr-Latn-RS"/>
        </w:rPr>
        <w:t>ene rizika za okolinu pokazuju da prim</w:t>
      </w:r>
      <w:r w:rsidR="0037134E" w:rsidRPr="00E00E21">
        <w:rPr>
          <w:sz w:val="22"/>
          <w:szCs w:val="22"/>
          <w:lang w:val="sr-Latn-RS"/>
        </w:rPr>
        <w:t>j</w:t>
      </w:r>
      <w:r w:rsidRPr="00E00E21">
        <w:rPr>
          <w:sz w:val="22"/>
          <w:szCs w:val="22"/>
          <w:lang w:val="sr-Latn-RS"/>
        </w:rPr>
        <w:t xml:space="preserve">ena lijeka Kabazitaksel EVER Pharma ne predstavlja značajan rizik za vode u okolini (za uklanjanje neiskorišćenog lijeka </w:t>
      </w:r>
      <w:r w:rsidR="0037134E" w:rsidRPr="00E00E21">
        <w:rPr>
          <w:sz w:val="22"/>
          <w:szCs w:val="22"/>
          <w:lang w:val="sr-Latn-RS"/>
        </w:rPr>
        <w:t xml:space="preserve">vidjeti </w:t>
      </w:r>
      <w:r w:rsidR="00F94684" w:rsidRPr="00E00E21">
        <w:rPr>
          <w:sz w:val="22"/>
          <w:szCs w:val="22"/>
          <w:lang w:val="sr-Latn-RS"/>
        </w:rPr>
        <w:t>dio</w:t>
      </w:r>
      <w:r w:rsidRPr="00E00E21">
        <w:rPr>
          <w:sz w:val="22"/>
          <w:szCs w:val="22"/>
          <w:lang w:val="sr-Latn-RS"/>
        </w:rPr>
        <w:t xml:space="preserve"> 6.6).</w:t>
      </w:r>
    </w:p>
    <w:p w14:paraId="38AE5707" w14:textId="77777777" w:rsidR="00000498" w:rsidRPr="00E00E21" w:rsidRDefault="00000498" w:rsidP="00480FB1">
      <w:pPr>
        <w:tabs>
          <w:tab w:val="left" w:pos="540"/>
          <w:tab w:val="left" w:pos="569"/>
        </w:tabs>
        <w:rPr>
          <w:b/>
          <w:bCs/>
          <w:sz w:val="22"/>
          <w:szCs w:val="22"/>
          <w:lang w:val="sr-Latn-RS"/>
        </w:rPr>
      </w:pPr>
    </w:p>
    <w:p w14:paraId="3CCCB427" w14:textId="0BA0F39C" w:rsidR="0072020E" w:rsidRPr="00E00E21" w:rsidRDefault="0072020E" w:rsidP="00480FB1">
      <w:pPr>
        <w:tabs>
          <w:tab w:val="left" w:pos="540"/>
          <w:tab w:val="left" w:pos="569"/>
        </w:tabs>
        <w:rPr>
          <w:b/>
          <w:bCs/>
          <w:sz w:val="22"/>
          <w:szCs w:val="22"/>
          <w:lang w:val="sr-Latn-RS"/>
        </w:rPr>
      </w:pPr>
      <w:r w:rsidRPr="00E00E21">
        <w:rPr>
          <w:b/>
          <w:bCs/>
          <w:sz w:val="22"/>
          <w:szCs w:val="22"/>
          <w:lang w:val="sr-Latn-RS"/>
        </w:rPr>
        <w:t xml:space="preserve">6. </w:t>
      </w:r>
      <w:r w:rsidR="00480FB1" w:rsidRPr="00E00E21">
        <w:rPr>
          <w:b/>
          <w:bCs/>
          <w:sz w:val="22"/>
          <w:szCs w:val="22"/>
          <w:lang w:val="sr-Latn-RS"/>
        </w:rPr>
        <w:tab/>
      </w:r>
      <w:r w:rsidRPr="00E00E21">
        <w:rPr>
          <w:b/>
          <w:bCs/>
          <w:sz w:val="22"/>
          <w:szCs w:val="22"/>
          <w:lang w:val="sr-Latn-RS"/>
        </w:rPr>
        <w:t>FARMACEUTSKI PODACI</w:t>
      </w:r>
    </w:p>
    <w:p w14:paraId="14281DA7" w14:textId="77777777" w:rsidR="00836B35" w:rsidRPr="00E00E21" w:rsidRDefault="00836B35" w:rsidP="00480FB1">
      <w:pPr>
        <w:tabs>
          <w:tab w:val="left" w:pos="540"/>
          <w:tab w:val="left" w:pos="569"/>
        </w:tabs>
        <w:rPr>
          <w:bCs/>
          <w:sz w:val="22"/>
          <w:szCs w:val="22"/>
          <w:lang w:val="sr-Latn-RS"/>
        </w:rPr>
      </w:pPr>
    </w:p>
    <w:p w14:paraId="62064F35" w14:textId="77777777" w:rsidR="0072020E" w:rsidRPr="00E00E21" w:rsidRDefault="0072020E" w:rsidP="00480FB1">
      <w:pPr>
        <w:tabs>
          <w:tab w:val="left" w:pos="540"/>
          <w:tab w:val="left" w:pos="569"/>
        </w:tabs>
        <w:rPr>
          <w:b/>
          <w:bCs/>
          <w:sz w:val="22"/>
          <w:szCs w:val="22"/>
          <w:lang w:val="sr-Latn-RS"/>
        </w:rPr>
      </w:pPr>
      <w:r w:rsidRPr="00E00E21">
        <w:rPr>
          <w:b/>
          <w:bCs/>
          <w:sz w:val="22"/>
          <w:szCs w:val="22"/>
          <w:lang w:val="sr-Latn-RS"/>
        </w:rPr>
        <w:t xml:space="preserve">6.1. </w:t>
      </w:r>
      <w:r w:rsidR="00480FB1" w:rsidRPr="00E00E21">
        <w:rPr>
          <w:b/>
          <w:bCs/>
          <w:sz w:val="22"/>
          <w:szCs w:val="22"/>
          <w:lang w:val="sr-Latn-RS"/>
        </w:rPr>
        <w:tab/>
      </w:r>
      <w:r w:rsidRPr="00E00E21">
        <w:rPr>
          <w:b/>
          <w:bCs/>
          <w:sz w:val="22"/>
          <w:szCs w:val="22"/>
          <w:lang w:val="sr-Latn-RS"/>
        </w:rPr>
        <w:t>Lista pomoćnih supstanci</w:t>
      </w:r>
      <w:r w:rsidR="002E0135" w:rsidRPr="00E00E21">
        <w:rPr>
          <w:b/>
          <w:bCs/>
          <w:sz w:val="22"/>
          <w:szCs w:val="22"/>
          <w:lang w:val="sr-Latn-RS"/>
        </w:rPr>
        <w:t xml:space="preserve"> (ekscipijenasa)</w:t>
      </w:r>
    </w:p>
    <w:p w14:paraId="27197F4B" w14:textId="77777777" w:rsidR="000D5E0D" w:rsidRPr="00E00E21" w:rsidRDefault="000D5E0D" w:rsidP="001759AF">
      <w:pPr>
        <w:tabs>
          <w:tab w:val="left" w:pos="540"/>
          <w:tab w:val="left" w:pos="569"/>
        </w:tabs>
        <w:rPr>
          <w:bCs/>
          <w:sz w:val="22"/>
          <w:szCs w:val="22"/>
          <w:lang w:val="sr-Latn-RS"/>
        </w:rPr>
      </w:pPr>
    </w:p>
    <w:p w14:paraId="18352E53" w14:textId="77777777" w:rsidR="001759AF" w:rsidRPr="00E00E21" w:rsidRDefault="001759AF" w:rsidP="001759AF">
      <w:pPr>
        <w:tabs>
          <w:tab w:val="left" w:pos="540"/>
          <w:tab w:val="left" w:pos="569"/>
        </w:tabs>
        <w:rPr>
          <w:bCs/>
          <w:sz w:val="22"/>
          <w:szCs w:val="22"/>
          <w:lang w:val="sr-Latn-RS"/>
        </w:rPr>
      </w:pPr>
      <w:r w:rsidRPr="00E00E21">
        <w:rPr>
          <w:bCs/>
          <w:sz w:val="22"/>
          <w:szCs w:val="22"/>
          <w:lang w:val="sr-Latn-RS"/>
        </w:rPr>
        <w:t xml:space="preserve">polisorbat 80 </w:t>
      </w:r>
    </w:p>
    <w:p w14:paraId="4B3EE3F8" w14:textId="77777777" w:rsidR="001759AF" w:rsidRPr="00E00E21" w:rsidRDefault="001759AF" w:rsidP="001759AF">
      <w:pPr>
        <w:tabs>
          <w:tab w:val="left" w:pos="540"/>
          <w:tab w:val="left" w:pos="569"/>
        </w:tabs>
        <w:rPr>
          <w:bCs/>
          <w:sz w:val="22"/>
          <w:szCs w:val="22"/>
          <w:lang w:val="sr-Latn-RS"/>
        </w:rPr>
      </w:pPr>
      <w:r w:rsidRPr="00E00E21">
        <w:rPr>
          <w:bCs/>
          <w:sz w:val="22"/>
          <w:szCs w:val="22"/>
          <w:lang w:val="sr-Latn-RS"/>
        </w:rPr>
        <w:t>etanol, bezvodni</w:t>
      </w:r>
    </w:p>
    <w:p w14:paraId="46BC7550" w14:textId="42D1A791" w:rsidR="001759AF" w:rsidRPr="00E00E21" w:rsidRDefault="001759AF" w:rsidP="001759AF">
      <w:pPr>
        <w:tabs>
          <w:tab w:val="left" w:pos="540"/>
          <w:tab w:val="left" w:pos="569"/>
        </w:tabs>
        <w:rPr>
          <w:bCs/>
          <w:sz w:val="22"/>
          <w:szCs w:val="22"/>
          <w:lang w:val="sr-Latn-RS"/>
        </w:rPr>
      </w:pPr>
      <w:r w:rsidRPr="00E00E21">
        <w:rPr>
          <w:bCs/>
          <w:sz w:val="22"/>
          <w:szCs w:val="22"/>
          <w:lang w:val="sr-Latn-RS"/>
        </w:rPr>
        <w:t>makrogol</w:t>
      </w:r>
      <w:r w:rsidR="000221DC" w:rsidRPr="00E00E21">
        <w:rPr>
          <w:bCs/>
          <w:sz w:val="22"/>
          <w:szCs w:val="22"/>
          <w:lang w:val="sr-Latn-RS"/>
        </w:rPr>
        <w:t xml:space="preserve"> </w:t>
      </w:r>
    </w:p>
    <w:p w14:paraId="46ED5E32" w14:textId="77777777" w:rsidR="0072020E" w:rsidRPr="00E00E21" w:rsidRDefault="001759AF" w:rsidP="001759AF">
      <w:pPr>
        <w:tabs>
          <w:tab w:val="left" w:pos="540"/>
          <w:tab w:val="left" w:pos="569"/>
        </w:tabs>
        <w:rPr>
          <w:bCs/>
          <w:sz w:val="22"/>
          <w:szCs w:val="22"/>
          <w:lang w:val="sr-Latn-RS"/>
        </w:rPr>
      </w:pPr>
      <w:r w:rsidRPr="00E00E21">
        <w:rPr>
          <w:bCs/>
          <w:sz w:val="22"/>
          <w:szCs w:val="22"/>
          <w:lang w:val="sr-Latn-RS"/>
        </w:rPr>
        <w:t>citratna kiselina</w:t>
      </w:r>
      <w:r w:rsidR="000D5E0D" w:rsidRPr="00E00E21">
        <w:rPr>
          <w:bCs/>
          <w:sz w:val="22"/>
          <w:szCs w:val="22"/>
          <w:lang w:val="sr-Latn-RS"/>
        </w:rPr>
        <w:t>.</w:t>
      </w:r>
    </w:p>
    <w:p w14:paraId="1B437FBB" w14:textId="77777777" w:rsidR="000D5E0D" w:rsidRPr="00E00E21" w:rsidRDefault="000D5E0D" w:rsidP="001759AF">
      <w:pPr>
        <w:tabs>
          <w:tab w:val="left" w:pos="540"/>
          <w:tab w:val="left" w:pos="569"/>
        </w:tabs>
        <w:rPr>
          <w:bCs/>
          <w:sz w:val="22"/>
          <w:szCs w:val="22"/>
          <w:lang w:val="sr-Latn-RS"/>
        </w:rPr>
      </w:pPr>
    </w:p>
    <w:p w14:paraId="0787DB10" w14:textId="77777777" w:rsidR="0072020E" w:rsidRPr="00E00E21" w:rsidRDefault="0072020E" w:rsidP="00480FB1">
      <w:pPr>
        <w:tabs>
          <w:tab w:val="left" w:pos="540"/>
          <w:tab w:val="left" w:pos="569"/>
        </w:tabs>
        <w:rPr>
          <w:b/>
          <w:bCs/>
          <w:sz w:val="22"/>
          <w:szCs w:val="22"/>
          <w:lang w:val="sr-Latn-RS"/>
        </w:rPr>
      </w:pPr>
      <w:r w:rsidRPr="00E00E21">
        <w:rPr>
          <w:b/>
          <w:bCs/>
          <w:sz w:val="22"/>
          <w:szCs w:val="22"/>
          <w:lang w:val="sr-Latn-RS"/>
        </w:rPr>
        <w:t xml:space="preserve">6.2. </w:t>
      </w:r>
      <w:r w:rsidR="00480FB1" w:rsidRPr="00E00E21">
        <w:rPr>
          <w:b/>
          <w:bCs/>
          <w:sz w:val="22"/>
          <w:szCs w:val="22"/>
          <w:lang w:val="sr-Latn-RS"/>
        </w:rPr>
        <w:tab/>
      </w:r>
      <w:r w:rsidRPr="00E00E21">
        <w:rPr>
          <w:b/>
          <w:bCs/>
          <w:sz w:val="22"/>
          <w:szCs w:val="22"/>
          <w:lang w:val="sr-Latn-RS"/>
        </w:rPr>
        <w:t>Inkompatibilnost</w:t>
      </w:r>
      <w:r w:rsidR="002846DB" w:rsidRPr="00E00E21">
        <w:rPr>
          <w:b/>
          <w:bCs/>
          <w:sz w:val="22"/>
          <w:szCs w:val="22"/>
          <w:lang w:val="sr-Latn-RS"/>
        </w:rPr>
        <w:t>i</w:t>
      </w:r>
    </w:p>
    <w:p w14:paraId="01EBBC26" w14:textId="77777777" w:rsidR="000D5E0D" w:rsidRPr="00E00E21" w:rsidRDefault="000D5E0D" w:rsidP="000D5E0D">
      <w:pPr>
        <w:tabs>
          <w:tab w:val="left" w:pos="540"/>
          <w:tab w:val="left" w:pos="569"/>
        </w:tabs>
        <w:jc w:val="both"/>
        <w:rPr>
          <w:bCs/>
          <w:sz w:val="22"/>
          <w:szCs w:val="22"/>
          <w:lang w:val="sr-Latn-RS"/>
        </w:rPr>
      </w:pPr>
    </w:p>
    <w:p w14:paraId="4B9DAE48" w14:textId="77777777" w:rsidR="001759AF" w:rsidRPr="00E00E21" w:rsidRDefault="000D5E0D" w:rsidP="000D5E0D">
      <w:pPr>
        <w:tabs>
          <w:tab w:val="left" w:pos="540"/>
          <w:tab w:val="left" w:pos="569"/>
        </w:tabs>
        <w:jc w:val="both"/>
        <w:rPr>
          <w:bCs/>
          <w:sz w:val="22"/>
          <w:szCs w:val="22"/>
          <w:lang w:val="sr-Latn-RS"/>
        </w:rPr>
      </w:pPr>
      <w:r w:rsidRPr="00E00E21">
        <w:rPr>
          <w:bCs/>
          <w:sz w:val="22"/>
          <w:szCs w:val="22"/>
          <w:lang w:val="sr-Latn-RS"/>
        </w:rPr>
        <w:t>Ovaj l</w:t>
      </w:r>
      <w:r w:rsidR="001759AF" w:rsidRPr="00E00E21">
        <w:rPr>
          <w:bCs/>
          <w:sz w:val="22"/>
          <w:szCs w:val="22"/>
          <w:lang w:val="sr-Latn-RS"/>
        </w:rPr>
        <w:t>ijek se ne smije miješati s</w:t>
      </w:r>
      <w:r w:rsidRPr="00E00E21">
        <w:rPr>
          <w:bCs/>
          <w:sz w:val="22"/>
          <w:szCs w:val="22"/>
          <w:lang w:val="sr-Latn-RS"/>
        </w:rPr>
        <w:t>a</w:t>
      </w:r>
      <w:r w:rsidR="001759AF" w:rsidRPr="00E00E21">
        <w:rPr>
          <w:bCs/>
          <w:sz w:val="22"/>
          <w:szCs w:val="22"/>
          <w:lang w:val="sr-Latn-RS"/>
        </w:rPr>
        <w:t xml:space="preserve"> drugim ljekovima osim onih navedenih u dijelu 6.6.</w:t>
      </w:r>
    </w:p>
    <w:p w14:paraId="665957A5" w14:textId="77777777" w:rsidR="00F52F41" w:rsidRPr="00E00E21" w:rsidRDefault="00F52F41" w:rsidP="000D5E0D">
      <w:pPr>
        <w:tabs>
          <w:tab w:val="left" w:pos="540"/>
          <w:tab w:val="left" w:pos="569"/>
        </w:tabs>
        <w:jc w:val="both"/>
        <w:rPr>
          <w:bCs/>
          <w:sz w:val="22"/>
          <w:szCs w:val="22"/>
          <w:lang w:val="sr-Latn-RS"/>
        </w:rPr>
      </w:pPr>
    </w:p>
    <w:p w14:paraId="7B33EE00" w14:textId="77777777" w:rsidR="000D5E0D" w:rsidRPr="00E00E21" w:rsidRDefault="000D5E0D" w:rsidP="000D5E0D">
      <w:pPr>
        <w:tabs>
          <w:tab w:val="left" w:pos="540"/>
          <w:tab w:val="left" w:pos="569"/>
        </w:tabs>
        <w:jc w:val="both"/>
        <w:rPr>
          <w:bCs/>
          <w:sz w:val="22"/>
          <w:szCs w:val="22"/>
          <w:lang w:val="sr-Latn-RS"/>
        </w:rPr>
      </w:pPr>
      <w:r w:rsidRPr="00E00E21">
        <w:rPr>
          <w:bCs/>
          <w:sz w:val="22"/>
          <w:szCs w:val="22"/>
          <w:lang w:val="sr-Latn-RS"/>
        </w:rPr>
        <w:t>PVC infuzioni kontejneri ili poliuretanski infuzioni setovi ne smiju da se koriste za pripremu i primjenu rastvora za infuziju.</w:t>
      </w:r>
      <w:r w:rsidRPr="00E00E21">
        <w:rPr>
          <w:bCs/>
          <w:sz w:val="22"/>
          <w:szCs w:val="22"/>
          <w:lang w:val="sr-Latn-RS"/>
        </w:rPr>
        <w:cr/>
      </w:r>
    </w:p>
    <w:p w14:paraId="123E71C9" w14:textId="461D4BA6" w:rsidR="0072020E" w:rsidRPr="00E00E21" w:rsidRDefault="0072020E" w:rsidP="000D5E0D">
      <w:pPr>
        <w:tabs>
          <w:tab w:val="left" w:pos="540"/>
          <w:tab w:val="left" w:pos="569"/>
        </w:tabs>
        <w:jc w:val="both"/>
        <w:rPr>
          <w:b/>
          <w:bCs/>
          <w:sz w:val="22"/>
          <w:szCs w:val="22"/>
          <w:lang w:val="sr-Latn-RS"/>
        </w:rPr>
      </w:pPr>
      <w:r w:rsidRPr="00E00E21">
        <w:rPr>
          <w:b/>
          <w:bCs/>
          <w:sz w:val="22"/>
          <w:szCs w:val="22"/>
          <w:lang w:val="sr-Latn-RS"/>
        </w:rPr>
        <w:t>6.3.</w:t>
      </w:r>
      <w:r w:rsidR="00C05DF8" w:rsidRPr="00E00E21">
        <w:rPr>
          <w:b/>
          <w:bCs/>
          <w:sz w:val="22"/>
          <w:szCs w:val="22"/>
          <w:lang w:val="sr-Latn-RS"/>
        </w:rPr>
        <w:t xml:space="preserve"> </w:t>
      </w:r>
      <w:r w:rsidR="00480FB1" w:rsidRPr="00E00E21">
        <w:rPr>
          <w:b/>
          <w:bCs/>
          <w:sz w:val="22"/>
          <w:szCs w:val="22"/>
          <w:lang w:val="sr-Latn-RS"/>
        </w:rPr>
        <w:tab/>
      </w:r>
      <w:r w:rsidRPr="00E00E21">
        <w:rPr>
          <w:b/>
          <w:bCs/>
          <w:sz w:val="22"/>
          <w:szCs w:val="22"/>
          <w:lang w:val="sr-Latn-RS"/>
        </w:rPr>
        <w:t>Rok upotrebe</w:t>
      </w:r>
    </w:p>
    <w:p w14:paraId="009FE232" w14:textId="77777777" w:rsidR="000D5E0D" w:rsidRPr="00E00E21" w:rsidRDefault="000D5E0D" w:rsidP="000D5E0D">
      <w:pPr>
        <w:tabs>
          <w:tab w:val="left" w:pos="540"/>
          <w:tab w:val="left" w:pos="569"/>
        </w:tabs>
        <w:jc w:val="both"/>
        <w:rPr>
          <w:bCs/>
          <w:sz w:val="22"/>
          <w:szCs w:val="22"/>
          <w:lang w:val="sr-Latn-RS"/>
        </w:rPr>
      </w:pPr>
    </w:p>
    <w:p w14:paraId="10B55828" w14:textId="77777777" w:rsidR="001759AF" w:rsidRPr="00E00E21" w:rsidRDefault="000D5E0D" w:rsidP="000D5E0D">
      <w:pPr>
        <w:tabs>
          <w:tab w:val="left" w:pos="540"/>
          <w:tab w:val="left" w:pos="569"/>
        </w:tabs>
        <w:jc w:val="both"/>
        <w:rPr>
          <w:bCs/>
          <w:sz w:val="22"/>
          <w:szCs w:val="22"/>
          <w:u w:val="single"/>
          <w:lang w:val="sr-Latn-RS"/>
        </w:rPr>
      </w:pPr>
      <w:r w:rsidRPr="00E00E21">
        <w:rPr>
          <w:bCs/>
          <w:sz w:val="22"/>
          <w:szCs w:val="22"/>
          <w:u w:val="single"/>
          <w:lang w:val="sr-Latn-RS"/>
        </w:rPr>
        <w:t>Rok upotrebe n</w:t>
      </w:r>
      <w:r w:rsidR="001759AF" w:rsidRPr="00E00E21">
        <w:rPr>
          <w:bCs/>
          <w:sz w:val="22"/>
          <w:szCs w:val="22"/>
          <w:u w:val="single"/>
          <w:lang w:val="sr-Latn-RS"/>
        </w:rPr>
        <w:t>eotvorene bočice</w:t>
      </w:r>
      <w:r w:rsidRPr="00E00E21">
        <w:rPr>
          <w:bCs/>
          <w:sz w:val="22"/>
          <w:szCs w:val="22"/>
          <w:u w:val="single"/>
          <w:lang w:val="sr-Latn-RS"/>
        </w:rPr>
        <w:t>:</w:t>
      </w:r>
    </w:p>
    <w:p w14:paraId="4774B061" w14:textId="77777777" w:rsidR="00F52F41" w:rsidRPr="00E00E21" w:rsidRDefault="00F52F41" w:rsidP="000D5E0D">
      <w:pPr>
        <w:tabs>
          <w:tab w:val="left" w:pos="540"/>
          <w:tab w:val="left" w:pos="569"/>
        </w:tabs>
        <w:jc w:val="both"/>
        <w:rPr>
          <w:bCs/>
          <w:sz w:val="22"/>
          <w:szCs w:val="22"/>
          <w:u w:val="single"/>
          <w:lang w:val="sr-Latn-RS"/>
        </w:rPr>
      </w:pPr>
    </w:p>
    <w:p w14:paraId="1803AEA8" w14:textId="70A1F7EB" w:rsidR="001759AF" w:rsidRPr="00E00E21" w:rsidRDefault="00BA7E55" w:rsidP="000D5E0D">
      <w:pPr>
        <w:tabs>
          <w:tab w:val="left" w:pos="540"/>
          <w:tab w:val="left" w:pos="569"/>
        </w:tabs>
        <w:jc w:val="both"/>
        <w:rPr>
          <w:bCs/>
          <w:sz w:val="22"/>
          <w:szCs w:val="22"/>
          <w:lang w:val="sr-Latn-RS"/>
        </w:rPr>
      </w:pPr>
      <w:r w:rsidRPr="00E00E21">
        <w:rPr>
          <w:bCs/>
          <w:sz w:val="22"/>
          <w:szCs w:val="22"/>
          <w:lang w:val="sr-Latn-RS"/>
        </w:rPr>
        <w:t>3</w:t>
      </w:r>
      <w:r w:rsidR="001759AF" w:rsidRPr="00E00E21">
        <w:rPr>
          <w:bCs/>
          <w:sz w:val="22"/>
          <w:szCs w:val="22"/>
          <w:lang w:val="sr-Latn-RS"/>
        </w:rPr>
        <w:t xml:space="preserve"> godine.</w:t>
      </w:r>
    </w:p>
    <w:p w14:paraId="605023E1" w14:textId="77777777" w:rsidR="000D5E0D" w:rsidRPr="00E00E21" w:rsidRDefault="000D5E0D" w:rsidP="000D5E0D">
      <w:pPr>
        <w:tabs>
          <w:tab w:val="left" w:pos="540"/>
          <w:tab w:val="left" w:pos="569"/>
        </w:tabs>
        <w:jc w:val="both"/>
        <w:rPr>
          <w:bCs/>
          <w:sz w:val="22"/>
          <w:szCs w:val="22"/>
          <w:lang w:val="sr-Latn-RS"/>
        </w:rPr>
      </w:pPr>
    </w:p>
    <w:p w14:paraId="7D7D63CF" w14:textId="77777777" w:rsidR="001759AF" w:rsidRPr="00E00E21" w:rsidRDefault="000D5E0D" w:rsidP="000D5E0D">
      <w:pPr>
        <w:tabs>
          <w:tab w:val="left" w:pos="540"/>
          <w:tab w:val="left" w:pos="569"/>
        </w:tabs>
        <w:jc w:val="both"/>
        <w:rPr>
          <w:bCs/>
          <w:sz w:val="22"/>
          <w:szCs w:val="22"/>
          <w:u w:val="single"/>
          <w:lang w:val="sr-Latn-RS"/>
        </w:rPr>
      </w:pPr>
      <w:r w:rsidRPr="00E00E21">
        <w:rPr>
          <w:bCs/>
          <w:sz w:val="22"/>
          <w:szCs w:val="22"/>
          <w:u w:val="single"/>
          <w:lang w:val="sr-Latn-RS"/>
        </w:rPr>
        <w:t>Rok upotrebe n</w:t>
      </w:r>
      <w:r w:rsidR="001759AF" w:rsidRPr="00E00E21">
        <w:rPr>
          <w:bCs/>
          <w:sz w:val="22"/>
          <w:szCs w:val="22"/>
          <w:u w:val="single"/>
          <w:lang w:val="sr-Latn-RS"/>
        </w:rPr>
        <w:t>akon prvog otvaranja</w:t>
      </w:r>
      <w:r w:rsidRPr="00E00E21">
        <w:rPr>
          <w:bCs/>
          <w:sz w:val="22"/>
          <w:szCs w:val="22"/>
          <w:u w:val="single"/>
          <w:lang w:val="sr-Latn-RS"/>
        </w:rPr>
        <w:t>:</w:t>
      </w:r>
    </w:p>
    <w:p w14:paraId="5C3BCC50" w14:textId="77777777" w:rsidR="00F52F41" w:rsidRPr="00E00E21" w:rsidRDefault="00F52F41" w:rsidP="000D5E0D">
      <w:pPr>
        <w:tabs>
          <w:tab w:val="left" w:pos="540"/>
          <w:tab w:val="left" w:pos="569"/>
        </w:tabs>
        <w:jc w:val="both"/>
        <w:rPr>
          <w:bCs/>
          <w:sz w:val="22"/>
          <w:szCs w:val="22"/>
          <w:u w:val="single"/>
          <w:lang w:val="sr-Latn-RS"/>
        </w:rPr>
      </w:pPr>
    </w:p>
    <w:p w14:paraId="4E6B0877" w14:textId="77777777" w:rsidR="001759AF" w:rsidRPr="00E00E21" w:rsidRDefault="001759AF" w:rsidP="000D5E0D">
      <w:pPr>
        <w:tabs>
          <w:tab w:val="left" w:pos="540"/>
          <w:tab w:val="left" w:pos="569"/>
        </w:tabs>
        <w:jc w:val="both"/>
        <w:rPr>
          <w:bCs/>
          <w:sz w:val="22"/>
          <w:szCs w:val="22"/>
          <w:lang w:val="sr-Latn-RS"/>
        </w:rPr>
      </w:pPr>
      <w:r w:rsidRPr="00E00E21">
        <w:rPr>
          <w:bCs/>
          <w:sz w:val="22"/>
          <w:szCs w:val="22"/>
          <w:lang w:val="sr-Latn-RS"/>
        </w:rPr>
        <w:t xml:space="preserve">Višedozne bočice: Dokazana </w:t>
      </w:r>
      <w:r w:rsidR="000D5E0D" w:rsidRPr="00E00E21">
        <w:rPr>
          <w:bCs/>
          <w:sz w:val="22"/>
          <w:szCs w:val="22"/>
          <w:lang w:val="sr-Latn-RS"/>
        </w:rPr>
        <w:t>h</w:t>
      </w:r>
      <w:r w:rsidRPr="00E00E21">
        <w:rPr>
          <w:bCs/>
          <w:sz w:val="22"/>
          <w:szCs w:val="22"/>
          <w:lang w:val="sr-Latn-RS"/>
        </w:rPr>
        <w:t>emijska, fizi</w:t>
      </w:r>
      <w:r w:rsidR="000D5E0D" w:rsidRPr="00E00E21">
        <w:rPr>
          <w:bCs/>
          <w:sz w:val="22"/>
          <w:szCs w:val="22"/>
          <w:lang w:val="sr-Latn-RS"/>
        </w:rPr>
        <w:t xml:space="preserve">čka i mikrobiološka stabilnost rastvora </w:t>
      </w:r>
      <w:r w:rsidRPr="00E00E21">
        <w:rPr>
          <w:bCs/>
          <w:sz w:val="22"/>
          <w:szCs w:val="22"/>
          <w:lang w:val="sr-Latn-RS"/>
        </w:rPr>
        <w:t xml:space="preserve">nakon prvog otvaranja </w:t>
      </w:r>
      <w:r w:rsidR="000D5E0D" w:rsidRPr="00E00E21">
        <w:rPr>
          <w:bCs/>
          <w:sz w:val="22"/>
          <w:szCs w:val="22"/>
          <w:lang w:val="sr-Latn-RS"/>
        </w:rPr>
        <w:t>je 28 dana na temperaturi do</w:t>
      </w:r>
      <w:r w:rsidRPr="00E00E21">
        <w:rPr>
          <w:bCs/>
          <w:sz w:val="22"/>
          <w:szCs w:val="22"/>
          <w:lang w:val="sr-Latn-RS"/>
        </w:rPr>
        <w:t xml:space="preserve"> 25°C. </w:t>
      </w:r>
      <w:r w:rsidR="000D5E0D" w:rsidRPr="00E00E21">
        <w:rPr>
          <w:bCs/>
          <w:sz w:val="22"/>
          <w:szCs w:val="22"/>
          <w:lang w:val="sr-Latn-RS"/>
        </w:rPr>
        <w:t xml:space="preserve">Lijek </w:t>
      </w:r>
      <w:r w:rsidRPr="00E00E21">
        <w:rPr>
          <w:bCs/>
          <w:sz w:val="22"/>
          <w:szCs w:val="22"/>
          <w:lang w:val="sr-Latn-RS"/>
        </w:rPr>
        <w:t xml:space="preserve">Kabazitaksel EVER Pharma može se primijeniti u više doza. </w:t>
      </w:r>
    </w:p>
    <w:p w14:paraId="7B309844" w14:textId="77777777" w:rsidR="000D5E0D" w:rsidRPr="00E00E21" w:rsidRDefault="000D5E0D" w:rsidP="000D5E0D">
      <w:pPr>
        <w:tabs>
          <w:tab w:val="left" w:pos="540"/>
          <w:tab w:val="left" w:pos="569"/>
        </w:tabs>
        <w:jc w:val="both"/>
        <w:rPr>
          <w:bCs/>
          <w:sz w:val="22"/>
          <w:szCs w:val="22"/>
          <w:u w:val="single"/>
          <w:lang w:val="sr-Latn-RS"/>
        </w:rPr>
      </w:pPr>
    </w:p>
    <w:p w14:paraId="124E5D25" w14:textId="77777777" w:rsidR="001759AF" w:rsidRPr="00E00E21" w:rsidRDefault="000D5E0D" w:rsidP="000D5E0D">
      <w:pPr>
        <w:tabs>
          <w:tab w:val="left" w:pos="540"/>
          <w:tab w:val="left" w:pos="569"/>
        </w:tabs>
        <w:jc w:val="both"/>
        <w:rPr>
          <w:bCs/>
          <w:sz w:val="22"/>
          <w:szCs w:val="22"/>
          <w:u w:val="single"/>
          <w:lang w:val="sr-Latn-RS"/>
        </w:rPr>
      </w:pPr>
      <w:r w:rsidRPr="00E00E21">
        <w:rPr>
          <w:bCs/>
          <w:sz w:val="22"/>
          <w:szCs w:val="22"/>
          <w:u w:val="single"/>
          <w:lang w:val="sr-Latn-RS"/>
        </w:rPr>
        <w:t>Rok upotrebe nakon razblaživanja u</w:t>
      </w:r>
      <w:r w:rsidRPr="00E00E21">
        <w:rPr>
          <w:sz w:val="22"/>
          <w:szCs w:val="22"/>
          <w:u w:val="single"/>
          <w:lang w:val="sr-Latn-RS"/>
        </w:rPr>
        <w:t xml:space="preserve"> </w:t>
      </w:r>
      <w:r w:rsidRPr="00E00E21">
        <w:rPr>
          <w:bCs/>
          <w:sz w:val="22"/>
          <w:szCs w:val="22"/>
          <w:u w:val="single"/>
          <w:lang w:val="sr-Latn-RS"/>
        </w:rPr>
        <w:t xml:space="preserve">infuzijskoj vrećici/boci: </w:t>
      </w:r>
    </w:p>
    <w:p w14:paraId="63581268" w14:textId="596D160F" w:rsidR="001759AF" w:rsidRPr="00E00E21" w:rsidRDefault="001759AF" w:rsidP="000D5E0D">
      <w:pPr>
        <w:tabs>
          <w:tab w:val="left" w:pos="540"/>
          <w:tab w:val="left" w:pos="569"/>
        </w:tabs>
        <w:jc w:val="both"/>
        <w:rPr>
          <w:bCs/>
          <w:sz w:val="22"/>
          <w:szCs w:val="22"/>
          <w:lang w:val="sr-Latn-RS"/>
        </w:rPr>
      </w:pPr>
      <w:r w:rsidRPr="00E00E21">
        <w:rPr>
          <w:bCs/>
          <w:sz w:val="22"/>
          <w:szCs w:val="22"/>
          <w:lang w:val="sr-Latn-RS"/>
        </w:rPr>
        <w:t xml:space="preserve">Dokazana </w:t>
      </w:r>
      <w:r w:rsidR="000D5E0D" w:rsidRPr="00E00E21">
        <w:rPr>
          <w:bCs/>
          <w:sz w:val="22"/>
          <w:szCs w:val="22"/>
          <w:lang w:val="sr-Latn-RS"/>
        </w:rPr>
        <w:t>h</w:t>
      </w:r>
      <w:r w:rsidRPr="00E00E21">
        <w:rPr>
          <w:bCs/>
          <w:sz w:val="22"/>
          <w:szCs w:val="22"/>
          <w:lang w:val="sr-Latn-RS"/>
        </w:rPr>
        <w:t>emijska i fizi</w:t>
      </w:r>
      <w:r w:rsidR="000D5E0D" w:rsidRPr="00E00E21">
        <w:rPr>
          <w:bCs/>
          <w:sz w:val="22"/>
          <w:szCs w:val="22"/>
          <w:lang w:val="sr-Latn-RS"/>
        </w:rPr>
        <w:t xml:space="preserve">čka </w:t>
      </w:r>
      <w:r w:rsidRPr="00E00E21">
        <w:rPr>
          <w:bCs/>
          <w:sz w:val="22"/>
          <w:szCs w:val="22"/>
          <w:lang w:val="sr-Latn-RS"/>
        </w:rPr>
        <w:t xml:space="preserve">stabilnost </w:t>
      </w:r>
      <w:r w:rsidR="000D5E0D" w:rsidRPr="00E00E21">
        <w:rPr>
          <w:bCs/>
          <w:sz w:val="22"/>
          <w:szCs w:val="22"/>
          <w:lang w:val="sr-Latn-RS"/>
        </w:rPr>
        <w:t xml:space="preserve">rastvora </w:t>
      </w:r>
      <w:r w:rsidRPr="00E00E21">
        <w:rPr>
          <w:bCs/>
          <w:sz w:val="22"/>
          <w:szCs w:val="22"/>
          <w:lang w:val="sr-Latn-RS"/>
        </w:rPr>
        <w:t>za infuziju je 48 sati uz čuvanje na temperaturi ispod 25 °C</w:t>
      </w:r>
      <w:r w:rsidR="000D5E0D" w:rsidRPr="00E00E21">
        <w:rPr>
          <w:bCs/>
          <w:sz w:val="22"/>
          <w:szCs w:val="22"/>
          <w:lang w:val="sr-Latn-RS"/>
        </w:rPr>
        <w:t>, odnosno</w:t>
      </w:r>
      <w:r w:rsidRPr="00E00E21">
        <w:rPr>
          <w:bCs/>
          <w:sz w:val="22"/>
          <w:szCs w:val="22"/>
          <w:lang w:val="sr-Latn-RS"/>
        </w:rPr>
        <w:t xml:space="preserve"> 14 dana </w:t>
      </w:r>
      <w:r w:rsidR="000D5E0D" w:rsidRPr="00E00E21">
        <w:rPr>
          <w:bCs/>
          <w:sz w:val="22"/>
          <w:szCs w:val="22"/>
          <w:lang w:val="sr-Latn-RS"/>
        </w:rPr>
        <w:t xml:space="preserve">ukoliko se </w:t>
      </w:r>
      <w:r w:rsidRPr="00E00E21">
        <w:rPr>
          <w:bCs/>
          <w:sz w:val="22"/>
          <w:szCs w:val="22"/>
          <w:lang w:val="sr-Latn-RS"/>
        </w:rPr>
        <w:t xml:space="preserve"> se čuva u </w:t>
      </w:r>
      <w:r w:rsidR="000D5E0D" w:rsidRPr="00E00E21">
        <w:rPr>
          <w:bCs/>
          <w:sz w:val="22"/>
          <w:szCs w:val="22"/>
          <w:lang w:val="sr-Latn-RS"/>
        </w:rPr>
        <w:t>frižideru</w:t>
      </w:r>
      <w:r w:rsidRPr="00E00E21">
        <w:rPr>
          <w:bCs/>
          <w:sz w:val="22"/>
          <w:szCs w:val="22"/>
          <w:lang w:val="sr-Latn-RS"/>
        </w:rPr>
        <w:t>.</w:t>
      </w:r>
    </w:p>
    <w:p w14:paraId="704C3294" w14:textId="77777777" w:rsidR="00F52F41" w:rsidRPr="00E00E21" w:rsidRDefault="00F52F41" w:rsidP="000D5E0D">
      <w:pPr>
        <w:tabs>
          <w:tab w:val="left" w:pos="540"/>
          <w:tab w:val="left" w:pos="569"/>
        </w:tabs>
        <w:jc w:val="both"/>
        <w:rPr>
          <w:bCs/>
          <w:sz w:val="22"/>
          <w:szCs w:val="22"/>
          <w:lang w:val="sr-Latn-RS"/>
        </w:rPr>
      </w:pPr>
    </w:p>
    <w:p w14:paraId="44C701F0" w14:textId="77777777" w:rsidR="001759AF" w:rsidRPr="00E00E21" w:rsidRDefault="001759AF" w:rsidP="000D5E0D">
      <w:pPr>
        <w:tabs>
          <w:tab w:val="left" w:pos="540"/>
          <w:tab w:val="left" w:pos="569"/>
        </w:tabs>
        <w:jc w:val="both"/>
        <w:rPr>
          <w:bCs/>
          <w:sz w:val="22"/>
          <w:szCs w:val="22"/>
          <w:lang w:val="sr-Latn-RS"/>
        </w:rPr>
      </w:pPr>
      <w:r w:rsidRPr="00E00E21">
        <w:rPr>
          <w:bCs/>
          <w:sz w:val="22"/>
          <w:szCs w:val="22"/>
          <w:lang w:val="sr-Latn-RS"/>
        </w:rPr>
        <w:t>S</w:t>
      </w:r>
      <w:r w:rsidR="000D5E0D" w:rsidRPr="00E00E21">
        <w:rPr>
          <w:bCs/>
          <w:sz w:val="22"/>
          <w:szCs w:val="22"/>
          <w:lang w:val="sr-Latn-RS"/>
        </w:rPr>
        <w:t>a</w:t>
      </w:r>
      <w:r w:rsidRPr="00E00E21">
        <w:rPr>
          <w:bCs/>
          <w:sz w:val="22"/>
          <w:szCs w:val="22"/>
          <w:lang w:val="sr-Latn-RS"/>
        </w:rPr>
        <w:t xml:space="preserve"> mikrobiološkog sta</w:t>
      </w:r>
      <w:r w:rsidR="000D5E0D" w:rsidRPr="00E00E21">
        <w:rPr>
          <w:bCs/>
          <w:sz w:val="22"/>
          <w:szCs w:val="22"/>
          <w:lang w:val="sr-Latn-RS"/>
        </w:rPr>
        <w:t>novišta</w:t>
      </w:r>
      <w:r w:rsidRPr="00E00E21">
        <w:rPr>
          <w:bCs/>
          <w:sz w:val="22"/>
          <w:szCs w:val="22"/>
          <w:lang w:val="sr-Latn-RS"/>
        </w:rPr>
        <w:t xml:space="preserve">, </w:t>
      </w:r>
      <w:r w:rsidR="000D5E0D" w:rsidRPr="00E00E21">
        <w:rPr>
          <w:bCs/>
          <w:sz w:val="22"/>
          <w:szCs w:val="22"/>
          <w:lang w:val="sr-Latn-RS"/>
        </w:rPr>
        <w:t>rastvor</w:t>
      </w:r>
      <w:r w:rsidRPr="00E00E21">
        <w:rPr>
          <w:bCs/>
          <w:sz w:val="22"/>
          <w:szCs w:val="22"/>
          <w:lang w:val="sr-Latn-RS"/>
        </w:rPr>
        <w:t xml:space="preserve"> za infuziju treba primijeniti odmah. Ako se ne </w:t>
      </w:r>
      <w:r w:rsidR="000D5E0D" w:rsidRPr="00E00E21">
        <w:rPr>
          <w:bCs/>
          <w:sz w:val="22"/>
          <w:szCs w:val="22"/>
          <w:lang w:val="sr-Latn-RS"/>
        </w:rPr>
        <w:t>upotrijebi</w:t>
      </w:r>
      <w:r w:rsidRPr="00E00E21">
        <w:rPr>
          <w:bCs/>
          <w:sz w:val="22"/>
          <w:szCs w:val="22"/>
          <w:lang w:val="sr-Latn-RS"/>
        </w:rPr>
        <w:t xml:space="preserve"> odmah, </w:t>
      </w:r>
    </w:p>
    <w:p w14:paraId="21A22C15" w14:textId="4B7595E8" w:rsidR="000D5E0D" w:rsidRPr="00E00E21" w:rsidRDefault="001759AF" w:rsidP="000D5E0D">
      <w:pPr>
        <w:tabs>
          <w:tab w:val="left" w:pos="540"/>
          <w:tab w:val="left" w:pos="569"/>
        </w:tabs>
        <w:jc w:val="both"/>
        <w:rPr>
          <w:b/>
          <w:bCs/>
          <w:sz w:val="22"/>
          <w:szCs w:val="22"/>
          <w:lang w:val="sr-Latn-RS"/>
        </w:rPr>
      </w:pPr>
      <w:r w:rsidRPr="00E00E21">
        <w:rPr>
          <w:bCs/>
          <w:sz w:val="22"/>
          <w:szCs w:val="22"/>
          <w:lang w:val="sr-Latn-RS"/>
        </w:rPr>
        <w:lastRenderedPageBreak/>
        <w:t xml:space="preserve">vrijeme i </w:t>
      </w:r>
      <w:r w:rsidR="00EF566D" w:rsidRPr="00E00E21">
        <w:rPr>
          <w:bCs/>
          <w:sz w:val="22"/>
          <w:szCs w:val="22"/>
          <w:lang w:val="sr-Latn-RS"/>
        </w:rPr>
        <w:t>uslovi</w:t>
      </w:r>
      <w:r w:rsidRPr="00E00E21">
        <w:rPr>
          <w:bCs/>
          <w:sz w:val="22"/>
          <w:szCs w:val="22"/>
          <w:lang w:val="sr-Latn-RS"/>
        </w:rPr>
        <w:t xml:space="preserve"> čuvanja lijeka u primjeni odgovornost su korisnika i obično ne bi smjeli biti du</w:t>
      </w:r>
      <w:r w:rsidR="000D5E0D" w:rsidRPr="00E00E21">
        <w:rPr>
          <w:bCs/>
          <w:sz w:val="22"/>
          <w:szCs w:val="22"/>
          <w:lang w:val="sr-Latn-RS"/>
        </w:rPr>
        <w:t>ž</w:t>
      </w:r>
      <w:r w:rsidRPr="00E00E21">
        <w:rPr>
          <w:bCs/>
          <w:sz w:val="22"/>
          <w:szCs w:val="22"/>
          <w:lang w:val="sr-Latn-RS"/>
        </w:rPr>
        <w:t xml:space="preserve">i od 24 sata na temperaturi ispod 25 °C, </w:t>
      </w:r>
      <w:r w:rsidR="000D5E0D" w:rsidRPr="00E00E21">
        <w:rPr>
          <w:bCs/>
          <w:sz w:val="22"/>
          <w:szCs w:val="22"/>
          <w:lang w:val="sr-Latn-RS"/>
        </w:rPr>
        <w:t>osim ako se razblaživanje nije sprovelo u kontrolisanim i validiranim aseptičnim uslovima</w:t>
      </w:r>
      <w:r w:rsidR="000D5E0D" w:rsidRPr="00E00E21">
        <w:rPr>
          <w:b/>
          <w:bCs/>
          <w:sz w:val="22"/>
          <w:szCs w:val="22"/>
          <w:lang w:val="sr-Latn-RS"/>
        </w:rPr>
        <w:t>.</w:t>
      </w:r>
    </w:p>
    <w:p w14:paraId="6581D793" w14:textId="77777777" w:rsidR="000D5E0D" w:rsidRPr="00E00E21" w:rsidRDefault="000D5E0D" w:rsidP="000D5E0D">
      <w:pPr>
        <w:tabs>
          <w:tab w:val="left" w:pos="540"/>
          <w:tab w:val="left" w:pos="569"/>
        </w:tabs>
        <w:jc w:val="both"/>
        <w:rPr>
          <w:bCs/>
          <w:sz w:val="22"/>
          <w:szCs w:val="22"/>
          <w:lang w:val="sr-Latn-RS"/>
        </w:rPr>
      </w:pPr>
    </w:p>
    <w:p w14:paraId="41381A37" w14:textId="77777777" w:rsidR="0072020E" w:rsidRPr="00E00E21" w:rsidRDefault="0072020E" w:rsidP="000D5E0D">
      <w:pPr>
        <w:tabs>
          <w:tab w:val="left" w:pos="540"/>
          <w:tab w:val="left" w:pos="569"/>
        </w:tabs>
        <w:rPr>
          <w:b/>
          <w:bCs/>
          <w:sz w:val="22"/>
          <w:szCs w:val="22"/>
          <w:lang w:val="sr-Latn-RS"/>
        </w:rPr>
      </w:pPr>
      <w:r w:rsidRPr="00E00E21">
        <w:rPr>
          <w:b/>
          <w:bCs/>
          <w:sz w:val="22"/>
          <w:szCs w:val="22"/>
          <w:lang w:val="sr-Latn-RS"/>
        </w:rPr>
        <w:t xml:space="preserve">6.4. </w:t>
      </w:r>
      <w:r w:rsidR="00480FB1" w:rsidRPr="00E00E21">
        <w:rPr>
          <w:b/>
          <w:bCs/>
          <w:sz w:val="22"/>
          <w:szCs w:val="22"/>
          <w:lang w:val="sr-Latn-RS"/>
        </w:rPr>
        <w:tab/>
      </w:r>
      <w:r w:rsidRPr="00E00E21">
        <w:rPr>
          <w:b/>
          <w:bCs/>
          <w:sz w:val="22"/>
          <w:szCs w:val="22"/>
          <w:lang w:val="sr-Latn-RS"/>
        </w:rPr>
        <w:t>Posebne mjere upozorenja pri čuvanju</w:t>
      </w:r>
      <w:r w:rsidR="00F8570A" w:rsidRPr="00E00E21">
        <w:rPr>
          <w:b/>
          <w:bCs/>
          <w:sz w:val="22"/>
          <w:szCs w:val="22"/>
          <w:lang w:val="sr-Latn-RS"/>
        </w:rPr>
        <w:t xml:space="preserve"> lijeka</w:t>
      </w:r>
    </w:p>
    <w:p w14:paraId="20527478" w14:textId="77777777" w:rsidR="000D5E0D" w:rsidRPr="00E00E21" w:rsidRDefault="000D5E0D" w:rsidP="001759AF">
      <w:pPr>
        <w:tabs>
          <w:tab w:val="left" w:pos="540"/>
          <w:tab w:val="left" w:pos="569"/>
        </w:tabs>
        <w:rPr>
          <w:bCs/>
          <w:sz w:val="22"/>
          <w:szCs w:val="22"/>
          <w:lang w:val="sr-Latn-RS"/>
        </w:rPr>
      </w:pPr>
    </w:p>
    <w:p w14:paraId="164AD3D2" w14:textId="77777777" w:rsidR="001759AF" w:rsidRPr="00E00E21" w:rsidRDefault="001759AF" w:rsidP="000D5E0D">
      <w:pPr>
        <w:tabs>
          <w:tab w:val="left" w:pos="540"/>
          <w:tab w:val="left" w:pos="569"/>
        </w:tabs>
        <w:jc w:val="both"/>
        <w:rPr>
          <w:bCs/>
          <w:sz w:val="22"/>
          <w:szCs w:val="22"/>
          <w:lang w:val="sr-Latn-RS"/>
        </w:rPr>
      </w:pPr>
      <w:r w:rsidRPr="00E00E21">
        <w:rPr>
          <w:bCs/>
          <w:sz w:val="22"/>
          <w:szCs w:val="22"/>
          <w:lang w:val="sr-Latn-RS"/>
        </w:rPr>
        <w:t>Ov</w:t>
      </w:r>
      <w:r w:rsidR="000D5E0D" w:rsidRPr="00E00E21">
        <w:rPr>
          <w:bCs/>
          <w:sz w:val="22"/>
          <w:szCs w:val="22"/>
          <w:lang w:val="sr-Latn-RS"/>
        </w:rPr>
        <w:t>aj lijek ne zahtijeva posebne uslove</w:t>
      </w:r>
      <w:r w:rsidRPr="00E00E21">
        <w:rPr>
          <w:bCs/>
          <w:sz w:val="22"/>
          <w:szCs w:val="22"/>
          <w:lang w:val="sr-Latn-RS"/>
        </w:rPr>
        <w:t xml:space="preserve"> čuvanja. </w:t>
      </w:r>
    </w:p>
    <w:p w14:paraId="58927678" w14:textId="77777777" w:rsidR="00F52F41" w:rsidRPr="00E00E21" w:rsidRDefault="00F52F41" w:rsidP="000D5E0D">
      <w:pPr>
        <w:tabs>
          <w:tab w:val="left" w:pos="540"/>
          <w:tab w:val="left" w:pos="569"/>
        </w:tabs>
        <w:jc w:val="both"/>
        <w:rPr>
          <w:bCs/>
          <w:sz w:val="22"/>
          <w:szCs w:val="22"/>
          <w:lang w:val="sr-Latn-RS"/>
        </w:rPr>
      </w:pPr>
    </w:p>
    <w:p w14:paraId="4FACE9EB" w14:textId="77777777" w:rsidR="001759AF" w:rsidRPr="00E00E21" w:rsidRDefault="001759AF" w:rsidP="000D5E0D">
      <w:pPr>
        <w:tabs>
          <w:tab w:val="left" w:pos="540"/>
          <w:tab w:val="left" w:pos="569"/>
        </w:tabs>
        <w:jc w:val="both"/>
        <w:rPr>
          <w:bCs/>
          <w:sz w:val="22"/>
          <w:szCs w:val="22"/>
          <w:lang w:val="sr-Latn-RS"/>
        </w:rPr>
      </w:pPr>
      <w:r w:rsidRPr="00E00E21">
        <w:rPr>
          <w:bCs/>
          <w:sz w:val="22"/>
          <w:szCs w:val="22"/>
          <w:lang w:val="sr-Latn-RS"/>
        </w:rPr>
        <w:t>Ne zamrzavati.</w:t>
      </w:r>
    </w:p>
    <w:p w14:paraId="1EABE991" w14:textId="77777777" w:rsidR="00F52F41" w:rsidRPr="00E00E21" w:rsidRDefault="00F52F41" w:rsidP="000D5E0D">
      <w:pPr>
        <w:tabs>
          <w:tab w:val="left" w:pos="540"/>
          <w:tab w:val="left" w:pos="569"/>
        </w:tabs>
        <w:jc w:val="both"/>
        <w:rPr>
          <w:bCs/>
          <w:sz w:val="22"/>
          <w:szCs w:val="22"/>
          <w:lang w:val="sr-Latn-RS"/>
        </w:rPr>
      </w:pPr>
    </w:p>
    <w:p w14:paraId="3796B2EA" w14:textId="737A3191" w:rsidR="00EC2532" w:rsidRPr="00E00E21" w:rsidRDefault="001759AF" w:rsidP="000D5E0D">
      <w:pPr>
        <w:tabs>
          <w:tab w:val="left" w:pos="540"/>
          <w:tab w:val="left" w:pos="569"/>
        </w:tabs>
        <w:jc w:val="both"/>
        <w:rPr>
          <w:bCs/>
          <w:sz w:val="22"/>
          <w:szCs w:val="22"/>
          <w:lang w:val="sr-Latn-RS"/>
        </w:rPr>
      </w:pPr>
      <w:r w:rsidRPr="00E00E21">
        <w:rPr>
          <w:bCs/>
          <w:sz w:val="22"/>
          <w:szCs w:val="22"/>
          <w:lang w:val="sr-Latn-RS"/>
        </w:rPr>
        <w:t>U</w:t>
      </w:r>
      <w:r w:rsidR="000D5E0D" w:rsidRPr="00E00E21">
        <w:rPr>
          <w:bCs/>
          <w:sz w:val="22"/>
          <w:szCs w:val="22"/>
          <w:lang w:val="sr-Latn-RS"/>
        </w:rPr>
        <w:t>slove</w:t>
      </w:r>
      <w:r w:rsidRPr="00E00E21">
        <w:rPr>
          <w:bCs/>
          <w:sz w:val="22"/>
          <w:szCs w:val="22"/>
          <w:lang w:val="sr-Latn-RS"/>
        </w:rPr>
        <w:t xml:space="preserve"> čuvanja nakon prvog otvaranja i </w:t>
      </w:r>
      <w:r w:rsidR="000D5E0D" w:rsidRPr="00E00E21">
        <w:rPr>
          <w:bCs/>
          <w:sz w:val="22"/>
          <w:szCs w:val="22"/>
          <w:lang w:val="sr-Latn-RS"/>
        </w:rPr>
        <w:t>razblaživanja</w:t>
      </w:r>
      <w:r w:rsidRPr="00E00E21">
        <w:rPr>
          <w:bCs/>
          <w:sz w:val="22"/>
          <w:szCs w:val="22"/>
          <w:lang w:val="sr-Latn-RS"/>
        </w:rPr>
        <w:t xml:space="preserve"> lijeka vidjeti u dijelu 6.3.</w:t>
      </w:r>
      <w:r w:rsidRPr="00E00E21">
        <w:rPr>
          <w:bCs/>
          <w:sz w:val="22"/>
          <w:szCs w:val="22"/>
          <w:lang w:val="sr-Latn-RS"/>
        </w:rPr>
        <w:cr/>
      </w:r>
    </w:p>
    <w:p w14:paraId="2B5A8CFB" w14:textId="77777777" w:rsidR="0072020E" w:rsidRPr="00E00E21" w:rsidRDefault="0072020E" w:rsidP="00480FB1">
      <w:pPr>
        <w:tabs>
          <w:tab w:val="left" w:pos="540"/>
          <w:tab w:val="left" w:pos="569"/>
        </w:tabs>
        <w:rPr>
          <w:b/>
          <w:bCs/>
          <w:sz w:val="22"/>
          <w:szCs w:val="22"/>
          <w:lang w:val="sr-Latn-RS"/>
        </w:rPr>
      </w:pPr>
      <w:r w:rsidRPr="00E00E21">
        <w:rPr>
          <w:b/>
          <w:bCs/>
          <w:sz w:val="22"/>
          <w:szCs w:val="22"/>
          <w:lang w:val="sr-Latn-RS"/>
        </w:rPr>
        <w:t xml:space="preserve">6.5. </w:t>
      </w:r>
      <w:r w:rsidR="00480FB1" w:rsidRPr="00E00E21">
        <w:rPr>
          <w:b/>
          <w:bCs/>
          <w:sz w:val="22"/>
          <w:szCs w:val="22"/>
          <w:lang w:val="sr-Latn-RS"/>
        </w:rPr>
        <w:tab/>
      </w:r>
      <w:r w:rsidR="002846DB" w:rsidRPr="00E00E21">
        <w:rPr>
          <w:b/>
          <w:bCs/>
          <w:sz w:val="22"/>
          <w:szCs w:val="22"/>
          <w:lang w:val="sr-Latn-RS"/>
        </w:rPr>
        <w:t xml:space="preserve">Vrsta i sadržaj </w:t>
      </w:r>
      <w:r w:rsidR="00F8570A" w:rsidRPr="00E00E21">
        <w:rPr>
          <w:b/>
          <w:bCs/>
          <w:sz w:val="22"/>
          <w:szCs w:val="22"/>
          <w:lang w:val="sr-Latn-RS"/>
        </w:rPr>
        <w:t>pakovanja</w:t>
      </w:r>
      <w:r w:rsidR="00C06864" w:rsidRPr="00E00E21">
        <w:rPr>
          <w:b/>
          <w:bCs/>
          <w:sz w:val="22"/>
          <w:szCs w:val="22"/>
          <w:lang w:val="sr-Latn-RS"/>
        </w:rPr>
        <w:t xml:space="preserve"> </w:t>
      </w:r>
    </w:p>
    <w:p w14:paraId="4718D1D5" w14:textId="77777777" w:rsidR="00F52F41" w:rsidRPr="00E00E21" w:rsidRDefault="00F52F41" w:rsidP="00480FB1">
      <w:pPr>
        <w:tabs>
          <w:tab w:val="left" w:pos="540"/>
          <w:tab w:val="left" w:pos="569"/>
        </w:tabs>
        <w:rPr>
          <w:b/>
          <w:bCs/>
          <w:sz w:val="22"/>
          <w:szCs w:val="22"/>
          <w:lang w:val="sr-Latn-RS"/>
        </w:rPr>
      </w:pPr>
    </w:p>
    <w:p w14:paraId="6A2ECFD6" w14:textId="77777777" w:rsidR="00F52F41" w:rsidRPr="00E00E21" w:rsidRDefault="001759AF" w:rsidP="003C0110">
      <w:pPr>
        <w:tabs>
          <w:tab w:val="left" w:pos="540"/>
          <w:tab w:val="left" w:pos="569"/>
        </w:tabs>
        <w:jc w:val="both"/>
        <w:rPr>
          <w:sz w:val="22"/>
          <w:szCs w:val="22"/>
          <w:lang w:val="sr-Latn-RS"/>
        </w:rPr>
      </w:pPr>
      <w:r w:rsidRPr="00E00E21">
        <w:rPr>
          <w:sz w:val="22"/>
          <w:szCs w:val="22"/>
          <w:lang w:val="sr-Latn-RS"/>
        </w:rPr>
        <w:t>Jedno pak</w:t>
      </w:r>
      <w:r w:rsidR="000D5E0D" w:rsidRPr="00E00E21">
        <w:rPr>
          <w:sz w:val="22"/>
          <w:szCs w:val="22"/>
          <w:lang w:val="sr-Latn-RS"/>
        </w:rPr>
        <w:t xml:space="preserve">ovanje </w:t>
      </w:r>
      <w:r w:rsidRPr="00E00E21">
        <w:rPr>
          <w:sz w:val="22"/>
          <w:szCs w:val="22"/>
          <w:lang w:val="sr-Latn-RS"/>
        </w:rPr>
        <w:t>sadrži jednu bočicu s</w:t>
      </w:r>
      <w:r w:rsidR="003C0110" w:rsidRPr="00E00E21">
        <w:rPr>
          <w:sz w:val="22"/>
          <w:szCs w:val="22"/>
          <w:lang w:val="sr-Latn-RS"/>
        </w:rPr>
        <w:t>a</w:t>
      </w:r>
      <w:r w:rsidRPr="00E00E21">
        <w:rPr>
          <w:sz w:val="22"/>
          <w:szCs w:val="22"/>
          <w:lang w:val="sr-Latn-RS"/>
        </w:rPr>
        <w:t xml:space="preserve"> koncentratom </w:t>
      </w:r>
      <w:r w:rsidR="003C0110" w:rsidRPr="00E00E21">
        <w:rPr>
          <w:sz w:val="22"/>
          <w:szCs w:val="22"/>
          <w:lang w:val="sr-Latn-RS"/>
        </w:rPr>
        <w:t>za rastvor za infuziju</w:t>
      </w:r>
      <w:r w:rsidRPr="00E00E21">
        <w:rPr>
          <w:sz w:val="22"/>
          <w:szCs w:val="22"/>
          <w:lang w:val="sr-Latn-RS"/>
        </w:rPr>
        <w:t xml:space="preserve">: </w:t>
      </w:r>
    </w:p>
    <w:p w14:paraId="4121E041" w14:textId="77777777" w:rsidR="00F52F41" w:rsidRPr="00E00E21" w:rsidRDefault="00F52F41" w:rsidP="003C0110">
      <w:pPr>
        <w:tabs>
          <w:tab w:val="left" w:pos="540"/>
          <w:tab w:val="left" w:pos="569"/>
        </w:tabs>
        <w:jc w:val="both"/>
        <w:rPr>
          <w:sz w:val="22"/>
          <w:szCs w:val="22"/>
          <w:lang w:val="sr-Latn-RS"/>
        </w:rPr>
      </w:pPr>
    </w:p>
    <w:p w14:paraId="4BDF4815" w14:textId="07902D2E" w:rsidR="003C0110" w:rsidRPr="00E00E21" w:rsidRDefault="001759AF" w:rsidP="003C0110">
      <w:pPr>
        <w:tabs>
          <w:tab w:val="left" w:pos="540"/>
          <w:tab w:val="left" w:pos="569"/>
        </w:tabs>
        <w:jc w:val="both"/>
        <w:rPr>
          <w:sz w:val="22"/>
          <w:szCs w:val="22"/>
          <w:lang w:val="sr-Latn-RS"/>
        </w:rPr>
      </w:pPr>
      <w:r w:rsidRPr="00E00E21">
        <w:rPr>
          <w:sz w:val="22"/>
          <w:szCs w:val="22"/>
          <w:lang w:val="sr-Latn-RS"/>
        </w:rPr>
        <w:t xml:space="preserve">Prozirna, staklena bočica zatvorena sivim bromobutilnim gumenim čepom, aluminijskim prstenom i plastičnim „flip-off„ poklopcem. </w:t>
      </w:r>
    </w:p>
    <w:p w14:paraId="4E0357CD" w14:textId="77777777" w:rsidR="00867E86" w:rsidRPr="00E00E21" w:rsidRDefault="00867E86" w:rsidP="003C0110">
      <w:pPr>
        <w:tabs>
          <w:tab w:val="left" w:pos="540"/>
          <w:tab w:val="left" w:pos="569"/>
        </w:tabs>
        <w:jc w:val="both"/>
        <w:rPr>
          <w:sz w:val="22"/>
          <w:szCs w:val="22"/>
          <w:lang w:val="sr-Latn-RS"/>
        </w:rPr>
      </w:pPr>
    </w:p>
    <w:p w14:paraId="429FBDBE" w14:textId="77777777" w:rsidR="00867E86" w:rsidRPr="00E00E21" w:rsidRDefault="001759AF" w:rsidP="003C0110">
      <w:pPr>
        <w:tabs>
          <w:tab w:val="left" w:pos="540"/>
          <w:tab w:val="left" w:pos="569"/>
        </w:tabs>
        <w:jc w:val="both"/>
        <w:rPr>
          <w:sz w:val="22"/>
          <w:szCs w:val="22"/>
          <w:lang w:val="sr-Latn-RS"/>
        </w:rPr>
      </w:pPr>
      <w:r w:rsidRPr="00E00E21">
        <w:rPr>
          <w:sz w:val="22"/>
          <w:szCs w:val="22"/>
          <w:lang w:val="sr-Latn-RS"/>
        </w:rPr>
        <w:t>Veličina pak</w:t>
      </w:r>
      <w:r w:rsidR="003C0110" w:rsidRPr="00E00E21">
        <w:rPr>
          <w:sz w:val="22"/>
          <w:szCs w:val="22"/>
          <w:lang w:val="sr-Latn-RS"/>
        </w:rPr>
        <w:t>ovanja</w:t>
      </w:r>
      <w:r w:rsidRPr="00E00E21">
        <w:rPr>
          <w:sz w:val="22"/>
          <w:szCs w:val="22"/>
          <w:lang w:val="sr-Latn-RS"/>
        </w:rPr>
        <w:t>: 1 x 4,5 ml (45 mg)</w:t>
      </w:r>
      <w:r w:rsidR="003C0110" w:rsidRPr="00E00E21">
        <w:rPr>
          <w:sz w:val="22"/>
          <w:szCs w:val="22"/>
          <w:lang w:val="sr-Latn-RS"/>
        </w:rPr>
        <w:t xml:space="preserve">;  </w:t>
      </w:r>
    </w:p>
    <w:p w14:paraId="421D514A" w14:textId="77777777" w:rsidR="00867E86" w:rsidRPr="00E00E21" w:rsidRDefault="00867E86" w:rsidP="003C0110">
      <w:pPr>
        <w:tabs>
          <w:tab w:val="left" w:pos="540"/>
          <w:tab w:val="left" w:pos="569"/>
        </w:tabs>
        <w:jc w:val="both"/>
        <w:rPr>
          <w:sz w:val="22"/>
          <w:szCs w:val="22"/>
          <w:lang w:val="sr-Latn-RS"/>
        </w:rPr>
      </w:pPr>
      <w:r w:rsidRPr="00E00E21">
        <w:rPr>
          <w:sz w:val="22"/>
          <w:szCs w:val="22"/>
          <w:lang w:val="sr-Latn-RS"/>
        </w:rPr>
        <w:t xml:space="preserve">                                 </w:t>
      </w:r>
      <w:r w:rsidR="003C0110" w:rsidRPr="00E00E21">
        <w:rPr>
          <w:sz w:val="22"/>
          <w:szCs w:val="22"/>
          <w:lang w:val="sr-Latn-RS"/>
        </w:rPr>
        <w:t>1 x 5 ml (50 mg);</w:t>
      </w:r>
    </w:p>
    <w:p w14:paraId="4FDD31BC" w14:textId="23D171FB" w:rsidR="003C0110" w:rsidRPr="00E00E21" w:rsidRDefault="00867E86" w:rsidP="003C0110">
      <w:pPr>
        <w:tabs>
          <w:tab w:val="left" w:pos="540"/>
          <w:tab w:val="left" w:pos="569"/>
        </w:tabs>
        <w:jc w:val="both"/>
        <w:rPr>
          <w:sz w:val="22"/>
          <w:szCs w:val="22"/>
          <w:lang w:val="sr-Latn-RS"/>
        </w:rPr>
      </w:pPr>
      <w:r w:rsidRPr="00E00E21">
        <w:rPr>
          <w:sz w:val="22"/>
          <w:szCs w:val="22"/>
          <w:lang w:val="sr-Latn-RS"/>
        </w:rPr>
        <w:t xml:space="preserve">                                </w:t>
      </w:r>
      <w:r w:rsidR="003C0110" w:rsidRPr="00E00E21">
        <w:rPr>
          <w:sz w:val="22"/>
          <w:szCs w:val="22"/>
          <w:lang w:val="sr-Latn-RS"/>
        </w:rPr>
        <w:t xml:space="preserve"> 1 x 6 ml (60 mg).</w:t>
      </w:r>
    </w:p>
    <w:p w14:paraId="0F7A6E27" w14:textId="77777777" w:rsidR="00000498" w:rsidRPr="00E00E21" w:rsidRDefault="00000498" w:rsidP="00F52F41">
      <w:pPr>
        <w:tabs>
          <w:tab w:val="left" w:pos="540"/>
          <w:tab w:val="left" w:pos="569"/>
        </w:tabs>
        <w:jc w:val="both"/>
        <w:rPr>
          <w:sz w:val="22"/>
          <w:szCs w:val="22"/>
          <w:lang w:val="sr-Latn-RS"/>
        </w:rPr>
      </w:pPr>
    </w:p>
    <w:p w14:paraId="1ED2CD1E" w14:textId="6C839866" w:rsidR="003C0110" w:rsidRPr="00E00E21" w:rsidRDefault="001759AF" w:rsidP="00F52F41">
      <w:pPr>
        <w:tabs>
          <w:tab w:val="left" w:pos="540"/>
          <w:tab w:val="left" w:pos="569"/>
        </w:tabs>
        <w:jc w:val="both"/>
        <w:rPr>
          <w:sz w:val="22"/>
          <w:szCs w:val="22"/>
          <w:lang w:val="sr-Latn-RS"/>
        </w:rPr>
      </w:pPr>
      <w:r w:rsidRPr="00E00E21">
        <w:rPr>
          <w:sz w:val="22"/>
          <w:szCs w:val="22"/>
          <w:lang w:val="sr-Latn-RS"/>
        </w:rPr>
        <w:t xml:space="preserve">Bočice mogu, ali ne moraju biti obložene zaštitnim omotom. </w:t>
      </w:r>
    </w:p>
    <w:p w14:paraId="779FD063" w14:textId="77777777" w:rsidR="00000498" w:rsidRPr="00E00E21" w:rsidRDefault="00000498" w:rsidP="00480FB1">
      <w:pPr>
        <w:tabs>
          <w:tab w:val="left" w:pos="540"/>
          <w:tab w:val="left" w:pos="569"/>
        </w:tabs>
        <w:rPr>
          <w:b/>
          <w:bCs/>
          <w:sz w:val="22"/>
          <w:szCs w:val="22"/>
          <w:lang w:val="sr-Latn-RS"/>
        </w:rPr>
      </w:pPr>
    </w:p>
    <w:p w14:paraId="1813ACE0" w14:textId="7C58D993" w:rsidR="002846DB" w:rsidRPr="00E00E21" w:rsidRDefault="0072020E" w:rsidP="00480FB1">
      <w:pPr>
        <w:tabs>
          <w:tab w:val="left" w:pos="540"/>
          <w:tab w:val="left" w:pos="569"/>
        </w:tabs>
        <w:rPr>
          <w:b/>
          <w:bCs/>
          <w:sz w:val="22"/>
          <w:szCs w:val="22"/>
          <w:lang w:val="sr-Latn-RS"/>
        </w:rPr>
      </w:pPr>
      <w:r w:rsidRPr="00E00E21">
        <w:rPr>
          <w:b/>
          <w:bCs/>
          <w:sz w:val="22"/>
          <w:szCs w:val="22"/>
          <w:lang w:val="sr-Latn-RS"/>
        </w:rPr>
        <w:t xml:space="preserve">6.6. </w:t>
      </w:r>
      <w:r w:rsidR="00480FB1" w:rsidRPr="00E00E21">
        <w:rPr>
          <w:b/>
          <w:bCs/>
          <w:sz w:val="22"/>
          <w:szCs w:val="22"/>
          <w:lang w:val="sr-Latn-RS"/>
        </w:rPr>
        <w:tab/>
      </w:r>
      <w:r w:rsidRPr="00E00E21">
        <w:rPr>
          <w:b/>
          <w:bCs/>
          <w:color w:val="000000"/>
          <w:sz w:val="22"/>
          <w:szCs w:val="22"/>
          <w:lang w:val="sr-Latn-RS"/>
        </w:rPr>
        <w:t>Posebne mjere opreza pri odlaganju materijala koji treba odbaciti nakon primjene lijeka</w:t>
      </w:r>
      <w:r w:rsidRPr="00E00E21">
        <w:rPr>
          <w:b/>
          <w:bCs/>
          <w:sz w:val="22"/>
          <w:szCs w:val="22"/>
          <w:lang w:val="sr-Latn-RS"/>
        </w:rPr>
        <w:t xml:space="preserve"> </w:t>
      </w:r>
      <w:r w:rsidR="00310F03" w:rsidRPr="00E00E21">
        <w:rPr>
          <w:b/>
          <w:bCs/>
          <w:sz w:val="22"/>
          <w:szCs w:val="22"/>
          <w:lang w:val="sr-Latn-RS"/>
        </w:rPr>
        <w:t>(i druga uputs</w:t>
      </w:r>
      <w:r w:rsidR="004109FA" w:rsidRPr="00E00E21">
        <w:rPr>
          <w:b/>
          <w:bCs/>
          <w:sz w:val="22"/>
          <w:szCs w:val="22"/>
          <w:lang w:val="sr-Latn-RS"/>
        </w:rPr>
        <w:t>t</w:t>
      </w:r>
      <w:r w:rsidR="00310F03" w:rsidRPr="00E00E21">
        <w:rPr>
          <w:b/>
          <w:bCs/>
          <w:sz w:val="22"/>
          <w:szCs w:val="22"/>
          <w:lang w:val="sr-Latn-RS"/>
        </w:rPr>
        <w:t xml:space="preserve">va za rukovanje lijekom) </w:t>
      </w:r>
    </w:p>
    <w:p w14:paraId="45DBD0F6" w14:textId="77777777" w:rsidR="00B66A70" w:rsidRPr="00E00E21" w:rsidRDefault="00B66A70" w:rsidP="00480FB1">
      <w:pPr>
        <w:tabs>
          <w:tab w:val="left" w:pos="540"/>
          <w:tab w:val="left" w:pos="569"/>
        </w:tabs>
        <w:rPr>
          <w:b/>
          <w:bCs/>
          <w:sz w:val="22"/>
          <w:szCs w:val="22"/>
          <w:lang w:val="sr-Latn-RS"/>
        </w:rPr>
      </w:pPr>
    </w:p>
    <w:p w14:paraId="1CEC4111" w14:textId="1CE45D5C" w:rsidR="003C0110" w:rsidRPr="00E00E21" w:rsidRDefault="001759AF" w:rsidP="001759AF">
      <w:pPr>
        <w:tabs>
          <w:tab w:val="left" w:pos="540"/>
          <w:tab w:val="left" w:pos="569"/>
        </w:tabs>
        <w:jc w:val="both"/>
        <w:rPr>
          <w:sz w:val="22"/>
          <w:szCs w:val="22"/>
          <w:lang w:val="sr-Latn-RS"/>
        </w:rPr>
      </w:pPr>
      <w:r w:rsidRPr="00E00E21">
        <w:rPr>
          <w:sz w:val="22"/>
          <w:szCs w:val="22"/>
          <w:lang w:val="sr-Latn-RS"/>
        </w:rPr>
        <w:t xml:space="preserve">Lijek Kabazitaksel EVER Pharma smije pripremati i primjenjivati samo osoblje obučeno za rukovanje citotoksičnim </w:t>
      </w:r>
      <w:r w:rsidR="00924110" w:rsidRPr="00E00E21">
        <w:rPr>
          <w:sz w:val="22"/>
          <w:szCs w:val="22"/>
          <w:lang w:val="sr-Latn-RS"/>
        </w:rPr>
        <w:t>supstancama</w:t>
      </w:r>
      <w:r w:rsidRPr="00E00E21">
        <w:rPr>
          <w:sz w:val="22"/>
          <w:szCs w:val="22"/>
          <w:lang w:val="sr-Latn-RS"/>
        </w:rPr>
        <w:t xml:space="preserve">. Zdravstvene radnice koje su </w:t>
      </w:r>
      <w:r w:rsidR="003445E6" w:rsidRPr="00E00E21">
        <w:rPr>
          <w:sz w:val="22"/>
          <w:szCs w:val="22"/>
          <w:lang w:val="sr-Latn-RS"/>
        </w:rPr>
        <w:t>u drugom sta</w:t>
      </w:r>
      <w:r w:rsidR="003C0110" w:rsidRPr="00E00E21">
        <w:rPr>
          <w:sz w:val="22"/>
          <w:szCs w:val="22"/>
          <w:lang w:val="sr-Latn-RS"/>
        </w:rPr>
        <w:t>nju</w:t>
      </w:r>
      <w:r w:rsidRPr="00E00E21">
        <w:rPr>
          <w:sz w:val="22"/>
          <w:szCs w:val="22"/>
          <w:lang w:val="sr-Latn-RS"/>
        </w:rPr>
        <w:t xml:space="preserve"> ne smiju rukovati ovim lijekom. Kao i kod svih drugih antineoplastičnih ljekova potreban je oprez prilikom rukovanja i pripreme </w:t>
      </w:r>
      <w:r w:rsidR="003C0110" w:rsidRPr="00E00E21">
        <w:rPr>
          <w:sz w:val="22"/>
          <w:szCs w:val="22"/>
          <w:lang w:val="sr-Latn-RS"/>
        </w:rPr>
        <w:t>rastvora</w:t>
      </w:r>
      <w:r w:rsidRPr="00E00E21">
        <w:rPr>
          <w:sz w:val="22"/>
          <w:szCs w:val="22"/>
          <w:lang w:val="sr-Latn-RS"/>
        </w:rPr>
        <w:t xml:space="preserve"> lijeka Kabazitaksel EVER Pharma, što se odnosi na primjenu mjera zaštite od zagađenja, upo</w:t>
      </w:r>
      <w:r w:rsidR="003C0110" w:rsidRPr="00E00E21">
        <w:rPr>
          <w:sz w:val="22"/>
          <w:szCs w:val="22"/>
          <w:lang w:val="sr-Latn-RS"/>
        </w:rPr>
        <w:t>t</w:t>
      </w:r>
      <w:r w:rsidRPr="00E00E21">
        <w:rPr>
          <w:sz w:val="22"/>
          <w:szCs w:val="22"/>
          <w:lang w:val="sr-Latn-RS"/>
        </w:rPr>
        <w:t>r</w:t>
      </w:r>
      <w:r w:rsidR="003C0110" w:rsidRPr="00E00E21">
        <w:rPr>
          <w:sz w:val="22"/>
          <w:szCs w:val="22"/>
          <w:lang w:val="sr-Latn-RS"/>
        </w:rPr>
        <w:t>e</w:t>
      </w:r>
      <w:r w:rsidRPr="00E00E21">
        <w:rPr>
          <w:sz w:val="22"/>
          <w:szCs w:val="22"/>
          <w:lang w:val="sr-Latn-RS"/>
        </w:rPr>
        <w:t xml:space="preserve">bu </w:t>
      </w:r>
      <w:r w:rsidR="003C0110" w:rsidRPr="00E00E21">
        <w:rPr>
          <w:sz w:val="22"/>
          <w:szCs w:val="22"/>
          <w:lang w:val="sr-Latn-RS"/>
        </w:rPr>
        <w:t>personalne</w:t>
      </w:r>
      <w:r w:rsidRPr="00E00E21">
        <w:rPr>
          <w:sz w:val="22"/>
          <w:szCs w:val="22"/>
          <w:lang w:val="sr-Latn-RS"/>
        </w:rPr>
        <w:t xml:space="preserve"> zaštitne opreme (rukavice) i postupke pripreme. Ako lijek Kabazitaksel EVER Pharma u bilo kojoj fazi rukovanja dođe u dodir s</w:t>
      </w:r>
      <w:r w:rsidR="003C0110" w:rsidRPr="00E00E21">
        <w:rPr>
          <w:sz w:val="22"/>
          <w:szCs w:val="22"/>
          <w:lang w:val="sr-Latn-RS"/>
        </w:rPr>
        <w:t>a</w:t>
      </w:r>
      <w:r w:rsidRPr="00E00E21">
        <w:rPr>
          <w:sz w:val="22"/>
          <w:szCs w:val="22"/>
          <w:lang w:val="sr-Latn-RS"/>
        </w:rPr>
        <w:t xml:space="preserve"> kožom, to mjesto treba odmah </w:t>
      </w:r>
      <w:r w:rsidR="003C0110" w:rsidRPr="00E00E21">
        <w:rPr>
          <w:sz w:val="22"/>
          <w:szCs w:val="22"/>
          <w:lang w:val="sr-Latn-RS"/>
        </w:rPr>
        <w:t>detaljno</w:t>
      </w:r>
      <w:r w:rsidRPr="00E00E21">
        <w:rPr>
          <w:sz w:val="22"/>
          <w:szCs w:val="22"/>
          <w:lang w:val="sr-Latn-RS"/>
        </w:rPr>
        <w:t xml:space="preserve"> isprati sapunom i vodom. Ako lijek dođe u dodir sa slu</w:t>
      </w:r>
      <w:r w:rsidR="003C0110" w:rsidRPr="00E00E21">
        <w:rPr>
          <w:sz w:val="22"/>
          <w:szCs w:val="22"/>
          <w:lang w:val="sr-Latn-RS"/>
        </w:rPr>
        <w:t>zokožom</w:t>
      </w:r>
      <w:r w:rsidRPr="00E00E21">
        <w:rPr>
          <w:sz w:val="22"/>
          <w:szCs w:val="22"/>
          <w:lang w:val="sr-Latn-RS"/>
        </w:rPr>
        <w:t xml:space="preserve">, mjesto treba odmah </w:t>
      </w:r>
      <w:r w:rsidR="003C0110" w:rsidRPr="00E00E21">
        <w:rPr>
          <w:sz w:val="22"/>
          <w:szCs w:val="22"/>
          <w:lang w:val="sr-Latn-RS"/>
        </w:rPr>
        <w:t>detaljno</w:t>
      </w:r>
      <w:r w:rsidRPr="00E00E21">
        <w:rPr>
          <w:sz w:val="22"/>
          <w:szCs w:val="22"/>
          <w:lang w:val="sr-Latn-RS"/>
        </w:rPr>
        <w:t xml:space="preserve"> isprati vodom. </w:t>
      </w:r>
    </w:p>
    <w:p w14:paraId="2CB5C48E" w14:textId="77777777" w:rsidR="00F52F41" w:rsidRPr="00E00E21" w:rsidRDefault="00F52F41" w:rsidP="001759AF">
      <w:pPr>
        <w:tabs>
          <w:tab w:val="left" w:pos="540"/>
          <w:tab w:val="left" w:pos="569"/>
        </w:tabs>
        <w:jc w:val="both"/>
        <w:rPr>
          <w:sz w:val="22"/>
          <w:szCs w:val="22"/>
          <w:lang w:val="sr-Latn-RS"/>
        </w:rPr>
      </w:pPr>
    </w:p>
    <w:p w14:paraId="2E88D888" w14:textId="37AE1704" w:rsidR="003C0110" w:rsidRPr="00E00E21" w:rsidRDefault="001759AF" w:rsidP="001759AF">
      <w:pPr>
        <w:tabs>
          <w:tab w:val="left" w:pos="540"/>
          <w:tab w:val="left" w:pos="569"/>
        </w:tabs>
        <w:jc w:val="both"/>
        <w:rPr>
          <w:sz w:val="22"/>
          <w:szCs w:val="22"/>
          <w:lang w:val="sr-Latn-RS"/>
        </w:rPr>
      </w:pPr>
      <w:r w:rsidRPr="00E00E21">
        <w:rPr>
          <w:sz w:val="22"/>
          <w:szCs w:val="22"/>
          <w:lang w:val="sr-Latn-RS"/>
        </w:rPr>
        <w:t xml:space="preserve">Pažljivo pročitajte ovaj </w:t>
      </w:r>
      <w:r w:rsidRPr="00E00E21">
        <w:rPr>
          <w:b/>
          <w:bCs/>
          <w:sz w:val="22"/>
          <w:szCs w:val="22"/>
          <w:lang w:val="sr-Latn-RS"/>
        </w:rPr>
        <w:t>CIJELI</w:t>
      </w:r>
      <w:r w:rsidRPr="00E00E21">
        <w:rPr>
          <w:sz w:val="22"/>
          <w:szCs w:val="22"/>
          <w:lang w:val="sr-Latn-RS"/>
        </w:rPr>
        <w:t xml:space="preserve"> dio Sažetka </w:t>
      </w:r>
      <w:r w:rsidR="003C0110" w:rsidRPr="00E00E21">
        <w:rPr>
          <w:sz w:val="22"/>
          <w:szCs w:val="22"/>
          <w:lang w:val="sr-Latn-RS"/>
        </w:rPr>
        <w:t>karakteristika</w:t>
      </w:r>
      <w:r w:rsidRPr="00E00E21">
        <w:rPr>
          <w:sz w:val="22"/>
          <w:szCs w:val="22"/>
          <w:lang w:val="sr-Latn-RS"/>
        </w:rPr>
        <w:t xml:space="preserve"> lijeka. </w:t>
      </w:r>
    </w:p>
    <w:p w14:paraId="0CBB955F" w14:textId="77777777" w:rsidR="00F52F41" w:rsidRPr="00E00E21" w:rsidRDefault="00F52F41" w:rsidP="001759AF">
      <w:pPr>
        <w:tabs>
          <w:tab w:val="left" w:pos="540"/>
          <w:tab w:val="left" w:pos="569"/>
        </w:tabs>
        <w:jc w:val="both"/>
        <w:rPr>
          <w:sz w:val="22"/>
          <w:szCs w:val="22"/>
          <w:lang w:val="sr-Latn-RS"/>
        </w:rPr>
      </w:pPr>
    </w:p>
    <w:p w14:paraId="52E7AB74" w14:textId="5BA29D2F" w:rsidR="003C0110" w:rsidRPr="00E00E21" w:rsidRDefault="001759AF" w:rsidP="001759AF">
      <w:pPr>
        <w:tabs>
          <w:tab w:val="left" w:pos="540"/>
          <w:tab w:val="left" w:pos="569"/>
        </w:tabs>
        <w:jc w:val="both"/>
        <w:rPr>
          <w:sz w:val="22"/>
          <w:szCs w:val="22"/>
          <w:lang w:val="sr-Latn-RS"/>
        </w:rPr>
      </w:pPr>
      <w:r w:rsidRPr="00E00E21">
        <w:rPr>
          <w:sz w:val="22"/>
          <w:szCs w:val="22"/>
          <w:lang w:val="sr-Latn-RS"/>
        </w:rPr>
        <w:t xml:space="preserve">Lijek Kabazitaksel EVER Pharma potrebno je </w:t>
      </w:r>
      <w:r w:rsidR="003C0110" w:rsidRPr="00E00E21">
        <w:rPr>
          <w:sz w:val="22"/>
          <w:szCs w:val="22"/>
          <w:lang w:val="sr-Latn-RS"/>
        </w:rPr>
        <w:t>razblažiti</w:t>
      </w:r>
      <w:r w:rsidRPr="00E00E21">
        <w:rPr>
          <w:sz w:val="22"/>
          <w:szCs w:val="22"/>
          <w:lang w:val="sr-Latn-RS"/>
        </w:rPr>
        <w:t xml:space="preserve"> prije upo</w:t>
      </w:r>
      <w:r w:rsidR="003C0110" w:rsidRPr="00E00E21">
        <w:rPr>
          <w:sz w:val="22"/>
          <w:szCs w:val="22"/>
          <w:lang w:val="sr-Latn-RS"/>
        </w:rPr>
        <w:t>trebe</w:t>
      </w:r>
      <w:r w:rsidRPr="00E00E21">
        <w:rPr>
          <w:sz w:val="22"/>
          <w:szCs w:val="22"/>
          <w:lang w:val="sr-Latn-RS"/>
        </w:rPr>
        <w:t xml:space="preserve"> samo </w:t>
      </w:r>
      <w:r w:rsidRPr="00E00E21">
        <w:rPr>
          <w:b/>
          <w:bCs/>
          <w:sz w:val="22"/>
          <w:szCs w:val="22"/>
          <w:lang w:val="sr-Latn-RS"/>
        </w:rPr>
        <w:t>JEDNOM</w:t>
      </w:r>
      <w:r w:rsidRPr="00E00E21">
        <w:rPr>
          <w:sz w:val="22"/>
          <w:szCs w:val="22"/>
          <w:lang w:val="sr-Latn-RS"/>
        </w:rPr>
        <w:t>. Slijedite uput</w:t>
      </w:r>
      <w:r w:rsidR="003C0110" w:rsidRPr="00E00E21">
        <w:rPr>
          <w:sz w:val="22"/>
          <w:szCs w:val="22"/>
          <w:lang w:val="sr-Latn-RS"/>
        </w:rPr>
        <w:t xml:space="preserve">stva </w:t>
      </w:r>
      <w:r w:rsidRPr="00E00E21">
        <w:rPr>
          <w:sz w:val="22"/>
          <w:szCs w:val="22"/>
          <w:lang w:val="sr-Latn-RS"/>
        </w:rPr>
        <w:t xml:space="preserve">za pripremu navedene u nastavku. </w:t>
      </w:r>
    </w:p>
    <w:p w14:paraId="3C1B6AA0" w14:textId="77777777" w:rsidR="00F52F41" w:rsidRPr="00E00E21" w:rsidRDefault="00F52F41" w:rsidP="001759AF">
      <w:pPr>
        <w:tabs>
          <w:tab w:val="left" w:pos="540"/>
          <w:tab w:val="left" w:pos="569"/>
        </w:tabs>
        <w:jc w:val="both"/>
        <w:rPr>
          <w:sz w:val="22"/>
          <w:szCs w:val="22"/>
          <w:lang w:val="sr-Latn-RS"/>
        </w:rPr>
      </w:pPr>
    </w:p>
    <w:p w14:paraId="1CA95703" w14:textId="1DF5A6EA" w:rsidR="003C0110" w:rsidRPr="00E00E21" w:rsidRDefault="001759AF" w:rsidP="001759AF">
      <w:pPr>
        <w:tabs>
          <w:tab w:val="left" w:pos="540"/>
          <w:tab w:val="left" w:pos="569"/>
        </w:tabs>
        <w:jc w:val="both"/>
        <w:rPr>
          <w:sz w:val="22"/>
          <w:szCs w:val="22"/>
          <w:lang w:val="sr-Latn-RS"/>
        </w:rPr>
      </w:pPr>
      <w:r w:rsidRPr="00E00E21">
        <w:rPr>
          <w:sz w:val="22"/>
          <w:szCs w:val="22"/>
          <w:lang w:val="sr-Latn-RS"/>
        </w:rPr>
        <w:t>P</w:t>
      </w:r>
      <w:r w:rsidR="003C0110" w:rsidRPr="00E00E21">
        <w:rPr>
          <w:sz w:val="22"/>
          <w:szCs w:val="22"/>
          <w:lang w:val="sr-Latn-RS"/>
        </w:rPr>
        <w:t>ostupak razblaživanja</w:t>
      </w:r>
      <w:r w:rsidRPr="00E00E21">
        <w:rPr>
          <w:sz w:val="22"/>
          <w:szCs w:val="22"/>
          <w:lang w:val="sr-Latn-RS"/>
        </w:rPr>
        <w:t xml:space="preserve"> za pripremu </w:t>
      </w:r>
      <w:r w:rsidR="003C0110" w:rsidRPr="00E00E21">
        <w:rPr>
          <w:sz w:val="22"/>
          <w:szCs w:val="22"/>
          <w:lang w:val="sr-Latn-RS"/>
        </w:rPr>
        <w:t>rastvora</w:t>
      </w:r>
      <w:r w:rsidRPr="00E00E21">
        <w:rPr>
          <w:sz w:val="22"/>
          <w:szCs w:val="22"/>
          <w:lang w:val="sr-Latn-RS"/>
        </w:rPr>
        <w:t xml:space="preserve"> za infuziju naveden u nastavku potrebno je </w:t>
      </w:r>
      <w:r w:rsidR="003C0110" w:rsidRPr="00E00E21">
        <w:rPr>
          <w:sz w:val="22"/>
          <w:szCs w:val="22"/>
          <w:lang w:val="sr-Latn-RS"/>
        </w:rPr>
        <w:t>s</w:t>
      </w:r>
      <w:r w:rsidRPr="00E00E21">
        <w:rPr>
          <w:sz w:val="22"/>
          <w:szCs w:val="22"/>
          <w:lang w:val="sr-Latn-RS"/>
        </w:rPr>
        <w:t>provesti u aseptičnim u</w:t>
      </w:r>
      <w:r w:rsidR="00D50706" w:rsidRPr="00E00E21">
        <w:rPr>
          <w:sz w:val="22"/>
          <w:szCs w:val="22"/>
          <w:lang w:val="sr-Latn-RS"/>
        </w:rPr>
        <w:t>slovima</w:t>
      </w:r>
      <w:r w:rsidRPr="00E00E21">
        <w:rPr>
          <w:sz w:val="22"/>
          <w:szCs w:val="22"/>
          <w:lang w:val="sr-Latn-RS"/>
        </w:rPr>
        <w:t xml:space="preserve">. </w:t>
      </w:r>
    </w:p>
    <w:p w14:paraId="44EE7A2A" w14:textId="77777777" w:rsidR="00F52F41" w:rsidRPr="00E00E21" w:rsidRDefault="00F52F41" w:rsidP="001759AF">
      <w:pPr>
        <w:tabs>
          <w:tab w:val="left" w:pos="540"/>
          <w:tab w:val="left" w:pos="569"/>
        </w:tabs>
        <w:jc w:val="both"/>
        <w:rPr>
          <w:sz w:val="22"/>
          <w:szCs w:val="22"/>
          <w:lang w:val="sr-Latn-RS"/>
        </w:rPr>
      </w:pPr>
    </w:p>
    <w:p w14:paraId="277BC7B6" w14:textId="77777777" w:rsidR="003C0110" w:rsidRPr="00E00E21" w:rsidRDefault="001759AF" w:rsidP="001759AF">
      <w:pPr>
        <w:tabs>
          <w:tab w:val="left" w:pos="540"/>
          <w:tab w:val="left" w:pos="569"/>
        </w:tabs>
        <w:jc w:val="both"/>
        <w:rPr>
          <w:sz w:val="22"/>
          <w:szCs w:val="22"/>
          <w:lang w:val="sr-Latn-RS"/>
        </w:rPr>
      </w:pPr>
      <w:r w:rsidRPr="00E00E21">
        <w:rPr>
          <w:sz w:val="22"/>
          <w:szCs w:val="22"/>
          <w:lang w:val="sr-Latn-RS"/>
        </w:rPr>
        <w:t xml:space="preserve">Za primjenu propisane doze možda će biti potrebno više bočica koncentrata. </w:t>
      </w:r>
    </w:p>
    <w:p w14:paraId="52A95EBE" w14:textId="77777777" w:rsidR="003C0110" w:rsidRPr="00E00E21" w:rsidRDefault="003C0110" w:rsidP="001759AF">
      <w:pPr>
        <w:tabs>
          <w:tab w:val="left" w:pos="540"/>
          <w:tab w:val="left" w:pos="569"/>
        </w:tabs>
        <w:jc w:val="both"/>
        <w:rPr>
          <w:sz w:val="22"/>
          <w:szCs w:val="22"/>
          <w:lang w:val="sr-Latn-RS"/>
        </w:rPr>
      </w:pPr>
    </w:p>
    <w:p w14:paraId="46A47FC1" w14:textId="6891FCD0" w:rsidR="003C0110" w:rsidRPr="00E00E21" w:rsidRDefault="003C0110" w:rsidP="001759AF">
      <w:pPr>
        <w:tabs>
          <w:tab w:val="left" w:pos="540"/>
          <w:tab w:val="left" w:pos="569"/>
        </w:tabs>
        <w:jc w:val="both"/>
        <w:rPr>
          <w:sz w:val="22"/>
          <w:szCs w:val="22"/>
          <w:lang w:val="sr-Latn-RS"/>
        </w:rPr>
      </w:pPr>
      <w:r w:rsidRPr="00E00E21">
        <w:rPr>
          <w:b/>
          <w:sz w:val="22"/>
          <w:szCs w:val="22"/>
          <w:lang w:val="sr-Latn-RS"/>
        </w:rPr>
        <w:t xml:space="preserve">Razblaživanje </w:t>
      </w:r>
      <w:r w:rsidR="001759AF" w:rsidRPr="00E00E21">
        <w:rPr>
          <w:b/>
          <w:sz w:val="22"/>
          <w:szCs w:val="22"/>
          <w:lang w:val="sr-Latn-RS"/>
        </w:rPr>
        <w:t xml:space="preserve">koncentrata za </w:t>
      </w:r>
      <w:r w:rsidRPr="00E00E21">
        <w:rPr>
          <w:b/>
          <w:sz w:val="22"/>
          <w:szCs w:val="22"/>
          <w:lang w:val="sr-Latn-RS"/>
        </w:rPr>
        <w:t xml:space="preserve">rastvor </w:t>
      </w:r>
      <w:r w:rsidR="001759AF" w:rsidRPr="00E00E21">
        <w:rPr>
          <w:b/>
          <w:sz w:val="22"/>
          <w:szCs w:val="22"/>
          <w:lang w:val="sr-Latn-RS"/>
        </w:rPr>
        <w:t>za infuziju</w:t>
      </w:r>
      <w:r w:rsidR="001759AF" w:rsidRPr="00E00E21">
        <w:rPr>
          <w:sz w:val="22"/>
          <w:szCs w:val="22"/>
          <w:lang w:val="sr-Latn-RS"/>
        </w:rPr>
        <w:t xml:space="preserve"> </w:t>
      </w:r>
    </w:p>
    <w:p w14:paraId="2FC5FC0F" w14:textId="77777777" w:rsidR="003C0110" w:rsidRPr="00E00E21" w:rsidRDefault="003C0110" w:rsidP="001759AF">
      <w:pPr>
        <w:tabs>
          <w:tab w:val="left" w:pos="540"/>
          <w:tab w:val="left" w:pos="569"/>
        </w:tabs>
        <w:jc w:val="both"/>
        <w:rPr>
          <w:b/>
          <w:sz w:val="22"/>
          <w:szCs w:val="22"/>
          <w:lang w:val="sr-Latn-RS"/>
        </w:rPr>
      </w:pPr>
    </w:p>
    <w:p w14:paraId="5963A955" w14:textId="1C5DEF32" w:rsidR="003C0110" w:rsidRPr="00E00E21" w:rsidRDefault="001759AF" w:rsidP="001759AF">
      <w:pPr>
        <w:tabs>
          <w:tab w:val="left" w:pos="540"/>
          <w:tab w:val="left" w:pos="569"/>
        </w:tabs>
        <w:jc w:val="both"/>
        <w:rPr>
          <w:sz w:val="22"/>
          <w:szCs w:val="22"/>
          <w:lang w:val="sr-Latn-RS"/>
        </w:rPr>
      </w:pPr>
      <w:r w:rsidRPr="00E00E21">
        <w:rPr>
          <w:bCs/>
          <w:i/>
          <w:iCs/>
          <w:sz w:val="22"/>
          <w:szCs w:val="22"/>
          <w:lang w:val="sr-Latn-RS"/>
        </w:rPr>
        <w:t>Korak 1:</w:t>
      </w:r>
      <w:r w:rsidRPr="00E00E21">
        <w:rPr>
          <w:sz w:val="22"/>
          <w:szCs w:val="22"/>
          <w:lang w:val="sr-Latn-RS"/>
        </w:rPr>
        <w:t xml:space="preserve"> </w:t>
      </w:r>
      <w:r w:rsidR="003C0110" w:rsidRPr="00E00E21">
        <w:rPr>
          <w:sz w:val="22"/>
          <w:szCs w:val="22"/>
          <w:lang w:val="sr-Latn-RS"/>
        </w:rPr>
        <w:t>Pod aseptičnim uslovima, korišćenjem graduisanog šprica sa iglom,</w:t>
      </w:r>
      <w:r w:rsidRPr="00E00E21">
        <w:rPr>
          <w:sz w:val="22"/>
          <w:szCs w:val="22"/>
          <w:lang w:val="sr-Latn-RS"/>
        </w:rPr>
        <w:t xml:space="preserve"> izvucite željenu količinu koncentrata (10</w:t>
      </w:r>
      <w:r w:rsidR="00D50706" w:rsidRPr="00E00E21">
        <w:rPr>
          <w:sz w:val="22"/>
          <w:szCs w:val="22"/>
          <w:lang w:val="sr-Latn-RS"/>
        </w:rPr>
        <w:t xml:space="preserve"> </w:t>
      </w:r>
      <w:r w:rsidRPr="00E00E21">
        <w:rPr>
          <w:sz w:val="22"/>
          <w:szCs w:val="22"/>
          <w:lang w:val="sr-Latn-RS"/>
        </w:rPr>
        <w:t xml:space="preserve">mg/ml kabazitaksela). Na primjer, za dozu od 45 mg lijeka Kabazitaksel EVER Pharma potrebno je 4,5 ml koncentrata. </w:t>
      </w:r>
    </w:p>
    <w:p w14:paraId="19EB6B89" w14:textId="77777777" w:rsidR="001077F0" w:rsidRPr="00E00E21" w:rsidRDefault="001077F0" w:rsidP="001759AF">
      <w:pPr>
        <w:tabs>
          <w:tab w:val="left" w:pos="540"/>
          <w:tab w:val="left" w:pos="569"/>
        </w:tabs>
        <w:jc w:val="both"/>
        <w:rPr>
          <w:sz w:val="22"/>
          <w:szCs w:val="22"/>
          <w:lang w:val="sr-Latn-RS"/>
        </w:rPr>
      </w:pPr>
    </w:p>
    <w:p w14:paraId="5F641292" w14:textId="77777777" w:rsidR="003C0110" w:rsidRPr="00E00E21" w:rsidRDefault="003C0110" w:rsidP="001759AF">
      <w:pPr>
        <w:tabs>
          <w:tab w:val="left" w:pos="540"/>
          <w:tab w:val="left" w:pos="569"/>
        </w:tabs>
        <w:jc w:val="both"/>
        <w:rPr>
          <w:sz w:val="22"/>
          <w:szCs w:val="22"/>
          <w:lang w:val="sr-Latn-RS"/>
        </w:rPr>
      </w:pPr>
      <w:r w:rsidRPr="00E00E21">
        <w:rPr>
          <w:sz w:val="22"/>
          <w:szCs w:val="22"/>
          <w:lang w:val="sr-Latn-RS"/>
        </w:rPr>
        <w:t xml:space="preserve">Lijek </w:t>
      </w:r>
      <w:r w:rsidR="001759AF" w:rsidRPr="00E00E21">
        <w:rPr>
          <w:sz w:val="22"/>
          <w:szCs w:val="22"/>
          <w:lang w:val="sr-Latn-RS"/>
        </w:rPr>
        <w:t xml:space="preserve">Kabazitaksel EVER Pharma 10 mg/ml koncentrat za </w:t>
      </w:r>
      <w:r w:rsidRPr="00E00E21">
        <w:rPr>
          <w:sz w:val="22"/>
          <w:szCs w:val="22"/>
          <w:lang w:val="sr-Latn-RS"/>
        </w:rPr>
        <w:t xml:space="preserve">rastvor </w:t>
      </w:r>
      <w:r w:rsidR="001759AF" w:rsidRPr="00E00E21">
        <w:rPr>
          <w:sz w:val="22"/>
          <w:szCs w:val="22"/>
          <w:lang w:val="sr-Latn-RS"/>
        </w:rPr>
        <w:t xml:space="preserve">za infuziju sadrži dodatnu količinu punjenja. Taj višak osigurava da se može izdvojiti </w:t>
      </w:r>
      <w:r w:rsidRPr="00E00E21">
        <w:rPr>
          <w:sz w:val="22"/>
          <w:szCs w:val="22"/>
          <w:lang w:val="sr-Latn-RS"/>
        </w:rPr>
        <w:t>zapremina</w:t>
      </w:r>
      <w:r w:rsidR="001759AF" w:rsidRPr="00E00E21">
        <w:rPr>
          <w:sz w:val="22"/>
          <w:szCs w:val="22"/>
          <w:lang w:val="sr-Latn-RS"/>
        </w:rPr>
        <w:t xml:space="preserve"> od 4,5 ml, 5 ml ili 6 ml koj</w:t>
      </w:r>
      <w:r w:rsidRPr="00E00E21">
        <w:rPr>
          <w:sz w:val="22"/>
          <w:szCs w:val="22"/>
          <w:lang w:val="sr-Latn-RS"/>
        </w:rPr>
        <w:t>a</w:t>
      </w:r>
      <w:r w:rsidR="001759AF" w:rsidRPr="00E00E21">
        <w:rPr>
          <w:sz w:val="22"/>
          <w:szCs w:val="22"/>
          <w:lang w:val="sr-Latn-RS"/>
        </w:rPr>
        <w:t xml:space="preserve"> sadrži 10</w:t>
      </w:r>
      <w:r w:rsidRPr="00E00E21">
        <w:rPr>
          <w:sz w:val="22"/>
          <w:szCs w:val="22"/>
          <w:lang w:val="sr-Latn-RS"/>
        </w:rPr>
        <w:t xml:space="preserve"> mg/ml kabazitaksela. </w:t>
      </w:r>
    </w:p>
    <w:p w14:paraId="1D294C13" w14:textId="77777777" w:rsidR="003C0110" w:rsidRPr="00E00E21" w:rsidRDefault="003C0110" w:rsidP="001759AF">
      <w:pPr>
        <w:tabs>
          <w:tab w:val="left" w:pos="540"/>
          <w:tab w:val="left" w:pos="569"/>
        </w:tabs>
        <w:jc w:val="both"/>
        <w:rPr>
          <w:sz w:val="22"/>
          <w:szCs w:val="22"/>
          <w:lang w:val="sr-Latn-RS"/>
        </w:rPr>
      </w:pPr>
    </w:p>
    <w:p w14:paraId="545830FE" w14:textId="42DFB4A3" w:rsidR="003C0110" w:rsidRPr="00E00E21" w:rsidRDefault="003C0110" w:rsidP="003C0110">
      <w:pPr>
        <w:tabs>
          <w:tab w:val="left" w:pos="540"/>
          <w:tab w:val="left" w:pos="569"/>
        </w:tabs>
        <w:jc w:val="both"/>
        <w:rPr>
          <w:sz w:val="22"/>
          <w:szCs w:val="22"/>
          <w:lang w:val="sr-Latn-RS"/>
        </w:rPr>
      </w:pPr>
      <w:r w:rsidRPr="00E00E21">
        <w:rPr>
          <w:bCs/>
          <w:i/>
          <w:iCs/>
          <w:sz w:val="22"/>
          <w:szCs w:val="22"/>
          <w:lang w:val="sr-Latn-RS"/>
        </w:rPr>
        <w:lastRenderedPageBreak/>
        <w:t>Korak 2:</w:t>
      </w:r>
      <w:r w:rsidRPr="00E00E21">
        <w:rPr>
          <w:sz w:val="22"/>
          <w:szCs w:val="22"/>
          <w:lang w:val="sr-Latn-RS"/>
        </w:rPr>
        <w:t xml:space="preserve"> U</w:t>
      </w:r>
      <w:r w:rsidR="001759AF" w:rsidRPr="00E00E21">
        <w:rPr>
          <w:sz w:val="22"/>
          <w:szCs w:val="22"/>
          <w:lang w:val="sr-Latn-RS"/>
        </w:rPr>
        <w:t xml:space="preserve">brizgajte u sterilni </w:t>
      </w:r>
      <w:r w:rsidRPr="00E00E21">
        <w:rPr>
          <w:sz w:val="22"/>
          <w:szCs w:val="22"/>
          <w:lang w:val="sr-Latn-RS"/>
        </w:rPr>
        <w:t>kontejner</w:t>
      </w:r>
      <w:r w:rsidR="001759AF" w:rsidRPr="00E00E21">
        <w:rPr>
          <w:sz w:val="22"/>
          <w:szCs w:val="22"/>
          <w:lang w:val="sr-Latn-RS"/>
        </w:rPr>
        <w:t xml:space="preserve"> bez PVC-a koji sadrži 5% </w:t>
      </w:r>
      <w:r w:rsidRPr="00E00E21">
        <w:rPr>
          <w:sz w:val="22"/>
          <w:szCs w:val="22"/>
          <w:lang w:val="sr-Latn-RS"/>
        </w:rPr>
        <w:t xml:space="preserve">rastvor </w:t>
      </w:r>
      <w:r w:rsidR="001759AF" w:rsidRPr="00E00E21">
        <w:rPr>
          <w:sz w:val="22"/>
          <w:szCs w:val="22"/>
          <w:lang w:val="sr-Latn-RS"/>
        </w:rPr>
        <w:t xml:space="preserve">glukoze ili </w:t>
      </w:r>
      <w:r w:rsidRPr="00E00E21">
        <w:rPr>
          <w:sz w:val="22"/>
          <w:szCs w:val="22"/>
          <w:lang w:val="sr-Latn-RS"/>
        </w:rPr>
        <w:t>0,9% (9 mg/m</w:t>
      </w:r>
      <w:r w:rsidR="00D50706" w:rsidRPr="00E00E21">
        <w:rPr>
          <w:sz w:val="22"/>
          <w:szCs w:val="22"/>
          <w:lang w:val="sr-Latn-RS"/>
        </w:rPr>
        <w:t>l</w:t>
      </w:r>
      <w:r w:rsidRPr="00E00E21">
        <w:rPr>
          <w:sz w:val="22"/>
          <w:szCs w:val="22"/>
          <w:lang w:val="sr-Latn-RS"/>
        </w:rPr>
        <w:t xml:space="preserve">) rastvor natrijum hlorida za infuziju. </w:t>
      </w:r>
      <w:r w:rsidR="001759AF" w:rsidRPr="00E00E21">
        <w:rPr>
          <w:sz w:val="22"/>
          <w:szCs w:val="22"/>
          <w:lang w:val="sr-Latn-RS"/>
        </w:rPr>
        <w:t xml:space="preserve">Koncentracija </w:t>
      </w:r>
      <w:r w:rsidRPr="00E00E21">
        <w:rPr>
          <w:sz w:val="22"/>
          <w:szCs w:val="22"/>
          <w:lang w:val="sr-Latn-RS"/>
        </w:rPr>
        <w:t xml:space="preserve">rastvora </w:t>
      </w:r>
      <w:r w:rsidR="001759AF" w:rsidRPr="00E00E21">
        <w:rPr>
          <w:sz w:val="22"/>
          <w:szCs w:val="22"/>
          <w:lang w:val="sr-Latn-RS"/>
        </w:rPr>
        <w:t xml:space="preserve">za infuziju treba biti između 0,10 mg/ml i 0,26 mg/ml. </w:t>
      </w:r>
    </w:p>
    <w:p w14:paraId="565C7409" w14:textId="77777777" w:rsidR="003C0110" w:rsidRPr="00E00E21" w:rsidRDefault="003C0110" w:rsidP="003C0110">
      <w:pPr>
        <w:tabs>
          <w:tab w:val="left" w:pos="540"/>
          <w:tab w:val="left" w:pos="569"/>
        </w:tabs>
        <w:jc w:val="both"/>
        <w:rPr>
          <w:sz w:val="22"/>
          <w:szCs w:val="22"/>
          <w:lang w:val="sr-Latn-RS"/>
        </w:rPr>
      </w:pPr>
    </w:p>
    <w:p w14:paraId="33DC6F76" w14:textId="77777777" w:rsidR="003445E6" w:rsidRPr="00E00E21" w:rsidRDefault="001759AF" w:rsidP="003445E6">
      <w:pPr>
        <w:tabs>
          <w:tab w:val="left" w:pos="540"/>
          <w:tab w:val="left" w:pos="569"/>
        </w:tabs>
        <w:jc w:val="both"/>
        <w:rPr>
          <w:sz w:val="22"/>
          <w:szCs w:val="22"/>
          <w:lang w:val="sr-Latn-RS"/>
        </w:rPr>
      </w:pPr>
      <w:r w:rsidRPr="00E00E21">
        <w:rPr>
          <w:bCs/>
          <w:i/>
          <w:iCs/>
          <w:sz w:val="22"/>
          <w:szCs w:val="22"/>
          <w:lang w:val="sr-Latn-RS"/>
        </w:rPr>
        <w:t>Korak 3:</w:t>
      </w:r>
      <w:r w:rsidRPr="00E00E21">
        <w:rPr>
          <w:sz w:val="22"/>
          <w:szCs w:val="22"/>
          <w:lang w:val="sr-Latn-RS"/>
        </w:rPr>
        <w:t xml:space="preserve"> Uklonite</w:t>
      </w:r>
      <w:r w:rsidR="003445E6" w:rsidRPr="00E00E21">
        <w:rPr>
          <w:sz w:val="22"/>
          <w:szCs w:val="22"/>
          <w:lang w:val="sr-Latn-RS"/>
        </w:rPr>
        <w:t xml:space="preserve"> špric i promiješajte sadržaj infuzione kese ili boce ručno, rotacionim pokretima</w:t>
      </w:r>
      <w:r w:rsidRPr="00E00E21">
        <w:rPr>
          <w:sz w:val="22"/>
          <w:szCs w:val="22"/>
          <w:lang w:val="sr-Latn-RS"/>
        </w:rPr>
        <w:t xml:space="preserve">. </w:t>
      </w:r>
    </w:p>
    <w:p w14:paraId="2AACD4D0" w14:textId="77777777" w:rsidR="003445E6" w:rsidRPr="00E00E21" w:rsidRDefault="003445E6" w:rsidP="003445E6">
      <w:pPr>
        <w:tabs>
          <w:tab w:val="left" w:pos="540"/>
          <w:tab w:val="left" w:pos="569"/>
        </w:tabs>
        <w:jc w:val="both"/>
        <w:rPr>
          <w:sz w:val="22"/>
          <w:szCs w:val="22"/>
          <w:lang w:val="sr-Latn-RS"/>
        </w:rPr>
      </w:pPr>
    </w:p>
    <w:p w14:paraId="044FDFE6" w14:textId="77777777" w:rsidR="001077F0" w:rsidRPr="00E00E21" w:rsidRDefault="001759AF" w:rsidP="003445E6">
      <w:pPr>
        <w:tabs>
          <w:tab w:val="left" w:pos="540"/>
          <w:tab w:val="left" w:pos="569"/>
        </w:tabs>
        <w:jc w:val="both"/>
        <w:rPr>
          <w:sz w:val="22"/>
          <w:szCs w:val="22"/>
          <w:lang w:val="sr-Latn-RS"/>
        </w:rPr>
      </w:pPr>
      <w:r w:rsidRPr="00E00E21">
        <w:rPr>
          <w:b/>
          <w:i/>
          <w:iCs/>
          <w:sz w:val="22"/>
          <w:szCs w:val="22"/>
          <w:lang w:val="sr-Latn-RS"/>
        </w:rPr>
        <w:t>Korak 4</w:t>
      </w:r>
      <w:r w:rsidRPr="00E00E21">
        <w:rPr>
          <w:i/>
          <w:iCs/>
          <w:sz w:val="22"/>
          <w:szCs w:val="22"/>
          <w:lang w:val="sr-Latn-RS"/>
        </w:rPr>
        <w:t>:</w:t>
      </w:r>
      <w:r w:rsidRPr="00E00E21">
        <w:rPr>
          <w:sz w:val="22"/>
          <w:szCs w:val="22"/>
          <w:lang w:val="sr-Latn-RS"/>
        </w:rPr>
        <w:t xml:space="preserve"> Kao što je slučaj sa svim parenteralnim pr</w:t>
      </w:r>
      <w:r w:rsidR="003445E6" w:rsidRPr="00E00E21">
        <w:rPr>
          <w:sz w:val="22"/>
          <w:szCs w:val="22"/>
          <w:lang w:val="sr-Latn-RS"/>
        </w:rPr>
        <w:t>eparatima</w:t>
      </w:r>
      <w:r w:rsidRPr="00E00E21">
        <w:rPr>
          <w:sz w:val="22"/>
          <w:szCs w:val="22"/>
          <w:lang w:val="sr-Latn-RS"/>
        </w:rPr>
        <w:t>, pripremljen</w:t>
      </w:r>
      <w:r w:rsidR="003445E6" w:rsidRPr="00E00E21">
        <w:rPr>
          <w:sz w:val="22"/>
          <w:szCs w:val="22"/>
          <w:lang w:val="sr-Latn-RS"/>
        </w:rPr>
        <w:t>i rastvor</w:t>
      </w:r>
      <w:r w:rsidRPr="00E00E21">
        <w:rPr>
          <w:sz w:val="22"/>
          <w:szCs w:val="22"/>
          <w:lang w:val="sr-Latn-RS"/>
        </w:rPr>
        <w:t xml:space="preserve"> za infuziju mora vizualno </w:t>
      </w:r>
      <w:r w:rsidR="003445E6" w:rsidRPr="00E00E21">
        <w:rPr>
          <w:sz w:val="22"/>
          <w:szCs w:val="22"/>
          <w:lang w:val="sr-Latn-RS"/>
        </w:rPr>
        <w:t>da se provjeri</w:t>
      </w:r>
      <w:r w:rsidRPr="00E00E21">
        <w:rPr>
          <w:sz w:val="22"/>
          <w:szCs w:val="22"/>
          <w:lang w:val="sr-Latn-RS"/>
        </w:rPr>
        <w:t xml:space="preserve"> prije primjene. Kako je </w:t>
      </w:r>
      <w:r w:rsidR="003445E6" w:rsidRPr="00E00E21">
        <w:rPr>
          <w:sz w:val="22"/>
          <w:szCs w:val="22"/>
          <w:lang w:val="sr-Latn-RS"/>
        </w:rPr>
        <w:t>rastvor</w:t>
      </w:r>
      <w:r w:rsidRPr="00E00E21">
        <w:rPr>
          <w:sz w:val="22"/>
          <w:szCs w:val="22"/>
          <w:lang w:val="sr-Latn-RS"/>
        </w:rPr>
        <w:t xml:space="preserve"> za infuziju prezasićen, </w:t>
      </w:r>
      <w:r w:rsidR="003445E6" w:rsidRPr="00E00E21">
        <w:rPr>
          <w:sz w:val="22"/>
          <w:szCs w:val="22"/>
          <w:lang w:val="sr-Latn-RS"/>
        </w:rPr>
        <w:t>vremenom može kristalis</w:t>
      </w:r>
      <w:r w:rsidRPr="00E00E21">
        <w:rPr>
          <w:sz w:val="22"/>
          <w:szCs w:val="22"/>
          <w:lang w:val="sr-Latn-RS"/>
        </w:rPr>
        <w:t xml:space="preserve">ati. U tom slučaju </w:t>
      </w:r>
      <w:r w:rsidR="003445E6" w:rsidRPr="00E00E21">
        <w:rPr>
          <w:sz w:val="22"/>
          <w:szCs w:val="22"/>
          <w:lang w:val="sr-Latn-RS"/>
        </w:rPr>
        <w:t>rastvor</w:t>
      </w:r>
      <w:r w:rsidRPr="00E00E21">
        <w:rPr>
          <w:sz w:val="22"/>
          <w:szCs w:val="22"/>
          <w:lang w:val="sr-Latn-RS"/>
        </w:rPr>
        <w:t xml:space="preserve"> se ne smije koristiti </w:t>
      </w:r>
      <w:r w:rsidR="003445E6" w:rsidRPr="00E00E21">
        <w:rPr>
          <w:sz w:val="22"/>
          <w:szCs w:val="22"/>
          <w:lang w:val="sr-Latn-RS"/>
        </w:rPr>
        <w:t>i</w:t>
      </w:r>
      <w:r w:rsidRPr="00E00E21">
        <w:rPr>
          <w:sz w:val="22"/>
          <w:szCs w:val="22"/>
          <w:lang w:val="sr-Latn-RS"/>
        </w:rPr>
        <w:t xml:space="preserve"> treba</w:t>
      </w:r>
      <w:r w:rsidR="003445E6" w:rsidRPr="00E00E21">
        <w:rPr>
          <w:sz w:val="22"/>
          <w:szCs w:val="22"/>
          <w:lang w:val="sr-Latn-RS"/>
        </w:rPr>
        <w:t xml:space="preserve"> ga</w:t>
      </w:r>
      <w:r w:rsidRPr="00E00E21">
        <w:rPr>
          <w:sz w:val="22"/>
          <w:szCs w:val="22"/>
          <w:lang w:val="sr-Latn-RS"/>
        </w:rPr>
        <w:t xml:space="preserve"> ukloniti.</w:t>
      </w:r>
      <w:r w:rsidR="003445E6" w:rsidRPr="00E00E21">
        <w:rPr>
          <w:sz w:val="22"/>
          <w:szCs w:val="22"/>
          <w:lang w:val="sr-Latn-RS"/>
        </w:rPr>
        <w:t xml:space="preserve"> </w:t>
      </w:r>
    </w:p>
    <w:p w14:paraId="02F6B73B" w14:textId="77777777" w:rsidR="001077F0" w:rsidRPr="00E00E21" w:rsidRDefault="001077F0" w:rsidP="003445E6">
      <w:pPr>
        <w:tabs>
          <w:tab w:val="left" w:pos="540"/>
          <w:tab w:val="left" w:pos="569"/>
        </w:tabs>
        <w:jc w:val="both"/>
        <w:rPr>
          <w:sz w:val="22"/>
          <w:szCs w:val="22"/>
          <w:lang w:val="sr-Latn-RS"/>
        </w:rPr>
      </w:pPr>
    </w:p>
    <w:p w14:paraId="436D0C53" w14:textId="5592FCBD" w:rsidR="003445E6" w:rsidRPr="00E00E21" w:rsidRDefault="003445E6" w:rsidP="003445E6">
      <w:pPr>
        <w:tabs>
          <w:tab w:val="left" w:pos="540"/>
          <w:tab w:val="left" w:pos="569"/>
        </w:tabs>
        <w:jc w:val="both"/>
        <w:rPr>
          <w:sz w:val="22"/>
          <w:szCs w:val="22"/>
          <w:lang w:val="sr-Latn-RS"/>
        </w:rPr>
      </w:pPr>
      <w:r w:rsidRPr="00E00E21">
        <w:rPr>
          <w:sz w:val="22"/>
          <w:szCs w:val="22"/>
          <w:lang w:val="sr-Latn-RS"/>
        </w:rPr>
        <w:t>Rastvor</w:t>
      </w:r>
      <w:r w:rsidR="001759AF" w:rsidRPr="00E00E21">
        <w:rPr>
          <w:sz w:val="22"/>
          <w:szCs w:val="22"/>
          <w:lang w:val="sr-Latn-RS"/>
        </w:rPr>
        <w:t xml:space="preserve"> za infuziju mora se primijeniti odmah. Međutim, vrijeme čuvanja </w:t>
      </w:r>
      <w:r w:rsidRPr="00E00E21">
        <w:rPr>
          <w:sz w:val="22"/>
          <w:szCs w:val="22"/>
          <w:lang w:val="sr-Latn-RS"/>
        </w:rPr>
        <w:t>pripremljenog rastvora</w:t>
      </w:r>
      <w:r w:rsidR="001759AF" w:rsidRPr="00E00E21">
        <w:rPr>
          <w:sz w:val="22"/>
          <w:szCs w:val="22"/>
          <w:lang w:val="sr-Latn-RS"/>
        </w:rPr>
        <w:t xml:space="preserve"> može biti </w:t>
      </w:r>
      <w:r w:rsidRPr="00E00E21">
        <w:rPr>
          <w:sz w:val="22"/>
          <w:szCs w:val="22"/>
          <w:lang w:val="sr-Latn-RS"/>
        </w:rPr>
        <w:t xml:space="preserve">duže i to pod </w:t>
      </w:r>
      <w:r w:rsidR="001759AF" w:rsidRPr="00E00E21">
        <w:rPr>
          <w:sz w:val="22"/>
          <w:szCs w:val="22"/>
          <w:lang w:val="sr-Latn-RS"/>
        </w:rPr>
        <w:t>specifičnim u</w:t>
      </w:r>
      <w:r w:rsidRPr="00E00E21">
        <w:rPr>
          <w:sz w:val="22"/>
          <w:szCs w:val="22"/>
          <w:lang w:val="sr-Latn-RS"/>
        </w:rPr>
        <w:t>slovima</w:t>
      </w:r>
      <w:r w:rsidR="001759AF" w:rsidRPr="00E00E21">
        <w:rPr>
          <w:sz w:val="22"/>
          <w:szCs w:val="22"/>
          <w:lang w:val="sr-Latn-RS"/>
        </w:rPr>
        <w:t xml:space="preserve"> navedenim u dijelu 6.3.</w:t>
      </w:r>
    </w:p>
    <w:p w14:paraId="4FF59E06" w14:textId="77777777" w:rsidR="001077F0" w:rsidRPr="00E00E21" w:rsidRDefault="001077F0" w:rsidP="003445E6">
      <w:pPr>
        <w:tabs>
          <w:tab w:val="left" w:pos="540"/>
          <w:tab w:val="left" w:pos="569"/>
        </w:tabs>
        <w:jc w:val="both"/>
        <w:rPr>
          <w:sz w:val="22"/>
          <w:szCs w:val="22"/>
          <w:lang w:val="sr-Latn-RS"/>
        </w:rPr>
      </w:pPr>
    </w:p>
    <w:p w14:paraId="47ADA9F2" w14:textId="77777777" w:rsidR="001077F0" w:rsidRPr="00E00E21" w:rsidRDefault="001759AF" w:rsidP="003445E6">
      <w:pPr>
        <w:tabs>
          <w:tab w:val="left" w:pos="540"/>
          <w:tab w:val="left" w:pos="569"/>
        </w:tabs>
        <w:jc w:val="both"/>
        <w:rPr>
          <w:sz w:val="22"/>
          <w:szCs w:val="22"/>
          <w:lang w:val="sr-Latn-RS"/>
        </w:rPr>
      </w:pPr>
      <w:r w:rsidRPr="00E00E21">
        <w:rPr>
          <w:sz w:val="22"/>
          <w:szCs w:val="22"/>
          <w:lang w:val="sr-Latn-RS"/>
        </w:rPr>
        <w:t xml:space="preserve">Za pripremu i primjenu </w:t>
      </w:r>
      <w:r w:rsidR="003445E6" w:rsidRPr="00E00E21">
        <w:rPr>
          <w:sz w:val="22"/>
          <w:szCs w:val="22"/>
          <w:lang w:val="sr-Latn-RS"/>
        </w:rPr>
        <w:t xml:space="preserve">lijeka </w:t>
      </w:r>
      <w:r w:rsidRPr="00E00E21">
        <w:rPr>
          <w:sz w:val="22"/>
          <w:szCs w:val="22"/>
          <w:lang w:val="sr-Latn-RS"/>
        </w:rPr>
        <w:t>Kabazitaksela EVER Pharma ne smiju se kor</w:t>
      </w:r>
      <w:r w:rsidR="003445E6" w:rsidRPr="00E00E21">
        <w:rPr>
          <w:sz w:val="22"/>
          <w:szCs w:val="22"/>
          <w:lang w:val="sr-Latn-RS"/>
        </w:rPr>
        <w:t>istiti PVC infuzioni kontejneri niti poliuretanski infuzioni</w:t>
      </w:r>
      <w:r w:rsidRPr="00E00E21">
        <w:rPr>
          <w:sz w:val="22"/>
          <w:szCs w:val="22"/>
          <w:lang w:val="sr-Latn-RS"/>
        </w:rPr>
        <w:t xml:space="preserve"> setovi. </w:t>
      </w:r>
    </w:p>
    <w:p w14:paraId="61E99FEC" w14:textId="77777777" w:rsidR="001077F0" w:rsidRPr="00E00E21" w:rsidRDefault="001077F0" w:rsidP="003445E6">
      <w:pPr>
        <w:tabs>
          <w:tab w:val="left" w:pos="540"/>
          <w:tab w:val="left" w:pos="569"/>
        </w:tabs>
        <w:jc w:val="both"/>
        <w:rPr>
          <w:sz w:val="22"/>
          <w:szCs w:val="22"/>
          <w:lang w:val="sr-Latn-RS"/>
        </w:rPr>
      </w:pPr>
    </w:p>
    <w:p w14:paraId="497EA10C" w14:textId="0BC36440" w:rsidR="003445E6" w:rsidRPr="00E00E21" w:rsidRDefault="003445E6" w:rsidP="003445E6">
      <w:pPr>
        <w:tabs>
          <w:tab w:val="left" w:pos="540"/>
          <w:tab w:val="left" w:pos="569"/>
        </w:tabs>
        <w:jc w:val="both"/>
        <w:rPr>
          <w:sz w:val="22"/>
          <w:szCs w:val="22"/>
          <w:lang w:val="sr-Latn-RS"/>
        </w:rPr>
      </w:pPr>
      <w:r w:rsidRPr="00E00E21">
        <w:rPr>
          <w:sz w:val="22"/>
          <w:szCs w:val="22"/>
          <w:lang w:val="sr-Latn-RS"/>
        </w:rPr>
        <w:t>Lijek</w:t>
      </w:r>
      <w:r w:rsidR="00D50706" w:rsidRPr="00E00E21">
        <w:rPr>
          <w:sz w:val="22"/>
          <w:szCs w:val="22"/>
          <w:lang w:val="sr-Latn-RS"/>
        </w:rPr>
        <w:t xml:space="preserve"> </w:t>
      </w:r>
      <w:r w:rsidR="001759AF" w:rsidRPr="00E00E21">
        <w:rPr>
          <w:sz w:val="22"/>
          <w:szCs w:val="22"/>
          <w:lang w:val="sr-Latn-RS"/>
        </w:rPr>
        <w:t>Kabazitaksel EVER Pharma ne smije se miješati s</w:t>
      </w:r>
      <w:r w:rsidRPr="00E00E21">
        <w:rPr>
          <w:sz w:val="22"/>
          <w:szCs w:val="22"/>
          <w:lang w:val="sr-Latn-RS"/>
        </w:rPr>
        <w:t>a</w:t>
      </w:r>
      <w:r w:rsidR="001759AF" w:rsidRPr="00E00E21">
        <w:rPr>
          <w:sz w:val="22"/>
          <w:szCs w:val="22"/>
          <w:lang w:val="sr-Latn-RS"/>
        </w:rPr>
        <w:t xml:space="preserve"> drugim lijekovima, osim onih koji su prethodno navedeni.</w:t>
      </w:r>
      <w:r w:rsidRPr="00E00E21">
        <w:rPr>
          <w:sz w:val="22"/>
          <w:szCs w:val="22"/>
          <w:lang w:val="sr-Latn-RS"/>
        </w:rPr>
        <w:t xml:space="preserve"> </w:t>
      </w:r>
    </w:p>
    <w:p w14:paraId="0F81D4F7" w14:textId="77777777" w:rsidR="00975565" w:rsidRPr="00E00E21" w:rsidRDefault="00975565" w:rsidP="003445E6">
      <w:pPr>
        <w:tabs>
          <w:tab w:val="left" w:pos="540"/>
          <w:tab w:val="left" w:pos="569"/>
        </w:tabs>
        <w:jc w:val="both"/>
        <w:rPr>
          <w:sz w:val="22"/>
          <w:szCs w:val="22"/>
          <w:lang w:val="sr-Latn-RS"/>
        </w:rPr>
      </w:pPr>
    </w:p>
    <w:p w14:paraId="19F51B7C" w14:textId="0ADB0600" w:rsidR="0072020E" w:rsidRPr="00E00E21" w:rsidRDefault="003445E6" w:rsidP="003445E6">
      <w:pPr>
        <w:tabs>
          <w:tab w:val="left" w:pos="540"/>
          <w:tab w:val="left" w:pos="569"/>
        </w:tabs>
        <w:jc w:val="both"/>
        <w:rPr>
          <w:sz w:val="22"/>
          <w:szCs w:val="22"/>
          <w:lang w:val="sr-Latn-RS"/>
        </w:rPr>
      </w:pPr>
      <w:r w:rsidRPr="00E00E21">
        <w:rPr>
          <w:sz w:val="22"/>
          <w:szCs w:val="22"/>
          <w:lang w:val="sr-Latn-RS"/>
        </w:rPr>
        <w:t>Svu neiskorišćenu količinu lijeka ili otpadnog materijala nakon njegove upotrebe treba ukloniti, u skladu sa važećim propisima.</w:t>
      </w:r>
    </w:p>
    <w:p w14:paraId="6B2C1A84" w14:textId="77777777" w:rsidR="003445E6" w:rsidRPr="00E00E21" w:rsidRDefault="003445E6" w:rsidP="003445E6">
      <w:pPr>
        <w:tabs>
          <w:tab w:val="left" w:pos="540"/>
          <w:tab w:val="left" w:pos="569"/>
        </w:tabs>
        <w:jc w:val="both"/>
        <w:rPr>
          <w:sz w:val="22"/>
          <w:szCs w:val="22"/>
          <w:lang w:val="sr-Latn-RS"/>
        </w:rPr>
      </w:pPr>
    </w:p>
    <w:p w14:paraId="16023C2E" w14:textId="77777777" w:rsidR="00F8570A" w:rsidRPr="00E00E21" w:rsidRDefault="0072020E" w:rsidP="00480FB1">
      <w:pPr>
        <w:tabs>
          <w:tab w:val="left" w:pos="540"/>
          <w:tab w:val="left" w:pos="569"/>
        </w:tabs>
        <w:rPr>
          <w:b/>
          <w:bCs/>
          <w:sz w:val="22"/>
          <w:szCs w:val="22"/>
          <w:lang w:val="sr-Latn-RS"/>
        </w:rPr>
      </w:pPr>
      <w:r w:rsidRPr="00E00E21">
        <w:rPr>
          <w:b/>
          <w:bCs/>
          <w:sz w:val="22"/>
          <w:szCs w:val="22"/>
          <w:lang w:val="sr-Latn-RS"/>
        </w:rPr>
        <w:t xml:space="preserve">7. </w:t>
      </w:r>
      <w:r w:rsidR="00480FB1" w:rsidRPr="00E00E21">
        <w:rPr>
          <w:b/>
          <w:bCs/>
          <w:sz w:val="22"/>
          <w:szCs w:val="22"/>
          <w:lang w:val="sr-Latn-RS"/>
        </w:rPr>
        <w:tab/>
      </w:r>
      <w:r w:rsidRPr="00E00E21">
        <w:rPr>
          <w:b/>
          <w:bCs/>
          <w:sz w:val="22"/>
          <w:szCs w:val="22"/>
          <w:lang w:val="sr-Latn-RS"/>
        </w:rPr>
        <w:t>NOSILAC DOZVOLE</w:t>
      </w:r>
      <w:r w:rsidR="00483928" w:rsidRPr="00E00E21">
        <w:rPr>
          <w:b/>
          <w:bCs/>
          <w:sz w:val="22"/>
          <w:szCs w:val="22"/>
          <w:lang w:val="sr-Latn-RS"/>
        </w:rPr>
        <w:t xml:space="preserve"> </w:t>
      </w:r>
    </w:p>
    <w:p w14:paraId="6ECB7EDC" w14:textId="77777777" w:rsidR="003445E6" w:rsidRPr="00E00E21" w:rsidRDefault="003445E6" w:rsidP="003445E6">
      <w:pPr>
        <w:rPr>
          <w:sz w:val="22"/>
          <w:szCs w:val="22"/>
          <w:lang w:val="sr-Latn-RS"/>
        </w:rPr>
      </w:pPr>
    </w:p>
    <w:p w14:paraId="0FCEA913" w14:textId="77777777" w:rsidR="003445E6" w:rsidRPr="00E00E21" w:rsidRDefault="003445E6" w:rsidP="003445E6">
      <w:pPr>
        <w:rPr>
          <w:sz w:val="22"/>
          <w:szCs w:val="22"/>
          <w:lang w:val="sr-Latn-RS"/>
        </w:rPr>
      </w:pPr>
      <w:r w:rsidRPr="00E00E21">
        <w:rPr>
          <w:sz w:val="22"/>
          <w:szCs w:val="22"/>
          <w:lang w:val="sr-Latn-RS"/>
        </w:rPr>
        <w:t>Evropa Lek Pharma d.o.o Podgorica</w:t>
      </w:r>
    </w:p>
    <w:p w14:paraId="0638E7CB" w14:textId="77777777" w:rsidR="003445E6" w:rsidRPr="00E00E21" w:rsidRDefault="003445E6" w:rsidP="003445E6">
      <w:pPr>
        <w:rPr>
          <w:sz w:val="22"/>
          <w:szCs w:val="22"/>
          <w:lang w:val="sr-Latn-RS"/>
        </w:rPr>
      </w:pPr>
      <w:r w:rsidRPr="00E00E21">
        <w:rPr>
          <w:sz w:val="22"/>
          <w:szCs w:val="22"/>
          <w:lang w:val="sr-Latn-RS"/>
        </w:rPr>
        <w:t>Kritskog odreda 4/1</w:t>
      </w:r>
    </w:p>
    <w:p w14:paraId="5020F877" w14:textId="2DA3CBB3" w:rsidR="00BB28AB" w:rsidRPr="00E00E21" w:rsidRDefault="003445E6" w:rsidP="003445E6">
      <w:pPr>
        <w:rPr>
          <w:sz w:val="22"/>
          <w:szCs w:val="22"/>
          <w:lang w:val="sr-Latn-RS"/>
        </w:rPr>
      </w:pPr>
      <w:r w:rsidRPr="00E00E21">
        <w:rPr>
          <w:sz w:val="22"/>
          <w:szCs w:val="22"/>
          <w:lang w:val="sr-Latn-RS"/>
        </w:rPr>
        <w:t>Podgorica, Crna Gora</w:t>
      </w:r>
    </w:p>
    <w:p w14:paraId="4AA8A08A" w14:textId="1ABED797" w:rsidR="00C37FD7" w:rsidRPr="00E00E21" w:rsidRDefault="00C37FD7" w:rsidP="00480FB1">
      <w:pPr>
        <w:tabs>
          <w:tab w:val="left" w:pos="540"/>
          <w:tab w:val="left" w:pos="569"/>
        </w:tabs>
        <w:rPr>
          <w:bCs/>
          <w:sz w:val="22"/>
          <w:szCs w:val="22"/>
          <w:lang w:val="sr-Latn-RS"/>
        </w:rPr>
      </w:pPr>
    </w:p>
    <w:p w14:paraId="26618AC2" w14:textId="77777777" w:rsidR="00172CFB" w:rsidRPr="00E00E21" w:rsidRDefault="00172CFB" w:rsidP="00480FB1">
      <w:pPr>
        <w:tabs>
          <w:tab w:val="left" w:pos="540"/>
          <w:tab w:val="left" w:pos="569"/>
        </w:tabs>
        <w:rPr>
          <w:bCs/>
          <w:sz w:val="22"/>
          <w:szCs w:val="22"/>
          <w:lang w:val="sr-Latn-RS"/>
        </w:rPr>
      </w:pPr>
    </w:p>
    <w:p w14:paraId="4223B6A8" w14:textId="77777777" w:rsidR="0072020E" w:rsidRPr="00E00E21" w:rsidRDefault="0072020E" w:rsidP="00480FB1">
      <w:pPr>
        <w:tabs>
          <w:tab w:val="left" w:pos="540"/>
          <w:tab w:val="left" w:pos="569"/>
        </w:tabs>
        <w:rPr>
          <w:b/>
          <w:bCs/>
          <w:sz w:val="22"/>
          <w:szCs w:val="22"/>
          <w:lang w:val="sr-Latn-RS"/>
        </w:rPr>
      </w:pPr>
      <w:r w:rsidRPr="00E00E21">
        <w:rPr>
          <w:b/>
          <w:bCs/>
          <w:sz w:val="22"/>
          <w:szCs w:val="22"/>
          <w:lang w:val="sr-Latn-RS"/>
        </w:rPr>
        <w:t xml:space="preserve">8. </w:t>
      </w:r>
      <w:r w:rsidR="00480FB1" w:rsidRPr="00E00E21">
        <w:rPr>
          <w:b/>
          <w:bCs/>
          <w:sz w:val="22"/>
          <w:szCs w:val="22"/>
          <w:lang w:val="sr-Latn-RS"/>
        </w:rPr>
        <w:tab/>
      </w:r>
      <w:r w:rsidRPr="00E00E21">
        <w:rPr>
          <w:b/>
          <w:bCs/>
          <w:sz w:val="22"/>
          <w:szCs w:val="22"/>
          <w:lang w:val="sr-Latn-RS"/>
        </w:rPr>
        <w:t>BROJ DOZVOLE</w:t>
      </w:r>
      <w:r w:rsidR="008A6D43" w:rsidRPr="00E00E21">
        <w:rPr>
          <w:b/>
          <w:bCs/>
          <w:sz w:val="22"/>
          <w:szCs w:val="22"/>
          <w:lang w:val="sr-Latn-RS"/>
        </w:rPr>
        <w:t xml:space="preserve"> ZA STAVLJANJE LIJEKA U PROMET</w:t>
      </w:r>
    </w:p>
    <w:p w14:paraId="6F2333C7" w14:textId="7B81DC87" w:rsidR="0072020E" w:rsidRPr="00E00E21" w:rsidRDefault="0072020E" w:rsidP="00480FB1">
      <w:pPr>
        <w:tabs>
          <w:tab w:val="left" w:pos="540"/>
          <w:tab w:val="left" w:pos="569"/>
        </w:tabs>
        <w:rPr>
          <w:bCs/>
          <w:sz w:val="22"/>
          <w:szCs w:val="22"/>
          <w:lang w:val="sr-Latn-RS"/>
        </w:rPr>
      </w:pPr>
    </w:p>
    <w:p w14:paraId="3FF61DE1" w14:textId="3E2AE8DA" w:rsidR="00E00E21" w:rsidRPr="00E00E21" w:rsidRDefault="00E00E21" w:rsidP="00480FB1">
      <w:pPr>
        <w:tabs>
          <w:tab w:val="left" w:pos="540"/>
          <w:tab w:val="left" w:pos="569"/>
        </w:tabs>
        <w:rPr>
          <w:bCs/>
          <w:sz w:val="22"/>
          <w:szCs w:val="22"/>
          <w:lang w:val="sr-Latn-RS"/>
        </w:rPr>
      </w:pPr>
    </w:p>
    <w:p w14:paraId="4DEC9105" w14:textId="04981979" w:rsidR="00E00E21" w:rsidRPr="00E00E21" w:rsidRDefault="00E00E21" w:rsidP="00E00E21">
      <w:pPr>
        <w:rPr>
          <w:bCs/>
          <w:sz w:val="22"/>
          <w:szCs w:val="22"/>
          <w:lang w:val="sr-Latn-RS"/>
        </w:rPr>
      </w:pPr>
      <w:r w:rsidRPr="00E00E21">
        <w:rPr>
          <w:bCs/>
          <w:sz w:val="22"/>
          <w:szCs w:val="22"/>
          <w:lang w:val="sr-Latn-RS"/>
        </w:rPr>
        <w:t>Kabazitaksel EVER Pharma, 10 mg/ml, koncentrat za rastvor za infuziju, bočica, staklena, 1x4.5ml:</w:t>
      </w:r>
    </w:p>
    <w:p w14:paraId="5A15E962" w14:textId="69C7EB7D" w:rsidR="00E00E21" w:rsidRPr="00E00E21" w:rsidRDefault="00E00E21" w:rsidP="00E00E21">
      <w:pPr>
        <w:rPr>
          <w:bCs/>
          <w:sz w:val="22"/>
          <w:szCs w:val="22"/>
          <w:lang w:val="sr-Latn-RS"/>
        </w:rPr>
      </w:pPr>
      <w:r w:rsidRPr="00E00E21">
        <w:rPr>
          <w:sz w:val="22"/>
          <w:szCs w:val="22"/>
          <w:lang w:val="sr-Latn-RS" w:eastAsia="sr-Latn-ME"/>
        </w:rPr>
        <w:t>2030/25/435 - 4289</w:t>
      </w:r>
    </w:p>
    <w:p w14:paraId="561EF743" w14:textId="1D2E37BE" w:rsidR="00E00E21" w:rsidRPr="00E00E21" w:rsidRDefault="00E00E21" w:rsidP="00E00E21">
      <w:pPr>
        <w:jc w:val="both"/>
        <w:rPr>
          <w:bCs/>
          <w:sz w:val="22"/>
          <w:szCs w:val="22"/>
          <w:lang w:val="sr-Latn-RS"/>
        </w:rPr>
      </w:pPr>
      <w:r w:rsidRPr="00E00E21">
        <w:rPr>
          <w:iCs/>
          <w:color w:val="000000" w:themeColor="text1"/>
          <w:sz w:val="22"/>
          <w:szCs w:val="22"/>
          <w:lang w:val="sr-Latn-RS"/>
        </w:rPr>
        <w:t xml:space="preserve">Kabazitaksel EVER Pharma, 10 mg/ml, koncentrat za rastvor za infuziju, </w:t>
      </w:r>
      <w:r w:rsidRPr="00E00E21">
        <w:rPr>
          <w:bCs/>
          <w:sz w:val="22"/>
          <w:szCs w:val="22"/>
          <w:lang w:val="sr-Latn-RS"/>
        </w:rPr>
        <w:t>bočica, staklena, 1x5ml:</w:t>
      </w:r>
    </w:p>
    <w:p w14:paraId="111D3657" w14:textId="7E90ECF7" w:rsidR="00E00E21" w:rsidRPr="00E00E21" w:rsidRDefault="00E00E21" w:rsidP="00E00E21">
      <w:pPr>
        <w:jc w:val="both"/>
        <w:rPr>
          <w:iCs/>
          <w:color w:val="000000" w:themeColor="text1"/>
          <w:sz w:val="22"/>
          <w:szCs w:val="22"/>
          <w:lang w:val="sr-Latn-RS"/>
        </w:rPr>
      </w:pPr>
      <w:r w:rsidRPr="00E00E21">
        <w:rPr>
          <w:sz w:val="22"/>
          <w:szCs w:val="22"/>
          <w:lang w:val="sr-Latn-RS" w:eastAsia="sr-Latn-ME"/>
        </w:rPr>
        <w:t>2030/25/436 - 4290</w:t>
      </w:r>
    </w:p>
    <w:p w14:paraId="2EB11487" w14:textId="1C313497" w:rsidR="00E00E21" w:rsidRPr="00E00E21" w:rsidRDefault="00E00E21" w:rsidP="00E00E21">
      <w:pPr>
        <w:jc w:val="both"/>
        <w:rPr>
          <w:bCs/>
          <w:sz w:val="22"/>
          <w:szCs w:val="22"/>
          <w:lang w:val="sr-Latn-RS"/>
        </w:rPr>
      </w:pPr>
      <w:r w:rsidRPr="00E00E21">
        <w:rPr>
          <w:iCs/>
          <w:color w:val="000000" w:themeColor="text1"/>
          <w:sz w:val="22"/>
          <w:szCs w:val="22"/>
          <w:lang w:val="sr-Latn-RS"/>
        </w:rPr>
        <w:t xml:space="preserve">Kabazitaksel EVER Pharma, 10 mg/ml, koncentrat za rastvor za infuziju, </w:t>
      </w:r>
      <w:r w:rsidRPr="00E00E21">
        <w:rPr>
          <w:bCs/>
          <w:sz w:val="22"/>
          <w:szCs w:val="22"/>
          <w:lang w:val="sr-Latn-RS"/>
        </w:rPr>
        <w:t>bočica, staklena, 1x6ml:</w:t>
      </w:r>
    </w:p>
    <w:p w14:paraId="26BB382F" w14:textId="652E5648" w:rsidR="00E00E21" w:rsidRPr="00E00E21" w:rsidRDefault="00E00E21" w:rsidP="00E00E21">
      <w:pPr>
        <w:jc w:val="both"/>
        <w:rPr>
          <w:iCs/>
          <w:color w:val="000000" w:themeColor="text1"/>
          <w:sz w:val="22"/>
          <w:szCs w:val="22"/>
          <w:lang w:val="sr-Latn-RS"/>
        </w:rPr>
      </w:pPr>
      <w:r w:rsidRPr="00E00E21">
        <w:rPr>
          <w:sz w:val="22"/>
          <w:szCs w:val="22"/>
          <w:lang w:val="sr-Latn-RS" w:eastAsia="sr-Latn-ME"/>
        </w:rPr>
        <w:t>2030/25/437 - 4291</w:t>
      </w:r>
    </w:p>
    <w:p w14:paraId="0F33C5EB" w14:textId="2E01E7DB" w:rsidR="00E00E21" w:rsidRPr="00E00E21" w:rsidRDefault="00E00E21" w:rsidP="00480FB1">
      <w:pPr>
        <w:tabs>
          <w:tab w:val="left" w:pos="540"/>
          <w:tab w:val="left" w:pos="569"/>
        </w:tabs>
        <w:rPr>
          <w:bCs/>
          <w:sz w:val="22"/>
          <w:szCs w:val="22"/>
          <w:lang w:val="sr-Latn-RS"/>
        </w:rPr>
      </w:pPr>
    </w:p>
    <w:p w14:paraId="348656F3" w14:textId="77777777" w:rsidR="00F45F77" w:rsidRPr="00E00E21" w:rsidRDefault="00F45F77" w:rsidP="00480FB1">
      <w:pPr>
        <w:tabs>
          <w:tab w:val="left" w:pos="540"/>
          <w:tab w:val="left" w:pos="569"/>
        </w:tabs>
        <w:rPr>
          <w:bCs/>
          <w:sz w:val="22"/>
          <w:szCs w:val="22"/>
          <w:lang w:val="sr-Latn-RS"/>
        </w:rPr>
      </w:pPr>
    </w:p>
    <w:p w14:paraId="20C27348" w14:textId="5DECF8AB" w:rsidR="0072020E" w:rsidRPr="00E00E21" w:rsidRDefault="0072020E" w:rsidP="00480FB1">
      <w:pPr>
        <w:tabs>
          <w:tab w:val="left" w:pos="540"/>
          <w:tab w:val="left" w:pos="569"/>
        </w:tabs>
        <w:rPr>
          <w:b/>
          <w:bCs/>
          <w:sz w:val="22"/>
          <w:szCs w:val="22"/>
          <w:lang w:val="sr-Latn-RS"/>
        </w:rPr>
      </w:pPr>
      <w:r w:rsidRPr="00E00E21">
        <w:rPr>
          <w:b/>
          <w:bCs/>
          <w:sz w:val="22"/>
          <w:szCs w:val="22"/>
          <w:lang w:val="sr-Latn-RS"/>
        </w:rPr>
        <w:t xml:space="preserve">9. </w:t>
      </w:r>
      <w:r w:rsidR="00480FB1" w:rsidRPr="00E00E21">
        <w:rPr>
          <w:b/>
          <w:bCs/>
          <w:sz w:val="22"/>
          <w:szCs w:val="22"/>
          <w:lang w:val="sr-Latn-RS"/>
        </w:rPr>
        <w:tab/>
      </w:r>
      <w:r w:rsidRPr="00E00E21">
        <w:rPr>
          <w:b/>
          <w:bCs/>
          <w:sz w:val="22"/>
          <w:szCs w:val="22"/>
          <w:lang w:val="sr-Latn-RS"/>
        </w:rPr>
        <w:t xml:space="preserve">DATUM </w:t>
      </w:r>
      <w:r w:rsidR="00C05DF8" w:rsidRPr="00E00E21">
        <w:rPr>
          <w:b/>
          <w:bCs/>
          <w:sz w:val="22"/>
          <w:szCs w:val="22"/>
          <w:lang w:val="sr-Latn-RS"/>
        </w:rPr>
        <w:t xml:space="preserve">PRVE </w:t>
      </w:r>
      <w:r w:rsidR="008A6D43" w:rsidRPr="00E00E21">
        <w:rPr>
          <w:b/>
          <w:bCs/>
          <w:sz w:val="22"/>
          <w:szCs w:val="22"/>
          <w:lang w:val="sr-Latn-RS"/>
        </w:rPr>
        <w:t>DOZVOLE</w:t>
      </w:r>
      <w:r w:rsidR="00C05DF8" w:rsidRPr="00E00E21">
        <w:rPr>
          <w:b/>
          <w:bCs/>
          <w:sz w:val="22"/>
          <w:szCs w:val="22"/>
          <w:lang w:val="sr-Latn-RS"/>
        </w:rPr>
        <w:t>/OBNOVE DOZVOLE</w:t>
      </w:r>
      <w:r w:rsidR="008A6D43" w:rsidRPr="00E00E21">
        <w:rPr>
          <w:b/>
          <w:bCs/>
          <w:sz w:val="22"/>
          <w:szCs w:val="22"/>
          <w:lang w:val="sr-Latn-RS"/>
        </w:rPr>
        <w:t xml:space="preserve"> ZA STAVLJANJE LIJEKA U PROMET</w:t>
      </w:r>
    </w:p>
    <w:p w14:paraId="670C8F69" w14:textId="0E1B349F" w:rsidR="00E00E21" w:rsidRPr="00E00E21" w:rsidRDefault="00E00E21" w:rsidP="00480FB1">
      <w:pPr>
        <w:tabs>
          <w:tab w:val="left" w:pos="540"/>
          <w:tab w:val="left" w:pos="569"/>
        </w:tabs>
        <w:rPr>
          <w:b/>
          <w:bCs/>
          <w:sz w:val="22"/>
          <w:szCs w:val="22"/>
          <w:lang w:val="sr-Latn-RS"/>
        </w:rPr>
      </w:pPr>
    </w:p>
    <w:p w14:paraId="44BE7534" w14:textId="193AD787" w:rsidR="00E00E21" w:rsidRPr="00E00E21" w:rsidRDefault="00E00E21" w:rsidP="00480FB1">
      <w:pPr>
        <w:tabs>
          <w:tab w:val="left" w:pos="540"/>
          <w:tab w:val="left" w:pos="569"/>
        </w:tabs>
        <w:rPr>
          <w:b/>
          <w:bCs/>
          <w:sz w:val="22"/>
          <w:szCs w:val="22"/>
          <w:lang w:val="sr-Latn-RS"/>
        </w:rPr>
      </w:pPr>
      <w:r w:rsidRPr="00E00E21">
        <w:rPr>
          <w:sz w:val="22"/>
          <w:szCs w:val="22"/>
          <w:lang w:val="sr-Latn-RS" w:eastAsia="sr-Latn-ME"/>
        </w:rPr>
        <w:t>29.01.2025. godine</w:t>
      </w:r>
    </w:p>
    <w:p w14:paraId="5ECD642D" w14:textId="77777777" w:rsidR="0072020E" w:rsidRPr="00E00E21" w:rsidRDefault="0072020E" w:rsidP="00480FB1">
      <w:pPr>
        <w:tabs>
          <w:tab w:val="left" w:pos="540"/>
          <w:tab w:val="left" w:pos="569"/>
        </w:tabs>
        <w:rPr>
          <w:bCs/>
          <w:sz w:val="22"/>
          <w:szCs w:val="22"/>
          <w:lang w:val="sr-Latn-RS"/>
        </w:rPr>
      </w:pPr>
    </w:p>
    <w:p w14:paraId="0888F615" w14:textId="77777777" w:rsidR="00836B35" w:rsidRPr="00E00E21" w:rsidRDefault="00836B35" w:rsidP="00480FB1">
      <w:pPr>
        <w:tabs>
          <w:tab w:val="left" w:pos="540"/>
          <w:tab w:val="left" w:pos="569"/>
        </w:tabs>
        <w:rPr>
          <w:bCs/>
          <w:sz w:val="22"/>
          <w:szCs w:val="22"/>
          <w:lang w:val="sr-Latn-RS"/>
        </w:rPr>
      </w:pPr>
    </w:p>
    <w:p w14:paraId="09552E0B" w14:textId="77777777" w:rsidR="003F6A59" w:rsidRPr="00E00E21" w:rsidRDefault="0072020E" w:rsidP="00C05DF8">
      <w:pPr>
        <w:tabs>
          <w:tab w:val="left" w:pos="540"/>
          <w:tab w:val="left" w:pos="569"/>
        </w:tabs>
        <w:ind w:left="540" w:hanging="540"/>
        <w:rPr>
          <w:bCs/>
          <w:sz w:val="22"/>
          <w:szCs w:val="22"/>
          <w:lang w:val="sr-Latn-RS"/>
        </w:rPr>
      </w:pPr>
      <w:r w:rsidRPr="00E00E21">
        <w:rPr>
          <w:b/>
          <w:bCs/>
          <w:sz w:val="22"/>
          <w:szCs w:val="22"/>
          <w:lang w:val="sr-Latn-RS"/>
        </w:rPr>
        <w:t xml:space="preserve">10. </w:t>
      </w:r>
      <w:r w:rsidR="00480FB1" w:rsidRPr="00E00E21">
        <w:rPr>
          <w:b/>
          <w:bCs/>
          <w:sz w:val="22"/>
          <w:szCs w:val="22"/>
          <w:lang w:val="sr-Latn-RS"/>
        </w:rPr>
        <w:tab/>
      </w:r>
      <w:r w:rsidR="002846DB" w:rsidRPr="00E00E21">
        <w:rPr>
          <w:b/>
          <w:bCs/>
          <w:sz w:val="22"/>
          <w:szCs w:val="22"/>
          <w:lang w:val="sr-Latn-RS"/>
        </w:rPr>
        <w:t>D</w:t>
      </w:r>
      <w:r w:rsidR="00EC2532" w:rsidRPr="00E00E21">
        <w:rPr>
          <w:b/>
          <w:bCs/>
          <w:sz w:val="22"/>
          <w:szCs w:val="22"/>
          <w:lang w:val="sr-Latn-RS"/>
        </w:rPr>
        <w:t xml:space="preserve">ATUM REVIZIJE TEKSTA </w:t>
      </w:r>
    </w:p>
    <w:p w14:paraId="23D40822" w14:textId="77777777" w:rsidR="003F6A59" w:rsidRPr="00E00E21" w:rsidRDefault="003F6A59" w:rsidP="00480FB1">
      <w:pPr>
        <w:tabs>
          <w:tab w:val="left" w:pos="540"/>
          <w:tab w:val="left" w:pos="569"/>
        </w:tabs>
        <w:rPr>
          <w:bCs/>
          <w:sz w:val="22"/>
          <w:szCs w:val="22"/>
          <w:lang w:val="sr-Latn-RS"/>
        </w:rPr>
      </w:pPr>
    </w:p>
    <w:p w14:paraId="1848B34E" w14:textId="12FB872A" w:rsidR="008A6D43" w:rsidRPr="00E00E21" w:rsidRDefault="00E00E21" w:rsidP="00480FB1">
      <w:pPr>
        <w:tabs>
          <w:tab w:val="left" w:pos="540"/>
          <w:tab w:val="left" w:pos="569"/>
        </w:tabs>
        <w:rPr>
          <w:bCs/>
          <w:sz w:val="22"/>
          <w:szCs w:val="22"/>
          <w:lang w:val="sr-Latn-RS"/>
        </w:rPr>
      </w:pPr>
      <w:r w:rsidRPr="00E00E21">
        <w:rPr>
          <w:bCs/>
          <w:sz w:val="22"/>
          <w:szCs w:val="22"/>
          <w:lang w:val="sr-Latn-RS"/>
        </w:rPr>
        <w:t>Januar, 2025. godine</w:t>
      </w:r>
    </w:p>
    <w:p w14:paraId="38137E98" w14:textId="0F381EB4" w:rsidR="003F6A59" w:rsidRPr="00E00E21" w:rsidRDefault="003F6A59" w:rsidP="00DE3F5C">
      <w:pPr>
        <w:rPr>
          <w:sz w:val="22"/>
          <w:szCs w:val="22"/>
          <w:lang w:val="sr-Latn-RS"/>
        </w:rPr>
      </w:pPr>
    </w:p>
    <w:sectPr w:rsidR="003F6A59" w:rsidRPr="00E00E21" w:rsidSect="00546144">
      <w:footerReference w:type="default" r:id="rId14"/>
      <w:pgSz w:w="11909" w:h="16834" w:code="9"/>
      <w:pgMar w:top="1418"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6A4F0" w14:textId="77777777" w:rsidR="00B25FCA" w:rsidRDefault="00B25FCA">
      <w:r>
        <w:separator/>
      </w:r>
    </w:p>
  </w:endnote>
  <w:endnote w:type="continuationSeparator" w:id="0">
    <w:p w14:paraId="02DD3F54" w14:textId="77777777" w:rsidR="00B25FCA" w:rsidRDefault="00B2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F4FC7" w14:textId="2811BDB0" w:rsidR="00EF566D" w:rsidRPr="00B23F69" w:rsidRDefault="00EF566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46144">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46144">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08B10" w14:textId="77777777" w:rsidR="00B25FCA" w:rsidRDefault="00B25FCA">
      <w:r>
        <w:separator/>
      </w:r>
    </w:p>
  </w:footnote>
  <w:footnote w:type="continuationSeparator" w:id="0">
    <w:p w14:paraId="06093657" w14:textId="77777777" w:rsidR="00B25FCA" w:rsidRDefault="00B25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B8C306C"/>
    <w:multiLevelType w:val="hybridMultilevel"/>
    <w:tmpl w:val="795E862A"/>
    <w:lvl w:ilvl="0" w:tplc="72DE42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B27F8"/>
    <w:multiLevelType w:val="hybridMultilevel"/>
    <w:tmpl w:val="1722E8D2"/>
    <w:lvl w:ilvl="0" w:tplc="72DE42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E577B2A"/>
    <w:multiLevelType w:val="hybridMultilevel"/>
    <w:tmpl w:val="A8FC6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0"/>
  </w:num>
  <w:num w:numId="5">
    <w:abstractNumId w:val="4"/>
  </w:num>
  <w:num w:numId="6">
    <w:abstractNumId w:val="1"/>
  </w:num>
  <w:num w:numId="7">
    <w:abstractNumId w:val="9"/>
  </w:num>
  <w:num w:numId="8">
    <w:abstractNumId w:val="3"/>
  </w:num>
  <w:num w:numId="9">
    <w:abstractNumId w:val="6"/>
  </w:num>
  <w:num w:numId="10">
    <w:abstractNumId w:val="13"/>
  </w:num>
  <w:num w:numId="11">
    <w:abstractNumId w:val="5"/>
  </w:num>
  <w:num w:numId="12">
    <w:abstractNumId w:val="1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498"/>
    <w:rsid w:val="00000528"/>
    <w:rsid w:val="00003A30"/>
    <w:rsid w:val="000043EB"/>
    <w:rsid w:val="00004651"/>
    <w:rsid w:val="000176CA"/>
    <w:rsid w:val="000221DC"/>
    <w:rsid w:val="000306F5"/>
    <w:rsid w:val="00033469"/>
    <w:rsid w:val="00036FA0"/>
    <w:rsid w:val="0003793F"/>
    <w:rsid w:val="00045130"/>
    <w:rsid w:val="00050A10"/>
    <w:rsid w:val="00050D71"/>
    <w:rsid w:val="00054975"/>
    <w:rsid w:val="00056EB7"/>
    <w:rsid w:val="00057E35"/>
    <w:rsid w:val="000648FA"/>
    <w:rsid w:val="00075E28"/>
    <w:rsid w:val="00076726"/>
    <w:rsid w:val="00080303"/>
    <w:rsid w:val="00083D02"/>
    <w:rsid w:val="000A2436"/>
    <w:rsid w:val="000A3F58"/>
    <w:rsid w:val="000B2A84"/>
    <w:rsid w:val="000B7E6B"/>
    <w:rsid w:val="000C7C76"/>
    <w:rsid w:val="000D2343"/>
    <w:rsid w:val="000D3449"/>
    <w:rsid w:val="000D425A"/>
    <w:rsid w:val="000D5E0D"/>
    <w:rsid w:val="000D60CC"/>
    <w:rsid w:val="000E1B31"/>
    <w:rsid w:val="000E2084"/>
    <w:rsid w:val="000E455A"/>
    <w:rsid w:val="000E5855"/>
    <w:rsid w:val="000E6F55"/>
    <w:rsid w:val="000F16AA"/>
    <w:rsid w:val="000F77FA"/>
    <w:rsid w:val="001022A0"/>
    <w:rsid w:val="001077F0"/>
    <w:rsid w:val="00107BF7"/>
    <w:rsid w:val="001163EF"/>
    <w:rsid w:val="001231B8"/>
    <w:rsid w:val="00126F53"/>
    <w:rsid w:val="0014766D"/>
    <w:rsid w:val="00152119"/>
    <w:rsid w:val="001536CC"/>
    <w:rsid w:val="00156978"/>
    <w:rsid w:val="00162A61"/>
    <w:rsid w:val="00172CFB"/>
    <w:rsid w:val="001759AF"/>
    <w:rsid w:val="00177FB4"/>
    <w:rsid w:val="001846FC"/>
    <w:rsid w:val="00192F57"/>
    <w:rsid w:val="00195F50"/>
    <w:rsid w:val="001A3FBA"/>
    <w:rsid w:val="001A44F9"/>
    <w:rsid w:val="001A5518"/>
    <w:rsid w:val="001A5B04"/>
    <w:rsid w:val="001A6791"/>
    <w:rsid w:val="001B14B7"/>
    <w:rsid w:val="001B1C6A"/>
    <w:rsid w:val="001C1263"/>
    <w:rsid w:val="001C1417"/>
    <w:rsid w:val="001C176F"/>
    <w:rsid w:val="001C3A91"/>
    <w:rsid w:val="001D1E47"/>
    <w:rsid w:val="001D7F66"/>
    <w:rsid w:val="001E390B"/>
    <w:rsid w:val="001F42FB"/>
    <w:rsid w:val="001F719A"/>
    <w:rsid w:val="002031B3"/>
    <w:rsid w:val="00211112"/>
    <w:rsid w:val="00215931"/>
    <w:rsid w:val="002221DB"/>
    <w:rsid w:val="0022280F"/>
    <w:rsid w:val="00224C91"/>
    <w:rsid w:val="00227BDB"/>
    <w:rsid w:val="00234CB1"/>
    <w:rsid w:val="002352F8"/>
    <w:rsid w:val="00240F58"/>
    <w:rsid w:val="002510A5"/>
    <w:rsid w:val="002533E3"/>
    <w:rsid w:val="00254A0A"/>
    <w:rsid w:val="00255A9E"/>
    <w:rsid w:val="00255FC3"/>
    <w:rsid w:val="00263FB1"/>
    <w:rsid w:val="00264884"/>
    <w:rsid w:val="00266046"/>
    <w:rsid w:val="002803F5"/>
    <w:rsid w:val="002846DB"/>
    <w:rsid w:val="00284CCD"/>
    <w:rsid w:val="002851D1"/>
    <w:rsid w:val="002861E9"/>
    <w:rsid w:val="002B5960"/>
    <w:rsid w:val="002C6637"/>
    <w:rsid w:val="002D2303"/>
    <w:rsid w:val="002E0135"/>
    <w:rsid w:val="002E1822"/>
    <w:rsid w:val="002E37A5"/>
    <w:rsid w:val="002F58CE"/>
    <w:rsid w:val="003042DF"/>
    <w:rsid w:val="003067A3"/>
    <w:rsid w:val="003108AA"/>
    <w:rsid w:val="00310F03"/>
    <w:rsid w:val="00323E2A"/>
    <w:rsid w:val="003247D2"/>
    <w:rsid w:val="00335124"/>
    <w:rsid w:val="003401C1"/>
    <w:rsid w:val="00341FC2"/>
    <w:rsid w:val="003445C1"/>
    <w:rsid w:val="003445E6"/>
    <w:rsid w:val="00355B61"/>
    <w:rsid w:val="00356EDC"/>
    <w:rsid w:val="00362686"/>
    <w:rsid w:val="00362F18"/>
    <w:rsid w:val="003707B9"/>
    <w:rsid w:val="00370E1E"/>
    <w:rsid w:val="0037134E"/>
    <w:rsid w:val="00371510"/>
    <w:rsid w:val="00371E0C"/>
    <w:rsid w:val="003833BD"/>
    <w:rsid w:val="0039526D"/>
    <w:rsid w:val="00396DFD"/>
    <w:rsid w:val="003A7059"/>
    <w:rsid w:val="003B3AFF"/>
    <w:rsid w:val="003B7A36"/>
    <w:rsid w:val="003C0110"/>
    <w:rsid w:val="003C17AB"/>
    <w:rsid w:val="003C7823"/>
    <w:rsid w:val="003D023B"/>
    <w:rsid w:val="003D16BB"/>
    <w:rsid w:val="003D6453"/>
    <w:rsid w:val="003D663E"/>
    <w:rsid w:val="003E1DCC"/>
    <w:rsid w:val="003F11A1"/>
    <w:rsid w:val="003F68D7"/>
    <w:rsid w:val="003F6A59"/>
    <w:rsid w:val="004065C8"/>
    <w:rsid w:val="004109FA"/>
    <w:rsid w:val="00411B4B"/>
    <w:rsid w:val="00415BEE"/>
    <w:rsid w:val="004232CC"/>
    <w:rsid w:val="004254E9"/>
    <w:rsid w:val="00427F85"/>
    <w:rsid w:val="00436854"/>
    <w:rsid w:val="00436F42"/>
    <w:rsid w:val="004378B4"/>
    <w:rsid w:val="00451314"/>
    <w:rsid w:val="00452E9D"/>
    <w:rsid w:val="004534C7"/>
    <w:rsid w:val="00461129"/>
    <w:rsid w:val="004671AA"/>
    <w:rsid w:val="00471DF8"/>
    <w:rsid w:val="00480FB1"/>
    <w:rsid w:val="00483928"/>
    <w:rsid w:val="004A1F3A"/>
    <w:rsid w:val="004B7CB4"/>
    <w:rsid w:val="004C331F"/>
    <w:rsid w:val="004D3B26"/>
    <w:rsid w:val="004D6103"/>
    <w:rsid w:val="004E16E4"/>
    <w:rsid w:val="004E3BCE"/>
    <w:rsid w:val="004E70AD"/>
    <w:rsid w:val="004F0E97"/>
    <w:rsid w:val="004F17E2"/>
    <w:rsid w:val="004F25CB"/>
    <w:rsid w:val="004F26A0"/>
    <w:rsid w:val="00501346"/>
    <w:rsid w:val="00501DD1"/>
    <w:rsid w:val="00507AD2"/>
    <w:rsid w:val="00514EE2"/>
    <w:rsid w:val="00515C21"/>
    <w:rsid w:val="00520757"/>
    <w:rsid w:val="00522CCB"/>
    <w:rsid w:val="00525A85"/>
    <w:rsid w:val="00530BD7"/>
    <w:rsid w:val="005376CF"/>
    <w:rsid w:val="00545CD2"/>
    <w:rsid w:val="00546144"/>
    <w:rsid w:val="005476F3"/>
    <w:rsid w:val="00572527"/>
    <w:rsid w:val="00573E40"/>
    <w:rsid w:val="00576348"/>
    <w:rsid w:val="005810F2"/>
    <w:rsid w:val="005867A7"/>
    <w:rsid w:val="00593BF0"/>
    <w:rsid w:val="005942D6"/>
    <w:rsid w:val="00594C64"/>
    <w:rsid w:val="005A0B2E"/>
    <w:rsid w:val="005A23D2"/>
    <w:rsid w:val="005A2EFC"/>
    <w:rsid w:val="005A36CB"/>
    <w:rsid w:val="005B1300"/>
    <w:rsid w:val="005B49B8"/>
    <w:rsid w:val="005B7B00"/>
    <w:rsid w:val="005C0741"/>
    <w:rsid w:val="005C5D3F"/>
    <w:rsid w:val="005C5EF4"/>
    <w:rsid w:val="005E2E0B"/>
    <w:rsid w:val="005E67AD"/>
    <w:rsid w:val="005E7A7D"/>
    <w:rsid w:val="005E7D40"/>
    <w:rsid w:val="00602457"/>
    <w:rsid w:val="00603B84"/>
    <w:rsid w:val="00615F73"/>
    <w:rsid w:val="00633082"/>
    <w:rsid w:val="00644FC3"/>
    <w:rsid w:val="00646BD1"/>
    <w:rsid w:val="006561C2"/>
    <w:rsid w:val="00671CB3"/>
    <w:rsid w:val="00674BAF"/>
    <w:rsid w:val="00674C4A"/>
    <w:rsid w:val="006759D7"/>
    <w:rsid w:val="00682200"/>
    <w:rsid w:val="006844F2"/>
    <w:rsid w:val="0068707A"/>
    <w:rsid w:val="00692BF6"/>
    <w:rsid w:val="006A1351"/>
    <w:rsid w:val="006A1497"/>
    <w:rsid w:val="006A5209"/>
    <w:rsid w:val="006B0BD1"/>
    <w:rsid w:val="006B5404"/>
    <w:rsid w:val="006C765E"/>
    <w:rsid w:val="006D20A5"/>
    <w:rsid w:val="006D37BF"/>
    <w:rsid w:val="006E263C"/>
    <w:rsid w:val="006E4AC2"/>
    <w:rsid w:val="006E722C"/>
    <w:rsid w:val="00701448"/>
    <w:rsid w:val="00702E22"/>
    <w:rsid w:val="00707C01"/>
    <w:rsid w:val="0072020E"/>
    <w:rsid w:val="00746550"/>
    <w:rsid w:val="007538DB"/>
    <w:rsid w:val="00754902"/>
    <w:rsid w:val="007579E6"/>
    <w:rsid w:val="00786071"/>
    <w:rsid w:val="007A3ECB"/>
    <w:rsid w:val="007C1BF7"/>
    <w:rsid w:val="007D6F53"/>
    <w:rsid w:val="007D7BB3"/>
    <w:rsid w:val="007E31E9"/>
    <w:rsid w:val="007E4B3E"/>
    <w:rsid w:val="007F05E3"/>
    <w:rsid w:val="007F16B1"/>
    <w:rsid w:val="00824AB9"/>
    <w:rsid w:val="00836B35"/>
    <w:rsid w:val="00843BDE"/>
    <w:rsid w:val="00845AC8"/>
    <w:rsid w:val="00853116"/>
    <w:rsid w:val="00867E86"/>
    <w:rsid w:val="0087588C"/>
    <w:rsid w:val="00882357"/>
    <w:rsid w:val="00894DE8"/>
    <w:rsid w:val="0089705C"/>
    <w:rsid w:val="008A6136"/>
    <w:rsid w:val="008A6D43"/>
    <w:rsid w:val="008B16FD"/>
    <w:rsid w:val="008B3E45"/>
    <w:rsid w:val="008B491E"/>
    <w:rsid w:val="008C1A28"/>
    <w:rsid w:val="008C2E98"/>
    <w:rsid w:val="008C3CF3"/>
    <w:rsid w:val="008C63E3"/>
    <w:rsid w:val="008C70AE"/>
    <w:rsid w:val="008E49BD"/>
    <w:rsid w:val="008E53E9"/>
    <w:rsid w:val="008E5771"/>
    <w:rsid w:val="008F4ACF"/>
    <w:rsid w:val="008F6706"/>
    <w:rsid w:val="00900FDA"/>
    <w:rsid w:val="0092401F"/>
    <w:rsid w:val="00924110"/>
    <w:rsid w:val="00924166"/>
    <w:rsid w:val="00940B9B"/>
    <w:rsid w:val="0094214C"/>
    <w:rsid w:val="00953573"/>
    <w:rsid w:val="0095676E"/>
    <w:rsid w:val="00956983"/>
    <w:rsid w:val="00963CF0"/>
    <w:rsid w:val="00964682"/>
    <w:rsid w:val="00964BB1"/>
    <w:rsid w:val="00970B8B"/>
    <w:rsid w:val="00975565"/>
    <w:rsid w:val="0097562A"/>
    <w:rsid w:val="009775D9"/>
    <w:rsid w:val="00987081"/>
    <w:rsid w:val="00993AA7"/>
    <w:rsid w:val="00997175"/>
    <w:rsid w:val="009A1847"/>
    <w:rsid w:val="009B062A"/>
    <w:rsid w:val="009B6A1F"/>
    <w:rsid w:val="009E543F"/>
    <w:rsid w:val="009E7C6F"/>
    <w:rsid w:val="009F1793"/>
    <w:rsid w:val="009F2C36"/>
    <w:rsid w:val="009F2D23"/>
    <w:rsid w:val="00A01D69"/>
    <w:rsid w:val="00A02335"/>
    <w:rsid w:val="00A0629C"/>
    <w:rsid w:val="00A368C4"/>
    <w:rsid w:val="00A40D3E"/>
    <w:rsid w:val="00A46C9A"/>
    <w:rsid w:val="00A560E2"/>
    <w:rsid w:val="00A619F3"/>
    <w:rsid w:val="00A62A73"/>
    <w:rsid w:val="00A87FF6"/>
    <w:rsid w:val="00A91AAD"/>
    <w:rsid w:val="00A9208D"/>
    <w:rsid w:val="00AA0A3B"/>
    <w:rsid w:val="00AA188A"/>
    <w:rsid w:val="00AA2763"/>
    <w:rsid w:val="00AA33B6"/>
    <w:rsid w:val="00AB50CA"/>
    <w:rsid w:val="00AB66F4"/>
    <w:rsid w:val="00AB6D64"/>
    <w:rsid w:val="00AC1A9E"/>
    <w:rsid w:val="00AC2433"/>
    <w:rsid w:val="00AC53CE"/>
    <w:rsid w:val="00AD2193"/>
    <w:rsid w:val="00AE4C94"/>
    <w:rsid w:val="00AF19F4"/>
    <w:rsid w:val="00AF2AC7"/>
    <w:rsid w:val="00AF3070"/>
    <w:rsid w:val="00AF74CE"/>
    <w:rsid w:val="00B06CF7"/>
    <w:rsid w:val="00B208DB"/>
    <w:rsid w:val="00B232A2"/>
    <w:rsid w:val="00B23F69"/>
    <w:rsid w:val="00B25391"/>
    <w:rsid w:val="00B25FCA"/>
    <w:rsid w:val="00B53F7D"/>
    <w:rsid w:val="00B55FAA"/>
    <w:rsid w:val="00B57F31"/>
    <w:rsid w:val="00B60619"/>
    <w:rsid w:val="00B63722"/>
    <w:rsid w:val="00B66A70"/>
    <w:rsid w:val="00B67366"/>
    <w:rsid w:val="00B80EE1"/>
    <w:rsid w:val="00B83C58"/>
    <w:rsid w:val="00B84135"/>
    <w:rsid w:val="00BA201C"/>
    <w:rsid w:val="00BA7E55"/>
    <w:rsid w:val="00BB28AB"/>
    <w:rsid w:val="00BC426D"/>
    <w:rsid w:val="00BD47A7"/>
    <w:rsid w:val="00BD5F3C"/>
    <w:rsid w:val="00BE623E"/>
    <w:rsid w:val="00BF635F"/>
    <w:rsid w:val="00C02C05"/>
    <w:rsid w:val="00C04D34"/>
    <w:rsid w:val="00C05DF8"/>
    <w:rsid w:val="00C06864"/>
    <w:rsid w:val="00C10F54"/>
    <w:rsid w:val="00C117F0"/>
    <w:rsid w:val="00C15FE2"/>
    <w:rsid w:val="00C23D8D"/>
    <w:rsid w:val="00C37AA3"/>
    <w:rsid w:val="00C37FD7"/>
    <w:rsid w:val="00C43419"/>
    <w:rsid w:val="00C44CF3"/>
    <w:rsid w:val="00C61122"/>
    <w:rsid w:val="00C61BE0"/>
    <w:rsid w:val="00C6707E"/>
    <w:rsid w:val="00C70B0E"/>
    <w:rsid w:val="00C73B5C"/>
    <w:rsid w:val="00C773CA"/>
    <w:rsid w:val="00C83785"/>
    <w:rsid w:val="00C83D66"/>
    <w:rsid w:val="00C87FA8"/>
    <w:rsid w:val="00C94C0D"/>
    <w:rsid w:val="00CA1FEB"/>
    <w:rsid w:val="00CB0C2D"/>
    <w:rsid w:val="00CD4F85"/>
    <w:rsid w:val="00CD6F02"/>
    <w:rsid w:val="00CE246D"/>
    <w:rsid w:val="00CE7E4A"/>
    <w:rsid w:val="00CF07A0"/>
    <w:rsid w:val="00CF3E03"/>
    <w:rsid w:val="00D0082A"/>
    <w:rsid w:val="00D06D2C"/>
    <w:rsid w:val="00D21455"/>
    <w:rsid w:val="00D306C7"/>
    <w:rsid w:val="00D47634"/>
    <w:rsid w:val="00D47EF3"/>
    <w:rsid w:val="00D50706"/>
    <w:rsid w:val="00D5390C"/>
    <w:rsid w:val="00D63932"/>
    <w:rsid w:val="00D709B3"/>
    <w:rsid w:val="00D74CD2"/>
    <w:rsid w:val="00D76387"/>
    <w:rsid w:val="00D80E7C"/>
    <w:rsid w:val="00D904EA"/>
    <w:rsid w:val="00D9275F"/>
    <w:rsid w:val="00D96CC0"/>
    <w:rsid w:val="00DA2ED6"/>
    <w:rsid w:val="00DA6999"/>
    <w:rsid w:val="00DA6FA8"/>
    <w:rsid w:val="00DB1D55"/>
    <w:rsid w:val="00DB21E6"/>
    <w:rsid w:val="00DB76B8"/>
    <w:rsid w:val="00DC2EA1"/>
    <w:rsid w:val="00DD6AAF"/>
    <w:rsid w:val="00DE00F7"/>
    <w:rsid w:val="00DE3F5C"/>
    <w:rsid w:val="00DF1D20"/>
    <w:rsid w:val="00DF278E"/>
    <w:rsid w:val="00E00E21"/>
    <w:rsid w:val="00E040DB"/>
    <w:rsid w:val="00E21324"/>
    <w:rsid w:val="00E246B9"/>
    <w:rsid w:val="00E31FEA"/>
    <w:rsid w:val="00E45169"/>
    <w:rsid w:val="00E47787"/>
    <w:rsid w:val="00E50003"/>
    <w:rsid w:val="00E50C94"/>
    <w:rsid w:val="00E51C30"/>
    <w:rsid w:val="00E56A29"/>
    <w:rsid w:val="00E630C6"/>
    <w:rsid w:val="00E64180"/>
    <w:rsid w:val="00E715A5"/>
    <w:rsid w:val="00E7235D"/>
    <w:rsid w:val="00E74532"/>
    <w:rsid w:val="00E74AEE"/>
    <w:rsid w:val="00E75D1E"/>
    <w:rsid w:val="00E82A4F"/>
    <w:rsid w:val="00E868E5"/>
    <w:rsid w:val="00E8786D"/>
    <w:rsid w:val="00E9237A"/>
    <w:rsid w:val="00E93932"/>
    <w:rsid w:val="00E939FA"/>
    <w:rsid w:val="00EA5765"/>
    <w:rsid w:val="00EC2532"/>
    <w:rsid w:val="00EC4CA9"/>
    <w:rsid w:val="00ED7812"/>
    <w:rsid w:val="00EE0927"/>
    <w:rsid w:val="00EE6B34"/>
    <w:rsid w:val="00EF3B86"/>
    <w:rsid w:val="00EF566D"/>
    <w:rsid w:val="00F013F7"/>
    <w:rsid w:val="00F043A5"/>
    <w:rsid w:val="00F127CB"/>
    <w:rsid w:val="00F25E2A"/>
    <w:rsid w:val="00F2676B"/>
    <w:rsid w:val="00F317E9"/>
    <w:rsid w:val="00F34554"/>
    <w:rsid w:val="00F35B68"/>
    <w:rsid w:val="00F45F77"/>
    <w:rsid w:val="00F5167F"/>
    <w:rsid w:val="00F52258"/>
    <w:rsid w:val="00F52F41"/>
    <w:rsid w:val="00F63E68"/>
    <w:rsid w:val="00F8570A"/>
    <w:rsid w:val="00F857D2"/>
    <w:rsid w:val="00F91C7B"/>
    <w:rsid w:val="00F94684"/>
    <w:rsid w:val="00F946DA"/>
    <w:rsid w:val="00FB3266"/>
    <w:rsid w:val="00FC18C5"/>
    <w:rsid w:val="00FC2147"/>
    <w:rsid w:val="00FC653C"/>
    <w:rsid w:val="00FD183F"/>
    <w:rsid w:val="00FD69DC"/>
    <w:rsid w:val="00FD6AF6"/>
    <w:rsid w:val="00FE371D"/>
    <w:rsid w:val="00FE6F56"/>
    <w:rsid w:val="00FF0EA0"/>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B122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40D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BA7E55"/>
    <w:rPr>
      <w:sz w:val="24"/>
      <w:szCs w:val="24"/>
      <w:lang w:val="en-US" w:eastAsia="en-US"/>
    </w:rPr>
  </w:style>
  <w:style w:type="character" w:customStyle="1" w:styleId="Heading1Char">
    <w:name w:val="Heading 1 Char"/>
    <w:basedOn w:val="DefaultParagraphFont"/>
    <w:link w:val="Heading1"/>
    <w:rsid w:val="00A40D3E"/>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34"/>
    <w:qFormat/>
    <w:rsid w:val="00E50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18793">
      <w:bodyDiv w:val="1"/>
      <w:marLeft w:val="0"/>
      <w:marRight w:val="0"/>
      <w:marTop w:val="0"/>
      <w:marBottom w:val="0"/>
      <w:divBdr>
        <w:top w:val="none" w:sz="0" w:space="0" w:color="auto"/>
        <w:left w:val="none" w:sz="0" w:space="0" w:color="auto"/>
        <w:bottom w:val="none" w:sz="0" w:space="0" w:color="auto"/>
        <w:right w:val="none" w:sz="0" w:space="0" w:color="auto"/>
      </w:divBdr>
    </w:div>
    <w:div w:id="1270964332">
      <w:bodyDiv w:val="1"/>
      <w:marLeft w:val="0"/>
      <w:marRight w:val="0"/>
      <w:marTop w:val="0"/>
      <w:marBottom w:val="0"/>
      <w:divBdr>
        <w:top w:val="none" w:sz="0" w:space="0" w:color="auto"/>
        <w:left w:val="none" w:sz="0" w:space="0" w:color="auto"/>
        <w:bottom w:val="none" w:sz="0" w:space="0" w:color="auto"/>
        <w:right w:val="none" w:sz="0" w:space="0" w:color="auto"/>
      </w:divBdr>
    </w:div>
    <w:div w:id="142580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016EF-30F3-4574-AB74-B60E9EC5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9324</Words>
  <Characters>53151</Characters>
  <Application>Microsoft Office Word</Application>
  <DocSecurity>0</DocSecurity>
  <Lines>442</Lines>
  <Paragraphs>124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za SmPC</vt:lpstr>
      <vt:lpstr>Obrazac za SmPC</vt:lpstr>
    </vt:vector>
  </TitlesOfParts>
  <Company>CInMED</Company>
  <LinksUpToDate>false</LinksUpToDate>
  <CharactersWithSpaces>62351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9</cp:revision>
  <cp:lastPrinted>2023-02-09T08:16:00Z</cp:lastPrinted>
  <dcterms:created xsi:type="dcterms:W3CDTF">2025-01-27T06:54:00Z</dcterms:created>
  <dcterms:modified xsi:type="dcterms:W3CDTF">2025-01-29T10:35:00Z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3656002b9650e85e5721daa40e27f9cc724107eb2275aa9aaa592e01ed0b3928</vt:lpwstr>
  </property>
</Properties>
</file>