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88824" w14:textId="71D52A73" w:rsidR="002510A5" w:rsidRPr="00801AFD" w:rsidRDefault="002510A5" w:rsidP="00801AFD">
      <w:pPr>
        <w:widowControl w:val="0"/>
        <w:jc w:val="center"/>
        <w:rPr>
          <w:b/>
          <w:bCs/>
          <w:iCs/>
          <w:sz w:val="22"/>
          <w:szCs w:val="22"/>
          <w:u w:val="single"/>
          <w:lang w:val="sr-Latn-ME"/>
        </w:rPr>
      </w:pPr>
      <w:r w:rsidRPr="00801AFD">
        <w:rPr>
          <w:b/>
          <w:bCs/>
          <w:iCs/>
          <w:sz w:val="22"/>
          <w:szCs w:val="22"/>
          <w:u w:val="single"/>
          <w:lang w:val="sr-Latn-ME"/>
        </w:rPr>
        <w:t>SAŽETAK KARAKTERISTIKA LIJEKA</w:t>
      </w:r>
    </w:p>
    <w:p w14:paraId="2A1BB288" w14:textId="77777777" w:rsidR="002510A5" w:rsidRPr="00801AFD" w:rsidRDefault="002510A5" w:rsidP="00801AFD">
      <w:pPr>
        <w:widowControl w:val="0"/>
        <w:jc w:val="both"/>
        <w:rPr>
          <w:b/>
          <w:bCs/>
          <w:i/>
          <w:iCs/>
          <w:sz w:val="22"/>
          <w:szCs w:val="22"/>
          <w:u w:val="single"/>
          <w:lang w:val="sr-Latn-ME"/>
        </w:rPr>
      </w:pPr>
    </w:p>
    <w:p w14:paraId="05EB2828" w14:textId="77777777" w:rsidR="00C37FD7" w:rsidRPr="00801AFD" w:rsidRDefault="00C37FD7" w:rsidP="00801AFD">
      <w:pPr>
        <w:widowControl w:val="0"/>
        <w:tabs>
          <w:tab w:val="left" w:pos="540"/>
          <w:tab w:val="left" w:pos="569"/>
        </w:tabs>
        <w:jc w:val="both"/>
        <w:rPr>
          <w:bCs/>
          <w:sz w:val="22"/>
          <w:szCs w:val="22"/>
          <w:lang w:val="sr-Latn-ME"/>
        </w:rPr>
      </w:pPr>
    </w:p>
    <w:p w14:paraId="297041CD" w14:textId="77777777" w:rsidR="00411B4B" w:rsidRPr="00801AFD" w:rsidRDefault="00411B4B" w:rsidP="00801AFD">
      <w:pPr>
        <w:widowControl w:val="0"/>
        <w:tabs>
          <w:tab w:val="left" w:pos="540"/>
          <w:tab w:val="left" w:pos="569"/>
        </w:tabs>
        <w:jc w:val="both"/>
        <w:rPr>
          <w:b/>
          <w:bCs/>
          <w:sz w:val="22"/>
          <w:szCs w:val="22"/>
          <w:lang w:val="sr-Latn-ME"/>
        </w:rPr>
      </w:pPr>
      <w:r w:rsidRPr="00801AFD">
        <w:rPr>
          <w:b/>
          <w:bCs/>
          <w:sz w:val="22"/>
          <w:szCs w:val="22"/>
          <w:lang w:val="sr-Latn-ME"/>
        </w:rPr>
        <w:t>1.</w:t>
      </w:r>
      <w:r w:rsidR="00F5167F" w:rsidRPr="00801AFD">
        <w:rPr>
          <w:b/>
          <w:bCs/>
          <w:sz w:val="22"/>
          <w:szCs w:val="22"/>
          <w:lang w:val="sr-Latn-ME"/>
        </w:rPr>
        <w:tab/>
      </w:r>
      <w:r w:rsidR="002846DB" w:rsidRPr="00801AFD">
        <w:rPr>
          <w:b/>
          <w:bCs/>
          <w:sz w:val="22"/>
          <w:szCs w:val="22"/>
          <w:lang w:val="sr-Latn-ME"/>
        </w:rPr>
        <w:t xml:space="preserve">NAZIV </w:t>
      </w:r>
      <w:r w:rsidRPr="00801AFD">
        <w:rPr>
          <w:b/>
          <w:bCs/>
          <w:sz w:val="22"/>
          <w:szCs w:val="22"/>
          <w:lang w:val="sr-Latn-ME"/>
        </w:rPr>
        <w:t>LIJEKA</w:t>
      </w:r>
    </w:p>
    <w:p w14:paraId="529922F3" w14:textId="77777777" w:rsidR="00EC2532" w:rsidRPr="00801AFD" w:rsidRDefault="00EC2532" w:rsidP="00801AFD">
      <w:pPr>
        <w:widowControl w:val="0"/>
        <w:jc w:val="both"/>
        <w:rPr>
          <w:sz w:val="22"/>
          <w:szCs w:val="22"/>
          <w:lang w:val="sr-Latn-ME"/>
        </w:rPr>
      </w:pPr>
    </w:p>
    <w:p w14:paraId="32485358" w14:textId="1C8BE6A5" w:rsidR="003A658B" w:rsidRPr="00801AFD" w:rsidRDefault="003A658B" w:rsidP="00801AFD">
      <w:pPr>
        <w:pStyle w:val="Default"/>
        <w:widowControl w:val="0"/>
        <w:jc w:val="both"/>
        <w:rPr>
          <w:sz w:val="22"/>
          <w:szCs w:val="22"/>
          <w:lang w:val="sr-Latn-ME"/>
        </w:rPr>
      </w:pPr>
      <w:r w:rsidRPr="00801AFD">
        <w:rPr>
          <w:sz w:val="22"/>
          <w:szCs w:val="22"/>
          <w:lang w:val="sr-Latn-ME"/>
        </w:rPr>
        <w:t xml:space="preserve">Ultomiris, 300 mg/3 ml, koncentrat za rastvor za infuziju </w:t>
      </w:r>
    </w:p>
    <w:p w14:paraId="1BB22B1E" w14:textId="3E1C060F" w:rsidR="003A658B" w:rsidRPr="00801AFD" w:rsidRDefault="003A658B" w:rsidP="00801AFD">
      <w:pPr>
        <w:pStyle w:val="Default"/>
        <w:widowControl w:val="0"/>
        <w:jc w:val="both"/>
        <w:rPr>
          <w:sz w:val="22"/>
          <w:szCs w:val="22"/>
          <w:lang w:val="sr-Latn-ME"/>
        </w:rPr>
      </w:pPr>
      <w:r w:rsidRPr="00801AFD">
        <w:rPr>
          <w:sz w:val="22"/>
          <w:szCs w:val="22"/>
          <w:lang w:val="sr-Latn-ME"/>
        </w:rPr>
        <w:t xml:space="preserve">Ultomiris, 1100 mg/11 ml, koncentrat za rastvor za infuziju </w:t>
      </w:r>
    </w:p>
    <w:p w14:paraId="1D2CD0B4" w14:textId="5421372E" w:rsidR="003A658B" w:rsidRPr="00801AFD" w:rsidRDefault="003A658B" w:rsidP="00801AFD">
      <w:pPr>
        <w:pStyle w:val="Default"/>
        <w:widowControl w:val="0"/>
        <w:jc w:val="both"/>
        <w:rPr>
          <w:sz w:val="22"/>
          <w:szCs w:val="22"/>
          <w:lang w:val="sr-Latn-ME"/>
        </w:rPr>
      </w:pPr>
      <w:r w:rsidRPr="00801AFD">
        <w:rPr>
          <w:sz w:val="22"/>
          <w:szCs w:val="22"/>
          <w:lang w:val="sr-Latn-ME"/>
        </w:rPr>
        <w:t xml:space="preserve">Ultomiris, 300 mg/30 ml, koncentrat za rastvor za infuziju </w:t>
      </w:r>
    </w:p>
    <w:p w14:paraId="5B4F42B6" w14:textId="77777777" w:rsidR="003A658B" w:rsidRPr="00801AFD" w:rsidRDefault="003A658B" w:rsidP="00801AFD">
      <w:pPr>
        <w:widowControl w:val="0"/>
        <w:jc w:val="both"/>
        <w:rPr>
          <w:sz w:val="22"/>
          <w:szCs w:val="22"/>
          <w:lang w:val="sr-Latn-ME"/>
        </w:rPr>
      </w:pPr>
    </w:p>
    <w:p w14:paraId="0ABF183D" w14:textId="77777777" w:rsidR="003A658B" w:rsidRPr="00801AFD" w:rsidRDefault="003A658B" w:rsidP="00801AFD">
      <w:pPr>
        <w:widowControl w:val="0"/>
        <w:jc w:val="both"/>
        <w:rPr>
          <w:sz w:val="22"/>
          <w:szCs w:val="22"/>
          <w:lang w:val="sr-Latn-ME"/>
        </w:rPr>
      </w:pPr>
      <w:r w:rsidRPr="00801AFD">
        <w:rPr>
          <w:sz w:val="22"/>
          <w:szCs w:val="22"/>
          <w:lang w:val="sr-Latn-ME"/>
        </w:rPr>
        <w:t>INN: ravulizumab</w:t>
      </w:r>
    </w:p>
    <w:p w14:paraId="22626282" w14:textId="706AEB4F" w:rsidR="00530BD7" w:rsidRPr="00801AFD" w:rsidRDefault="00530BD7" w:rsidP="00801AFD">
      <w:pPr>
        <w:widowControl w:val="0"/>
        <w:jc w:val="both"/>
        <w:rPr>
          <w:bCs/>
          <w:sz w:val="22"/>
          <w:szCs w:val="22"/>
          <w:lang w:val="sr-Latn-ME"/>
        </w:rPr>
      </w:pPr>
    </w:p>
    <w:p w14:paraId="50D21D1A" w14:textId="77777777" w:rsidR="00B43743" w:rsidRPr="00801AFD" w:rsidRDefault="00B43743" w:rsidP="00801AFD">
      <w:pPr>
        <w:widowControl w:val="0"/>
        <w:jc w:val="both"/>
        <w:rPr>
          <w:bCs/>
          <w:sz w:val="22"/>
          <w:szCs w:val="22"/>
          <w:lang w:val="sr-Latn-ME"/>
        </w:rPr>
      </w:pPr>
    </w:p>
    <w:p w14:paraId="3369CDA6" w14:textId="77777777" w:rsidR="00411B4B" w:rsidRPr="00801AFD" w:rsidRDefault="00411B4B" w:rsidP="00801AFD">
      <w:pPr>
        <w:widowControl w:val="0"/>
        <w:tabs>
          <w:tab w:val="left" w:pos="540"/>
          <w:tab w:val="left" w:pos="569"/>
        </w:tabs>
        <w:jc w:val="both"/>
        <w:rPr>
          <w:b/>
          <w:bCs/>
          <w:sz w:val="22"/>
          <w:szCs w:val="22"/>
          <w:lang w:val="sr-Latn-ME"/>
        </w:rPr>
      </w:pPr>
      <w:r w:rsidRPr="00801AFD">
        <w:rPr>
          <w:b/>
          <w:bCs/>
          <w:sz w:val="22"/>
          <w:szCs w:val="22"/>
          <w:lang w:val="sr-Latn-ME"/>
        </w:rPr>
        <w:t xml:space="preserve">2. </w:t>
      </w:r>
      <w:r w:rsidR="00F5167F" w:rsidRPr="00801AFD">
        <w:rPr>
          <w:b/>
          <w:bCs/>
          <w:sz w:val="22"/>
          <w:szCs w:val="22"/>
          <w:lang w:val="sr-Latn-ME"/>
        </w:rPr>
        <w:tab/>
      </w:r>
      <w:r w:rsidRPr="00801AFD">
        <w:rPr>
          <w:b/>
          <w:bCs/>
          <w:sz w:val="22"/>
          <w:szCs w:val="22"/>
          <w:lang w:val="sr-Latn-ME"/>
        </w:rPr>
        <w:t>KVALITATIVNI I KVANTITATIVNI SASTAV</w:t>
      </w:r>
    </w:p>
    <w:p w14:paraId="7D032A86" w14:textId="6EFAE9E5" w:rsidR="005A0B2E" w:rsidRPr="00801AFD" w:rsidRDefault="005A0B2E" w:rsidP="00801AFD">
      <w:pPr>
        <w:widowControl w:val="0"/>
        <w:jc w:val="both"/>
        <w:rPr>
          <w:sz w:val="22"/>
          <w:szCs w:val="22"/>
          <w:lang w:val="sr-Latn-ME"/>
        </w:rPr>
      </w:pPr>
    </w:p>
    <w:p w14:paraId="6CF696FC" w14:textId="77777777" w:rsidR="003A658B" w:rsidRPr="00801AFD" w:rsidRDefault="003A658B" w:rsidP="00801AFD">
      <w:pPr>
        <w:pStyle w:val="NASLOV123"/>
        <w:widowControl w:val="0"/>
        <w:spacing w:before="0"/>
        <w:jc w:val="both"/>
        <w:rPr>
          <w:b w:val="0"/>
          <w:color w:val="000000"/>
          <w:lang w:val="sr-Latn-ME"/>
        </w:rPr>
      </w:pPr>
      <w:r w:rsidRPr="00801AFD">
        <w:rPr>
          <w:b w:val="0"/>
          <w:color w:val="000000"/>
          <w:lang w:val="sr-Latn-ME"/>
        </w:rPr>
        <w:t>Lijek Ultomiris je formulacija ravulizumaba proizvedenog u ćelijskoj kulturi jajnika kineskog hrčka (CHO) rekombinantnom DNK tehnologijom.</w:t>
      </w:r>
    </w:p>
    <w:p w14:paraId="4B0B2367" w14:textId="117F6178" w:rsidR="003A658B" w:rsidRPr="00801AFD" w:rsidRDefault="003A658B" w:rsidP="00801AFD">
      <w:pPr>
        <w:pStyle w:val="Default"/>
        <w:widowControl w:val="0"/>
        <w:jc w:val="both"/>
        <w:rPr>
          <w:sz w:val="22"/>
          <w:szCs w:val="22"/>
          <w:u w:val="single"/>
          <w:lang w:val="sr-Latn-ME"/>
        </w:rPr>
      </w:pPr>
      <w:r w:rsidRPr="00801AFD">
        <w:rPr>
          <w:sz w:val="22"/>
          <w:szCs w:val="22"/>
          <w:u w:val="single"/>
          <w:lang w:val="sr-Latn-ME"/>
        </w:rPr>
        <w:t xml:space="preserve">Ultomiris 300 mg/3 ml, koncentrat za rastvor za infuziju </w:t>
      </w:r>
    </w:p>
    <w:p w14:paraId="055A08F4" w14:textId="404B4935" w:rsidR="003A658B" w:rsidRPr="00801AFD" w:rsidRDefault="003A658B" w:rsidP="00801AFD">
      <w:pPr>
        <w:pStyle w:val="NASLOV123"/>
        <w:widowControl w:val="0"/>
        <w:spacing w:before="0" w:after="0"/>
        <w:jc w:val="both"/>
        <w:rPr>
          <w:b w:val="0"/>
          <w:color w:val="000000"/>
          <w:lang w:val="sr-Latn-ME"/>
        </w:rPr>
      </w:pPr>
      <w:r w:rsidRPr="00801AFD">
        <w:rPr>
          <w:b w:val="0"/>
          <w:color w:val="000000"/>
          <w:lang w:val="sr-Latn-ME"/>
        </w:rPr>
        <w:t>Jedna bočica od 3 ml sadrži 300 mg ravulizumaba (100 mg/ml).</w:t>
      </w:r>
    </w:p>
    <w:p w14:paraId="6A1626A5" w14:textId="0C549654" w:rsidR="003A658B" w:rsidRPr="00801AFD" w:rsidRDefault="003A658B" w:rsidP="00801AFD">
      <w:pPr>
        <w:pStyle w:val="NASLOV123"/>
        <w:widowControl w:val="0"/>
        <w:spacing w:before="0" w:after="0"/>
        <w:jc w:val="both"/>
        <w:rPr>
          <w:b w:val="0"/>
          <w:color w:val="000000"/>
          <w:lang w:val="sr-Latn-ME"/>
        </w:rPr>
      </w:pPr>
      <w:r w:rsidRPr="00801AFD">
        <w:rPr>
          <w:b w:val="0"/>
          <w:color w:val="000000"/>
          <w:lang w:val="sr-Latn-ME"/>
        </w:rPr>
        <w:t>Nakon razblaživanja, konačna koncentracija rastvora za infuziju je 50 mg/ml.</w:t>
      </w:r>
    </w:p>
    <w:p w14:paraId="6ED57602" w14:textId="77777777" w:rsidR="003A658B" w:rsidRPr="00801AFD" w:rsidRDefault="003A658B" w:rsidP="00801AFD">
      <w:pPr>
        <w:pStyle w:val="NASLOV123"/>
        <w:widowControl w:val="0"/>
        <w:spacing w:before="0" w:after="0"/>
        <w:jc w:val="both"/>
        <w:rPr>
          <w:b w:val="0"/>
          <w:i/>
          <w:iCs/>
          <w:color w:val="000000"/>
          <w:lang w:val="sr-Latn-ME"/>
        </w:rPr>
      </w:pPr>
    </w:p>
    <w:p w14:paraId="0E1D246A" w14:textId="77777777" w:rsidR="003A658B" w:rsidRPr="00801AFD" w:rsidRDefault="003A658B" w:rsidP="00801AFD">
      <w:pPr>
        <w:pStyle w:val="NASLOV123"/>
        <w:widowControl w:val="0"/>
        <w:spacing w:before="0" w:after="0"/>
        <w:jc w:val="both"/>
        <w:rPr>
          <w:b w:val="0"/>
          <w:i/>
          <w:iCs/>
          <w:color w:val="000000"/>
          <w:lang w:val="sr-Latn-ME"/>
        </w:rPr>
      </w:pPr>
      <w:r w:rsidRPr="00801AFD">
        <w:rPr>
          <w:b w:val="0"/>
          <w:i/>
          <w:iCs/>
          <w:color w:val="000000"/>
          <w:lang w:val="sr-Latn-ME"/>
        </w:rPr>
        <w:t>Pomoćne supstance sa potvrđenim dejstvom:</w:t>
      </w:r>
    </w:p>
    <w:p w14:paraId="0F0AA963" w14:textId="4079E046" w:rsidR="003A658B" w:rsidRPr="00801AFD" w:rsidRDefault="003A658B" w:rsidP="00801AFD">
      <w:pPr>
        <w:pStyle w:val="NASLOV123"/>
        <w:widowControl w:val="0"/>
        <w:spacing w:before="0" w:after="0"/>
        <w:jc w:val="both"/>
        <w:rPr>
          <w:b w:val="0"/>
          <w:color w:val="000000"/>
          <w:lang w:val="sr-Latn-ME"/>
        </w:rPr>
      </w:pPr>
      <w:r w:rsidRPr="00801AFD">
        <w:rPr>
          <w:b w:val="0"/>
          <w:color w:val="000000"/>
          <w:lang w:val="sr-Latn-ME"/>
        </w:rPr>
        <w:t>Natrijum (</w:t>
      </w:r>
      <w:r w:rsidRPr="00801AFD">
        <w:rPr>
          <w:b w:val="0"/>
          <w:lang w:val="sr-Latn-ME"/>
        </w:rPr>
        <w:t>4,6 mg po bočici od 3 ml</w:t>
      </w:r>
      <w:r w:rsidRPr="00801AFD">
        <w:rPr>
          <w:b w:val="0"/>
          <w:color w:val="000000"/>
          <w:lang w:val="sr-Latn-ME"/>
        </w:rPr>
        <w:t>)</w:t>
      </w:r>
    </w:p>
    <w:p w14:paraId="2710FB41" w14:textId="77777777" w:rsidR="003A658B" w:rsidRPr="00801AFD" w:rsidRDefault="003A658B" w:rsidP="00801AFD">
      <w:pPr>
        <w:pStyle w:val="NASLOV123"/>
        <w:widowControl w:val="0"/>
        <w:spacing w:before="0" w:after="0"/>
        <w:jc w:val="both"/>
        <w:rPr>
          <w:b w:val="0"/>
          <w:color w:val="000000"/>
          <w:lang w:val="sr-Latn-ME"/>
        </w:rPr>
      </w:pPr>
    </w:p>
    <w:p w14:paraId="5183C09B" w14:textId="2073476F" w:rsidR="003A658B" w:rsidRPr="00801AFD" w:rsidRDefault="003A658B" w:rsidP="00801AFD">
      <w:pPr>
        <w:pStyle w:val="Default"/>
        <w:widowControl w:val="0"/>
        <w:jc w:val="both"/>
        <w:rPr>
          <w:sz w:val="22"/>
          <w:szCs w:val="22"/>
          <w:u w:val="single"/>
          <w:lang w:val="sr-Latn-ME"/>
        </w:rPr>
      </w:pPr>
      <w:r w:rsidRPr="00801AFD">
        <w:rPr>
          <w:sz w:val="22"/>
          <w:szCs w:val="22"/>
          <w:u w:val="single"/>
          <w:lang w:val="sr-Latn-ME"/>
        </w:rPr>
        <w:t xml:space="preserve">Ultomiris 1100 mg/11 ml, koncentrat za rastvor za infuziju </w:t>
      </w:r>
    </w:p>
    <w:p w14:paraId="4680EBE6" w14:textId="0F9B352C" w:rsidR="003A658B" w:rsidRPr="00801AFD" w:rsidRDefault="003A658B" w:rsidP="00801AFD">
      <w:pPr>
        <w:pStyle w:val="NASLOV123"/>
        <w:widowControl w:val="0"/>
        <w:spacing w:before="0" w:after="0"/>
        <w:jc w:val="both"/>
        <w:rPr>
          <w:b w:val="0"/>
          <w:color w:val="000000"/>
          <w:lang w:val="sr-Latn-ME"/>
        </w:rPr>
      </w:pPr>
      <w:r w:rsidRPr="00801AFD">
        <w:rPr>
          <w:b w:val="0"/>
          <w:color w:val="000000"/>
          <w:lang w:val="sr-Latn-ME"/>
        </w:rPr>
        <w:t>Jedna bočica od 11 ml sadrži 1100 mg ravulizumaba (100 mg/ml).</w:t>
      </w:r>
    </w:p>
    <w:p w14:paraId="5AE6BE7B" w14:textId="33203B6F" w:rsidR="003A658B" w:rsidRPr="00801AFD" w:rsidRDefault="003A658B" w:rsidP="00801AFD">
      <w:pPr>
        <w:pStyle w:val="NASLOV123"/>
        <w:widowControl w:val="0"/>
        <w:spacing w:before="0" w:after="0"/>
        <w:jc w:val="both"/>
        <w:rPr>
          <w:b w:val="0"/>
          <w:color w:val="000000"/>
          <w:lang w:val="sr-Latn-ME"/>
        </w:rPr>
      </w:pPr>
      <w:r w:rsidRPr="00801AFD">
        <w:rPr>
          <w:b w:val="0"/>
          <w:color w:val="000000"/>
          <w:lang w:val="sr-Latn-ME"/>
        </w:rPr>
        <w:t>Nakon razblaživanja, konačna koncentracija rastvora za infuziju je 50 mg/ml.</w:t>
      </w:r>
    </w:p>
    <w:p w14:paraId="61264C0C" w14:textId="77777777" w:rsidR="003A658B" w:rsidRPr="00801AFD" w:rsidRDefault="003A658B" w:rsidP="00801AFD">
      <w:pPr>
        <w:pStyle w:val="NASLOV123"/>
        <w:widowControl w:val="0"/>
        <w:spacing w:before="0" w:after="0"/>
        <w:jc w:val="both"/>
        <w:rPr>
          <w:b w:val="0"/>
          <w:i/>
          <w:iCs/>
          <w:color w:val="000000"/>
          <w:lang w:val="sr-Latn-ME"/>
        </w:rPr>
      </w:pPr>
    </w:p>
    <w:p w14:paraId="1540609F" w14:textId="77777777" w:rsidR="003A658B" w:rsidRPr="00801AFD" w:rsidRDefault="003A658B" w:rsidP="00801AFD">
      <w:pPr>
        <w:pStyle w:val="NASLOV123"/>
        <w:widowControl w:val="0"/>
        <w:spacing w:before="0" w:after="0"/>
        <w:jc w:val="both"/>
        <w:rPr>
          <w:b w:val="0"/>
          <w:i/>
          <w:iCs/>
          <w:color w:val="000000"/>
          <w:lang w:val="sr-Latn-ME"/>
        </w:rPr>
      </w:pPr>
      <w:r w:rsidRPr="00801AFD">
        <w:rPr>
          <w:b w:val="0"/>
          <w:i/>
          <w:iCs/>
          <w:color w:val="000000"/>
          <w:lang w:val="sr-Latn-ME"/>
        </w:rPr>
        <w:t>Pomoćne supstance sa potvrđenim dejstvom:</w:t>
      </w:r>
    </w:p>
    <w:p w14:paraId="61C77BB1" w14:textId="471D5DD0" w:rsidR="003A658B" w:rsidRPr="00801AFD" w:rsidRDefault="003A658B" w:rsidP="00801AFD">
      <w:pPr>
        <w:pStyle w:val="NASLOV123"/>
        <w:widowControl w:val="0"/>
        <w:spacing w:before="0" w:after="0"/>
        <w:jc w:val="both"/>
        <w:rPr>
          <w:b w:val="0"/>
          <w:lang w:val="sr-Latn-ME"/>
        </w:rPr>
      </w:pPr>
      <w:r w:rsidRPr="00801AFD">
        <w:rPr>
          <w:b w:val="0"/>
          <w:color w:val="000000"/>
          <w:lang w:val="sr-Latn-ME"/>
        </w:rPr>
        <w:t>Natrijum (</w:t>
      </w:r>
      <w:r w:rsidRPr="00801AFD">
        <w:rPr>
          <w:b w:val="0"/>
          <w:lang w:val="sr-Latn-ME"/>
        </w:rPr>
        <w:t>16,8 mg po bočici od 11 ml</w:t>
      </w:r>
      <w:r w:rsidRPr="00801AFD">
        <w:rPr>
          <w:b w:val="0"/>
          <w:color w:val="000000"/>
          <w:lang w:val="sr-Latn-ME"/>
        </w:rPr>
        <w:t>)</w:t>
      </w:r>
    </w:p>
    <w:p w14:paraId="3CE11D87" w14:textId="77777777" w:rsidR="003A658B" w:rsidRPr="00801AFD" w:rsidRDefault="003A658B" w:rsidP="00801AFD">
      <w:pPr>
        <w:pStyle w:val="NASLOV123"/>
        <w:widowControl w:val="0"/>
        <w:spacing w:before="0" w:after="0"/>
        <w:jc w:val="both"/>
        <w:rPr>
          <w:b w:val="0"/>
          <w:lang w:val="sr-Latn-ME"/>
        </w:rPr>
      </w:pPr>
    </w:p>
    <w:p w14:paraId="233690EC" w14:textId="6A528E4B" w:rsidR="003A658B" w:rsidRPr="00801AFD" w:rsidRDefault="003A658B" w:rsidP="00801AFD">
      <w:pPr>
        <w:pStyle w:val="Default"/>
        <w:widowControl w:val="0"/>
        <w:jc w:val="both"/>
        <w:rPr>
          <w:sz w:val="22"/>
          <w:szCs w:val="22"/>
          <w:u w:val="single"/>
          <w:lang w:val="sr-Latn-ME"/>
        </w:rPr>
      </w:pPr>
      <w:r w:rsidRPr="00801AFD">
        <w:rPr>
          <w:sz w:val="22"/>
          <w:szCs w:val="22"/>
          <w:u w:val="single"/>
          <w:lang w:val="sr-Latn-ME"/>
        </w:rPr>
        <w:t xml:space="preserve">Ultomiris 300 mg/30 ml, koncentrat za rastvor za infuziju </w:t>
      </w:r>
    </w:p>
    <w:p w14:paraId="7F626F25" w14:textId="05AE7401" w:rsidR="003A658B" w:rsidRPr="00801AFD" w:rsidRDefault="003A658B" w:rsidP="00801AFD">
      <w:pPr>
        <w:pStyle w:val="NASLOV123"/>
        <w:widowControl w:val="0"/>
        <w:spacing w:before="0" w:after="0"/>
        <w:jc w:val="both"/>
        <w:rPr>
          <w:b w:val="0"/>
          <w:color w:val="000000"/>
          <w:lang w:val="sr-Latn-ME"/>
        </w:rPr>
      </w:pPr>
      <w:r w:rsidRPr="00801AFD">
        <w:rPr>
          <w:b w:val="0"/>
          <w:color w:val="000000"/>
          <w:lang w:val="sr-Latn-ME"/>
        </w:rPr>
        <w:t>Jedna bočica od 30 ml sadrži 300 mg ravulizumaba (10 mg/ml).</w:t>
      </w:r>
    </w:p>
    <w:p w14:paraId="7E4ECE3B" w14:textId="21D6935F" w:rsidR="003A658B" w:rsidRPr="00801AFD" w:rsidRDefault="003A658B" w:rsidP="00801AFD">
      <w:pPr>
        <w:pStyle w:val="NASLOV123"/>
        <w:widowControl w:val="0"/>
        <w:spacing w:before="0" w:after="0"/>
        <w:jc w:val="both"/>
        <w:rPr>
          <w:b w:val="0"/>
          <w:color w:val="000000"/>
          <w:lang w:val="sr-Latn-ME"/>
        </w:rPr>
      </w:pPr>
      <w:r w:rsidRPr="00801AFD">
        <w:rPr>
          <w:b w:val="0"/>
          <w:color w:val="000000"/>
          <w:lang w:val="sr-Latn-ME"/>
        </w:rPr>
        <w:t>Nakon razblaživanja, konačna koncentracija rastvora za infuziju je 5 mg/ml.</w:t>
      </w:r>
    </w:p>
    <w:p w14:paraId="304AADF0" w14:textId="77777777" w:rsidR="003A658B" w:rsidRPr="00801AFD" w:rsidRDefault="003A658B" w:rsidP="00801AFD">
      <w:pPr>
        <w:pStyle w:val="NASLOV123"/>
        <w:widowControl w:val="0"/>
        <w:spacing w:before="0" w:after="0"/>
        <w:jc w:val="both"/>
        <w:rPr>
          <w:b w:val="0"/>
          <w:i/>
          <w:iCs/>
          <w:color w:val="000000"/>
          <w:lang w:val="sr-Latn-ME"/>
        </w:rPr>
      </w:pPr>
    </w:p>
    <w:p w14:paraId="3BFF9772" w14:textId="77777777" w:rsidR="003A658B" w:rsidRPr="00801AFD" w:rsidRDefault="003A658B" w:rsidP="00801AFD">
      <w:pPr>
        <w:pStyle w:val="NASLOV123"/>
        <w:widowControl w:val="0"/>
        <w:spacing w:before="0" w:after="0"/>
        <w:jc w:val="both"/>
        <w:rPr>
          <w:b w:val="0"/>
          <w:i/>
          <w:iCs/>
          <w:color w:val="000000"/>
          <w:lang w:val="sr-Latn-ME"/>
        </w:rPr>
      </w:pPr>
      <w:r w:rsidRPr="00801AFD">
        <w:rPr>
          <w:b w:val="0"/>
          <w:i/>
          <w:iCs/>
          <w:color w:val="000000"/>
          <w:lang w:val="sr-Latn-ME"/>
        </w:rPr>
        <w:t>Pomoćne supstance sa potvrđenim dejstvom:</w:t>
      </w:r>
    </w:p>
    <w:p w14:paraId="5761C049" w14:textId="1CCC35B4" w:rsidR="003A658B" w:rsidRPr="00801AFD" w:rsidRDefault="003A658B" w:rsidP="00801AFD">
      <w:pPr>
        <w:pStyle w:val="NASLOV123"/>
        <w:widowControl w:val="0"/>
        <w:spacing w:before="0" w:after="0"/>
        <w:jc w:val="both"/>
        <w:rPr>
          <w:b w:val="0"/>
          <w:lang w:val="sr-Latn-ME"/>
        </w:rPr>
      </w:pPr>
      <w:r w:rsidRPr="00801AFD">
        <w:rPr>
          <w:b w:val="0"/>
          <w:color w:val="000000"/>
          <w:lang w:val="sr-Latn-ME"/>
        </w:rPr>
        <w:t>Natrijum (</w:t>
      </w:r>
      <w:r w:rsidRPr="00801AFD">
        <w:rPr>
          <w:b w:val="0"/>
          <w:lang w:val="sr-Latn-ME"/>
        </w:rPr>
        <w:t>115 mg po bočici od 30 ml</w:t>
      </w:r>
      <w:r w:rsidRPr="00801AFD">
        <w:rPr>
          <w:b w:val="0"/>
          <w:color w:val="000000"/>
          <w:lang w:val="sr-Latn-ME"/>
        </w:rPr>
        <w:t>)</w:t>
      </w:r>
    </w:p>
    <w:p w14:paraId="2AEBEE27" w14:textId="77777777" w:rsidR="003A658B" w:rsidRPr="00801AFD" w:rsidRDefault="003A658B" w:rsidP="00801AFD">
      <w:pPr>
        <w:widowControl w:val="0"/>
        <w:jc w:val="both"/>
        <w:rPr>
          <w:sz w:val="22"/>
          <w:szCs w:val="22"/>
          <w:lang w:val="sr-Latn-ME"/>
        </w:rPr>
      </w:pPr>
    </w:p>
    <w:p w14:paraId="32137493" w14:textId="61350B3D" w:rsidR="0003793F" w:rsidRPr="00801AFD" w:rsidRDefault="0003793F" w:rsidP="00801AFD">
      <w:pPr>
        <w:widowControl w:val="0"/>
        <w:jc w:val="both"/>
        <w:rPr>
          <w:sz w:val="22"/>
          <w:szCs w:val="22"/>
          <w:lang w:val="sr-Latn-ME"/>
        </w:rPr>
      </w:pPr>
      <w:r w:rsidRPr="00801AFD">
        <w:rPr>
          <w:sz w:val="22"/>
          <w:szCs w:val="22"/>
          <w:lang w:val="sr-Latn-ME"/>
        </w:rPr>
        <w:t>Za spisak svih ekscipijenasa, pogledati dio 6.1.</w:t>
      </w:r>
    </w:p>
    <w:p w14:paraId="2F6BFBF4" w14:textId="63615FD6" w:rsidR="00C37FD7" w:rsidRPr="00801AFD" w:rsidRDefault="00C37FD7" w:rsidP="00801AFD">
      <w:pPr>
        <w:widowControl w:val="0"/>
        <w:jc w:val="both"/>
        <w:rPr>
          <w:sz w:val="22"/>
          <w:szCs w:val="22"/>
          <w:lang w:val="sr-Latn-ME"/>
        </w:rPr>
      </w:pPr>
    </w:p>
    <w:p w14:paraId="29A671A8" w14:textId="77777777" w:rsidR="00215CDE" w:rsidRPr="00801AFD" w:rsidRDefault="00215CDE" w:rsidP="00801AFD">
      <w:pPr>
        <w:widowControl w:val="0"/>
        <w:jc w:val="both"/>
        <w:rPr>
          <w:sz w:val="22"/>
          <w:szCs w:val="22"/>
          <w:lang w:val="sr-Latn-ME"/>
        </w:rPr>
      </w:pPr>
    </w:p>
    <w:p w14:paraId="66745B51" w14:textId="77777777" w:rsidR="003A658B" w:rsidRPr="00801AFD" w:rsidRDefault="00411B4B" w:rsidP="00801AFD">
      <w:pPr>
        <w:widowControl w:val="0"/>
        <w:tabs>
          <w:tab w:val="left" w:pos="540"/>
          <w:tab w:val="left" w:pos="569"/>
        </w:tabs>
        <w:jc w:val="both"/>
        <w:rPr>
          <w:b/>
          <w:bCs/>
          <w:sz w:val="22"/>
          <w:szCs w:val="22"/>
          <w:lang w:val="sr-Latn-ME"/>
        </w:rPr>
      </w:pPr>
      <w:r w:rsidRPr="00801AFD">
        <w:rPr>
          <w:b/>
          <w:bCs/>
          <w:sz w:val="22"/>
          <w:szCs w:val="22"/>
          <w:lang w:val="sr-Latn-ME"/>
        </w:rPr>
        <w:t xml:space="preserve">3. </w:t>
      </w:r>
      <w:r w:rsidR="00F5167F" w:rsidRPr="00801AFD">
        <w:rPr>
          <w:b/>
          <w:bCs/>
          <w:sz w:val="22"/>
          <w:szCs w:val="22"/>
          <w:lang w:val="sr-Latn-ME"/>
        </w:rPr>
        <w:tab/>
      </w:r>
      <w:r w:rsidRPr="00801AFD">
        <w:rPr>
          <w:b/>
          <w:bCs/>
          <w:sz w:val="22"/>
          <w:szCs w:val="22"/>
          <w:lang w:val="sr-Latn-ME"/>
        </w:rPr>
        <w:t>FARMACEUTSKI OBLIK</w:t>
      </w:r>
    </w:p>
    <w:p w14:paraId="69489B96" w14:textId="77777777" w:rsidR="003A658B" w:rsidRPr="00801AFD" w:rsidRDefault="003A658B" w:rsidP="00801AFD">
      <w:pPr>
        <w:widowControl w:val="0"/>
        <w:tabs>
          <w:tab w:val="left" w:pos="540"/>
          <w:tab w:val="left" w:pos="569"/>
        </w:tabs>
        <w:jc w:val="both"/>
        <w:rPr>
          <w:b/>
          <w:bCs/>
          <w:sz w:val="22"/>
          <w:szCs w:val="22"/>
          <w:lang w:val="sr-Latn-ME"/>
        </w:rPr>
      </w:pPr>
    </w:p>
    <w:p w14:paraId="3823C13E" w14:textId="5DD46195" w:rsidR="003A658B" w:rsidRPr="00801AFD" w:rsidRDefault="003A658B" w:rsidP="00801AFD">
      <w:pPr>
        <w:pStyle w:val="Default"/>
        <w:widowControl w:val="0"/>
        <w:jc w:val="both"/>
        <w:rPr>
          <w:sz w:val="22"/>
          <w:szCs w:val="22"/>
          <w:lang w:val="sr-Latn-ME"/>
        </w:rPr>
      </w:pPr>
      <w:r w:rsidRPr="00801AFD">
        <w:rPr>
          <w:sz w:val="22"/>
          <w:szCs w:val="22"/>
          <w:lang w:val="sr-Latn-ME"/>
        </w:rPr>
        <w:t xml:space="preserve">Koncentrat za rastvor za infuziju (sterilni koncentrat). </w:t>
      </w:r>
    </w:p>
    <w:p w14:paraId="37B08B30" w14:textId="77777777" w:rsidR="00B43743" w:rsidRPr="00801AFD" w:rsidRDefault="00B43743" w:rsidP="00801AFD">
      <w:pPr>
        <w:pStyle w:val="Default"/>
        <w:widowControl w:val="0"/>
        <w:jc w:val="both"/>
        <w:rPr>
          <w:sz w:val="22"/>
          <w:szCs w:val="22"/>
          <w:lang w:val="sr-Latn-ME"/>
        </w:rPr>
      </w:pPr>
    </w:p>
    <w:p w14:paraId="4EB92B7C" w14:textId="27E05FD6" w:rsidR="003A658B" w:rsidRPr="00801AFD" w:rsidRDefault="003A658B" w:rsidP="00801AFD">
      <w:pPr>
        <w:widowControl w:val="0"/>
        <w:jc w:val="both"/>
        <w:rPr>
          <w:sz w:val="22"/>
          <w:szCs w:val="22"/>
          <w:lang w:val="sr-Latn-ME"/>
        </w:rPr>
      </w:pPr>
      <w:r w:rsidRPr="00801AFD">
        <w:rPr>
          <w:sz w:val="22"/>
          <w:szCs w:val="22"/>
          <w:u w:val="single"/>
          <w:lang w:val="sr-Latn-ME"/>
        </w:rPr>
        <w:t>Ultomiris 300 mg/3 ml</w:t>
      </w:r>
      <w:r w:rsidR="00215CDE" w:rsidRPr="00801AFD">
        <w:rPr>
          <w:sz w:val="22"/>
          <w:szCs w:val="22"/>
          <w:u w:val="single"/>
          <w:lang w:val="sr-Latn-ME"/>
        </w:rPr>
        <w:t xml:space="preserve"> i </w:t>
      </w:r>
      <w:r w:rsidRPr="00801AFD">
        <w:rPr>
          <w:sz w:val="22"/>
          <w:szCs w:val="22"/>
          <w:u w:val="single"/>
          <w:lang w:val="sr-Latn-ME"/>
        </w:rPr>
        <w:t>1100 mg/11 ml, koncentrat za rastvor za infuziju</w:t>
      </w:r>
    </w:p>
    <w:p w14:paraId="30C60439" w14:textId="4D676711" w:rsidR="003A658B" w:rsidRPr="00801AFD" w:rsidRDefault="003A658B" w:rsidP="00801AFD">
      <w:pPr>
        <w:widowControl w:val="0"/>
        <w:jc w:val="both"/>
        <w:rPr>
          <w:sz w:val="22"/>
          <w:szCs w:val="22"/>
          <w:lang w:val="sr-Latn-ME"/>
        </w:rPr>
      </w:pPr>
      <w:r w:rsidRPr="00801AFD">
        <w:rPr>
          <w:sz w:val="22"/>
          <w:szCs w:val="22"/>
          <w:lang w:val="sr-Latn-ME"/>
        </w:rPr>
        <w:t xml:space="preserve">Proziran, bistar </w:t>
      </w:r>
      <w:r w:rsidR="00D8298E" w:rsidRPr="00801AFD">
        <w:rPr>
          <w:sz w:val="22"/>
          <w:szCs w:val="22"/>
          <w:lang w:val="sr-Latn-ME"/>
        </w:rPr>
        <w:t xml:space="preserve">do </w:t>
      </w:r>
      <w:r w:rsidRPr="00801AFD">
        <w:rPr>
          <w:sz w:val="22"/>
          <w:szCs w:val="22"/>
          <w:lang w:val="sr-Latn-ME"/>
        </w:rPr>
        <w:t>žućkasti rastvor, pH 7</w:t>
      </w:r>
      <w:r w:rsidR="00B43743" w:rsidRPr="00801AFD">
        <w:rPr>
          <w:sz w:val="22"/>
          <w:szCs w:val="22"/>
          <w:lang w:val="sr-Latn-ME"/>
        </w:rPr>
        <w:t>.</w:t>
      </w:r>
      <w:r w:rsidRPr="00801AFD">
        <w:rPr>
          <w:sz w:val="22"/>
          <w:szCs w:val="22"/>
          <w:lang w:val="sr-Latn-ME"/>
        </w:rPr>
        <w:t>4.</w:t>
      </w:r>
    </w:p>
    <w:p w14:paraId="379CBFD2" w14:textId="77777777" w:rsidR="003A658B" w:rsidRPr="00801AFD" w:rsidRDefault="003A658B" w:rsidP="00801AFD">
      <w:pPr>
        <w:widowControl w:val="0"/>
        <w:jc w:val="both"/>
        <w:rPr>
          <w:sz w:val="22"/>
          <w:szCs w:val="22"/>
          <w:lang w:val="sr-Latn-ME"/>
        </w:rPr>
      </w:pPr>
    </w:p>
    <w:p w14:paraId="1377AF36" w14:textId="73A40DB5" w:rsidR="003A658B" w:rsidRPr="00801AFD" w:rsidRDefault="003A658B" w:rsidP="00801AFD">
      <w:pPr>
        <w:widowControl w:val="0"/>
        <w:jc w:val="both"/>
        <w:rPr>
          <w:sz w:val="22"/>
          <w:szCs w:val="22"/>
          <w:lang w:val="sr-Latn-ME"/>
        </w:rPr>
      </w:pPr>
      <w:r w:rsidRPr="00801AFD">
        <w:rPr>
          <w:sz w:val="22"/>
          <w:szCs w:val="22"/>
          <w:u w:val="single"/>
          <w:lang w:val="sr-Latn-ME"/>
        </w:rPr>
        <w:t>Ultomiris 300 mg/30 ml, koncentrat za rastvor za infuziju</w:t>
      </w:r>
    </w:p>
    <w:p w14:paraId="5CAD7D3B" w14:textId="12E9C6AE" w:rsidR="00411B4B" w:rsidRPr="00801AFD" w:rsidRDefault="003A658B" w:rsidP="00801AFD">
      <w:pPr>
        <w:widowControl w:val="0"/>
        <w:jc w:val="both"/>
        <w:rPr>
          <w:b/>
          <w:bCs/>
          <w:sz w:val="22"/>
          <w:szCs w:val="22"/>
          <w:lang w:val="sr-Latn-ME"/>
        </w:rPr>
      </w:pPr>
      <w:r w:rsidRPr="00801AFD">
        <w:rPr>
          <w:sz w:val="22"/>
          <w:szCs w:val="22"/>
          <w:lang w:val="sr-Latn-ME"/>
        </w:rPr>
        <w:t xml:space="preserve">Bistar </w:t>
      </w:r>
      <w:r w:rsidR="00D8298E" w:rsidRPr="00801AFD">
        <w:rPr>
          <w:sz w:val="22"/>
          <w:szCs w:val="22"/>
          <w:lang w:val="sr-Latn-ME"/>
        </w:rPr>
        <w:t xml:space="preserve">do </w:t>
      </w:r>
      <w:r w:rsidRPr="00801AFD">
        <w:rPr>
          <w:sz w:val="22"/>
          <w:szCs w:val="22"/>
          <w:lang w:val="sr-Latn-ME"/>
        </w:rPr>
        <w:t xml:space="preserve">proziran, </w:t>
      </w:r>
      <w:r w:rsidR="00310909" w:rsidRPr="00801AFD">
        <w:rPr>
          <w:sz w:val="22"/>
          <w:szCs w:val="22"/>
          <w:lang w:val="sr-Latn-ME"/>
        </w:rPr>
        <w:t xml:space="preserve">blago </w:t>
      </w:r>
      <w:r w:rsidRPr="00801AFD">
        <w:rPr>
          <w:sz w:val="22"/>
          <w:szCs w:val="22"/>
          <w:lang w:val="sr-Latn-ME"/>
        </w:rPr>
        <w:t>bjeličast rastvor, pH 7</w:t>
      </w:r>
      <w:r w:rsidR="00B43743" w:rsidRPr="00801AFD">
        <w:rPr>
          <w:sz w:val="22"/>
          <w:szCs w:val="22"/>
          <w:lang w:val="sr-Latn-ME"/>
        </w:rPr>
        <w:t>.</w:t>
      </w:r>
      <w:r w:rsidRPr="00801AFD">
        <w:rPr>
          <w:sz w:val="22"/>
          <w:szCs w:val="22"/>
          <w:lang w:val="sr-Latn-ME"/>
        </w:rPr>
        <w:t>0.</w:t>
      </w:r>
    </w:p>
    <w:p w14:paraId="06AA261D" w14:textId="77777777" w:rsidR="00411B4B" w:rsidRPr="00801AFD" w:rsidRDefault="00411B4B" w:rsidP="00801AFD">
      <w:pPr>
        <w:widowControl w:val="0"/>
        <w:jc w:val="both"/>
        <w:rPr>
          <w:bCs/>
          <w:sz w:val="22"/>
          <w:szCs w:val="22"/>
          <w:lang w:val="sr-Latn-ME"/>
        </w:rPr>
      </w:pPr>
    </w:p>
    <w:p w14:paraId="4884ECAB" w14:textId="77777777" w:rsidR="00EC2532" w:rsidRPr="00801AFD" w:rsidRDefault="00EC2532" w:rsidP="00801AFD">
      <w:pPr>
        <w:widowControl w:val="0"/>
        <w:jc w:val="both"/>
        <w:rPr>
          <w:bCs/>
          <w:sz w:val="22"/>
          <w:szCs w:val="22"/>
          <w:lang w:val="sr-Latn-ME"/>
        </w:rPr>
      </w:pPr>
    </w:p>
    <w:p w14:paraId="2E783690" w14:textId="77777777" w:rsidR="00411B4B" w:rsidRPr="00801AFD" w:rsidRDefault="00411B4B" w:rsidP="00801AFD">
      <w:pPr>
        <w:widowControl w:val="0"/>
        <w:tabs>
          <w:tab w:val="left" w:pos="540"/>
          <w:tab w:val="left" w:pos="569"/>
        </w:tabs>
        <w:jc w:val="both"/>
        <w:rPr>
          <w:b/>
          <w:bCs/>
          <w:sz w:val="22"/>
          <w:szCs w:val="22"/>
          <w:lang w:val="sr-Latn-ME"/>
        </w:rPr>
      </w:pPr>
      <w:r w:rsidRPr="00801AFD">
        <w:rPr>
          <w:b/>
          <w:bCs/>
          <w:sz w:val="22"/>
          <w:szCs w:val="22"/>
          <w:lang w:val="sr-Latn-ME"/>
        </w:rPr>
        <w:t xml:space="preserve">4. </w:t>
      </w:r>
      <w:r w:rsidR="00480FB1" w:rsidRPr="00801AFD">
        <w:rPr>
          <w:b/>
          <w:bCs/>
          <w:sz w:val="22"/>
          <w:szCs w:val="22"/>
          <w:lang w:val="sr-Latn-ME"/>
        </w:rPr>
        <w:tab/>
      </w:r>
      <w:r w:rsidRPr="00801AFD">
        <w:rPr>
          <w:b/>
          <w:bCs/>
          <w:sz w:val="22"/>
          <w:szCs w:val="22"/>
          <w:lang w:val="sr-Latn-ME"/>
        </w:rPr>
        <w:t>KLINIČKI PODACI</w:t>
      </w:r>
    </w:p>
    <w:p w14:paraId="54D1EF01" w14:textId="77777777" w:rsidR="00CD6F02" w:rsidRPr="00801AFD" w:rsidRDefault="00CD6F02" w:rsidP="00801AFD">
      <w:pPr>
        <w:widowControl w:val="0"/>
        <w:tabs>
          <w:tab w:val="left" w:pos="540"/>
          <w:tab w:val="left" w:pos="569"/>
        </w:tabs>
        <w:jc w:val="both"/>
        <w:rPr>
          <w:bCs/>
          <w:sz w:val="22"/>
          <w:szCs w:val="22"/>
          <w:lang w:val="sr-Latn-ME"/>
        </w:rPr>
      </w:pPr>
    </w:p>
    <w:p w14:paraId="14CAD827" w14:textId="479E702C" w:rsidR="00411B4B" w:rsidRPr="00801AFD" w:rsidRDefault="00411B4B" w:rsidP="00801AFD">
      <w:pPr>
        <w:widowControl w:val="0"/>
        <w:tabs>
          <w:tab w:val="left" w:pos="540"/>
          <w:tab w:val="left" w:pos="569"/>
        </w:tabs>
        <w:jc w:val="both"/>
        <w:rPr>
          <w:b/>
          <w:bCs/>
          <w:sz w:val="22"/>
          <w:szCs w:val="22"/>
          <w:lang w:val="sr-Latn-ME"/>
        </w:rPr>
      </w:pPr>
      <w:r w:rsidRPr="00801AFD">
        <w:rPr>
          <w:b/>
          <w:bCs/>
          <w:sz w:val="22"/>
          <w:szCs w:val="22"/>
          <w:lang w:val="sr-Latn-ME"/>
        </w:rPr>
        <w:t xml:space="preserve">4.1. </w:t>
      </w:r>
      <w:r w:rsidR="00480FB1" w:rsidRPr="00801AFD">
        <w:rPr>
          <w:b/>
          <w:bCs/>
          <w:sz w:val="22"/>
          <w:szCs w:val="22"/>
          <w:lang w:val="sr-Latn-ME"/>
        </w:rPr>
        <w:tab/>
      </w:r>
      <w:r w:rsidRPr="00801AFD">
        <w:rPr>
          <w:b/>
          <w:bCs/>
          <w:sz w:val="22"/>
          <w:szCs w:val="22"/>
          <w:lang w:val="sr-Latn-ME"/>
        </w:rPr>
        <w:t>Terapijske indikacije</w:t>
      </w:r>
    </w:p>
    <w:p w14:paraId="24421C48" w14:textId="1743B6E6" w:rsidR="003A658B" w:rsidRPr="00801AFD" w:rsidRDefault="003A658B" w:rsidP="00801AFD">
      <w:pPr>
        <w:widowControl w:val="0"/>
        <w:tabs>
          <w:tab w:val="left" w:pos="540"/>
          <w:tab w:val="left" w:pos="569"/>
        </w:tabs>
        <w:jc w:val="both"/>
        <w:rPr>
          <w:b/>
          <w:bCs/>
          <w:sz w:val="22"/>
          <w:szCs w:val="22"/>
          <w:lang w:val="sr-Latn-ME"/>
        </w:rPr>
      </w:pPr>
    </w:p>
    <w:p w14:paraId="65CC7D14" w14:textId="4D7C29BD" w:rsidR="008B6280" w:rsidRPr="00801AFD" w:rsidRDefault="008B6280" w:rsidP="00801AFD">
      <w:pPr>
        <w:widowControl w:val="0"/>
        <w:jc w:val="both"/>
        <w:rPr>
          <w:color w:val="000000"/>
          <w:sz w:val="22"/>
          <w:szCs w:val="22"/>
          <w:lang w:val="sr-Latn-ME"/>
        </w:rPr>
      </w:pPr>
      <w:r w:rsidRPr="00801AFD">
        <w:rPr>
          <w:color w:val="000000"/>
          <w:sz w:val="22"/>
          <w:szCs w:val="22"/>
          <w:lang w:val="sr-Latn-ME"/>
        </w:rPr>
        <w:t>Paroks</w:t>
      </w:r>
      <w:r w:rsidR="008B78D7" w:rsidRPr="00801AFD">
        <w:rPr>
          <w:color w:val="000000"/>
          <w:sz w:val="22"/>
          <w:szCs w:val="22"/>
          <w:lang w:val="sr-Latn-ME"/>
        </w:rPr>
        <w:t>i</w:t>
      </w:r>
      <w:r w:rsidRPr="00801AFD">
        <w:rPr>
          <w:color w:val="000000"/>
          <w:sz w:val="22"/>
          <w:szCs w:val="22"/>
          <w:lang w:val="sr-Latn-ME"/>
        </w:rPr>
        <w:t xml:space="preserve">zomalna </w:t>
      </w:r>
      <w:r w:rsidRPr="00801AFD">
        <w:rPr>
          <w:i/>
          <w:iCs/>
          <w:sz w:val="22"/>
          <w:szCs w:val="22"/>
          <w:lang w:val="sr-Latn-ME"/>
        </w:rPr>
        <w:t>noćna hemoglobinurija (PNH)</w:t>
      </w:r>
    </w:p>
    <w:p w14:paraId="06BE8DB8" w14:textId="5FED187A" w:rsidR="003A658B" w:rsidRPr="00801AFD" w:rsidRDefault="003A658B" w:rsidP="00801AFD">
      <w:pPr>
        <w:widowControl w:val="0"/>
        <w:jc w:val="both"/>
        <w:rPr>
          <w:color w:val="000000"/>
          <w:sz w:val="22"/>
          <w:szCs w:val="22"/>
          <w:lang w:val="sr-Latn-ME"/>
        </w:rPr>
      </w:pPr>
      <w:r w:rsidRPr="00801AFD">
        <w:rPr>
          <w:color w:val="000000"/>
          <w:sz w:val="22"/>
          <w:szCs w:val="22"/>
          <w:lang w:val="sr-Latn-ME"/>
        </w:rPr>
        <w:lastRenderedPageBreak/>
        <w:t xml:space="preserve">Lijek Ultomiris je indikovan za liječenje odraslih pacijenata </w:t>
      </w:r>
      <w:r w:rsidR="00FF0A34" w:rsidRPr="00801AFD">
        <w:rPr>
          <w:color w:val="000000"/>
          <w:sz w:val="22"/>
          <w:szCs w:val="22"/>
          <w:lang w:val="sr-Latn-ME"/>
        </w:rPr>
        <w:t xml:space="preserve">i pedijatrijskih pacijenata sa tjelesnom </w:t>
      </w:r>
      <w:r w:rsidR="00D753BE" w:rsidRPr="00801AFD">
        <w:rPr>
          <w:color w:val="000000"/>
          <w:sz w:val="22"/>
          <w:szCs w:val="22"/>
          <w:lang w:val="sr-Latn-ME"/>
        </w:rPr>
        <w:t xml:space="preserve">težinom </w:t>
      </w:r>
      <w:r w:rsidR="00FF0A34" w:rsidRPr="00801AFD">
        <w:rPr>
          <w:sz w:val="22"/>
          <w:szCs w:val="22"/>
          <w:lang w:val="sr-Latn-ME"/>
        </w:rPr>
        <w:t>≥ 10 kg</w:t>
      </w:r>
      <w:r w:rsidR="00FF0A34" w:rsidRPr="00801AFD">
        <w:rPr>
          <w:color w:val="000000"/>
          <w:sz w:val="22"/>
          <w:szCs w:val="22"/>
          <w:lang w:val="sr-Latn-ME"/>
        </w:rPr>
        <w:t xml:space="preserve"> sa</w:t>
      </w:r>
      <w:r w:rsidRPr="00801AFD">
        <w:rPr>
          <w:color w:val="000000"/>
          <w:sz w:val="22"/>
          <w:szCs w:val="22"/>
          <w:lang w:val="sr-Latn-ME"/>
        </w:rPr>
        <w:t xml:space="preserve"> (PNH):</w:t>
      </w:r>
    </w:p>
    <w:p w14:paraId="574F8FA7" w14:textId="77777777" w:rsidR="003A658B" w:rsidRPr="00801AFD" w:rsidRDefault="003A658B" w:rsidP="00801AFD">
      <w:pPr>
        <w:pStyle w:val="ListParagraph"/>
        <w:widowControl w:val="0"/>
        <w:numPr>
          <w:ilvl w:val="0"/>
          <w:numId w:val="12"/>
        </w:numPr>
        <w:rPr>
          <w:color w:val="000000"/>
          <w:szCs w:val="22"/>
          <w:lang w:val="sr-Latn-ME"/>
        </w:rPr>
      </w:pPr>
      <w:r w:rsidRPr="00801AFD">
        <w:rPr>
          <w:color w:val="000000"/>
          <w:szCs w:val="22"/>
          <w:lang w:val="sr-Latn-ME"/>
        </w:rPr>
        <w:t>kod pacijenata sa hemolizom sa jednim ili više kliničkih simptoma koji ukazuju na visoko aktivnu bolest</w:t>
      </w:r>
    </w:p>
    <w:p w14:paraId="2246E245" w14:textId="5CAC53FA" w:rsidR="003A658B" w:rsidRPr="00801AFD" w:rsidRDefault="003A658B" w:rsidP="00801AFD">
      <w:pPr>
        <w:pStyle w:val="ListParagraph"/>
        <w:widowControl w:val="0"/>
        <w:numPr>
          <w:ilvl w:val="0"/>
          <w:numId w:val="12"/>
        </w:numPr>
        <w:rPr>
          <w:color w:val="000000"/>
          <w:szCs w:val="22"/>
          <w:lang w:val="sr-Latn-ME"/>
        </w:rPr>
      </w:pPr>
      <w:r w:rsidRPr="00801AFD">
        <w:rPr>
          <w:color w:val="000000"/>
          <w:szCs w:val="22"/>
          <w:lang w:val="sr-Latn-ME"/>
        </w:rPr>
        <w:t>kod pacijenata koji su klinički stabilni nakon liječenja ekulizumabom najmanje posljednjih 6 mjeseci.</w:t>
      </w:r>
    </w:p>
    <w:p w14:paraId="14633A6D" w14:textId="346D12BC" w:rsidR="003A658B" w:rsidRPr="00801AFD" w:rsidRDefault="008B6280" w:rsidP="00801AFD">
      <w:pPr>
        <w:widowControl w:val="0"/>
        <w:jc w:val="both"/>
        <w:rPr>
          <w:i/>
          <w:color w:val="000000"/>
          <w:sz w:val="22"/>
          <w:szCs w:val="22"/>
          <w:lang w:val="sr-Latn-ME"/>
        </w:rPr>
      </w:pPr>
      <w:r w:rsidRPr="00801AFD">
        <w:rPr>
          <w:i/>
          <w:color w:val="000000"/>
          <w:sz w:val="22"/>
          <w:szCs w:val="22"/>
          <w:lang w:val="sr-Latn-ME"/>
        </w:rPr>
        <w:t>Atipični hemolitičko-uremijski sindromom (aHUS)</w:t>
      </w:r>
    </w:p>
    <w:p w14:paraId="1BCC46A3" w14:textId="0A4BA744" w:rsidR="003A658B" w:rsidRPr="00801AFD" w:rsidRDefault="003A658B" w:rsidP="00801AFD">
      <w:pPr>
        <w:widowControl w:val="0"/>
        <w:jc w:val="both"/>
        <w:rPr>
          <w:b/>
          <w:bCs/>
          <w:sz w:val="22"/>
          <w:szCs w:val="22"/>
          <w:lang w:val="sr-Latn-ME"/>
        </w:rPr>
      </w:pPr>
      <w:r w:rsidRPr="00801AFD">
        <w:rPr>
          <w:color w:val="000000"/>
          <w:sz w:val="22"/>
          <w:szCs w:val="22"/>
          <w:lang w:val="sr-Latn-ME"/>
        </w:rPr>
        <w:t xml:space="preserve">Lijek Ultomiris je indikovan za liječenje </w:t>
      </w:r>
      <w:r w:rsidR="00295F29" w:rsidRPr="00801AFD">
        <w:rPr>
          <w:color w:val="000000"/>
          <w:sz w:val="22"/>
          <w:szCs w:val="22"/>
          <w:lang w:val="sr-Latn-ME"/>
        </w:rPr>
        <w:t xml:space="preserve">odraslih i djece </w:t>
      </w:r>
      <w:r w:rsidRPr="00801AFD">
        <w:rPr>
          <w:color w:val="000000"/>
          <w:sz w:val="22"/>
          <w:szCs w:val="22"/>
          <w:lang w:val="sr-Latn-ME"/>
        </w:rPr>
        <w:t xml:space="preserve">tjelesne </w:t>
      </w:r>
      <w:r w:rsidR="00D753BE" w:rsidRPr="00801AFD">
        <w:rPr>
          <w:color w:val="000000"/>
          <w:sz w:val="22"/>
          <w:szCs w:val="22"/>
          <w:lang w:val="sr-Latn-ME"/>
        </w:rPr>
        <w:t xml:space="preserve">težine </w:t>
      </w:r>
      <w:r w:rsidRPr="00801AFD">
        <w:rPr>
          <w:color w:val="000000"/>
          <w:sz w:val="22"/>
          <w:szCs w:val="22"/>
          <w:lang w:val="sr-Latn-ME"/>
        </w:rPr>
        <w:t>10 kg ili više sa  koji prethodno nijesu liječeni inhibitorom sistema komplementa ili su primali ekulizumab najmanje 3 mjeseca i imaju dokazan odgovor na ekulizumab.</w:t>
      </w:r>
    </w:p>
    <w:p w14:paraId="44D2FB07" w14:textId="77BC4519" w:rsidR="00411B4B" w:rsidRPr="00801AFD" w:rsidRDefault="00411B4B" w:rsidP="00801AFD">
      <w:pPr>
        <w:widowControl w:val="0"/>
        <w:tabs>
          <w:tab w:val="left" w:pos="540"/>
          <w:tab w:val="left" w:pos="569"/>
        </w:tabs>
        <w:jc w:val="both"/>
        <w:rPr>
          <w:bCs/>
          <w:sz w:val="22"/>
          <w:szCs w:val="22"/>
          <w:lang w:val="sr-Latn-ME"/>
        </w:rPr>
      </w:pPr>
    </w:p>
    <w:p w14:paraId="0358E843" w14:textId="72590F07" w:rsidR="008B6280" w:rsidRPr="00801AFD" w:rsidRDefault="0061641E" w:rsidP="00801AFD">
      <w:pPr>
        <w:widowControl w:val="0"/>
        <w:tabs>
          <w:tab w:val="left" w:pos="284"/>
        </w:tabs>
        <w:jc w:val="both"/>
        <w:rPr>
          <w:i/>
          <w:iCs/>
          <w:color w:val="000000"/>
          <w:sz w:val="22"/>
          <w:szCs w:val="22"/>
          <w:lang w:val="sr-Latn-ME"/>
        </w:rPr>
      </w:pPr>
      <w:r w:rsidRPr="00801AFD">
        <w:rPr>
          <w:i/>
          <w:iCs/>
          <w:color w:val="000000"/>
          <w:sz w:val="22"/>
          <w:szCs w:val="22"/>
          <w:lang w:val="sr-Latn-ME"/>
        </w:rPr>
        <w:t xml:space="preserve">Generalizovana </w:t>
      </w:r>
      <w:r w:rsidR="008B6280" w:rsidRPr="00801AFD">
        <w:rPr>
          <w:i/>
          <w:iCs/>
          <w:color w:val="000000"/>
          <w:sz w:val="22"/>
          <w:szCs w:val="22"/>
          <w:lang w:val="sr-Latn-ME"/>
        </w:rPr>
        <w:t>mijastenija gravis (gMG)</w:t>
      </w:r>
    </w:p>
    <w:p w14:paraId="04D2F4E3" w14:textId="26B5EB23" w:rsidR="008B6280" w:rsidRPr="00801AFD" w:rsidRDefault="008B6280" w:rsidP="00801AFD">
      <w:pPr>
        <w:widowControl w:val="0"/>
        <w:tabs>
          <w:tab w:val="left" w:pos="284"/>
        </w:tabs>
        <w:jc w:val="both"/>
        <w:rPr>
          <w:color w:val="000000"/>
          <w:sz w:val="22"/>
          <w:szCs w:val="22"/>
          <w:lang w:val="sr-Latn-ME"/>
        </w:rPr>
      </w:pPr>
      <w:r w:rsidRPr="00801AFD">
        <w:rPr>
          <w:color w:val="000000"/>
          <w:sz w:val="22"/>
          <w:szCs w:val="22"/>
          <w:lang w:val="sr-Latn-ME"/>
        </w:rPr>
        <w:t>Ultomiris je indikovan kao dodatak standardnoj terapiji za l</w:t>
      </w:r>
      <w:r w:rsidR="0099493B" w:rsidRPr="00801AFD">
        <w:rPr>
          <w:color w:val="000000"/>
          <w:sz w:val="22"/>
          <w:szCs w:val="22"/>
          <w:lang w:val="sr-Latn-ME"/>
        </w:rPr>
        <w:t>ij</w:t>
      </w:r>
      <w:r w:rsidRPr="00801AFD">
        <w:rPr>
          <w:color w:val="000000"/>
          <w:sz w:val="22"/>
          <w:szCs w:val="22"/>
          <w:lang w:val="sr-Latn-ME"/>
        </w:rPr>
        <w:t>ečenje odraslih pacijenata sa gMG koji su pozitivni na antit</w:t>
      </w:r>
      <w:r w:rsidR="0099493B" w:rsidRPr="00801AFD">
        <w:rPr>
          <w:color w:val="000000"/>
          <w:sz w:val="22"/>
          <w:szCs w:val="22"/>
          <w:lang w:val="sr-Latn-ME"/>
        </w:rPr>
        <w:t>ij</w:t>
      </w:r>
      <w:r w:rsidRPr="00801AFD">
        <w:rPr>
          <w:color w:val="000000"/>
          <w:sz w:val="22"/>
          <w:szCs w:val="22"/>
          <w:lang w:val="sr-Latn-ME"/>
        </w:rPr>
        <w:t xml:space="preserve">ela na receptore acetilholina (AChR). </w:t>
      </w:r>
    </w:p>
    <w:p w14:paraId="58DFAEED" w14:textId="77777777" w:rsidR="00811B6C" w:rsidRPr="00801AFD" w:rsidRDefault="00811B6C" w:rsidP="00801AFD">
      <w:pPr>
        <w:widowControl w:val="0"/>
        <w:tabs>
          <w:tab w:val="left" w:pos="284"/>
        </w:tabs>
        <w:jc w:val="both"/>
        <w:rPr>
          <w:color w:val="000000"/>
          <w:sz w:val="22"/>
          <w:szCs w:val="22"/>
          <w:lang w:val="sr-Latn-ME"/>
        </w:rPr>
      </w:pPr>
    </w:p>
    <w:p w14:paraId="1846A88B" w14:textId="77777777" w:rsidR="00811B6C" w:rsidRPr="00801AFD" w:rsidRDefault="00811B6C" w:rsidP="00801AFD">
      <w:pPr>
        <w:widowControl w:val="0"/>
        <w:tabs>
          <w:tab w:val="left" w:pos="284"/>
        </w:tabs>
        <w:jc w:val="both"/>
        <w:rPr>
          <w:color w:val="000000"/>
          <w:sz w:val="22"/>
          <w:szCs w:val="22"/>
          <w:lang w:val="sr-Latn-ME"/>
        </w:rPr>
      </w:pPr>
      <w:r w:rsidRPr="00801AFD">
        <w:rPr>
          <w:color w:val="000000"/>
          <w:sz w:val="22"/>
          <w:szCs w:val="22"/>
          <w:lang w:val="sr-Latn-ME"/>
        </w:rPr>
        <w:t>Spektar poremećaja optičkog neuromijelitisa (NMOSD)</w:t>
      </w:r>
    </w:p>
    <w:p w14:paraId="56AF2FC4" w14:textId="2D79F306" w:rsidR="00811B6C" w:rsidRPr="00801AFD" w:rsidRDefault="00811B6C" w:rsidP="00801AFD">
      <w:pPr>
        <w:widowControl w:val="0"/>
        <w:tabs>
          <w:tab w:val="left" w:pos="284"/>
        </w:tabs>
        <w:jc w:val="both"/>
        <w:rPr>
          <w:color w:val="000000"/>
          <w:sz w:val="22"/>
          <w:szCs w:val="22"/>
          <w:lang w:val="sr-Latn-ME"/>
        </w:rPr>
      </w:pPr>
      <w:r w:rsidRPr="00801AFD">
        <w:rPr>
          <w:color w:val="000000"/>
          <w:sz w:val="22"/>
          <w:szCs w:val="22"/>
          <w:lang w:val="sr-Latn-ME"/>
        </w:rPr>
        <w:t>Ultomiris je indikovan u l</w:t>
      </w:r>
      <w:r w:rsidR="00471BA3" w:rsidRPr="00801AFD">
        <w:rPr>
          <w:color w:val="000000"/>
          <w:sz w:val="22"/>
          <w:szCs w:val="22"/>
          <w:lang w:val="sr-Latn-ME"/>
        </w:rPr>
        <w:t>ij</w:t>
      </w:r>
      <w:r w:rsidRPr="00801AFD">
        <w:rPr>
          <w:color w:val="000000"/>
          <w:sz w:val="22"/>
          <w:szCs w:val="22"/>
          <w:lang w:val="sr-Latn-ME"/>
        </w:rPr>
        <w:t>ečenju odraslih pacijenata sa NMOSD koji su pozitivni na antit</w:t>
      </w:r>
      <w:r w:rsidR="00471BA3" w:rsidRPr="00801AFD">
        <w:rPr>
          <w:color w:val="000000"/>
          <w:sz w:val="22"/>
          <w:szCs w:val="22"/>
          <w:lang w:val="sr-Latn-ME"/>
        </w:rPr>
        <w:t>ij</w:t>
      </w:r>
      <w:r w:rsidRPr="00801AFD">
        <w:rPr>
          <w:color w:val="000000"/>
          <w:sz w:val="22"/>
          <w:szCs w:val="22"/>
          <w:lang w:val="sr-Latn-ME"/>
        </w:rPr>
        <w:t>ela na akvaporin 4 (AKP4) (vid</w:t>
      </w:r>
      <w:r w:rsidR="00471BA3" w:rsidRPr="00801AFD">
        <w:rPr>
          <w:color w:val="000000"/>
          <w:sz w:val="22"/>
          <w:szCs w:val="22"/>
          <w:lang w:val="sr-Latn-ME"/>
        </w:rPr>
        <w:t>j</w:t>
      </w:r>
      <w:r w:rsidRPr="00801AFD">
        <w:rPr>
          <w:color w:val="000000"/>
          <w:sz w:val="22"/>
          <w:szCs w:val="22"/>
          <w:lang w:val="sr-Latn-ME"/>
        </w:rPr>
        <w:t xml:space="preserve">eti </w:t>
      </w:r>
      <w:r w:rsidR="00C46DBE" w:rsidRPr="00801AFD">
        <w:rPr>
          <w:color w:val="000000"/>
          <w:sz w:val="22"/>
          <w:szCs w:val="22"/>
          <w:lang w:val="sr-Latn-ME"/>
        </w:rPr>
        <w:t xml:space="preserve">dio </w:t>
      </w:r>
      <w:r w:rsidRPr="00801AFD">
        <w:rPr>
          <w:color w:val="000000"/>
          <w:sz w:val="22"/>
          <w:szCs w:val="22"/>
          <w:lang w:val="sr-Latn-ME"/>
        </w:rPr>
        <w:t>5.1).</w:t>
      </w:r>
    </w:p>
    <w:p w14:paraId="0CB3CBDE" w14:textId="77777777" w:rsidR="008B6280" w:rsidRPr="00801AFD" w:rsidRDefault="008B6280" w:rsidP="00801AFD">
      <w:pPr>
        <w:widowControl w:val="0"/>
        <w:tabs>
          <w:tab w:val="left" w:pos="540"/>
          <w:tab w:val="left" w:pos="569"/>
        </w:tabs>
        <w:jc w:val="both"/>
        <w:rPr>
          <w:bCs/>
          <w:sz w:val="22"/>
          <w:szCs w:val="22"/>
          <w:lang w:val="sr-Latn-ME"/>
        </w:rPr>
      </w:pPr>
    </w:p>
    <w:p w14:paraId="6CF5117C" w14:textId="77777777" w:rsidR="00411B4B" w:rsidRPr="00801AFD" w:rsidRDefault="00411B4B" w:rsidP="00801AFD">
      <w:pPr>
        <w:widowControl w:val="0"/>
        <w:tabs>
          <w:tab w:val="left" w:pos="540"/>
          <w:tab w:val="left" w:pos="569"/>
        </w:tabs>
        <w:jc w:val="both"/>
        <w:rPr>
          <w:b/>
          <w:bCs/>
          <w:sz w:val="22"/>
          <w:szCs w:val="22"/>
          <w:lang w:val="sr-Latn-ME"/>
        </w:rPr>
      </w:pPr>
      <w:r w:rsidRPr="00801AFD">
        <w:rPr>
          <w:b/>
          <w:bCs/>
          <w:sz w:val="22"/>
          <w:szCs w:val="22"/>
          <w:lang w:val="sr-Latn-ME"/>
        </w:rPr>
        <w:t xml:space="preserve">4.2. </w:t>
      </w:r>
      <w:r w:rsidR="00480FB1" w:rsidRPr="00801AFD">
        <w:rPr>
          <w:b/>
          <w:bCs/>
          <w:sz w:val="22"/>
          <w:szCs w:val="22"/>
          <w:lang w:val="sr-Latn-ME"/>
        </w:rPr>
        <w:tab/>
      </w:r>
      <w:r w:rsidRPr="00801AFD">
        <w:rPr>
          <w:b/>
          <w:bCs/>
          <w:sz w:val="22"/>
          <w:szCs w:val="22"/>
          <w:lang w:val="sr-Latn-ME"/>
        </w:rPr>
        <w:t>Doziranje i način primjene</w:t>
      </w:r>
    </w:p>
    <w:p w14:paraId="10ACA900" w14:textId="77777777" w:rsidR="0072020E" w:rsidRPr="00801AFD" w:rsidRDefault="0072020E" w:rsidP="00801AFD">
      <w:pPr>
        <w:widowControl w:val="0"/>
        <w:tabs>
          <w:tab w:val="left" w:pos="540"/>
          <w:tab w:val="left" w:pos="569"/>
        </w:tabs>
        <w:jc w:val="both"/>
        <w:rPr>
          <w:bCs/>
          <w:sz w:val="22"/>
          <w:szCs w:val="22"/>
          <w:lang w:val="sr-Latn-ME"/>
        </w:rPr>
      </w:pPr>
    </w:p>
    <w:p w14:paraId="58469531" w14:textId="00AAFF69" w:rsidR="003A658B" w:rsidRPr="00801AFD" w:rsidRDefault="003A658B" w:rsidP="00801AFD">
      <w:pPr>
        <w:widowControl w:val="0"/>
        <w:jc w:val="both"/>
        <w:rPr>
          <w:color w:val="000000"/>
          <w:sz w:val="22"/>
          <w:szCs w:val="22"/>
          <w:lang w:val="sr-Latn-ME"/>
        </w:rPr>
      </w:pPr>
      <w:r w:rsidRPr="00801AFD">
        <w:rPr>
          <w:color w:val="000000"/>
          <w:sz w:val="22"/>
          <w:szCs w:val="22"/>
          <w:lang w:val="sr-Latn-ME"/>
        </w:rPr>
        <w:t>Ravulizumab treba da primjenjuje zdravstveni radnik uz nadzor ljekara sa iskustvom u liječenju pacijenata sa hematološkim</w:t>
      </w:r>
      <w:r w:rsidR="008B6280" w:rsidRPr="00801AFD">
        <w:rPr>
          <w:color w:val="000000"/>
          <w:sz w:val="22"/>
          <w:szCs w:val="22"/>
          <w:lang w:val="sr-Latn-ME"/>
        </w:rPr>
        <w:t>,</w:t>
      </w:r>
      <w:r w:rsidRPr="00801AFD">
        <w:rPr>
          <w:color w:val="000000"/>
          <w:sz w:val="22"/>
          <w:szCs w:val="22"/>
          <w:lang w:val="sr-Latn-ME"/>
        </w:rPr>
        <w:t>bubrežnim</w:t>
      </w:r>
      <w:r w:rsidR="00C834D8" w:rsidRPr="00801AFD">
        <w:rPr>
          <w:color w:val="000000"/>
          <w:sz w:val="22"/>
          <w:szCs w:val="22"/>
          <w:lang w:val="sr-Latn-ME"/>
        </w:rPr>
        <w:t>,</w:t>
      </w:r>
      <w:r w:rsidR="008B6280" w:rsidRPr="00801AFD">
        <w:rPr>
          <w:color w:val="000000"/>
          <w:sz w:val="22"/>
          <w:szCs w:val="22"/>
          <w:lang w:val="sr-Latn-ME"/>
        </w:rPr>
        <w:t xml:space="preserve"> neuromuskularnim </w:t>
      </w:r>
      <w:r w:rsidR="00811B6C" w:rsidRPr="00801AFD">
        <w:rPr>
          <w:color w:val="000000"/>
          <w:sz w:val="22"/>
          <w:szCs w:val="22"/>
          <w:lang w:val="sr-Latn-ME"/>
        </w:rPr>
        <w:t xml:space="preserve">ili neuroinflamatornim </w:t>
      </w:r>
      <w:r w:rsidRPr="00801AFD">
        <w:rPr>
          <w:color w:val="000000"/>
          <w:sz w:val="22"/>
          <w:szCs w:val="22"/>
          <w:lang w:val="sr-Latn-ME"/>
        </w:rPr>
        <w:t>poremećajima.</w:t>
      </w:r>
    </w:p>
    <w:p w14:paraId="54ADCEC8" w14:textId="77777777" w:rsidR="003A658B" w:rsidRPr="00801AFD" w:rsidRDefault="003A658B" w:rsidP="00801AFD">
      <w:pPr>
        <w:widowControl w:val="0"/>
        <w:tabs>
          <w:tab w:val="left" w:pos="540"/>
          <w:tab w:val="left" w:pos="569"/>
        </w:tabs>
        <w:jc w:val="both"/>
        <w:rPr>
          <w:bCs/>
          <w:sz w:val="22"/>
          <w:szCs w:val="22"/>
          <w:u w:val="single"/>
          <w:lang w:val="sr-Latn-ME"/>
        </w:rPr>
      </w:pPr>
    </w:p>
    <w:p w14:paraId="4ADC2EA7" w14:textId="6D0DE2E8" w:rsidR="00452E9D" w:rsidRPr="00801AFD" w:rsidRDefault="00452E9D" w:rsidP="00801AFD">
      <w:pPr>
        <w:widowControl w:val="0"/>
        <w:tabs>
          <w:tab w:val="left" w:pos="540"/>
          <w:tab w:val="left" w:pos="569"/>
        </w:tabs>
        <w:jc w:val="both"/>
        <w:rPr>
          <w:bCs/>
          <w:sz w:val="22"/>
          <w:szCs w:val="22"/>
          <w:u w:val="single"/>
          <w:lang w:val="sr-Latn-ME"/>
        </w:rPr>
      </w:pPr>
      <w:r w:rsidRPr="00801AFD">
        <w:rPr>
          <w:bCs/>
          <w:sz w:val="22"/>
          <w:szCs w:val="22"/>
          <w:u w:val="single"/>
          <w:lang w:val="sr-Latn-ME"/>
        </w:rPr>
        <w:t>Doziranje</w:t>
      </w:r>
    </w:p>
    <w:p w14:paraId="48C6BE6A" w14:textId="0B83C426" w:rsidR="003A658B" w:rsidRPr="00801AFD" w:rsidRDefault="003A658B" w:rsidP="00801AFD">
      <w:pPr>
        <w:widowControl w:val="0"/>
        <w:tabs>
          <w:tab w:val="left" w:pos="540"/>
          <w:tab w:val="left" w:pos="569"/>
        </w:tabs>
        <w:jc w:val="both"/>
        <w:rPr>
          <w:bCs/>
          <w:sz w:val="22"/>
          <w:szCs w:val="22"/>
          <w:u w:val="single"/>
          <w:lang w:val="sr-Latn-ME"/>
        </w:rPr>
      </w:pPr>
    </w:p>
    <w:p w14:paraId="0C4218B9" w14:textId="3B151252" w:rsidR="003A658B" w:rsidRPr="00801AFD" w:rsidRDefault="003A658B" w:rsidP="00801AFD">
      <w:pPr>
        <w:widowControl w:val="0"/>
        <w:jc w:val="both"/>
        <w:rPr>
          <w:i/>
          <w:iCs/>
          <w:color w:val="000000"/>
          <w:sz w:val="22"/>
          <w:szCs w:val="22"/>
          <w:lang w:val="sr-Latn-ME"/>
        </w:rPr>
      </w:pPr>
      <w:r w:rsidRPr="00801AFD">
        <w:rPr>
          <w:i/>
          <w:iCs/>
          <w:color w:val="000000"/>
          <w:sz w:val="22"/>
          <w:szCs w:val="22"/>
          <w:lang w:val="sr-Latn-ME"/>
        </w:rPr>
        <w:t xml:space="preserve">Odrasli pacijenti sa PNH </w:t>
      </w:r>
      <w:r w:rsidR="00D753BE" w:rsidRPr="00801AFD">
        <w:rPr>
          <w:i/>
          <w:iCs/>
          <w:color w:val="000000"/>
          <w:sz w:val="22"/>
          <w:szCs w:val="22"/>
          <w:lang w:val="sr-Latn-ME"/>
        </w:rPr>
        <w:t>,</w:t>
      </w:r>
      <w:r w:rsidRPr="00801AFD">
        <w:rPr>
          <w:i/>
          <w:iCs/>
          <w:color w:val="000000"/>
          <w:sz w:val="22"/>
          <w:szCs w:val="22"/>
          <w:lang w:val="sr-Latn-ME"/>
        </w:rPr>
        <w:t>aHUS</w:t>
      </w:r>
      <w:r w:rsidR="00F32A2C" w:rsidRPr="00801AFD">
        <w:rPr>
          <w:i/>
          <w:iCs/>
          <w:color w:val="000000"/>
          <w:sz w:val="22"/>
          <w:szCs w:val="22"/>
          <w:lang w:val="sr-Latn-ME"/>
        </w:rPr>
        <w:t>-om</w:t>
      </w:r>
      <w:r w:rsidR="00C834D8" w:rsidRPr="00801AFD">
        <w:rPr>
          <w:i/>
          <w:iCs/>
          <w:color w:val="000000"/>
          <w:sz w:val="22"/>
          <w:szCs w:val="22"/>
          <w:lang w:val="sr-Latn-ME"/>
        </w:rPr>
        <w:t xml:space="preserve">, </w:t>
      </w:r>
      <w:r w:rsidR="00D753BE" w:rsidRPr="00801AFD">
        <w:rPr>
          <w:i/>
          <w:iCs/>
          <w:color w:val="000000"/>
          <w:sz w:val="22"/>
          <w:szCs w:val="22"/>
          <w:lang w:val="sr-Latn-ME"/>
        </w:rPr>
        <w:t>gMG-om-</w:t>
      </w:r>
      <w:r w:rsidR="00811B6C" w:rsidRPr="00801AFD">
        <w:rPr>
          <w:i/>
          <w:iCs/>
          <w:color w:val="000000"/>
          <w:sz w:val="22"/>
          <w:szCs w:val="22"/>
          <w:lang w:val="sr-Latn-ME"/>
        </w:rPr>
        <w:t xml:space="preserve"> ili NMOSD</w:t>
      </w:r>
    </w:p>
    <w:p w14:paraId="5EBB3A43" w14:textId="22E9549F" w:rsidR="003A658B" w:rsidRPr="00801AFD" w:rsidRDefault="003A658B" w:rsidP="00801AFD">
      <w:pPr>
        <w:widowControl w:val="0"/>
        <w:jc w:val="both"/>
        <w:rPr>
          <w:color w:val="000000"/>
          <w:sz w:val="22"/>
          <w:szCs w:val="22"/>
          <w:lang w:val="sr-Latn-ME"/>
        </w:rPr>
      </w:pPr>
      <w:r w:rsidRPr="00801AFD">
        <w:rPr>
          <w:color w:val="000000"/>
          <w:sz w:val="22"/>
          <w:szCs w:val="22"/>
          <w:lang w:val="sr-Latn-ME"/>
        </w:rPr>
        <w:t xml:space="preserve">Preporučeni režim doziranja sastoji se od udarne doze </w:t>
      </w:r>
      <w:r w:rsidR="00D753BE" w:rsidRPr="00801AFD">
        <w:rPr>
          <w:color w:val="000000"/>
          <w:sz w:val="22"/>
          <w:szCs w:val="22"/>
          <w:lang w:val="sr-Latn-ME"/>
        </w:rPr>
        <w:t xml:space="preserve">poslije koje slijede </w:t>
      </w:r>
      <w:r w:rsidRPr="00801AFD">
        <w:rPr>
          <w:color w:val="000000"/>
          <w:sz w:val="22"/>
          <w:szCs w:val="22"/>
          <w:lang w:val="sr-Latn-ME"/>
        </w:rPr>
        <w:t>doz</w:t>
      </w:r>
      <w:r w:rsidR="00D753BE" w:rsidRPr="00801AFD">
        <w:rPr>
          <w:color w:val="000000"/>
          <w:sz w:val="22"/>
          <w:szCs w:val="22"/>
          <w:lang w:val="sr-Latn-ME"/>
        </w:rPr>
        <w:t>e</w:t>
      </w:r>
      <w:r w:rsidRPr="00801AFD">
        <w:rPr>
          <w:color w:val="000000"/>
          <w:sz w:val="22"/>
          <w:szCs w:val="22"/>
          <w:lang w:val="sr-Latn-ME"/>
        </w:rPr>
        <w:t xml:space="preserve"> održavanja, primjenjen</w:t>
      </w:r>
      <w:r w:rsidR="00D753BE" w:rsidRPr="00801AFD">
        <w:rPr>
          <w:color w:val="000000"/>
          <w:sz w:val="22"/>
          <w:szCs w:val="22"/>
          <w:lang w:val="sr-Latn-ME"/>
        </w:rPr>
        <w:t>e</w:t>
      </w:r>
      <w:r w:rsidRPr="00801AFD">
        <w:rPr>
          <w:color w:val="000000"/>
          <w:sz w:val="22"/>
          <w:szCs w:val="22"/>
          <w:lang w:val="sr-Latn-ME"/>
        </w:rPr>
        <w:t xml:space="preserve"> intravenskom infuzijom. Doze koje treba prim</w:t>
      </w:r>
      <w:r w:rsidR="005F14B9" w:rsidRPr="00801AFD">
        <w:rPr>
          <w:color w:val="000000"/>
          <w:sz w:val="22"/>
          <w:szCs w:val="22"/>
          <w:lang w:val="sr-Latn-ME"/>
        </w:rPr>
        <w:t>i</w:t>
      </w:r>
      <w:r w:rsidRPr="00801AFD">
        <w:rPr>
          <w:color w:val="000000"/>
          <w:sz w:val="22"/>
          <w:szCs w:val="22"/>
          <w:lang w:val="sr-Latn-ME"/>
        </w:rPr>
        <w:t xml:space="preserve">jeniti zasnivaju se na tjelesnoj </w:t>
      </w:r>
      <w:r w:rsidR="00D753BE" w:rsidRPr="00801AFD">
        <w:rPr>
          <w:color w:val="000000"/>
          <w:sz w:val="22"/>
          <w:szCs w:val="22"/>
          <w:lang w:val="sr-Latn-ME"/>
        </w:rPr>
        <w:t xml:space="preserve">težini </w:t>
      </w:r>
      <w:r w:rsidRPr="00801AFD">
        <w:rPr>
          <w:color w:val="000000"/>
          <w:sz w:val="22"/>
          <w:szCs w:val="22"/>
          <w:lang w:val="sr-Latn-ME"/>
        </w:rPr>
        <w:t xml:space="preserve">pacijenta, kako je prikazano u </w:t>
      </w:r>
      <w:r w:rsidR="009B51BD" w:rsidRPr="00801AFD">
        <w:rPr>
          <w:color w:val="000000"/>
          <w:sz w:val="22"/>
          <w:szCs w:val="22"/>
          <w:lang w:val="sr-Latn-ME"/>
        </w:rPr>
        <w:t>T</w:t>
      </w:r>
      <w:r w:rsidRPr="00801AFD">
        <w:rPr>
          <w:color w:val="000000"/>
          <w:sz w:val="22"/>
          <w:szCs w:val="22"/>
          <w:lang w:val="sr-Latn-ME"/>
        </w:rPr>
        <w:t xml:space="preserve">abeli 1. Kod odraslih pacijenata (≥ 18 godina), doze održavanja se primjenjuju jednom u 8 nedjelja, sa početkom </w:t>
      </w:r>
      <w:r w:rsidR="005F14B9" w:rsidRPr="00801AFD">
        <w:rPr>
          <w:color w:val="000000"/>
          <w:sz w:val="22"/>
          <w:szCs w:val="22"/>
          <w:lang w:val="sr-Latn-ME"/>
        </w:rPr>
        <w:t xml:space="preserve">primjene </w:t>
      </w:r>
      <w:r w:rsidRPr="00801AFD">
        <w:rPr>
          <w:color w:val="000000"/>
          <w:sz w:val="22"/>
          <w:szCs w:val="22"/>
          <w:lang w:val="sr-Latn-ME"/>
        </w:rPr>
        <w:t>2 nedjelje nakon udarne doze.</w:t>
      </w:r>
    </w:p>
    <w:p w14:paraId="4FB6FA00" w14:textId="77777777" w:rsidR="003A658B" w:rsidRPr="00801AFD" w:rsidRDefault="003A658B" w:rsidP="00801AFD">
      <w:pPr>
        <w:widowControl w:val="0"/>
        <w:jc w:val="both"/>
        <w:rPr>
          <w:color w:val="000000"/>
          <w:sz w:val="22"/>
          <w:szCs w:val="22"/>
          <w:lang w:val="sr-Latn-ME"/>
        </w:rPr>
      </w:pPr>
    </w:p>
    <w:p w14:paraId="0A94E56B" w14:textId="3F877FCC" w:rsidR="003A658B" w:rsidRPr="00801AFD" w:rsidRDefault="003A658B" w:rsidP="00801AFD">
      <w:pPr>
        <w:widowControl w:val="0"/>
        <w:jc w:val="both"/>
        <w:rPr>
          <w:color w:val="000000"/>
          <w:sz w:val="22"/>
          <w:szCs w:val="22"/>
          <w:lang w:val="sr-Latn-ME"/>
        </w:rPr>
      </w:pPr>
      <w:r w:rsidRPr="00801AFD">
        <w:rPr>
          <w:color w:val="000000"/>
          <w:sz w:val="22"/>
          <w:szCs w:val="22"/>
          <w:lang w:val="sr-Latn-ME"/>
        </w:rPr>
        <w:t>Raspored doziranja može ponekad odstupati od dogovorenog dana infuzije za ± 7 dana (osim prve doze održavanja ravulizumaba, ali sljedeća doza mora se prim</w:t>
      </w:r>
      <w:r w:rsidR="005F14B9" w:rsidRPr="00801AFD">
        <w:rPr>
          <w:color w:val="000000"/>
          <w:sz w:val="22"/>
          <w:szCs w:val="22"/>
          <w:lang w:val="sr-Latn-ME"/>
        </w:rPr>
        <w:t>i</w:t>
      </w:r>
      <w:r w:rsidRPr="00801AFD">
        <w:rPr>
          <w:color w:val="000000"/>
          <w:sz w:val="22"/>
          <w:szCs w:val="22"/>
          <w:lang w:val="sr-Latn-ME"/>
        </w:rPr>
        <w:t>jeniti prema prvobitnom rasporedu).</w:t>
      </w:r>
    </w:p>
    <w:p w14:paraId="508AB412" w14:textId="77777777" w:rsidR="003A658B" w:rsidRPr="00801AFD" w:rsidRDefault="003A658B" w:rsidP="00801AFD">
      <w:pPr>
        <w:widowControl w:val="0"/>
        <w:jc w:val="both"/>
        <w:rPr>
          <w:color w:val="000000"/>
          <w:sz w:val="22"/>
          <w:szCs w:val="22"/>
          <w:lang w:val="sr-Latn-ME"/>
        </w:rPr>
      </w:pPr>
    </w:p>
    <w:p w14:paraId="69A11D01" w14:textId="1D332599" w:rsidR="008B6280" w:rsidRPr="00801AFD" w:rsidRDefault="003A658B" w:rsidP="00801AFD">
      <w:pPr>
        <w:widowControl w:val="0"/>
        <w:jc w:val="both"/>
        <w:rPr>
          <w:b/>
          <w:bCs/>
          <w:sz w:val="22"/>
          <w:szCs w:val="22"/>
          <w:lang w:val="sr-Latn-ME"/>
        </w:rPr>
      </w:pPr>
      <w:r w:rsidRPr="00801AFD">
        <w:rPr>
          <w:b/>
          <w:bCs/>
          <w:sz w:val="22"/>
          <w:szCs w:val="22"/>
          <w:lang w:val="sr-Latn-ME"/>
        </w:rPr>
        <w:t xml:space="preserve">Tabela 1: Režim doziranja ravulizumaba na osnovu tjelesne </w:t>
      </w:r>
      <w:r w:rsidR="00D753BE" w:rsidRPr="00801AFD">
        <w:rPr>
          <w:b/>
          <w:bCs/>
          <w:sz w:val="22"/>
          <w:szCs w:val="22"/>
          <w:lang w:val="sr-Latn-ME"/>
        </w:rPr>
        <w:t xml:space="preserve">težine </w:t>
      </w:r>
      <w:r w:rsidR="008B6280" w:rsidRPr="00801AFD">
        <w:rPr>
          <w:b/>
          <w:bCs/>
          <w:sz w:val="22"/>
          <w:szCs w:val="22"/>
          <w:lang w:val="sr-Latn-ME"/>
        </w:rPr>
        <w:t>za odrasle pacijente t</w:t>
      </w:r>
      <w:r w:rsidR="0099493B" w:rsidRPr="00801AFD">
        <w:rPr>
          <w:b/>
          <w:bCs/>
          <w:sz w:val="22"/>
          <w:szCs w:val="22"/>
          <w:lang w:val="sr-Latn-ME"/>
        </w:rPr>
        <w:t>j</w:t>
      </w:r>
      <w:r w:rsidR="008B6280" w:rsidRPr="00801AFD">
        <w:rPr>
          <w:b/>
          <w:bCs/>
          <w:sz w:val="22"/>
          <w:szCs w:val="22"/>
          <w:lang w:val="sr-Latn-ME"/>
        </w:rPr>
        <w:t xml:space="preserve">elesne </w:t>
      </w:r>
      <w:r w:rsidR="00D753BE" w:rsidRPr="00801AFD">
        <w:rPr>
          <w:b/>
          <w:bCs/>
          <w:sz w:val="22"/>
          <w:szCs w:val="22"/>
          <w:lang w:val="sr-Latn-ME"/>
        </w:rPr>
        <w:t xml:space="preserve">težine </w:t>
      </w:r>
      <w:r w:rsidR="008B6280" w:rsidRPr="00801AFD">
        <w:rPr>
          <w:b/>
          <w:bCs/>
          <w:sz w:val="22"/>
          <w:szCs w:val="22"/>
          <w:lang w:val="sr-Latn-ME"/>
        </w:rPr>
        <w:t>≥</w:t>
      </w:r>
      <w:r w:rsidR="0061641E" w:rsidRPr="00801AFD">
        <w:rPr>
          <w:b/>
          <w:bCs/>
          <w:sz w:val="22"/>
          <w:szCs w:val="22"/>
          <w:lang w:val="sr-Latn-ME"/>
        </w:rPr>
        <w:t xml:space="preserve"> </w:t>
      </w:r>
      <w:r w:rsidR="008B6280" w:rsidRPr="00801AFD">
        <w:rPr>
          <w:b/>
          <w:bCs/>
          <w:sz w:val="22"/>
          <w:szCs w:val="22"/>
          <w:lang w:val="sr-Latn-ME"/>
        </w:rPr>
        <w:t>40</w:t>
      </w:r>
      <w:r w:rsidR="005A4D17" w:rsidRPr="00801AFD">
        <w:rPr>
          <w:b/>
          <w:bCs/>
          <w:sz w:val="22"/>
          <w:szCs w:val="22"/>
          <w:lang w:val="sr-Latn-ME"/>
        </w:rPr>
        <w:t>k</w:t>
      </w:r>
      <w:r w:rsidR="008B6280" w:rsidRPr="00801AFD">
        <w:rPr>
          <w:b/>
          <w:bCs/>
          <w:sz w:val="22"/>
          <w:szCs w:val="22"/>
          <w:lang w:val="sr-Latn-ME"/>
        </w:rPr>
        <w:t>g</w:t>
      </w:r>
    </w:p>
    <w:p w14:paraId="2FBEBA9E" w14:textId="77777777" w:rsidR="003A658B" w:rsidRPr="00801AFD" w:rsidRDefault="003A658B" w:rsidP="00801AFD">
      <w:pPr>
        <w:widowControl w:val="0"/>
        <w:jc w:val="both"/>
        <w:rPr>
          <w:b/>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1945"/>
        <w:gridCol w:w="2417"/>
        <w:gridCol w:w="1951"/>
      </w:tblGrid>
      <w:tr w:rsidR="003A658B" w:rsidRPr="00801AFD" w14:paraId="29F1C50D" w14:textId="77777777" w:rsidTr="00801AFD">
        <w:tc>
          <w:tcPr>
            <w:tcW w:w="0" w:type="auto"/>
            <w:shd w:val="clear" w:color="auto" w:fill="auto"/>
          </w:tcPr>
          <w:p w14:paraId="430A0442" w14:textId="0C1949C4" w:rsidR="003A658B" w:rsidRPr="00801AFD" w:rsidRDefault="003A658B" w:rsidP="00801AFD">
            <w:pPr>
              <w:pStyle w:val="C-TableHeader"/>
              <w:keepNext w:val="0"/>
              <w:widowControl w:val="0"/>
              <w:jc w:val="center"/>
              <w:rPr>
                <w:rFonts w:ascii="Times New Roman" w:hAnsi="Times New Roman"/>
                <w:b w:val="0"/>
                <w:sz w:val="22"/>
                <w:szCs w:val="22"/>
                <w:lang w:val="sr-Latn-ME"/>
              </w:rPr>
            </w:pPr>
            <w:r w:rsidRPr="00801AFD">
              <w:rPr>
                <w:rFonts w:ascii="Times New Roman" w:hAnsi="Times New Roman"/>
                <w:sz w:val="22"/>
                <w:szCs w:val="22"/>
                <w:lang w:val="sr-Latn-ME"/>
              </w:rPr>
              <w:t xml:space="preserve">Raspon tjelesne </w:t>
            </w:r>
            <w:r w:rsidR="00D753BE" w:rsidRPr="00801AFD">
              <w:rPr>
                <w:rFonts w:ascii="Times New Roman" w:hAnsi="Times New Roman"/>
                <w:sz w:val="22"/>
                <w:szCs w:val="22"/>
                <w:lang w:val="sr-Latn-ME"/>
              </w:rPr>
              <w:t xml:space="preserve">težine </w:t>
            </w:r>
            <w:r w:rsidRPr="00801AFD">
              <w:rPr>
                <w:rFonts w:ascii="Times New Roman" w:hAnsi="Times New Roman"/>
                <w:sz w:val="22"/>
                <w:szCs w:val="22"/>
                <w:lang w:val="sr-Latn-ME"/>
              </w:rPr>
              <w:t>(kg)</w:t>
            </w:r>
          </w:p>
        </w:tc>
        <w:tc>
          <w:tcPr>
            <w:tcW w:w="0" w:type="auto"/>
            <w:shd w:val="clear" w:color="auto" w:fill="auto"/>
          </w:tcPr>
          <w:p w14:paraId="72522F0A" w14:textId="77777777" w:rsidR="003A658B" w:rsidRPr="00801AFD" w:rsidRDefault="003A658B" w:rsidP="00801AFD">
            <w:pPr>
              <w:pStyle w:val="C-TableHeader"/>
              <w:keepNext w:val="0"/>
              <w:widowControl w:val="0"/>
              <w:jc w:val="center"/>
              <w:rPr>
                <w:rFonts w:ascii="Times New Roman" w:hAnsi="Times New Roman"/>
                <w:b w:val="0"/>
                <w:sz w:val="22"/>
                <w:szCs w:val="22"/>
                <w:lang w:val="sr-Latn-ME"/>
              </w:rPr>
            </w:pPr>
            <w:r w:rsidRPr="00801AFD">
              <w:rPr>
                <w:rFonts w:ascii="Times New Roman" w:hAnsi="Times New Roman"/>
                <w:sz w:val="22"/>
                <w:szCs w:val="22"/>
                <w:lang w:val="sr-Latn-ME"/>
              </w:rPr>
              <w:t>Udarna doza (mg)</w:t>
            </w:r>
          </w:p>
        </w:tc>
        <w:tc>
          <w:tcPr>
            <w:tcW w:w="0" w:type="auto"/>
            <w:shd w:val="clear" w:color="auto" w:fill="auto"/>
          </w:tcPr>
          <w:p w14:paraId="55E39562" w14:textId="412FAA69" w:rsidR="003A658B" w:rsidRPr="00801AFD" w:rsidRDefault="003A658B" w:rsidP="00801AFD">
            <w:pPr>
              <w:pStyle w:val="C-TableHeader"/>
              <w:keepNext w:val="0"/>
              <w:widowControl w:val="0"/>
              <w:jc w:val="center"/>
              <w:rPr>
                <w:rFonts w:ascii="Times New Roman" w:hAnsi="Times New Roman"/>
                <w:b w:val="0"/>
                <w:sz w:val="22"/>
                <w:szCs w:val="22"/>
                <w:lang w:val="sr-Latn-ME"/>
              </w:rPr>
            </w:pPr>
            <w:r w:rsidRPr="00801AFD">
              <w:rPr>
                <w:rFonts w:ascii="Times New Roman" w:hAnsi="Times New Roman"/>
                <w:sz w:val="22"/>
                <w:szCs w:val="22"/>
                <w:lang w:val="sr-Latn-ME"/>
              </w:rPr>
              <w:t>Doza održavanja</w:t>
            </w:r>
            <w:r w:rsidRPr="00801AFD">
              <w:rPr>
                <w:rFonts w:ascii="Times New Roman" w:hAnsi="Times New Roman"/>
                <w:sz w:val="22"/>
                <w:szCs w:val="22"/>
                <w:vertAlign w:val="superscript"/>
                <w:lang w:val="sr-Latn-ME"/>
              </w:rPr>
              <w:t xml:space="preserve"> </w:t>
            </w:r>
            <w:r w:rsidRPr="00801AFD">
              <w:rPr>
                <w:rFonts w:ascii="Times New Roman" w:hAnsi="Times New Roman"/>
                <w:sz w:val="22"/>
                <w:szCs w:val="22"/>
                <w:lang w:val="sr-Latn-ME"/>
              </w:rPr>
              <w:t>(mg)</w:t>
            </w:r>
            <w:r w:rsidR="00CC510E" w:rsidRPr="00801AFD">
              <w:rPr>
                <w:rFonts w:ascii="Times New Roman" w:hAnsi="Times New Roman"/>
                <w:sz w:val="22"/>
                <w:szCs w:val="22"/>
                <w:lang w:val="sr-Latn-ME"/>
              </w:rPr>
              <w:t>*</w:t>
            </w:r>
          </w:p>
        </w:tc>
        <w:tc>
          <w:tcPr>
            <w:tcW w:w="0" w:type="auto"/>
            <w:shd w:val="clear" w:color="auto" w:fill="auto"/>
          </w:tcPr>
          <w:p w14:paraId="16E6A918" w14:textId="77777777" w:rsidR="003A658B" w:rsidRPr="00801AFD" w:rsidRDefault="003A658B"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Interval doziranja</w:t>
            </w:r>
          </w:p>
        </w:tc>
      </w:tr>
      <w:tr w:rsidR="003A658B" w:rsidRPr="00801AFD" w14:paraId="4414FA80" w14:textId="77777777" w:rsidTr="00801AFD">
        <w:tc>
          <w:tcPr>
            <w:tcW w:w="0" w:type="auto"/>
            <w:shd w:val="clear" w:color="auto" w:fill="auto"/>
          </w:tcPr>
          <w:p w14:paraId="3B215A91" w14:textId="77777777" w:rsidR="003A658B" w:rsidRPr="00801AFD" w:rsidRDefault="003A658B" w:rsidP="00801AFD">
            <w:pPr>
              <w:pStyle w:val="C-TableText"/>
              <w:widowControl w:val="0"/>
              <w:jc w:val="center"/>
              <w:rPr>
                <w:sz w:val="22"/>
                <w:szCs w:val="22"/>
              </w:rPr>
            </w:pPr>
            <w:r w:rsidRPr="00801AFD">
              <w:rPr>
                <w:sz w:val="22"/>
                <w:szCs w:val="22"/>
              </w:rPr>
              <w:t>≥ 40 do &lt; 60</w:t>
            </w:r>
          </w:p>
        </w:tc>
        <w:tc>
          <w:tcPr>
            <w:tcW w:w="0" w:type="auto"/>
            <w:shd w:val="clear" w:color="auto" w:fill="auto"/>
          </w:tcPr>
          <w:p w14:paraId="099C3429" w14:textId="77777777" w:rsidR="003A658B" w:rsidRPr="00801AFD" w:rsidRDefault="003A658B" w:rsidP="00801AFD">
            <w:pPr>
              <w:pStyle w:val="C-TableText"/>
              <w:widowControl w:val="0"/>
              <w:jc w:val="center"/>
              <w:rPr>
                <w:sz w:val="22"/>
                <w:szCs w:val="22"/>
              </w:rPr>
            </w:pPr>
            <w:r w:rsidRPr="00801AFD">
              <w:rPr>
                <w:sz w:val="22"/>
                <w:szCs w:val="22"/>
              </w:rPr>
              <w:t>2.400</w:t>
            </w:r>
          </w:p>
        </w:tc>
        <w:tc>
          <w:tcPr>
            <w:tcW w:w="0" w:type="auto"/>
            <w:shd w:val="clear" w:color="auto" w:fill="auto"/>
          </w:tcPr>
          <w:p w14:paraId="4889C74F" w14:textId="77777777" w:rsidR="003A658B" w:rsidRPr="00801AFD" w:rsidRDefault="003A658B" w:rsidP="00801AFD">
            <w:pPr>
              <w:pStyle w:val="C-TableText"/>
              <w:widowControl w:val="0"/>
              <w:jc w:val="center"/>
              <w:rPr>
                <w:sz w:val="22"/>
                <w:szCs w:val="22"/>
              </w:rPr>
            </w:pPr>
            <w:r w:rsidRPr="00801AFD">
              <w:rPr>
                <w:sz w:val="22"/>
                <w:szCs w:val="22"/>
              </w:rPr>
              <w:t>3.000</w:t>
            </w:r>
          </w:p>
        </w:tc>
        <w:tc>
          <w:tcPr>
            <w:tcW w:w="0" w:type="auto"/>
            <w:shd w:val="clear" w:color="auto" w:fill="auto"/>
          </w:tcPr>
          <w:p w14:paraId="68B0074D" w14:textId="45746FB4" w:rsidR="003A658B" w:rsidRPr="00801AFD" w:rsidRDefault="003A658B" w:rsidP="00801AFD">
            <w:pPr>
              <w:pStyle w:val="C-TableText"/>
              <w:widowControl w:val="0"/>
              <w:jc w:val="center"/>
              <w:rPr>
                <w:sz w:val="22"/>
                <w:szCs w:val="22"/>
              </w:rPr>
            </w:pPr>
            <w:r w:rsidRPr="00801AFD">
              <w:rPr>
                <w:sz w:val="22"/>
                <w:szCs w:val="22"/>
              </w:rPr>
              <w:t>Svakih 8 ned</w:t>
            </w:r>
            <w:r w:rsidR="005F14B9" w:rsidRPr="00801AFD">
              <w:rPr>
                <w:sz w:val="22"/>
                <w:szCs w:val="22"/>
              </w:rPr>
              <w:t>j</w:t>
            </w:r>
            <w:r w:rsidRPr="00801AFD">
              <w:rPr>
                <w:sz w:val="22"/>
                <w:szCs w:val="22"/>
              </w:rPr>
              <w:t>elja</w:t>
            </w:r>
          </w:p>
        </w:tc>
      </w:tr>
      <w:tr w:rsidR="003A658B" w:rsidRPr="00801AFD" w14:paraId="7214FADC" w14:textId="77777777" w:rsidTr="00801AFD">
        <w:tc>
          <w:tcPr>
            <w:tcW w:w="0" w:type="auto"/>
            <w:shd w:val="clear" w:color="auto" w:fill="auto"/>
          </w:tcPr>
          <w:p w14:paraId="73DADF0F" w14:textId="77777777" w:rsidR="003A658B" w:rsidRPr="00801AFD" w:rsidRDefault="003A658B" w:rsidP="00801AFD">
            <w:pPr>
              <w:pStyle w:val="C-TableText"/>
              <w:widowControl w:val="0"/>
              <w:jc w:val="center"/>
              <w:rPr>
                <w:sz w:val="22"/>
                <w:szCs w:val="22"/>
              </w:rPr>
            </w:pPr>
            <w:r w:rsidRPr="00801AFD">
              <w:rPr>
                <w:sz w:val="22"/>
                <w:szCs w:val="22"/>
              </w:rPr>
              <w:t>≥ 60 do &lt; 100</w:t>
            </w:r>
          </w:p>
        </w:tc>
        <w:tc>
          <w:tcPr>
            <w:tcW w:w="0" w:type="auto"/>
            <w:shd w:val="clear" w:color="auto" w:fill="auto"/>
          </w:tcPr>
          <w:p w14:paraId="2EAC2522" w14:textId="77777777" w:rsidR="003A658B" w:rsidRPr="00801AFD" w:rsidRDefault="003A658B" w:rsidP="00801AFD">
            <w:pPr>
              <w:pStyle w:val="C-TableText"/>
              <w:widowControl w:val="0"/>
              <w:jc w:val="center"/>
              <w:rPr>
                <w:sz w:val="22"/>
                <w:szCs w:val="22"/>
              </w:rPr>
            </w:pPr>
            <w:r w:rsidRPr="00801AFD">
              <w:rPr>
                <w:sz w:val="22"/>
                <w:szCs w:val="22"/>
              </w:rPr>
              <w:t>2.700</w:t>
            </w:r>
          </w:p>
        </w:tc>
        <w:tc>
          <w:tcPr>
            <w:tcW w:w="0" w:type="auto"/>
            <w:shd w:val="clear" w:color="auto" w:fill="auto"/>
          </w:tcPr>
          <w:p w14:paraId="1D19455F" w14:textId="77777777" w:rsidR="003A658B" w:rsidRPr="00801AFD" w:rsidRDefault="003A658B" w:rsidP="00801AFD">
            <w:pPr>
              <w:pStyle w:val="C-TableText"/>
              <w:widowControl w:val="0"/>
              <w:jc w:val="center"/>
              <w:rPr>
                <w:sz w:val="22"/>
                <w:szCs w:val="22"/>
              </w:rPr>
            </w:pPr>
            <w:r w:rsidRPr="00801AFD">
              <w:rPr>
                <w:sz w:val="22"/>
                <w:szCs w:val="22"/>
              </w:rPr>
              <w:t>3.300</w:t>
            </w:r>
          </w:p>
        </w:tc>
        <w:tc>
          <w:tcPr>
            <w:tcW w:w="0" w:type="auto"/>
            <w:shd w:val="clear" w:color="auto" w:fill="auto"/>
          </w:tcPr>
          <w:p w14:paraId="6D8713F1" w14:textId="2582EBBD" w:rsidR="003A658B" w:rsidRPr="00801AFD" w:rsidRDefault="003A658B" w:rsidP="00801AFD">
            <w:pPr>
              <w:pStyle w:val="C-TableText"/>
              <w:widowControl w:val="0"/>
              <w:jc w:val="center"/>
              <w:rPr>
                <w:sz w:val="22"/>
                <w:szCs w:val="22"/>
              </w:rPr>
            </w:pPr>
            <w:r w:rsidRPr="00801AFD">
              <w:rPr>
                <w:sz w:val="22"/>
                <w:szCs w:val="22"/>
              </w:rPr>
              <w:t>Svakih 8 ned</w:t>
            </w:r>
            <w:r w:rsidR="005F14B9" w:rsidRPr="00801AFD">
              <w:rPr>
                <w:sz w:val="22"/>
                <w:szCs w:val="22"/>
              </w:rPr>
              <w:t>j</w:t>
            </w:r>
            <w:r w:rsidRPr="00801AFD">
              <w:rPr>
                <w:sz w:val="22"/>
                <w:szCs w:val="22"/>
              </w:rPr>
              <w:t>elja</w:t>
            </w:r>
          </w:p>
        </w:tc>
      </w:tr>
      <w:tr w:rsidR="003A658B" w:rsidRPr="00801AFD" w14:paraId="5BAFBF9A" w14:textId="77777777" w:rsidTr="00801AFD">
        <w:tc>
          <w:tcPr>
            <w:tcW w:w="0" w:type="auto"/>
            <w:shd w:val="clear" w:color="auto" w:fill="auto"/>
          </w:tcPr>
          <w:p w14:paraId="29E8C2EF" w14:textId="77777777" w:rsidR="003A658B" w:rsidRPr="00801AFD" w:rsidRDefault="003A658B" w:rsidP="00801AFD">
            <w:pPr>
              <w:pStyle w:val="C-TableText"/>
              <w:widowControl w:val="0"/>
              <w:jc w:val="center"/>
              <w:rPr>
                <w:sz w:val="22"/>
                <w:szCs w:val="22"/>
              </w:rPr>
            </w:pPr>
            <w:r w:rsidRPr="00801AFD">
              <w:rPr>
                <w:sz w:val="22"/>
                <w:szCs w:val="22"/>
              </w:rPr>
              <w:t>≥ 100</w:t>
            </w:r>
          </w:p>
        </w:tc>
        <w:tc>
          <w:tcPr>
            <w:tcW w:w="0" w:type="auto"/>
            <w:shd w:val="clear" w:color="auto" w:fill="auto"/>
          </w:tcPr>
          <w:p w14:paraId="618B0BC9" w14:textId="77777777" w:rsidR="003A658B" w:rsidRPr="00801AFD" w:rsidRDefault="003A658B" w:rsidP="00801AFD">
            <w:pPr>
              <w:pStyle w:val="C-TableText"/>
              <w:widowControl w:val="0"/>
              <w:jc w:val="center"/>
              <w:rPr>
                <w:sz w:val="22"/>
                <w:szCs w:val="22"/>
              </w:rPr>
            </w:pPr>
            <w:r w:rsidRPr="00801AFD">
              <w:rPr>
                <w:sz w:val="22"/>
                <w:szCs w:val="22"/>
              </w:rPr>
              <w:t>3.000</w:t>
            </w:r>
          </w:p>
        </w:tc>
        <w:tc>
          <w:tcPr>
            <w:tcW w:w="0" w:type="auto"/>
            <w:shd w:val="clear" w:color="auto" w:fill="auto"/>
          </w:tcPr>
          <w:p w14:paraId="2E500A5E" w14:textId="77777777" w:rsidR="003A658B" w:rsidRPr="00801AFD" w:rsidRDefault="003A658B" w:rsidP="00801AFD">
            <w:pPr>
              <w:pStyle w:val="C-TableText"/>
              <w:widowControl w:val="0"/>
              <w:jc w:val="center"/>
              <w:rPr>
                <w:sz w:val="22"/>
                <w:szCs w:val="22"/>
              </w:rPr>
            </w:pPr>
            <w:r w:rsidRPr="00801AFD">
              <w:rPr>
                <w:sz w:val="22"/>
                <w:szCs w:val="22"/>
              </w:rPr>
              <w:t>3.600</w:t>
            </w:r>
          </w:p>
        </w:tc>
        <w:tc>
          <w:tcPr>
            <w:tcW w:w="0" w:type="auto"/>
            <w:shd w:val="clear" w:color="auto" w:fill="auto"/>
          </w:tcPr>
          <w:p w14:paraId="4FAA84A6" w14:textId="0EBB8B32" w:rsidR="003A658B" w:rsidRPr="00801AFD" w:rsidRDefault="003A658B" w:rsidP="00801AFD">
            <w:pPr>
              <w:pStyle w:val="C-TableText"/>
              <w:widowControl w:val="0"/>
              <w:jc w:val="center"/>
              <w:rPr>
                <w:sz w:val="22"/>
                <w:szCs w:val="22"/>
              </w:rPr>
            </w:pPr>
            <w:r w:rsidRPr="00801AFD">
              <w:rPr>
                <w:sz w:val="22"/>
                <w:szCs w:val="22"/>
              </w:rPr>
              <w:t>Svakih 8 ned</w:t>
            </w:r>
            <w:r w:rsidR="005F14B9" w:rsidRPr="00801AFD">
              <w:rPr>
                <w:sz w:val="22"/>
                <w:szCs w:val="22"/>
              </w:rPr>
              <w:t>j</w:t>
            </w:r>
            <w:r w:rsidRPr="00801AFD">
              <w:rPr>
                <w:sz w:val="22"/>
                <w:szCs w:val="22"/>
              </w:rPr>
              <w:t>elja</w:t>
            </w:r>
          </w:p>
        </w:tc>
      </w:tr>
    </w:tbl>
    <w:p w14:paraId="005654FC" w14:textId="56FAB768" w:rsidR="003A658B" w:rsidRPr="00801AFD" w:rsidRDefault="003A658B" w:rsidP="00801AFD">
      <w:pPr>
        <w:pStyle w:val="Default"/>
        <w:widowControl w:val="0"/>
        <w:rPr>
          <w:sz w:val="22"/>
          <w:szCs w:val="22"/>
          <w:lang w:val="sr-Latn-ME"/>
        </w:rPr>
      </w:pPr>
      <w:r w:rsidRPr="00801AFD">
        <w:rPr>
          <w:sz w:val="20"/>
          <w:szCs w:val="22"/>
          <w:lang w:val="sr-Latn-ME"/>
        </w:rPr>
        <w:t xml:space="preserve">* </w:t>
      </w:r>
      <w:r w:rsidR="00295F29" w:rsidRPr="00801AFD">
        <w:rPr>
          <w:sz w:val="20"/>
          <w:szCs w:val="22"/>
          <w:lang w:val="sr-Latn-ME"/>
        </w:rPr>
        <w:t>D</w:t>
      </w:r>
      <w:r w:rsidRPr="00801AFD">
        <w:rPr>
          <w:sz w:val="20"/>
          <w:szCs w:val="22"/>
          <w:lang w:val="sr-Latn-ME"/>
        </w:rPr>
        <w:t>oza održavanja se primjenjuje 2 nedjelje nakon udarne doze.</w:t>
      </w:r>
    </w:p>
    <w:p w14:paraId="554FC7DF" w14:textId="77777777" w:rsidR="00D753BE" w:rsidRPr="00801AFD" w:rsidRDefault="00D753BE" w:rsidP="00801AFD">
      <w:pPr>
        <w:pStyle w:val="Default"/>
        <w:widowControl w:val="0"/>
        <w:jc w:val="both"/>
        <w:rPr>
          <w:sz w:val="22"/>
          <w:szCs w:val="22"/>
          <w:lang w:val="sr-Latn-ME"/>
        </w:rPr>
      </w:pPr>
    </w:p>
    <w:p w14:paraId="00666AC0" w14:textId="3CE7E4DF" w:rsidR="00295F29" w:rsidRPr="00801AFD" w:rsidRDefault="00295F29" w:rsidP="00801AFD">
      <w:pPr>
        <w:pStyle w:val="Default"/>
        <w:widowControl w:val="0"/>
        <w:jc w:val="both"/>
        <w:rPr>
          <w:sz w:val="22"/>
          <w:szCs w:val="22"/>
          <w:lang w:val="sr-Latn-ME"/>
        </w:rPr>
      </w:pPr>
      <w:r w:rsidRPr="00801AFD">
        <w:rPr>
          <w:sz w:val="22"/>
          <w:szCs w:val="22"/>
          <w:lang w:val="sr-Latn-ME"/>
        </w:rPr>
        <w:t>U Tabeli 2 prikazana su uputstva za početak liječenja pacijenata koji prethodno nijesu primali inhibitor</w:t>
      </w:r>
    </w:p>
    <w:p w14:paraId="7419E9FD" w14:textId="6BA45ED2" w:rsidR="00295F29" w:rsidRPr="00801AFD" w:rsidRDefault="00295F29" w:rsidP="00801AFD">
      <w:pPr>
        <w:pStyle w:val="Default"/>
        <w:widowControl w:val="0"/>
        <w:jc w:val="both"/>
        <w:rPr>
          <w:sz w:val="22"/>
          <w:szCs w:val="22"/>
          <w:lang w:val="sr-Latn-ME"/>
        </w:rPr>
      </w:pPr>
      <w:r w:rsidRPr="00801AFD">
        <w:rPr>
          <w:sz w:val="22"/>
          <w:szCs w:val="22"/>
          <w:lang w:val="sr-Latn-ME"/>
        </w:rPr>
        <w:t>komplementa ili koji prelaze s liječenja formulacijom ekulizumaba ili ravulizumaba u obliku</w:t>
      </w:r>
    </w:p>
    <w:p w14:paraId="21328F7E" w14:textId="4C3E8954" w:rsidR="00295F29" w:rsidRPr="00801AFD" w:rsidRDefault="00295F29" w:rsidP="00801AFD">
      <w:pPr>
        <w:pStyle w:val="Default"/>
        <w:widowControl w:val="0"/>
        <w:jc w:val="both"/>
        <w:rPr>
          <w:sz w:val="22"/>
          <w:szCs w:val="22"/>
          <w:lang w:val="sr-Latn-ME"/>
        </w:rPr>
      </w:pPr>
      <w:r w:rsidRPr="00801AFD">
        <w:rPr>
          <w:sz w:val="22"/>
          <w:szCs w:val="22"/>
          <w:lang w:val="sr-Latn-ME"/>
        </w:rPr>
        <w:t>rastvora za injekciju za su</w:t>
      </w:r>
      <w:r w:rsidR="0061641E" w:rsidRPr="00801AFD">
        <w:rPr>
          <w:sz w:val="22"/>
          <w:szCs w:val="22"/>
          <w:lang w:val="sr-Latn-ME"/>
        </w:rPr>
        <w:t>b</w:t>
      </w:r>
      <w:r w:rsidRPr="00801AFD">
        <w:rPr>
          <w:sz w:val="22"/>
          <w:szCs w:val="22"/>
          <w:lang w:val="sr-Latn-ME"/>
        </w:rPr>
        <w:t>kutanu primjenu.</w:t>
      </w:r>
    </w:p>
    <w:p w14:paraId="3B5A4C44" w14:textId="77777777" w:rsidR="00295F29" w:rsidRPr="00801AFD" w:rsidRDefault="00295F29" w:rsidP="00801AFD">
      <w:pPr>
        <w:pStyle w:val="Default"/>
        <w:widowControl w:val="0"/>
        <w:jc w:val="both"/>
        <w:rPr>
          <w:sz w:val="22"/>
          <w:szCs w:val="22"/>
          <w:lang w:val="sr-Latn-ME"/>
        </w:rPr>
      </w:pPr>
    </w:p>
    <w:p w14:paraId="122CAB31" w14:textId="6C6AACE8" w:rsidR="00295F29" w:rsidRPr="00801AFD" w:rsidRDefault="00295F29" w:rsidP="00801AFD">
      <w:pPr>
        <w:pStyle w:val="Default"/>
        <w:widowControl w:val="0"/>
        <w:jc w:val="both"/>
        <w:rPr>
          <w:b/>
          <w:sz w:val="22"/>
          <w:szCs w:val="22"/>
          <w:lang w:val="sr-Latn-ME"/>
        </w:rPr>
      </w:pPr>
      <w:r w:rsidRPr="00801AFD">
        <w:rPr>
          <w:b/>
          <w:sz w:val="22"/>
          <w:szCs w:val="22"/>
          <w:lang w:val="sr-Latn-ME"/>
        </w:rPr>
        <w:t>Tabela 2: Uputstvo za početak liječenja ravulizumabom</w:t>
      </w:r>
    </w:p>
    <w:p w14:paraId="56B02C26" w14:textId="77777777" w:rsidR="00295F29" w:rsidRPr="00801AFD" w:rsidRDefault="00295F29" w:rsidP="00801AFD">
      <w:pPr>
        <w:pStyle w:val="Default"/>
        <w:widowControl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2829"/>
        <w:gridCol w:w="3652"/>
      </w:tblGrid>
      <w:tr w:rsidR="00295F29" w:rsidRPr="00801AFD" w14:paraId="013E6BE4" w14:textId="77777777" w:rsidTr="00801AFD">
        <w:tc>
          <w:tcPr>
            <w:tcW w:w="0" w:type="auto"/>
          </w:tcPr>
          <w:p w14:paraId="3F9A943B" w14:textId="77777777" w:rsidR="00295F29" w:rsidRPr="00801AFD" w:rsidRDefault="00295F29" w:rsidP="00801AFD">
            <w:pPr>
              <w:widowControl w:val="0"/>
              <w:tabs>
                <w:tab w:val="left" w:pos="567"/>
              </w:tabs>
              <w:spacing w:before="60" w:after="60" w:line="260" w:lineRule="exact"/>
              <w:jc w:val="both"/>
              <w:rPr>
                <w:rFonts w:eastAsia="SimSun"/>
                <w:i/>
                <w:sz w:val="22"/>
                <w:szCs w:val="22"/>
                <w:lang w:val="sr-Latn-ME"/>
              </w:rPr>
            </w:pPr>
            <w:r w:rsidRPr="00801AFD">
              <w:rPr>
                <w:rFonts w:eastAsia="SimSun"/>
                <w:b/>
                <w:bCs/>
                <w:sz w:val="22"/>
                <w:szCs w:val="22"/>
                <w:lang w:val="sr-Latn-ME"/>
              </w:rPr>
              <w:t>Populacija</w:t>
            </w:r>
          </w:p>
        </w:tc>
        <w:tc>
          <w:tcPr>
            <w:tcW w:w="0" w:type="auto"/>
          </w:tcPr>
          <w:p w14:paraId="283580E3" w14:textId="27BDB942" w:rsidR="00295F29" w:rsidRPr="00801AFD" w:rsidRDefault="00295F29" w:rsidP="00801AFD">
            <w:pPr>
              <w:widowControl w:val="0"/>
              <w:tabs>
                <w:tab w:val="left" w:pos="567"/>
              </w:tabs>
              <w:spacing w:before="60" w:after="60" w:line="260" w:lineRule="exact"/>
              <w:jc w:val="both"/>
              <w:rPr>
                <w:rFonts w:eastAsia="SimSun"/>
                <w:sz w:val="22"/>
                <w:szCs w:val="22"/>
                <w:lang w:val="sr-Latn-ME"/>
              </w:rPr>
            </w:pPr>
            <w:r w:rsidRPr="00801AFD">
              <w:rPr>
                <w:rFonts w:eastAsia="SimSun"/>
                <w:b/>
                <w:bCs/>
                <w:sz w:val="22"/>
                <w:szCs w:val="22"/>
                <w:lang w:val="sr-Latn-ME"/>
              </w:rPr>
              <w:t>Udarna intravenska doza ravulizumaba zasnovana na tjelesnoj težini</w:t>
            </w:r>
          </w:p>
        </w:tc>
        <w:tc>
          <w:tcPr>
            <w:tcW w:w="0" w:type="auto"/>
          </w:tcPr>
          <w:p w14:paraId="279E5C0F" w14:textId="7D565AD6" w:rsidR="00295F29" w:rsidRPr="00801AFD" w:rsidRDefault="00295F29" w:rsidP="00801AFD">
            <w:pPr>
              <w:widowControl w:val="0"/>
              <w:tabs>
                <w:tab w:val="left" w:pos="567"/>
              </w:tabs>
              <w:spacing w:before="60" w:after="60" w:line="260" w:lineRule="exact"/>
              <w:jc w:val="both"/>
              <w:rPr>
                <w:rFonts w:eastAsia="SimSun"/>
                <w:sz w:val="22"/>
                <w:szCs w:val="22"/>
                <w:lang w:val="sr-Latn-ME"/>
              </w:rPr>
            </w:pPr>
            <w:r w:rsidRPr="00801AFD">
              <w:rPr>
                <w:rFonts w:eastAsia="SimSun"/>
                <w:b/>
                <w:bCs/>
                <w:sz w:val="22"/>
                <w:szCs w:val="22"/>
                <w:lang w:val="sr-Latn-ME"/>
              </w:rPr>
              <w:t>Vr</w:t>
            </w:r>
            <w:r w:rsidR="0061641E" w:rsidRPr="00801AFD">
              <w:rPr>
                <w:rFonts w:eastAsia="SimSun"/>
                <w:b/>
                <w:bCs/>
                <w:sz w:val="22"/>
                <w:szCs w:val="22"/>
                <w:lang w:val="sr-Latn-ME"/>
              </w:rPr>
              <w:t>ij</w:t>
            </w:r>
            <w:r w:rsidRPr="00801AFD">
              <w:rPr>
                <w:rFonts w:eastAsia="SimSun"/>
                <w:b/>
                <w:bCs/>
                <w:sz w:val="22"/>
                <w:szCs w:val="22"/>
                <w:lang w:val="sr-Latn-ME"/>
              </w:rPr>
              <w:t>eme prim</w:t>
            </w:r>
            <w:r w:rsidR="0061641E" w:rsidRPr="00801AFD">
              <w:rPr>
                <w:rFonts w:eastAsia="SimSun"/>
                <w:b/>
                <w:bCs/>
                <w:sz w:val="22"/>
                <w:szCs w:val="22"/>
                <w:lang w:val="sr-Latn-ME"/>
              </w:rPr>
              <w:t>j</w:t>
            </w:r>
            <w:r w:rsidRPr="00801AFD">
              <w:rPr>
                <w:rFonts w:eastAsia="SimSun"/>
                <w:b/>
                <w:bCs/>
                <w:sz w:val="22"/>
                <w:szCs w:val="22"/>
                <w:lang w:val="sr-Latn-ME"/>
              </w:rPr>
              <w:t>ene prve intravenske doze održavanja ravulizumabom zasnovana na t</w:t>
            </w:r>
            <w:r w:rsidR="0061641E" w:rsidRPr="00801AFD">
              <w:rPr>
                <w:rFonts w:eastAsia="SimSun"/>
                <w:b/>
                <w:bCs/>
                <w:sz w:val="22"/>
                <w:szCs w:val="22"/>
                <w:lang w:val="sr-Latn-ME"/>
              </w:rPr>
              <w:t>j</w:t>
            </w:r>
            <w:r w:rsidRPr="00801AFD">
              <w:rPr>
                <w:rFonts w:eastAsia="SimSun"/>
                <w:b/>
                <w:bCs/>
                <w:sz w:val="22"/>
                <w:szCs w:val="22"/>
                <w:lang w:val="sr-Latn-ME"/>
              </w:rPr>
              <w:t>elesnoj težini</w:t>
            </w:r>
          </w:p>
        </w:tc>
      </w:tr>
      <w:tr w:rsidR="00295F29" w:rsidRPr="00801AFD" w14:paraId="59166280" w14:textId="77777777" w:rsidTr="00801AFD">
        <w:tc>
          <w:tcPr>
            <w:tcW w:w="0" w:type="auto"/>
          </w:tcPr>
          <w:p w14:paraId="52BDC565" w14:textId="77777777" w:rsidR="00295F29" w:rsidRPr="00801AFD" w:rsidRDefault="00295F29" w:rsidP="00801AFD">
            <w:pPr>
              <w:widowControl w:val="0"/>
              <w:tabs>
                <w:tab w:val="left" w:pos="567"/>
              </w:tabs>
              <w:spacing w:before="60" w:after="60" w:line="260" w:lineRule="exact"/>
              <w:jc w:val="both"/>
              <w:rPr>
                <w:rFonts w:eastAsia="SimSun"/>
                <w:sz w:val="22"/>
                <w:szCs w:val="22"/>
                <w:lang w:val="sr-Latn-ME"/>
              </w:rPr>
            </w:pPr>
            <w:r w:rsidRPr="00801AFD">
              <w:rPr>
                <w:rFonts w:eastAsia="SimSun"/>
                <w:sz w:val="22"/>
                <w:szCs w:val="22"/>
                <w:lang w:val="sr-Latn-ME"/>
              </w:rPr>
              <w:t>Trenutno nije na terapiji ravulizumabom ili ekulizumabom</w:t>
            </w:r>
          </w:p>
        </w:tc>
        <w:tc>
          <w:tcPr>
            <w:tcW w:w="0" w:type="auto"/>
          </w:tcPr>
          <w:p w14:paraId="554A9D0A" w14:textId="61573A3C" w:rsidR="00295F29" w:rsidRPr="00801AFD" w:rsidRDefault="00295F29" w:rsidP="00801AFD">
            <w:pPr>
              <w:widowControl w:val="0"/>
              <w:tabs>
                <w:tab w:val="left" w:pos="567"/>
              </w:tabs>
              <w:spacing w:before="60" w:after="60" w:line="260" w:lineRule="exact"/>
              <w:jc w:val="both"/>
              <w:rPr>
                <w:rFonts w:eastAsia="SimSun"/>
                <w:sz w:val="22"/>
                <w:szCs w:val="22"/>
                <w:lang w:val="sr-Latn-ME"/>
              </w:rPr>
            </w:pPr>
            <w:r w:rsidRPr="00801AFD">
              <w:rPr>
                <w:rFonts w:eastAsia="SimSun"/>
                <w:sz w:val="22"/>
                <w:szCs w:val="22"/>
                <w:lang w:val="sr-Latn-ME"/>
              </w:rPr>
              <w:t>Na početku l</w:t>
            </w:r>
            <w:r w:rsidR="0061641E" w:rsidRPr="00801AFD">
              <w:rPr>
                <w:rFonts w:eastAsia="SimSun"/>
                <w:sz w:val="22"/>
                <w:szCs w:val="22"/>
                <w:lang w:val="sr-Latn-ME"/>
              </w:rPr>
              <w:t>ij</w:t>
            </w:r>
            <w:r w:rsidRPr="00801AFD">
              <w:rPr>
                <w:rFonts w:eastAsia="SimSun"/>
                <w:sz w:val="22"/>
                <w:szCs w:val="22"/>
                <w:lang w:val="sr-Latn-ME"/>
              </w:rPr>
              <w:t>ečenja</w:t>
            </w:r>
          </w:p>
        </w:tc>
        <w:tc>
          <w:tcPr>
            <w:tcW w:w="0" w:type="auto"/>
          </w:tcPr>
          <w:p w14:paraId="44FA803C" w14:textId="5070DEF7" w:rsidR="00295F29" w:rsidRPr="00801AFD" w:rsidRDefault="00295F29" w:rsidP="00801AFD">
            <w:pPr>
              <w:widowControl w:val="0"/>
              <w:tabs>
                <w:tab w:val="left" w:pos="567"/>
              </w:tabs>
              <w:spacing w:before="60" w:after="60" w:line="260" w:lineRule="exact"/>
              <w:jc w:val="both"/>
              <w:rPr>
                <w:rFonts w:eastAsia="SimSun"/>
                <w:sz w:val="22"/>
                <w:szCs w:val="22"/>
                <w:lang w:val="sr-Latn-ME"/>
              </w:rPr>
            </w:pPr>
            <w:r w:rsidRPr="00801AFD">
              <w:rPr>
                <w:rFonts w:eastAsia="SimSun"/>
                <w:sz w:val="22"/>
                <w:szCs w:val="22"/>
                <w:lang w:val="sr-Latn-ME"/>
              </w:rPr>
              <w:t>2 ned</w:t>
            </w:r>
            <w:r w:rsidR="0061641E" w:rsidRPr="00801AFD">
              <w:rPr>
                <w:rFonts w:eastAsia="SimSun"/>
                <w:sz w:val="22"/>
                <w:szCs w:val="22"/>
                <w:lang w:val="sr-Latn-ME"/>
              </w:rPr>
              <w:t>j</w:t>
            </w:r>
            <w:r w:rsidRPr="00801AFD">
              <w:rPr>
                <w:rFonts w:eastAsia="SimSun"/>
                <w:sz w:val="22"/>
                <w:szCs w:val="22"/>
                <w:lang w:val="sr-Latn-ME"/>
              </w:rPr>
              <w:t>elje nakon intravenske udarne</w:t>
            </w:r>
            <w:r w:rsidR="00801AFD" w:rsidRPr="00801AFD">
              <w:rPr>
                <w:rFonts w:eastAsia="SimSun"/>
                <w:sz w:val="22"/>
                <w:szCs w:val="22"/>
                <w:lang w:val="sr-Latn-ME"/>
              </w:rPr>
              <w:t xml:space="preserve"> </w:t>
            </w:r>
            <w:r w:rsidRPr="00801AFD">
              <w:rPr>
                <w:rFonts w:eastAsia="SimSun"/>
                <w:sz w:val="22"/>
                <w:szCs w:val="22"/>
                <w:lang w:val="sr-Latn-ME"/>
              </w:rPr>
              <w:t>doze ravulizumaba</w:t>
            </w:r>
          </w:p>
        </w:tc>
      </w:tr>
      <w:tr w:rsidR="00295F29" w:rsidRPr="00801AFD" w14:paraId="351CB058" w14:textId="77777777" w:rsidTr="00801AFD">
        <w:tc>
          <w:tcPr>
            <w:tcW w:w="0" w:type="auto"/>
          </w:tcPr>
          <w:p w14:paraId="4ACDA722" w14:textId="06799222" w:rsidR="00295F29" w:rsidRPr="00801AFD" w:rsidRDefault="00295F29" w:rsidP="00801AFD">
            <w:pPr>
              <w:widowControl w:val="0"/>
              <w:tabs>
                <w:tab w:val="left" w:pos="567"/>
              </w:tabs>
              <w:spacing w:before="60" w:after="60" w:line="260" w:lineRule="exact"/>
              <w:jc w:val="both"/>
              <w:rPr>
                <w:rFonts w:eastAsia="SimSun"/>
                <w:sz w:val="22"/>
                <w:szCs w:val="22"/>
                <w:lang w:val="sr-Latn-ME"/>
              </w:rPr>
            </w:pPr>
            <w:r w:rsidRPr="00801AFD">
              <w:rPr>
                <w:rFonts w:eastAsia="SimSun"/>
                <w:sz w:val="22"/>
                <w:szCs w:val="22"/>
                <w:lang w:val="sr-Latn-ME"/>
              </w:rPr>
              <w:lastRenderedPageBreak/>
              <w:t>Trenutno se liječi ekulizumabom</w:t>
            </w:r>
          </w:p>
        </w:tc>
        <w:tc>
          <w:tcPr>
            <w:tcW w:w="0" w:type="auto"/>
          </w:tcPr>
          <w:p w14:paraId="4E91AD00" w14:textId="0A22A8A4" w:rsidR="00295F29" w:rsidRPr="00801AFD" w:rsidRDefault="00295F29" w:rsidP="00801AFD">
            <w:pPr>
              <w:widowControl w:val="0"/>
              <w:tabs>
                <w:tab w:val="left" w:pos="567"/>
              </w:tabs>
              <w:spacing w:before="60" w:after="60" w:line="260" w:lineRule="exact"/>
              <w:jc w:val="both"/>
              <w:rPr>
                <w:rFonts w:eastAsia="SimSun"/>
                <w:sz w:val="22"/>
                <w:szCs w:val="22"/>
                <w:lang w:val="sr-Latn-ME"/>
              </w:rPr>
            </w:pPr>
            <w:r w:rsidRPr="00801AFD">
              <w:rPr>
                <w:rFonts w:eastAsia="SimSun"/>
                <w:sz w:val="22"/>
                <w:szCs w:val="22"/>
                <w:lang w:val="sr-Latn-ME"/>
              </w:rPr>
              <w:t>U vrijeme sl</w:t>
            </w:r>
            <w:r w:rsidR="0061641E" w:rsidRPr="00801AFD">
              <w:rPr>
                <w:rFonts w:eastAsia="SimSun"/>
                <w:sz w:val="22"/>
                <w:szCs w:val="22"/>
                <w:lang w:val="sr-Latn-ME"/>
              </w:rPr>
              <w:t>j</w:t>
            </w:r>
            <w:r w:rsidRPr="00801AFD">
              <w:rPr>
                <w:rFonts w:eastAsia="SimSun"/>
                <w:sz w:val="22"/>
                <w:szCs w:val="22"/>
                <w:lang w:val="sr-Latn-ME"/>
              </w:rPr>
              <w:t>edeće zakazane doze ekulizumaba</w:t>
            </w:r>
          </w:p>
        </w:tc>
        <w:tc>
          <w:tcPr>
            <w:tcW w:w="0" w:type="auto"/>
          </w:tcPr>
          <w:p w14:paraId="27CE6C47" w14:textId="1F7485E7" w:rsidR="00295F29" w:rsidRPr="00801AFD" w:rsidRDefault="00295F29" w:rsidP="00801AFD">
            <w:pPr>
              <w:widowControl w:val="0"/>
              <w:tabs>
                <w:tab w:val="left" w:pos="567"/>
              </w:tabs>
              <w:spacing w:before="60" w:after="60" w:line="260" w:lineRule="exact"/>
              <w:jc w:val="both"/>
              <w:rPr>
                <w:rFonts w:eastAsia="SimSun"/>
                <w:sz w:val="22"/>
                <w:szCs w:val="22"/>
                <w:lang w:val="sr-Latn-ME"/>
              </w:rPr>
            </w:pPr>
            <w:r w:rsidRPr="00801AFD">
              <w:rPr>
                <w:rFonts w:eastAsia="SimSun"/>
                <w:sz w:val="22"/>
                <w:szCs w:val="22"/>
                <w:lang w:val="sr-Latn-ME"/>
              </w:rPr>
              <w:t>2 ned</w:t>
            </w:r>
            <w:r w:rsidR="0061641E" w:rsidRPr="00801AFD">
              <w:rPr>
                <w:rFonts w:eastAsia="SimSun"/>
                <w:sz w:val="22"/>
                <w:szCs w:val="22"/>
                <w:lang w:val="sr-Latn-ME"/>
              </w:rPr>
              <w:t>j</w:t>
            </w:r>
            <w:r w:rsidRPr="00801AFD">
              <w:rPr>
                <w:rFonts w:eastAsia="SimSun"/>
                <w:sz w:val="22"/>
                <w:szCs w:val="22"/>
                <w:lang w:val="sr-Latn-ME"/>
              </w:rPr>
              <w:t>elje nakon intravenske udarne</w:t>
            </w:r>
            <w:r w:rsidR="00801AFD" w:rsidRPr="00801AFD">
              <w:rPr>
                <w:rFonts w:eastAsia="SimSun"/>
                <w:sz w:val="22"/>
                <w:szCs w:val="22"/>
                <w:lang w:val="sr-Latn-ME"/>
              </w:rPr>
              <w:t xml:space="preserve"> </w:t>
            </w:r>
            <w:r w:rsidRPr="00801AFD">
              <w:rPr>
                <w:rFonts w:eastAsia="SimSun"/>
                <w:sz w:val="22"/>
                <w:szCs w:val="22"/>
                <w:lang w:val="sr-Latn-ME"/>
              </w:rPr>
              <w:t>doze ravulizumaba</w:t>
            </w:r>
          </w:p>
        </w:tc>
      </w:tr>
      <w:tr w:rsidR="00295F29" w:rsidRPr="00801AFD" w14:paraId="5DDA5F95" w14:textId="77777777" w:rsidTr="00801AFD">
        <w:tc>
          <w:tcPr>
            <w:tcW w:w="0" w:type="auto"/>
          </w:tcPr>
          <w:p w14:paraId="28A5DD90" w14:textId="16273BA7" w:rsidR="00295F29" w:rsidRPr="00801AFD" w:rsidRDefault="00295F29" w:rsidP="00801AFD">
            <w:pPr>
              <w:widowControl w:val="0"/>
              <w:tabs>
                <w:tab w:val="left" w:pos="567"/>
              </w:tabs>
              <w:spacing w:before="60" w:after="60" w:line="260" w:lineRule="exact"/>
              <w:jc w:val="both"/>
              <w:rPr>
                <w:rFonts w:eastAsia="SimSun"/>
                <w:sz w:val="22"/>
                <w:szCs w:val="22"/>
                <w:lang w:val="sr-Latn-ME"/>
              </w:rPr>
            </w:pPr>
            <w:r w:rsidRPr="00801AFD">
              <w:rPr>
                <w:rFonts w:eastAsia="SimSun"/>
                <w:sz w:val="22"/>
                <w:szCs w:val="22"/>
                <w:lang w:val="sr-Latn-ME"/>
              </w:rPr>
              <w:t>Trenutno se liječi su</w:t>
            </w:r>
            <w:r w:rsidR="0061641E" w:rsidRPr="00801AFD">
              <w:rPr>
                <w:rFonts w:eastAsia="SimSun"/>
                <w:sz w:val="22"/>
                <w:szCs w:val="22"/>
                <w:lang w:val="sr-Latn-ME"/>
              </w:rPr>
              <w:t>b</w:t>
            </w:r>
            <w:r w:rsidRPr="00801AFD">
              <w:rPr>
                <w:rFonts w:eastAsia="SimSun"/>
                <w:sz w:val="22"/>
                <w:szCs w:val="22"/>
                <w:lang w:val="sr-Latn-ME"/>
              </w:rPr>
              <w:t>kutanom formulacijom ravulizumaba*</w:t>
            </w:r>
          </w:p>
        </w:tc>
        <w:tc>
          <w:tcPr>
            <w:tcW w:w="0" w:type="auto"/>
          </w:tcPr>
          <w:p w14:paraId="7E319CA0" w14:textId="77777777" w:rsidR="00295F29" w:rsidRPr="00801AFD" w:rsidRDefault="00295F29" w:rsidP="00801AFD">
            <w:pPr>
              <w:widowControl w:val="0"/>
              <w:tabs>
                <w:tab w:val="left" w:pos="567"/>
              </w:tabs>
              <w:spacing w:before="60" w:after="60" w:line="260" w:lineRule="exact"/>
              <w:jc w:val="both"/>
              <w:rPr>
                <w:rFonts w:eastAsia="SimSun"/>
                <w:sz w:val="22"/>
                <w:szCs w:val="22"/>
                <w:lang w:val="sr-Latn-ME"/>
              </w:rPr>
            </w:pPr>
            <w:r w:rsidRPr="00801AFD">
              <w:rPr>
                <w:rFonts w:eastAsia="SimSun"/>
                <w:sz w:val="22"/>
                <w:szCs w:val="22"/>
                <w:lang w:val="sr-Latn-ME"/>
              </w:rPr>
              <w:t>Nije primenjivo</w:t>
            </w:r>
          </w:p>
        </w:tc>
        <w:tc>
          <w:tcPr>
            <w:tcW w:w="0" w:type="auto"/>
          </w:tcPr>
          <w:p w14:paraId="0ACFB834" w14:textId="72015F23" w:rsidR="00295F29" w:rsidRPr="00801AFD" w:rsidRDefault="00295F29" w:rsidP="00801AFD">
            <w:pPr>
              <w:widowControl w:val="0"/>
              <w:tabs>
                <w:tab w:val="left" w:pos="567"/>
              </w:tabs>
              <w:spacing w:before="60" w:after="60" w:line="260" w:lineRule="exact"/>
              <w:jc w:val="both"/>
              <w:rPr>
                <w:rFonts w:eastAsia="SimSun"/>
                <w:sz w:val="22"/>
                <w:szCs w:val="22"/>
                <w:lang w:val="sr-Latn-ME"/>
              </w:rPr>
            </w:pPr>
            <w:r w:rsidRPr="00801AFD">
              <w:rPr>
                <w:rFonts w:eastAsia="SimSun"/>
                <w:sz w:val="22"/>
                <w:szCs w:val="22"/>
                <w:lang w:val="sr-Latn-ME"/>
              </w:rPr>
              <w:t>1 ned</w:t>
            </w:r>
            <w:r w:rsidR="0061641E" w:rsidRPr="00801AFD">
              <w:rPr>
                <w:rFonts w:eastAsia="SimSun"/>
                <w:sz w:val="22"/>
                <w:szCs w:val="22"/>
                <w:lang w:val="sr-Latn-ME"/>
              </w:rPr>
              <w:t>j</w:t>
            </w:r>
            <w:r w:rsidRPr="00801AFD">
              <w:rPr>
                <w:rFonts w:eastAsia="SimSun"/>
                <w:sz w:val="22"/>
                <w:szCs w:val="22"/>
                <w:lang w:val="sr-Latn-ME"/>
              </w:rPr>
              <w:t>elja nakon posl</w:t>
            </w:r>
            <w:r w:rsidR="0061641E" w:rsidRPr="00801AFD">
              <w:rPr>
                <w:rFonts w:eastAsia="SimSun"/>
                <w:sz w:val="22"/>
                <w:szCs w:val="22"/>
                <w:lang w:val="sr-Latn-ME"/>
              </w:rPr>
              <w:t>j</w:t>
            </w:r>
            <w:r w:rsidRPr="00801AFD">
              <w:rPr>
                <w:rFonts w:eastAsia="SimSun"/>
                <w:sz w:val="22"/>
                <w:szCs w:val="22"/>
                <w:lang w:val="sr-Latn-ME"/>
              </w:rPr>
              <w:t>ednje su</w:t>
            </w:r>
            <w:r w:rsidR="0061641E" w:rsidRPr="00801AFD">
              <w:rPr>
                <w:rFonts w:eastAsia="SimSun"/>
                <w:sz w:val="22"/>
                <w:szCs w:val="22"/>
                <w:lang w:val="sr-Latn-ME"/>
              </w:rPr>
              <w:t>b</w:t>
            </w:r>
            <w:r w:rsidRPr="00801AFD">
              <w:rPr>
                <w:rFonts w:eastAsia="SimSun"/>
                <w:sz w:val="22"/>
                <w:szCs w:val="22"/>
                <w:lang w:val="sr-Latn-ME"/>
              </w:rPr>
              <w:t>kutane</w:t>
            </w:r>
            <w:r w:rsidR="0061641E" w:rsidRPr="00801AFD">
              <w:rPr>
                <w:rFonts w:eastAsia="SimSun"/>
                <w:sz w:val="22"/>
                <w:szCs w:val="22"/>
                <w:lang w:val="sr-Latn-ME"/>
              </w:rPr>
              <w:t xml:space="preserve"> </w:t>
            </w:r>
            <w:r w:rsidRPr="00801AFD">
              <w:rPr>
                <w:rFonts w:eastAsia="SimSun"/>
                <w:sz w:val="22"/>
                <w:szCs w:val="22"/>
                <w:lang w:val="sr-Latn-ME"/>
              </w:rPr>
              <w:t>doze održavanja ravulizumabom</w:t>
            </w:r>
          </w:p>
        </w:tc>
      </w:tr>
    </w:tbl>
    <w:p w14:paraId="1D91B5EA" w14:textId="77777777" w:rsidR="00295F29" w:rsidRPr="00801AFD" w:rsidRDefault="00295F29" w:rsidP="00801AFD">
      <w:pPr>
        <w:pStyle w:val="Default"/>
        <w:widowControl w:val="0"/>
        <w:jc w:val="both"/>
        <w:rPr>
          <w:sz w:val="20"/>
          <w:szCs w:val="22"/>
          <w:lang w:val="sr-Latn-ME"/>
        </w:rPr>
      </w:pPr>
      <w:r w:rsidRPr="00801AFD">
        <w:rPr>
          <w:sz w:val="20"/>
          <w:szCs w:val="22"/>
          <w:lang w:val="sr-Latn-ME"/>
        </w:rPr>
        <w:t>*Samo odrasli pacijenti s PNH-om ili aHUS-om</w:t>
      </w:r>
    </w:p>
    <w:p w14:paraId="79FCA33A" w14:textId="77777777" w:rsidR="00295F29" w:rsidRPr="00801AFD" w:rsidRDefault="00295F29" w:rsidP="00801AFD">
      <w:pPr>
        <w:pStyle w:val="Default"/>
        <w:widowControl w:val="0"/>
        <w:jc w:val="both"/>
        <w:rPr>
          <w:sz w:val="22"/>
          <w:szCs w:val="22"/>
          <w:lang w:val="sr-Latn-ME"/>
        </w:rPr>
      </w:pPr>
    </w:p>
    <w:p w14:paraId="6C0EE460" w14:textId="77777777" w:rsidR="00295F29" w:rsidRPr="00801AFD" w:rsidRDefault="00295F29" w:rsidP="00801AFD">
      <w:pPr>
        <w:pStyle w:val="Default"/>
        <w:widowControl w:val="0"/>
        <w:jc w:val="both"/>
        <w:rPr>
          <w:i/>
          <w:iCs/>
          <w:sz w:val="22"/>
          <w:szCs w:val="22"/>
          <w:u w:val="single"/>
          <w:lang w:val="sr-Latn-ME"/>
        </w:rPr>
      </w:pPr>
      <w:r w:rsidRPr="00801AFD">
        <w:rPr>
          <w:i/>
          <w:iCs/>
          <w:sz w:val="22"/>
          <w:szCs w:val="22"/>
          <w:u w:val="single"/>
          <w:lang w:val="sr-Latn-ME"/>
        </w:rPr>
        <w:t>Pedijatrijski pacijenti sa PNH-om i aHUS-om</w:t>
      </w:r>
    </w:p>
    <w:p w14:paraId="125C1DE8" w14:textId="77777777" w:rsidR="00295F29" w:rsidRPr="00801AFD" w:rsidRDefault="00295F29" w:rsidP="00801AFD">
      <w:pPr>
        <w:pStyle w:val="Default"/>
        <w:widowControl w:val="0"/>
        <w:jc w:val="both"/>
        <w:rPr>
          <w:i/>
          <w:iCs/>
          <w:sz w:val="22"/>
          <w:szCs w:val="22"/>
          <w:lang w:val="sr-Latn-ME"/>
        </w:rPr>
      </w:pPr>
    </w:p>
    <w:p w14:paraId="72F3F777" w14:textId="052DAA51" w:rsidR="00295F29" w:rsidRPr="00801AFD" w:rsidRDefault="00295F29" w:rsidP="00801AFD">
      <w:pPr>
        <w:pStyle w:val="Default"/>
        <w:widowControl w:val="0"/>
        <w:jc w:val="both"/>
        <w:rPr>
          <w:i/>
          <w:iCs/>
          <w:sz w:val="22"/>
          <w:szCs w:val="22"/>
          <w:lang w:val="sr-Latn-ME"/>
        </w:rPr>
      </w:pPr>
      <w:r w:rsidRPr="00801AFD">
        <w:rPr>
          <w:i/>
          <w:iCs/>
          <w:sz w:val="22"/>
          <w:szCs w:val="22"/>
          <w:lang w:val="sr-Latn-ME"/>
        </w:rPr>
        <w:t>Pedijatrijski pacijenti tjelesne težine ≥ 40 kg</w:t>
      </w:r>
    </w:p>
    <w:p w14:paraId="14697430" w14:textId="77777777" w:rsidR="00295F29" w:rsidRPr="00801AFD" w:rsidRDefault="00295F29" w:rsidP="00801AFD">
      <w:pPr>
        <w:pStyle w:val="Default"/>
        <w:widowControl w:val="0"/>
        <w:jc w:val="both"/>
        <w:rPr>
          <w:sz w:val="22"/>
          <w:szCs w:val="22"/>
          <w:lang w:val="sr-Latn-ME"/>
        </w:rPr>
      </w:pPr>
    </w:p>
    <w:p w14:paraId="2C9B14E7" w14:textId="39ABAF7C" w:rsidR="00295F29" w:rsidRPr="00801AFD" w:rsidRDefault="00295F29" w:rsidP="00801AFD">
      <w:pPr>
        <w:pStyle w:val="Default"/>
        <w:widowControl w:val="0"/>
        <w:jc w:val="both"/>
        <w:rPr>
          <w:sz w:val="22"/>
          <w:szCs w:val="22"/>
          <w:lang w:val="sr-Latn-ME"/>
        </w:rPr>
      </w:pPr>
      <w:r w:rsidRPr="00801AFD">
        <w:rPr>
          <w:sz w:val="22"/>
          <w:szCs w:val="22"/>
          <w:lang w:val="sr-Latn-ME"/>
        </w:rPr>
        <w:t xml:space="preserve">Te pacijente treba liječiti prema preporukama za doziranje u odraslih (vidjeti </w:t>
      </w:r>
      <w:r w:rsidR="0061641E" w:rsidRPr="00801AFD">
        <w:rPr>
          <w:sz w:val="22"/>
          <w:szCs w:val="22"/>
          <w:lang w:val="sr-Latn-ME"/>
        </w:rPr>
        <w:t>T</w:t>
      </w:r>
      <w:r w:rsidRPr="00801AFD">
        <w:rPr>
          <w:sz w:val="22"/>
          <w:szCs w:val="22"/>
          <w:lang w:val="sr-Latn-ME"/>
        </w:rPr>
        <w:t>abelu 1).</w:t>
      </w:r>
    </w:p>
    <w:p w14:paraId="547DB5FD" w14:textId="77777777" w:rsidR="00295F29" w:rsidRPr="00801AFD" w:rsidRDefault="00295F29" w:rsidP="00801AFD">
      <w:pPr>
        <w:pStyle w:val="Default"/>
        <w:widowControl w:val="0"/>
        <w:jc w:val="both"/>
        <w:rPr>
          <w:sz w:val="22"/>
          <w:szCs w:val="22"/>
          <w:lang w:val="sr-Latn-ME"/>
        </w:rPr>
      </w:pPr>
    </w:p>
    <w:p w14:paraId="75BB7D1B" w14:textId="6A48C854" w:rsidR="00295F29" w:rsidRPr="00801AFD" w:rsidRDefault="00295F29" w:rsidP="00801AFD">
      <w:pPr>
        <w:pStyle w:val="Default"/>
        <w:widowControl w:val="0"/>
        <w:jc w:val="both"/>
        <w:rPr>
          <w:i/>
          <w:iCs/>
          <w:sz w:val="22"/>
          <w:szCs w:val="22"/>
          <w:lang w:val="sr-Latn-ME"/>
        </w:rPr>
      </w:pPr>
      <w:r w:rsidRPr="00801AFD">
        <w:rPr>
          <w:i/>
          <w:iCs/>
          <w:sz w:val="22"/>
          <w:szCs w:val="22"/>
          <w:lang w:val="sr-Latn-ME"/>
        </w:rPr>
        <w:t>Pedijatrijski pacijenti tjelesne težine od ≥ 10 kg do &lt; 40 kg</w:t>
      </w:r>
    </w:p>
    <w:p w14:paraId="34BB589D" w14:textId="77777777" w:rsidR="00295F29" w:rsidRPr="00801AFD" w:rsidRDefault="00295F29" w:rsidP="00801AFD">
      <w:pPr>
        <w:pStyle w:val="Default"/>
        <w:widowControl w:val="0"/>
        <w:jc w:val="both"/>
        <w:rPr>
          <w:sz w:val="22"/>
          <w:szCs w:val="22"/>
          <w:lang w:val="sr-Latn-ME"/>
        </w:rPr>
      </w:pPr>
    </w:p>
    <w:p w14:paraId="3C64DEAB" w14:textId="64419BCD" w:rsidR="00295F29" w:rsidRPr="00801AFD" w:rsidRDefault="00295F29" w:rsidP="00801AFD">
      <w:pPr>
        <w:pStyle w:val="Default"/>
        <w:widowControl w:val="0"/>
        <w:jc w:val="both"/>
        <w:rPr>
          <w:sz w:val="22"/>
          <w:szCs w:val="22"/>
          <w:lang w:val="sr-Latn-ME"/>
        </w:rPr>
      </w:pPr>
      <w:r w:rsidRPr="00801AFD">
        <w:rPr>
          <w:sz w:val="22"/>
          <w:szCs w:val="22"/>
          <w:lang w:val="sr-Latn-ME"/>
        </w:rPr>
        <w:t>Doze zasnovane na tjelesnoj težini i intervali doziranja za pedijatrijske pacijente tjelesne težine od</w:t>
      </w:r>
      <w:r w:rsidR="00801AFD" w:rsidRPr="00801AFD">
        <w:rPr>
          <w:sz w:val="22"/>
          <w:szCs w:val="22"/>
          <w:lang w:val="sr-Latn-ME"/>
        </w:rPr>
        <w:t xml:space="preserve"> </w:t>
      </w:r>
      <w:r w:rsidRPr="00801AFD">
        <w:rPr>
          <w:sz w:val="22"/>
          <w:szCs w:val="22"/>
          <w:lang w:val="sr-Latn-ME"/>
        </w:rPr>
        <w:t xml:space="preserve">≥ 10 kg do &lt; 40 kg prikazane su u </w:t>
      </w:r>
      <w:r w:rsidR="0061641E" w:rsidRPr="00801AFD">
        <w:rPr>
          <w:sz w:val="22"/>
          <w:szCs w:val="22"/>
          <w:lang w:val="sr-Latn-ME"/>
        </w:rPr>
        <w:t>T</w:t>
      </w:r>
      <w:r w:rsidRPr="00801AFD">
        <w:rPr>
          <w:sz w:val="22"/>
          <w:szCs w:val="22"/>
          <w:lang w:val="sr-Latn-ME"/>
        </w:rPr>
        <w:t>abeli 3.</w:t>
      </w:r>
    </w:p>
    <w:p w14:paraId="04BF1FD0" w14:textId="77777777" w:rsidR="00295F29" w:rsidRPr="00801AFD" w:rsidRDefault="00295F29" w:rsidP="00801AFD">
      <w:pPr>
        <w:pStyle w:val="Default"/>
        <w:widowControl w:val="0"/>
        <w:jc w:val="both"/>
        <w:rPr>
          <w:sz w:val="22"/>
          <w:szCs w:val="22"/>
          <w:lang w:val="sr-Latn-ME"/>
        </w:rPr>
      </w:pPr>
    </w:p>
    <w:p w14:paraId="62B7B1F2" w14:textId="39886C27" w:rsidR="00295F29" w:rsidRPr="00801AFD" w:rsidRDefault="00295F29" w:rsidP="00801AFD">
      <w:pPr>
        <w:pStyle w:val="Default"/>
        <w:widowControl w:val="0"/>
        <w:jc w:val="both"/>
        <w:rPr>
          <w:sz w:val="22"/>
          <w:szCs w:val="22"/>
          <w:lang w:val="sr-Latn-ME"/>
        </w:rPr>
      </w:pPr>
      <w:r w:rsidRPr="00801AFD">
        <w:rPr>
          <w:sz w:val="22"/>
          <w:szCs w:val="22"/>
          <w:lang w:val="sr-Latn-ME"/>
        </w:rPr>
        <w:t>Kod pacijenata koji prelaze sa ekulizumaba na ravulizumab, udarnu dozu ravulizumaba treba prim</w:t>
      </w:r>
      <w:r w:rsidR="00E14297" w:rsidRPr="00801AFD">
        <w:rPr>
          <w:sz w:val="22"/>
          <w:szCs w:val="22"/>
          <w:lang w:val="sr-Latn-ME"/>
        </w:rPr>
        <w:t>j</w:t>
      </w:r>
      <w:r w:rsidRPr="00801AFD">
        <w:rPr>
          <w:sz w:val="22"/>
          <w:szCs w:val="22"/>
          <w:lang w:val="sr-Latn-ME"/>
        </w:rPr>
        <w:t>eniti</w:t>
      </w:r>
      <w:r w:rsidR="00E14297" w:rsidRPr="00801AFD">
        <w:rPr>
          <w:sz w:val="22"/>
          <w:szCs w:val="22"/>
          <w:lang w:val="sr-Latn-ME"/>
        </w:rPr>
        <w:t xml:space="preserve"> </w:t>
      </w:r>
      <w:r w:rsidRPr="00801AFD">
        <w:rPr>
          <w:sz w:val="22"/>
          <w:szCs w:val="22"/>
          <w:lang w:val="sr-Latn-ME"/>
        </w:rPr>
        <w:t>2 ned</w:t>
      </w:r>
      <w:r w:rsidR="0061641E" w:rsidRPr="00801AFD">
        <w:rPr>
          <w:sz w:val="22"/>
          <w:szCs w:val="22"/>
          <w:lang w:val="sr-Latn-ME"/>
        </w:rPr>
        <w:t>j</w:t>
      </w:r>
      <w:r w:rsidRPr="00801AFD">
        <w:rPr>
          <w:sz w:val="22"/>
          <w:szCs w:val="22"/>
          <w:lang w:val="sr-Latn-ME"/>
        </w:rPr>
        <w:t>elje nakon posl</w:t>
      </w:r>
      <w:r w:rsidR="0061641E" w:rsidRPr="00801AFD">
        <w:rPr>
          <w:sz w:val="22"/>
          <w:szCs w:val="22"/>
          <w:lang w:val="sr-Latn-ME"/>
        </w:rPr>
        <w:t>j</w:t>
      </w:r>
      <w:r w:rsidRPr="00801AFD">
        <w:rPr>
          <w:sz w:val="22"/>
          <w:szCs w:val="22"/>
          <w:lang w:val="sr-Latn-ME"/>
        </w:rPr>
        <w:t>ednje infuzije ekulizumaba, a zatim se doze održavanja prim</w:t>
      </w:r>
      <w:r w:rsidR="00E14297" w:rsidRPr="00801AFD">
        <w:rPr>
          <w:sz w:val="22"/>
          <w:szCs w:val="22"/>
          <w:lang w:val="sr-Latn-ME"/>
        </w:rPr>
        <w:t>j</w:t>
      </w:r>
      <w:r w:rsidRPr="00801AFD">
        <w:rPr>
          <w:sz w:val="22"/>
          <w:szCs w:val="22"/>
          <w:lang w:val="sr-Latn-ME"/>
        </w:rPr>
        <w:t>enjuju prema režimu</w:t>
      </w:r>
      <w:r w:rsidR="00E14297" w:rsidRPr="00801AFD">
        <w:rPr>
          <w:sz w:val="22"/>
          <w:szCs w:val="22"/>
          <w:lang w:val="sr-Latn-ME"/>
        </w:rPr>
        <w:t xml:space="preserve"> </w:t>
      </w:r>
      <w:r w:rsidRPr="00801AFD">
        <w:rPr>
          <w:sz w:val="22"/>
          <w:szCs w:val="22"/>
          <w:lang w:val="sr-Latn-ME"/>
        </w:rPr>
        <w:t>doziranja na temelju t</w:t>
      </w:r>
      <w:r w:rsidR="00E14297" w:rsidRPr="00801AFD">
        <w:rPr>
          <w:sz w:val="22"/>
          <w:szCs w:val="22"/>
          <w:lang w:val="sr-Latn-ME"/>
        </w:rPr>
        <w:t>j</w:t>
      </w:r>
      <w:r w:rsidRPr="00801AFD">
        <w:rPr>
          <w:sz w:val="22"/>
          <w:szCs w:val="22"/>
          <w:lang w:val="sr-Latn-ME"/>
        </w:rPr>
        <w:t xml:space="preserve">elesne težine prikazanom u </w:t>
      </w:r>
      <w:r w:rsidR="0061641E" w:rsidRPr="00801AFD">
        <w:rPr>
          <w:sz w:val="22"/>
          <w:szCs w:val="22"/>
          <w:lang w:val="sr-Latn-ME"/>
        </w:rPr>
        <w:t>T</w:t>
      </w:r>
      <w:r w:rsidRPr="00801AFD">
        <w:rPr>
          <w:sz w:val="22"/>
          <w:szCs w:val="22"/>
          <w:lang w:val="sr-Latn-ME"/>
        </w:rPr>
        <w:t>abeli 3, sa početkom prim</w:t>
      </w:r>
      <w:r w:rsidR="00E14297" w:rsidRPr="00801AFD">
        <w:rPr>
          <w:sz w:val="22"/>
          <w:szCs w:val="22"/>
          <w:lang w:val="sr-Latn-ME"/>
        </w:rPr>
        <w:t>j</w:t>
      </w:r>
      <w:r w:rsidRPr="00801AFD">
        <w:rPr>
          <w:sz w:val="22"/>
          <w:szCs w:val="22"/>
          <w:lang w:val="sr-Latn-ME"/>
        </w:rPr>
        <w:t>ene 2 nedelje nakon</w:t>
      </w:r>
      <w:r w:rsidR="00E14297" w:rsidRPr="00801AFD">
        <w:rPr>
          <w:sz w:val="22"/>
          <w:szCs w:val="22"/>
          <w:lang w:val="sr-Latn-ME"/>
        </w:rPr>
        <w:t xml:space="preserve"> </w:t>
      </w:r>
      <w:r w:rsidRPr="00801AFD">
        <w:rPr>
          <w:sz w:val="22"/>
          <w:szCs w:val="22"/>
          <w:lang w:val="sr-Latn-ME"/>
        </w:rPr>
        <w:t>udarne doze.</w:t>
      </w:r>
    </w:p>
    <w:p w14:paraId="3C326DAD" w14:textId="77777777" w:rsidR="00295F29" w:rsidRPr="00801AFD" w:rsidRDefault="00295F29" w:rsidP="00801AFD">
      <w:pPr>
        <w:pStyle w:val="Default"/>
        <w:widowControl w:val="0"/>
        <w:jc w:val="both"/>
        <w:rPr>
          <w:sz w:val="22"/>
          <w:szCs w:val="22"/>
          <w:lang w:val="sr-Latn-ME"/>
        </w:rPr>
      </w:pPr>
    </w:p>
    <w:p w14:paraId="09F3FD26" w14:textId="41A9F533" w:rsidR="00295F29" w:rsidRPr="00801AFD" w:rsidRDefault="00295F29" w:rsidP="00801AFD">
      <w:pPr>
        <w:pStyle w:val="Default"/>
        <w:widowControl w:val="0"/>
        <w:jc w:val="both"/>
        <w:rPr>
          <w:b/>
          <w:sz w:val="22"/>
          <w:szCs w:val="22"/>
          <w:lang w:val="sr-Latn-ME"/>
        </w:rPr>
      </w:pPr>
      <w:r w:rsidRPr="00801AFD">
        <w:rPr>
          <w:b/>
          <w:sz w:val="22"/>
          <w:szCs w:val="22"/>
          <w:lang w:val="sr-Latn-ME"/>
        </w:rPr>
        <w:t>Tabela 3: Režim doziranja ravulizumaba zasnovanom na t</w:t>
      </w:r>
      <w:r w:rsidR="00E14297" w:rsidRPr="00801AFD">
        <w:rPr>
          <w:b/>
          <w:sz w:val="22"/>
          <w:szCs w:val="22"/>
          <w:lang w:val="sr-Latn-ME"/>
        </w:rPr>
        <w:t>j</w:t>
      </w:r>
      <w:r w:rsidRPr="00801AFD">
        <w:rPr>
          <w:b/>
          <w:sz w:val="22"/>
          <w:szCs w:val="22"/>
          <w:lang w:val="sr-Latn-ME"/>
        </w:rPr>
        <w:t>elesnoj težini kod pedijatrijskih pacijenata</w:t>
      </w:r>
      <w:r w:rsidR="0061641E" w:rsidRPr="00801AFD">
        <w:rPr>
          <w:b/>
          <w:sz w:val="22"/>
          <w:szCs w:val="22"/>
          <w:lang w:val="sr-Latn-ME"/>
        </w:rPr>
        <w:t xml:space="preserve"> </w:t>
      </w:r>
      <w:r w:rsidRPr="00801AFD">
        <w:rPr>
          <w:b/>
          <w:sz w:val="22"/>
          <w:szCs w:val="22"/>
          <w:lang w:val="sr-Latn-ME"/>
        </w:rPr>
        <w:t>sa PNH-om ili aHUS-om t</w:t>
      </w:r>
      <w:r w:rsidR="00E14297" w:rsidRPr="00801AFD">
        <w:rPr>
          <w:b/>
          <w:sz w:val="22"/>
          <w:szCs w:val="22"/>
          <w:lang w:val="sr-Latn-ME"/>
        </w:rPr>
        <w:t>j</w:t>
      </w:r>
      <w:r w:rsidRPr="00801AFD">
        <w:rPr>
          <w:b/>
          <w:sz w:val="22"/>
          <w:szCs w:val="22"/>
          <w:lang w:val="sr-Latn-ME"/>
        </w:rPr>
        <w:t>elesne težine manje od 40 kg</w:t>
      </w:r>
    </w:p>
    <w:p w14:paraId="70435146" w14:textId="77777777" w:rsidR="00295F29" w:rsidRPr="00801AFD" w:rsidRDefault="00295F29" w:rsidP="00801AFD">
      <w:pPr>
        <w:pStyle w:val="Default"/>
        <w:widowControl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1943"/>
        <w:gridCol w:w="2445"/>
        <w:gridCol w:w="1968"/>
      </w:tblGrid>
      <w:tr w:rsidR="00295F29" w:rsidRPr="00801AFD" w14:paraId="0CAB6254" w14:textId="77777777" w:rsidTr="00801AFD">
        <w:tc>
          <w:tcPr>
            <w:tcW w:w="1493" w:type="pct"/>
          </w:tcPr>
          <w:p w14:paraId="6191ECA7" w14:textId="2D4B5773" w:rsidR="00295F29" w:rsidRPr="00801AFD" w:rsidRDefault="00295F29" w:rsidP="00801AFD">
            <w:pPr>
              <w:widowControl w:val="0"/>
              <w:jc w:val="center"/>
              <w:rPr>
                <w:rFonts w:eastAsia="SimSun"/>
                <w:b/>
                <w:sz w:val="22"/>
                <w:szCs w:val="22"/>
                <w:lang w:val="sr-Latn-ME"/>
              </w:rPr>
            </w:pPr>
            <w:r w:rsidRPr="00801AFD">
              <w:rPr>
                <w:rFonts w:eastAsia="SimSun"/>
                <w:b/>
                <w:sz w:val="22"/>
                <w:szCs w:val="22"/>
                <w:lang w:val="sr-Latn-ME"/>
              </w:rPr>
              <w:t>Raspon t</w:t>
            </w:r>
            <w:r w:rsidR="00E14297" w:rsidRPr="00801AFD">
              <w:rPr>
                <w:rFonts w:eastAsia="SimSun"/>
                <w:b/>
                <w:sz w:val="22"/>
                <w:szCs w:val="22"/>
                <w:lang w:val="sr-Latn-ME"/>
              </w:rPr>
              <w:t>j</w:t>
            </w:r>
            <w:r w:rsidRPr="00801AFD">
              <w:rPr>
                <w:rFonts w:eastAsia="SimSun"/>
                <w:b/>
                <w:sz w:val="22"/>
                <w:szCs w:val="22"/>
                <w:lang w:val="sr-Latn-ME"/>
              </w:rPr>
              <w:t>elesne težine (kg)</w:t>
            </w:r>
          </w:p>
        </w:tc>
        <w:tc>
          <w:tcPr>
            <w:tcW w:w="1072" w:type="pct"/>
          </w:tcPr>
          <w:p w14:paraId="3630B72F" w14:textId="77777777" w:rsidR="00295F29" w:rsidRPr="00801AFD" w:rsidRDefault="00295F29" w:rsidP="00801AFD">
            <w:pPr>
              <w:widowControl w:val="0"/>
              <w:jc w:val="center"/>
              <w:rPr>
                <w:rFonts w:eastAsia="SimSun"/>
                <w:b/>
                <w:sz w:val="22"/>
                <w:szCs w:val="22"/>
                <w:lang w:val="sr-Latn-ME"/>
              </w:rPr>
            </w:pPr>
            <w:r w:rsidRPr="00801AFD">
              <w:rPr>
                <w:rFonts w:eastAsia="SimSun"/>
                <w:b/>
                <w:sz w:val="22"/>
                <w:szCs w:val="22"/>
                <w:lang w:val="sr-Latn-ME"/>
              </w:rPr>
              <w:t>Udarna doza (mg)</w:t>
            </w:r>
          </w:p>
        </w:tc>
        <w:tc>
          <w:tcPr>
            <w:tcW w:w="1349" w:type="pct"/>
          </w:tcPr>
          <w:p w14:paraId="05F04ADD" w14:textId="77777777" w:rsidR="00295F29" w:rsidRPr="00801AFD" w:rsidRDefault="00295F29" w:rsidP="00801AFD">
            <w:pPr>
              <w:widowControl w:val="0"/>
              <w:jc w:val="center"/>
              <w:rPr>
                <w:rFonts w:eastAsia="SimSun"/>
                <w:b/>
                <w:sz w:val="22"/>
                <w:szCs w:val="22"/>
                <w:lang w:val="sr-Latn-ME"/>
              </w:rPr>
            </w:pPr>
            <w:r w:rsidRPr="00801AFD">
              <w:rPr>
                <w:rFonts w:eastAsia="SimSun"/>
                <w:b/>
                <w:sz w:val="22"/>
                <w:szCs w:val="22"/>
                <w:lang w:val="sr-Latn-ME"/>
              </w:rPr>
              <w:t>Doza održavanja (mg)*</w:t>
            </w:r>
          </w:p>
        </w:tc>
        <w:tc>
          <w:tcPr>
            <w:tcW w:w="1086" w:type="pct"/>
          </w:tcPr>
          <w:p w14:paraId="6E74AA05" w14:textId="77777777" w:rsidR="00295F29" w:rsidRPr="00801AFD" w:rsidRDefault="00295F29" w:rsidP="00801AFD">
            <w:pPr>
              <w:widowControl w:val="0"/>
              <w:jc w:val="center"/>
              <w:rPr>
                <w:rFonts w:eastAsia="SimSun"/>
                <w:b/>
                <w:sz w:val="22"/>
                <w:szCs w:val="22"/>
                <w:lang w:val="sr-Latn-ME"/>
              </w:rPr>
            </w:pPr>
            <w:r w:rsidRPr="00801AFD">
              <w:rPr>
                <w:rFonts w:eastAsia="SimSun"/>
                <w:b/>
                <w:sz w:val="22"/>
                <w:szCs w:val="22"/>
                <w:lang w:val="sr-Latn-ME"/>
              </w:rPr>
              <w:t>Interval doziranja</w:t>
            </w:r>
          </w:p>
        </w:tc>
      </w:tr>
      <w:tr w:rsidR="00295F29" w:rsidRPr="00801AFD" w14:paraId="0F0C7236" w14:textId="77777777" w:rsidTr="00801AFD">
        <w:tc>
          <w:tcPr>
            <w:tcW w:w="1493" w:type="pct"/>
          </w:tcPr>
          <w:p w14:paraId="25E7E232" w14:textId="00ADD60E" w:rsidR="00295F29" w:rsidRPr="00801AFD" w:rsidRDefault="008D605F" w:rsidP="00801AFD">
            <w:pPr>
              <w:widowControl w:val="0"/>
              <w:jc w:val="center"/>
              <w:rPr>
                <w:rFonts w:eastAsia="SimSun"/>
                <w:sz w:val="22"/>
                <w:szCs w:val="22"/>
                <w:lang w:val="sr-Latn-ME" w:eastAsia="en-IE"/>
              </w:rPr>
            </w:pPr>
            <w:r w:rsidRPr="00801AFD">
              <w:rPr>
                <w:lang w:val="sr-Latn-ME"/>
              </w:rPr>
              <w:t>≥</w:t>
            </w:r>
            <w:r w:rsidR="00295F29" w:rsidRPr="00801AFD">
              <w:rPr>
                <w:rFonts w:eastAsia="SimSun"/>
                <w:sz w:val="22"/>
                <w:szCs w:val="22"/>
                <w:lang w:val="sr-Latn-ME" w:eastAsia="en-IE"/>
              </w:rPr>
              <w:t> 10 to &lt; 20</w:t>
            </w:r>
          </w:p>
        </w:tc>
        <w:tc>
          <w:tcPr>
            <w:tcW w:w="1072" w:type="pct"/>
          </w:tcPr>
          <w:p w14:paraId="4BDD5C0C" w14:textId="77777777" w:rsidR="00295F29" w:rsidRPr="00801AFD" w:rsidRDefault="00295F29" w:rsidP="00801AFD">
            <w:pPr>
              <w:widowControl w:val="0"/>
              <w:jc w:val="center"/>
              <w:rPr>
                <w:rFonts w:eastAsia="SimSun"/>
                <w:sz w:val="22"/>
                <w:szCs w:val="22"/>
                <w:lang w:val="sr-Latn-ME" w:eastAsia="en-IE"/>
              </w:rPr>
            </w:pPr>
            <w:r w:rsidRPr="00801AFD">
              <w:rPr>
                <w:rFonts w:eastAsia="SimSun"/>
                <w:sz w:val="22"/>
                <w:szCs w:val="22"/>
                <w:lang w:val="sr-Latn-ME" w:eastAsia="en-IE"/>
              </w:rPr>
              <w:t>600</w:t>
            </w:r>
          </w:p>
        </w:tc>
        <w:tc>
          <w:tcPr>
            <w:tcW w:w="1349" w:type="pct"/>
          </w:tcPr>
          <w:p w14:paraId="062127EE" w14:textId="77777777" w:rsidR="00295F29" w:rsidRPr="00801AFD" w:rsidRDefault="00295F29" w:rsidP="00801AFD">
            <w:pPr>
              <w:widowControl w:val="0"/>
              <w:jc w:val="center"/>
              <w:rPr>
                <w:rFonts w:eastAsia="SimSun"/>
                <w:sz w:val="22"/>
                <w:szCs w:val="22"/>
                <w:lang w:val="sr-Latn-ME" w:eastAsia="en-IE"/>
              </w:rPr>
            </w:pPr>
            <w:r w:rsidRPr="00801AFD">
              <w:rPr>
                <w:rFonts w:eastAsia="SimSun"/>
                <w:sz w:val="22"/>
                <w:szCs w:val="22"/>
                <w:lang w:val="sr-Latn-ME" w:eastAsia="en-IE"/>
              </w:rPr>
              <w:t>600</w:t>
            </w:r>
          </w:p>
        </w:tc>
        <w:tc>
          <w:tcPr>
            <w:tcW w:w="1086" w:type="pct"/>
          </w:tcPr>
          <w:p w14:paraId="41059AB2" w14:textId="77777777" w:rsidR="00295F29" w:rsidRPr="00801AFD" w:rsidRDefault="00295F29" w:rsidP="00801AFD">
            <w:pPr>
              <w:widowControl w:val="0"/>
              <w:jc w:val="center"/>
              <w:rPr>
                <w:rFonts w:eastAsia="SimSun"/>
                <w:sz w:val="22"/>
                <w:szCs w:val="22"/>
                <w:lang w:val="sr-Latn-ME" w:eastAsia="en-IE"/>
              </w:rPr>
            </w:pPr>
            <w:r w:rsidRPr="00801AFD">
              <w:rPr>
                <w:rFonts w:eastAsia="SimSun"/>
                <w:sz w:val="22"/>
                <w:szCs w:val="22"/>
                <w:lang w:val="sr-Latn-ME" w:eastAsia="en-IE"/>
              </w:rPr>
              <w:t>Svake 4 nedelje</w:t>
            </w:r>
          </w:p>
        </w:tc>
      </w:tr>
      <w:tr w:rsidR="00295F29" w:rsidRPr="00801AFD" w14:paraId="49CCB62E" w14:textId="77777777" w:rsidTr="00801AFD">
        <w:tc>
          <w:tcPr>
            <w:tcW w:w="1493" w:type="pct"/>
          </w:tcPr>
          <w:p w14:paraId="6B864965" w14:textId="27F99A39" w:rsidR="00295F29" w:rsidRPr="00801AFD" w:rsidRDefault="008D605F" w:rsidP="00801AFD">
            <w:pPr>
              <w:widowControl w:val="0"/>
              <w:jc w:val="center"/>
              <w:rPr>
                <w:rFonts w:eastAsia="SimSun"/>
                <w:sz w:val="22"/>
                <w:szCs w:val="22"/>
                <w:lang w:val="sr-Latn-ME" w:eastAsia="en-IE"/>
              </w:rPr>
            </w:pPr>
            <w:r w:rsidRPr="00801AFD">
              <w:rPr>
                <w:lang w:val="sr-Latn-ME"/>
              </w:rPr>
              <w:t>≥</w:t>
            </w:r>
            <w:r w:rsidR="00295F29" w:rsidRPr="00801AFD">
              <w:rPr>
                <w:rFonts w:eastAsia="SimSun"/>
                <w:sz w:val="22"/>
                <w:szCs w:val="22"/>
                <w:lang w:val="sr-Latn-ME" w:eastAsia="en-IE"/>
              </w:rPr>
              <w:t> 20 to &lt; 30</w:t>
            </w:r>
          </w:p>
        </w:tc>
        <w:tc>
          <w:tcPr>
            <w:tcW w:w="1072" w:type="pct"/>
          </w:tcPr>
          <w:p w14:paraId="19BAA859" w14:textId="77777777" w:rsidR="00295F29" w:rsidRPr="00801AFD" w:rsidRDefault="00295F29" w:rsidP="00801AFD">
            <w:pPr>
              <w:widowControl w:val="0"/>
              <w:jc w:val="center"/>
              <w:rPr>
                <w:rFonts w:eastAsia="SimSun"/>
                <w:sz w:val="22"/>
                <w:szCs w:val="22"/>
                <w:lang w:val="sr-Latn-ME" w:eastAsia="en-IE"/>
              </w:rPr>
            </w:pPr>
            <w:r w:rsidRPr="00801AFD">
              <w:rPr>
                <w:rFonts w:eastAsia="SimSun"/>
                <w:sz w:val="22"/>
                <w:szCs w:val="22"/>
                <w:lang w:val="sr-Latn-ME" w:eastAsia="en-IE"/>
              </w:rPr>
              <w:t>900</w:t>
            </w:r>
          </w:p>
        </w:tc>
        <w:tc>
          <w:tcPr>
            <w:tcW w:w="1349" w:type="pct"/>
          </w:tcPr>
          <w:p w14:paraId="28D90D2A" w14:textId="77777777" w:rsidR="00295F29" w:rsidRPr="00801AFD" w:rsidRDefault="00295F29" w:rsidP="00801AFD">
            <w:pPr>
              <w:widowControl w:val="0"/>
              <w:jc w:val="center"/>
              <w:rPr>
                <w:rFonts w:eastAsia="SimSun"/>
                <w:sz w:val="22"/>
                <w:szCs w:val="22"/>
                <w:lang w:val="sr-Latn-ME" w:eastAsia="en-IE"/>
              </w:rPr>
            </w:pPr>
            <w:r w:rsidRPr="00801AFD">
              <w:rPr>
                <w:rFonts w:eastAsia="SimSun"/>
                <w:sz w:val="22"/>
                <w:szCs w:val="22"/>
                <w:lang w:val="sr-Latn-ME" w:eastAsia="en-IE"/>
              </w:rPr>
              <w:t>2,100</w:t>
            </w:r>
          </w:p>
        </w:tc>
        <w:tc>
          <w:tcPr>
            <w:tcW w:w="1086" w:type="pct"/>
          </w:tcPr>
          <w:p w14:paraId="29DACBE4" w14:textId="77777777" w:rsidR="00295F29" w:rsidRPr="00801AFD" w:rsidRDefault="00295F29" w:rsidP="00801AFD">
            <w:pPr>
              <w:widowControl w:val="0"/>
              <w:jc w:val="center"/>
              <w:rPr>
                <w:rFonts w:eastAsia="SimSun"/>
                <w:sz w:val="22"/>
                <w:szCs w:val="22"/>
                <w:lang w:val="sr-Latn-ME" w:eastAsia="en-IE"/>
              </w:rPr>
            </w:pPr>
            <w:r w:rsidRPr="00801AFD">
              <w:rPr>
                <w:rFonts w:eastAsia="SimSun"/>
                <w:sz w:val="22"/>
                <w:szCs w:val="22"/>
                <w:lang w:val="sr-Latn-ME" w:eastAsia="en-IE"/>
              </w:rPr>
              <w:t>Svakih 8 nedelja</w:t>
            </w:r>
          </w:p>
        </w:tc>
      </w:tr>
      <w:tr w:rsidR="00295F29" w:rsidRPr="00801AFD" w14:paraId="10F1A328" w14:textId="77777777" w:rsidTr="00801AFD">
        <w:tc>
          <w:tcPr>
            <w:tcW w:w="1493" w:type="pct"/>
          </w:tcPr>
          <w:p w14:paraId="4D75E012" w14:textId="2D9E4CF5" w:rsidR="00295F29" w:rsidRPr="00801AFD" w:rsidRDefault="008D605F" w:rsidP="00801AFD">
            <w:pPr>
              <w:widowControl w:val="0"/>
              <w:jc w:val="center"/>
              <w:rPr>
                <w:rFonts w:eastAsia="SimSun"/>
                <w:sz w:val="22"/>
                <w:szCs w:val="22"/>
                <w:lang w:val="sr-Latn-ME" w:eastAsia="en-IE"/>
              </w:rPr>
            </w:pPr>
            <w:r w:rsidRPr="00801AFD">
              <w:rPr>
                <w:lang w:val="sr-Latn-ME"/>
              </w:rPr>
              <w:t>≥</w:t>
            </w:r>
            <w:r w:rsidR="00295F29" w:rsidRPr="00801AFD">
              <w:rPr>
                <w:rFonts w:eastAsia="SimSun"/>
                <w:sz w:val="22"/>
                <w:szCs w:val="22"/>
                <w:lang w:val="sr-Latn-ME" w:eastAsia="en-IE"/>
              </w:rPr>
              <w:t> 30 to &lt; 40</w:t>
            </w:r>
          </w:p>
        </w:tc>
        <w:tc>
          <w:tcPr>
            <w:tcW w:w="1072" w:type="pct"/>
          </w:tcPr>
          <w:p w14:paraId="3E21F8D1" w14:textId="77777777" w:rsidR="00295F29" w:rsidRPr="00801AFD" w:rsidRDefault="00295F29" w:rsidP="00801AFD">
            <w:pPr>
              <w:widowControl w:val="0"/>
              <w:jc w:val="center"/>
              <w:rPr>
                <w:rFonts w:eastAsia="SimSun"/>
                <w:sz w:val="22"/>
                <w:szCs w:val="22"/>
                <w:lang w:val="sr-Latn-ME" w:eastAsia="en-IE"/>
              </w:rPr>
            </w:pPr>
            <w:r w:rsidRPr="00801AFD">
              <w:rPr>
                <w:rFonts w:eastAsia="SimSun"/>
                <w:sz w:val="22"/>
                <w:szCs w:val="22"/>
                <w:lang w:val="sr-Latn-ME" w:eastAsia="en-IE"/>
              </w:rPr>
              <w:t>1,200</w:t>
            </w:r>
          </w:p>
        </w:tc>
        <w:tc>
          <w:tcPr>
            <w:tcW w:w="1349" w:type="pct"/>
          </w:tcPr>
          <w:p w14:paraId="38534171" w14:textId="77777777" w:rsidR="00295F29" w:rsidRPr="00801AFD" w:rsidRDefault="00295F29" w:rsidP="00801AFD">
            <w:pPr>
              <w:widowControl w:val="0"/>
              <w:jc w:val="center"/>
              <w:rPr>
                <w:rFonts w:eastAsia="SimSun"/>
                <w:sz w:val="22"/>
                <w:szCs w:val="22"/>
                <w:lang w:val="sr-Latn-ME" w:eastAsia="en-IE"/>
              </w:rPr>
            </w:pPr>
            <w:r w:rsidRPr="00801AFD">
              <w:rPr>
                <w:rFonts w:eastAsia="SimSun"/>
                <w:sz w:val="22"/>
                <w:szCs w:val="22"/>
                <w:lang w:val="sr-Latn-ME" w:eastAsia="en-IE"/>
              </w:rPr>
              <w:t>2,700</w:t>
            </w:r>
          </w:p>
        </w:tc>
        <w:tc>
          <w:tcPr>
            <w:tcW w:w="1086" w:type="pct"/>
          </w:tcPr>
          <w:p w14:paraId="6D026BE2" w14:textId="77777777" w:rsidR="00295F29" w:rsidRPr="00801AFD" w:rsidRDefault="00295F29" w:rsidP="00801AFD">
            <w:pPr>
              <w:widowControl w:val="0"/>
              <w:jc w:val="center"/>
              <w:rPr>
                <w:rFonts w:eastAsia="SimSun"/>
                <w:sz w:val="22"/>
                <w:szCs w:val="22"/>
                <w:lang w:val="sr-Latn-ME" w:eastAsia="en-IE"/>
              </w:rPr>
            </w:pPr>
            <w:r w:rsidRPr="00801AFD">
              <w:rPr>
                <w:rFonts w:eastAsia="SimSun"/>
                <w:sz w:val="22"/>
                <w:szCs w:val="22"/>
                <w:lang w:val="sr-Latn-ME" w:eastAsia="en-IE"/>
              </w:rPr>
              <w:t>Svakih 8 nedelja</w:t>
            </w:r>
          </w:p>
        </w:tc>
      </w:tr>
    </w:tbl>
    <w:p w14:paraId="210CF84B" w14:textId="5F49A16B" w:rsidR="00295F29" w:rsidRPr="00801AFD" w:rsidRDefault="00295F29" w:rsidP="00801AFD">
      <w:pPr>
        <w:pStyle w:val="Default"/>
        <w:widowControl w:val="0"/>
        <w:jc w:val="both"/>
        <w:rPr>
          <w:sz w:val="20"/>
          <w:szCs w:val="22"/>
          <w:lang w:val="sr-Latn-ME"/>
        </w:rPr>
      </w:pPr>
      <w:r w:rsidRPr="00801AFD">
        <w:rPr>
          <w:sz w:val="20"/>
          <w:szCs w:val="22"/>
          <w:lang w:val="sr-Latn-ME"/>
        </w:rPr>
        <w:t>*Prva doza održavanja primjenjuje se 2 ned</w:t>
      </w:r>
      <w:r w:rsidR="0061641E" w:rsidRPr="00801AFD">
        <w:rPr>
          <w:sz w:val="20"/>
          <w:szCs w:val="22"/>
          <w:lang w:val="sr-Latn-ME"/>
        </w:rPr>
        <w:t>j</w:t>
      </w:r>
      <w:r w:rsidRPr="00801AFD">
        <w:rPr>
          <w:sz w:val="20"/>
          <w:szCs w:val="22"/>
          <w:lang w:val="sr-Latn-ME"/>
        </w:rPr>
        <w:t>elje nakon udarne doze</w:t>
      </w:r>
    </w:p>
    <w:p w14:paraId="099E2905" w14:textId="77777777" w:rsidR="00295F29" w:rsidRPr="00801AFD" w:rsidRDefault="00295F29" w:rsidP="00801AFD">
      <w:pPr>
        <w:pStyle w:val="Default"/>
        <w:widowControl w:val="0"/>
        <w:jc w:val="both"/>
        <w:rPr>
          <w:sz w:val="22"/>
          <w:szCs w:val="22"/>
          <w:lang w:val="sr-Latn-ME"/>
        </w:rPr>
      </w:pPr>
    </w:p>
    <w:p w14:paraId="13985B24" w14:textId="0F0A5AD9" w:rsidR="00295F29" w:rsidRPr="00801AFD" w:rsidRDefault="00295F29" w:rsidP="00801AFD">
      <w:pPr>
        <w:pStyle w:val="Default"/>
        <w:widowControl w:val="0"/>
        <w:jc w:val="both"/>
        <w:rPr>
          <w:sz w:val="22"/>
          <w:szCs w:val="22"/>
          <w:lang w:val="sr-Latn-ME"/>
        </w:rPr>
      </w:pPr>
      <w:r w:rsidRPr="00801AFD">
        <w:rPr>
          <w:sz w:val="22"/>
          <w:szCs w:val="22"/>
          <w:lang w:val="sr-Latn-ME"/>
        </w:rPr>
        <w:t>Ravulizumab nije ispitan kod pedijatrijskih pacijenata sa PNH-om t</w:t>
      </w:r>
      <w:r w:rsidR="00E14297" w:rsidRPr="00801AFD">
        <w:rPr>
          <w:sz w:val="22"/>
          <w:szCs w:val="22"/>
          <w:lang w:val="sr-Latn-ME"/>
        </w:rPr>
        <w:t>j</w:t>
      </w:r>
      <w:r w:rsidRPr="00801AFD">
        <w:rPr>
          <w:sz w:val="22"/>
          <w:szCs w:val="22"/>
          <w:lang w:val="sr-Latn-ME"/>
        </w:rPr>
        <w:t>elesne težine manje od 30 kg.</w:t>
      </w:r>
    </w:p>
    <w:p w14:paraId="044674C6" w14:textId="7877B258" w:rsidR="00295F29" w:rsidRPr="00801AFD" w:rsidRDefault="00295F29" w:rsidP="00801AFD">
      <w:pPr>
        <w:pStyle w:val="Default"/>
        <w:widowControl w:val="0"/>
        <w:jc w:val="both"/>
        <w:rPr>
          <w:sz w:val="22"/>
          <w:szCs w:val="22"/>
          <w:lang w:val="sr-Latn-ME"/>
        </w:rPr>
      </w:pPr>
      <w:r w:rsidRPr="00801AFD">
        <w:rPr>
          <w:sz w:val="22"/>
          <w:szCs w:val="22"/>
          <w:lang w:val="sr-Latn-ME"/>
        </w:rPr>
        <w:t>Preporučeno doziranje kod ovih pacijenata zasnovano na doziranju koje se primjenjuje kod pedijatrijskih</w:t>
      </w:r>
      <w:r w:rsidR="00E14297" w:rsidRPr="00801AFD">
        <w:rPr>
          <w:sz w:val="22"/>
          <w:szCs w:val="22"/>
          <w:lang w:val="sr-Latn-ME"/>
        </w:rPr>
        <w:t xml:space="preserve"> </w:t>
      </w:r>
      <w:r w:rsidRPr="00801AFD">
        <w:rPr>
          <w:sz w:val="22"/>
          <w:szCs w:val="22"/>
          <w:lang w:val="sr-Latn-ME"/>
        </w:rPr>
        <w:t>pacijenata sa aHUS-om, zasnovano je na farmakokinetičkih/farmakodinamičkih podataka dostupnih za</w:t>
      </w:r>
      <w:r w:rsidR="00E14297" w:rsidRPr="00801AFD">
        <w:rPr>
          <w:sz w:val="22"/>
          <w:szCs w:val="22"/>
          <w:lang w:val="sr-Latn-ME"/>
        </w:rPr>
        <w:t xml:space="preserve"> </w:t>
      </w:r>
      <w:r w:rsidRPr="00801AFD">
        <w:rPr>
          <w:sz w:val="22"/>
          <w:szCs w:val="22"/>
          <w:lang w:val="sr-Latn-ME"/>
        </w:rPr>
        <w:t>pacijente sa aHUS-om i PNH-om koji su l</w:t>
      </w:r>
      <w:r w:rsidR="00E14297" w:rsidRPr="00801AFD">
        <w:rPr>
          <w:sz w:val="22"/>
          <w:szCs w:val="22"/>
          <w:lang w:val="sr-Latn-ME"/>
        </w:rPr>
        <w:t>ij</w:t>
      </w:r>
      <w:r w:rsidRPr="00801AFD">
        <w:rPr>
          <w:sz w:val="22"/>
          <w:szCs w:val="22"/>
          <w:lang w:val="sr-Latn-ME"/>
        </w:rPr>
        <w:t>ečeni ravulizumabom.</w:t>
      </w:r>
    </w:p>
    <w:p w14:paraId="2F64B4E2" w14:textId="3AEB075C" w:rsidR="00295F29" w:rsidRPr="00801AFD" w:rsidRDefault="00295F29" w:rsidP="00801AFD">
      <w:pPr>
        <w:pStyle w:val="Default"/>
        <w:widowControl w:val="0"/>
        <w:jc w:val="both"/>
        <w:rPr>
          <w:sz w:val="22"/>
          <w:szCs w:val="22"/>
          <w:lang w:val="sr-Latn-ME"/>
        </w:rPr>
      </w:pPr>
      <w:r w:rsidRPr="00801AFD">
        <w:rPr>
          <w:sz w:val="22"/>
          <w:szCs w:val="22"/>
          <w:lang w:val="sr-Latn-ME"/>
        </w:rPr>
        <w:t>PNH je hronična bolest pa se preporučuje da pacijent nastavi l</w:t>
      </w:r>
      <w:r w:rsidR="00E14297" w:rsidRPr="00801AFD">
        <w:rPr>
          <w:sz w:val="22"/>
          <w:szCs w:val="22"/>
          <w:lang w:val="sr-Latn-ME"/>
        </w:rPr>
        <w:t>ij</w:t>
      </w:r>
      <w:r w:rsidRPr="00801AFD">
        <w:rPr>
          <w:sz w:val="22"/>
          <w:szCs w:val="22"/>
          <w:lang w:val="sr-Latn-ME"/>
        </w:rPr>
        <w:t>ečenje ravulizumabom tokom</w:t>
      </w:r>
      <w:r w:rsidR="00801AFD" w:rsidRPr="00801AFD">
        <w:rPr>
          <w:sz w:val="22"/>
          <w:szCs w:val="22"/>
          <w:lang w:val="sr-Latn-ME"/>
        </w:rPr>
        <w:t xml:space="preserve"> </w:t>
      </w:r>
      <w:r w:rsidRPr="00801AFD">
        <w:rPr>
          <w:sz w:val="22"/>
          <w:szCs w:val="22"/>
          <w:lang w:val="sr-Latn-ME"/>
        </w:rPr>
        <w:t>c</w:t>
      </w:r>
      <w:r w:rsidR="00E14297" w:rsidRPr="00801AFD">
        <w:rPr>
          <w:sz w:val="22"/>
          <w:szCs w:val="22"/>
          <w:lang w:val="sr-Latn-ME"/>
        </w:rPr>
        <w:t>ij</w:t>
      </w:r>
      <w:r w:rsidRPr="00801AFD">
        <w:rPr>
          <w:sz w:val="22"/>
          <w:szCs w:val="22"/>
          <w:lang w:val="sr-Latn-ME"/>
        </w:rPr>
        <w:t>elog života, osim ako je prestanak prim</w:t>
      </w:r>
      <w:r w:rsidR="00E14297" w:rsidRPr="00801AFD">
        <w:rPr>
          <w:sz w:val="22"/>
          <w:szCs w:val="22"/>
          <w:lang w:val="sr-Latn-ME"/>
        </w:rPr>
        <w:t>j</w:t>
      </w:r>
      <w:r w:rsidRPr="00801AFD">
        <w:rPr>
          <w:sz w:val="22"/>
          <w:szCs w:val="22"/>
          <w:lang w:val="sr-Latn-ME"/>
        </w:rPr>
        <w:t>ene ravulizumaba klinički indikovan (vid</w:t>
      </w:r>
      <w:r w:rsidR="00E14297" w:rsidRPr="00801AFD">
        <w:rPr>
          <w:sz w:val="22"/>
          <w:szCs w:val="22"/>
          <w:lang w:val="sr-Latn-ME"/>
        </w:rPr>
        <w:t>j</w:t>
      </w:r>
      <w:r w:rsidRPr="00801AFD">
        <w:rPr>
          <w:sz w:val="22"/>
          <w:szCs w:val="22"/>
          <w:lang w:val="sr-Latn-ME"/>
        </w:rPr>
        <w:t xml:space="preserve">eti </w:t>
      </w:r>
      <w:r w:rsidR="0061641E" w:rsidRPr="00801AFD">
        <w:rPr>
          <w:sz w:val="22"/>
          <w:szCs w:val="22"/>
          <w:lang w:val="sr-Latn-ME"/>
        </w:rPr>
        <w:t>dio</w:t>
      </w:r>
      <w:r w:rsidRPr="00801AFD">
        <w:rPr>
          <w:sz w:val="22"/>
          <w:szCs w:val="22"/>
          <w:lang w:val="sr-Latn-ME"/>
        </w:rPr>
        <w:t xml:space="preserve"> 4.4).</w:t>
      </w:r>
    </w:p>
    <w:p w14:paraId="457C1D70" w14:textId="77777777" w:rsidR="00295F29" w:rsidRPr="00801AFD" w:rsidRDefault="00295F29" w:rsidP="00801AFD">
      <w:pPr>
        <w:pStyle w:val="Default"/>
        <w:widowControl w:val="0"/>
        <w:jc w:val="both"/>
        <w:rPr>
          <w:sz w:val="22"/>
          <w:szCs w:val="22"/>
          <w:lang w:val="sr-Latn-ME"/>
        </w:rPr>
      </w:pPr>
    </w:p>
    <w:p w14:paraId="2C920940" w14:textId="3D85920C" w:rsidR="00295F29" w:rsidRPr="00801AFD" w:rsidRDefault="00295F29" w:rsidP="00801AFD">
      <w:pPr>
        <w:pStyle w:val="Default"/>
        <w:widowControl w:val="0"/>
        <w:jc w:val="both"/>
        <w:rPr>
          <w:sz w:val="22"/>
          <w:szCs w:val="22"/>
          <w:lang w:val="sr-Latn-ME"/>
        </w:rPr>
      </w:pPr>
      <w:r w:rsidRPr="00801AFD">
        <w:rPr>
          <w:sz w:val="22"/>
          <w:szCs w:val="22"/>
          <w:lang w:val="sr-Latn-ME"/>
        </w:rPr>
        <w:t>Kod prim</w:t>
      </w:r>
      <w:r w:rsidR="0061641E" w:rsidRPr="00801AFD">
        <w:rPr>
          <w:sz w:val="22"/>
          <w:szCs w:val="22"/>
          <w:lang w:val="sr-Latn-ME"/>
        </w:rPr>
        <w:t>j</w:t>
      </w:r>
      <w:r w:rsidRPr="00801AFD">
        <w:rPr>
          <w:sz w:val="22"/>
          <w:szCs w:val="22"/>
          <w:lang w:val="sr-Latn-ME"/>
        </w:rPr>
        <w:t>ene u indikaciji aHUS-a, da bi se povukla trombotična mikroangiopatija</w:t>
      </w:r>
      <w:r w:rsidR="00801AFD" w:rsidRPr="00801AFD">
        <w:rPr>
          <w:sz w:val="22"/>
          <w:szCs w:val="22"/>
          <w:lang w:val="sr-Latn-ME"/>
        </w:rPr>
        <w:t xml:space="preserve"> </w:t>
      </w:r>
      <w:r w:rsidRPr="00801AFD">
        <w:rPr>
          <w:sz w:val="22"/>
          <w:szCs w:val="22"/>
          <w:lang w:val="sr-Latn-ME"/>
        </w:rPr>
        <w:t>(TMA), lečenje ravulizumabom mora trajati najmanje 6 m</w:t>
      </w:r>
      <w:r w:rsidR="0061641E" w:rsidRPr="00801AFD">
        <w:rPr>
          <w:sz w:val="22"/>
          <w:szCs w:val="22"/>
          <w:lang w:val="sr-Latn-ME"/>
        </w:rPr>
        <w:t>j</w:t>
      </w:r>
      <w:r w:rsidRPr="00801AFD">
        <w:rPr>
          <w:sz w:val="22"/>
          <w:szCs w:val="22"/>
          <w:lang w:val="sr-Latn-ME"/>
        </w:rPr>
        <w:t>eseci, nakon čega dužinu l</w:t>
      </w:r>
      <w:r w:rsidR="0061641E" w:rsidRPr="00801AFD">
        <w:rPr>
          <w:sz w:val="22"/>
          <w:szCs w:val="22"/>
          <w:lang w:val="sr-Latn-ME"/>
        </w:rPr>
        <w:t>ij</w:t>
      </w:r>
      <w:r w:rsidRPr="00801AFD">
        <w:rPr>
          <w:sz w:val="22"/>
          <w:szCs w:val="22"/>
          <w:lang w:val="sr-Latn-ME"/>
        </w:rPr>
        <w:t>ečenja treba</w:t>
      </w:r>
      <w:r w:rsidR="00801AFD" w:rsidRPr="00801AFD">
        <w:rPr>
          <w:sz w:val="22"/>
          <w:szCs w:val="22"/>
          <w:lang w:val="sr-Latn-ME"/>
        </w:rPr>
        <w:t xml:space="preserve"> </w:t>
      </w:r>
      <w:r w:rsidRPr="00801AFD">
        <w:rPr>
          <w:sz w:val="22"/>
          <w:szCs w:val="22"/>
          <w:lang w:val="sr-Latn-ME"/>
        </w:rPr>
        <w:t>razmotriti kod svakog pojedinačnog pacijenta. Kod pacijenata koji imaju viši rizik od ponavljanja</w:t>
      </w:r>
      <w:r w:rsidR="00801AFD" w:rsidRPr="00801AFD">
        <w:rPr>
          <w:sz w:val="22"/>
          <w:szCs w:val="22"/>
          <w:lang w:val="sr-Latn-ME"/>
        </w:rPr>
        <w:t xml:space="preserve"> </w:t>
      </w:r>
      <w:r w:rsidRPr="00801AFD">
        <w:rPr>
          <w:sz w:val="22"/>
          <w:szCs w:val="22"/>
          <w:lang w:val="sr-Latn-ME"/>
        </w:rPr>
        <w:t>TMA, ako je tako utvrdio nadležni l</w:t>
      </w:r>
      <w:r w:rsidR="0061641E" w:rsidRPr="00801AFD">
        <w:rPr>
          <w:sz w:val="22"/>
          <w:szCs w:val="22"/>
          <w:lang w:val="sr-Latn-ME"/>
        </w:rPr>
        <w:t>j</w:t>
      </w:r>
      <w:r w:rsidRPr="00801AFD">
        <w:rPr>
          <w:sz w:val="22"/>
          <w:szCs w:val="22"/>
          <w:lang w:val="sr-Latn-ME"/>
        </w:rPr>
        <w:t>ekar (ili prema kliničkoj indikaciji), može biti potrebna hronična</w:t>
      </w:r>
      <w:r w:rsidR="00801AFD" w:rsidRPr="00801AFD">
        <w:rPr>
          <w:sz w:val="22"/>
          <w:szCs w:val="22"/>
          <w:lang w:val="sr-Latn-ME"/>
        </w:rPr>
        <w:t xml:space="preserve"> </w:t>
      </w:r>
      <w:r w:rsidRPr="00801AFD">
        <w:rPr>
          <w:sz w:val="22"/>
          <w:szCs w:val="22"/>
          <w:lang w:val="sr-Latn-ME"/>
        </w:rPr>
        <w:t xml:space="preserve">terapija (videti </w:t>
      </w:r>
      <w:r w:rsidR="0061641E" w:rsidRPr="00801AFD">
        <w:rPr>
          <w:sz w:val="22"/>
          <w:szCs w:val="22"/>
          <w:lang w:val="sr-Latn-ME"/>
        </w:rPr>
        <w:t xml:space="preserve">dio </w:t>
      </w:r>
      <w:r w:rsidRPr="00801AFD">
        <w:rPr>
          <w:sz w:val="22"/>
          <w:szCs w:val="22"/>
          <w:lang w:val="sr-Latn-ME"/>
        </w:rPr>
        <w:t>4.4).</w:t>
      </w:r>
    </w:p>
    <w:p w14:paraId="487759A3" w14:textId="6FA99AB1" w:rsidR="00295F29" w:rsidRPr="00801AFD" w:rsidRDefault="00295F29" w:rsidP="00801AFD">
      <w:pPr>
        <w:pStyle w:val="Default"/>
        <w:widowControl w:val="0"/>
        <w:jc w:val="both"/>
        <w:rPr>
          <w:sz w:val="22"/>
          <w:szCs w:val="22"/>
          <w:lang w:val="sr-Latn-ME"/>
        </w:rPr>
      </w:pPr>
      <w:r w:rsidRPr="00801AFD">
        <w:rPr>
          <w:sz w:val="22"/>
          <w:szCs w:val="22"/>
          <w:lang w:val="sr-Latn-ME"/>
        </w:rPr>
        <w:t>Kod odraslih pacijenata sa gMG-om ili NMOSD-om l</w:t>
      </w:r>
      <w:r w:rsidR="0061641E" w:rsidRPr="00801AFD">
        <w:rPr>
          <w:sz w:val="22"/>
          <w:szCs w:val="22"/>
          <w:lang w:val="sr-Latn-ME"/>
        </w:rPr>
        <w:t>ij</w:t>
      </w:r>
      <w:r w:rsidRPr="00801AFD">
        <w:rPr>
          <w:sz w:val="22"/>
          <w:szCs w:val="22"/>
          <w:lang w:val="sr-Latn-ME"/>
        </w:rPr>
        <w:t>ečenje ravulizumabom ispitano je samo u</w:t>
      </w:r>
      <w:r w:rsidR="00801AFD" w:rsidRPr="00801AFD">
        <w:rPr>
          <w:sz w:val="22"/>
          <w:szCs w:val="22"/>
          <w:lang w:val="sr-Latn-ME"/>
        </w:rPr>
        <w:t xml:space="preserve"> </w:t>
      </w:r>
      <w:r w:rsidRPr="00801AFD">
        <w:rPr>
          <w:sz w:val="22"/>
          <w:szCs w:val="22"/>
          <w:lang w:val="sr-Latn-ME"/>
        </w:rPr>
        <w:t>okolnostima hronične prim</w:t>
      </w:r>
      <w:r w:rsidR="0061641E" w:rsidRPr="00801AFD">
        <w:rPr>
          <w:sz w:val="22"/>
          <w:szCs w:val="22"/>
          <w:lang w:val="sr-Latn-ME"/>
        </w:rPr>
        <w:t>j</w:t>
      </w:r>
      <w:r w:rsidRPr="00801AFD">
        <w:rPr>
          <w:sz w:val="22"/>
          <w:szCs w:val="22"/>
          <w:lang w:val="sr-Latn-ME"/>
        </w:rPr>
        <w:t xml:space="preserve">ene (videti </w:t>
      </w:r>
      <w:r w:rsidR="0061641E" w:rsidRPr="00801AFD">
        <w:rPr>
          <w:sz w:val="22"/>
          <w:szCs w:val="22"/>
          <w:lang w:val="sr-Latn-ME"/>
        </w:rPr>
        <w:t>dio</w:t>
      </w:r>
      <w:r w:rsidRPr="00801AFD">
        <w:rPr>
          <w:sz w:val="22"/>
          <w:szCs w:val="22"/>
          <w:lang w:val="sr-Latn-ME"/>
        </w:rPr>
        <w:t xml:space="preserve"> 4.4).</w:t>
      </w:r>
    </w:p>
    <w:p w14:paraId="25B6A2F3" w14:textId="77777777" w:rsidR="00295F29" w:rsidRPr="00801AFD" w:rsidRDefault="00295F29" w:rsidP="00801AFD">
      <w:pPr>
        <w:pStyle w:val="Default"/>
        <w:widowControl w:val="0"/>
        <w:jc w:val="both"/>
        <w:rPr>
          <w:sz w:val="22"/>
          <w:szCs w:val="22"/>
          <w:lang w:val="sr-Latn-ME"/>
        </w:rPr>
      </w:pPr>
    </w:p>
    <w:p w14:paraId="192B77CF" w14:textId="1E107B93" w:rsidR="00295F29" w:rsidRPr="00801AFD" w:rsidRDefault="00295F29" w:rsidP="00801AFD">
      <w:pPr>
        <w:pStyle w:val="Default"/>
        <w:widowControl w:val="0"/>
        <w:jc w:val="both"/>
        <w:rPr>
          <w:sz w:val="22"/>
          <w:szCs w:val="22"/>
          <w:lang w:val="sr-Latn-ME"/>
        </w:rPr>
      </w:pPr>
      <w:r w:rsidRPr="00801AFD">
        <w:rPr>
          <w:sz w:val="22"/>
          <w:szCs w:val="22"/>
          <w:lang w:val="sr-Latn-ME"/>
        </w:rPr>
        <w:t>Ravulizumab nije bio ispitan kod pacijenata oboljelih od gMG-a klase V prema klasifikaciji Američke</w:t>
      </w:r>
      <w:r w:rsidR="00801AFD" w:rsidRPr="00801AFD">
        <w:rPr>
          <w:sz w:val="22"/>
          <w:szCs w:val="22"/>
          <w:lang w:val="sr-Latn-ME"/>
        </w:rPr>
        <w:t xml:space="preserve"> fon</w:t>
      </w:r>
      <w:r w:rsidRPr="00801AFD">
        <w:rPr>
          <w:sz w:val="22"/>
          <w:szCs w:val="22"/>
          <w:lang w:val="sr-Latn-ME"/>
        </w:rPr>
        <w:t>dacije za mijasteniju gravis (engl. Myasthenia Gravis Foundation of America, MGFA).</w:t>
      </w:r>
    </w:p>
    <w:p w14:paraId="33A00A87" w14:textId="77777777" w:rsidR="00295F29" w:rsidRPr="00801AFD" w:rsidRDefault="00295F29" w:rsidP="00801AFD">
      <w:pPr>
        <w:pStyle w:val="Default"/>
        <w:widowControl w:val="0"/>
        <w:jc w:val="both"/>
        <w:rPr>
          <w:sz w:val="22"/>
          <w:szCs w:val="22"/>
          <w:lang w:val="sr-Latn-ME"/>
        </w:rPr>
      </w:pPr>
    </w:p>
    <w:p w14:paraId="1DC0BE14" w14:textId="7766ADAF" w:rsidR="00295F29" w:rsidRPr="00801AFD" w:rsidRDefault="00295F29" w:rsidP="00801AFD">
      <w:pPr>
        <w:pStyle w:val="Default"/>
        <w:widowControl w:val="0"/>
        <w:jc w:val="both"/>
        <w:rPr>
          <w:sz w:val="22"/>
          <w:szCs w:val="22"/>
          <w:lang w:val="sr-Latn-ME"/>
        </w:rPr>
      </w:pPr>
      <w:r w:rsidRPr="00801AFD">
        <w:rPr>
          <w:sz w:val="22"/>
          <w:szCs w:val="22"/>
          <w:lang w:val="sr-Latn-ME"/>
        </w:rPr>
        <w:t>Dodatno doziranje nakon l</w:t>
      </w:r>
      <w:r w:rsidR="00E14297" w:rsidRPr="00801AFD">
        <w:rPr>
          <w:sz w:val="22"/>
          <w:szCs w:val="22"/>
          <w:lang w:val="sr-Latn-ME"/>
        </w:rPr>
        <w:t>ij</w:t>
      </w:r>
      <w:r w:rsidRPr="00801AFD">
        <w:rPr>
          <w:sz w:val="22"/>
          <w:szCs w:val="22"/>
          <w:lang w:val="sr-Latn-ME"/>
        </w:rPr>
        <w:t>ečenja sa razm</w:t>
      </w:r>
      <w:r w:rsidR="00E14297" w:rsidRPr="00801AFD">
        <w:rPr>
          <w:sz w:val="22"/>
          <w:szCs w:val="22"/>
          <w:lang w:val="sr-Latn-ME"/>
        </w:rPr>
        <w:t>j</w:t>
      </w:r>
      <w:r w:rsidRPr="00801AFD">
        <w:rPr>
          <w:sz w:val="22"/>
          <w:szCs w:val="22"/>
          <w:lang w:val="sr-Latn-ME"/>
        </w:rPr>
        <w:t>enom plazme (PE), plazmaferezom (PP) ili intr</w:t>
      </w:r>
      <w:r w:rsidR="00801AFD" w:rsidRPr="00801AFD">
        <w:rPr>
          <w:sz w:val="22"/>
          <w:szCs w:val="22"/>
          <w:lang w:val="sr-Latn-ME"/>
        </w:rPr>
        <w:t>avenskim imunoglobulinom (IVIg).</w:t>
      </w:r>
    </w:p>
    <w:p w14:paraId="0AB5717C" w14:textId="67924FA8" w:rsidR="00295F29" w:rsidRPr="00801AFD" w:rsidRDefault="00295F29" w:rsidP="00801AFD">
      <w:pPr>
        <w:pStyle w:val="Default"/>
        <w:widowControl w:val="0"/>
        <w:jc w:val="both"/>
        <w:rPr>
          <w:sz w:val="22"/>
          <w:szCs w:val="22"/>
          <w:lang w:val="sr-Latn-ME"/>
        </w:rPr>
      </w:pPr>
      <w:r w:rsidRPr="00801AFD">
        <w:rPr>
          <w:sz w:val="22"/>
          <w:szCs w:val="22"/>
          <w:lang w:val="sr-Latn-ME"/>
        </w:rPr>
        <w:t>Pokazalo se da izm</w:t>
      </w:r>
      <w:r w:rsidR="00E14297" w:rsidRPr="00801AFD">
        <w:rPr>
          <w:sz w:val="22"/>
          <w:szCs w:val="22"/>
          <w:lang w:val="sr-Latn-ME"/>
        </w:rPr>
        <w:t>j</w:t>
      </w:r>
      <w:r w:rsidRPr="00801AFD">
        <w:rPr>
          <w:sz w:val="22"/>
          <w:szCs w:val="22"/>
          <w:lang w:val="sr-Latn-ME"/>
        </w:rPr>
        <w:t>ena krvne plazme (engl. plasma exchange, PE), plazmafereza (engl.</w:t>
      </w:r>
      <w:r w:rsidR="00801AFD" w:rsidRPr="00801AFD">
        <w:rPr>
          <w:sz w:val="22"/>
          <w:szCs w:val="22"/>
          <w:lang w:val="sr-Latn-ME"/>
        </w:rPr>
        <w:t xml:space="preserve"> </w:t>
      </w:r>
      <w:r w:rsidRPr="00801AFD">
        <w:rPr>
          <w:sz w:val="22"/>
          <w:szCs w:val="22"/>
          <w:lang w:val="sr-Latn-ME"/>
        </w:rPr>
        <w:t>plasmapheresis, PP) i intravenski imunoglobulin (IVIg) smanjuju nivo ravulizumaba u serumu. Kad</w:t>
      </w:r>
      <w:r w:rsidR="00801AFD" w:rsidRPr="00801AFD">
        <w:rPr>
          <w:sz w:val="22"/>
          <w:szCs w:val="22"/>
          <w:lang w:val="sr-Latn-ME"/>
        </w:rPr>
        <w:t xml:space="preserve"> </w:t>
      </w:r>
      <w:r w:rsidRPr="00801AFD">
        <w:rPr>
          <w:sz w:val="22"/>
          <w:szCs w:val="22"/>
          <w:lang w:val="sr-Latn-ME"/>
        </w:rPr>
        <w:t xml:space="preserve">se </w:t>
      </w:r>
      <w:r w:rsidR="00801AFD" w:rsidRPr="00801AFD">
        <w:rPr>
          <w:sz w:val="22"/>
          <w:szCs w:val="22"/>
          <w:lang w:val="sr-Latn-ME"/>
        </w:rPr>
        <w:t>s</w:t>
      </w:r>
      <w:r w:rsidRPr="00801AFD">
        <w:rPr>
          <w:sz w:val="22"/>
          <w:szCs w:val="22"/>
          <w:lang w:val="sr-Latn-ME"/>
        </w:rPr>
        <w:t>provode PE, PP ili primjenjuje IVIg potrebna je dodatna doza ravulizumaba (</w:t>
      </w:r>
      <w:r w:rsidR="0061641E" w:rsidRPr="00801AFD">
        <w:rPr>
          <w:sz w:val="22"/>
          <w:szCs w:val="22"/>
          <w:lang w:val="sr-Latn-ME"/>
        </w:rPr>
        <w:t>T</w:t>
      </w:r>
      <w:r w:rsidRPr="00801AFD">
        <w:rPr>
          <w:sz w:val="22"/>
          <w:szCs w:val="22"/>
          <w:lang w:val="sr-Latn-ME"/>
        </w:rPr>
        <w:t>abela 4).</w:t>
      </w:r>
    </w:p>
    <w:p w14:paraId="206FD9F1" w14:textId="77777777" w:rsidR="00F96090" w:rsidRPr="00801AFD" w:rsidRDefault="00F96090" w:rsidP="00801AFD">
      <w:pPr>
        <w:pStyle w:val="Default"/>
        <w:widowControl w:val="0"/>
        <w:jc w:val="both"/>
        <w:rPr>
          <w:sz w:val="22"/>
          <w:szCs w:val="22"/>
          <w:lang w:val="sr-Latn-ME"/>
        </w:rPr>
      </w:pPr>
    </w:p>
    <w:p w14:paraId="3F824C63" w14:textId="01C34F32" w:rsidR="008B6280" w:rsidRPr="00801AFD" w:rsidRDefault="008B6280" w:rsidP="00801AFD">
      <w:pPr>
        <w:pStyle w:val="Default"/>
        <w:widowControl w:val="0"/>
        <w:jc w:val="both"/>
        <w:rPr>
          <w:b/>
          <w:sz w:val="22"/>
          <w:szCs w:val="22"/>
          <w:lang w:val="sr-Latn-ME"/>
        </w:rPr>
      </w:pPr>
      <w:r w:rsidRPr="00801AFD">
        <w:rPr>
          <w:b/>
          <w:sz w:val="22"/>
          <w:szCs w:val="22"/>
          <w:lang w:val="sr-Latn-ME"/>
        </w:rPr>
        <w:lastRenderedPageBreak/>
        <w:t xml:space="preserve">Tabela </w:t>
      </w:r>
      <w:r w:rsidR="00E14297" w:rsidRPr="00801AFD">
        <w:rPr>
          <w:b/>
          <w:sz w:val="22"/>
          <w:szCs w:val="22"/>
          <w:lang w:val="sr-Latn-ME"/>
        </w:rPr>
        <w:t>4</w:t>
      </w:r>
      <w:r w:rsidRPr="00801AFD">
        <w:rPr>
          <w:b/>
          <w:sz w:val="22"/>
          <w:szCs w:val="22"/>
          <w:lang w:val="sr-Latn-ME"/>
        </w:rPr>
        <w:t>: Dodatna doza ravulizumaba nakon PP, PE</w:t>
      </w:r>
      <w:r w:rsidR="0061641E" w:rsidRPr="00801AFD">
        <w:rPr>
          <w:b/>
          <w:sz w:val="22"/>
          <w:szCs w:val="22"/>
          <w:lang w:val="sr-Latn-ME"/>
        </w:rPr>
        <w:t xml:space="preserve"> </w:t>
      </w:r>
      <w:r w:rsidR="00CC510E" w:rsidRPr="00801AFD">
        <w:rPr>
          <w:b/>
          <w:sz w:val="22"/>
          <w:szCs w:val="22"/>
          <w:lang w:val="sr-Latn-ME"/>
        </w:rPr>
        <w:t>ili primjene</w:t>
      </w:r>
      <w:r w:rsidR="0061641E" w:rsidRPr="00801AFD">
        <w:rPr>
          <w:b/>
          <w:sz w:val="22"/>
          <w:szCs w:val="22"/>
          <w:lang w:val="sr-Latn-ME"/>
        </w:rPr>
        <w:t xml:space="preserve"> </w:t>
      </w:r>
      <w:r w:rsidRPr="00801AFD">
        <w:rPr>
          <w:b/>
          <w:sz w:val="22"/>
          <w:szCs w:val="22"/>
          <w:lang w:val="sr-Latn-ME"/>
        </w:rPr>
        <w:t>IVIg</w:t>
      </w:r>
    </w:p>
    <w:tbl>
      <w:tblPr>
        <w:tblStyle w:val="TableGrid"/>
        <w:tblW w:w="5000" w:type="pct"/>
        <w:tblLook w:val="04A0" w:firstRow="1" w:lastRow="0" w:firstColumn="1" w:lastColumn="0" w:noHBand="0" w:noVBand="1"/>
      </w:tblPr>
      <w:tblGrid>
        <w:gridCol w:w="1515"/>
        <w:gridCol w:w="1941"/>
        <w:gridCol w:w="2536"/>
        <w:gridCol w:w="3071"/>
      </w:tblGrid>
      <w:tr w:rsidR="008B6280" w:rsidRPr="00801AFD" w14:paraId="593C1B1D" w14:textId="77777777" w:rsidTr="00801AFD">
        <w:tc>
          <w:tcPr>
            <w:tcW w:w="0" w:type="auto"/>
          </w:tcPr>
          <w:p w14:paraId="04B93ACD" w14:textId="381ADC94" w:rsidR="008B6280" w:rsidRPr="00801AFD" w:rsidRDefault="008B6280" w:rsidP="00801AFD">
            <w:pPr>
              <w:pStyle w:val="Default"/>
              <w:widowControl w:val="0"/>
              <w:jc w:val="center"/>
              <w:rPr>
                <w:sz w:val="22"/>
                <w:szCs w:val="22"/>
                <w:lang w:val="sr-Latn-ME"/>
              </w:rPr>
            </w:pPr>
            <w:r w:rsidRPr="00801AFD">
              <w:rPr>
                <w:sz w:val="22"/>
                <w:szCs w:val="22"/>
                <w:lang w:val="sr-Latn-ME"/>
              </w:rPr>
              <w:t>Raspon t</w:t>
            </w:r>
            <w:r w:rsidR="0099493B" w:rsidRPr="00801AFD">
              <w:rPr>
                <w:sz w:val="22"/>
                <w:szCs w:val="22"/>
                <w:lang w:val="sr-Latn-ME"/>
              </w:rPr>
              <w:t>j</w:t>
            </w:r>
            <w:r w:rsidRPr="00801AFD">
              <w:rPr>
                <w:sz w:val="22"/>
                <w:szCs w:val="22"/>
                <w:lang w:val="sr-Latn-ME"/>
              </w:rPr>
              <w:t xml:space="preserve">elesne </w:t>
            </w:r>
            <w:r w:rsidR="00CC510E" w:rsidRPr="00801AFD">
              <w:rPr>
                <w:sz w:val="22"/>
                <w:szCs w:val="22"/>
                <w:lang w:val="sr-Latn-ME"/>
              </w:rPr>
              <w:t>težine</w:t>
            </w:r>
            <w:r w:rsidR="0061641E" w:rsidRPr="00801AFD">
              <w:rPr>
                <w:sz w:val="22"/>
                <w:szCs w:val="22"/>
                <w:lang w:val="sr-Latn-ME"/>
              </w:rPr>
              <w:t xml:space="preserve"> </w:t>
            </w:r>
            <w:r w:rsidRPr="00801AFD">
              <w:rPr>
                <w:sz w:val="22"/>
                <w:szCs w:val="22"/>
                <w:lang w:val="sr-Latn-ME"/>
              </w:rPr>
              <w:t>(kg)</w:t>
            </w:r>
          </w:p>
        </w:tc>
        <w:tc>
          <w:tcPr>
            <w:tcW w:w="0" w:type="auto"/>
          </w:tcPr>
          <w:p w14:paraId="51116CDD" w14:textId="4836DC14" w:rsidR="008B6280" w:rsidRPr="00801AFD" w:rsidRDefault="008B6280" w:rsidP="00801AFD">
            <w:pPr>
              <w:pStyle w:val="Default"/>
              <w:widowControl w:val="0"/>
              <w:jc w:val="center"/>
              <w:rPr>
                <w:sz w:val="22"/>
                <w:szCs w:val="22"/>
                <w:lang w:val="sr-Latn-ME"/>
              </w:rPr>
            </w:pPr>
            <w:r w:rsidRPr="00801AFD">
              <w:rPr>
                <w:sz w:val="22"/>
                <w:szCs w:val="22"/>
                <w:lang w:val="sr-Latn-ME"/>
              </w:rPr>
              <w:t>Posl</w:t>
            </w:r>
            <w:r w:rsidR="0061641E" w:rsidRPr="00801AFD">
              <w:rPr>
                <w:sz w:val="22"/>
                <w:szCs w:val="22"/>
                <w:lang w:val="sr-Latn-ME"/>
              </w:rPr>
              <w:t>j</w:t>
            </w:r>
            <w:r w:rsidRPr="00801AFD">
              <w:rPr>
                <w:sz w:val="22"/>
                <w:szCs w:val="22"/>
                <w:lang w:val="sr-Latn-ME"/>
              </w:rPr>
              <w:t>ednja doza ravulizumaba</w:t>
            </w:r>
          </w:p>
        </w:tc>
        <w:tc>
          <w:tcPr>
            <w:tcW w:w="0" w:type="auto"/>
          </w:tcPr>
          <w:p w14:paraId="248A4270"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Dodatna doza nakon svake PE ili PP intervencije</w:t>
            </w:r>
          </w:p>
        </w:tc>
        <w:tc>
          <w:tcPr>
            <w:tcW w:w="0" w:type="auto"/>
          </w:tcPr>
          <w:p w14:paraId="67238898" w14:textId="4F679575" w:rsidR="008B6280" w:rsidRPr="00801AFD" w:rsidRDefault="008B6280" w:rsidP="00801AFD">
            <w:pPr>
              <w:pStyle w:val="Default"/>
              <w:widowControl w:val="0"/>
              <w:jc w:val="center"/>
              <w:rPr>
                <w:sz w:val="22"/>
                <w:szCs w:val="22"/>
                <w:lang w:val="sr-Latn-ME"/>
              </w:rPr>
            </w:pPr>
            <w:r w:rsidRPr="00801AFD">
              <w:rPr>
                <w:sz w:val="22"/>
                <w:szCs w:val="22"/>
                <w:lang w:val="sr-Latn-ME"/>
              </w:rPr>
              <w:t>Dodatna doza (mg) nakon završetka</w:t>
            </w:r>
            <w:r w:rsidR="00CC510E" w:rsidRPr="00801AFD">
              <w:rPr>
                <w:sz w:val="22"/>
                <w:szCs w:val="22"/>
                <w:lang w:val="sr-Latn-ME"/>
              </w:rPr>
              <w:t xml:space="preserve"> primijenjenog </w:t>
            </w:r>
            <w:r w:rsidRPr="00801AFD">
              <w:rPr>
                <w:sz w:val="22"/>
                <w:szCs w:val="22"/>
                <w:lang w:val="sr-Latn-ME"/>
              </w:rPr>
              <w:t xml:space="preserve"> IVIg ciklusa</w:t>
            </w:r>
          </w:p>
        </w:tc>
      </w:tr>
      <w:tr w:rsidR="008B6280" w:rsidRPr="00801AFD" w14:paraId="0C9B2C21" w14:textId="77777777" w:rsidTr="00801AFD">
        <w:tc>
          <w:tcPr>
            <w:tcW w:w="0" w:type="auto"/>
            <w:vMerge w:val="restart"/>
          </w:tcPr>
          <w:p w14:paraId="71E916F3" w14:textId="6122779A" w:rsidR="008B6280" w:rsidRPr="00801AFD" w:rsidRDefault="008B6280" w:rsidP="00801AFD">
            <w:pPr>
              <w:pStyle w:val="Default"/>
              <w:widowControl w:val="0"/>
              <w:jc w:val="center"/>
              <w:rPr>
                <w:sz w:val="22"/>
                <w:szCs w:val="22"/>
                <w:lang w:val="sr-Latn-ME"/>
              </w:rPr>
            </w:pPr>
            <w:r w:rsidRPr="00801AFD">
              <w:rPr>
                <w:sz w:val="22"/>
                <w:szCs w:val="22"/>
                <w:lang w:val="sr-Latn-ME"/>
              </w:rPr>
              <w:t>≥ 40 to &lt; 60</w:t>
            </w:r>
          </w:p>
        </w:tc>
        <w:tc>
          <w:tcPr>
            <w:tcW w:w="0" w:type="auto"/>
          </w:tcPr>
          <w:p w14:paraId="16226C4E"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2400</w:t>
            </w:r>
          </w:p>
        </w:tc>
        <w:tc>
          <w:tcPr>
            <w:tcW w:w="0" w:type="auto"/>
          </w:tcPr>
          <w:p w14:paraId="41A1A1E9"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1200</w:t>
            </w:r>
          </w:p>
        </w:tc>
        <w:tc>
          <w:tcPr>
            <w:tcW w:w="0" w:type="auto"/>
            <w:vMerge w:val="restart"/>
          </w:tcPr>
          <w:p w14:paraId="70CD3C9C"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600</w:t>
            </w:r>
          </w:p>
        </w:tc>
      </w:tr>
      <w:tr w:rsidR="008B6280" w:rsidRPr="00801AFD" w14:paraId="10DB3AB0" w14:textId="77777777" w:rsidTr="00801AFD">
        <w:tc>
          <w:tcPr>
            <w:tcW w:w="0" w:type="auto"/>
            <w:vMerge/>
          </w:tcPr>
          <w:p w14:paraId="37F8A06A" w14:textId="77777777" w:rsidR="008B6280" w:rsidRPr="00801AFD" w:rsidRDefault="008B6280" w:rsidP="00801AFD">
            <w:pPr>
              <w:pStyle w:val="Default"/>
              <w:widowControl w:val="0"/>
              <w:jc w:val="center"/>
              <w:rPr>
                <w:sz w:val="22"/>
                <w:szCs w:val="22"/>
                <w:lang w:val="sr-Latn-ME"/>
              </w:rPr>
            </w:pPr>
          </w:p>
        </w:tc>
        <w:tc>
          <w:tcPr>
            <w:tcW w:w="0" w:type="auto"/>
          </w:tcPr>
          <w:p w14:paraId="582EE5B6"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3000</w:t>
            </w:r>
          </w:p>
        </w:tc>
        <w:tc>
          <w:tcPr>
            <w:tcW w:w="0" w:type="auto"/>
          </w:tcPr>
          <w:p w14:paraId="1A2F63D7"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1500</w:t>
            </w:r>
          </w:p>
        </w:tc>
        <w:tc>
          <w:tcPr>
            <w:tcW w:w="0" w:type="auto"/>
            <w:vMerge/>
          </w:tcPr>
          <w:p w14:paraId="2715F816" w14:textId="77777777" w:rsidR="008B6280" w:rsidRPr="00801AFD" w:rsidRDefault="008B6280" w:rsidP="00801AFD">
            <w:pPr>
              <w:pStyle w:val="Default"/>
              <w:widowControl w:val="0"/>
              <w:jc w:val="center"/>
              <w:rPr>
                <w:sz w:val="22"/>
                <w:szCs w:val="22"/>
                <w:lang w:val="sr-Latn-ME"/>
              </w:rPr>
            </w:pPr>
          </w:p>
        </w:tc>
      </w:tr>
      <w:tr w:rsidR="008B6280" w:rsidRPr="00801AFD" w14:paraId="34BBA520" w14:textId="77777777" w:rsidTr="00801AFD">
        <w:tc>
          <w:tcPr>
            <w:tcW w:w="0" w:type="auto"/>
            <w:vMerge w:val="restart"/>
          </w:tcPr>
          <w:p w14:paraId="45672B7C" w14:textId="0B921EDE" w:rsidR="008B6280" w:rsidRPr="00801AFD" w:rsidRDefault="008B6280" w:rsidP="00801AFD">
            <w:pPr>
              <w:pStyle w:val="Default"/>
              <w:widowControl w:val="0"/>
              <w:jc w:val="center"/>
              <w:rPr>
                <w:sz w:val="22"/>
                <w:szCs w:val="22"/>
                <w:lang w:val="sr-Latn-ME"/>
              </w:rPr>
            </w:pPr>
            <w:r w:rsidRPr="00801AFD">
              <w:rPr>
                <w:sz w:val="22"/>
                <w:szCs w:val="22"/>
                <w:lang w:val="sr-Latn-ME"/>
              </w:rPr>
              <w:t>≥ 60 to &lt; 100</w:t>
            </w:r>
          </w:p>
        </w:tc>
        <w:tc>
          <w:tcPr>
            <w:tcW w:w="0" w:type="auto"/>
          </w:tcPr>
          <w:p w14:paraId="21FBFAB5"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2700</w:t>
            </w:r>
          </w:p>
        </w:tc>
        <w:tc>
          <w:tcPr>
            <w:tcW w:w="0" w:type="auto"/>
          </w:tcPr>
          <w:p w14:paraId="5ACDB03E"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1500</w:t>
            </w:r>
          </w:p>
        </w:tc>
        <w:tc>
          <w:tcPr>
            <w:tcW w:w="0" w:type="auto"/>
            <w:vMerge w:val="restart"/>
          </w:tcPr>
          <w:p w14:paraId="1FEF2719"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600</w:t>
            </w:r>
          </w:p>
        </w:tc>
      </w:tr>
      <w:tr w:rsidR="008B6280" w:rsidRPr="00801AFD" w14:paraId="6D4C3BF0" w14:textId="77777777" w:rsidTr="00801AFD">
        <w:tc>
          <w:tcPr>
            <w:tcW w:w="0" w:type="auto"/>
            <w:vMerge/>
          </w:tcPr>
          <w:p w14:paraId="1DBA9B90" w14:textId="77777777" w:rsidR="008B6280" w:rsidRPr="00801AFD" w:rsidRDefault="008B6280" w:rsidP="00801AFD">
            <w:pPr>
              <w:pStyle w:val="Default"/>
              <w:widowControl w:val="0"/>
              <w:jc w:val="center"/>
              <w:rPr>
                <w:sz w:val="22"/>
                <w:szCs w:val="22"/>
                <w:lang w:val="sr-Latn-ME"/>
              </w:rPr>
            </w:pPr>
          </w:p>
        </w:tc>
        <w:tc>
          <w:tcPr>
            <w:tcW w:w="0" w:type="auto"/>
          </w:tcPr>
          <w:p w14:paraId="1AEE9C1C"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3300</w:t>
            </w:r>
          </w:p>
        </w:tc>
        <w:tc>
          <w:tcPr>
            <w:tcW w:w="0" w:type="auto"/>
          </w:tcPr>
          <w:p w14:paraId="4EE7ABDF"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1800</w:t>
            </w:r>
          </w:p>
        </w:tc>
        <w:tc>
          <w:tcPr>
            <w:tcW w:w="0" w:type="auto"/>
            <w:vMerge/>
          </w:tcPr>
          <w:p w14:paraId="28B971B7" w14:textId="77777777" w:rsidR="008B6280" w:rsidRPr="00801AFD" w:rsidRDefault="008B6280" w:rsidP="00801AFD">
            <w:pPr>
              <w:pStyle w:val="Default"/>
              <w:widowControl w:val="0"/>
              <w:jc w:val="center"/>
              <w:rPr>
                <w:sz w:val="22"/>
                <w:szCs w:val="22"/>
                <w:lang w:val="sr-Latn-ME"/>
              </w:rPr>
            </w:pPr>
          </w:p>
        </w:tc>
      </w:tr>
      <w:tr w:rsidR="008B6280" w:rsidRPr="00801AFD" w14:paraId="57E86583" w14:textId="77777777" w:rsidTr="00801AFD">
        <w:tc>
          <w:tcPr>
            <w:tcW w:w="0" w:type="auto"/>
            <w:vMerge w:val="restart"/>
          </w:tcPr>
          <w:p w14:paraId="20A46AD0"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 100</w:t>
            </w:r>
          </w:p>
        </w:tc>
        <w:tc>
          <w:tcPr>
            <w:tcW w:w="0" w:type="auto"/>
          </w:tcPr>
          <w:p w14:paraId="5EA27485"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3000</w:t>
            </w:r>
          </w:p>
        </w:tc>
        <w:tc>
          <w:tcPr>
            <w:tcW w:w="0" w:type="auto"/>
          </w:tcPr>
          <w:p w14:paraId="195CECAF"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1500</w:t>
            </w:r>
          </w:p>
        </w:tc>
        <w:tc>
          <w:tcPr>
            <w:tcW w:w="0" w:type="auto"/>
            <w:vMerge w:val="restart"/>
          </w:tcPr>
          <w:p w14:paraId="1CF0AB4D"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600</w:t>
            </w:r>
          </w:p>
        </w:tc>
      </w:tr>
      <w:tr w:rsidR="008B6280" w:rsidRPr="00801AFD" w14:paraId="24DD9F27" w14:textId="77777777" w:rsidTr="00801AFD">
        <w:tc>
          <w:tcPr>
            <w:tcW w:w="0" w:type="auto"/>
            <w:vMerge/>
          </w:tcPr>
          <w:p w14:paraId="098B49CE" w14:textId="77777777" w:rsidR="008B6280" w:rsidRPr="00801AFD" w:rsidRDefault="008B6280" w:rsidP="00801AFD">
            <w:pPr>
              <w:pStyle w:val="Default"/>
              <w:widowControl w:val="0"/>
              <w:jc w:val="center"/>
              <w:rPr>
                <w:sz w:val="22"/>
                <w:szCs w:val="22"/>
                <w:lang w:val="sr-Latn-ME"/>
              </w:rPr>
            </w:pPr>
          </w:p>
        </w:tc>
        <w:tc>
          <w:tcPr>
            <w:tcW w:w="0" w:type="auto"/>
          </w:tcPr>
          <w:p w14:paraId="3F9B16F0"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3600</w:t>
            </w:r>
          </w:p>
        </w:tc>
        <w:tc>
          <w:tcPr>
            <w:tcW w:w="0" w:type="auto"/>
          </w:tcPr>
          <w:p w14:paraId="3BCBCA62"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1800</w:t>
            </w:r>
          </w:p>
        </w:tc>
        <w:tc>
          <w:tcPr>
            <w:tcW w:w="0" w:type="auto"/>
            <w:vMerge/>
          </w:tcPr>
          <w:p w14:paraId="141FD93C" w14:textId="77777777" w:rsidR="008B6280" w:rsidRPr="00801AFD" w:rsidRDefault="008B6280" w:rsidP="00801AFD">
            <w:pPr>
              <w:pStyle w:val="Default"/>
              <w:widowControl w:val="0"/>
              <w:jc w:val="center"/>
              <w:rPr>
                <w:sz w:val="22"/>
                <w:szCs w:val="22"/>
                <w:lang w:val="sr-Latn-ME"/>
              </w:rPr>
            </w:pPr>
          </w:p>
        </w:tc>
      </w:tr>
      <w:tr w:rsidR="008B6280" w:rsidRPr="00801AFD" w14:paraId="6E8C665A" w14:textId="77777777" w:rsidTr="00801AFD">
        <w:tc>
          <w:tcPr>
            <w:tcW w:w="0" w:type="auto"/>
            <w:gridSpan w:val="2"/>
          </w:tcPr>
          <w:p w14:paraId="652F522A" w14:textId="5523CE1E" w:rsidR="008B6280" w:rsidRPr="00801AFD" w:rsidRDefault="008B6280" w:rsidP="00801AFD">
            <w:pPr>
              <w:pStyle w:val="Default"/>
              <w:widowControl w:val="0"/>
              <w:jc w:val="center"/>
              <w:rPr>
                <w:sz w:val="22"/>
                <w:szCs w:val="22"/>
                <w:lang w:val="sr-Latn-ME"/>
              </w:rPr>
            </w:pPr>
            <w:r w:rsidRPr="00801AFD">
              <w:rPr>
                <w:sz w:val="22"/>
                <w:szCs w:val="22"/>
                <w:lang w:val="sr-Latn-ME"/>
              </w:rPr>
              <w:t>Vr</w:t>
            </w:r>
            <w:r w:rsidR="0061641E" w:rsidRPr="00801AFD">
              <w:rPr>
                <w:sz w:val="22"/>
                <w:szCs w:val="22"/>
                <w:lang w:val="sr-Latn-ME"/>
              </w:rPr>
              <w:t>ij</w:t>
            </w:r>
            <w:r w:rsidRPr="00801AFD">
              <w:rPr>
                <w:sz w:val="22"/>
                <w:szCs w:val="22"/>
                <w:lang w:val="sr-Latn-ME"/>
              </w:rPr>
              <w:t>eme za dodatnu dozu ravulizumaba</w:t>
            </w:r>
          </w:p>
        </w:tc>
        <w:tc>
          <w:tcPr>
            <w:tcW w:w="0" w:type="auto"/>
          </w:tcPr>
          <w:p w14:paraId="636FFB88"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U roku od 4 sata nakon svake PE ili PP intervencije</w:t>
            </w:r>
          </w:p>
        </w:tc>
        <w:tc>
          <w:tcPr>
            <w:tcW w:w="0" w:type="auto"/>
          </w:tcPr>
          <w:p w14:paraId="5A118E49" w14:textId="77777777" w:rsidR="008B6280" w:rsidRPr="00801AFD" w:rsidRDefault="008B6280" w:rsidP="00801AFD">
            <w:pPr>
              <w:pStyle w:val="Default"/>
              <w:widowControl w:val="0"/>
              <w:jc w:val="center"/>
              <w:rPr>
                <w:sz w:val="22"/>
                <w:szCs w:val="22"/>
                <w:lang w:val="sr-Latn-ME"/>
              </w:rPr>
            </w:pPr>
            <w:r w:rsidRPr="00801AFD">
              <w:rPr>
                <w:sz w:val="22"/>
                <w:szCs w:val="22"/>
                <w:lang w:val="sr-Latn-ME"/>
              </w:rPr>
              <w:t>U roku od 4 sata nakon završenog IVIg ciklusa</w:t>
            </w:r>
          </w:p>
        </w:tc>
      </w:tr>
    </w:tbl>
    <w:p w14:paraId="1B3F70C0" w14:textId="77777777" w:rsidR="008B6280" w:rsidRPr="00801AFD" w:rsidRDefault="008B6280" w:rsidP="00801AFD">
      <w:pPr>
        <w:pStyle w:val="Default"/>
        <w:widowControl w:val="0"/>
        <w:jc w:val="both"/>
        <w:rPr>
          <w:sz w:val="20"/>
          <w:szCs w:val="22"/>
          <w:lang w:val="sr-Latn-ME"/>
        </w:rPr>
      </w:pPr>
      <w:r w:rsidRPr="00801AFD">
        <w:rPr>
          <w:sz w:val="20"/>
          <w:szCs w:val="22"/>
          <w:lang w:val="sr-Latn-ME"/>
        </w:rPr>
        <w:t>Skraćenice: IVIg= intravenski imunoglobulin, kg= kilogram, PE= razmena plazme, PP= plazma fereza</w:t>
      </w:r>
    </w:p>
    <w:p w14:paraId="2B43AB86" w14:textId="77777777" w:rsidR="00E14297" w:rsidRPr="00801AFD" w:rsidRDefault="00E14297" w:rsidP="00801AFD">
      <w:pPr>
        <w:pStyle w:val="Default"/>
        <w:widowControl w:val="0"/>
        <w:jc w:val="both"/>
        <w:rPr>
          <w:b/>
          <w:bCs/>
          <w:i/>
          <w:iCs/>
          <w:sz w:val="22"/>
          <w:szCs w:val="22"/>
          <w:highlight w:val="yellow"/>
          <w:lang w:val="sr-Latn-ME"/>
        </w:rPr>
      </w:pPr>
    </w:p>
    <w:p w14:paraId="0DB79E95" w14:textId="0855EF0D" w:rsidR="00E14297" w:rsidRPr="00801AFD" w:rsidRDefault="00E14297" w:rsidP="00801AFD">
      <w:pPr>
        <w:pStyle w:val="Default"/>
        <w:widowControl w:val="0"/>
        <w:jc w:val="both"/>
        <w:rPr>
          <w:b/>
          <w:bCs/>
          <w:i/>
          <w:iCs/>
          <w:sz w:val="22"/>
          <w:szCs w:val="22"/>
          <w:lang w:val="sr-Latn-ME"/>
        </w:rPr>
      </w:pPr>
      <w:r w:rsidRPr="00801AFD">
        <w:rPr>
          <w:b/>
          <w:bCs/>
          <w:i/>
          <w:iCs/>
          <w:sz w:val="22"/>
          <w:szCs w:val="22"/>
          <w:lang w:val="sr-Latn-ME"/>
        </w:rPr>
        <w:t>Prelaz sa liječenja intravenskom formulacijom ravulizumaba na su</w:t>
      </w:r>
      <w:r w:rsidR="0061641E" w:rsidRPr="00801AFD">
        <w:rPr>
          <w:b/>
          <w:bCs/>
          <w:i/>
          <w:iCs/>
          <w:sz w:val="22"/>
          <w:szCs w:val="22"/>
          <w:lang w:val="sr-Latn-ME"/>
        </w:rPr>
        <w:t>b</w:t>
      </w:r>
      <w:r w:rsidRPr="00801AFD">
        <w:rPr>
          <w:b/>
          <w:bCs/>
          <w:i/>
          <w:iCs/>
          <w:sz w:val="22"/>
          <w:szCs w:val="22"/>
          <w:lang w:val="sr-Latn-ME"/>
        </w:rPr>
        <w:t>kutanu formulaciju ravulizumaba</w:t>
      </w:r>
    </w:p>
    <w:p w14:paraId="63C08BDB" w14:textId="77777777" w:rsidR="00801AFD" w:rsidRPr="00801AFD" w:rsidRDefault="00801AFD" w:rsidP="00801AFD">
      <w:pPr>
        <w:pStyle w:val="Default"/>
        <w:widowControl w:val="0"/>
        <w:jc w:val="both"/>
        <w:rPr>
          <w:sz w:val="22"/>
          <w:szCs w:val="22"/>
          <w:lang w:val="sr-Latn-ME"/>
        </w:rPr>
      </w:pPr>
    </w:p>
    <w:p w14:paraId="4A4C9B3D" w14:textId="5FA52057" w:rsidR="00E14297" w:rsidRPr="00801AFD" w:rsidRDefault="00E14297" w:rsidP="00801AFD">
      <w:pPr>
        <w:pStyle w:val="Default"/>
        <w:widowControl w:val="0"/>
        <w:jc w:val="both"/>
        <w:rPr>
          <w:sz w:val="22"/>
          <w:szCs w:val="22"/>
          <w:lang w:val="sr-Latn-ME"/>
        </w:rPr>
      </w:pPr>
      <w:r w:rsidRPr="00801AFD">
        <w:rPr>
          <w:sz w:val="22"/>
          <w:szCs w:val="22"/>
          <w:lang w:val="sr-Latn-ME"/>
        </w:rPr>
        <w:t>U fazi terapije održavanja, a u dogovoru sa svojim nadležnim ljekarom, odrasli pacijenti sa PNH-om</w:t>
      </w:r>
      <w:r w:rsidR="00801AFD" w:rsidRPr="00801AFD">
        <w:rPr>
          <w:sz w:val="22"/>
          <w:szCs w:val="22"/>
          <w:lang w:val="sr-Latn-ME"/>
        </w:rPr>
        <w:t xml:space="preserve"> </w:t>
      </w:r>
      <w:r w:rsidRPr="00801AFD">
        <w:rPr>
          <w:sz w:val="22"/>
          <w:szCs w:val="22"/>
          <w:lang w:val="sr-Latn-ME"/>
        </w:rPr>
        <w:t>ili aHUS-om liječeni intravenskom formulacijom ravulizumaba imaju mogućnost preći na liječenje</w:t>
      </w:r>
      <w:r w:rsidR="00801AFD" w:rsidRPr="00801AFD">
        <w:rPr>
          <w:sz w:val="22"/>
          <w:szCs w:val="22"/>
          <w:lang w:val="sr-Latn-ME"/>
        </w:rPr>
        <w:t xml:space="preserve"> </w:t>
      </w:r>
      <w:r w:rsidRPr="00801AFD">
        <w:rPr>
          <w:sz w:val="22"/>
          <w:szCs w:val="22"/>
          <w:lang w:val="sr-Latn-ME"/>
        </w:rPr>
        <w:t>su</w:t>
      </w:r>
      <w:r w:rsidR="0061641E" w:rsidRPr="00801AFD">
        <w:rPr>
          <w:sz w:val="22"/>
          <w:szCs w:val="22"/>
          <w:lang w:val="sr-Latn-ME"/>
        </w:rPr>
        <w:t>b</w:t>
      </w:r>
      <w:r w:rsidRPr="00801AFD">
        <w:rPr>
          <w:sz w:val="22"/>
          <w:szCs w:val="22"/>
          <w:lang w:val="sr-Latn-ME"/>
        </w:rPr>
        <w:t>kutanom formulacijom ravulizumaba. Preporuke o doziranju su</w:t>
      </w:r>
      <w:r w:rsidR="0061641E" w:rsidRPr="00801AFD">
        <w:rPr>
          <w:sz w:val="22"/>
          <w:szCs w:val="22"/>
          <w:lang w:val="sr-Latn-ME"/>
        </w:rPr>
        <w:t>b</w:t>
      </w:r>
      <w:r w:rsidRPr="00801AFD">
        <w:rPr>
          <w:sz w:val="22"/>
          <w:szCs w:val="22"/>
          <w:lang w:val="sr-Latn-ME"/>
        </w:rPr>
        <w:t>kutane doze održavanja nalaze se</w:t>
      </w:r>
      <w:r w:rsidR="00801AFD" w:rsidRPr="00801AFD">
        <w:rPr>
          <w:sz w:val="22"/>
          <w:szCs w:val="22"/>
          <w:lang w:val="sr-Latn-ME"/>
        </w:rPr>
        <w:t xml:space="preserve"> </w:t>
      </w:r>
      <w:r w:rsidRPr="00801AFD">
        <w:rPr>
          <w:sz w:val="22"/>
          <w:szCs w:val="22"/>
          <w:lang w:val="sr-Latn-ME"/>
        </w:rPr>
        <w:t xml:space="preserve">u dijelu 4.2 Šažetka karakteristika lijeka za lijek Ultomiris, rastvor za injekciju. </w:t>
      </w:r>
    </w:p>
    <w:p w14:paraId="421BAA99" w14:textId="083E76D3" w:rsidR="00E14297" w:rsidRPr="00801AFD" w:rsidRDefault="00E14297" w:rsidP="00801AFD">
      <w:pPr>
        <w:pStyle w:val="Default"/>
        <w:widowControl w:val="0"/>
        <w:jc w:val="both"/>
        <w:rPr>
          <w:sz w:val="22"/>
          <w:szCs w:val="22"/>
          <w:lang w:val="sr-Latn-ME"/>
        </w:rPr>
      </w:pPr>
      <w:r w:rsidRPr="00801AFD">
        <w:rPr>
          <w:sz w:val="22"/>
          <w:szCs w:val="22"/>
          <w:lang w:val="sr-Latn-ME"/>
        </w:rPr>
        <w:t>Uputstva za započinjanje liječenja su</w:t>
      </w:r>
      <w:r w:rsidR="0061641E" w:rsidRPr="00801AFD">
        <w:rPr>
          <w:sz w:val="22"/>
          <w:szCs w:val="22"/>
          <w:lang w:val="sr-Latn-ME"/>
        </w:rPr>
        <w:t>b</w:t>
      </w:r>
      <w:r w:rsidRPr="00801AFD">
        <w:rPr>
          <w:sz w:val="22"/>
          <w:szCs w:val="22"/>
          <w:lang w:val="sr-Latn-ME"/>
        </w:rPr>
        <w:t>kutanom formulacijom ravulizumaba kod pacijenata liječenih</w:t>
      </w:r>
      <w:r w:rsidR="00801AFD" w:rsidRPr="00801AFD">
        <w:rPr>
          <w:sz w:val="22"/>
          <w:szCs w:val="22"/>
          <w:lang w:val="sr-Latn-ME"/>
        </w:rPr>
        <w:t xml:space="preserve"> </w:t>
      </w:r>
      <w:r w:rsidRPr="00801AFD">
        <w:rPr>
          <w:sz w:val="22"/>
          <w:szCs w:val="22"/>
          <w:lang w:val="sr-Latn-ME"/>
        </w:rPr>
        <w:t xml:space="preserve">intravenskom formulacijom ravulizumaba prikazane su u </w:t>
      </w:r>
      <w:r w:rsidR="0061641E" w:rsidRPr="00801AFD">
        <w:rPr>
          <w:sz w:val="22"/>
          <w:szCs w:val="22"/>
          <w:lang w:val="sr-Latn-ME"/>
        </w:rPr>
        <w:t>T</w:t>
      </w:r>
      <w:r w:rsidRPr="00801AFD">
        <w:rPr>
          <w:sz w:val="22"/>
          <w:szCs w:val="22"/>
          <w:lang w:val="sr-Latn-ME"/>
        </w:rPr>
        <w:t>abeli 5.</w:t>
      </w:r>
    </w:p>
    <w:p w14:paraId="3A6C96E9" w14:textId="77777777" w:rsidR="00E14297" w:rsidRPr="00801AFD" w:rsidRDefault="00E14297" w:rsidP="00801AFD">
      <w:pPr>
        <w:pStyle w:val="Default"/>
        <w:widowControl w:val="0"/>
        <w:jc w:val="both"/>
        <w:rPr>
          <w:sz w:val="22"/>
          <w:szCs w:val="22"/>
          <w:lang w:val="sr-Latn-ME"/>
        </w:rPr>
      </w:pPr>
    </w:p>
    <w:p w14:paraId="7F9BF79A" w14:textId="730846E2" w:rsidR="003A658B" w:rsidRPr="00801AFD" w:rsidRDefault="00E14297" w:rsidP="00801AFD">
      <w:pPr>
        <w:pStyle w:val="Default"/>
        <w:widowControl w:val="0"/>
        <w:jc w:val="both"/>
        <w:rPr>
          <w:b/>
          <w:sz w:val="22"/>
          <w:szCs w:val="22"/>
          <w:lang w:val="sr-Latn-ME"/>
        </w:rPr>
      </w:pPr>
      <w:r w:rsidRPr="00801AFD">
        <w:rPr>
          <w:b/>
          <w:sz w:val="22"/>
          <w:szCs w:val="22"/>
          <w:lang w:val="sr-Latn-ME"/>
        </w:rPr>
        <w:t>Tabela 5: Uputsva za započinjanje liječenja su</w:t>
      </w:r>
      <w:r w:rsidR="0061641E" w:rsidRPr="00801AFD">
        <w:rPr>
          <w:b/>
          <w:sz w:val="22"/>
          <w:szCs w:val="22"/>
          <w:lang w:val="sr-Latn-ME"/>
        </w:rPr>
        <w:t>b</w:t>
      </w:r>
      <w:r w:rsidRPr="00801AFD">
        <w:rPr>
          <w:b/>
          <w:sz w:val="22"/>
          <w:szCs w:val="22"/>
          <w:lang w:val="sr-Latn-ME"/>
        </w:rPr>
        <w:t>kutanom formulacijom ravulizumaba (odrasli</w:t>
      </w:r>
      <w:r w:rsidR="00801AFD" w:rsidRPr="00801AFD">
        <w:rPr>
          <w:b/>
          <w:sz w:val="22"/>
          <w:szCs w:val="22"/>
          <w:lang w:val="sr-Latn-ME"/>
        </w:rPr>
        <w:t xml:space="preserve"> </w:t>
      </w:r>
      <w:r w:rsidRPr="00801AFD">
        <w:rPr>
          <w:b/>
          <w:sz w:val="22"/>
          <w:szCs w:val="22"/>
          <w:lang w:val="sr-Latn-ME"/>
        </w:rPr>
        <w:t>bolesnici sa PNH-om ili aHUS-om</w:t>
      </w:r>
    </w:p>
    <w:tbl>
      <w:tblPr>
        <w:tblpPr w:leftFromText="180" w:rightFromText="180" w:vertAnchor="text" w:horzAnchor="margin" w:tblpY="1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3006"/>
        <w:gridCol w:w="3403"/>
      </w:tblGrid>
      <w:tr w:rsidR="00E14297" w:rsidRPr="00801AFD" w14:paraId="37791697" w14:textId="77777777" w:rsidTr="00801AFD">
        <w:tc>
          <w:tcPr>
            <w:tcW w:w="0" w:type="auto"/>
          </w:tcPr>
          <w:p w14:paraId="10354588" w14:textId="77777777" w:rsidR="00E14297" w:rsidRPr="00801AFD" w:rsidRDefault="00E14297" w:rsidP="00801AFD">
            <w:pPr>
              <w:widowControl w:val="0"/>
              <w:tabs>
                <w:tab w:val="left" w:pos="567"/>
              </w:tabs>
              <w:spacing w:line="260" w:lineRule="exact"/>
              <w:jc w:val="both"/>
              <w:rPr>
                <w:rFonts w:eastAsia="SimSun"/>
                <w:i/>
                <w:sz w:val="22"/>
                <w:szCs w:val="22"/>
                <w:lang w:val="sr-Latn-ME"/>
              </w:rPr>
            </w:pPr>
            <w:r w:rsidRPr="00801AFD">
              <w:rPr>
                <w:rFonts w:eastAsia="SimSun"/>
                <w:b/>
                <w:bCs/>
                <w:sz w:val="22"/>
                <w:szCs w:val="22"/>
                <w:lang w:val="sr-Latn-ME"/>
              </w:rPr>
              <w:t>Populacija</w:t>
            </w:r>
          </w:p>
        </w:tc>
        <w:tc>
          <w:tcPr>
            <w:tcW w:w="0" w:type="auto"/>
          </w:tcPr>
          <w:p w14:paraId="6BBAF478" w14:textId="28FD4759" w:rsidR="00E14297" w:rsidRPr="00801AFD" w:rsidRDefault="00E14297" w:rsidP="00801AFD">
            <w:pPr>
              <w:widowControl w:val="0"/>
              <w:tabs>
                <w:tab w:val="left" w:pos="567"/>
              </w:tabs>
              <w:spacing w:line="260" w:lineRule="exact"/>
              <w:jc w:val="both"/>
              <w:rPr>
                <w:rFonts w:eastAsia="SimSun"/>
                <w:sz w:val="22"/>
                <w:szCs w:val="22"/>
                <w:lang w:val="sr-Latn-ME"/>
              </w:rPr>
            </w:pPr>
            <w:r w:rsidRPr="00801AFD">
              <w:rPr>
                <w:rFonts w:eastAsia="SimSun"/>
                <w:b/>
                <w:bCs/>
                <w:sz w:val="22"/>
                <w:szCs w:val="22"/>
                <w:lang w:val="sr-Latn-ME"/>
              </w:rPr>
              <w:t>Udarna intravenska doza</w:t>
            </w:r>
            <w:r w:rsidR="00801AFD" w:rsidRPr="00801AFD">
              <w:rPr>
                <w:rFonts w:eastAsia="SimSun"/>
                <w:b/>
                <w:bCs/>
                <w:sz w:val="22"/>
                <w:szCs w:val="22"/>
                <w:lang w:val="sr-Latn-ME"/>
              </w:rPr>
              <w:t xml:space="preserve"> </w:t>
            </w:r>
            <w:r w:rsidRPr="00801AFD">
              <w:rPr>
                <w:rFonts w:eastAsia="SimSun"/>
                <w:b/>
                <w:bCs/>
                <w:sz w:val="22"/>
                <w:szCs w:val="22"/>
                <w:lang w:val="sr-Latn-ME"/>
              </w:rPr>
              <w:t>ravulizumaba zasniva se na</w:t>
            </w:r>
            <w:r w:rsidR="00801AFD" w:rsidRPr="00801AFD">
              <w:rPr>
                <w:rFonts w:eastAsia="SimSun"/>
                <w:b/>
                <w:bCs/>
                <w:sz w:val="22"/>
                <w:szCs w:val="22"/>
                <w:lang w:val="sr-Latn-ME"/>
              </w:rPr>
              <w:t xml:space="preserve"> </w:t>
            </w:r>
            <w:r w:rsidRPr="00801AFD">
              <w:rPr>
                <w:rFonts w:eastAsia="SimSun"/>
                <w:b/>
                <w:bCs/>
                <w:sz w:val="22"/>
                <w:szCs w:val="22"/>
                <w:lang w:val="sr-Latn-ME"/>
              </w:rPr>
              <w:t>t</w:t>
            </w:r>
            <w:r w:rsidR="0061641E" w:rsidRPr="00801AFD">
              <w:rPr>
                <w:rFonts w:eastAsia="SimSun"/>
                <w:b/>
                <w:bCs/>
                <w:sz w:val="22"/>
                <w:szCs w:val="22"/>
                <w:lang w:val="sr-Latn-ME"/>
              </w:rPr>
              <w:t>j</w:t>
            </w:r>
            <w:r w:rsidRPr="00801AFD">
              <w:rPr>
                <w:rFonts w:eastAsia="SimSun"/>
                <w:b/>
                <w:bCs/>
                <w:sz w:val="22"/>
                <w:szCs w:val="22"/>
                <w:lang w:val="sr-Latn-ME"/>
              </w:rPr>
              <w:t xml:space="preserve">elesnoj težini </w:t>
            </w:r>
          </w:p>
        </w:tc>
        <w:tc>
          <w:tcPr>
            <w:tcW w:w="0" w:type="auto"/>
          </w:tcPr>
          <w:p w14:paraId="34E45AB8" w14:textId="0E8B248E" w:rsidR="00E14297" w:rsidRPr="00801AFD" w:rsidRDefault="00E14297" w:rsidP="00801AFD">
            <w:pPr>
              <w:widowControl w:val="0"/>
              <w:tabs>
                <w:tab w:val="left" w:pos="567"/>
              </w:tabs>
              <w:spacing w:line="260" w:lineRule="exact"/>
              <w:jc w:val="both"/>
              <w:rPr>
                <w:rFonts w:eastAsia="SimSun"/>
                <w:sz w:val="22"/>
                <w:szCs w:val="22"/>
                <w:lang w:val="sr-Latn-ME"/>
              </w:rPr>
            </w:pPr>
            <w:r w:rsidRPr="00801AFD">
              <w:rPr>
                <w:rFonts w:eastAsia="SimSun"/>
                <w:b/>
                <w:bCs/>
                <w:sz w:val="22"/>
                <w:szCs w:val="22"/>
                <w:lang w:val="sr-Latn-ME"/>
              </w:rPr>
              <w:t>Vr</w:t>
            </w:r>
            <w:r w:rsidR="0061641E" w:rsidRPr="00801AFD">
              <w:rPr>
                <w:rFonts w:eastAsia="SimSun"/>
                <w:b/>
                <w:bCs/>
                <w:sz w:val="22"/>
                <w:szCs w:val="22"/>
                <w:lang w:val="sr-Latn-ME"/>
              </w:rPr>
              <w:t>ij</w:t>
            </w:r>
            <w:r w:rsidRPr="00801AFD">
              <w:rPr>
                <w:rFonts w:eastAsia="SimSun"/>
                <w:b/>
                <w:bCs/>
                <w:sz w:val="22"/>
                <w:szCs w:val="22"/>
                <w:lang w:val="sr-Latn-ME"/>
              </w:rPr>
              <w:t>eme prim</w:t>
            </w:r>
            <w:r w:rsidR="0061641E" w:rsidRPr="00801AFD">
              <w:rPr>
                <w:rFonts w:eastAsia="SimSun"/>
                <w:b/>
                <w:bCs/>
                <w:sz w:val="22"/>
                <w:szCs w:val="22"/>
                <w:lang w:val="sr-Latn-ME"/>
              </w:rPr>
              <w:t>j</w:t>
            </w:r>
            <w:r w:rsidRPr="00801AFD">
              <w:rPr>
                <w:rFonts w:eastAsia="SimSun"/>
                <w:b/>
                <w:bCs/>
                <w:sz w:val="22"/>
                <w:szCs w:val="22"/>
                <w:lang w:val="sr-Latn-ME"/>
              </w:rPr>
              <w:t>ene prve su</w:t>
            </w:r>
            <w:r w:rsidR="0061641E" w:rsidRPr="00801AFD">
              <w:rPr>
                <w:rFonts w:eastAsia="SimSun"/>
                <w:b/>
                <w:bCs/>
                <w:sz w:val="22"/>
                <w:szCs w:val="22"/>
                <w:lang w:val="sr-Latn-ME"/>
              </w:rPr>
              <w:t>b</w:t>
            </w:r>
            <w:r w:rsidRPr="00801AFD">
              <w:rPr>
                <w:rFonts w:eastAsia="SimSun"/>
                <w:b/>
                <w:bCs/>
                <w:sz w:val="22"/>
                <w:szCs w:val="22"/>
                <w:lang w:val="sr-Latn-ME"/>
              </w:rPr>
              <w:t>kutane doze</w:t>
            </w:r>
            <w:r w:rsidR="00801AFD" w:rsidRPr="00801AFD">
              <w:rPr>
                <w:rFonts w:eastAsia="SimSun"/>
                <w:b/>
                <w:bCs/>
                <w:sz w:val="22"/>
                <w:szCs w:val="22"/>
                <w:lang w:val="sr-Latn-ME"/>
              </w:rPr>
              <w:t xml:space="preserve"> </w:t>
            </w:r>
            <w:r w:rsidRPr="00801AFD">
              <w:rPr>
                <w:rFonts w:eastAsia="SimSun"/>
                <w:b/>
                <w:bCs/>
                <w:sz w:val="22"/>
                <w:szCs w:val="22"/>
                <w:lang w:val="sr-Latn-ME"/>
              </w:rPr>
              <w:t>održavanja ravulizumabom od 490 mg</w:t>
            </w:r>
          </w:p>
        </w:tc>
      </w:tr>
      <w:tr w:rsidR="00E14297" w:rsidRPr="00801AFD" w14:paraId="7B407ECE" w14:textId="77777777" w:rsidTr="00801AFD">
        <w:tc>
          <w:tcPr>
            <w:tcW w:w="0" w:type="auto"/>
          </w:tcPr>
          <w:p w14:paraId="258EB71F" w14:textId="69666434" w:rsidR="00E14297" w:rsidRPr="00801AFD" w:rsidRDefault="00E14297" w:rsidP="00801AFD">
            <w:pPr>
              <w:widowControl w:val="0"/>
              <w:tabs>
                <w:tab w:val="left" w:pos="567"/>
              </w:tabs>
              <w:spacing w:line="260" w:lineRule="exact"/>
              <w:jc w:val="both"/>
              <w:rPr>
                <w:rFonts w:eastAsia="SimSun"/>
                <w:sz w:val="22"/>
                <w:szCs w:val="22"/>
                <w:lang w:val="sr-Latn-ME"/>
              </w:rPr>
            </w:pPr>
            <w:r w:rsidRPr="00801AFD">
              <w:rPr>
                <w:rFonts w:eastAsia="SimSun"/>
                <w:sz w:val="22"/>
                <w:szCs w:val="22"/>
                <w:lang w:val="sr-Latn-ME"/>
              </w:rPr>
              <w:t>Trenutačno se l</w:t>
            </w:r>
            <w:r w:rsidR="0061641E" w:rsidRPr="00801AFD">
              <w:rPr>
                <w:rFonts w:eastAsia="SimSun"/>
                <w:sz w:val="22"/>
                <w:szCs w:val="22"/>
                <w:lang w:val="sr-Latn-ME"/>
              </w:rPr>
              <w:t>ij</w:t>
            </w:r>
            <w:r w:rsidRPr="00801AFD">
              <w:rPr>
                <w:rFonts w:eastAsia="SimSun"/>
                <w:sz w:val="22"/>
                <w:szCs w:val="22"/>
                <w:lang w:val="sr-Latn-ME"/>
              </w:rPr>
              <w:t>eči</w:t>
            </w:r>
            <w:r w:rsidR="00801AFD" w:rsidRPr="00801AFD">
              <w:rPr>
                <w:rFonts w:eastAsia="SimSun"/>
                <w:sz w:val="22"/>
                <w:szCs w:val="22"/>
                <w:lang w:val="sr-Latn-ME"/>
              </w:rPr>
              <w:t xml:space="preserve"> </w:t>
            </w:r>
            <w:r w:rsidRPr="00801AFD">
              <w:rPr>
                <w:rFonts w:eastAsia="SimSun"/>
                <w:sz w:val="22"/>
                <w:szCs w:val="22"/>
                <w:lang w:val="sr-Latn-ME"/>
              </w:rPr>
              <w:t>intravenskom formulacijom</w:t>
            </w:r>
            <w:r w:rsidR="00801AFD" w:rsidRPr="00801AFD">
              <w:rPr>
                <w:rFonts w:eastAsia="SimSun"/>
                <w:sz w:val="22"/>
                <w:szCs w:val="22"/>
                <w:lang w:val="sr-Latn-ME"/>
              </w:rPr>
              <w:t xml:space="preserve"> </w:t>
            </w:r>
            <w:r w:rsidRPr="00801AFD">
              <w:rPr>
                <w:rFonts w:eastAsia="SimSun"/>
                <w:sz w:val="22"/>
                <w:szCs w:val="22"/>
                <w:lang w:val="sr-Latn-ME"/>
              </w:rPr>
              <w:t>ravulizumaba</w:t>
            </w:r>
          </w:p>
        </w:tc>
        <w:tc>
          <w:tcPr>
            <w:tcW w:w="0" w:type="auto"/>
          </w:tcPr>
          <w:p w14:paraId="6F13E8B7" w14:textId="77777777" w:rsidR="00E14297" w:rsidRPr="00801AFD" w:rsidRDefault="00E14297" w:rsidP="00801AFD">
            <w:pPr>
              <w:widowControl w:val="0"/>
              <w:tabs>
                <w:tab w:val="left" w:pos="567"/>
              </w:tabs>
              <w:spacing w:line="260" w:lineRule="exact"/>
              <w:jc w:val="both"/>
              <w:rPr>
                <w:rFonts w:eastAsia="SimSun"/>
                <w:sz w:val="22"/>
                <w:szCs w:val="22"/>
                <w:lang w:val="sr-Latn-ME"/>
              </w:rPr>
            </w:pPr>
            <w:r w:rsidRPr="00801AFD">
              <w:rPr>
                <w:rFonts w:eastAsia="SimSun"/>
                <w:sz w:val="22"/>
                <w:szCs w:val="22"/>
                <w:lang w:val="sr-Latn-ME"/>
              </w:rPr>
              <w:t>Nije primenjivo</w:t>
            </w:r>
          </w:p>
        </w:tc>
        <w:tc>
          <w:tcPr>
            <w:tcW w:w="0" w:type="auto"/>
          </w:tcPr>
          <w:p w14:paraId="77BF26CD" w14:textId="31AAA9C1" w:rsidR="00E14297" w:rsidRPr="00801AFD" w:rsidRDefault="00E14297" w:rsidP="00801AFD">
            <w:pPr>
              <w:widowControl w:val="0"/>
              <w:tabs>
                <w:tab w:val="left" w:pos="567"/>
              </w:tabs>
              <w:spacing w:line="260" w:lineRule="exact"/>
              <w:jc w:val="both"/>
              <w:rPr>
                <w:rFonts w:eastAsia="SimSun"/>
                <w:sz w:val="22"/>
                <w:szCs w:val="22"/>
                <w:lang w:val="sr-Latn-ME"/>
              </w:rPr>
            </w:pPr>
            <w:r w:rsidRPr="00801AFD">
              <w:rPr>
                <w:rFonts w:eastAsia="SimSun"/>
                <w:sz w:val="22"/>
                <w:szCs w:val="22"/>
                <w:lang w:val="sr-Latn-ME"/>
              </w:rPr>
              <w:t>8 ned</w:t>
            </w:r>
            <w:r w:rsidR="0061641E" w:rsidRPr="00801AFD">
              <w:rPr>
                <w:rFonts w:eastAsia="SimSun"/>
                <w:sz w:val="22"/>
                <w:szCs w:val="22"/>
                <w:lang w:val="sr-Latn-ME"/>
              </w:rPr>
              <w:t>j</w:t>
            </w:r>
            <w:r w:rsidRPr="00801AFD">
              <w:rPr>
                <w:rFonts w:eastAsia="SimSun"/>
                <w:sz w:val="22"/>
                <w:szCs w:val="22"/>
                <w:lang w:val="sr-Latn-ME"/>
              </w:rPr>
              <w:t>elja nakon posl</w:t>
            </w:r>
            <w:r w:rsidR="0061641E" w:rsidRPr="00801AFD">
              <w:rPr>
                <w:rFonts w:eastAsia="SimSun"/>
                <w:sz w:val="22"/>
                <w:szCs w:val="22"/>
                <w:lang w:val="sr-Latn-ME"/>
              </w:rPr>
              <w:t>j</w:t>
            </w:r>
            <w:r w:rsidRPr="00801AFD">
              <w:rPr>
                <w:rFonts w:eastAsia="SimSun"/>
                <w:sz w:val="22"/>
                <w:szCs w:val="22"/>
                <w:lang w:val="sr-Latn-ME"/>
              </w:rPr>
              <w:t>ednje intravenske doze</w:t>
            </w:r>
            <w:r w:rsidR="00801AFD" w:rsidRPr="00801AFD">
              <w:rPr>
                <w:rFonts w:eastAsia="SimSun"/>
                <w:sz w:val="22"/>
                <w:szCs w:val="22"/>
                <w:lang w:val="sr-Latn-ME"/>
              </w:rPr>
              <w:t xml:space="preserve"> </w:t>
            </w:r>
            <w:r w:rsidRPr="00801AFD">
              <w:rPr>
                <w:rFonts w:eastAsia="SimSun"/>
                <w:sz w:val="22"/>
                <w:szCs w:val="22"/>
                <w:lang w:val="sr-Latn-ME"/>
              </w:rPr>
              <w:t>održavanja ravulizumabom</w:t>
            </w:r>
          </w:p>
        </w:tc>
      </w:tr>
    </w:tbl>
    <w:p w14:paraId="1275A89D" w14:textId="77777777" w:rsidR="003A658B" w:rsidRPr="00801AFD" w:rsidRDefault="003A658B" w:rsidP="00801AFD">
      <w:pPr>
        <w:pStyle w:val="Default"/>
        <w:widowControl w:val="0"/>
        <w:jc w:val="both"/>
        <w:rPr>
          <w:sz w:val="22"/>
          <w:szCs w:val="22"/>
          <w:lang w:val="sr-Latn-ME"/>
        </w:rPr>
      </w:pPr>
    </w:p>
    <w:p w14:paraId="46D23759" w14:textId="77777777" w:rsidR="003A658B" w:rsidRPr="00801AFD" w:rsidRDefault="003A658B" w:rsidP="00801AFD">
      <w:pPr>
        <w:pStyle w:val="Default"/>
        <w:widowControl w:val="0"/>
        <w:jc w:val="both"/>
        <w:rPr>
          <w:sz w:val="22"/>
          <w:szCs w:val="22"/>
          <w:u w:val="single"/>
          <w:lang w:val="sr-Latn-ME"/>
        </w:rPr>
      </w:pPr>
      <w:r w:rsidRPr="00801AFD">
        <w:rPr>
          <w:sz w:val="22"/>
          <w:szCs w:val="22"/>
          <w:u w:val="single"/>
          <w:lang w:val="sr-Latn-ME"/>
        </w:rPr>
        <w:t>Posebne populacije</w:t>
      </w:r>
    </w:p>
    <w:p w14:paraId="09A22089" w14:textId="77777777" w:rsidR="003A658B" w:rsidRPr="00801AFD" w:rsidRDefault="003A658B" w:rsidP="00801AFD">
      <w:pPr>
        <w:pStyle w:val="Default"/>
        <w:widowControl w:val="0"/>
        <w:jc w:val="both"/>
        <w:rPr>
          <w:sz w:val="22"/>
          <w:szCs w:val="22"/>
          <w:u w:val="single"/>
          <w:lang w:val="sr-Latn-ME"/>
        </w:rPr>
      </w:pPr>
    </w:p>
    <w:p w14:paraId="2BC6DB06" w14:textId="77777777" w:rsidR="003A658B" w:rsidRPr="00801AFD" w:rsidRDefault="003A658B" w:rsidP="00801AFD">
      <w:pPr>
        <w:pStyle w:val="Default"/>
        <w:widowControl w:val="0"/>
        <w:jc w:val="both"/>
        <w:rPr>
          <w:i/>
          <w:iCs/>
          <w:sz w:val="22"/>
          <w:szCs w:val="22"/>
          <w:lang w:val="sr-Latn-ME"/>
        </w:rPr>
      </w:pPr>
      <w:r w:rsidRPr="00801AFD">
        <w:rPr>
          <w:i/>
          <w:iCs/>
          <w:sz w:val="22"/>
          <w:szCs w:val="22"/>
          <w:lang w:val="sr-Latn-ME"/>
        </w:rPr>
        <w:t xml:space="preserve">Stariji pacijenti </w:t>
      </w:r>
    </w:p>
    <w:p w14:paraId="06CD31F3" w14:textId="42DF9D6C" w:rsidR="003A658B" w:rsidRPr="00801AFD" w:rsidRDefault="003A658B" w:rsidP="00801AFD">
      <w:pPr>
        <w:pStyle w:val="Default"/>
        <w:widowControl w:val="0"/>
        <w:jc w:val="both"/>
        <w:rPr>
          <w:sz w:val="22"/>
          <w:szCs w:val="22"/>
          <w:lang w:val="sr-Latn-ME"/>
        </w:rPr>
      </w:pPr>
      <w:r w:rsidRPr="00801AFD">
        <w:rPr>
          <w:sz w:val="22"/>
          <w:szCs w:val="22"/>
          <w:lang w:val="sr-Latn-ME"/>
        </w:rPr>
        <w:t>Nije potrebno prilagođavanje doze kod pacijenata sa PNH</w:t>
      </w:r>
      <w:r w:rsidR="008B6280" w:rsidRPr="00801AFD">
        <w:rPr>
          <w:sz w:val="22"/>
          <w:szCs w:val="22"/>
          <w:vertAlign w:val="subscript"/>
          <w:lang w:val="sr-Latn-ME"/>
        </w:rPr>
        <w:t>2</w:t>
      </w:r>
      <w:r w:rsidR="008B6280" w:rsidRPr="00801AFD">
        <w:rPr>
          <w:sz w:val="22"/>
          <w:szCs w:val="22"/>
          <w:lang w:val="sr-Latn-ME"/>
        </w:rPr>
        <w:t>,</w:t>
      </w:r>
      <w:r w:rsidRPr="00801AFD">
        <w:rPr>
          <w:sz w:val="22"/>
          <w:szCs w:val="22"/>
          <w:lang w:val="sr-Latn-ME"/>
        </w:rPr>
        <w:t xml:space="preserve"> aHUS</w:t>
      </w:r>
      <w:r w:rsidR="00DA0D0D" w:rsidRPr="00801AFD">
        <w:rPr>
          <w:sz w:val="22"/>
          <w:szCs w:val="22"/>
          <w:lang w:val="sr-Latn-ME"/>
        </w:rPr>
        <w:t>-om</w:t>
      </w:r>
      <w:r w:rsidR="00C834D8" w:rsidRPr="00801AFD">
        <w:rPr>
          <w:sz w:val="22"/>
          <w:szCs w:val="22"/>
          <w:lang w:val="sr-Latn-ME"/>
        </w:rPr>
        <w:t xml:space="preserve">, </w:t>
      </w:r>
      <w:r w:rsidR="008B6280" w:rsidRPr="00801AFD">
        <w:rPr>
          <w:sz w:val="22"/>
          <w:szCs w:val="22"/>
          <w:lang w:val="sr-Latn-ME"/>
        </w:rPr>
        <w:t xml:space="preserve">gMG </w:t>
      </w:r>
      <w:r w:rsidR="00811B6C" w:rsidRPr="00801AFD">
        <w:rPr>
          <w:sz w:val="22"/>
          <w:szCs w:val="22"/>
          <w:lang w:val="sr-Latn-ME"/>
        </w:rPr>
        <w:t xml:space="preserve">ili NMOSD </w:t>
      </w:r>
      <w:r w:rsidR="00DA0D0D" w:rsidRPr="00801AFD">
        <w:rPr>
          <w:sz w:val="22"/>
          <w:szCs w:val="22"/>
          <w:lang w:val="sr-Latn-ME"/>
        </w:rPr>
        <w:t>starosne dobi 65 ili više godina</w:t>
      </w:r>
      <w:r w:rsidRPr="00801AFD">
        <w:rPr>
          <w:sz w:val="22"/>
          <w:szCs w:val="22"/>
          <w:lang w:val="sr-Latn-ME"/>
        </w:rPr>
        <w:t>. Nema dokaza da su potrebne posebne mjere predostrožnosti u liječenju gerijatrijske populacije</w:t>
      </w:r>
      <w:r w:rsidR="00CC510E" w:rsidRPr="00801AFD">
        <w:rPr>
          <w:sz w:val="22"/>
          <w:szCs w:val="22"/>
          <w:lang w:val="sr-Latn-ME"/>
        </w:rPr>
        <w:t>,</w:t>
      </w:r>
      <w:r w:rsidRPr="00801AFD">
        <w:rPr>
          <w:sz w:val="22"/>
          <w:szCs w:val="22"/>
          <w:lang w:val="sr-Latn-ME"/>
        </w:rPr>
        <w:t xml:space="preserve"> iako je iskustvo sa ravulizumabom kod starijih pacijenata </w:t>
      </w:r>
      <w:r w:rsidR="008B6280" w:rsidRPr="00801AFD">
        <w:rPr>
          <w:sz w:val="22"/>
          <w:szCs w:val="22"/>
          <w:lang w:val="sr-Latn-ME"/>
        </w:rPr>
        <w:t>sa PNH</w:t>
      </w:r>
      <w:r w:rsidR="00C834D8" w:rsidRPr="00801AFD">
        <w:rPr>
          <w:sz w:val="22"/>
          <w:szCs w:val="22"/>
          <w:lang w:val="sr-Latn-ME"/>
        </w:rPr>
        <w:t xml:space="preserve">, </w:t>
      </w:r>
      <w:r w:rsidR="008B6280" w:rsidRPr="00801AFD">
        <w:rPr>
          <w:sz w:val="22"/>
          <w:szCs w:val="22"/>
          <w:lang w:val="sr-Latn-ME"/>
        </w:rPr>
        <w:t>aHUS</w:t>
      </w:r>
      <w:r w:rsidR="00811B6C" w:rsidRPr="00801AFD">
        <w:rPr>
          <w:sz w:val="22"/>
          <w:szCs w:val="22"/>
          <w:lang w:val="sr-Latn-ME"/>
        </w:rPr>
        <w:t xml:space="preserve"> ili NMOSD</w:t>
      </w:r>
      <w:r w:rsidR="008B6280" w:rsidRPr="00801AFD">
        <w:rPr>
          <w:sz w:val="22"/>
          <w:szCs w:val="22"/>
          <w:lang w:val="sr-Latn-ME"/>
        </w:rPr>
        <w:t xml:space="preserve"> u kliničkim ispitivanjima </w:t>
      </w:r>
      <w:r w:rsidRPr="00801AFD">
        <w:rPr>
          <w:sz w:val="22"/>
          <w:szCs w:val="22"/>
          <w:lang w:val="sr-Latn-ME"/>
        </w:rPr>
        <w:t>ograničeno.</w:t>
      </w:r>
    </w:p>
    <w:p w14:paraId="0901F6AC" w14:textId="77777777" w:rsidR="003A658B" w:rsidRPr="00801AFD" w:rsidRDefault="003A658B" w:rsidP="00801AFD">
      <w:pPr>
        <w:pStyle w:val="Default"/>
        <w:widowControl w:val="0"/>
        <w:jc w:val="both"/>
        <w:rPr>
          <w:sz w:val="22"/>
          <w:szCs w:val="22"/>
          <w:lang w:val="sr-Latn-ME"/>
        </w:rPr>
      </w:pPr>
    </w:p>
    <w:p w14:paraId="2B60CB39" w14:textId="7027CD13" w:rsidR="003A658B" w:rsidRPr="00801AFD" w:rsidRDefault="003A658B" w:rsidP="00801AFD">
      <w:pPr>
        <w:pStyle w:val="Default"/>
        <w:widowControl w:val="0"/>
        <w:jc w:val="both"/>
        <w:rPr>
          <w:i/>
          <w:iCs/>
          <w:sz w:val="22"/>
          <w:szCs w:val="22"/>
          <w:lang w:val="sr-Latn-ME"/>
        </w:rPr>
      </w:pPr>
      <w:r w:rsidRPr="00801AFD">
        <w:rPr>
          <w:i/>
          <w:iCs/>
          <w:sz w:val="22"/>
          <w:szCs w:val="22"/>
          <w:lang w:val="sr-Latn-ME"/>
        </w:rPr>
        <w:t>Oštećenje funkcij</w:t>
      </w:r>
      <w:r w:rsidR="00DA0D0D" w:rsidRPr="00801AFD">
        <w:rPr>
          <w:i/>
          <w:iCs/>
          <w:sz w:val="22"/>
          <w:szCs w:val="22"/>
          <w:lang w:val="sr-Latn-ME"/>
        </w:rPr>
        <w:t>e</w:t>
      </w:r>
      <w:r w:rsidRPr="00801AFD">
        <w:rPr>
          <w:i/>
          <w:iCs/>
          <w:sz w:val="22"/>
          <w:szCs w:val="22"/>
          <w:lang w:val="sr-Latn-ME"/>
        </w:rPr>
        <w:t xml:space="preserve"> bubrega</w:t>
      </w:r>
    </w:p>
    <w:p w14:paraId="3B612006" w14:textId="2D2A6250" w:rsidR="003A658B" w:rsidRPr="00801AFD" w:rsidRDefault="003A658B" w:rsidP="00801AFD">
      <w:pPr>
        <w:pStyle w:val="Default"/>
        <w:widowControl w:val="0"/>
        <w:jc w:val="both"/>
        <w:rPr>
          <w:sz w:val="22"/>
          <w:szCs w:val="22"/>
          <w:lang w:val="sr-Latn-ME"/>
        </w:rPr>
      </w:pPr>
      <w:r w:rsidRPr="00801AFD">
        <w:rPr>
          <w:sz w:val="22"/>
          <w:szCs w:val="22"/>
          <w:lang w:val="sr-Latn-ME"/>
        </w:rPr>
        <w:t xml:space="preserve">U ovoj populaciji nije potrebno prilagođavanje doze </w:t>
      </w:r>
      <w:r w:rsidR="00CC510E" w:rsidRPr="00801AFD">
        <w:rPr>
          <w:sz w:val="22"/>
          <w:szCs w:val="22"/>
          <w:lang w:val="sr-Latn-ME"/>
        </w:rPr>
        <w:t>(</w:t>
      </w:r>
      <w:r w:rsidRPr="00801AFD">
        <w:rPr>
          <w:sz w:val="22"/>
          <w:szCs w:val="22"/>
          <w:lang w:val="sr-Latn-ME"/>
        </w:rPr>
        <w:t xml:space="preserve">vidjeti </w:t>
      </w:r>
      <w:r w:rsidR="00EC79EA" w:rsidRPr="00801AFD">
        <w:rPr>
          <w:sz w:val="22"/>
          <w:szCs w:val="22"/>
          <w:lang w:val="sr-Latn-ME"/>
        </w:rPr>
        <w:t>dio</w:t>
      </w:r>
      <w:r w:rsidRPr="00801AFD">
        <w:rPr>
          <w:sz w:val="22"/>
          <w:szCs w:val="22"/>
          <w:lang w:val="sr-Latn-ME"/>
        </w:rPr>
        <w:t xml:space="preserve"> 5.2.</w:t>
      </w:r>
      <w:r w:rsidR="00CC510E" w:rsidRPr="00801AFD">
        <w:rPr>
          <w:sz w:val="22"/>
          <w:szCs w:val="22"/>
          <w:lang w:val="sr-Latn-ME"/>
        </w:rPr>
        <w:t>).</w:t>
      </w:r>
    </w:p>
    <w:p w14:paraId="1816699D" w14:textId="77777777" w:rsidR="003A658B" w:rsidRPr="00801AFD" w:rsidRDefault="003A658B" w:rsidP="00801AFD">
      <w:pPr>
        <w:pStyle w:val="Default"/>
        <w:widowControl w:val="0"/>
        <w:jc w:val="both"/>
        <w:rPr>
          <w:sz w:val="22"/>
          <w:szCs w:val="22"/>
          <w:lang w:val="sr-Latn-ME"/>
        </w:rPr>
      </w:pPr>
    </w:p>
    <w:p w14:paraId="2EDE60F0" w14:textId="77777777" w:rsidR="003A658B" w:rsidRPr="00801AFD" w:rsidRDefault="003A658B" w:rsidP="00801AFD">
      <w:pPr>
        <w:pStyle w:val="Default"/>
        <w:widowControl w:val="0"/>
        <w:jc w:val="both"/>
        <w:rPr>
          <w:i/>
          <w:iCs/>
          <w:sz w:val="22"/>
          <w:szCs w:val="22"/>
          <w:lang w:val="sr-Latn-ME"/>
        </w:rPr>
      </w:pPr>
      <w:r w:rsidRPr="00801AFD">
        <w:rPr>
          <w:i/>
          <w:iCs/>
          <w:sz w:val="22"/>
          <w:szCs w:val="22"/>
          <w:lang w:val="sr-Latn-ME"/>
        </w:rPr>
        <w:t>Oštećenje funkcije jetre</w:t>
      </w:r>
    </w:p>
    <w:p w14:paraId="243993CE" w14:textId="77777777" w:rsidR="003A658B" w:rsidRPr="00801AFD" w:rsidRDefault="003A658B" w:rsidP="00801AFD">
      <w:pPr>
        <w:pStyle w:val="Default"/>
        <w:widowControl w:val="0"/>
        <w:jc w:val="both"/>
        <w:rPr>
          <w:sz w:val="22"/>
          <w:szCs w:val="22"/>
          <w:lang w:val="sr-Latn-ME"/>
        </w:rPr>
      </w:pPr>
      <w:r w:rsidRPr="00801AFD">
        <w:rPr>
          <w:sz w:val="22"/>
          <w:szCs w:val="22"/>
          <w:lang w:val="sr-Latn-ME"/>
        </w:rPr>
        <w:t>Bezbjednost i efikasnost ravulizumaba nijesu proučavani kod pacijenata sa oštećenjem jetre, ali farmakokinetički podaci ukazuju na to da prilagođavanje doze nije potrebno kod pacijenata sa oštećenjem funkcije jetre.</w:t>
      </w:r>
    </w:p>
    <w:p w14:paraId="4FE81DA7" w14:textId="77777777" w:rsidR="003A658B" w:rsidRPr="00801AFD" w:rsidRDefault="003A658B" w:rsidP="00801AFD">
      <w:pPr>
        <w:pStyle w:val="Default"/>
        <w:widowControl w:val="0"/>
        <w:jc w:val="both"/>
        <w:rPr>
          <w:sz w:val="22"/>
          <w:szCs w:val="22"/>
          <w:lang w:val="sr-Latn-ME"/>
        </w:rPr>
      </w:pPr>
    </w:p>
    <w:p w14:paraId="1CFF8C82" w14:textId="605CE391" w:rsidR="003A658B" w:rsidRPr="00801AFD" w:rsidRDefault="003A658B" w:rsidP="00801AFD">
      <w:pPr>
        <w:pStyle w:val="Default"/>
        <w:widowControl w:val="0"/>
        <w:jc w:val="both"/>
        <w:rPr>
          <w:i/>
          <w:iCs/>
          <w:sz w:val="22"/>
          <w:szCs w:val="22"/>
          <w:u w:val="single"/>
          <w:lang w:val="sr-Latn-ME"/>
        </w:rPr>
      </w:pPr>
      <w:r w:rsidRPr="00801AFD">
        <w:rPr>
          <w:i/>
          <w:iCs/>
          <w:sz w:val="22"/>
          <w:szCs w:val="22"/>
          <w:lang w:val="sr-Latn-ME"/>
        </w:rPr>
        <w:t>Pedijatrijska populacija</w:t>
      </w:r>
    </w:p>
    <w:p w14:paraId="7D3969B2" w14:textId="2ED077D9" w:rsidR="003A658B" w:rsidRPr="00801AFD" w:rsidRDefault="003A658B" w:rsidP="00801AFD">
      <w:pPr>
        <w:widowControl w:val="0"/>
        <w:jc w:val="both"/>
        <w:rPr>
          <w:color w:val="000000"/>
          <w:sz w:val="22"/>
          <w:szCs w:val="22"/>
          <w:lang w:val="sr-Latn-ME"/>
        </w:rPr>
      </w:pPr>
      <w:r w:rsidRPr="00801AFD">
        <w:rPr>
          <w:color w:val="000000"/>
          <w:sz w:val="22"/>
          <w:szCs w:val="22"/>
          <w:lang w:val="sr-Latn-ME"/>
        </w:rPr>
        <w:t xml:space="preserve">Trenutno dostupni podaci opisani su u </w:t>
      </w:r>
      <w:r w:rsidR="00EC79EA" w:rsidRPr="00801AFD">
        <w:rPr>
          <w:color w:val="000000"/>
          <w:sz w:val="22"/>
          <w:szCs w:val="22"/>
          <w:lang w:val="sr-Latn-ME"/>
        </w:rPr>
        <w:t>dijelu</w:t>
      </w:r>
      <w:r w:rsidRPr="00801AFD">
        <w:rPr>
          <w:color w:val="000000"/>
          <w:sz w:val="22"/>
          <w:szCs w:val="22"/>
          <w:lang w:val="sr-Latn-ME"/>
        </w:rPr>
        <w:t xml:space="preserve"> 4.8, međutim, ne mogu se dati preporuke za doziranje kod pacijenata sa tjelesnom </w:t>
      </w:r>
      <w:r w:rsidR="00CC510E" w:rsidRPr="00801AFD">
        <w:rPr>
          <w:color w:val="000000"/>
          <w:sz w:val="22"/>
          <w:szCs w:val="22"/>
          <w:lang w:val="sr-Latn-ME"/>
        </w:rPr>
        <w:t xml:space="preserve">težinom </w:t>
      </w:r>
      <w:r w:rsidRPr="00801AFD">
        <w:rPr>
          <w:color w:val="000000"/>
          <w:sz w:val="22"/>
          <w:szCs w:val="22"/>
          <w:lang w:val="sr-Latn-ME"/>
        </w:rPr>
        <w:t>manjom od 10 kg.</w:t>
      </w:r>
    </w:p>
    <w:p w14:paraId="1E98D53E" w14:textId="77777777" w:rsidR="003A658B" w:rsidRPr="00801AFD" w:rsidRDefault="003A658B" w:rsidP="00801AFD">
      <w:pPr>
        <w:widowControl w:val="0"/>
        <w:jc w:val="both"/>
        <w:rPr>
          <w:color w:val="000000"/>
          <w:sz w:val="22"/>
          <w:szCs w:val="22"/>
          <w:lang w:val="sr-Latn-ME"/>
        </w:rPr>
      </w:pPr>
    </w:p>
    <w:p w14:paraId="4126464D" w14:textId="0A24F879" w:rsidR="00452E9D" w:rsidRPr="00801AFD" w:rsidRDefault="00452E9D" w:rsidP="00801AFD">
      <w:pPr>
        <w:widowControl w:val="0"/>
        <w:tabs>
          <w:tab w:val="left" w:pos="540"/>
          <w:tab w:val="left" w:pos="569"/>
        </w:tabs>
        <w:jc w:val="both"/>
        <w:rPr>
          <w:bCs/>
          <w:sz w:val="22"/>
          <w:szCs w:val="22"/>
          <w:u w:val="single"/>
          <w:lang w:val="sr-Latn-ME"/>
        </w:rPr>
      </w:pPr>
      <w:r w:rsidRPr="00801AFD">
        <w:rPr>
          <w:bCs/>
          <w:sz w:val="22"/>
          <w:szCs w:val="22"/>
          <w:u w:val="single"/>
          <w:lang w:val="sr-Latn-ME"/>
        </w:rPr>
        <w:t>Način primjene</w:t>
      </w:r>
    </w:p>
    <w:p w14:paraId="2BE69C59" w14:textId="77777777" w:rsidR="00EC79EA" w:rsidRPr="00801AFD" w:rsidRDefault="00EC79EA" w:rsidP="00801AFD">
      <w:pPr>
        <w:widowControl w:val="0"/>
        <w:jc w:val="both"/>
        <w:rPr>
          <w:bCs/>
          <w:sz w:val="22"/>
          <w:szCs w:val="22"/>
          <w:u w:val="single"/>
          <w:lang w:val="sr-Latn-ME"/>
        </w:rPr>
      </w:pPr>
    </w:p>
    <w:p w14:paraId="56092E17" w14:textId="0210E7EA" w:rsidR="00E14297" w:rsidRPr="00801AFD" w:rsidRDefault="00EC79EA" w:rsidP="00801AFD">
      <w:pPr>
        <w:widowControl w:val="0"/>
        <w:jc w:val="both"/>
        <w:rPr>
          <w:color w:val="000000"/>
          <w:sz w:val="22"/>
          <w:szCs w:val="22"/>
          <w:lang w:val="sr-Latn-ME"/>
        </w:rPr>
      </w:pPr>
      <w:r w:rsidRPr="00801AFD">
        <w:rPr>
          <w:color w:val="000000"/>
          <w:sz w:val="22"/>
          <w:szCs w:val="22"/>
          <w:lang w:val="sr-Latn-ME"/>
        </w:rPr>
        <w:lastRenderedPageBreak/>
        <w:t>Samo za intravensku infuziju.</w:t>
      </w:r>
      <w:r w:rsidR="00E14297" w:rsidRPr="00801AFD">
        <w:rPr>
          <w:color w:val="000000"/>
          <w:sz w:val="22"/>
          <w:szCs w:val="22"/>
          <w:lang w:val="sr-Latn-ME"/>
        </w:rPr>
        <w:t xml:space="preserve"> Koncentrat za rastvor za infuziju nije nam</w:t>
      </w:r>
      <w:r w:rsidR="0061641E" w:rsidRPr="00801AFD">
        <w:rPr>
          <w:color w:val="000000"/>
          <w:sz w:val="22"/>
          <w:szCs w:val="22"/>
          <w:lang w:val="sr-Latn-ME"/>
        </w:rPr>
        <w:t>ij</w:t>
      </w:r>
      <w:r w:rsidR="00E14297" w:rsidRPr="00801AFD">
        <w:rPr>
          <w:color w:val="000000"/>
          <w:sz w:val="22"/>
          <w:szCs w:val="22"/>
          <w:lang w:val="sr-Latn-ME"/>
        </w:rPr>
        <w:t>enjen za su</w:t>
      </w:r>
      <w:r w:rsidR="0061641E" w:rsidRPr="00801AFD">
        <w:rPr>
          <w:color w:val="000000"/>
          <w:sz w:val="22"/>
          <w:szCs w:val="22"/>
          <w:lang w:val="sr-Latn-ME"/>
        </w:rPr>
        <w:t>b</w:t>
      </w:r>
      <w:r w:rsidR="00E14297" w:rsidRPr="00801AFD">
        <w:rPr>
          <w:color w:val="000000"/>
          <w:sz w:val="22"/>
          <w:szCs w:val="22"/>
          <w:lang w:val="sr-Latn-ME"/>
        </w:rPr>
        <w:t>kutanu</w:t>
      </w:r>
      <w:r w:rsidR="00801AFD" w:rsidRPr="00801AFD">
        <w:rPr>
          <w:color w:val="000000"/>
          <w:sz w:val="22"/>
          <w:szCs w:val="22"/>
          <w:lang w:val="sr-Latn-ME"/>
        </w:rPr>
        <w:t xml:space="preserve"> </w:t>
      </w:r>
      <w:r w:rsidR="00E14297" w:rsidRPr="00801AFD">
        <w:rPr>
          <w:color w:val="000000"/>
          <w:sz w:val="22"/>
          <w:szCs w:val="22"/>
          <w:lang w:val="sr-Latn-ME"/>
        </w:rPr>
        <w:t>prim</w:t>
      </w:r>
      <w:r w:rsidR="0061641E" w:rsidRPr="00801AFD">
        <w:rPr>
          <w:color w:val="000000"/>
          <w:sz w:val="22"/>
          <w:szCs w:val="22"/>
          <w:lang w:val="sr-Latn-ME"/>
        </w:rPr>
        <w:t>j</w:t>
      </w:r>
      <w:r w:rsidR="00E14297" w:rsidRPr="00801AFD">
        <w:rPr>
          <w:color w:val="000000"/>
          <w:sz w:val="22"/>
          <w:szCs w:val="22"/>
          <w:lang w:val="sr-Latn-ME"/>
        </w:rPr>
        <w:t>enu.</w:t>
      </w:r>
    </w:p>
    <w:p w14:paraId="0955AB11" w14:textId="393A196C" w:rsidR="00EC79EA" w:rsidRPr="00801AFD" w:rsidRDefault="00EC79EA" w:rsidP="00801AFD">
      <w:pPr>
        <w:widowControl w:val="0"/>
        <w:jc w:val="both"/>
        <w:rPr>
          <w:color w:val="000000"/>
          <w:sz w:val="22"/>
          <w:szCs w:val="22"/>
          <w:lang w:val="sr-Latn-ME"/>
        </w:rPr>
      </w:pPr>
    </w:p>
    <w:p w14:paraId="3690665F" w14:textId="77777777" w:rsidR="00EC79EA" w:rsidRPr="00801AFD" w:rsidRDefault="00EC79EA" w:rsidP="00801AFD">
      <w:pPr>
        <w:widowControl w:val="0"/>
        <w:jc w:val="both"/>
        <w:rPr>
          <w:color w:val="000000"/>
          <w:sz w:val="22"/>
          <w:szCs w:val="22"/>
          <w:lang w:val="sr-Latn-ME"/>
        </w:rPr>
      </w:pPr>
      <w:r w:rsidRPr="00801AFD">
        <w:rPr>
          <w:color w:val="000000"/>
          <w:sz w:val="22"/>
          <w:szCs w:val="22"/>
          <w:lang w:val="sr-Latn-ME"/>
        </w:rPr>
        <w:t>Ovaj lijek se mora primjenjivati kroz filter veličine pora od 0,2 µm i ne smije se primjenjivati kao brza intravenska injekcija ili bolus injekcija.</w:t>
      </w:r>
    </w:p>
    <w:p w14:paraId="5CB41105" w14:textId="77777777" w:rsidR="00EC79EA" w:rsidRPr="00801AFD" w:rsidRDefault="00EC79EA" w:rsidP="00801AFD">
      <w:pPr>
        <w:widowControl w:val="0"/>
        <w:jc w:val="both"/>
        <w:rPr>
          <w:color w:val="000000"/>
          <w:sz w:val="22"/>
          <w:szCs w:val="22"/>
          <w:lang w:val="sr-Latn-ME"/>
        </w:rPr>
      </w:pPr>
    </w:p>
    <w:p w14:paraId="02FDC3BD" w14:textId="21A0B6B4" w:rsidR="00EC79EA" w:rsidRPr="00801AFD" w:rsidRDefault="007D0F27" w:rsidP="00801AFD">
      <w:pPr>
        <w:widowControl w:val="0"/>
        <w:jc w:val="both"/>
        <w:rPr>
          <w:color w:val="000000"/>
          <w:sz w:val="22"/>
          <w:szCs w:val="22"/>
          <w:lang w:val="sr-Latn-ME"/>
        </w:rPr>
      </w:pPr>
      <w:r w:rsidRPr="00801AFD">
        <w:rPr>
          <w:color w:val="000000"/>
          <w:sz w:val="22"/>
          <w:szCs w:val="22"/>
          <w:lang w:val="sr-Latn-ME"/>
        </w:rPr>
        <w:t>Lijek</w:t>
      </w:r>
      <w:r w:rsidR="0061641E" w:rsidRPr="00801AFD">
        <w:rPr>
          <w:color w:val="000000"/>
          <w:sz w:val="22"/>
          <w:szCs w:val="22"/>
          <w:lang w:val="sr-Latn-ME"/>
        </w:rPr>
        <w:t xml:space="preserve"> </w:t>
      </w:r>
      <w:r w:rsidR="00EC79EA" w:rsidRPr="00801AFD">
        <w:rPr>
          <w:color w:val="000000"/>
          <w:sz w:val="22"/>
          <w:szCs w:val="22"/>
          <w:lang w:val="sr-Latn-ME"/>
        </w:rPr>
        <w:t>Ultomiris 300 mg/30 ml koncentrat za rastvor za infuziju ne smije se mješati sa lijekom Ultomiris 300 mg/3 ml ili 1,100 mg/11 ml koncentrat za rastvor za infuziju.</w:t>
      </w:r>
    </w:p>
    <w:p w14:paraId="5C4AD1BF" w14:textId="77777777" w:rsidR="00EC79EA" w:rsidRPr="00801AFD" w:rsidRDefault="00EC79EA" w:rsidP="00801AFD">
      <w:pPr>
        <w:widowControl w:val="0"/>
        <w:jc w:val="both"/>
        <w:rPr>
          <w:i/>
          <w:iCs/>
          <w:color w:val="000000"/>
          <w:sz w:val="22"/>
          <w:szCs w:val="22"/>
          <w:lang w:val="sr-Latn-ME"/>
        </w:rPr>
      </w:pPr>
    </w:p>
    <w:p w14:paraId="3D5D6D0C" w14:textId="561AF3C4" w:rsidR="00EC79EA" w:rsidRPr="00801AFD" w:rsidRDefault="00EC79EA" w:rsidP="00801AFD">
      <w:pPr>
        <w:widowControl w:val="0"/>
        <w:jc w:val="both"/>
        <w:rPr>
          <w:i/>
          <w:iCs/>
          <w:color w:val="000000"/>
          <w:sz w:val="22"/>
          <w:szCs w:val="22"/>
          <w:lang w:val="sr-Latn-ME"/>
        </w:rPr>
      </w:pPr>
      <w:r w:rsidRPr="00801AFD">
        <w:rPr>
          <w:i/>
          <w:iCs/>
          <w:color w:val="000000"/>
          <w:sz w:val="22"/>
          <w:szCs w:val="22"/>
          <w:lang w:val="sr-Latn-ME"/>
        </w:rPr>
        <w:t>Ultomiris 300 mg/3 ml i 1100 mg/11 ml, koncentrat za rastvor za infuziju</w:t>
      </w:r>
    </w:p>
    <w:p w14:paraId="442D3BFA" w14:textId="77777777" w:rsidR="00EC79EA" w:rsidRPr="00801AFD" w:rsidRDefault="00EC79EA" w:rsidP="00801AFD">
      <w:pPr>
        <w:widowControl w:val="0"/>
        <w:jc w:val="both"/>
        <w:rPr>
          <w:color w:val="000000"/>
          <w:sz w:val="22"/>
          <w:szCs w:val="22"/>
          <w:lang w:val="sr-Latn-ME"/>
        </w:rPr>
      </w:pPr>
    </w:p>
    <w:p w14:paraId="653D099E" w14:textId="00504A5D" w:rsidR="00EC79EA" w:rsidRPr="00801AFD" w:rsidRDefault="00EC79EA" w:rsidP="00801AFD">
      <w:pPr>
        <w:widowControl w:val="0"/>
        <w:jc w:val="both"/>
        <w:rPr>
          <w:color w:val="000000"/>
          <w:sz w:val="22"/>
          <w:szCs w:val="22"/>
          <w:lang w:val="sr-Latn-ME"/>
        </w:rPr>
      </w:pPr>
      <w:r w:rsidRPr="00801AFD">
        <w:rPr>
          <w:color w:val="000000"/>
          <w:sz w:val="22"/>
          <w:szCs w:val="22"/>
          <w:lang w:val="sr-Latn-ME"/>
        </w:rPr>
        <w:t>Ultomiris koncentrat za rastvor za infuziju u bočicama od 3 m</w:t>
      </w:r>
      <w:r w:rsidR="003815F3" w:rsidRPr="00801AFD">
        <w:rPr>
          <w:color w:val="000000"/>
          <w:sz w:val="22"/>
          <w:szCs w:val="22"/>
          <w:lang w:val="sr-Latn-ME"/>
        </w:rPr>
        <w:t>l</w:t>
      </w:r>
      <w:r w:rsidRPr="00801AFD">
        <w:rPr>
          <w:color w:val="000000"/>
          <w:sz w:val="22"/>
          <w:szCs w:val="22"/>
          <w:lang w:val="sr-Latn-ME"/>
        </w:rPr>
        <w:t xml:space="preserve"> i 11 m</w:t>
      </w:r>
      <w:r w:rsidR="003815F3" w:rsidRPr="00801AFD">
        <w:rPr>
          <w:color w:val="000000"/>
          <w:sz w:val="22"/>
          <w:szCs w:val="22"/>
          <w:lang w:val="sr-Latn-ME"/>
        </w:rPr>
        <w:t>l</w:t>
      </w:r>
      <w:r w:rsidRPr="00801AFD">
        <w:rPr>
          <w:color w:val="000000"/>
          <w:sz w:val="22"/>
          <w:szCs w:val="22"/>
          <w:lang w:val="sr-Latn-ME"/>
        </w:rPr>
        <w:t xml:space="preserve"> (100 mg/m</w:t>
      </w:r>
      <w:r w:rsidR="003815F3" w:rsidRPr="00801AFD">
        <w:rPr>
          <w:color w:val="000000"/>
          <w:sz w:val="22"/>
          <w:szCs w:val="22"/>
          <w:lang w:val="sr-Latn-ME"/>
        </w:rPr>
        <w:t>l</w:t>
      </w:r>
      <w:r w:rsidRPr="00801AFD">
        <w:rPr>
          <w:color w:val="000000"/>
          <w:sz w:val="22"/>
          <w:szCs w:val="22"/>
          <w:lang w:val="sr-Latn-ME"/>
        </w:rPr>
        <w:t xml:space="preserve">) mora se razblažiti </w:t>
      </w:r>
      <w:r w:rsidR="007D0F27" w:rsidRPr="00801AFD">
        <w:rPr>
          <w:color w:val="000000"/>
          <w:sz w:val="22"/>
          <w:szCs w:val="22"/>
          <w:lang w:val="sr-Latn-ME"/>
        </w:rPr>
        <w:t>do krajnje koncentracije od 50mg/m</w:t>
      </w:r>
      <w:r w:rsidR="0061641E" w:rsidRPr="00801AFD">
        <w:rPr>
          <w:color w:val="000000"/>
          <w:sz w:val="22"/>
          <w:szCs w:val="22"/>
          <w:lang w:val="sr-Latn-ME"/>
        </w:rPr>
        <w:t>l</w:t>
      </w:r>
      <w:r w:rsidR="007D0F27" w:rsidRPr="00801AFD">
        <w:rPr>
          <w:color w:val="000000"/>
          <w:sz w:val="22"/>
          <w:szCs w:val="22"/>
          <w:lang w:val="sr-Latn-ME"/>
        </w:rPr>
        <w:t>. Nakon razblaživanja, Ultomiris se prim</w:t>
      </w:r>
      <w:r w:rsidR="0099493B" w:rsidRPr="00801AFD">
        <w:rPr>
          <w:color w:val="000000"/>
          <w:sz w:val="22"/>
          <w:szCs w:val="22"/>
          <w:lang w:val="sr-Latn-ME"/>
        </w:rPr>
        <w:t>j</w:t>
      </w:r>
      <w:r w:rsidR="007D0F27" w:rsidRPr="00801AFD">
        <w:rPr>
          <w:color w:val="000000"/>
          <w:sz w:val="22"/>
          <w:szCs w:val="22"/>
          <w:lang w:val="sr-Latn-ME"/>
        </w:rPr>
        <w:t xml:space="preserve">enujuje </w:t>
      </w:r>
      <w:r w:rsidRPr="00801AFD">
        <w:rPr>
          <w:color w:val="000000"/>
          <w:sz w:val="22"/>
          <w:szCs w:val="22"/>
          <w:lang w:val="sr-Latn-ME"/>
        </w:rPr>
        <w:t>intravenskom infuzijom pomoću pumpe sa špricem ili infuzione pumpe tokom minimalnog perioda od 0,</w:t>
      </w:r>
      <w:r w:rsidR="007D0F27" w:rsidRPr="00801AFD">
        <w:rPr>
          <w:color w:val="000000"/>
          <w:sz w:val="22"/>
          <w:szCs w:val="22"/>
          <w:lang w:val="sr-Latn-ME"/>
        </w:rPr>
        <w:t>7</w:t>
      </w:r>
      <w:r w:rsidRPr="00801AFD">
        <w:rPr>
          <w:color w:val="000000"/>
          <w:sz w:val="22"/>
          <w:szCs w:val="22"/>
          <w:lang w:val="sr-Latn-ME"/>
        </w:rPr>
        <w:t xml:space="preserve"> do 1,3 sata (25 do 75 minuta) u zavisnosti od tjelesne </w:t>
      </w:r>
      <w:r w:rsidR="00CC510E" w:rsidRPr="00801AFD">
        <w:rPr>
          <w:color w:val="000000"/>
          <w:sz w:val="22"/>
          <w:szCs w:val="22"/>
          <w:lang w:val="sr-Latn-ME"/>
        </w:rPr>
        <w:t xml:space="preserve">težine </w:t>
      </w:r>
      <w:r w:rsidRPr="00801AFD">
        <w:rPr>
          <w:color w:val="000000"/>
          <w:sz w:val="22"/>
          <w:szCs w:val="22"/>
          <w:lang w:val="sr-Latn-ME"/>
        </w:rPr>
        <w:t>(vidjeti Tabelu</w:t>
      </w:r>
      <w:r w:rsidR="007D0F27" w:rsidRPr="00801AFD">
        <w:rPr>
          <w:color w:val="000000"/>
          <w:sz w:val="22"/>
          <w:szCs w:val="22"/>
          <w:lang w:val="sr-Latn-ME"/>
        </w:rPr>
        <w:t xml:space="preserve"> </w:t>
      </w:r>
      <w:r w:rsidR="00E14297" w:rsidRPr="00801AFD">
        <w:rPr>
          <w:color w:val="000000"/>
          <w:sz w:val="22"/>
          <w:szCs w:val="22"/>
          <w:lang w:val="sr-Latn-ME"/>
        </w:rPr>
        <w:t xml:space="preserve">6 </w:t>
      </w:r>
      <w:r w:rsidR="007D0F27" w:rsidRPr="00801AFD">
        <w:rPr>
          <w:color w:val="000000"/>
          <w:sz w:val="22"/>
          <w:szCs w:val="22"/>
          <w:lang w:val="sr-Latn-ME"/>
        </w:rPr>
        <w:t xml:space="preserve">i </w:t>
      </w:r>
      <w:r w:rsidR="00E14297" w:rsidRPr="00801AFD">
        <w:rPr>
          <w:color w:val="000000"/>
          <w:sz w:val="22"/>
          <w:szCs w:val="22"/>
          <w:lang w:val="sr-Latn-ME"/>
        </w:rPr>
        <w:t xml:space="preserve">7 </w:t>
      </w:r>
      <w:r w:rsidR="00CC510E" w:rsidRPr="00801AFD">
        <w:rPr>
          <w:color w:val="000000"/>
          <w:sz w:val="22"/>
          <w:szCs w:val="22"/>
          <w:lang w:val="sr-Latn-ME"/>
        </w:rPr>
        <w:t xml:space="preserve">u nastavku </w:t>
      </w:r>
      <w:r w:rsidRPr="00801AFD">
        <w:rPr>
          <w:color w:val="000000"/>
          <w:sz w:val="22"/>
          <w:szCs w:val="22"/>
          <w:lang w:val="sr-Latn-ME"/>
        </w:rPr>
        <w:t>).</w:t>
      </w:r>
    </w:p>
    <w:p w14:paraId="71A6D6E0" w14:textId="77777777" w:rsidR="00EC79EA" w:rsidRPr="00801AFD" w:rsidRDefault="00EC79EA" w:rsidP="00801AFD">
      <w:pPr>
        <w:widowControl w:val="0"/>
        <w:jc w:val="both"/>
        <w:rPr>
          <w:b/>
          <w:bCs/>
          <w:color w:val="000000"/>
          <w:sz w:val="22"/>
          <w:szCs w:val="22"/>
          <w:lang w:val="sr-Latn-ME"/>
        </w:rPr>
      </w:pPr>
    </w:p>
    <w:p w14:paraId="288E3F78" w14:textId="318B46A3" w:rsidR="00EC79EA" w:rsidRPr="00801AFD" w:rsidRDefault="00EC79EA" w:rsidP="00801AFD">
      <w:pPr>
        <w:widowControl w:val="0"/>
        <w:jc w:val="both"/>
        <w:rPr>
          <w:b/>
          <w:bCs/>
          <w:color w:val="000000"/>
          <w:sz w:val="22"/>
          <w:szCs w:val="22"/>
          <w:lang w:val="sr-Latn-ME"/>
        </w:rPr>
      </w:pPr>
      <w:r w:rsidRPr="00801AFD">
        <w:rPr>
          <w:b/>
          <w:bCs/>
          <w:color w:val="000000"/>
          <w:sz w:val="22"/>
          <w:szCs w:val="22"/>
          <w:lang w:val="sr-Latn-ME"/>
        </w:rPr>
        <w:t xml:space="preserve">Tabela </w:t>
      </w:r>
      <w:r w:rsidR="00E14297" w:rsidRPr="00801AFD">
        <w:rPr>
          <w:b/>
          <w:bCs/>
          <w:color w:val="000000"/>
          <w:sz w:val="22"/>
          <w:szCs w:val="22"/>
          <w:lang w:val="sr-Latn-ME"/>
        </w:rPr>
        <w:t>6</w:t>
      </w:r>
      <w:r w:rsidRPr="00801AFD">
        <w:rPr>
          <w:b/>
          <w:bCs/>
          <w:color w:val="000000"/>
          <w:sz w:val="22"/>
          <w:szCs w:val="22"/>
          <w:lang w:val="sr-Latn-ME"/>
        </w:rPr>
        <w:t>: Brzina primjene doze lijeka Ultomiris 300 mg/3 m</w:t>
      </w:r>
      <w:r w:rsidR="003815F3" w:rsidRPr="00801AFD">
        <w:rPr>
          <w:b/>
          <w:bCs/>
          <w:color w:val="000000"/>
          <w:sz w:val="22"/>
          <w:szCs w:val="22"/>
          <w:lang w:val="sr-Latn-ME"/>
        </w:rPr>
        <w:t>l</w:t>
      </w:r>
      <w:r w:rsidRPr="00801AFD">
        <w:rPr>
          <w:b/>
          <w:bCs/>
          <w:color w:val="000000"/>
          <w:sz w:val="22"/>
          <w:szCs w:val="22"/>
          <w:lang w:val="sr-Latn-ME"/>
        </w:rPr>
        <w:t xml:space="preserve"> i 1100 mg/11 m</w:t>
      </w:r>
      <w:r w:rsidR="003815F3" w:rsidRPr="00801AFD">
        <w:rPr>
          <w:b/>
          <w:bCs/>
          <w:color w:val="000000"/>
          <w:sz w:val="22"/>
          <w:szCs w:val="22"/>
          <w:lang w:val="sr-Latn-ME"/>
        </w:rPr>
        <w:t>l</w:t>
      </w:r>
      <w:r w:rsidRPr="00801AFD">
        <w:rPr>
          <w:b/>
          <w:bCs/>
          <w:color w:val="000000"/>
          <w:sz w:val="22"/>
          <w:szCs w:val="22"/>
          <w:lang w:val="sr-Latn-ME"/>
        </w:rPr>
        <w:t>, koncentrat za rastvor za infuziju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295"/>
        <w:gridCol w:w="2261"/>
        <w:gridCol w:w="1643"/>
        <w:gridCol w:w="2261"/>
      </w:tblGrid>
      <w:tr w:rsidR="00EC79EA" w:rsidRPr="00801AFD" w14:paraId="32704CE6" w14:textId="77777777" w:rsidTr="00801AFD">
        <w:tc>
          <w:tcPr>
            <w:tcW w:w="0" w:type="auto"/>
            <w:tcBorders>
              <w:top w:val="single" w:sz="4" w:space="0" w:color="auto"/>
              <w:left w:val="single" w:sz="4" w:space="0" w:color="auto"/>
              <w:bottom w:val="single" w:sz="4" w:space="0" w:color="auto"/>
              <w:right w:val="single" w:sz="4" w:space="0" w:color="auto"/>
            </w:tcBorders>
            <w:hideMark/>
          </w:tcPr>
          <w:p w14:paraId="7425AE3D" w14:textId="745F8FCA" w:rsidR="00EC79EA" w:rsidRPr="00801AFD" w:rsidRDefault="00EC79EA" w:rsidP="00801AFD">
            <w:pPr>
              <w:widowControl w:val="0"/>
              <w:autoSpaceDE w:val="0"/>
              <w:autoSpaceDN w:val="0"/>
              <w:adjustRightInd w:val="0"/>
              <w:jc w:val="center"/>
              <w:rPr>
                <w:b/>
                <w:bCs/>
                <w:sz w:val="22"/>
                <w:szCs w:val="22"/>
                <w:vertAlign w:val="superscript"/>
                <w:lang w:val="sr-Latn-ME"/>
              </w:rPr>
            </w:pPr>
            <w:r w:rsidRPr="00801AFD">
              <w:rPr>
                <w:b/>
                <w:bCs/>
                <w:sz w:val="22"/>
                <w:szCs w:val="22"/>
                <w:lang w:val="sr-Latn-ME"/>
              </w:rPr>
              <w:t xml:space="preserve">Raspon tjelesne </w:t>
            </w:r>
            <w:r w:rsidR="00852A5C" w:rsidRPr="00801AFD">
              <w:rPr>
                <w:b/>
                <w:bCs/>
                <w:sz w:val="22"/>
                <w:szCs w:val="22"/>
                <w:lang w:val="sr-Latn-ME"/>
              </w:rPr>
              <w:t xml:space="preserve">težine </w:t>
            </w:r>
            <w:r w:rsidRPr="00801AFD">
              <w:rPr>
                <w:b/>
                <w:bCs/>
                <w:sz w:val="22"/>
                <w:szCs w:val="22"/>
                <w:lang w:val="sr-Latn-ME"/>
              </w:rPr>
              <w:t>(kg)</w:t>
            </w:r>
            <w:r w:rsidRPr="00801AFD">
              <w:rPr>
                <w:b/>
                <w:bCs/>
                <w:sz w:val="22"/>
                <w:szCs w:val="22"/>
                <w:vertAlign w:val="superscript"/>
                <w:lang w:val="sr-Latn-ME"/>
              </w:rPr>
              <w:t>a</w:t>
            </w:r>
          </w:p>
        </w:tc>
        <w:tc>
          <w:tcPr>
            <w:tcW w:w="0" w:type="auto"/>
            <w:tcBorders>
              <w:top w:val="single" w:sz="4" w:space="0" w:color="auto"/>
              <w:left w:val="single" w:sz="4" w:space="0" w:color="auto"/>
              <w:bottom w:val="single" w:sz="4" w:space="0" w:color="auto"/>
              <w:right w:val="single" w:sz="4" w:space="0" w:color="auto"/>
            </w:tcBorders>
            <w:hideMark/>
          </w:tcPr>
          <w:p w14:paraId="649A5D95" w14:textId="77777777" w:rsidR="00EC79EA" w:rsidRPr="00801AFD" w:rsidRDefault="00EC79EA" w:rsidP="00801AFD">
            <w:pPr>
              <w:widowControl w:val="0"/>
              <w:autoSpaceDE w:val="0"/>
              <w:autoSpaceDN w:val="0"/>
              <w:adjustRightInd w:val="0"/>
              <w:jc w:val="center"/>
              <w:rPr>
                <w:b/>
                <w:bCs/>
                <w:sz w:val="22"/>
                <w:szCs w:val="22"/>
                <w:lang w:val="sr-Latn-ME"/>
              </w:rPr>
            </w:pPr>
            <w:r w:rsidRPr="00801AFD">
              <w:rPr>
                <w:b/>
                <w:bCs/>
                <w:sz w:val="22"/>
                <w:szCs w:val="22"/>
                <w:lang w:val="sr-Latn-ME"/>
              </w:rPr>
              <w:t>Udarna doza (mg)</w:t>
            </w:r>
          </w:p>
        </w:tc>
        <w:tc>
          <w:tcPr>
            <w:tcW w:w="0" w:type="auto"/>
            <w:tcBorders>
              <w:top w:val="single" w:sz="4" w:space="0" w:color="auto"/>
              <w:left w:val="single" w:sz="4" w:space="0" w:color="auto"/>
              <w:bottom w:val="single" w:sz="4" w:space="0" w:color="auto"/>
              <w:right w:val="single" w:sz="4" w:space="0" w:color="auto"/>
            </w:tcBorders>
          </w:tcPr>
          <w:p w14:paraId="11050E0D" w14:textId="77777777" w:rsidR="00EC79EA" w:rsidRPr="00801AFD" w:rsidRDefault="00EC79EA" w:rsidP="00801AFD">
            <w:pPr>
              <w:widowControl w:val="0"/>
              <w:autoSpaceDE w:val="0"/>
              <w:autoSpaceDN w:val="0"/>
              <w:adjustRightInd w:val="0"/>
              <w:jc w:val="center"/>
              <w:rPr>
                <w:b/>
                <w:bCs/>
                <w:sz w:val="22"/>
                <w:szCs w:val="22"/>
                <w:lang w:val="sr-Latn-ME"/>
              </w:rPr>
            </w:pPr>
            <w:r w:rsidRPr="00801AFD">
              <w:rPr>
                <w:b/>
                <w:bCs/>
                <w:sz w:val="22"/>
                <w:szCs w:val="22"/>
                <w:lang w:val="sr-Latn-ME"/>
              </w:rPr>
              <w:t>Minimalno trajanje infuzije minuti (sati)</w:t>
            </w:r>
          </w:p>
        </w:tc>
        <w:tc>
          <w:tcPr>
            <w:tcW w:w="0" w:type="auto"/>
            <w:tcBorders>
              <w:top w:val="single" w:sz="4" w:space="0" w:color="auto"/>
              <w:left w:val="single" w:sz="4" w:space="0" w:color="auto"/>
              <w:bottom w:val="single" w:sz="4" w:space="0" w:color="auto"/>
              <w:right w:val="single" w:sz="4" w:space="0" w:color="auto"/>
            </w:tcBorders>
            <w:hideMark/>
          </w:tcPr>
          <w:p w14:paraId="09F8B1F0" w14:textId="77777777" w:rsidR="00EC79EA" w:rsidRPr="00801AFD" w:rsidRDefault="00EC79EA" w:rsidP="00801AFD">
            <w:pPr>
              <w:widowControl w:val="0"/>
              <w:autoSpaceDE w:val="0"/>
              <w:autoSpaceDN w:val="0"/>
              <w:adjustRightInd w:val="0"/>
              <w:jc w:val="center"/>
              <w:rPr>
                <w:b/>
                <w:bCs/>
                <w:sz w:val="22"/>
                <w:szCs w:val="22"/>
                <w:lang w:val="sr-Latn-ME"/>
              </w:rPr>
            </w:pPr>
            <w:r w:rsidRPr="00801AFD">
              <w:rPr>
                <w:b/>
                <w:bCs/>
                <w:sz w:val="22"/>
                <w:szCs w:val="22"/>
                <w:lang w:val="sr-Latn-ME"/>
              </w:rPr>
              <w:t>Doza održavanja</w:t>
            </w:r>
            <w:r w:rsidRPr="00801AFD">
              <w:rPr>
                <w:b/>
                <w:bCs/>
                <w:sz w:val="22"/>
                <w:szCs w:val="22"/>
                <w:vertAlign w:val="superscript"/>
                <w:lang w:val="sr-Latn-ME"/>
              </w:rPr>
              <w:t xml:space="preserve"> </w:t>
            </w:r>
            <w:r w:rsidRPr="00801AFD">
              <w:rPr>
                <w:b/>
                <w:bCs/>
                <w:sz w:val="22"/>
                <w:szCs w:val="22"/>
                <w:lang w:val="sr-Latn-ME"/>
              </w:rPr>
              <w:t>(mg)</w:t>
            </w:r>
          </w:p>
        </w:tc>
        <w:tc>
          <w:tcPr>
            <w:tcW w:w="0" w:type="auto"/>
            <w:tcBorders>
              <w:top w:val="single" w:sz="4" w:space="0" w:color="auto"/>
              <w:left w:val="single" w:sz="4" w:space="0" w:color="auto"/>
              <w:bottom w:val="single" w:sz="4" w:space="0" w:color="auto"/>
              <w:right w:val="single" w:sz="4" w:space="0" w:color="auto"/>
            </w:tcBorders>
          </w:tcPr>
          <w:p w14:paraId="24CEF3EB" w14:textId="77777777" w:rsidR="00EC79EA" w:rsidRPr="00801AFD" w:rsidRDefault="00EC79EA" w:rsidP="00801AFD">
            <w:pPr>
              <w:widowControl w:val="0"/>
              <w:autoSpaceDE w:val="0"/>
              <w:autoSpaceDN w:val="0"/>
              <w:adjustRightInd w:val="0"/>
              <w:jc w:val="center"/>
              <w:rPr>
                <w:b/>
                <w:bCs/>
                <w:sz w:val="22"/>
                <w:szCs w:val="22"/>
                <w:lang w:val="sr-Latn-ME"/>
              </w:rPr>
            </w:pPr>
            <w:r w:rsidRPr="00801AFD">
              <w:rPr>
                <w:b/>
                <w:bCs/>
                <w:sz w:val="22"/>
                <w:szCs w:val="22"/>
                <w:lang w:val="sr-Latn-ME"/>
              </w:rPr>
              <w:t>Minimalno trajanje infuzije minuti (sati)</w:t>
            </w:r>
          </w:p>
        </w:tc>
      </w:tr>
      <w:tr w:rsidR="00EC79EA" w:rsidRPr="00801AFD" w14:paraId="23482E33" w14:textId="77777777" w:rsidTr="00801AFD">
        <w:tc>
          <w:tcPr>
            <w:tcW w:w="0" w:type="auto"/>
            <w:tcBorders>
              <w:top w:val="single" w:sz="4" w:space="0" w:color="auto"/>
              <w:left w:val="single" w:sz="4" w:space="0" w:color="auto"/>
              <w:bottom w:val="single" w:sz="4" w:space="0" w:color="auto"/>
              <w:right w:val="single" w:sz="4" w:space="0" w:color="auto"/>
            </w:tcBorders>
          </w:tcPr>
          <w:p w14:paraId="1942D4D2"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 10 do &lt; 20</w:t>
            </w:r>
          </w:p>
        </w:tc>
        <w:tc>
          <w:tcPr>
            <w:tcW w:w="0" w:type="auto"/>
            <w:tcBorders>
              <w:top w:val="single" w:sz="4" w:space="0" w:color="auto"/>
              <w:left w:val="single" w:sz="4" w:space="0" w:color="auto"/>
              <w:bottom w:val="single" w:sz="4" w:space="0" w:color="auto"/>
              <w:right w:val="single" w:sz="4" w:space="0" w:color="auto"/>
            </w:tcBorders>
          </w:tcPr>
          <w:p w14:paraId="33EB37C8"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600</w:t>
            </w:r>
          </w:p>
        </w:tc>
        <w:tc>
          <w:tcPr>
            <w:tcW w:w="0" w:type="auto"/>
            <w:tcBorders>
              <w:top w:val="single" w:sz="4" w:space="0" w:color="auto"/>
              <w:left w:val="single" w:sz="4" w:space="0" w:color="auto"/>
              <w:bottom w:val="single" w:sz="4" w:space="0" w:color="auto"/>
              <w:right w:val="single" w:sz="4" w:space="0" w:color="auto"/>
            </w:tcBorders>
          </w:tcPr>
          <w:p w14:paraId="61C7D609"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45 (0,8)</w:t>
            </w:r>
          </w:p>
        </w:tc>
        <w:tc>
          <w:tcPr>
            <w:tcW w:w="0" w:type="auto"/>
            <w:tcBorders>
              <w:top w:val="single" w:sz="4" w:space="0" w:color="auto"/>
              <w:left w:val="single" w:sz="4" w:space="0" w:color="auto"/>
              <w:bottom w:val="single" w:sz="4" w:space="0" w:color="auto"/>
              <w:right w:val="single" w:sz="4" w:space="0" w:color="auto"/>
            </w:tcBorders>
          </w:tcPr>
          <w:p w14:paraId="4A6B0411"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600</w:t>
            </w:r>
          </w:p>
        </w:tc>
        <w:tc>
          <w:tcPr>
            <w:tcW w:w="0" w:type="auto"/>
            <w:tcBorders>
              <w:top w:val="single" w:sz="4" w:space="0" w:color="auto"/>
              <w:left w:val="single" w:sz="4" w:space="0" w:color="auto"/>
              <w:bottom w:val="single" w:sz="4" w:space="0" w:color="auto"/>
              <w:right w:val="single" w:sz="4" w:space="0" w:color="auto"/>
            </w:tcBorders>
          </w:tcPr>
          <w:p w14:paraId="0687D021"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45 (0,8)</w:t>
            </w:r>
          </w:p>
        </w:tc>
      </w:tr>
      <w:tr w:rsidR="00EC79EA" w:rsidRPr="00801AFD" w14:paraId="414721E2" w14:textId="77777777" w:rsidTr="00801AFD">
        <w:tc>
          <w:tcPr>
            <w:tcW w:w="0" w:type="auto"/>
            <w:tcBorders>
              <w:top w:val="single" w:sz="4" w:space="0" w:color="auto"/>
              <w:left w:val="single" w:sz="4" w:space="0" w:color="auto"/>
              <w:bottom w:val="single" w:sz="4" w:space="0" w:color="auto"/>
              <w:right w:val="single" w:sz="4" w:space="0" w:color="auto"/>
            </w:tcBorders>
          </w:tcPr>
          <w:p w14:paraId="23211473"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 20 do &lt; 30</w:t>
            </w:r>
          </w:p>
        </w:tc>
        <w:tc>
          <w:tcPr>
            <w:tcW w:w="0" w:type="auto"/>
            <w:tcBorders>
              <w:top w:val="single" w:sz="4" w:space="0" w:color="auto"/>
              <w:left w:val="single" w:sz="4" w:space="0" w:color="auto"/>
              <w:bottom w:val="single" w:sz="4" w:space="0" w:color="auto"/>
              <w:right w:val="single" w:sz="4" w:space="0" w:color="auto"/>
            </w:tcBorders>
          </w:tcPr>
          <w:p w14:paraId="471A42EA"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900</w:t>
            </w:r>
          </w:p>
        </w:tc>
        <w:tc>
          <w:tcPr>
            <w:tcW w:w="0" w:type="auto"/>
            <w:tcBorders>
              <w:top w:val="single" w:sz="4" w:space="0" w:color="auto"/>
              <w:left w:val="single" w:sz="4" w:space="0" w:color="auto"/>
              <w:bottom w:val="single" w:sz="4" w:space="0" w:color="auto"/>
              <w:right w:val="single" w:sz="4" w:space="0" w:color="auto"/>
            </w:tcBorders>
          </w:tcPr>
          <w:p w14:paraId="5585DB41"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35 (0,6)</w:t>
            </w:r>
          </w:p>
        </w:tc>
        <w:tc>
          <w:tcPr>
            <w:tcW w:w="0" w:type="auto"/>
            <w:tcBorders>
              <w:top w:val="single" w:sz="4" w:space="0" w:color="auto"/>
              <w:left w:val="single" w:sz="4" w:space="0" w:color="auto"/>
              <w:bottom w:val="single" w:sz="4" w:space="0" w:color="auto"/>
              <w:right w:val="single" w:sz="4" w:space="0" w:color="auto"/>
            </w:tcBorders>
          </w:tcPr>
          <w:p w14:paraId="0B393B10"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2.100</w:t>
            </w:r>
          </w:p>
        </w:tc>
        <w:tc>
          <w:tcPr>
            <w:tcW w:w="0" w:type="auto"/>
            <w:tcBorders>
              <w:top w:val="single" w:sz="4" w:space="0" w:color="auto"/>
              <w:left w:val="single" w:sz="4" w:space="0" w:color="auto"/>
              <w:bottom w:val="single" w:sz="4" w:space="0" w:color="auto"/>
              <w:right w:val="single" w:sz="4" w:space="0" w:color="auto"/>
            </w:tcBorders>
          </w:tcPr>
          <w:p w14:paraId="2D9B7E40"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75 (1,3)</w:t>
            </w:r>
          </w:p>
        </w:tc>
      </w:tr>
      <w:tr w:rsidR="00EC79EA" w:rsidRPr="00801AFD" w14:paraId="4B8CADC8" w14:textId="77777777" w:rsidTr="00801AFD">
        <w:tc>
          <w:tcPr>
            <w:tcW w:w="0" w:type="auto"/>
            <w:tcBorders>
              <w:top w:val="single" w:sz="4" w:space="0" w:color="auto"/>
              <w:left w:val="single" w:sz="4" w:space="0" w:color="auto"/>
              <w:bottom w:val="single" w:sz="4" w:space="0" w:color="auto"/>
              <w:right w:val="single" w:sz="4" w:space="0" w:color="auto"/>
            </w:tcBorders>
          </w:tcPr>
          <w:p w14:paraId="60EBC3A0"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 30 do &lt; 40</w:t>
            </w:r>
          </w:p>
        </w:tc>
        <w:tc>
          <w:tcPr>
            <w:tcW w:w="0" w:type="auto"/>
            <w:tcBorders>
              <w:top w:val="single" w:sz="4" w:space="0" w:color="auto"/>
              <w:left w:val="single" w:sz="4" w:space="0" w:color="auto"/>
              <w:bottom w:val="single" w:sz="4" w:space="0" w:color="auto"/>
              <w:right w:val="single" w:sz="4" w:space="0" w:color="auto"/>
            </w:tcBorders>
          </w:tcPr>
          <w:p w14:paraId="4FBCB9E0"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1.200</w:t>
            </w:r>
          </w:p>
        </w:tc>
        <w:tc>
          <w:tcPr>
            <w:tcW w:w="0" w:type="auto"/>
            <w:tcBorders>
              <w:top w:val="single" w:sz="4" w:space="0" w:color="auto"/>
              <w:left w:val="single" w:sz="4" w:space="0" w:color="auto"/>
              <w:bottom w:val="single" w:sz="4" w:space="0" w:color="auto"/>
              <w:right w:val="single" w:sz="4" w:space="0" w:color="auto"/>
            </w:tcBorders>
          </w:tcPr>
          <w:p w14:paraId="16339DAB"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31 (0,5)</w:t>
            </w:r>
          </w:p>
        </w:tc>
        <w:tc>
          <w:tcPr>
            <w:tcW w:w="0" w:type="auto"/>
            <w:tcBorders>
              <w:top w:val="single" w:sz="4" w:space="0" w:color="auto"/>
              <w:left w:val="single" w:sz="4" w:space="0" w:color="auto"/>
              <w:bottom w:val="single" w:sz="4" w:space="0" w:color="auto"/>
              <w:right w:val="single" w:sz="4" w:space="0" w:color="auto"/>
            </w:tcBorders>
          </w:tcPr>
          <w:p w14:paraId="5534740C"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2.700</w:t>
            </w:r>
          </w:p>
        </w:tc>
        <w:tc>
          <w:tcPr>
            <w:tcW w:w="0" w:type="auto"/>
            <w:tcBorders>
              <w:top w:val="single" w:sz="4" w:space="0" w:color="auto"/>
              <w:left w:val="single" w:sz="4" w:space="0" w:color="auto"/>
              <w:bottom w:val="single" w:sz="4" w:space="0" w:color="auto"/>
              <w:right w:val="single" w:sz="4" w:space="0" w:color="auto"/>
            </w:tcBorders>
          </w:tcPr>
          <w:p w14:paraId="5854E2C6"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65 (1,1)</w:t>
            </w:r>
          </w:p>
        </w:tc>
      </w:tr>
      <w:tr w:rsidR="00EC79EA" w:rsidRPr="00801AFD" w14:paraId="33E01ADF" w14:textId="77777777" w:rsidTr="00801AFD">
        <w:tc>
          <w:tcPr>
            <w:tcW w:w="0" w:type="auto"/>
            <w:tcBorders>
              <w:top w:val="single" w:sz="4" w:space="0" w:color="auto"/>
              <w:left w:val="single" w:sz="4" w:space="0" w:color="auto"/>
              <w:bottom w:val="single" w:sz="4" w:space="0" w:color="auto"/>
              <w:right w:val="single" w:sz="4" w:space="0" w:color="auto"/>
            </w:tcBorders>
            <w:hideMark/>
          </w:tcPr>
          <w:p w14:paraId="6EF3A20D"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 40 do &lt; 60</w:t>
            </w:r>
          </w:p>
        </w:tc>
        <w:tc>
          <w:tcPr>
            <w:tcW w:w="0" w:type="auto"/>
            <w:tcBorders>
              <w:top w:val="single" w:sz="4" w:space="0" w:color="auto"/>
              <w:left w:val="single" w:sz="4" w:space="0" w:color="auto"/>
              <w:bottom w:val="single" w:sz="4" w:space="0" w:color="auto"/>
              <w:right w:val="single" w:sz="4" w:space="0" w:color="auto"/>
            </w:tcBorders>
            <w:hideMark/>
          </w:tcPr>
          <w:p w14:paraId="139CC91B"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2.400</w:t>
            </w:r>
          </w:p>
        </w:tc>
        <w:tc>
          <w:tcPr>
            <w:tcW w:w="0" w:type="auto"/>
            <w:tcBorders>
              <w:top w:val="single" w:sz="4" w:space="0" w:color="auto"/>
              <w:left w:val="single" w:sz="4" w:space="0" w:color="auto"/>
              <w:bottom w:val="single" w:sz="4" w:space="0" w:color="auto"/>
              <w:right w:val="single" w:sz="4" w:space="0" w:color="auto"/>
            </w:tcBorders>
          </w:tcPr>
          <w:p w14:paraId="00DBD85F"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45 (0,8)</w:t>
            </w:r>
          </w:p>
        </w:tc>
        <w:tc>
          <w:tcPr>
            <w:tcW w:w="0" w:type="auto"/>
            <w:tcBorders>
              <w:top w:val="single" w:sz="4" w:space="0" w:color="auto"/>
              <w:left w:val="single" w:sz="4" w:space="0" w:color="auto"/>
              <w:bottom w:val="single" w:sz="4" w:space="0" w:color="auto"/>
              <w:right w:val="single" w:sz="4" w:space="0" w:color="auto"/>
            </w:tcBorders>
            <w:hideMark/>
          </w:tcPr>
          <w:p w14:paraId="0D085389"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3.000</w:t>
            </w:r>
          </w:p>
        </w:tc>
        <w:tc>
          <w:tcPr>
            <w:tcW w:w="0" w:type="auto"/>
            <w:tcBorders>
              <w:top w:val="single" w:sz="4" w:space="0" w:color="auto"/>
              <w:left w:val="single" w:sz="4" w:space="0" w:color="auto"/>
              <w:bottom w:val="single" w:sz="4" w:space="0" w:color="auto"/>
              <w:right w:val="single" w:sz="4" w:space="0" w:color="auto"/>
            </w:tcBorders>
          </w:tcPr>
          <w:p w14:paraId="137969E4"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55 (0,9)</w:t>
            </w:r>
          </w:p>
        </w:tc>
      </w:tr>
      <w:tr w:rsidR="00EC79EA" w:rsidRPr="00801AFD" w14:paraId="1240A357" w14:textId="77777777" w:rsidTr="00801AFD">
        <w:tc>
          <w:tcPr>
            <w:tcW w:w="0" w:type="auto"/>
            <w:tcBorders>
              <w:top w:val="single" w:sz="4" w:space="0" w:color="auto"/>
              <w:left w:val="single" w:sz="4" w:space="0" w:color="auto"/>
              <w:bottom w:val="single" w:sz="4" w:space="0" w:color="auto"/>
              <w:right w:val="single" w:sz="4" w:space="0" w:color="auto"/>
            </w:tcBorders>
            <w:hideMark/>
          </w:tcPr>
          <w:p w14:paraId="3773A056"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 60 do &lt; 100</w:t>
            </w:r>
          </w:p>
        </w:tc>
        <w:tc>
          <w:tcPr>
            <w:tcW w:w="0" w:type="auto"/>
            <w:tcBorders>
              <w:top w:val="single" w:sz="4" w:space="0" w:color="auto"/>
              <w:left w:val="single" w:sz="4" w:space="0" w:color="auto"/>
              <w:bottom w:val="single" w:sz="4" w:space="0" w:color="auto"/>
              <w:right w:val="single" w:sz="4" w:space="0" w:color="auto"/>
            </w:tcBorders>
            <w:hideMark/>
          </w:tcPr>
          <w:p w14:paraId="69DAD1BA"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2.700</w:t>
            </w:r>
          </w:p>
        </w:tc>
        <w:tc>
          <w:tcPr>
            <w:tcW w:w="0" w:type="auto"/>
            <w:tcBorders>
              <w:top w:val="single" w:sz="4" w:space="0" w:color="auto"/>
              <w:left w:val="single" w:sz="4" w:space="0" w:color="auto"/>
              <w:bottom w:val="single" w:sz="4" w:space="0" w:color="auto"/>
              <w:right w:val="single" w:sz="4" w:space="0" w:color="auto"/>
            </w:tcBorders>
          </w:tcPr>
          <w:p w14:paraId="0AACC3DC"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35 (0,6)</w:t>
            </w:r>
          </w:p>
        </w:tc>
        <w:tc>
          <w:tcPr>
            <w:tcW w:w="0" w:type="auto"/>
            <w:tcBorders>
              <w:top w:val="single" w:sz="4" w:space="0" w:color="auto"/>
              <w:left w:val="single" w:sz="4" w:space="0" w:color="auto"/>
              <w:bottom w:val="single" w:sz="4" w:space="0" w:color="auto"/>
              <w:right w:val="single" w:sz="4" w:space="0" w:color="auto"/>
            </w:tcBorders>
            <w:hideMark/>
          </w:tcPr>
          <w:p w14:paraId="20E288FE"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3.300</w:t>
            </w:r>
          </w:p>
        </w:tc>
        <w:tc>
          <w:tcPr>
            <w:tcW w:w="0" w:type="auto"/>
            <w:tcBorders>
              <w:top w:val="single" w:sz="4" w:space="0" w:color="auto"/>
              <w:left w:val="single" w:sz="4" w:space="0" w:color="auto"/>
              <w:bottom w:val="single" w:sz="4" w:space="0" w:color="auto"/>
              <w:right w:val="single" w:sz="4" w:space="0" w:color="auto"/>
            </w:tcBorders>
          </w:tcPr>
          <w:p w14:paraId="2DAE4959"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40 (0,7)</w:t>
            </w:r>
          </w:p>
        </w:tc>
      </w:tr>
      <w:tr w:rsidR="00EC79EA" w:rsidRPr="00801AFD" w14:paraId="2676A891" w14:textId="77777777" w:rsidTr="00801AFD">
        <w:tc>
          <w:tcPr>
            <w:tcW w:w="0" w:type="auto"/>
            <w:tcBorders>
              <w:top w:val="single" w:sz="4" w:space="0" w:color="auto"/>
              <w:left w:val="single" w:sz="4" w:space="0" w:color="auto"/>
              <w:bottom w:val="single" w:sz="4" w:space="0" w:color="auto"/>
              <w:right w:val="single" w:sz="4" w:space="0" w:color="auto"/>
            </w:tcBorders>
            <w:hideMark/>
          </w:tcPr>
          <w:p w14:paraId="54C7096F"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 100</w:t>
            </w:r>
          </w:p>
        </w:tc>
        <w:tc>
          <w:tcPr>
            <w:tcW w:w="0" w:type="auto"/>
            <w:tcBorders>
              <w:top w:val="single" w:sz="4" w:space="0" w:color="auto"/>
              <w:left w:val="single" w:sz="4" w:space="0" w:color="auto"/>
              <w:bottom w:val="single" w:sz="4" w:space="0" w:color="auto"/>
              <w:right w:val="single" w:sz="4" w:space="0" w:color="auto"/>
            </w:tcBorders>
            <w:hideMark/>
          </w:tcPr>
          <w:p w14:paraId="72C1D671"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3.000</w:t>
            </w:r>
          </w:p>
        </w:tc>
        <w:tc>
          <w:tcPr>
            <w:tcW w:w="0" w:type="auto"/>
            <w:tcBorders>
              <w:top w:val="single" w:sz="4" w:space="0" w:color="auto"/>
              <w:left w:val="single" w:sz="4" w:space="0" w:color="auto"/>
              <w:bottom w:val="single" w:sz="4" w:space="0" w:color="auto"/>
              <w:right w:val="single" w:sz="4" w:space="0" w:color="auto"/>
            </w:tcBorders>
          </w:tcPr>
          <w:p w14:paraId="114C9534"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25 (0,4)</w:t>
            </w:r>
          </w:p>
        </w:tc>
        <w:tc>
          <w:tcPr>
            <w:tcW w:w="0" w:type="auto"/>
            <w:tcBorders>
              <w:top w:val="single" w:sz="4" w:space="0" w:color="auto"/>
              <w:left w:val="single" w:sz="4" w:space="0" w:color="auto"/>
              <w:bottom w:val="single" w:sz="4" w:space="0" w:color="auto"/>
              <w:right w:val="single" w:sz="4" w:space="0" w:color="auto"/>
            </w:tcBorders>
            <w:hideMark/>
          </w:tcPr>
          <w:p w14:paraId="4204B1F3"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3.600</w:t>
            </w:r>
          </w:p>
        </w:tc>
        <w:tc>
          <w:tcPr>
            <w:tcW w:w="0" w:type="auto"/>
            <w:tcBorders>
              <w:top w:val="single" w:sz="4" w:space="0" w:color="auto"/>
              <w:left w:val="single" w:sz="4" w:space="0" w:color="auto"/>
              <w:bottom w:val="single" w:sz="4" w:space="0" w:color="auto"/>
              <w:right w:val="single" w:sz="4" w:space="0" w:color="auto"/>
            </w:tcBorders>
          </w:tcPr>
          <w:p w14:paraId="492B8ABF"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30 (0,5)</w:t>
            </w:r>
          </w:p>
        </w:tc>
      </w:tr>
    </w:tbl>
    <w:p w14:paraId="312D7AB9" w14:textId="111C3105" w:rsidR="00EC79EA" w:rsidRPr="00801AFD" w:rsidRDefault="00EC79EA" w:rsidP="00801AFD">
      <w:pPr>
        <w:pStyle w:val="Default"/>
        <w:widowControl w:val="0"/>
        <w:jc w:val="both"/>
        <w:rPr>
          <w:sz w:val="20"/>
          <w:szCs w:val="22"/>
          <w:lang w:val="sr-Latn-ME"/>
        </w:rPr>
      </w:pPr>
      <w:r w:rsidRPr="00801AFD">
        <w:rPr>
          <w:sz w:val="20"/>
          <w:szCs w:val="22"/>
          <w:vertAlign w:val="superscript"/>
          <w:lang w:val="sr-Latn-ME"/>
        </w:rPr>
        <w:t xml:space="preserve">a </w:t>
      </w:r>
      <w:r w:rsidRPr="00801AFD">
        <w:rPr>
          <w:sz w:val="20"/>
          <w:szCs w:val="22"/>
          <w:lang w:val="sr-Latn-ME"/>
        </w:rPr>
        <w:t xml:space="preserve">Tjelesna </w:t>
      </w:r>
      <w:r w:rsidR="00852A5C" w:rsidRPr="00801AFD">
        <w:rPr>
          <w:sz w:val="20"/>
          <w:szCs w:val="22"/>
          <w:lang w:val="sr-Latn-ME"/>
        </w:rPr>
        <w:t xml:space="preserve">težina </w:t>
      </w:r>
      <w:r w:rsidRPr="00801AFD">
        <w:rPr>
          <w:sz w:val="20"/>
          <w:szCs w:val="22"/>
          <w:lang w:val="sr-Latn-ME"/>
        </w:rPr>
        <w:t xml:space="preserve">u vrijeme liječenja. </w:t>
      </w:r>
    </w:p>
    <w:p w14:paraId="38C9DFF4" w14:textId="0E1D6B6C" w:rsidR="00EC79EA" w:rsidRPr="00801AFD" w:rsidRDefault="007D0F27" w:rsidP="00801AFD">
      <w:pPr>
        <w:pStyle w:val="Default"/>
        <w:widowControl w:val="0"/>
        <w:jc w:val="both"/>
        <w:rPr>
          <w:sz w:val="20"/>
          <w:szCs w:val="22"/>
          <w:lang w:val="sr-Latn-ME"/>
        </w:rPr>
      </w:pPr>
      <w:r w:rsidRPr="00801AFD">
        <w:rPr>
          <w:sz w:val="20"/>
          <w:szCs w:val="22"/>
          <w:vertAlign w:val="superscript"/>
          <w:lang w:val="sr-Latn-ME"/>
        </w:rPr>
        <w:t>b</w:t>
      </w:r>
      <w:r w:rsidRPr="00801AFD">
        <w:rPr>
          <w:sz w:val="20"/>
          <w:szCs w:val="22"/>
          <w:lang w:val="sr-Latn-ME"/>
        </w:rPr>
        <w:t xml:space="preserve"> samo za PNH i a HUS indikacije</w:t>
      </w:r>
    </w:p>
    <w:p w14:paraId="19AECC5A" w14:textId="193A2AD3" w:rsidR="007D0F27" w:rsidRPr="00801AFD" w:rsidRDefault="007D0F27" w:rsidP="00801AFD">
      <w:pPr>
        <w:pStyle w:val="Default"/>
        <w:widowControl w:val="0"/>
        <w:jc w:val="both"/>
        <w:rPr>
          <w:sz w:val="22"/>
          <w:szCs w:val="22"/>
          <w:lang w:val="sr-Latn-ME"/>
        </w:rPr>
      </w:pPr>
    </w:p>
    <w:p w14:paraId="751E47AC" w14:textId="20C52DFE" w:rsidR="007D0F27" w:rsidRPr="00801AFD" w:rsidRDefault="007D0F27" w:rsidP="00801AFD">
      <w:pPr>
        <w:widowControl w:val="0"/>
        <w:autoSpaceDE w:val="0"/>
        <w:autoSpaceDN w:val="0"/>
        <w:adjustRightInd w:val="0"/>
        <w:jc w:val="both"/>
        <w:rPr>
          <w:b/>
          <w:bCs/>
          <w:color w:val="000000"/>
          <w:sz w:val="22"/>
          <w:szCs w:val="22"/>
          <w:lang w:val="sr-Latn-ME"/>
        </w:rPr>
      </w:pPr>
      <w:r w:rsidRPr="00801AFD">
        <w:rPr>
          <w:b/>
          <w:bCs/>
          <w:color w:val="000000"/>
          <w:sz w:val="22"/>
          <w:szCs w:val="22"/>
          <w:lang w:val="sr-Latn-ME"/>
        </w:rPr>
        <w:t xml:space="preserve">Tabela </w:t>
      </w:r>
      <w:r w:rsidR="00E14297" w:rsidRPr="00801AFD">
        <w:rPr>
          <w:b/>
          <w:bCs/>
          <w:color w:val="000000"/>
          <w:sz w:val="22"/>
          <w:szCs w:val="22"/>
          <w:lang w:val="sr-Latn-ME"/>
        </w:rPr>
        <w:t>7</w:t>
      </w:r>
      <w:r w:rsidRPr="00801AFD">
        <w:rPr>
          <w:b/>
          <w:bCs/>
          <w:color w:val="000000"/>
          <w:sz w:val="22"/>
          <w:szCs w:val="22"/>
          <w:lang w:val="sr-Latn-ME"/>
        </w:rPr>
        <w:t>: Brz</w:t>
      </w:r>
      <w:r w:rsidR="0099493B" w:rsidRPr="00801AFD">
        <w:rPr>
          <w:b/>
          <w:bCs/>
          <w:color w:val="000000"/>
          <w:sz w:val="22"/>
          <w:szCs w:val="22"/>
          <w:lang w:val="sr-Latn-ME"/>
        </w:rPr>
        <w:t>i</w:t>
      </w:r>
      <w:r w:rsidRPr="00801AFD">
        <w:rPr>
          <w:b/>
          <w:bCs/>
          <w:color w:val="000000"/>
          <w:sz w:val="22"/>
          <w:szCs w:val="22"/>
          <w:lang w:val="sr-Latn-ME"/>
        </w:rPr>
        <w:t>na prim</w:t>
      </w:r>
      <w:r w:rsidR="0099493B" w:rsidRPr="00801AFD">
        <w:rPr>
          <w:b/>
          <w:bCs/>
          <w:color w:val="000000"/>
          <w:sz w:val="22"/>
          <w:szCs w:val="22"/>
          <w:lang w:val="sr-Latn-ME"/>
        </w:rPr>
        <w:t>j</w:t>
      </w:r>
      <w:r w:rsidRPr="00801AFD">
        <w:rPr>
          <w:b/>
          <w:bCs/>
          <w:color w:val="000000"/>
          <w:sz w:val="22"/>
          <w:szCs w:val="22"/>
          <w:lang w:val="sr-Latn-ME"/>
        </w:rPr>
        <w:t>ene doze l</w:t>
      </w:r>
      <w:r w:rsidR="0099493B" w:rsidRPr="00801AFD">
        <w:rPr>
          <w:b/>
          <w:bCs/>
          <w:color w:val="000000"/>
          <w:sz w:val="22"/>
          <w:szCs w:val="22"/>
          <w:lang w:val="sr-Latn-ME"/>
        </w:rPr>
        <w:t>ij</w:t>
      </w:r>
      <w:r w:rsidRPr="00801AFD">
        <w:rPr>
          <w:b/>
          <w:bCs/>
          <w:color w:val="000000"/>
          <w:sz w:val="22"/>
          <w:szCs w:val="22"/>
          <w:lang w:val="sr-Latn-ME"/>
        </w:rPr>
        <w:t>eka za dodatne doze l</w:t>
      </w:r>
      <w:r w:rsidR="0099493B" w:rsidRPr="00801AFD">
        <w:rPr>
          <w:b/>
          <w:bCs/>
          <w:color w:val="000000"/>
          <w:sz w:val="22"/>
          <w:szCs w:val="22"/>
          <w:lang w:val="sr-Latn-ME"/>
        </w:rPr>
        <w:t>ij</w:t>
      </w:r>
      <w:r w:rsidRPr="00801AFD">
        <w:rPr>
          <w:b/>
          <w:bCs/>
          <w:color w:val="000000"/>
          <w:sz w:val="22"/>
          <w:szCs w:val="22"/>
          <w:lang w:val="sr-Latn-ME"/>
        </w:rPr>
        <w:t>eka Ultomiris 300mg/3m</w:t>
      </w:r>
      <w:r w:rsidR="00AB7D31" w:rsidRPr="00801AFD">
        <w:rPr>
          <w:b/>
          <w:bCs/>
          <w:color w:val="000000"/>
          <w:sz w:val="22"/>
          <w:szCs w:val="22"/>
          <w:lang w:val="sr-Latn-ME"/>
        </w:rPr>
        <w:t>l</w:t>
      </w:r>
      <w:r w:rsidRPr="00801AFD">
        <w:rPr>
          <w:b/>
          <w:bCs/>
          <w:color w:val="000000"/>
          <w:sz w:val="22"/>
          <w:szCs w:val="22"/>
          <w:lang w:val="sr-Latn-ME"/>
        </w:rPr>
        <w:t xml:space="preserve"> i 1100mg/11m</w:t>
      </w:r>
      <w:r w:rsidR="00AB7D31" w:rsidRPr="00801AFD">
        <w:rPr>
          <w:b/>
          <w:bCs/>
          <w:color w:val="000000"/>
          <w:sz w:val="22"/>
          <w:szCs w:val="22"/>
          <w:lang w:val="sr-Latn-ME"/>
        </w:rPr>
        <w:t>l</w:t>
      </w:r>
      <w:r w:rsidRPr="00801AFD">
        <w:rPr>
          <w:b/>
          <w:bCs/>
          <w:color w:val="000000"/>
          <w:sz w:val="22"/>
          <w:szCs w:val="22"/>
          <w:lang w:val="sr-Latn-ME"/>
        </w:rPr>
        <w:t xml:space="preserve">, koncentrat za rastvor za infuziju </w:t>
      </w:r>
    </w:p>
    <w:p w14:paraId="50F75F0D" w14:textId="77777777" w:rsidR="007D0F27" w:rsidRPr="00801AFD" w:rsidRDefault="007D0F27" w:rsidP="00801AFD">
      <w:pPr>
        <w:widowControl w:val="0"/>
        <w:jc w:val="both"/>
        <w:rPr>
          <w:color w:val="000000"/>
          <w:sz w:val="22"/>
          <w:szCs w:val="22"/>
          <w:lang w:val="sr-Latn-ME"/>
        </w:rPr>
      </w:pPr>
    </w:p>
    <w:tbl>
      <w:tblPr>
        <w:tblStyle w:val="TableGrid"/>
        <w:tblW w:w="5000" w:type="pct"/>
        <w:tblLook w:val="04A0" w:firstRow="1" w:lastRow="0" w:firstColumn="1" w:lastColumn="0" w:noHBand="0" w:noVBand="1"/>
      </w:tblPr>
      <w:tblGrid>
        <w:gridCol w:w="3293"/>
        <w:gridCol w:w="2437"/>
        <w:gridCol w:w="3333"/>
      </w:tblGrid>
      <w:tr w:rsidR="007D0F27" w:rsidRPr="00801AFD" w14:paraId="77D0B158" w14:textId="77777777" w:rsidTr="00801AFD">
        <w:tc>
          <w:tcPr>
            <w:tcW w:w="0" w:type="auto"/>
          </w:tcPr>
          <w:p w14:paraId="2DAC724E" w14:textId="01915161" w:rsidR="007D0F27" w:rsidRPr="00801AFD" w:rsidRDefault="007D0F27" w:rsidP="00801AFD">
            <w:pPr>
              <w:pStyle w:val="Default"/>
              <w:widowControl w:val="0"/>
              <w:jc w:val="center"/>
              <w:rPr>
                <w:b/>
                <w:bCs/>
                <w:sz w:val="22"/>
                <w:szCs w:val="22"/>
                <w:lang w:val="sr-Latn-ME"/>
              </w:rPr>
            </w:pPr>
            <w:r w:rsidRPr="00801AFD">
              <w:rPr>
                <w:b/>
                <w:bCs/>
                <w:sz w:val="22"/>
                <w:szCs w:val="22"/>
                <w:lang w:val="sr-Latn-ME"/>
              </w:rPr>
              <w:t>Raspon t</w:t>
            </w:r>
            <w:r w:rsidR="0099493B" w:rsidRPr="00801AFD">
              <w:rPr>
                <w:b/>
                <w:bCs/>
                <w:sz w:val="22"/>
                <w:szCs w:val="22"/>
                <w:lang w:val="sr-Latn-ME"/>
              </w:rPr>
              <w:t>j</w:t>
            </w:r>
            <w:r w:rsidRPr="00801AFD">
              <w:rPr>
                <w:b/>
                <w:bCs/>
                <w:sz w:val="22"/>
                <w:szCs w:val="22"/>
                <w:lang w:val="sr-Latn-ME"/>
              </w:rPr>
              <w:t xml:space="preserve">elesne </w:t>
            </w:r>
            <w:r w:rsidR="00852A5C" w:rsidRPr="00801AFD">
              <w:rPr>
                <w:b/>
                <w:bCs/>
                <w:sz w:val="22"/>
                <w:szCs w:val="22"/>
                <w:lang w:val="sr-Latn-ME"/>
              </w:rPr>
              <w:t xml:space="preserve">težine </w:t>
            </w:r>
            <w:r w:rsidRPr="00801AFD">
              <w:rPr>
                <w:b/>
                <w:bCs/>
                <w:sz w:val="22"/>
                <w:szCs w:val="22"/>
                <w:lang w:val="sr-Latn-ME"/>
              </w:rPr>
              <w:t>(kg)</w:t>
            </w:r>
            <w:r w:rsidRPr="00801AFD">
              <w:rPr>
                <w:b/>
                <w:bCs/>
                <w:sz w:val="22"/>
                <w:szCs w:val="22"/>
                <w:vertAlign w:val="superscript"/>
                <w:lang w:val="sr-Latn-ME"/>
              </w:rPr>
              <w:t>a</w:t>
            </w:r>
          </w:p>
        </w:tc>
        <w:tc>
          <w:tcPr>
            <w:tcW w:w="0" w:type="auto"/>
          </w:tcPr>
          <w:p w14:paraId="4BA9E5B7" w14:textId="77777777" w:rsidR="007D0F27" w:rsidRPr="00801AFD" w:rsidRDefault="007D0F27" w:rsidP="00801AFD">
            <w:pPr>
              <w:pStyle w:val="Default"/>
              <w:widowControl w:val="0"/>
              <w:jc w:val="center"/>
              <w:rPr>
                <w:b/>
                <w:bCs/>
                <w:sz w:val="22"/>
                <w:szCs w:val="22"/>
                <w:lang w:val="sr-Latn-ME"/>
              </w:rPr>
            </w:pPr>
            <w:r w:rsidRPr="00801AFD">
              <w:rPr>
                <w:b/>
                <w:bCs/>
                <w:sz w:val="22"/>
                <w:szCs w:val="22"/>
                <w:lang w:val="sr-Latn-ME"/>
              </w:rPr>
              <w:t>Dodatna doza</w:t>
            </w:r>
            <w:r w:rsidRPr="00801AFD">
              <w:rPr>
                <w:b/>
                <w:bCs/>
                <w:sz w:val="22"/>
                <w:szCs w:val="22"/>
                <w:vertAlign w:val="superscript"/>
                <w:lang w:val="sr-Latn-ME"/>
              </w:rPr>
              <w:t xml:space="preserve">b </w:t>
            </w:r>
            <w:r w:rsidRPr="00801AFD">
              <w:rPr>
                <w:b/>
                <w:bCs/>
                <w:sz w:val="22"/>
                <w:szCs w:val="22"/>
                <w:lang w:val="sr-Latn-ME"/>
              </w:rPr>
              <w:t>(mg)</w:t>
            </w:r>
          </w:p>
        </w:tc>
        <w:tc>
          <w:tcPr>
            <w:tcW w:w="0" w:type="auto"/>
          </w:tcPr>
          <w:p w14:paraId="4FDE6CFB" w14:textId="77777777" w:rsidR="007D0F27" w:rsidRPr="00801AFD" w:rsidRDefault="007D0F27" w:rsidP="00801AFD">
            <w:pPr>
              <w:pStyle w:val="Default"/>
              <w:widowControl w:val="0"/>
              <w:jc w:val="center"/>
              <w:rPr>
                <w:b/>
                <w:bCs/>
                <w:sz w:val="22"/>
                <w:szCs w:val="22"/>
                <w:lang w:val="sr-Latn-ME"/>
              </w:rPr>
            </w:pPr>
            <w:r w:rsidRPr="00801AFD">
              <w:rPr>
                <w:b/>
                <w:bCs/>
                <w:sz w:val="22"/>
                <w:szCs w:val="22"/>
                <w:lang w:val="sr-Latn-ME"/>
              </w:rPr>
              <w:t>Minimalno trajanje infuzije</w:t>
            </w:r>
          </w:p>
          <w:p w14:paraId="2307A84F" w14:textId="77777777" w:rsidR="007D0F27" w:rsidRPr="00801AFD" w:rsidRDefault="007D0F27" w:rsidP="00801AFD">
            <w:pPr>
              <w:pStyle w:val="Default"/>
              <w:widowControl w:val="0"/>
              <w:jc w:val="center"/>
              <w:rPr>
                <w:b/>
                <w:bCs/>
                <w:sz w:val="22"/>
                <w:szCs w:val="22"/>
                <w:lang w:val="sr-Latn-ME"/>
              </w:rPr>
            </w:pPr>
            <w:r w:rsidRPr="00801AFD">
              <w:rPr>
                <w:b/>
                <w:bCs/>
                <w:sz w:val="22"/>
                <w:szCs w:val="22"/>
                <w:lang w:val="sr-Latn-ME"/>
              </w:rPr>
              <w:t>minuti (sati)</w:t>
            </w:r>
          </w:p>
        </w:tc>
      </w:tr>
      <w:tr w:rsidR="007D0F27" w:rsidRPr="00801AFD" w14:paraId="6927AE26" w14:textId="77777777" w:rsidTr="00801AFD">
        <w:tc>
          <w:tcPr>
            <w:tcW w:w="0" w:type="auto"/>
            <w:vMerge w:val="restart"/>
          </w:tcPr>
          <w:p w14:paraId="1C306439" w14:textId="77777777" w:rsidR="007D0F27" w:rsidRPr="00801AFD" w:rsidRDefault="007D0F27" w:rsidP="00801AFD">
            <w:pPr>
              <w:widowControl w:val="0"/>
              <w:autoSpaceDE w:val="0"/>
              <w:autoSpaceDN w:val="0"/>
              <w:adjustRightInd w:val="0"/>
              <w:jc w:val="center"/>
              <w:rPr>
                <w:sz w:val="22"/>
                <w:szCs w:val="22"/>
                <w:lang w:val="sr-Latn-ME"/>
              </w:rPr>
            </w:pPr>
            <w:r w:rsidRPr="00801AFD">
              <w:rPr>
                <w:sz w:val="22"/>
                <w:szCs w:val="22"/>
                <w:lang w:val="sr-Latn-ME"/>
              </w:rPr>
              <w:t>≥ 40 to &lt; 60</w:t>
            </w:r>
          </w:p>
          <w:p w14:paraId="07819DE0" w14:textId="77777777" w:rsidR="007D0F27" w:rsidRPr="00801AFD" w:rsidRDefault="007D0F27" w:rsidP="00801AFD">
            <w:pPr>
              <w:widowControl w:val="0"/>
              <w:autoSpaceDE w:val="0"/>
              <w:autoSpaceDN w:val="0"/>
              <w:adjustRightInd w:val="0"/>
              <w:jc w:val="center"/>
              <w:rPr>
                <w:sz w:val="22"/>
                <w:szCs w:val="22"/>
                <w:lang w:val="sr-Latn-ME"/>
              </w:rPr>
            </w:pPr>
          </w:p>
        </w:tc>
        <w:tc>
          <w:tcPr>
            <w:tcW w:w="0" w:type="auto"/>
          </w:tcPr>
          <w:p w14:paraId="12925293"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600</w:t>
            </w:r>
          </w:p>
        </w:tc>
        <w:tc>
          <w:tcPr>
            <w:tcW w:w="0" w:type="auto"/>
          </w:tcPr>
          <w:p w14:paraId="12768DB9"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15(0.25)</w:t>
            </w:r>
          </w:p>
        </w:tc>
      </w:tr>
      <w:tr w:rsidR="007D0F27" w:rsidRPr="00801AFD" w14:paraId="4FBB0C44" w14:textId="77777777" w:rsidTr="00801AFD">
        <w:tc>
          <w:tcPr>
            <w:tcW w:w="0" w:type="auto"/>
            <w:vMerge/>
          </w:tcPr>
          <w:p w14:paraId="3250CDA2" w14:textId="77777777" w:rsidR="007D0F27" w:rsidRPr="00801AFD" w:rsidRDefault="007D0F27" w:rsidP="00801AFD">
            <w:pPr>
              <w:widowControl w:val="0"/>
              <w:autoSpaceDE w:val="0"/>
              <w:autoSpaceDN w:val="0"/>
              <w:adjustRightInd w:val="0"/>
              <w:jc w:val="center"/>
              <w:rPr>
                <w:sz w:val="22"/>
                <w:szCs w:val="22"/>
                <w:lang w:val="sr-Latn-ME"/>
              </w:rPr>
            </w:pPr>
          </w:p>
        </w:tc>
        <w:tc>
          <w:tcPr>
            <w:tcW w:w="0" w:type="auto"/>
          </w:tcPr>
          <w:p w14:paraId="60ED93EB"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1200</w:t>
            </w:r>
          </w:p>
        </w:tc>
        <w:tc>
          <w:tcPr>
            <w:tcW w:w="0" w:type="auto"/>
          </w:tcPr>
          <w:p w14:paraId="155096EF"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25 (0.42)</w:t>
            </w:r>
          </w:p>
        </w:tc>
      </w:tr>
      <w:tr w:rsidR="007D0F27" w:rsidRPr="00801AFD" w14:paraId="0F9E0EA4" w14:textId="77777777" w:rsidTr="00801AFD">
        <w:tc>
          <w:tcPr>
            <w:tcW w:w="0" w:type="auto"/>
            <w:vMerge/>
          </w:tcPr>
          <w:p w14:paraId="55D26471" w14:textId="77777777" w:rsidR="007D0F27" w:rsidRPr="00801AFD" w:rsidRDefault="007D0F27" w:rsidP="00801AFD">
            <w:pPr>
              <w:widowControl w:val="0"/>
              <w:autoSpaceDE w:val="0"/>
              <w:autoSpaceDN w:val="0"/>
              <w:adjustRightInd w:val="0"/>
              <w:jc w:val="center"/>
              <w:rPr>
                <w:sz w:val="22"/>
                <w:szCs w:val="22"/>
                <w:lang w:val="sr-Latn-ME"/>
              </w:rPr>
            </w:pPr>
          </w:p>
        </w:tc>
        <w:tc>
          <w:tcPr>
            <w:tcW w:w="0" w:type="auto"/>
          </w:tcPr>
          <w:p w14:paraId="036437CB"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1500</w:t>
            </w:r>
          </w:p>
        </w:tc>
        <w:tc>
          <w:tcPr>
            <w:tcW w:w="0" w:type="auto"/>
            <w:vAlign w:val="center"/>
          </w:tcPr>
          <w:p w14:paraId="36BD1A13"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30 (0.5)</w:t>
            </w:r>
          </w:p>
        </w:tc>
      </w:tr>
      <w:tr w:rsidR="007D0F27" w:rsidRPr="00801AFD" w14:paraId="24A091F7" w14:textId="77777777" w:rsidTr="00801AFD">
        <w:tc>
          <w:tcPr>
            <w:tcW w:w="0" w:type="auto"/>
            <w:vMerge w:val="restart"/>
          </w:tcPr>
          <w:p w14:paraId="3DA464D9" w14:textId="77777777" w:rsidR="007D0F27" w:rsidRPr="00801AFD" w:rsidRDefault="007D0F27" w:rsidP="00801AFD">
            <w:pPr>
              <w:widowControl w:val="0"/>
              <w:autoSpaceDE w:val="0"/>
              <w:autoSpaceDN w:val="0"/>
              <w:adjustRightInd w:val="0"/>
              <w:jc w:val="center"/>
              <w:rPr>
                <w:sz w:val="22"/>
                <w:szCs w:val="22"/>
                <w:lang w:val="sr-Latn-ME"/>
              </w:rPr>
            </w:pPr>
            <w:r w:rsidRPr="00801AFD">
              <w:rPr>
                <w:sz w:val="22"/>
                <w:szCs w:val="22"/>
                <w:lang w:val="sr-Latn-ME"/>
              </w:rPr>
              <w:t>≥ 60 to &lt; 100</w:t>
            </w:r>
          </w:p>
        </w:tc>
        <w:tc>
          <w:tcPr>
            <w:tcW w:w="0" w:type="auto"/>
          </w:tcPr>
          <w:p w14:paraId="66BDA64E"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600</w:t>
            </w:r>
          </w:p>
        </w:tc>
        <w:tc>
          <w:tcPr>
            <w:tcW w:w="0" w:type="auto"/>
            <w:vAlign w:val="center"/>
          </w:tcPr>
          <w:p w14:paraId="14A1F77F"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12 (0.20)</w:t>
            </w:r>
          </w:p>
        </w:tc>
      </w:tr>
      <w:tr w:rsidR="007D0F27" w:rsidRPr="00801AFD" w14:paraId="6481618E" w14:textId="77777777" w:rsidTr="00801AFD">
        <w:tc>
          <w:tcPr>
            <w:tcW w:w="0" w:type="auto"/>
            <w:vMerge/>
          </w:tcPr>
          <w:p w14:paraId="3F0C6781" w14:textId="77777777" w:rsidR="007D0F27" w:rsidRPr="00801AFD" w:rsidRDefault="007D0F27" w:rsidP="00801AFD">
            <w:pPr>
              <w:widowControl w:val="0"/>
              <w:autoSpaceDE w:val="0"/>
              <w:autoSpaceDN w:val="0"/>
              <w:adjustRightInd w:val="0"/>
              <w:jc w:val="center"/>
              <w:rPr>
                <w:sz w:val="22"/>
                <w:szCs w:val="22"/>
                <w:lang w:val="sr-Latn-ME"/>
              </w:rPr>
            </w:pPr>
          </w:p>
        </w:tc>
        <w:tc>
          <w:tcPr>
            <w:tcW w:w="0" w:type="auto"/>
          </w:tcPr>
          <w:p w14:paraId="59EB913C"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1500</w:t>
            </w:r>
          </w:p>
        </w:tc>
        <w:tc>
          <w:tcPr>
            <w:tcW w:w="0" w:type="auto"/>
            <w:vAlign w:val="center"/>
          </w:tcPr>
          <w:p w14:paraId="3D2F8EAD"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22 (0.36)</w:t>
            </w:r>
          </w:p>
        </w:tc>
      </w:tr>
      <w:tr w:rsidR="007D0F27" w:rsidRPr="00801AFD" w14:paraId="5712795E" w14:textId="77777777" w:rsidTr="00801AFD">
        <w:tc>
          <w:tcPr>
            <w:tcW w:w="0" w:type="auto"/>
            <w:vMerge/>
          </w:tcPr>
          <w:p w14:paraId="52887534" w14:textId="77777777" w:rsidR="007D0F27" w:rsidRPr="00801AFD" w:rsidRDefault="007D0F27" w:rsidP="00801AFD">
            <w:pPr>
              <w:widowControl w:val="0"/>
              <w:autoSpaceDE w:val="0"/>
              <w:autoSpaceDN w:val="0"/>
              <w:adjustRightInd w:val="0"/>
              <w:jc w:val="center"/>
              <w:rPr>
                <w:sz w:val="22"/>
                <w:szCs w:val="22"/>
                <w:lang w:val="sr-Latn-ME"/>
              </w:rPr>
            </w:pPr>
          </w:p>
        </w:tc>
        <w:tc>
          <w:tcPr>
            <w:tcW w:w="0" w:type="auto"/>
          </w:tcPr>
          <w:p w14:paraId="580525F4"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1800</w:t>
            </w:r>
          </w:p>
        </w:tc>
        <w:tc>
          <w:tcPr>
            <w:tcW w:w="0" w:type="auto"/>
            <w:vAlign w:val="center"/>
          </w:tcPr>
          <w:p w14:paraId="588DE837"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25 (0.42)</w:t>
            </w:r>
          </w:p>
        </w:tc>
      </w:tr>
      <w:tr w:rsidR="007D0F27" w:rsidRPr="00801AFD" w14:paraId="0266A7B7" w14:textId="77777777" w:rsidTr="00801AFD">
        <w:tc>
          <w:tcPr>
            <w:tcW w:w="0" w:type="auto"/>
            <w:vMerge w:val="restart"/>
          </w:tcPr>
          <w:p w14:paraId="7AC700DC" w14:textId="77777777" w:rsidR="007D0F27" w:rsidRPr="00801AFD" w:rsidRDefault="007D0F27" w:rsidP="00801AFD">
            <w:pPr>
              <w:widowControl w:val="0"/>
              <w:autoSpaceDE w:val="0"/>
              <w:autoSpaceDN w:val="0"/>
              <w:adjustRightInd w:val="0"/>
              <w:jc w:val="center"/>
              <w:rPr>
                <w:sz w:val="22"/>
                <w:szCs w:val="22"/>
                <w:lang w:val="sr-Latn-ME"/>
              </w:rPr>
            </w:pPr>
            <w:r w:rsidRPr="00801AFD">
              <w:rPr>
                <w:sz w:val="22"/>
                <w:szCs w:val="22"/>
                <w:lang w:val="sr-Latn-ME"/>
              </w:rPr>
              <w:t>≥ 100</w:t>
            </w:r>
          </w:p>
        </w:tc>
        <w:tc>
          <w:tcPr>
            <w:tcW w:w="0" w:type="auto"/>
          </w:tcPr>
          <w:p w14:paraId="3F78DF79"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600</w:t>
            </w:r>
          </w:p>
        </w:tc>
        <w:tc>
          <w:tcPr>
            <w:tcW w:w="0" w:type="auto"/>
            <w:vAlign w:val="center"/>
          </w:tcPr>
          <w:p w14:paraId="1B21FFFF"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10 (0.17)</w:t>
            </w:r>
          </w:p>
        </w:tc>
      </w:tr>
      <w:tr w:rsidR="007D0F27" w:rsidRPr="00801AFD" w14:paraId="77714EA9" w14:textId="77777777" w:rsidTr="00801AFD">
        <w:tc>
          <w:tcPr>
            <w:tcW w:w="0" w:type="auto"/>
            <w:vMerge/>
          </w:tcPr>
          <w:p w14:paraId="373CD54C" w14:textId="77777777" w:rsidR="007D0F27" w:rsidRPr="00801AFD" w:rsidRDefault="007D0F27" w:rsidP="00801AFD">
            <w:pPr>
              <w:pStyle w:val="Default"/>
              <w:widowControl w:val="0"/>
              <w:jc w:val="center"/>
              <w:rPr>
                <w:b/>
                <w:bCs/>
                <w:sz w:val="22"/>
                <w:szCs w:val="22"/>
                <w:lang w:val="sr-Latn-ME"/>
              </w:rPr>
            </w:pPr>
          </w:p>
        </w:tc>
        <w:tc>
          <w:tcPr>
            <w:tcW w:w="0" w:type="auto"/>
          </w:tcPr>
          <w:p w14:paraId="33CF98D5"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1500</w:t>
            </w:r>
          </w:p>
        </w:tc>
        <w:tc>
          <w:tcPr>
            <w:tcW w:w="0" w:type="auto"/>
            <w:vAlign w:val="center"/>
          </w:tcPr>
          <w:p w14:paraId="3E26F427"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15 (0.25)</w:t>
            </w:r>
          </w:p>
        </w:tc>
      </w:tr>
      <w:tr w:rsidR="007D0F27" w:rsidRPr="00801AFD" w14:paraId="2523E22C" w14:textId="77777777" w:rsidTr="00801AFD">
        <w:tc>
          <w:tcPr>
            <w:tcW w:w="0" w:type="auto"/>
            <w:vMerge/>
          </w:tcPr>
          <w:p w14:paraId="50E3A912" w14:textId="77777777" w:rsidR="007D0F27" w:rsidRPr="00801AFD" w:rsidRDefault="007D0F27" w:rsidP="00801AFD">
            <w:pPr>
              <w:pStyle w:val="Default"/>
              <w:widowControl w:val="0"/>
              <w:jc w:val="center"/>
              <w:rPr>
                <w:b/>
                <w:bCs/>
                <w:sz w:val="22"/>
                <w:szCs w:val="22"/>
                <w:lang w:val="sr-Latn-ME"/>
              </w:rPr>
            </w:pPr>
          </w:p>
        </w:tc>
        <w:tc>
          <w:tcPr>
            <w:tcW w:w="0" w:type="auto"/>
          </w:tcPr>
          <w:p w14:paraId="48DA0529"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1800</w:t>
            </w:r>
          </w:p>
        </w:tc>
        <w:tc>
          <w:tcPr>
            <w:tcW w:w="0" w:type="auto"/>
            <w:vAlign w:val="center"/>
          </w:tcPr>
          <w:p w14:paraId="6F04C5C4" w14:textId="77777777" w:rsidR="007D0F27" w:rsidRPr="00801AFD" w:rsidRDefault="007D0F27" w:rsidP="00801AFD">
            <w:pPr>
              <w:pStyle w:val="Default"/>
              <w:widowControl w:val="0"/>
              <w:jc w:val="center"/>
              <w:rPr>
                <w:color w:val="auto"/>
                <w:sz w:val="22"/>
                <w:szCs w:val="22"/>
                <w:lang w:val="sr-Latn-ME"/>
              </w:rPr>
            </w:pPr>
            <w:r w:rsidRPr="00801AFD">
              <w:rPr>
                <w:color w:val="auto"/>
                <w:sz w:val="22"/>
                <w:szCs w:val="22"/>
                <w:lang w:val="sr-Latn-ME"/>
              </w:rPr>
              <w:t>17 (0.28)</w:t>
            </w:r>
          </w:p>
        </w:tc>
      </w:tr>
    </w:tbl>
    <w:p w14:paraId="06C598A2" w14:textId="3EEBB16F" w:rsidR="007D0F27" w:rsidRPr="00801AFD" w:rsidRDefault="007D0F27" w:rsidP="00801AFD">
      <w:pPr>
        <w:pStyle w:val="Default"/>
        <w:widowControl w:val="0"/>
        <w:jc w:val="both"/>
        <w:rPr>
          <w:sz w:val="20"/>
          <w:szCs w:val="22"/>
          <w:lang w:val="sr-Latn-ME"/>
        </w:rPr>
      </w:pPr>
      <w:r w:rsidRPr="00801AFD">
        <w:rPr>
          <w:sz w:val="20"/>
          <w:szCs w:val="22"/>
          <w:vertAlign w:val="superscript"/>
          <w:lang w:val="sr-Latn-ME"/>
        </w:rPr>
        <w:t>a</w:t>
      </w:r>
      <w:r w:rsidRPr="00801AFD">
        <w:rPr>
          <w:sz w:val="20"/>
          <w:szCs w:val="22"/>
          <w:lang w:val="sr-Latn-ME"/>
        </w:rPr>
        <w:t>T</w:t>
      </w:r>
      <w:r w:rsidR="0099493B" w:rsidRPr="00801AFD">
        <w:rPr>
          <w:sz w:val="20"/>
          <w:szCs w:val="22"/>
          <w:lang w:val="sr-Latn-ME"/>
        </w:rPr>
        <w:t>j</w:t>
      </w:r>
      <w:r w:rsidRPr="00801AFD">
        <w:rPr>
          <w:sz w:val="20"/>
          <w:szCs w:val="22"/>
          <w:lang w:val="sr-Latn-ME"/>
        </w:rPr>
        <w:t xml:space="preserve">elesna </w:t>
      </w:r>
      <w:r w:rsidR="00852A5C" w:rsidRPr="00801AFD">
        <w:rPr>
          <w:sz w:val="20"/>
          <w:szCs w:val="22"/>
          <w:lang w:val="sr-Latn-ME"/>
        </w:rPr>
        <w:t xml:space="preserve">težina </w:t>
      </w:r>
      <w:r w:rsidRPr="00801AFD">
        <w:rPr>
          <w:sz w:val="20"/>
          <w:szCs w:val="22"/>
          <w:lang w:val="sr-Latn-ME"/>
        </w:rPr>
        <w:t>u trenutku l</w:t>
      </w:r>
      <w:r w:rsidR="0099493B" w:rsidRPr="00801AFD">
        <w:rPr>
          <w:sz w:val="20"/>
          <w:szCs w:val="22"/>
          <w:lang w:val="sr-Latn-ME"/>
        </w:rPr>
        <w:t>ij</w:t>
      </w:r>
      <w:r w:rsidRPr="00801AFD">
        <w:rPr>
          <w:sz w:val="20"/>
          <w:szCs w:val="22"/>
          <w:lang w:val="sr-Latn-ME"/>
        </w:rPr>
        <w:t>ečenja</w:t>
      </w:r>
    </w:p>
    <w:p w14:paraId="657D2BF5" w14:textId="77777777" w:rsidR="007D0F27" w:rsidRPr="00801AFD" w:rsidRDefault="007D0F27" w:rsidP="00801AFD">
      <w:pPr>
        <w:pStyle w:val="Default"/>
        <w:widowControl w:val="0"/>
        <w:jc w:val="both"/>
        <w:rPr>
          <w:sz w:val="20"/>
          <w:szCs w:val="22"/>
          <w:lang w:val="sr-Latn-ME"/>
        </w:rPr>
      </w:pPr>
      <w:r w:rsidRPr="00801AFD">
        <w:rPr>
          <w:sz w:val="20"/>
          <w:szCs w:val="22"/>
          <w:vertAlign w:val="superscript"/>
          <w:lang w:val="sr-Latn-ME"/>
        </w:rPr>
        <w:t>b</w:t>
      </w:r>
      <w:r w:rsidRPr="00801AFD">
        <w:rPr>
          <w:sz w:val="20"/>
          <w:szCs w:val="22"/>
          <w:lang w:val="sr-Latn-ME"/>
        </w:rPr>
        <w:t xml:space="preserve"> Pogledajte tabelu 2 za odabir dodatne doze ravulizumaba</w:t>
      </w:r>
    </w:p>
    <w:p w14:paraId="0E0C3D2F" w14:textId="77777777" w:rsidR="007D0F27" w:rsidRPr="00801AFD" w:rsidRDefault="007D0F27" w:rsidP="00801AFD">
      <w:pPr>
        <w:pStyle w:val="Default"/>
        <w:widowControl w:val="0"/>
        <w:jc w:val="both"/>
        <w:rPr>
          <w:b/>
          <w:bCs/>
          <w:sz w:val="22"/>
          <w:szCs w:val="22"/>
          <w:lang w:val="sr-Latn-ME"/>
        </w:rPr>
      </w:pPr>
    </w:p>
    <w:p w14:paraId="63220134" w14:textId="69EE315F" w:rsidR="007D0F27" w:rsidRPr="00801AFD" w:rsidRDefault="007D0F27" w:rsidP="00801AFD">
      <w:pPr>
        <w:pStyle w:val="Default"/>
        <w:widowControl w:val="0"/>
        <w:jc w:val="both"/>
        <w:rPr>
          <w:lang w:val="sr-Latn-ME"/>
        </w:rPr>
      </w:pPr>
      <w:r w:rsidRPr="00801AFD">
        <w:rPr>
          <w:b/>
          <w:bCs/>
          <w:i/>
          <w:iCs/>
          <w:sz w:val="22"/>
          <w:szCs w:val="22"/>
          <w:lang w:val="sr-Latn-ME"/>
        </w:rPr>
        <w:t>Ultomiris 300mg/30m</w:t>
      </w:r>
      <w:r w:rsidR="00AB7D31" w:rsidRPr="00801AFD">
        <w:rPr>
          <w:b/>
          <w:bCs/>
          <w:i/>
          <w:iCs/>
          <w:sz w:val="22"/>
          <w:szCs w:val="22"/>
          <w:lang w:val="sr-Latn-ME"/>
        </w:rPr>
        <w:t>l</w:t>
      </w:r>
      <w:r w:rsidRPr="00801AFD">
        <w:rPr>
          <w:b/>
          <w:bCs/>
          <w:i/>
          <w:iCs/>
          <w:sz w:val="22"/>
          <w:szCs w:val="22"/>
          <w:lang w:val="sr-Latn-ME"/>
        </w:rPr>
        <w:t xml:space="preserve"> koncentrat za rastvor za infuziju</w:t>
      </w:r>
    </w:p>
    <w:p w14:paraId="2218EAD2" w14:textId="77777777" w:rsidR="007D0F27" w:rsidRPr="00801AFD" w:rsidRDefault="007D0F27" w:rsidP="00801AFD">
      <w:pPr>
        <w:widowControl w:val="0"/>
        <w:jc w:val="both"/>
        <w:rPr>
          <w:color w:val="000000"/>
          <w:sz w:val="22"/>
          <w:szCs w:val="22"/>
          <w:lang w:val="sr-Latn-ME"/>
        </w:rPr>
      </w:pPr>
    </w:p>
    <w:p w14:paraId="4FB31EBB" w14:textId="58449B53" w:rsidR="00EC79EA" w:rsidRPr="00801AFD" w:rsidRDefault="00EC79EA" w:rsidP="00801AFD">
      <w:pPr>
        <w:widowControl w:val="0"/>
        <w:jc w:val="both"/>
        <w:rPr>
          <w:color w:val="000000"/>
          <w:sz w:val="22"/>
          <w:szCs w:val="22"/>
          <w:lang w:val="sr-Latn-ME"/>
        </w:rPr>
      </w:pPr>
      <w:r w:rsidRPr="00801AFD">
        <w:rPr>
          <w:color w:val="000000"/>
          <w:sz w:val="22"/>
          <w:szCs w:val="22"/>
          <w:lang w:val="sr-Latn-ME"/>
        </w:rPr>
        <w:t>Lijek Ultomiris koncentrat za rastvor za infuziju u bočici od 30 m</w:t>
      </w:r>
      <w:r w:rsidR="003815F3" w:rsidRPr="00801AFD">
        <w:rPr>
          <w:color w:val="000000"/>
          <w:sz w:val="22"/>
          <w:szCs w:val="22"/>
          <w:lang w:val="sr-Latn-ME"/>
        </w:rPr>
        <w:t>l</w:t>
      </w:r>
      <w:r w:rsidRPr="00801AFD">
        <w:rPr>
          <w:color w:val="000000"/>
          <w:sz w:val="22"/>
          <w:szCs w:val="22"/>
          <w:lang w:val="sr-Latn-ME"/>
        </w:rPr>
        <w:t xml:space="preserve"> (10 mg/m</w:t>
      </w:r>
      <w:r w:rsidR="003815F3" w:rsidRPr="00801AFD">
        <w:rPr>
          <w:color w:val="000000"/>
          <w:sz w:val="22"/>
          <w:szCs w:val="22"/>
          <w:lang w:val="sr-Latn-ME"/>
        </w:rPr>
        <w:t>l</w:t>
      </w:r>
      <w:r w:rsidRPr="00801AFD">
        <w:rPr>
          <w:color w:val="000000"/>
          <w:sz w:val="22"/>
          <w:szCs w:val="22"/>
          <w:lang w:val="sr-Latn-ME"/>
        </w:rPr>
        <w:t xml:space="preserve">) mora se razblažiti </w:t>
      </w:r>
      <w:r w:rsidR="007D0F27" w:rsidRPr="00801AFD">
        <w:rPr>
          <w:color w:val="000000"/>
          <w:sz w:val="22"/>
          <w:szCs w:val="22"/>
          <w:lang w:val="sr-Latn-ME"/>
        </w:rPr>
        <w:t>do krajnje koncentracije od 5mg/m</w:t>
      </w:r>
      <w:r w:rsidR="00B84B64" w:rsidRPr="00801AFD">
        <w:rPr>
          <w:color w:val="000000"/>
          <w:sz w:val="22"/>
          <w:szCs w:val="22"/>
          <w:lang w:val="sr-Latn-ME"/>
        </w:rPr>
        <w:t>l</w:t>
      </w:r>
      <w:r w:rsidR="007D0F27" w:rsidRPr="00801AFD">
        <w:rPr>
          <w:color w:val="000000"/>
          <w:sz w:val="22"/>
          <w:szCs w:val="22"/>
          <w:lang w:val="sr-Latn-ME"/>
        </w:rPr>
        <w:t>. Nakon razblaživanja, Ultomiris se prim</w:t>
      </w:r>
      <w:r w:rsidR="0099493B" w:rsidRPr="00801AFD">
        <w:rPr>
          <w:color w:val="000000"/>
          <w:sz w:val="22"/>
          <w:szCs w:val="22"/>
          <w:lang w:val="sr-Latn-ME"/>
        </w:rPr>
        <w:t>j</w:t>
      </w:r>
      <w:r w:rsidR="007D0F27" w:rsidRPr="00801AFD">
        <w:rPr>
          <w:color w:val="000000"/>
          <w:sz w:val="22"/>
          <w:szCs w:val="22"/>
          <w:lang w:val="sr-Latn-ME"/>
        </w:rPr>
        <w:t xml:space="preserve">enju </w:t>
      </w:r>
      <w:r w:rsidRPr="00801AFD">
        <w:rPr>
          <w:color w:val="000000"/>
          <w:sz w:val="22"/>
          <w:szCs w:val="22"/>
          <w:lang w:val="sr-Latn-ME"/>
        </w:rPr>
        <w:t xml:space="preserve">intravenskom infuzijom pomoću pumpe sa špricem ili infuzione pumpe tokom minimalnog perioda od </w:t>
      </w:r>
      <w:r w:rsidR="007D0F27" w:rsidRPr="00801AFD">
        <w:rPr>
          <w:color w:val="000000"/>
          <w:sz w:val="22"/>
          <w:szCs w:val="22"/>
          <w:lang w:val="sr-Latn-ME"/>
        </w:rPr>
        <w:t>0,4</w:t>
      </w:r>
      <w:r w:rsidR="00852A5C" w:rsidRPr="00801AFD">
        <w:rPr>
          <w:color w:val="000000"/>
          <w:sz w:val="22"/>
          <w:szCs w:val="22"/>
          <w:lang w:val="sr-Latn-ME"/>
        </w:rPr>
        <w:t xml:space="preserve"> </w:t>
      </w:r>
      <w:r w:rsidRPr="00801AFD">
        <w:rPr>
          <w:color w:val="000000"/>
          <w:sz w:val="22"/>
          <w:szCs w:val="22"/>
          <w:lang w:val="sr-Latn-ME"/>
        </w:rPr>
        <w:t>do 3,3 sata (</w:t>
      </w:r>
      <w:r w:rsidR="007D0F27" w:rsidRPr="00801AFD">
        <w:rPr>
          <w:color w:val="000000"/>
          <w:sz w:val="22"/>
          <w:szCs w:val="22"/>
          <w:lang w:val="sr-Latn-ME"/>
        </w:rPr>
        <w:t>22</w:t>
      </w:r>
      <w:r w:rsidRPr="00801AFD">
        <w:rPr>
          <w:color w:val="000000"/>
          <w:sz w:val="22"/>
          <w:szCs w:val="22"/>
          <w:lang w:val="sr-Latn-ME"/>
        </w:rPr>
        <w:t xml:space="preserve"> do 194 minuta) u zavisnosti od tjelesne </w:t>
      </w:r>
      <w:r w:rsidR="00852A5C" w:rsidRPr="00801AFD">
        <w:rPr>
          <w:color w:val="000000"/>
          <w:sz w:val="22"/>
          <w:szCs w:val="22"/>
          <w:lang w:val="sr-Latn-ME"/>
        </w:rPr>
        <w:t xml:space="preserve">težine </w:t>
      </w:r>
      <w:r w:rsidRPr="00801AFD">
        <w:rPr>
          <w:color w:val="000000"/>
          <w:sz w:val="22"/>
          <w:szCs w:val="22"/>
          <w:lang w:val="sr-Latn-ME"/>
        </w:rPr>
        <w:t xml:space="preserve">(vidjeti Tabelu </w:t>
      </w:r>
      <w:r w:rsidR="00E14297" w:rsidRPr="00801AFD">
        <w:rPr>
          <w:color w:val="000000"/>
          <w:sz w:val="22"/>
          <w:szCs w:val="22"/>
          <w:lang w:val="sr-Latn-ME"/>
        </w:rPr>
        <w:t xml:space="preserve">8 </w:t>
      </w:r>
      <w:r w:rsidR="007D0F27" w:rsidRPr="00801AFD">
        <w:rPr>
          <w:color w:val="000000"/>
          <w:sz w:val="22"/>
          <w:szCs w:val="22"/>
          <w:lang w:val="sr-Latn-ME"/>
        </w:rPr>
        <w:t xml:space="preserve">i </w:t>
      </w:r>
      <w:r w:rsidR="00B84B64" w:rsidRPr="00801AFD">
        <w:rPr>
          <w:color w:val="000000"/>
          <w:sz w:val="22"/>
          <w:szCs w:val="22"/>
          <w:lang w:val="sr-Latn-ME"/>
        </w:rPr>
        <w:t>T</w:t>
      </w:r>
      <w:r w:rsidR="007D0F27" w:rsidRPr="00801AFD">
        <w:rPr>
          <w:color w:val="000000"/>
          <w:sz w:val="22"/>
          <w:szCs w:val="22"/>
          <w:lang w:val="sr-Latn-ME"/>
        </w:rPr>
        <w:t xml:space="preserve">abelu </w:t>
      </w:r>
      <w:r w:rsidR="00E14297" w:rsidRPr="00801AFD">
        <w:rPr>
          <w:color w:val="000000"/>
          <w:sz w:val="22"/>
          <w:szCs w:val="22"/>
          <w:lang w:val="sr-Latn-ME"/>
        </w:rPr>
        <w:t xml:space="preserve">9 </w:t>
      </w:r>
      <w:r w:rsidR="00852A5C" w:rsidRPr="00801AFD">
        <w:rPr>
          <w:color w:val="000000"/>
          <w:sz w:val="22"/>
          <w:szCs w:val="22"/>
          <w:lang w:val="sr-Latn-ME"/>
        </w:rPr>
        <w:t xml:space="preserve">u nastavku </w:t>
      </w:r>
      <w:r w:rsidRPr="00801AFD">
        <w:rPr>
          <w:color w:val="000000"/>
          <w:sz w:val="22"/>
          <w:szCs w:val="22"/>
          <w:lang w:val="sr-Latn-ME"/>
        </w:rPr>
        <w:t>).</w:t>
      </w:r>
    </w:p>
    <w:p w14:paraId="25AEC70C" w14:textId="77777777" w:rsidR="00EC79EA" w:rsidRPr="00801AFD" w:rsidRDefault="00EC79EA" w:rsidP="00801AFD">
      <w:pPr>
        <w:widowControl w:val="0"/>
        <w:jc w:val="both"/>
        <w:rPr>
          <w:b/>
          <w:bCs/>
          <w:color w:val="000000"/>
          <w:sz w:val="22"/>
          <w:szCs w:val="22"/>
          <w:lang w:val="sr-Latn-ME"/>
        </w:rPr>
      </w:pPr>
    </w:p>
    <w:p w14:paraId="3D16EC67" w14:textId="6A98265D" w:rsidR="00EC79EA" w:rsidRPr="00801AFD" w:rsidRDefault="00EC79EA" w:rsidP="00801AFD">
      <w:pPr>
        <w:widowControl w:val="0"/>
        <w:jc w:val="both"/>
        <w:rPr>
          <w:b/>
          <w:bCs/>
          <w:color w:val="000000"/>
          <w:sz w:val="22"/>
          <w:szCs w:val="22"/>
          <w:lang w:val="sr-Latn-ME"/>
        </w:rPr>
      </w:pPr>
      <w:r w:rsidRPr="00801AFD">
        <w:rPr>
          <w:b/>
          <w:bCs/>
          <w:color w:val="000000"/>
          <w:sz w:val="22"/>
          <w:szCs w:val="22"/>
          <w:lang w:val="sr-Latn-ME"/>
        </w:rPr>
        <w:t xml:space="preserve">Tabela </w:t>
      </w:r>
      <w:r w:rsidR="00E14297" w:rsidRPr="00801AFD">
        <w:rPr>
          <w:b/>
          <w:bCs/>
          <w:color w:val="000000"/>
          <w:sz w:val="22"/>
          <w:szCs w:val="22"/>
          <w:lang w:val="sr-Latn-ME"/>
        </w:rPr>
        <w:t>8</w:t>
      </w:r>
      <w:r w:rsidRPr="00801AFD">
        <w:rPr>
          <w:b/>
          <w:bCs/>
          <w:color w:val="000000"/>
          <w:sz w:val="22"/>
          <w:szCs w:val="22"/>
          <w:lang w:val="sr-Latn-ME"/>
        </w:rPr>
        <w:t>: Brzina primjene doze lijeka Ultomiris 300 mg/30 m</w:t>
      </w:r>
      <w:r w:rsidR="003815F3" w:rsidRPr="00801AFD">
        <w:rPr>
          <w:b/>
          <w:bCs/>
          <w:color w:val="000000"/>
          <w:sz w:val="22"/>
          <w:szCs w:val="22"/>
          <w:lang w:val="sr-Latn-ME"/>
        </w:rPr>
        <w:t>l</w:t>
      </w:r>
      <w:r w:rsidRPr="00801AFD">
        <w:rPr>
          <w:b/>
          <w:bCs/>
          <w:color w:val="000000"/>
          <w:sz w:val="22"/>
          <w:szCs w:val="22"/>
          <w:lang w:val="sr-Latn-ME"/>
        </w:rPr>
        <w:t>, koncentrat za rastvor za infuziju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295"/>
        <w:gridCol w:w="2261"/>
        <w:gridCol w:w="1643"/>
        <w:gridCol w:w="2261"/>
      </w:tblGrid>
      <w:tr w:rsidR="00EC79EA" w:rsidRPr="00801AFD" w14:paraId="7558FC56" w14:textId="77777777" w:rsidTr="00801AFD">
        <w:tc>
          <w:tcPr>
            <w:tcW w:w="0" w:type="auto"/>
            <w:tcBorders>
              <w:top w:val="single" w:sz="4" w:space="0" w:color="auto"/>
              <w:left w:val="single" w:sz="4" w:space="0" w:color="auto"/>
              <w:bottom w:val="single" w:sz="4" w:space="0" w:color="auto"/>
              <w:right w:val="single" w:sz="4" w:space="0" w:color="auto"/>
            </w:tcBorders>
            <w:hideMark/>
          </w:tcPr>
          <w:p w14:paraId="33780B7A" w14:textId="789F9558" w:rsidR="00EC79EA" w:rsidRPr="00801AFD" w:rsidRDefault="00EC79EA" w:rsidP="00801AFD">
            <w:pPr>
              <w:widowControl w:val="0"/>
              <w:autoSpaceDE w:val="0"/>
              <w:autoSpaceDN w:val="0"/>
              <w:adjustRightInd w:val="0"/>
              <w:jc w:val="center"/>
              <w:rPr>
                <w:b/>
                <w:bCs/>
                <w:sz w:val="22"/>
                <w:szCs w:val="22"/>
                <w:vertAlign w:val="superscript"/>
                <w:lang w:val="sr-Latn-ME"/>
              </w:rPr>
            </w:pPr>
            <w:r w:rsidRPr="00801AFD">
              <w:rPr>
                <w:b/>
                <w:bCs/>
                <w:sz w:val="22"/>
                <w:szCs w:val="22"/>
                <w:lang w:val="sr-Latn-ME"/>
              </w:rPr>
              <w:t xml:space="preserve">Raspon tjelesne </w:t>
            </w:r>
            <w:r w:rsidR="00852A5C" w:rsidRPr="00801AFD">
              <w:rPr>
                <w:b/>
                <w:bCs/>
                <w:sz w:val="22"/>
                <w:szCs w:val="22"/>
                <w:lang w:val="sr-Latn-ME"/>
              </w:rPr>
              <w:t xml:space="preserve">težine </w:t>
            </w:r>
            <w:r w:rsidRPr="00801AFD">
              <w:rPr>
                <w:b/>
                <w:bCs/>
                <w:sz w:val="22"/>
                <w:szCs w:val="22"/>
                <w:lang w:val="sr-Latn-ME"/>
              </w:rPr>
              <w:t>(kg)</w:t>
            </w:r>
            <w:r w:rsidRPr="00801AFD">
              <w:rPr>
                <w:b/>
                <w:bCs/>
                <w:sz w:val="22"/>
                <w:szCs w:val="22"/>
                <w:vertAlign w:val="superscript"/>
                <w:lang w:val="sr-Latn-ME"/>
              </w:rPr>
              <w:t>a</w:t>
            </w:r>
          </w:p>
        </w:tc>
        <w:tc>
          <w:tcPr>
            <w:tcW w:w="0" w:type="auto"/>
            <w:tcBorders>
              <w:top w:val="single" w:sz="4" w:space="0" w:color="auto"/>
              <w:left w:val="single" w:sz="4" w:space="0" w:color="auto"/>
              <w:bottom w:val="single" w:sz="4" w:space="0" w:color="auto"/>
              <w:right w:val="single" w:sz="4" w:space="0" w:color="auto"/>
            </w:tcBorders>
            <w:hideMark/>
          </w:tcPr>
          <w:p w14:paraId="1F5D1BEB" w14:textId="77777777" w:rsidR="00EC79EA" w:rsidRPr="00801AFD" w:rsidRDefault="00EC79EA" w:rsidP="00801AFD">
            <w:pPr>
              <w:widowControl w:val="0"/>
              <w:autoSpaceDE w:val="0"/>
              <w:autoSpaceDN w:val="0"/>
              <w:adjustRightInd w:val="0"/>
              <w:jc w:val="center"/>
              <w:rPr>
                <w:b/>
                <w:bCs/>
                <w:sz w:val="22"/>
                <w:szCs w:val="22"/>
                <w:lang w:val="sr-Latn-ME"/>
              </w:rPr>
            </w:pPr>
            <w:r w:rsidRPr="00801AFD">
              <w:rPr>
                <w:b/>
                <w:bCs/>
                <w:sz w:val="22"/>
                <w:szCs w:val="22"/>
                <w:lang w:val="sr-Latn-ME"/>
              </w:rPr>
              <w:t>Udarna doza (mg)</w:t>
            </w:r>
          </w:p>
        </w:tc>
        <w:tc>
          <w:tcPr>
            <w:tcW w:w="0" w:type="auto"/>
            <w:tcBorders>
              <w:top w:val="single" w:sz="4" w:space="0" w:color="auto"/>
              <w:left w:val="single" w:sz="4" w:space="0" w:color="auto"/>
              <w:bottom w:val="single" w:sz="4" w:space="0" w:color="auto"/>
              <w:right w:val="single" w:sz="4" w:space="0" w:color="auto"/>
            </w:tcBorders>
          </w:tcPr>
          <w:p w14:paraId="5204BC9E" w14:textId="77777777" w:rsidR="00EC79EA" w:rsidRPr="00801AFD" w:rsidRDefault="00EC79EA" w:rsidP="00801AFD">
            <w:pPr>
              <w:widowControl w:val="0"/>
              <w:autoSpaceDE w:val="0"/>
              <w:autoSpaceDN w:val="0"/>
              <w:adjustRightInd w:val="0"/>
              <w:jc w:val="center"/>
              <w:rPr>
                <w:b/>
                <w:bCs/>
                <w:sz w:val="22"/>
                <w:szCs w:val="22"/>
                <w:lang w:val="sr-Latn-ME"/>
              </w:rPr>
            </w:pPr>
            <w:r w:rsidRPr="00801AFD">
              <w:rPr>
                <w:b/>
                <w:bCs/>
                <w:sz w:val="22"/>
                <w:szCs w:val="22"/>
                <w:lang w:val="sr-Latn-ME"/>
              </w:rPr>
              <w:t>Minimalno trajanje infuzije minuti (sati)</w:t>
            </w:r>
          </w:p>
        </w:tc>
        <w:tc>
          <w:tcPr>
            <w:tcW w:w="0" w:type="auto"/>
            <w:tcBorders>
              <w:top w:val="single" w:sz="4" w:space="0" w:color="auto"/>
              <w:left w:val="single" w:sz="4" w:space="0" w:color="auto"/>
              <w:bottom w:val="single" w:sz="4" w:space="0" w:color="auto"/>
              <w:right w:val="single" w:sz="4" w:space="0" w:color="auto"/>
            </w:tcBorders>
            <w:hideMark/>
          </w:tcPr>
          <w:p w14:paraId="1AC4E6B9" w14:textId="77777777" w:rsidR="00EC79EA" w:rsidRPr="00801AFD" w:rsidRDefault="00EC79EA" w:rsidP="00801AFD">
            <w:pPr>
              <w:widowControl w:val="0"/>
              <w:autoSpaceDE w:val="0"/>
              <w:autoSpaceDN w:val="0"/>
              <w:adjustRightInd w:val="0"/>
              <w:jc w:val="center"/>
              <w:rPr>
                <w:b/>
                <w:bCs/>
                <w:sz w:val="22"/>
                <w:szCs w:val="22"/>
                <w:lang w:val="sr-Latn-ME"/>
              </w:rPr>
            </w:pPr>
            <w:r w:rsidRPr="00801AFD">
              <w:rPr>
                <w:b/>
                <w:bCs/>
                <w:sz w:val="22"/>
                <w:szCs w:val="22"/>
                <w:lang w:val="sr-Latn-ME"/>
              </w:rPr>
              <w:t>Doza održavanja</w:t>
            </w:r>
            <w:r w:rsidRPr="00801AFD">
              <w:rPr>
                <w:b/>
                <w:bCs/>
                <w:sz w:val="22"/>
                <w:szCs w:val="22"/>
                <w:vertAlign w:val="superscript"/>
                <w:lang w:val="sr-Latn-ME"/>
              </w:rPr>
              <w:t xml:space="preserve"> </w:t>
            </w:r>
            <w:r w:rsidRPr="00801AFD">
              <w:rPr>
                <w:b/>
                <w:bCs/>
                <w:sz w:val="22"/>
                <w:szCs w:val="22"/>
                <w:lang w:val="sr-Latn-ME"/>
              </w:rPr>
              <w:t>(mg)</w:t>
            </w:r>
          </w:p>
        </w:tc>
        <w:tc>
          <w:tcPr>
            <w:tcW w:w="0" w:type="auto"/>
            <w:tcBorders>
              <w:top w:val="single" w:sz="4" w:space="0" w:color="auto"/>
              <w:left w:val="single" w:sz="4" w:space="0" w:color="auto"/>
              <w:bottom w:val="single" w:sz="4" w:space="0" w:color="auto"/>
              <w:right w:val="single" w:sz="4" w:space="0" w:color="auto"/>
            </w:tcBorders>
          </w:tcPr>
          <w:p w14:paraId="0ED3FB36" w14:textId="77777777" w:rsidR="00EC79EA" w:rsidRPr="00801AFD" w:rsidRDefault="00EC79EA" w:rsidP="00801AFD">
            <w:pPr>
              <w:widowControl w:val="0"/>
              <w:autoSpaceDE w:val="0"/>
              <w:autoSpaceDN w:val="0"/>
              <w:adjustRightInd w:val="0"/>
              <w:jc w:val="center"/>
              <w:rPr>
                <w:b/>
                <w:bCs/>
                <w:sz w:val="22"/>
                <w:szCs w:val="22"/>
                <w:lang w:val="sr-Latn-ME"/>
              </w:rPr>
            </w:pPr>
            <w:r w:rsidRPr="00801AFD">
              <w:rPr>
                <w:b/>
                <w:bCs/>
                <w:sz w:val="22"/>
                <w:szCs w:val="22"/>
                <w:lang w:val="sr-Latn-ME"/>
              </w:rPr>
              <w:t>Minimalno trajanje infuzije minuti (sati)</w:t>
            </w:r>
          </w:p>
        </w:tc>
      </w:tr>
      <w:tr w:rsidR="00EC79EA" w:rsidRPr="00801AFD" w14:paraId="6AE9C96C" w14:textId="77777777" w:rsidTr="00801AFD">
        <w:tc>
          <w:tcPr>
            <w:tcW w:w="0" w:type="auto"/>
            <w:tcBorders>
              <w:top w:val="single" w:sz="4" w:space="0" w:color="auto"/>
              <w:left w:val="single" w:sz="4" w:space="0" w:color="auto"/>
              <w:bottom w:val="single" w:sz="4" w:space="0" w:color="auto"/>
              <w:right w:val="single" w:sz="4" w:space="0" w:color="auto"/>
            </w:tcBorders>
          </w:tcPr>
          <w:p w14:paraId="71D57882"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lastRenderedPageBreak/>
              <w:t>≥ 10 do &lt; 20</w:t>
            </w:r>
          </w:p>
        </w:tc>
        <w:tc>
          <w:tcPr>
            <w:tcW w:w="0" w:type="auto"/>
            <w:tcBorders>
              <w:top w:val="single" w:sz="4" w:space="0" w:color="auto"/>
              <w:left w:val="single" w:sz="4" w:space="0" w:color="auto"/>
              <w:bottom w:val="single" w:sz="4" w:space="0" w:color="auto"/>
              <w:right w:val="single" w:sz="4" w:space="0" w:color="auto"/>
            </w:tcBorders>
          </w:tcPr>
          <w:p w14:paraId="257D0A70"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600</w:t>
            </w:r>
          </w:p>
        </w:tc>
        <w:tc>
          <w:tcPr>
            <w:tcW w:w="0" w:type="auto"/>
            <w:tcBorders>
              <w:top w:val="single" w:sz="4" w:space="0" w:color="auto"/>
              <w:left w:val="single" w:sz="4" w:space="0" w:color="auto"/>
              <w:bottom w:val="single" w:sz="4" w:space="0" w:color="auto"/>
              <w:right w:val="single" w:sz="4" w:space="0" w:color="auto"/>
            </w:tcBorders>
          </w:tcPr>
          <w:p w14:paraId="4906443A"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113 (1,9)</w:t>
            </w:r>
          </w:p>
        </w:tc>
        <w:tc>
          <w:tcPr>
            <w:tcW w:w="0" w:type="auto"/>
            <w:tcBorders>
              <w:top w:val="single" w:sz="4" w:space="0" w:color="auto"/>
              <w:left w:val="single" w:sz="4" w:space="0" w:color="auto"/>
              <w:bottom w:val="single" w:sz="4" w:space="0" w:color="auto"/>
              <w:right w:val="single" w:sz="4" w:space="0" w:color="auto"/>
            </w:tcBorders>
          </w:tcPr>
          <w:p w14:paraId="1074413C"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600</w:t>
            </w:r>
          </w:p>
        </w:tc>
        <w:tc>
          <w:tcPr>
            <w:tcW w:w="0" w:type="auto"/>
            <w:tcBorders>
              <w:top w:val="single" w:sz="4" w:space="0" w:color="auto"/>
              <w:left w:val="single" w:sz="4" w:space="0" w:color="auto"/>
              <w:bottom w:val="single" w:sz="4" w:space="0" w:color="auto"/>
              <w:right w:val="single" w:sz="4" w:space="0" w:color="auto"/>
            </w:tcBorders>
          </w:tcPr>
          <w:p w14:paraId="56F75E4E"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113 (1,9)</w:t>
            </w:r>
          </w:p>
        </w:tc>
      </w:tr>
      <w:tr w:rsidR="00EC79EA" w:rsidRPr="00801AFD" w14:paraId="6C1C980F" w14:textId="77777777" w:rsidTr="00801AFD">
        <w:tc>
          <w:tcPr>
            <w:tcW w:w="0" w:type="auto"/>
            <w:tcBorders>
              <w:top w:val="single" w:sz="4" w:space="0" w:color="auto"/>
              <w:left w:val="single" w:sz="4" w:space="0" w:color="auto"/>
              <w:bottom w:val="single" w:sz="4" w:space="0" w:color="auto"/>
              <w:right w:val="single" w:sz="4" w:space="0" w:color="auto"/>
            </w:tcBorders>
          </w:tcPr>
          <w:p w14:paraId="25E13470"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 20 do &lt; 30</w:t>
            </w:r>
          </w:p>
        </w:tc>
        <w:tc>
          <w:tcPr>
            <w:tcW w:w="0" w:type="auto"/>
            <w:tcBorders>
              <w:top w:val="single" w:sz="4" w:space="0" w:color="auto"/>
              <w:left w:val="single" w:sz="4" w:space="0" w:color="auto"/>
              <w:bottom w:val="single" w:sz="4" w:space="0" w:color="auto"/>
              <w:right w:val="single" w:sz="4" w:space="0" w:color="auto"/>
            </w:tcBorders>
          </w:tcPr>
          <w:p w14:paraId="4BA57E6F"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900</w:t>
            </w:r>
          </w:p>
        </w:tc>
        <w:tc>
          <w:tcPr>
            <w:tcW w:w="0" w:type="auto"/>
            <w:tcBorders>
              <w:top w:val="single" w:sz="4" w:space="0" w:color="auto"/>
              <w:left w:val="single" w:sz="4" w:space="0" w:color="auto"/>
              <w:bottom w:val="single" w:sz="4" w:space="0" w:color="auto"/>
              <w:right w:val="single" w:sz="4" w:space="0" w:color="auto"/>
            </w:tcBorders>
          </w:tcPr>
          <w:p w14:paraId="26F048AF"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86 (1,5)</w:t>
            </w:r>
          </w:p>
        </w:tc>
        <w:tc>
          <w:tcPr>
            <w:tcW w:w="0" w:type="auto"/>
            <w:tcBorders>
              <w:top w:val="single" w:sz="4" w:space="0" w:color="auto"/>
              <w:left w:val="single" w:sz="4" w:space="0" w:color="auto"/>
              <w:bottom w:val="single" w:sz="4" w:space="0" w:color="auto"/>
              <w:right w:val="single" w:sz="4" w:space="0" w:color="auto"/>
            </w:tcBorders>
          </w:tcPr>
          <w:p w14:paraId="6B212BAD"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2.100</w:t>
            </w:r>
          </w:p>
        </w:tc>
        <w:tc>
          <w:tcPr>
            <w:tcW w:w="0" w:type="auto"/>
            <w:tcBorders>
              <w:top w:val="single" w:sz="4" w:space="0" w:color="auto"/>
              <w:left w:val="single" w:sz="4" w:space="0" w:color="auto"/>
              <w:bottom w:val="single" w:sz="4" w:space="0" w:color="auto"/>
              <w:right w:val="single" w:sz="4" w:space="0" w:color="auto"/>
            </w:tcBorders>
          </w:tcPr>
          <w:p w14:paraId="72957E56"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194 (3,3)</w:t>
            </w:r>
          </w:p>
        </w:tc>
      </w:tr>
      <w:tr w:rsidR="00EC79EA" w:rsidRPr="00801AFD" w14:paraId="28BF2AD2" w14:textId="77777777" w:rsidTr="00801AFD">
        <w:tc>
          <w:tcPr>
            <w:tcW w:w="0" w:type="auto"/>
            <w:tcBorders>
              <w:top w:val="single" w:sz="4" w:space="0" w:color="auto"/>
              <w:left w:val="single" w:sz="4" w:space="0" w:color="auto"/>
              <w:bottom w:val="single" w:sz="4" w:space="0" w:color="auto"/>
              <w:right w:val="single" w:sz="4" w:space="0" w:color="auto"/>
            </w:tcBorders>
          </w:tcPr>
          <w:p w14:paraId="20026A2B"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 30 do &lt; 40</w:t>
            </w:r>
          </w:p>
        </w:tc>
        <w:tc>
          <w:tcPr>
            <w:tcW w:w="0" w:type="auto"/>
            <w:tcBorders>
              <w:top w:val="single" w:sz="4" w:space="0" w:color="auto"/>
              <w:left w:val="single" w:sz="4" w:space="0" w:color="auto"/>
              <w:bottom w:val="single" w:sz="4" w:space="0" w:color="auto"/>
              <w:right w:val="single" w:sz="4" w:space="0" w:color="auto"/>
            </w:tcBorders>
          </w:tcPr>
          <w:p w14:paraId="17AFAAB2"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1.200</w:t>
            </w:r>
          </w:p>
        </w:tc>
        <w:tc>
          <w:tcPr>
            <w:tcW w:w="0" w:type="auto"/>
            <w:tcBorders>
              <w:top w:val="single" w:sz="4" w:space="0" w:color="auto"/>
              <w:left w:val="single" w:sz="4" w:space="0" w:color="auto"/>
              <w:bottom w:val="single" w:sz="4" w:space="0" w:color="auto"/>
              <w:right w:val="single" w:sz="4" w:space="0" w:color="auto"/>
            </w:tcBorders>
          </w:tcPr>
          <w:p w14:paraId="4934358C"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77 (1,3)</w:t>
            </w:r>
          </w:p>
        </w:tc>
        <w:tc>
          <w:tcPr>
            <w:tcW w:w="0" w:type="auto"/>
            <w:tcBorders>
              <w:top w:val="single" w:sz="4" w:space="0" w:color="auto"/>
              <w:left w:val="single" w:sz="4" w:space="0" w:color="auto"/>
              <w:bottom w:val="single" w:sz="4" w:space="0" w:color="auto"/>
              <w:right w:val="single" w:sz="4" w:space="0" w:color="auto"/>
            </w:tcBorders>
          </w:tcPr>
          <w:p w14:paraId="72F70F40"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2.700</w:t>
            </w:r>
          </w:p>
        </w:tc>
        <w:tc>
          <w:tcPr>
            <w:tcW w:w="0" w:type="auto"/>
            <w:tcBorders>
              <w:top w:val="single" w:sz="4" w:space="0" w:color="auto"/>
              <w:left w:val="single" w:sz="4" w:space="0" w:color="auto"/>
              <w:bottom w:val="single" w:sz="4" w:space="0" w:color="auto"/>
              <w:right w:val="single" w:sz="4" w:space="0" w:color="auto"/>
            </w:tcBorders>
          </w:tcPr>
          <w:p w14:paraId="0B1110D3"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167 (2,8)</w:t>
            </w:r>
          </w:p>
        </w:tc>
      </w:tr>
      <w:tr w:rsidR="00EC79EA" w:rsidRPr="00801AFD" w14:paraId="3EC43F63" w14:textId="77777777" w:rsidTr="00801AFD">
        <w:tc>
          <w:tcPr>
            <w:tcW w:w="0" w:type="auto"/>
            <w:tcBorders>
              <w:top w:val="single" w:sz="4" w:space="0" w:color="auto"/>
              <w:left w:val="single" w:sz="4" w:space="0" w:color="auto"/>
              <w:bottom w:val="single" w:sz="4" w:space="0" w:color="auto"/>
              <w:right w:val="single" w:sz="4" w:space="0" w:color="auto"/>
            </w:tcBorders>
            <w:hideMark/>
          </w:tcPr>
          <w:p w14:paraId="48DA8EA8"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 40 do &lt; 60</w:t>
            </w:r>
          </w:p>
        </w:tc>
        <w:tc>
          <w:tcPr>
            <w:tcW w:w="0" w:type="auto"/>
            <w:tcBorders>
              <w:top w:val="single" w:sz="4" w:space="0" w:color="auto"/>
              <w:left w:val="single" w:sz="4" w:space="0" w:color="auto"/>
              <w:bottom w:val="single" w:sz="4" w:space="0" w:color="auto"/>
              <w:right w:val="single" w:sz="4" w:space="0" w:color="auto"/>
            </w:tcBorders>
            <w:hideMark/>
          </w:tcPr>
          <w:p w14:paraId="039FB11B"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2.400</w:t>
            </w:r>
          </w:p>
        </w:tc>
        <w:tc>
          <w:tcPr>
            <w:tcW w:w="0" w:type="auto"/>
            <w:tcBorders>
              <w:top w:val="single" w:sz="4" w:space="0" w:color="auto"/>
              <w:left w:val="single" w:sz="4" w:space="0" w:color="auto"/>
              <w:bottom w:val="single" w:sz="4" w:space="0" w:color="auto"/>
              <w:right w:val="single" w:sz="4" w:space="0" w:color="auto"/>
            </w:tcBorders>
          </w:tcPr>
          <w:p w14:paraId="205A05C5"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114 (1,9)</w:t>
            </w:r>
          </w:p>
        </w:tc>
        <w:tc>
          <w:tcPr>
            <w:tcW w:w="0" w:type="auto"/>
            <w:tcBorders>
              <w:top w:val="single" w:sz="4" w:space="0" w:color="auto"/>
              <w:left w:val="single" w:sz="4" w:space="0" w:color="auto"/>
              <w:bottom w:val="single" w:sz="4" w:space="0" w:color="auto"/>
              <w:right w:val="single" w:sz="4" w:space="0" w:color="auto"/>
            </w:tcBorders>
            <w:hideMark/>
          </w:tcPr>
          <w:p w14:paraId="389C0972"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3.000</w:t>
            </w:r>
          </w:p>
        </w:tc>
        <w:tc>
          <w:tcPr>
            <w:tcW w:w="0" w:type="auto"/>
            <w:tcBorders>
              <w:top w:val="single" w:sz="4" w:space="0" w:color="auto"/>
              <w:left w:val="single" w:sz="4" w:space="0" w:color="auto"/>
              <w:bottom w:val="single" w:sz="4" w:space="0" w:color="auto"/>
              <w:right w:val="single" w:sz="4" w:space="0" w:color="auto"/>
            </w:tcBorders>
          </w:tcPr>
          <w:p w14:paraId="55231AB4"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140 (2,4)</w:t>
            </w:r>
          </w:p>
        </w:tc>
      </w:tr>
      <w:tr w:rsidR="00EC79EA" w:rsidRPr="00801AFD" w14:paraId="40922EF6" w14:textId="77777777" w:rsidTr="00801AFD">
        <w:tc>
          <w:tcPr>
            <w:tcW w:w="0" w:type="auto"/>
            <w:tcBorders>
              <w:top w:val="single" w:sz="4" w:space="0" w:color="auto"/>
              <w:left w:val="single" w:sz="4" w:space="0" w:color="auto"/>
              <w:bottom w:val="single" w:sz="4" w:space="0" w:color="auto"/>
              <w:right w:val="single" w:sz="4" w:space="0" w:color="auto"/>
            </w:tcBorders>
            <w:hideMark/>
          </w:tcPr>
          <w:p w14:paraId="09C08432"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 60 do &lt; 100</w:t>
            </w:r>
          </w:p>
        </w:tc>
        <w:tc>
          <w:tcPr>
            <w:tcW w:w="0" w:type="auto"/>
            <w:tcBorders>
              <w:top w:val="single" w:sz="4" w:space="0" w:color="auto"/>
              <w:left w:val="single" w:sz="4" w:space="0" w:color="auto"/>
              <w:bottom w:val="single" w:sz="4" w:space="0" w:color="auto"/>
              <w:right w:val="single" w:sz="4" w:space="0" w:color="auto"/>
            </w:tcBorders>
            <w:hideMark/>
          </w:tcPr>
          <w:p w14:paraId="399C33BA"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2.700</w:t>
            </w:r>
          </w:p>
        </w:tc>
        <w:tc>
          <w:tcPr>
            <w:tcW w:w="0" w:type="auto"/>
            <w:tcBorders>
              <w:top w:val="single" w:sz="4" w:space="0" w:color="auto"/>
              <w:left w:val="single" w:sz="4" w:space="0" w:color="auto"/>
              <w:bottom w:val="single" w:sz="4" w:space="0" w:color="auto"/>
              <w:right w:val="single" w:sz="4" w:space="0" w:color="auto"/>
            </w:tcBorders>
          </w:tcPr>
          <w:p w14:paraId="38793DF0"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102 (1,7)</w:t>
            </w:r>
          </w:p>
        </w:tc>
        <w:tc>
          <w:tcPr>
            <w:tcW w:w="0" w:type="auto"/>
            <w:tcBorders>
              <w:top w:val="single" w:sz="4" w:space="0" w:color="auto"/>
              <w:left w:val="single" w:sz="4" w:space="0" w:color="auto"/>
              <w:bottom w:val="single" w:sz="4" w:space="0" w:color="auto"/>
              <w:right w:val="single" w:sz="4" w:space="0" w:color="auto"/>
            </w:tcBorders>
            <w:hideMark/>
          </w:tcPr>
          <w:p w14:paraId="1E49F216"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3.300</w:t>
            </w:r>
          </w:p>
        </w:tc>
        <w:tc>
          <w:tcPr>
            <w:tcW w:w="0" w:type="auto"/>
            <w:tcBorders>
              <w:top w:val="single" w:sz="4" w:space="0" w:color="auto"/>
              <w:left w:val="single" w:sz="4" w:space="0" w:color="auto"/>
              <w:bottom w:val="single" w:sz="4" w:space="0" w:color="auto"/>
              <w:right w:val="single" w:sz="4" w:space="0" w:color="auto"/>
            </w:tcBorders>
          </w:tcPr>
          <w:p w14:paraId="15D8FDED"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120 (2,0)</w:t>
            </w:r>
          </w:p>
        </w:tc>
      </w:tr>
      <w:tr w:rsidR="00EC79EA" w:rsidRPr="00801AFD" w14:paraId="1481A421" w14:textId="77777777" w:rsidTr="00801AFD">
        <w:tc>
          <w:tcPr>
            <w:tcW w:w="0" w:type="auto"/>
            <w:tcBorders>
              <w:top w:val="single" w:sz="4" w:space="0" w:color="auto"/>
              <w:left w:val="single" w:sz="4" w:space="0" w:color="auto"/>
              <w:bottom w:val="single" w:sz="4" w:space="0" w:color="auto"/>
              <w:right w:val="single" w:sz="4" w:space="0" w:color="auto"/>
            </w:tcBorders>
            <w:hideMark/>
          </w:tcPr>
          <w:p w14:paraId="4320603E"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 100</w:t>
            </w:r>
          </w:p>
        </w:tc>
        <w:tc>
          <w:tcPr>
            <w:tcW w:w="0" w:type="auto"/>
            <w:tcBorders>
              <w:top w:val="single" w:sz="4" w:space="0" w:color="auto"/>
              <w:left w:val="single" w:sz="4" w:space="0" w:color="auto"/>
              <w:bottom w:val="single" w:sz="4" w:space="0" w:color="auto"/>
              <w:right w:val="single" w:sz="4" w:space="0" w:color="auto"/>
            </w:tcBorders>
            <w:hideMark/>
          </w:tcPr>
          <w:p w14:paraId="4C19124C"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3.000</w:t>
            </w:r>
          </w:p>
        </w:tc>
        <w:tc>
          <w:tcPr>
            <w:tcW w:w="0" w:type="auto"/>
            <w:tcBorders>
              <w:top w:val="single" w:sz="4" w:space="0" w:color="auto"/>
              <w:left w:val="single" w:sz="4" w:space="0" w:color="auto"/>
              <w:bottom w:val="single" w:sz="4" w:space="0" w:color="auto"/>
              <w:right w:val="single" w:sz="4" w:space="0" w:color="auto"/>
            </w:tcBorders>
          </w:tcPr>
          <w:p w14:paraId="78DFDD66"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108 (1,8)</w:t>
            </w:r>
          </w:p>
        </w:tc>
        <w:tc>
          <w:tcPr>
            <w:tcW w:w="0" w:type="auto"/>
            <w:tcBorders>
              <w:top w:val="single" w:sz="4" w:space="0" w:color="auto"/>
              <w:left w:val="single" w:sz="4" w:space="0" w:color="auto"/>
              <w:bottom w:val="single" w:sz="4" w:space="0" w:color="auto"/>
              <w:right w:val="single" w:sz="4" w:space="0" w:color="auto"/>
            </w:tcBorders>
            <w:hideMark/>
          </w:tcPr>
          <w:p w14:paraId="3F3D928F"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3.600</w:t>
            </w:r>
          </w:p>
        </w:tc>
        <w:tc>
          <w:tcPr>
            <w:tcW w:w="0" w:type="auto"/>
            <w:tcBorders>
              <w:top w:val="single" w:sz="4" w:space="0" w:color="auto"/>
              <w:left w:val="single" w:sz="4" w:space="0" w:color="auto"/>
              <w:bottom w:val="single" w:sz="4" w:space="0" w:color="auto"/>
              <w:right w:val="single" w:sz="4" w:space="0" w:color="auto"/>
            </w:tcBorders>
          </w:tcPr>
          <w:p w14:paraId="382C3F35" w14:textId="77777777" w:rsidR="00EC79EA" w:rsidRPr="00801AFD" w:rsidRDefault="00EC79EA" w:rsidP="00801AFD">
            <w:pPr>
              <w:widowControl w:val="0"/>
              <w:autoSpaceDE w:val="0"/>
              <w:autoSpaceDN w:val="0"/>
              <w:adjustRightInd w:val="0"/>
              <w:jc w:val="center"/>
              <w:rPr>
                <w:sz w:val="22"/>
                <w:szCs w:val="22"/>
                <w:lang w:val="sr-Latn-ME"/>
              </w:rPr>
            </w:pPr>
            <w:r w:rsidRPr="00801AFD">
              <w:rPr>
                <w:sz w:val="22"/>
                <w:szCs w:val="22"/>
                <w:lang w:val="sr-Latn-ME"/>
              </w:rPr>
              <w:t>132 (2,2)</w:t>
            </w:r>
          </w:p>
        </w:tc>
      </w:tr>
    </w:tbl>
    <w:p w14:paraId="4C825197" w14:textId="1D314E40" w:rsidR="00EC79EA" w:rsidRPr="00801AFD" w:rsidRDefault="00EC79EA" w:rsidP="00801AFD">
      <w:pPr>
        <w:pStyle w:val="Default"/>
        <w:widowControl w:val="0"/>
        <w:jc w:val="both"/>
        <w:rPr>
          <w:sz w:val="20"/>
          <w:szCs w:val="22"/>
          <w:lang w:val="sr-Latn-ME"/>
        </w:rPr>
      </w:pPr>
      <w:r w:rsidRPr="00801AFD">
        <w:rPr>
          <w:sz w:val="20"/>
          <w:szCs w:val="22"/>
          <w:vertAlign w:val="superscript"/>
          <w:lang w:val="sr-Latn-ME"/>
        </w:rPr>
        <w:t xml:space="preserve">a </w:t>
      </w:r>
      <w:r w:rsidRPr="00801AFD">
        <w:rPr>
          <w:sz w:val="20"/>
          <w:szCs w:val="22"/>
          <w:lang w:val="sr-Latn-ME"/>
        </w:rPr>
        <w:t xml:space="preserve">Tjelesna </w:t>
      </w:r>
      <w:r w:rsidR="00852A5C" w:rsidRPr="00801AFD">
        <w:rPr>
          <w:sz w:val="20"/>
          <w:szCs w:val="22"/>
          <w:lang w:val="sr-Latn-ME"/>
        </w:rPr>
        <w:t xml:space="preserve">težina </w:t>
      </w:r>
      <w:r w:rsidRPr="00801AFD">
        <w:rPr>
          <w:sz w:val="20"/>
          <w:szCs w:val="22"/>
          <w:lang w:val="sr-Latn-ME"/>
        </w:rPr>
        <w:t xml:space="preserve">u vrijeme liječenja. </w:t>
      </w:r>
    </w:p>
    <w:p w14:paraId="7CB5A03E" w14:textId="0793BBB4" w:rsidR="007D0F27" w:rsidRPr="00801AFD" w:rsidRDefault="007D0F27" w:rsidP="00801AFD">
      <w:pPr>
        <w:pStyle w:val="Default"/>
        <w:widowControl w:val="0"/>
        <w:jc w:val="both"/>
        <w:rPr>
          <w:sz w:val="20"/>
          <w:szCs w:val="22"/>
          <w:lang w:val="sr-Latn-ME"/>
        </w:rPr>
      </w:pPr>
      <w:r w:rsidRPr="00801AFD">
        <w:rPr>
          <w:sz w:val="20"/>
          <w:szCs w:val="22"/>
          <w:vertAlign w:val="superscript"/>
          <w:lang w:val="sr-Latn-ME"/>
        </w:rPr>
        <w:t>b</w:t>
      </w:r>
      <w:r w:rsidRPr="00801AFD">
        <w:rPr>
          <w:sz w:val="20"/>
          <w:szCs w:val="22"/>
          <w:lang w:val="sr-Latn-ME"/>
        </w:rPr>
        <w:t xml:space="preserve"> samo za PNH i aHUS indikacije </w:t>
      </w:r>
    </w:p>
    <w:p w14:paraId="017E3E4D" w14:textId="77777777" w:rsidR="00E23684" w:rsidRPr="00801AFD" w:rsidRDefault="00E23684" w:rsidP="00801AFD">
      <w:pPr>
        <w:pStyle w:val="Default"/>
        <w:widowControl w:val="0"/>
        <w:jc w:val="both"/>
        <w:rPr>
          <w:sz w:val="22"/>
          <w:szCs w:val="22"/>
          <w:lang w:val="sr-Latn-ME"/>
        </w:rPr>
      </w:pPr>
    </w:p>
    <w:p w14:paraId="2837DCEB" w14:textId="5B07976B" w:rsidR="007D0F27" w:rsidRPr="00801AFD" w:rsidRDefault="007D0F27" w:rsidP="00801AFD">
      <w:pPr>
        <w:pStyle w:val="Default"/>
        <w:widowControl w:val="0"/>
        <w:jc w:val="both"/>
        <w:rPr>
          <w:b/>
          <w:bCs/>
          <w:sz w:val="22"/>
          <w:szCs w:val="22"/>
          <w:lang w:val="sr-Latn-ME"/>
        </w:rPr>
      </w:pPr>
      <w:r w:rsidRPr="00801AFD">
        <w:rPr>
          <w:b/>
          <w:bCs/>
          <w:sz w:val="22"/>
          <w:szCs w:val="22"/>
          <w:lang w:val="sr-Latn-ME"/>
        </w:rPr>
        <w:t xml:space="preserve">Tabela </w:t>
      </w:r>
      <w:r w:rsidR="00E14297" w:rsidRPr="00801AFD">
        <w:rPr>
          <w:b/>
          <w:bCs/>
          <w:sz w:val="22"/>
          <w:szCs w:val="22"/>
          <w:lang w:val="sr-Latn-ME"/>
        </w:rPr>
        <w:t>9</w:t>
      </w:r>
      <w:r w:rsidRPr="00801AFD">
        <w:rPr>
          <w:b/>
          <w:bCs/>
          <w:sz w:val="22"/>
          <w:szCs w:val="22"/>
          <w:lang w:val="sr-Latn-ME"/>
        </w:rPr>
        <w:t>: Brzina prim</w:t>
      </w:r>
      <w:r w:rsidR="0099493B" w:rsidRPr="00801AFD">
        <w:rPr>
          <w:b/>
          <w:bCs/>
          <w:sz w:val="22"/>
          <w:szCs w:val="22"/>
          <w:lang w:val="sr-Latn-ME"/>
        </w:rPr>
        <w:t>j</w:t>
      </w:r>
      <w:r w:rsidRPr="00801AFD">
        <w:rPr>
          <w:b/>
          <w:bCs/>
          <w:sz w:val="22"/>
          <w:szCs w:val="22"/>
          <w:lang w:val="sr-Latn-ME"/>
        </w:rPr>
        <w:t>ene doze l</w:t>
      </w:r>
      <w:r w:rsidR="0099493B" w:rsidRPr="00801AFD">
        <w:rPr>
          <w:b/>
          <w:bCs/>
          <w:sz w:val="22"/>
          <w:szCs w:val="22"/>
          <w:lang w:val="sr-Latn-ME"/>
        </w:rPr>
        <w:t>ij</w:t>
      </w:r>
      <w:r w:rsidRPr="00801AFD">
        <w:rPr>
          <w:b/>
          <w:bCs/>
          <w:sz w:val="22"/>
          <w:szCs w:val="22"/>
          <w:lang w:val="sr-Latn-ME"/>
        </w:rPr>
        <w:t>eka za dodatne doze l</w:t>
      </w:r>
      <w:r w:rsidR="0099493B" w:rsidRPr="00801AFD">
        <w:rPr>
          <w:b/>
          <w:bCs/>
          <w:sz w:val="22"/>
          <w:szCs w:val="22"/>
          <w:lang w:val="sr-Latn-ME"/>
        </w:rPr>
        <w:t>ij</w:t>
      </w:r>
      <w:r w:rsidRPr="00801AFD">
        <w:rPr>
          <w:b/>
          <w:bCs/>
          <w:sz w:val="22"/>
          <w:szCs w:val="22"/>
          <w:lang w:val="sr-Latn-ME"/>
        </w:rPr>
        <w:t>eka Ultomiris 300mg/30m</w:t>
      </w:r>
      <w:r w:rsidR="00B84B64" w:rsidRPr="00801AFD">
        <w:rPr>
          <w:b/>
          <w:bCs/>
          <w:sz w:val="22"/>
          <w:szCs w:val="22"/>
          <w:lang w:val="sr-Latn-ME"/>
        </w:rPr>
        <w:t>l</w:t>
      </w:r>
      <w:r w:rsidRPr="00801AFD">
        <w:rPr>
          <w:b/>
          <w:bCs/>
          <w:sz w:val="22"/>
          <w:szCs w:val="22"/>
          <w:lang w:val="sr-Latn-ME"/>
        </w:rPr>
        <w:t>, koncentrat za rastvor za infuziju</w:t>
      </w:r>
    </w:p>
    <w:p w14:paraId="33AF81E7" w14:textId="77777777" w:rsidR="0099493B" w:rsidRPr="00801AFD" w:rsidRDefault="0099493B" w:rsidP="00801AFD">
      <w:pPr>
        <w:pStyle w:val="Default"/>
        <w:widowControl w:val="0"/>
        <w:jc w:val="both"/>
        <w:rPr>
          <w:b/>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2454"/>
        <w:gridCol w:w="3324"/>
      </w:tblGrid>
      <w:tr w:rsidR="007D0F27" w:rsidRPr="00801AFD" w14:paraId="30428261" w14:textId="77777777" w:rsidTr="00801AFD">
        <w:trPr>
          <w:trHeight w:val="20"/>
        </w:trPr>
        <w:tc>
          <w:tcPr>
            <w:tcW w:w="0" w:type="auto"/>
            <w:vAlign w:val="center"/>
            <w:hideMark/>
          </w:tcPr>
          <w:p w14:paraId="0222ED08" w14:textId="4994A2AF" w:rsidR="007D0F27" w:rsidRPr="00801AFD" w:rsidRDefault="007D0F27" w:rsidP="00801AFD">
            <w:pPr>
              <w:pStyle w:val="C-TableHeader"/>
              <w:keepNext w:val="0"/>
              <w:widowControl w:val="0"/>
              <w:jc w:val="center"/>
              <w:rPr>
                <w:rFonts w:ascii="Times New Roman" w:hAnsi="Times New Roman"/>
                <w:bCs/>
                <w:sz w:val="22"/>
                <w:szCs w:val="22"/>
                <w:lang w:val="sr-Latn-ME"/>
              </w:rPr>
            </w:pPr>
            <w:r w:rsidRPr="00801AFD">
              <w:rPr>
                <w:rFonts w:ascii="Times New Roman" w:hAnsi="Times New Roman"/>
                <w:bCs/>
                <w:sz w:val="22"/>
                <w:szCs w:val="22"/>
                <w:lang w:val="sr-Latn-ME"/>
              </w:rPr>
              <w:t>Raspon t</w:t>
            </w:r>
            <w:r w:rsidR="0099493B" w:rsidRPr="00801AFD">
              <w:rPr>
                <w:rFonts w:ascii="Times New Roman" w:hAnsi="Times New Roman"/>
                <w:bCs/>
                <w:sz w:val="22"/>
                <w:szCs w:val="22"/>
                <w:lang w:val="sr-Latn-ME"/>
              </w:rPr>
              <w:t>j</w:t>
            </w:r>
            <w:r w:rsidRPr="00801AFD">
              <w:rPr>
                <w:rFonts w:ascii="Times New Roman" w:hAnsi="Times New Roman"/>
                <w:bCs/>
                <w:sz w:val="22"/>
                <w:szCs w:val="22"/>
                <w:lang w:val="sr-Latn-ME"/>
              </w:rPr>
              <w:t xml:space="preserve">elesne </w:t>
            </w:r>
            <w:r w:rsidR="00852A5C" w:rsidRPr="00801AFD">
              <w:rPr>
                <w:rFonts w:ascii="Times New Roman" w:hAnsi="Times New Roman"/>
                <w:bCs/>
                <w:sz w:val="22"/>
                <w:szCs w:val="22"/>
                <w:lang w:val="sr-Latn-ME"/>
              </w:rPr>
              <w:t xml:space="preserve">težine </w:t>
            </w:r>
            <w:r w:rsidRPr="00801AFD">
              <w:rPr>
                <w:rFonts w:ascii="Times New Roman" w:hAnsi="Times New Roman"/>
                <w:bCs/>
                <w:sz w:val="22"/>
                <w:szCs w:val="22"/>
                <w:lang w:val="sr-Latn-ME"/>
              </w:rPr>
              <w:t>(kg)</w:t>
            </w:r>
            <w:r w:rsidRPr="00801AFD">
              <w:rPr>
                <w:rFonts w:ascii="Times New Roman" w:hAnsi="Times New Roman"/>
                <w:bCs/>
                <w:sz w:val="22"/>
                <w:szCs w:val="22"/>
                <w:vertAlign w:val="superscript"/>
                <w:lang w:val="sr-Latn-ME"/>
              </w:rPr>
              <w:t>a</w:t>
            </w:r>
          </w:p>
        </w:tc>
        <w:tc>
          <w:tcPr>
            <w:tcW w:w="0" w:type="auto"/>
            <w:vAlign w:val="center"/>
            <w:hideMark/>
          </w:tcPr>
          <w:p w14:paraId="10EBEE3A" w14:textId="77777777" w:rsidR="007D0F27" w:rsidRPr="00801AFD" w:rsidRDefault="007D0F27" w:rsidP="00801AFD">
            <w:pPr>
              <w:pStyle w:val="C-TableHeader"/>
              <w:keepNext w:val="0"/>
              <w:widowControl w:val="0"/>
              <w:jc w:val="center"/>
              <w:rPr>
                <w:rFonts w:ascii="Times New Roman" w:hAnsi="Times New Roman"/>
                <w:bCs/>
                <w:sz w:val="22"/>
                <w:szCs w:val="22"/>
                <w:lang w:val="sr-Latn-ME"/>
              </w:rPr>
            </w:pPr>
            <w:r w:rsidRPr="00801AFD">
              <w:rPr>
                <w:rFonts w:ascii="Times New Roman" w:hAnsi="Times New Roman"/>
                <w:bCs/>
                <w:sz w:val="22"/>
                <w:szCs w:val="22"/>
                <w:lang w:val="sr-Latn-ME"/>
              </w:rPr>
              <w:t>Dodatna doza</w:t>
            </w:r>
            <w:r w:rsidRPr="00801AFD">
              <w:rPr>
                <w:rFonts w:ascii="Times New Roman" w:hAnsi="Times New Roman"/>
                <w:bCs/>
                <w:sz w:val="22"/>
                <w:szCs w:val="22"/>
                <w:vertAlign w:val="superscript"/>
                <w:lang w:val="sr-Latn-ME"/>
              </w:rPr>
              <w:t>b</w:t>
            </w:r>
            <w:r w:rsidRPr="00801AFD">
              <w:rPr>
                <w:rFonts w:ascii="Times New Roman" w:hAnsi="Times New Roman"/>
                <w:bCs/>
                <w:sz w:val="22"/>
                <w:szCs w:val="22"/>
                <w:lang w:val="sr-Latn-ME"/>
              </w:rPr>
              <w:t xml:space="preserve"> (mg)</w:t>
            </w:r>
          </w:p>
        </w:tc>
        <w:tc>
          <w:tcPr>
            <w:tcW w:w="0" w:type="auto"/>
            <w:vAlign w:val="center"/>
          </w:tcPr>
          <w:p w14:paraId="461EE1E4" w14:textId="77777777" w:rsidR="007D0F27" w:rsidRPr="00801AFD" w:rsidRDefault="007D0F27" w:rsidP="00801AFD">
            <w:pPr>
              <w:pStyle w:val="C-TableHeader"/>
              <w:keepNext w:val="0"/>
              <w:widowControl w:val="0"/>
              <w:jc w:val="center"/>
              <w:rPr>
                <w:rFonts w:ascii="Times New Roman" w:hAnsi="Times New Roman"/>
                <w:bCs/>
                <w:sz w:val="22"/>
                <w:szCs w:val="22"/>
                <w:lang w:val="sr-Latn-ME"/>
              </w:rPr>
            </w:pPr>
            <w:r w:rsidRPr="00801AFD">
              <w:rPr>
                <w:rFonts w:ascii="Times New Roman" w:hAnsi="Times New Roman"/>
                <w:bCs/>
                <w:sz w:val="22"/>
                <w:szCs w:val="22"/>
                <w:lang w:val="sr-Latn-ME"/>
              </w:rPr>
              <w:t>Minimalno trajanje infuzije</w:t>
            </w:r>
          </w:p>
          <w:p w14:paraId="29CCC8DD" w14:textId="62A5C973" w:rsidR="007D0F27" w:rsidRPr="00801AFD" w:rsidRDefault="007D0F27"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bCs/>
                <w:sz w:val="22"/>
                <w:szCs w:val="22"/>
                <w:lang w:val="sr-Latn-ME"/>
              </w:rPr>
              <w:t>minuti (sati)</w:t>
            </w:r>
          </w:p>
        </w:tc>
      </w:tr>
      <w:tr w:rsidR="007D0F27" w:rsidRPr="00801AFD" w14:paraId="2B3E6912" w14:textId="77777777" w:rsidTr="00801AFD">
        <w:trPr>
          <w:trHeight w:val="20"/>
        </w:trPr>
        <w:tc>
          <w:tcPr>
            <w:tcW w:w="0" w:type="auto"/>
            <w:vMerge w:val="restart"/>
          </w:tcPr>
          <w:p w14:paraId="7F09AF67" w14:textId="56E0469E" w:rsidR="007D0F27" w:rsidRPr="00801AFD" w:rsidRDefault="007D0F27" w:rsidP="00801AFD">
            <w:pPr>
              <w:pStyle w:val="C-TableText"/>
              <w:widowControl w:val="0"/>
              <w:jc w:val="center"/>
              <w:rPr>
                <w:sz w:val="22"/>
                <w:szCs w:val="22"/>
              </w:rPr>
            </w:pPr>
            <w:r w:rsidRPr="00801AFD">
              <w:rPr>
                <w:sz w:val="22"/>
                <w:szCs w:val="22"/>
              </w:rPr>
              <w:t>≥ 40 to &lt; 60</w:t>
            </w:r>
          </w:p>
        </w:tc>
        <w:tc>
          <w:tcPr>
            <w:tcW w:w="0" w:type="auto"/>
            <w:vAlign w:val="center"/>
          </w:tcPr>
          <w:p w14:paraId="319AFBBB" w14:textId="77777777" w:rsidR="007D0F27" w:rsidRPr="00801AFD" w:rsidRDefault="007D0F27" w:rsidP="00801AFD">
            <w:pPr>
              <w:pStyle w:val="C-TableText"/>
              <w:widowControl w:val="0"/>
              <w:jc w:val="center"/>
              <w:rPr>
                <w:sz w:val="22"/>
                <w:szCs w:val="22"/>
              </w:rPr>
            </w:pPr>
            <w:r w:rsidRPr="00801AFD">
              <w:rPr>
                <w:sz w:val="22"/>
                <w:szCs w:val="22"/>
              </w:rPr>
              <w:t>600</w:t>
            </w:r>
          </w:p>
        </w:tc>
        <w:tc>
          <w:tcPr>
            <w:tcW w:w="0" w:type="auto"/>
            <w:tcBorders>
              <w:top w:val="single" w:sz="6" w:space="0" w:color="auto"/>
              <w:left w:val="single" w:sz="6" w:space="0" w:color="auto"/>
              <w:bottom w:val="single" w:sz="6" w:space="0" w:color="auto"/>
              <w:right w:val="single" w:sz="6" w:space="0" w:color="auto"/>
            </w:tcBorders>
            <w:vAlign w:val="center"/>
          </w:tcPr>
          <w:p w14:paraId="21B80256" w14:textId="77777777" w:rsidR="007D0F27" w:rsidRPr="00801AFD" w:rsidRDefault="007D0F27" w:rsidP="00801AFD">
            <w:pPr>
              <w:pStyle w:val="C-TableText"/>
              <w:widowControl w:val="0"/>
              <w:jc w:val="center"/>
              <w:rPr>
                <w:sz w:val="22"/>
                <w:szCs w:val="22"/>
              </w:rPr>
            </w:pPr>
            <w:r w:rsidRPr="00801AFD">
              <w:rPr>
                <w:sz w:val="22"/>
                <w:szCs w:val="22"/>
              </w:rPr>
              <w:t>30 (0.5)</w:t>
            </w:r>
          </w:p>
        </w:tc>
      </w:tr>
      <w:tr w:rsidR="007D0F27" w:rsidRPr="00801AFD" w14:paraId="1DDFA7D8" w14:textId="77777777" w:rsidTr="00801AFD">
        <w:trPr>
          <w:trHeight w:val="20"/>
        </w:trPr>
        <w:tc>
          <w:tcPr>
            <w:tcW w:w="0" w:type="auto"/>
            <w:vMerge/>
            <w:hideMark/>
          </w:tcPr>
          <w:p w14:paraId="1451AA7D" w14:textId="77777777" w:rsidR="007D0F27" w:rsidRPr="00801AFD" w:rsidRDefault="007D0F27" w:rsidP="00801AFD">
            <w:pPr>
              <w:pStyle w:val="C-TableText"/>
              <w:widowControl w:val="0"/>
              <w:jc w:val="center"/>
              <w:rPr>
                <w:sz w:val="22"/>
                <w:szCs w:val="22"/>
              </w:rPr>
            </w:pPr>
          </w:p>
        </w:tc>
        <w:tc>
          <w:tcPr>
            <w:tcW w:w="0" w:type="auto"/>
            <w:vAlign w:val="center"/>
            <w:hideMark/>
          </w:tcPr>
          <w:p w14:paraId="1C0633D0" w14:textId="77777777" w:rsidR="007D0F27" w:rsidRPr="00801AFD" w:rsidRDefault="007D0F27" w:rsidP="00801AFD">
            <w:pPr>
              <w:pStyle w:val="C-TableText"/>
              <w:widowControl w:val="0"/>
              <w:jc w:val="center"/>
              <w:rPr>
                <w:sz w:val="22"/>
                <w:szCs w:val="22"/>
              </w:rPr>
            </w:pPr>
            <w:r w:rsidRPr="00801AFD">
              <w:rPr>
                <w:sz w:val="22"/>
                <w:szCs w:val="22"/>
              </w:rPr>
              <w:t>1200</w:t>
            </w:r>
          </w:p>
        </w:tc>
        <w:tc>
          <w:tcPr>
            <w:tcW w:w="0" w:type="auto"/>
            <w:tcBorders>
              <w:top w:val="single" w:sz="6" w:space="0" w:color="auto"/>
              <w:left w:val="single" w:sz="6" w:space="0" w:color="auto"/>
              <w:bottom w:val="single" w:sz="6" w:space="0" w:color="auto"/>
              <w:right w:val="single" w:sz="6" w:space="0" w:color="auto"/>
            </w:tcBorders>
            <w:vAlign w:val="center"/>
          </w:tcPr>
          <w:p w14:paraId="34FE6118" w14:textId="77777777" w:rsidR="007D0F27" w:rsidRPr="00801AFD" w:rsidRDefault="007D0F27" w:rsidP="00801AFD">
            <w:pPr>
              <w:pStyle w:val="C-TableText"/>
              <w:widowControl w:val="0"/>
              <w:jc w:val="center"/>
              <w:rPr>
                <w:sz w:val="22"/>
                <w:szCs w:val="22"/>
              </w:rPr>
            </w:pPr>
            <w:r w:rsidRPr="00801AFD">
              <w:rPr>
                <w:sz w:val="22"/>
                <w:szCs w:val="22"/>
              </w:rPr>
              <w:t>60 (1.0)</w:t>
            </w:r>
          </w:p>
        </w:tc>
      </w:tr>
      <w:tr w:rsidR="007D0F27" w:rsidRPr="00801AFD" w14:paraId="7A3E846F" w14:textId="77777777" w:rsidTr="00801AFD">
        <w:trPr>
          <w:trHeight w:val="20"/>
        </w:trPr>
        <w:tc>
          <w:tcPr>
            <w:tcW w:w="0" w:type="auto"/>
            <w:vMerge/>
          </w:tcPr>
          <w:p w14:paraId="2836BFF2" w14:textId="77777777" w:rsidR="007D0F27" w:rsidRPr="00801AFD" w:rsidRDefault="007D0F27" w:rsidP="00801AFD">
            <w:pPr>
              <w:pStyle w:val="C-TableText"/>
              <w:widowControl w:val="0"/>
              <w:jc w:val="center"/>
              <w:rPr>
                <w:sz w:val="22"/>
                <w:szCs w:val="22"/>
              </w:rPr>
            </w:pPr>
          </w:p>
        </w:tc>
        <w:tc>
          <w:tcPr>
            <w:tcW w:w="0" w:type="auto"/>
            <w:vAlign w:val="center"/>
          </w:tcPr>
          <w:p w14:paraId="576E5C69" w14:textId="77777777" w:rsidR="007D0F27" w:rsidRPr="00801AFD" w:rsidRDefault="007D0F27" w:rsidP="00801AFD">
            <w:pPr>
              <w:pStyle w:val="C-TableText"/>
              <w:widowControl w:val="0"/>
              <w:jc w:val="center"/>
              <w:rPr>
                <w:sz w:val="22"/>
                <w:szCs w:val="22"/>
              </w:rPr>
            </w:pPr>
            <w:r w:rsidRPr="00801AFD">
              <w:rPr>
                <w:sz w:val="22"/>
                <w:szCs w:val="22"/>
              </w:rPr>
              <w:t>1500</w:t>
            </w:r>
          </w:p>
        </w:tc>
        <w:tc>
          <w:tcPr>
            <w:tcW w:w="0" w:type="auto"/>
            <w:tcBorders>
              <w:top w:val="single" w:sz="6" w:space="0" w:color="auto"/>
              <w:left w:val="single" w:sz="6" w:space="0" w:color="auto"/>
              <w:bottom w:val="single" w:sz="6" w:space="0" w:color="auto"/>
              <w:right w:val="single" w:sz="6" w:space="0" w:color="auto"/>
            </w:tcBorders>
            <w:vAlign w:val="center"/>
          </w:tcPr>
          <w:p w14:paraId="3FDC1C82" w14:textId="77777777" w:rsidR="007D0F27" w:rsidRPr="00801AFD" w:rsidRDefault="007D0F27" w:rsidP="00801AFD">
            <w:pPr>
              <w:pStyle w:val="C-TableText"/>
              <w:widowControl w:val="0"/>
              <w:jc w:val="center"/>
              <w:rPr>
                <w:sz w:val="22"/>
                <w:szCs w:val="22"/>
              </w:rPr>
            </w:pPr>
            <w:r w:rsidRPr="00801AFD">
              <w:rPr>
                <w:sz w:val="22"/>
                <w:szCs w:val="22"/>
              </w:rPr>
              <w:t>72 (1.2)</w:t>
            </w:r>
          </w:p>
        </w:tc>
      </w:tr>
      <w:tr w:rsidR="007D0F27" w:rsidRPr="00801AFD" w14:paraId="6E75CA38" w14:textId="77777777" w:rsidTr="00801AFD">
        <w:trPr>
          <w:trHeight w:val="20"/>
        </w:trPr>
        <w:tc>
          <w:tcPr>
            <w:tcW w:w="0" w:type="auto"/>
            <w:vMerge w:val="restart"/>
          </w:tcPr>
          <w:p w14:paraId="4B6B9507" w14:textId="77777777" w:rsidR="007D0F27" w:rsidRPr="00801AFD" w:rsidRDefault="007D0F27" w:rsidP="00801AFD">
            <w:pPr>
              <w:pStyle w:val="C-TableText"/>
              <w:widowControl w:val="0"/>
              <w:jc w:val="center"/>
              <w:rPr>
                <w:sz w:val="22"/>
                <w:szCs w:val="22"/>
              </w:rPr>
            </w:pPr>
            <w:r w:rsidRPr="00801AFD">
              <w:rPr>
                <w:sz w:val="22"/>
                <w:szCs w:val="22"/>
              </w:rPr>
              <w:t>≥ 60 to &lt; 100</w:t>
            </w:r>
          </w:p>
        </w:tc>
        <w:tc>
          <w:tcPr>
            <w:tcW w:w="0" w:type="auto"/>
            <w:vAlign w:val="center"/>
          </w:tcPr>
          <w:p w14:paraId="79410D60" w14:textId="77777777" w:rsidR="007D0F27" w:rsidRPr="00801AFD" w:rsidRDefault="007D0F27" w:rsidP="00801AFD">
            <w:pPr>
              <w:pStyle w:val="C-TableText"/>
              <w:widowControl w:val="0"/>
              <w:jc w:val="center"/>
              <w:rPr>
                <w:sz w:val="22"/>
                <w:szCs w:val="22"/>
              </w:rPr>
            </w:pPr>
            <w:r w:rsidRPr="00801AFD">
              <w:rPr>
                <w:sz w:val="22"/>
                <w:szCs w:val="22"/>
              </w:rPr>
              <w:t>600</w:t>
            </w:r>
          </w:p>
        </w:tc>
        <w:tc>
          <w:tcPr>
            <w:tcW w:w="0" w:type="auto"/>
            <w:tcBorders>
              <w:top w:val="single" w:sz="6" w:space="0" w:color="auto"/>
              <w:left w:val="single" w:sz="6" w:space="0" w:color="auto"/>
              <w:bottom w:val="single" w:sz="6" w:space="0" w:color="auto"/>
              <w:right w:val="single" w:sz="6" w:space="0" w:color="auto"/>
            </w:tcBorders>
            <w:vAlign w:val="center"/>
          </w:tcPr>
          <w:p w14:paraId="4FAB01ED" w14:textId="77777777" w:rsidR="007D0F27" w:rsidRPr="00801AFD" w:rsidRDefault="007D0F27" w:rsidP="00801AFD">
            <w:pPr>
              <w:pStyle w:val="C-TableText"/>
              <w:widowControl w:val="0"/>
              <w:jc w:val="center"/>
              <w:rPr>
                <w:sz w:val="22"/>
                <w:szCs w:val="22"/>
              </w:rPr>
            </w:pPr>
            <w:r w:rsidRPr="00801AFD">
              <w:rPr>
                <w:sz w:val="22"/>
                <w:szCs w:val="22"/>
              </w:rPr>
              <w:t>23 (0.4)</w:t>
            </w:r>
          </w:p>
        </w:tc>
      </w:tr>
      <w:tr w:rsidR="007D0F27" w:rsidRPr="00801AFD" w14:paraId="2760EFB2" w14:textId="77777777" w:rsidTr="00801AFD">
        <w:trPr>
          <w:trHeight w:val="20"/>
        </w:trPr>
        <w:tc>
          <w:tcPr>
            <w:tcW w:w="0" w:type="auto"/>
            <w:vMerge/>
            <w:hideMark/>
          </w:tcPr>
          <w:p w14:paraId="37DBC07A" w14:textId="77777777" w:rsidR="007D0F27" w:rsidRPr="00801AFD" w:rsidRDefault="007D0F27" w:rsidP="00801AFD">
            <w:pPr>
              <w:pStyle w:val="C-TableText"/>
              <w:widowControl w:val="0"/>
              <w:jc w:val="center"/>
              <w:rPr>
                <w:sz w:val="22"/>
                <w:szCs w:val="22"/>
              </w:rPr>
            </w:pPr>
          </w:p>
        </w:tc>
        <w:tc>
          <w:tcPr>
            <w:tcW w:w="0" w:type="auto"/>
            <w:vAlign w:val="center"/>
            <w:hideMark/>
          </w:tcPr>
          <w:p w14:paraId="0473E529" w14:textId="77777777" w:rsidR="007D0F27" w:rsidRPr="00801AFD" w:rsidRDefault="007D0F27" w:rsidP="00801AFD">
            <w:pPr>
              <w:pStyle w:val="C-TableText"/>
              <w:widowControl w:val="0"/>
              <w:jc w:val="center"/>
              <w:rPr>
                <w:sz w:val="22"/>
                <w:szCs w:val="22"/>
              </w:rPr>
            </w:pPr>
            <w:r w:rsidRPr="00801AFD">
              <w:rPr>
                <w:sz w:val="22"/>
                <w:szCs w:val="22"/>
              </w:rPr>
              <w:t>1500</w:t>
            </w:r>
          </w:p>
        </w:tc>
        <w:tc>
          <w:tcPr>
            <w:tcW w:w="0" w:type="auto"/>
            <w:tcBorders>
              <w:top w:val="single" w:sz="6" w:space="0" w:color="auto"/>
              <w:left w:val="single" w:sz="6" w:space="0" w:color="auto"/>
              <w:bottom w:val="single" w:sz="6" w:space="0" w:color="auto"/>
              <w:right w:val="single" w:sz="6" w:space="0" w:color="auto"/>
            </w:tcBorders>
            <w:vAlign w:val="center"/>
          </w:tcPr>
          <w:p w14:paraId="6D2B0B64" w14:textId="77777777" w:rsidR="007D0F27" w:rsidRPr="00801AFD" w:rsidRDefault="007D0F27" w:rsidP="00801AFD">
            <w:pPr>
              <w:pStyle w:val="C-TableText"/>
              <w:widowControl w:val="0"/>
              <w:jc w:val="center"/>
              <w:rPr>
                <w:sz w:val="22"/>
                <w:szCs w:val="22"/>
              </w:rPr>
            </w:pPr>
            <w:r w:rsidRPr="00801AFD">
              <w:rPr>
                <w:sz w:val="22"/>
                <w:szCs w:val="22"/>
              </w:rPr>
              <w:t>60 (1.0)</w:t>
            </w:r>
          </w:p>
        </w:tc>
      </w:tr>
      <w:tr w:rsidR="007D0F27" w:rsidRPr="00801AFD" w14:paraId="2CBCC4A2" w14:textId="77777777" w:rsidTr="00801AFD">
        <w:trPr>
          <w:trHeight w:val="20"/>
        </w:trPr>
        <w:tc>
          <w:tcPr>
            <w:tcW w:w="0" w:type="auto"/>
            <w:vMerge/>
          </w:tcPr>
          <w:p w14:paraId="4CD83696" w14:textId="77777777" w:rsidR="007D0F27" w:rsidRPr="00801AFD" w:rsidRDefault="007D0F27" w:rsidP="00801AFD">
            <w:pPr>
              <w:pStyle w:val="C-TableText"/>
              <w:widowControl w:val="0"/>
              <w:jc w:val="center"/>
              <w:rPr>
                <w:sz w:val="22"/>
                <w:szCs w:val="22"/>
              </w:rPr>
            </w:pPr>
          </w:p>
        </w:tc>
        <w:tc>
          <w:tcPr>
            <w:tcW w:w="0" w:type="auto"/>
            <w:vAlign w:val="center"/>
          </w:tcPr>
          <w:p w14:paraId="1DB2F7CE" w14:textId="77777777" w:rsidR="007D0F27" w:rsidRPr="00801AFD" w:rsidRDefault="007D0F27" w:rsidP="00801AFD">
            <w:pPr>
              <w:pStyle w:val="C-TableText"/>
              <w:widowControl w:val="0"/>
              <w:jc w:val="center"/>
              <w:rPr>
                <w:sz w:val="22"/>
                <w:szCs w:val="22"/>
              </w:rPr>
            </w:pPr>
            <w:r w:rsidRPr="00801AFD">
              <w:rPr>
                <w:sz w:val="22"/>
                <w:szCs w:val="22"/>
              </w:rPr>
              <w:t>1800</w:t>
            </w:r>
          </w:p>
        </w:tc>
        <w:tc>
          <w:tcPr>
            <w:tcW w:w="0" w:type="auto"/>
            <w:tcBorders>
              <w:top w:val="single" w:sz="6" w:space="0" w:color="auto"/>
              <w:left w:val="single" w:sz="6" w:space="0" w:color="auto"/>
              <w:bottom w:val="single" w:sz="6" w:space="0" w:color="auto"/>
              <w:right w:val="single" w:sz="6" w:space="0" w:color="auto"/>
            </w:tcBorders>
            <w:vAlign w:val="center"/>
          </w:tcPr>
          <w:p w14:paraId="75D94F1B" w14:textId="77777777" w:rsidR="007D0F27" w:rsidRPr="00801AFD" w:rsidRDefault="007D0F27" w:rsidP="00801AFD">
            <w:pPr>
              <w:pStyle w:val="C-TableText"/>
              <w:widowControl w:val="0"/>
              <w:jc w:val="center"/>
              <w:rPr>
                <w:sz w:val="22"/>
                <w:szCs w:val="22"/>
              </w:rPr>
            </w:pPr>
            <w:r w:rsidRPr="00801AFD">
              <w:rPr>
                <w:sz w:val="22"/>
                <w:szCs w:val="22"/>
              </w:rPr>
              <w:t>65 (1.1)</w:t>
            </w:r>
          </w:p>
        </w:tc>
      </w:tr>
      <w:tr w:rsidR="007D0F27" w:rsidRPr="00801AFD" w14:paraId="38DE2E3A" w14:textId="77777777" w:rsidTr="00801AFD">
        <w:trPr>
          <w:trHeight w:val="20"/>
        </w:trPr>
        <w:tc>
          <w:tcPr>
            <w:tcW w:w="0" w:type="auto"/>
            <w:vMerge w:val="restart"/>
          </w:tcPr>
          <w:p w14:paraId="60D03E36" w14:textId="77777777" w:rsidR="007D0F27" w:rsidRPr="00801AFD" w:rsidRDefault="007D0F27" w:rsidP="00801AFD">
            <w:pPr>
              <w:pStyle w:val="C-TableText"/>
              <w:widowControl w:val="0"/>
              <w:jc w:val="center"/>
              <w:rPr>
                <w:sz w:val="22"/>
                <w:szCs w:val="22"/>
              </w:rPr>
            </w:pPr>
            <w:r w:rsidRPr="00801AFD">
              <w:rPr>
                <w:sz w:val="22"/>
                <w:szCs w:val="22"/>
              </w:rPr>
              <w:t>≥ 100</w:t>
            </w:r>
          </w:p>
        </w:tc>
        <w:tc>
          <w:tcPr>
            <w:tcW w:w="0" w:type="auto"/>
            <w:vAlign w:val="center"/>
          </w:tcPr>
          <w:p w14:paraId="2FEF82C6" w14:textId="77777777" w:rsidR="007D0F27" w:rsidRPr="00801AFD" w:rsidRDefault="007D0F27" w:rsidP="00801AFD">
            <w:pPr>
              <w:pStyle w:val="C-TableText"/>
              <w:widowControl w:val="0"/>
              <w:jc w:val="center"/>
              <w:rPr>
                <w:sz w:val="22"/>
                <w:szCs w:val="22"/>
              </w:rPr>
            </w:pPr>
            <w:r w:rsidRPr="00801AFD">
              <w:rPr>
                <w:sz w:val="22"/>
                <w:szCs w:val="22"/>
              </w:rPr>
              <w:t>600</w:t>
            </w:r>
          </w:p>
        </w:tc>
        <w:tc>
          <w:tcPr>
            <w:tcW w:w="0" w:type="auto"/>
            <w:tcBorders>
              <w:top w:val="single" w:sz="6" w:space="0" w:color="auto"/>
              <w:left w:val="single" w:sz="6" w:space="0" w:color="auto"/>
              <w:bottom w:val="single" w:sz="6" w:space="0" w:color="auto"/>
              <w:right w:val="single" w:sz="6" w:space="0" w:color="auto"/>
            </w:tcBorders>
            <w:vAlign w:val="center"/>
          </w:tcPr>
          <w:p w14:paraId="1278A1A7" w14:textId="77777777" w:rsidR="007D0F27" w:rsidRPr="00801AFD" w:rsidRDefault="007D0F27" w:rsidP="00801AFD">
            <w:pPr>
              <w:pStyle w:val="C-TableText"/>
              <w:widowControl w:val="0"/>
              <w:jc w:val="center"/>
              <w:rPr>
                <w:sz w:val="22"/>
                <w:szCs w:val="22"/>
              </w:rPr>
            </w:pPr>
            <w:r w:rsidRPr="00801AFD">
              <w:rPr>
                <w:sz w:val="22"/>
                <w:szCs w:val="22"/>
              </w:rPr>
              <w:t>22 (0.4)</w:t>
            </w:r>
          </w:p>
        </w:tc>
      </w:tr>
      <w:tr w:rsidR="007D0F27" w:rsidRPr="00801AFD" w14:paraId="504B19FE" w14:textId="77777777" w:rsidTr="00801AFD">
        <w:trPr>
          <w:trHeight w:val="20"/>
        </w:trPr>
        <w:tc>
          <w:tcPr>
            <w:tcW w:w="0" w:type="auto"/>
            <w:vMerge/>
            <w:vAlign w:val="center"/>
            <w:hideMark/>
          </w:tcPr>
          <w:p w14:paraId="3EA04781" w14:textId="77777777" w:rsidR="007D0F27" w:rsidRPr="00801AFD" w:rsidRDefault="007D0F27" w:rsidP="00801AFD">
            <w:pPr>
              <w:pStyle w:val="C-TableText"/>
              <w:widowControl w:val="0"/>
              <w:jc w:val="center"/>
              <w:rPr>
                <w:sz w:val="22"/>
                <w:szCs w:val="22"/>
              </w:rPr>
            </w:pPr>
          </w:p>
        </w:tc>
        <w:tc>
          <w:tcPr>
            <w:tcW w:w="0" w:type="auto"/>
            <w:vAlign w:val="center"/>
            <w:hideMark/>
          </w:tcPr>
          <w:p w14:paraId="25E3F0F0" w14:textId="77777777" w:rsidR="007D0F27" w:rsidRPr="00801AFD" w:rsidRDefault="007D0F27" w:rsidP="00801AFD">
            <w:pPr>
              <w:pStyle w:val="C-TableText"/>
              <w:widowControl w:val="0"/>
              <w:jc w:val="center"/>
              <w:rPr>
                <w:sz w:val="22"/>
                <w:szCs w:val="22"/>
              </w:rPr>
            </w:pPr>
            <w:r w:rsidRPr="00801AFD">
              <w:rPr>
                <w:sz w:val="22"/>
                <w:szCs w:val="22"/>
              </w:rPr>
              <w:t>1500</w:t>
            </w:r>
          </w:p>
        </w:tc>
        <w:tc>
          <w:tcPr>
            <w:tcW w:w="0" w:type="auto"/>
            <w:tcBorders>
              <w:top w:val="single" w:sz="6" w:space="0" w:color="auto"/>
              <w:left w:val="single" w:sz="6" w:space="0" w:color="auto"/>
              <w:bottom w:val="single" w:sz="6" w:space="0" w:color="auto"/>
              <w:right w:val="single" w:sz="6" w:space="0" w:color="auto"/>
            </w:tcBorders>
            <w:vAlign w:val="center"/>
          </w:tcPr>
          <w:p w14:paraId="349EEF32" w14:textId="77777777" w:rsidR="007D0F27" w:rsidRPr="00801AFD" w:rsidRDefault="007D0F27" w:rsidP="00801AFD">
            <w:pPr>
              <w:pStyle w:val="C-TableText"/>
              <w:widowControl w:val="0"/>
              <w:jc w:val="center"/>
              <w:rPr>
                <w:sz w:val="22"/>
                <w:szCs w:val="22"/>
              </w:rPr>
            </w:pPr>
            <w:r w:rsidRPr="00801AFD">
              <w:rPr>
                <w:sz w:val="22"/>
                <w:szCs w:val="22"/>
              </w:rPr>
              <w:t>60 (1.0)</w:t>
            </w:r>
          </w:p>
        </w:tc>
      </w:tr>
      <w:tr w:rsidR="007D0F27" w:rsidRPr="00801AFD" w14:paraId="0406987F" w14:textId="77777777" w:rsidTr="00801AFD">
        <w:trPr>
          <w:trHeight w:val="20"/>
        </w:trPr>
        <w:tc>
          <w:tcPr>
            <w:tcW w:w="0" w:type="auto"/>
            <w:vMerge/>
            <w:vAlign w:val="center"/>
          </w:tcPr>
          <w:p w14:paraId="6C311464" w14:textId="77777777" w:rsidR="007D0F27" w:rsidRPr="00801AFD" w:rsidRDefault="007D0F27" w:rsidP="00801AFD">
            <w:pPr>
              <w:pStyle w:val="C-TableText"/>
              <w:widowControl w:val="0"/>
              <w:jc w:val="center"/>
              <w:rPr>
                <w:sz w:val="22"/>
                <w:szCs w:val="22"/>
              </w:rPr>
            </w:pPr>
          </w:p>
        </w:tc>
        <w:tc>
          <w:tcPr>
            <w:tcW w:w="0" w:type="auto"/>
            <w:vAlign w:val="center"/>
          </w:tcPr>
          <w:p w14:paraId="31E8287B" w14:textId="77777777" w:rsidR="007D0F27" w:rsidRPr="00801AFD" w:rsidRDefault="007D0F27" w:rsidP="00801AFD">
            <w:pPr>
              <w:pStyle w:val="C-TableText"/>
              <w:widowControl w:val="0"/>
              <w:jc w:val="center"/>
              <w:rPr>
                <w:sz w:val="22"/>
                <w:szCs w:val="22"/>
              </w:rPr>
            </w:pPr>
            <w:r w:rsidRPr="00801AFD">
              <w:rPr>
                <w:sz w:val="22"/>
                <w:szCs w:val="22"/>
              </w:rPr>
              <w:t>1800</w:t>
            </w:r>
          </w:p>
        </w:tc>
        <w:tc>
          <w:tcPr>
            <w:tcW w:w="0" w:type="auto"/>
            <w:tcBorders>
              <w:top w:val="single" w:sz="6" w:space="0" w:color="auto"/>
              <w:left w:val="single" w:sz="6" w:space="0" w:color="auto"/>
              <w:bottom w:val="single" w:sz="6" w:space="0" w:color="auto"/>
              <w:right w:val="single" w:sz="6" w:space="0" w:color="auto"/>
            </w:tcBorders>
            <w:vAlign w:val="center"/>
          </w:tcPr>
          <w:p w14:paraId="3265BCBE" w14:textId="77777777" w:rsidR="007D0F27" w:rsidRPr="00801AFD" w:rsidRDefault="007D0F27" w:rsidP="00801AFD">
            <w:pPr>
              <w:pStyle w:val="C-TableText"/>
              <w:widowControl w:val="0"/>
              <w:jc w:val="center"/>
              <w:rPr>
                <w:sz w:val="22"/>
                <w:szCs w:val="22"/>
              </w:rPr>
            </w:pPr>
            <w:r w:rsidRPr="00801AFD">
              <w:rPr>
                <w:sz w:val="22"/>
                <w:szCs w:val="22"/>
              </w:rPr>
              <w:t>65 (1.1)</w:t>
            </w:r>
          </w:p>
        </w:tc>
      </w:tr>
    </w:tbl>
    <w:p w14:paraId="0C1500F4" w14:textId="6631F98D" w:rsidR="007D0F27" w:rsidRPr="00801AFD" w:rsidRDefault="007D0F27" w:rsidP="00801AFD">
      <w:pPr>
        <w:pStyle w:val="Default"/>
        <w:widowControl w:val="0"/>
        <w:jc w:val="both"/>
        <w:rPr>
          <w:sz w:val="20"/>
          <w:szCs w:val="22"/>
          <w:lang w:val="sr-Latn-ME"/>
        </w:rPr>
      </w:pPr>
      <w:r w:rsidRPr="00801AFD">
        <w:rPr>
          <w:sz w:val="20"/>
          <w:szCs w:val="22"/>
          <w:vertAlign w:val="superscript"/>
          <w:lang w:val="sr-Latn-ME"/>
        </w:rPr>
        <w:t>a</w:t>
      </w:r>
      <w:r w:rsidRPr="00801AFD">
        <w:rPr>
          <w:sz w:val="20"/>
          <w:szCs w:val="22"/>
          <w:lang w:val="sr-Latn-ME"/>
        </w:rPr>
        <w:t>T</w:t>
      </w:r>
      <w:r w:rsidR="0099493B" w:rsidRPr="00801AFD">
        <w:rPr>
          <w:sz w:val="20"/>
          <w:szCs w:val="22"/>
          <w:lang w:val="sr-Latn-ME"/>
        </w:rPr>
        <w:t>j</w:t>
      </w:r>
      <w:r w:rsidRPr="00801AFD">
        <w:rPr>
          <w:sz w:val="20"/>
          <w:szCs w:val="22"/>
          <w:lang w:val="sr-Latn-ME"/>
        </w:rPr>
        <w:t xml:space="preserve">elesna </w:t>
      </w:r>
      <w:r w:rsidR="00852A5C" w:rsidRPr="00801AFD">
        <w:rPr>
          <w:sz w:val="20"/>
          <w:szCs w:val="22"/>
          <w:lang w:val="sr-Latn-ME"/>
        </w:rPr>
        <w:t xml:space="preserve">težina </w:t>
      </w:r>
      <w:r w:rsidRPr="00801AFD">
        <w:rPr>
          <w:sz w:val="20"/>
          <w:szCs w:val="22"/>
          <w:lang w:val="sr-Latn-ME"/>
        </w:rPr>
        <w:t>u trenutku l</w:t>
      </w:r>
      <w:r w:rsidR="0099493B" w:rsidRPr="00801AFD">
        <w:rPr>
          <w:sz w:val="20"/>
          <w:szCs w:val="22"/>
          <w:lang w:val="sr-Latn-ME"/>
        </w:rPr>
        <w:t>ij</w:t>
      </w:r>
      <w:r w:rsidRPr="00801AFD">
        <w:rPr>
          <w:sz w:val="20"/>
          <w:szCs w:val="22"/>
          <w:lang w:val="sr-Latn-ME"/>
        </w:rPr>
        <w:t>ečenja</w:t>
      </w:r>
    </w:p>
    <w:p w14:paraId="1CD248B1" w14:textId="4D48BCA9" w:rsidR="007D0F27" w:rsidRPr="00801AFD" w:rsidRDefault="007D0F27" w:rsidP="00801AFD">
      <w:pPr>
        <w:pStyle w:val="Default"/>
        <w:widowControl w:val="0"/>
        <w:jc w:val="both"/>
        <w:rPr>
          <w:sz w:val="20"/>
          <w:szCs w:val="22"/>
          <w:lang w:val="sr-Latn-ME"/>
        </w:rPr>
      </w:pPr>
      <w:r w:rsidRPr="00801AFD">
        <w:rPr>
          <w:sz w:val="20"/>
          <w:szCs w:val="22"/>
          <w:vertAlign w:val="superscript"/>
          <w:lang w:val="sr-Latn-ME"/>
        </w:rPr>
        <w:t>b</w:t>
      </w:r>
      <w:r w:rsidRPr="00801AFD">
        <w:rPr>
          <w:sz w:val="20"/>
          <w:szCs w:val="22"/>
          <w:lang w:val="sr-Latn-ME"/>
        </w:rPr>
        <w:t xml:space="preserve"> Pogledajte </w:t>
      </w:r>
      <w:r w:rsidR="00B84B64" w:rsidRPr="00801AFD">
        <w:rPr>
          <w:sz w:val="20"/>
          <w:szCs w:val="22"/>
          <w:lang w:val="sr-Latn-ME"/>
        </w:rPr>
        <w:t>T</w:t>
      </w:r>
      <w:r w:rsidRPr="00801AFD">
        <w:rPr>
          <w:sz w:val="20"/>
          <w:szCs w:val="22"/>
          <w:lang w:val="sr-Latn-ME"/>
        </w:rPr>
        <w:t xml:space="preserve">abelu </w:t>
      </w:r>
      <w:r w:rsidR="00E14297" w:rsidRPr="00801AFD">
        <w:rPr>
          <w:sz w:val="20"/>
          <w:szCs w:val="22"/>
          <w:lang w:val="sr-Latn-ME"/>
        </w:rPr>
        <w:t xml:space="preserve">4 </w:t>
      </w:r>
      <w:r w:rsidRPr="00801AFD">
        <w:rPr>
          <w:sz w:val="20"/>
          <w:szCs w:val="22"/>
          <w:lang w:val="sr-Latn-ME"/>
        </w:rPr>
        <w:t>za odabir dodatne doze ravulizumaba</w:t>
      </w:r>
    </w:p>
    <w:p w14:paraId="62789BE9" w14:textId="77777777" w:rsidR="007D0F27" w:rsidRPr="00801AFD" w:rsidRDefault="007D0F27" w:rsidP="00801AFD">
      <w:pPr>
        <w:pStyle w:val="Default"/>
        <w:widowControl w:val="0"/>
        <w:jc w:val="both"/>
        <w:rPr>
          <w:sz w:val="22"/>
          <w:szCs w:val="22"/>
          <w:lang w:val="sr-Latn-ME"/>
        </w:rPr>
      </w:pPr>
    </w:p>
    <w:p w14:paraId="73DAB719" w14:textId="6E7BBC37" w:rsidR="00EC79EA" w:rsidRPr="00801AFD" w:rsidRDefault="00EC79EA" w:rsidP="00801AFD">
      <w:pPr>
        <w:widowControl w:val="0"/>
        <w:jc w:val="both"/>
        <w:rPr>
          <w:sz w:val="22"/>
          <w:szCs w:val="22"/>
          <w:lang w:val="sr-Latn-ME"/>
        </w:rPr>
      </w:pPr>
      <w:r w:rsidRPr="00801AFD">
        <w:rPr>
          <w:sz w:val="22"/>
          <w:szCs w:val="22"/>
          <w:lang w:val="sr-Latn-ME"/>
        </w:rPr>
        <w:t xml:space="preserve">Uputstva o razblaživanju lijeka prije primjene navedena su u </w:t>
      </w:r>
      <w:r w:rsidR="003815F3" w:rsidRPr="00801AFD">
        <w:rPr>
          <w:sz w:val="22"/>
          <w:szCs w:val="22"/>
          <w:lang w:val="sr-Latn-ME"/>
        </w:rPr>
        <w:t>dijelu</w:t>
      </w:r>
      <w:r w:rsidRPr="00801AFD">
        <w:rPr>
          <w:sz w:val="22"/>
          <w:szCs w:val="22"/>
          <w:lang w:val="sr-Latn-ME"/>
        </w:rPr>
        <w:t xml:space="preserve"> 6.6.</w:t>
      </w:r>
    </w:p>
    <w:p w14:paraId="6522F674" w14:textId="77777777" w:rsidR="00EC79EA" w:rsidRPr="00801AFD" w:rsidRDefault="00EC79EA" w:rsidP="00801AFD">
      <w:pPr>
        <w:widowControl w:val="0"/>
        <w:tabs>
          <w:tab w:val="left" w:pos="540"/>
          <w:tab w:val="left" w:pos="569"/>
        </w:tabs>
        <w:jc w:val="both"/>
        <w:rPr>
          <w:bCs/>
          <w:sz w:val="22"/>
          <w:szCs w:val="22"/>
          <w:u w:val="single"/>
          <w:lang w:val="sr-Latn-ME"/>
        </w:rPr>
      </w:pPr>
    </w:p>
    <w:p w14:paraId="32194565" w14:textId="1AB67202" w:rsidR="00411B4B" w:rsidRPr="00801AFD" w:rsidRDefault="00411B4B" w:rsidP="00801AFD">
      <w:pPr>
        <w:widowControl w:val="0"/>
        <w:tabs>
          <w:tab w:val="left" w:pos="540"/>
          <w:tab w:val="left" w:pos="569"/>
        </w:tabs>
        <w:jc w:val="both"/>
        <w:rPr>
          <w:b/>
          <w:bCs/>
          <w:sz w:val="22"/>
          <w:szCs w:val="22"/>
          <w:lang w:val="sr-Latn-ME"/>
        </w:rPr>
      </w:pPr>
      <w:r w:rsidRPr="00801AFD">
        <w:rPr>
          <w:b/>
          <w:bCs/>
          <w:sz w:val="22"/>
          <w:szCs w:val="22"/>
          <w:lang w:val="sr-Latn-ME"/>
        </w:rPr>
        <w:t xml:space="preserve">4.3. </w:t>
      </w:r>
      <w:r w:rsidR="00480FB1" w:rsidRPr="00801AFD">
        <w:rPr>
          <w:b/>
          <w:bCs/>
          <w:sz w:val="22"/>
          <w:szCs w:val="22"/>
          <w:lang w:val="sr-Latn-ME"/>
        </w:rPr>
        <w:tab/>
      </w:r>
      <w:r w:rsidRPr="00801AFD">
        <w:rPr>
          <w:b/>
          <w:bCs/>
          <w:sz w:val="22"/>
          <w:szCs w:val="22"/>
          <w:lang w:val="sr-Latn-ME"/>
        </w:rPr>
        <w:t>Kontraindikacije</w:t>
      </w:r>
    </w:p>
    <w:p w14:paraId="64406E65" w14:textId="16D81753" w:rsidR="003815F3" w:rsidRPr="00801AFD" w:rsidRDefault="003815F3" w:rsidP="00801AFD">
      <w:pPr>
        <w:widowControl w:val="0"/>
        <w:tabs>
          <w:tab w:val="left" w:pos="540"/>
          <w:tab w:val="left" w:pos="569"/>
        </w:tabs>
        <w:jc w:val="both"/>
        <w:rPr>
          <w:b/>
          <w:bCs/>
          <w:sz w:val="22"/>
          <w:szCs w:val="22"/>
          <w:lang w:val="sr-Latn-ME"/>
        </w:rPr>
      </w:pPr>
    </w:p>
    <w:p w14:paraId="4FF579F8" w14:textId="3CD84432" w:rsidR="003815F3" w:rsidRPr="00801AFD" w:rsidRDefault="003815F3" w:rsidP="00801AFD">
      <w:pPr>
        <w:pStyle w:val="ListParagraph"/>
        <w:widowControl w:val="0"/>
        <w:numPr>
          <w:ilvl w:val="0"/>
          <w:numId w:val="13"/>
        </w:numPr>
        <w:rPr>
          <w:color w:val="000000"/>
          <w:szCs w:val="22"/>
          <w:lang w:val="sr-Latn-ME"/>
        </w:rPr>
      </w:pPr>
      <w:r w:rsidRPr="00801AFD">
        <w:rPr>
          <w:color w:val="000000"/>
          <w:szCs w:val="22"/>
          <w:lang w:val="sr-Latn-ME"/>
        </w:rPr>
        <w:t>Preosjetljivost na aktivnu supstancu ili bilo koju</w:t>
      </w:r>
      <w:r w:rsidR="00ED613C" w:rsidRPr="00801AFD">
        <w:rPr>
          <w:color w:val="000000"/>
          <w:szCs w:val="22"/>
          <w:lang w:val="sr-Latn-ME"/>
        </w:rPr>
        <w:t xml:space="preserve"> od</w:t>
      </w:r>
      <w:r w:rsidRPr="00801AFD">
        <w:rPr>
          <w:color w:val="000000"/>
          <w:szCs w:val="22"/>
          <w:lang w:val="sr-Latn-ME"/>
        </w:rPr>
        <w:t xml:space="preserve"> pomoćn</w:t>
      </w:r>
      <w:r w:rsidR="00ED613C" w:rsidRPr="00801AFD">
        <w:rPr>
          <w:color w:val="000000"/>
          <w:szCs w:val="22"/>
          <w:lang w:val="sr-Latn-ME"/>
        </w:rPr>
        <w:t>ih</w:t>
      </w:r>
      <w:r w:rsidRPr="00801AFD">
        <w:rPr>
          <w:color w:val="000000"/>
          <w:szCs w:val="22"/>
          <w:lang w:val="sr-Latn-ME"/>
        </w:rPr>
        <w:t xml:space="preserve"> supstanc</w:t>
      </w:r>
      <w:r w:rsidR="00ED613C" w:rsidRPr="00801AFD">
        <w:rPr>
          <w:color w:val="000000"/>
          <w:szCs w:val="22"/>
          <w:lang w:val="sr-Latn-ME"/>
        </w:rPr>
        <w:t>i</w:t>
      </w:r>
      <w:r w:rsidRPr="00801AFD">
        <w:rPr>
          <w:color w:val="000000"/>
          <w:szCs w:val="22"/>
          <w:lang w:val="sr-Latn-ME"/>
        </w:rPr>
        <w:t xml:space="preserve"> naveden</w:t>
      </w:r>
      <w:r w:rsidR="00ED613C" w:rsidRPr="00801AFD">
        <w:rPr>
          <w:color w:val="000000"/>
          <w:szCs w:val="22"/>
          <w:lang w:val="sr-Latn-ME"/>
        </w:rPr>
        <w:t>ih</w:t>
      </w:r>
      <w:r w:rsidRPr="00801AFD">
        <w:rPr>
          <w:color w:val="000000"/>
          <w:szCs w:val="22"/>
          <w:lang w:val="sr-Latn-ME"/>
        </w:rPr>
        <w:t xml:space="preserve"> u dijelu 6.1.</w:t>
      </w:r>
    </w:p>
    <w:p w14:paraId="17550BD1" w14:textId="5897E2DB" w:rsidR="003815F3" w:rsidRPr="00801AFD" w:rsidRDefault="003815F3" w:rsidP="00801AFD">
      <w:pPr>
        <w:pStyle w:val="ListParagraph"/>
        <w:widowControl w:val="0"/>
        <w:numPr>
          <w:ilvl w:val="0"/>
          <w:numId w:val="13"/>
        </w:numPr>
        <w:rPr>
          <w:color w:val="000000"/>
          <w:szCs w:val="22"/>
          <w:lang w:val="sr-Latn-ME"/>
        </w:rPr>
      </w:pPr>
      <w:r w:rsidRPr="00801AFD">
        <w:rPr>
          <w:color w:val="000000"/>
          <w:szCs w:val="22"/>
          <w:lang w:val="sr-Latn-ME"/>
        </w:rPr>
        <w:t xml:space="preserve">Pacijenti sa neliječenom infekcijom uzrokovanom </w:t>
      </w:r>
      <w:r w:rsidRPr="00801AFD">
        <w:rPr>
          <w:i/>
          <w:iCs/>
          <w:color w:val="000000"/>
          <w:szCs w:val="22"/>
          <w:lang w:val="sr-Latn-ME"/>
        </w:rPr>
        <w:t>Neisseria meningitidis</w:t>
      </w:r>
      <w:r w:rsidRPr="00801AFD">
        <w:rPr>
          <w:color w:val="000000"/>
          <w:szCs w:val="22"/>
          <w:lang w:val="sr-Latn-ME"/>
        </w:rPr>
        <w:t xml:space="preserve"> na početku liječenja (vidjeti dio 4.4).</w:t>
      </w:r>
    </w:p>
    <w:p w14:paraId="34B319E8" w14:textId="3B39E7AF" w:rsidR="003815F3" w:rsidRPr="00801AFD" w:rsidRDefault="003815F3" w:rsidP="00801AFD">
      <w:pPr>
        <w:pStyle w:val="ListParagraph"/>
        <w:widowControl w:val="0"/>
        <w:numPr>
          <w:ilvl w:val="0"/>
          <w:numId w:val="13"/>
        </w:numPr>
        <w:rPr>
          <w:szCs w:val="22"/>
          <w:lang w:val="sr-Latn-ME"/>
        </w:rPr>
      </w:pPr>
      <w:r w:rsidRPr="00801AFD">
        <w:rPr>
          <w:color w:val="000000"/>
          <w:szCs w:val="22"/>
          <w:lang w:val="sr-Latn-ME"/>
        </w:rPr>
        <w:t xml:space="preserve">Pacijenti koji trenutno nijesu zaštićeni vakcinom </w:t>
      </w:r>
      <w:r w:rsidRPr="00801AFD">
        <w:rPr>
          <w:i/>
          <w:iCs/>
          <w:color w:val="000000"/>
          <w:szCs w:val="22"/>
          <w:lang w:val="sr-Latn-ME"/>
        </w:rPr>
        <w:t>Neisseria meningitidis</w:t>
      </w:r>
      <w:r w:rsidRPr="00801AFD">
        <w:rPr>
          <w:color w:val="000000"/>
          <w:szCs w:val="22"/>
          <w:lang w:val="sr-Latn-ME"/>
        </w:rPr>
        <w:t>, osim ako ne primaju profilaktičku terapiju odgovarajućim antibioticima do 2 nedjelje nakon vakcinacije (vidjeti dio 4.4).</w:t>
      </w:r>
    </w:p>
    <w:p w14:paraId="16956B3D" w14:textId="77777777" w:rsidR="003815F3" w:rsidRPr="00801AFD" w:rsidRDefault="003815F3" w:rsidP="00801AFD">
      <w:pPr>
        <w:widowControl w:val="0"/>
        <w:tabs>
          <w:tab w:val="left" w:pos="540"/>
          <w:tab w:val="left" w:pos="569"/>
        </w:tabs>
        <w:jc w:val="both"/>
        <w:rPr>
          <w:b/>
          <w:bCs/>
          <w:sz w:val="22"/>
          <w:szCs w:val="22"/>
          <w:lang w:val="sr-Latn-ME"/>
        </w:rPr>
      </w:pPr>
    </w:p>
    <w:p w14:paraId="11E10A16" w14:textId="16A016BF" w:rsidR="00411B4B" w:rsidRPr="00801AFD" w:rsidRDefault="00411B4B" w:rsidP="00801AFD">
      <w:pPr>
        <w:widowControl w:val="0"/>
        <w:tabs>
          <w:tab w:val="left" w:pos="540"/>
          <w:tab w:val="left" w:pos="569"/>
        </w:tabs>
        <w:jc w:val="both"/>
        <w:rPr>
          <w:b/>
          <w:bCs/>
          <w:sz w:val="22"/>
          <w:szCs w:val="22"/>
          <w:lang w:val="sr-Latn-ME"/>
        </w:rPr>
      </w:pPr>
      <w:r w:rsidRPr="00801AFD">
        <w:rPr>
          <w:b/>
          <w:bCs/>
          <w:sz w:val="22"/>
          <w:szCs w:val="22"/>
          <w:lang w:val="sr-Latn-ME"/>
        </w:rPr>
        <w:t xml:space="preserve">4.4. </w:t>
      </w:r>
      <w:r w:rsidR="00480FB1" w:rsidRPr="00801AFD">
        <w:rPr>
          <w:b/>
          <w:bCs/>
          <w:sz w:val="22"/>
          <w:szCs w:val="22"/>
          <w:lang w:val="sr-Latn-ME"/>
        </w:rPr>
        <w:tab/>
      </w:r>
      <w:r w:rsidRPr="00801AFD">
        <w:rPr>
          <w:b/>
          <w:bCs/>
          <w:sz w:val="22"/>
          <w:szCs w:val="22"/>
          <w:lang w:val="sr-Latn-ME"/>
        </w:rPr>
        <w:t>Posebna upozorenja i mjere opreza pri upotrebi lijeka</w:t>
      </w:r>
    </w:p>
    <w:p w14:paraId="014C9E06" w14:textId="77777777" w:rsidR="0072020E" w:rsidRPr="00801AFD" w:rsidRDefault="0072020E" w:rsidP="00801AFD">
      <w:pPr>
        <w:widowControl w:val="0"/>
        <w:tabs>
          <w:tab w:val="left" w:pos="540"/>
          <w:tab w:val="left" w:pos="569"/>
        </w:tabs>
        <w:jc w:val="both"/>
        <w:rPr>
          <w:bCs/>
          <w:sz w:val="22"/>
          <w:szCs w:val="22"/>
          <w:lang w:val="sr-Latn-ME"/>
        </w:rPr>
      </w:pPr>
    </w:p>
    <w:p w14:paraId="12C16D7D" w14:textId="77777777" w:rsidR="003815F3" w:rsidRPr="00801AFD" w:rsidRDefault="003815F3" w:rsidP="00801AFD">
      <w:pPr>
        <w:pStyle w:val="Default"/>
        <w:widowControl w:val="0"/>
        <w:jc w:val="both"/>
        <w:rPr>
          <w:sz w:val="22"/>
          <w:szCs w:val="22"/>
          <w:u w:val="single"/>
          <w:lang w:val="sr-Latn-ME"/>
        </w:rPr>
      </w:pPr>
      <w:r w:rsidRPr="00801AFD">
        <w:rPr>
          <w:sz w:val="22"/>
          <w:szCs w:val="22"/>
          <w:u w:val="single"/>
          <w:lang w:val="sr-Latn-ME"/>
        </w:rPr>
        <w:t>Sljedljivost</w:t>
      </w:r>
    </w:p>
    <w:p w14:paraId="21920604" w14:textId="263F783B" w:rsidR="003815F3" w:rsidRPr="00801AFD" w:rsidRDefault="003815F3" w:rsidP="00801AFD">
      <w:pPr>
        <w:pStyle w:val="Default"/>
        <w:widowControl w:val="0"/>
        <w:jc w:val="both"/>
        <w:rPr>
          <w:sz w:val="22"/>
          <w:szCs w:val="22"/>
          <w:lang w:val="sr-Latn-ME"/>
        </w:rPr>
      </w:pPr>
      <w:r w:rsidRPr="00801AFD">
        <w:rPr>
          <w:sz w:val="22"/>
          <w:szCs w:val="22"/>
          <w:lang w:val="sr-Latn-ME"/>
        </w:rPr>
        <w:t>Da bi se unapr</w:t>
      </w:r>
      <w:r w:rsidR="00A76315" w:rsidRPr="00801AFD">
        <w:rPr>
          <w:sz w:val="22"/>
          <w:szCs w:val="22"/>
          <w:lang w:val="sr-Latn-ME"/>
        </w:rPr>
        <w:t>ij</w:t>
      </w:r>
      <w:r w:rsidRPr="00801AFD">
        <w:rPr>
          <w:sz w:val="22"/>
          <w:szCs w:val="22"/>
          <w:lang w:val="sr-Latn-ME"/>
        </w:rPr>
        <w:t xml:space="preserve">edila sljedljivost bioloških ljekova, neophodno je jasno </w:t>
      </w:r>
      <w:r w:rsidR="00852A5C" w:rsidRPr="00801AFD">
        <w:rPr>
          <w:sz w:val="22"/>
          <w:szCs w:val="22"/>
          <w:lang w:val="sr-Latn-ME"/>
        </w:rPr>
        <w:t xml:space="preserve">evidentirati </w:t>
      </w:r>
      <w:r w:rsidRPr="00801AFD">
        <w:rPr>
          <w:sz w:val="22"/>
          <w:szCs w:val="22"/>
          <w:lang w:val="sr-Latn-ME"/>
        </w:rPr>
        <w:t>naziv i broj serije prim</w:t>
      </w:r>
      <w:r w:rsidR="00A76315" w:rsidRPr="00801AFD">
        <w:rPr>
          <w:sz w:val="22"/>
          <w:szCs w:val="22"/>
          <w:lang w:val="sr-Latn-ME"/>
        </w:rPr>
        <w:t>i</w:t>
      </w:r>
      <w:r w:rsidRPr="00801AFD">
        <w:rPr>
          <w:sz w:val="22"/>
          <w:szCs w:val="22"/>
          <w:lang w:val="sr-Latn-ME"/>
        </w:rPr>
        <w:t>jenjenog lijeka.</w:t>
      </w:r>
    </w:p>
    <w:p w14:paraId="79FD845E" w14:textId="77777777" w:rsidR="003815F3" w:rsidRPr="00801AFD" w:rsidRDefault="003815F3" w:rsidP="00801AFD">
      <w:pPr>
        <w:pStyle w:val="Default"/>
        <w:widowControl w:val="0"/>
        <w:jc w:val="both"/>
        <w:rPr>
          <w:sz w:val="22"/>
          <w:szCs w:val="22"/>
          <w:u w:val="single"/>
          <w:lang w:val="sr-Latn-ME"/>
        </w:rPr>
      </w:pPr>
    </w:p>
    <w:p w14:paraId="0DCBFDD7" w14:textId="77777777" w:rsidR="003815F3" w:rsidRPr="00801AFD" w:rsidRDefault="003815F3" w:rsidP="00801AFD">
      <w:pPr>
        <w:pStyle w:val="Default"/>
        <w:widowControl w:val="0"/>
        <w:jc w:val="both"/>
        <w:rPr>
          <w:sz w:val="22"/>
          <w:szCs w:val="22"/>
          <w:u w:val="single"/>
          <w:lang w:val="sr-Latn-ME"/>
        </w:rPr>
      </w:pPr>
      <w:r w:rsidRPr="00801AFD">
        <w:rPr>
          <w:sz w:val="22"/>
          <w:szCs w:val="22"/>
          <w:u w:val="single"/>
          <w:lang w:val="sr-Latn-ME"/>
        </w:rPr>
        <w:t>Ozbiljna meningokokna infekcija</w:t>
      </w:r>
    </w:p>
    <w:p w14:paraId="65D5E5F6" w14:textId="4759C466" w:rsidR="003815F3" w:rsidRPr="00801AFD" w:rsidRDefault="003815F3" w:rsidP="00801AFD">
      <w:pPr>
        <w:pStyle w:val="Default"/>
        <w:widowControl w:val="0"/>
        <w:jc w:val="both"/>
        <w:rPr>
          <w:sz w:val="22"/>
          <w:szCs w:val="22"/>
          <w:lang w:val="sr-Latn-ME"/>
        </w:rPr>
      </w:pPr>
      <w:r w:rsidRPr="00801AFD">
        <w:rPr>
          <w:sz w:val="22"/>
          <w:szCs w:val="22"/>
          <w:lang w:val="sr-Latn-ME"/>
        </w:rPr>
        <w:t>Zbog mehanizma dejstva ravulizumaba, njegova upotreba povećava osjetljivost pacijenta na meningokoknu infekciju/sepsu (</w:t>
      </w:r>
      <w:r w:rsidRPr="00801AFD">
        <w:rPr>
          <w:i/>
          <w:iCs/>
          <w:sz w:val="22"/>
          <w:szCs w:val="22"/>
          <w:lang w:val="sr-Latn-ME"/>
        </w:rPr>
        <w:t>Neisseria meningitidis</w:t>
      </w:r>
      <w:r w:rsidRPr="00801AFD">
        <w:rPr>
          <w:sz w:val="22"/>
          <w:szCs w:val="22"/>
          <w:lang w:val="sr-Latn-ME"/>
        </w:rPr>
        <w:t xml:space="preserve">). Može se razviti meningokokna bolest izazvana bilo kojom serološkom grupom. Da bi se smanjio rizik od infekcije, svi pacijenti moraju biti vakcinisani protiv meningokoknih infekcija najmanje dvije nedjelje prije početka liječenja ravulizumabom, osim ako odlaganje terapije ravulizumabom ne predstavlja veći rizik </w:t>
      </w:r>
      <w:r w:rsidR="00A76315" w:rsidRPr="00801AFD">
        <w:rPr>
          <w:sz w:val="22"/>
          <w:szCs w:val="22"/>
          <w:lang w:val="sr-Latn-ME"/>
        </w:rPr>
        <w:t>nego što je</w:t>
      </w:r>
      <w:r w:rsidRPr="00801AFD">
        <w:rPr>
          <w:sz w:val="22"/>
          <w:szCs w:val="22"/>
          <w:lang w:val="sr-Latn-ME"/>
        </w:rPr>
        <w:t xml:space="preserve"> rizik od razvoja meningokokne infekcije. Pacijenti koji započnu terapiju ravulizumabom prije nego što prođu 2 nedjelje otkako su primili meningokoknu vakcinu moraju primiti odgovarajuću antibiotsku profilaksu tokom 2 nedjelje nakon vakcinacije. Vakcine protiv seroloških grupa A, C, Y, W135 i B se preporučuju, ako su dostupne, da bi se spriječile uobičajene patogene serološke grupe meningokoka. Pacijenti moraju biti vakcinisani ili revakcinisani u skladu sa važećim nacionalnim smjernicama o vakcinaciji. Ako pacijent </w:t>
      </w:r>
      <w:r w:rsidR="00852A5C" w:rsidRPr="00801AFD">
        <w:rPr>
          <w:sz w:val="22"/>
          <w:szCs w:val="22"/>
          <w:lang w:val="sr-Latn-ME"/>
        </w:rPr>
        <w:t xml:space="preserve">prelazi </w:t>
      </w:r>
      <w:r w:rsidRPr="00801AFD">
        <w:rPr>
          <w:sz w:val="22"/>
          <w:szCs w:val="22"/>
          <w:lang w:val="sr-Latn-ME"/>
        </w:rPr>
        <w:t>sa liječenja ekulizumabom, ljekari bi trebalo da prov</w:t>
      </w:r>
      <w:r w:rsidR="00A76315" w:rsidRPr="00801AFD">
        <w:rPr>
          <w:sz w:val="22"/>
          <w:szCs w:val="22"/>
          <w:lang w:val="sr-Latn-ME"/>
        </w:rPr>
        <w:t>j</w:t>
      </w:r>
      <w:r w:rsidRPr="00801AFD">
        <w:rPr>
          <w:sz w:val="22"/>
          <w:szCs w:val="22"/>
          <w:lang w:val="sr-Latn-ME"/>
        </w:rPr>
        <w:t xml:space="preserve">ere </w:t>
      </w:r>
      <w:r w:rsidR="00852A5C" w:rsidRPr="00801AFD">
        <w:rPr>
          <w:sz w:val="22"/>
          <w:szCs w:val="22"/>
          <w:lang w:val="sr-Latn-ME"/>
        </w:rPr>
        <w:t xml:space="preserve">traje li zaštita protiv </w:t>
      </w:r>
      <w:r w:rsidRPr="00801AFD">
        <w:rPr>
          <w:sz w:val="22"/>
          <w:szCs w:val="22"/>
          <w:lang w:val="sr-Latn-ME"/>
        </w:rPr>
        <w:t xml:space="preserve">meningokoka </w:t>
      </w:r>
      <w:r w:rsidR="00852A5C" w:rsidRPr="00801AFD">
        <w:rPr>
          <w:sz w:val="22"/>
          <w:szCs w:val="22"/>
          <w:lang w:val="sr-Latn-ME"/>
        </w:rPr>
        <w:t xml:space="preserve">stečena vakcinacijom </w:t>
      </w:r>
      <w:r w:rsidRPr="00801AFD">
        <w:rPr>
          <w:sz w:val="22"/>
          <w:szCs w:val="22"/>
          <w:lang w:val="sr-Latn-ME"/>
        </w:rPr>
        <w:t>u skladu sa nacionalnim smjernicama o vakcinaciji.</w:t>
      </w:r>
    </w:p>
    <w:p w14:paraId="59E40BCC" w14:textId="77777777" w:rsidR="003815F3" w:rsidRPr="00801AFD" w:rsidRDefault="003815F3" w:rsidP="00801AFD">
      <w:pPr>
        <w:pStyle w:val="Default"/>
        <w:widowControl w:val="0"/>
        <w:jc w:val="both"/>
        <w:rPr>
          <w:sz w:val="22"/>
          <w:szCs w:val="22"/>
          <w:lang w:val="sr-Latn-ME"/>
        </w:rPr>
      </w:pPr>
    </w:p>
    <w:p w14:paraId="1CA56D80" w14:textId="58D08D3A" w:rsidR="003815F3" w:rsidRPr="00801AFD" w:rsidRDefault="003815F3" w:rsidP="00801AFD">
      <w:pPr>
        <w:pStyle w:val="Default"/>
        <w:widowControl w:val="0"/>
        <w:jc w:val="both"/>
        <w:rPr>
          <w:sz w:val="22"/>
          <w:szCs w:val="22"/>
          <w:lang w:val="sr-Latn-ME"/>
        </w:rPr>
      </w:pPr>
      <w:r w:rsidRPr="00801AFD">
        <w:rPr>
          <w:sz w:val="22"/>
          <w:szCs w:val="22"/>
          <w:lang w:val="sr-Latn-ME"/>
        </w:rPr>
        <w:lastRenderedPageBreak/>
        <w:t>Vakcinacija možda nije dovoljna za spr</w:t>
      </w:r>
      <w:r w:rsidR="00A76315" w:rsidRPr="00801AFD">
        <w:rPr>
          <w:sz w:val="22"/>
          <w:szCs w:val="22"/>
          <w:lang w:val="sr-Latn-ME"/>
        </w:rPr>
        <w:t>j</w:t>
      </w:r>
      <w:r w:rsidRPr="00801AFD">
        <w:rPr>
          <w:sz w:val="22"/>
          <w:szCs w:val="22"/>
          <w:lang w:val="sr-Latn-ME"/>
        </w:rPr>
        <w:t>ečavanje meningokokne infekcije. Treba razmotriti zvanične smjernice za odgovarajuću upotrebu antibakterijskih ljekova. Zabilježeni su slučajevi teških ili fatalnih meningokoknih infekcija/sepse kod pacijenata liječenih</w:t>
      </w:r>
      <w:r w:rsidR="00E14297" w:rsidRPr="00801AFD">
        <w:rPr>
          <w:sz w:val="22"/>
          <w:szCs w:val="22"/>
          <w:lang w:val="sr-Latn-ME"/>
        </w:rPr>
        <w:t xml:space="preserve"> ravulizumabom ili</w:t>
      </w:r>
      <w:r w:rsidRPr="00801AFD">
        <w:rPr>
          <w:sz w:val="22"/>
          <w:szCs w:val="22"/>
          <w:lang w:val="sr-Latn-ME"/>
        </w:rPr>
        <w:t xml:space="preserve"> drugim inhibitorima aktivacije komplementa. Kod svih pacijenata treba pratiti moguću pojavu ranih znakova meningokokne infekcije i sepse, što prije potvrditi sumnju na infekciju i liječiti odgovarajućim antibioticima. Pacijente treba upoznati sa ovim znacima i simptomima kako bi preduzeli neophodne korake i odmah zatražili medicinsku pomoć. Ljekari </w:t>
      </w:r>
      <w:r w:rsidR="00852A5C" w:rsidRPr="00801AFD">
        <w:rPr>
          <w:sz w:val="22"/>
          <w:szCs w:val="22"/>
          <w:lang w:val="sr-Latn-ME"/>
        </w:rPr>
        <w:t xml:space="preserve">moraju dati </w:t>
      </w:r>
      <w:r w:rsidRPr="00801AFD">
        <w:rPr>
          <w:sz w:val="22"/>
          <w:szCs w:val="22"/>
          <w:lang w:val="sr-Latn-ME"/>
        </w:rPr>
        <w:t>pacijentima vodič za pacijenta i karticu upozorenja za pacijenta.</w:t>
      </w:r>
    </w:p>
    <w:p w14:paraId="1166798E" w14:textId="77777777" w:rsidR="003815F3" w:rsidRPr="00801AFD" w:rsidRDefault="003815F3" w:rsidP="00801AFD">
      <w:pPr>
        <w:pStyle w:val="Default"/>
        <w:widowControl w:val="0"/>
        <w:jc w:val="both"/>
        <w:rPr>
          <w:sz w:val="22"/>
          <w:szCs w:val="22"/>
          <w:lang w:val="sr-Latn-ME"/>
        </w:rPr>
      </w:pPr>
    </w:p>
    <w:p w14:paraId="2351FCF4" w14:textId="77777777" w:rsidR="003815F3" w:rsidRPr="00801AFD" w:rsidRDefault="003815F3" w:rsidP="00801AFD">
      <w:pPr>
        <w:pStyle w:val="Default"/>
        <w:widowControl w:val="0"/>
        <w:jc w:val="both"/>
        <w:rPr>
          <w:sz w:val="22"/>
          <w:szCs w:val="22"/>
          <w:u w:val="single"/>
          <w:lang w:val="sr-Latn-ME"/>
        </w:rPr>
      </w:pPr>
      <w:r w:rsidRPr="00801AFD">
        <w:rPr>
          <w:sz w:val="22"/>
          <w:szCs w:val="22"/>
          <w:u w:val="single"/>
          <w:lang w:val="sr-Latn-ME"/>
        </w:rPr>
        <w:t>Imunizacija</w:t>
      </w:r>
    </w:p>
    <w:p w14:paraId="1B61D13E" w14:textId="61572153" w:rsidR="003815F3" w:rsidRPr="00801AFD" w:rsidRDefault="003815F3" w:rsidP="00801AFD">
      <w:pPr>
        <w:pStyle w:val="Default"/>
        <w:widowControl w:val="0"/>
        <w:jc w:val="both"/>
        <w:rPr>
          <w:sz w:val="22"/>
          <w:szCs w:val="22"/>
          <w:lang w:val="sr-Latn-ME"/>
        </w:rPr>
      </w:pPr>
      <w:r w:rsidRPr="00801AFD">
        <w:rPr>
          <w:sz w:val="22"/>
          <w:szCs w:val="22"/>
          <w:lang w:val="sr-Latn-ME"/>
        </w:rPr>
        <w:t>Prije započinjanja terapije ravulizumabom, preporučuje se započinjanje imunizacije  pacijenata</w:t>
      </w:r>
      <w:r w:rsidR="00852A5C" w:rsidRPr="00801AFD">
        <w:rPr>
          <w:sz w:val="22"/>
          <w:szCs w:val="22"/>
          <w:lang w:val="sr-Latn-ME"/>
        </w:rPr>
        <w:t xml:space="preserve"> </w:t>
      </w:r>
      <w:r w:rsidRPr="00801AFD">
        <w:rPr>
          <w:sz w:val="22"/>
          <w:szCs w:val="22"/>
          <w:lang w:val="sr-Latn-ME"/>
        </w:rPr>
        <w:t>u skladu sa važećim smjernicama za imunizaciju.</w:t>
      </w:r>
    </w:p>
    <w:p w14:paraId="12A4FEA2" w14:textId="77777777" w:rsidR="003815F3" w:rsidRPr="00801AFD" w:rsidRDefault="003815F3" w:rsidP="00801AFD">
      <w:pPr>
        <w:pStyle w:val="Default"/>
        <w:widowControl w:val="0"/>
        <w:jc w:val="both"/>
        <w:rPr>
          <w:sz w:val="22"/>
          <w:szCs w:val="22"/>
          <w:lang w:val="sr-Latn-ME"/>
        </w:rPr>
      </w:pPr>
    </w:p>
    <w:p w14:paraId="5EC94EC9" w14:textId="2BA79E13" w:rsidR="003815F3" w:rsidRPr="00801AFD" w:rsidRDefault="003815F3" w:rsidP="00801AFD">
      <w:pPr>
        <w:pStyle w:val="Default"/>
        <w:widowControl w:val="0"/>
        <w:jc w:val="both"/>
        <w:rPr>
          <w:sz w:val="22"/>
          <w:szCs w:val="22"/>
          <w:lang w:val="sr-Latn-ME"/>
        </w:rPr>
      </w:pPr>
      <w:r w:rsidRPr="00801AFD">
        <w:rPr>
          <w:sz w:val="22"/>
          <w:szCs w:val="22"/>
          <w:lang w:val="sr-Latn-ME"/>
        </w:rPr>
        <w:t>Vakcinacija može dodatno aktivirati komplement. Shodno tome, pacijenti sa bolestima posredovanim komplementom, mogu iskusiti pojačane znake i simptome osnovne bolesti</w:t>
      </w:r>
      <w:r w:rsidR="00852A5C" w:rsidRPr="00801AFD">
        <w:rPr>
          <w:sz w:val="22"/>
          <w:szCs w:val="22"/>
          <w:lang w:val="sr-Latn-ME"/>
        </w:rPr>
        <w:t>.</w:t>
      </w:r>
      <w:r w:rsidRPr="00801AFD">
        <w:rPr>
          <w:sz w:val="22"/>
          <w:szCs w:val="22"/>
          <w:lang w:val="sr-Latn-ME"/>
        </w:rPr>
        <w:t xml:space="preserve">  Zbog toga pacijente treba pažljivo nadgledati zbog mogućih simptoma nakon preporučene vakcinacije.</w:t>
      </w:r>
    </w:p>
    <w:p w14:paraId="6BE06F3A" w14:textId="77777777" w:rsidR="003815F3" w:rsidRPr="00801AFD" w:rsidRDefault="003815F3" w:rsidP="00801AFD">
      <w:pPr>
        <w:pStyle w:val="Default"/>
        <w:widowControl w:val="0"/>
        <w:jc w:val="both"/>
        <w:rPr>
          <w:sz w:val="22"/>
          <w:szCs w:val="22"/>
          <w:lang w:val="sr-Latn-ME"/>
        </w:rPr>
      </w:pPr>
    </w:p>
    <w:p w14:paraId="1C17E7BA" w14:textId="77777777" w:rsidR="003815F3" w:rsidRPr="00801AFD" w:rsidRDefault="003815F3" w:rsidP="00801AFD">
      <w:pPr>
        <w:pStyle w:val="Default"/>
        <w:widowControl w:val="0"/>
        <w:jc w:val="both"/>
        <w:rPr>
          <w:sz w:val="22"/>
          <w:szCs w:val="22"/>
          <w:lang w:val="sr-Latn-ME"/>
        </w:rPr>
      </w:pPr>
      <w:r w:rsidRPr="00801AFD">
        <w:rPr>
          <w:sz w:val="22"/>
          <w:szCs w:val="22"/>
          <w:lang w:val="sr-Latn-ME"/>
        </w:rPr>
        <w:t xml:space="preserve">Pacijenti mlađi od 18 godina moraju se vakcinisati protiv </w:t>
      </w:r>
      <w:r w:rsidRPr="00801AFD">
        <w:rPr>
          <w:i/>
          <w:iCs/>
          <w:sz w:val="22"/>
          <w:szCs w:val="22"/>
          <w:lang w:val="sr-Latn-ME"/>
        </w:rPr>
        <w:t>Haemophilus influenzae</w:t>
      </w:r>
      <w:r w:rsidRPr="00801AFD">
        <w:rPr>
          <w:sz w:val="22"/>
          <w:szCs w:val="22"/>
          <w:lang w:val="sr-Latn-ME"/>
        </w:rPr>
        <w:t xml:space="preserve"> i pneumokoknih infekcija i moraju se striktno pridržavati nacionalnih preporuka o vakcinaciji za svaku starosnu grupu.</w:t>
      </w:r>
    </w:p>
    <w:p w14:paraId="5C219486" w14:textId="77777777" w:rsidR="003815F3" w:rsidRPr="00801AFD" w:rsidRDefault="003815F3" w:rsidP="00801AFD">
      <w:pPr>
        <w:pStyle w:val="Default"/>
        <w:widowControl w:val="0"/>
        <w:jc w:val="both"/>
        <w:rPr>
          <w:sz w:val="22"/>
          <w:szCs w:val="22"/>
          <w:lang w:val="sr-Latn-ME"/>
        </w:rPr>
      </w:pPr>
    </w:p>
    <w:p w14:paraId="0F4BBD3D" w14:textId="77777777" w:rsidR="003815F3" w:rsidRPr="00801AFD" w:rsidRDefault="003815F3" w:rsidP="00801AFD">
      <w:pPr>
        <w:pStyle w:val="Default"/>
        <w:widowControl w:val="0"/>
        <w:jc w:val="both"/>
        <w:rPr>
          <w:sz w:val="22"/>
          <w:szCs w:val="22"/>
          <w:u w:val="single"/>
          <w:lang w:val="sr-Latn-ME"/>
        </w:rPr>
      </w:pPr>
      <w:r w:rsidRPr="00801AFD">
        <w:rPr>
          <w:sz w:val="22"/>
          <w:szCs w:val="22"/>
          <w:u w:val="single"/>
          <w:lang w:val="sr-Latn-ME"/>
        </w:rPr>
        <w:t>Ostale sistemske infekcije</w:t>
      </w:r>
    </w:p>
    <w:p w14:paraId="67A7777E" w14:textId="7A41E52D" w:rsidR="003815F3" w:rsidRPr="00801AFD" w:rsidRDefault="003815F3" w:rsidP="00801AFD">
      <w:pPr>
        <w:pStyle w:val="Default"/>
        <w:widowControl w:val="0"/>
        <w:jc w:val="both"/>
        <w:rPr>
          <w:sz w:val="22"/>
          <w:szCs w:val="22"/>
          <w:lang w:val="sr-Latn-ME"/>
        </w:rPr>
      </w:pPr>
      <w:r w:rsidRPr="00801AFD">
        <w:rPr>
          <w:sz w:val="22"/>
          <w:szCs w:val="22"/>
          <w:lang w:val="sr-Latn-ME"/>
        </w:rPr>
        <w:t xml:space="preserve">Terapiju ravulizumabom treba primjenjivati sa oprezom kod pacijenata sa aktivnim sistemskim infekcijama. Ravulizumab blokira konačno aktiviranje sistema komplementa; stoga su pacijenti možda podložniji infekcijama izazvanim bakterijama iz roda </w:t>
      </w:r>
      <w:r w:rsidRPr="00801AFD">
        <w:rPr>
          <w:i/>
          <w:iCs/>
          <w:sz w:val="22"/>
          <w:szCs w:val="22"/>
          <w:lang w:val="sr-Latn-ME"/>
        </w:rPr>
        <w:t>Neisseria</w:t>
      </w:r>
      <w:r w:rsidRPr="00801AFD">
        <w:rPr>
          <w:sz w:val="22"/>
          <w:szCs w:val="22"/>
          <w:lang w:val="sr-Latn-ME"/>
        </w:rPr>
        <w:t xml:space="preserve"> i inkapsuliranim bakterijama. Prijavljene su ozbiljne infekcije izazvane bakterijama iz roda </w:t>
      </w:r>
      <w:r w:rsidRPr="00801AFD">
        <w:rPr>
          <w:i/>
          <w:iCs/>
          <w:sz w:val="22"/>
          <w:szCs w:val="22"/>
          <w:lang w:val="sr-Latn-ME"/>
        </w:rPr>
        <w:t>Neisseria</w:t>
      </w:r>
      <w:r w:rsidRPr="00801AFD">
        <w:rPr>
          <w:sz w:val="22"/>
          <w:szCs w:val="22"/>
          <w:lang w:val="sr-Latn-ME"/>
        </w:rPr>
        <w:t xml:space="preserve"> (koje ni</w:t>
      </w:r>
      <w:r w:rsidR="004037E9" w:rsidRPr="00801AFD">
        <w:rPr>
          <w:sz w:val="22"/>
          <w:szCs w:val="22"/>
          <w:lang w:val="sr-Latn-ME"/>
        </w:rPr>
        <w:t>je</w:t>
      </w:r>
      <w:r w:rsidRPr="00801AFD">
        <w:rPr>
          <w:sz w:val="22"/>
          <w:szCs w:val="22"/>
          <w:lang w:val="sr-Latn-ME"/>
        </w:rPr>
        <w:t xml:space="preserve">su bile </w:t>
      </w:r>
      <w:r w:rsidRPr="00801AFD">
        <w:rPr>
          <w:i/>
          <w:iCs/>
          <w:sz w:val="22"/>
          <w:szCs w:val="22"/>
          <w:lang w:val="sr-Latn-ME"/>
        </w:rPr>
        <w:t>Neisseria meningitidis</w:t>
      </w:r>
      <w:r w:rsidRPr="00801AFD">
        <w:rPr>
          <w:sz w:val="22"/>
          <w:szCs w:val="22"/>
          <w:lang w:val="sr-Latn-ME"/>
        </w:rPr>
        <w:t>), uključujući diseminovane gonokokne infekcije.</w:t>
      </w:r>
    </w:p>
    <w:p w14:paraId="1EA00EAB" w14:textId="58681C43" w:rsidR="003815F3" w:rsidRPr="00801AFD" w:rsidRDefault="003815F3" w:rsidP="00801AFD">
      <w:pPr>
        <w:pStyle w:val="Default"/>
        <w:widowControl w:val="0"/>
        <w:jc w:val="both"/>
        <w:rPr>
          <w:sz w:val="22"/>
          <w:szCs w:val="22"/>
          <w:lang w:val="sr-Latn-ME"/>
        </w:rPr>
      </w:pPr>
      <w:r w:rsidRPr="00801AFD">
        <w:rPr>
          <w:sz w:val="22"/>
          <w:szCs w:val="22"/>
          <w:lang w:val="sr-Latn-ME"/>
        </w:rPr>
        <w:t xml:space="preserve">Da bi pacijenti znali više o mogućim ozbiljnim infekcijama i njihovim znacima i simptomima, trebalo bi da budu upoznati sa informacijama u Uputstvu o lijeku. Pored toga, ljekari </w:t>
      </w:r>
      <w:r w:rsidR="00852A5C" w:rsidRPr="00801AFD">
        <w:rPr>
          <w:sz w:val="22"/>
          <w:szCs w:val="22"/>
          <w:lang w:val="sr-Latn-ME"/>
        </w:rPr>
        <w:t>moraju pacijentima savjetovati kako spriječiti gonoreju.</w:t>
      </w:r>
    </w:p>
    <w:p w14:paraId="7D5F6D31" w14:textId="77777777" w:rsidR="003815F3" w:rsidRPr="00801AFD" w:rsidRDefault="003815F3" w:rsidP="00801AFD">
      <w:pPr>
        <w:pStyle w:val="Default"/>
        <w:widowControl w:val="0"/>
        <w:jc w:val="both"/>
        <w:rPr>
          <w:sz w:val="22"/>
          <w:szCs w:val="22"/>
          <w:lang w:val="sr-Latn-ME"/>
        </w:rPr>
      </w:pPr>
    </w:p>
    <w:p w14:paraId="362D910A" w14:textId="77777777" w:rsidR="00E14297" w:rsidRPr="00801AFD" w:rsidRDefault="00E14297" w:rsidP="00801AFD">
      <w:pPr>
        <w:pStyle w:val="Default"/>
        <w:widowControl w:val="0"/>
        <w:jc w:val="both"/>
        <w:rPr>
          <w:sz w:val="22"/>
          <w:szCs w:val="22"/>
          <w:u w:val="single"/>
          <w:lang w:val="sr-Latn-ME"/>
        </w:rPr>
      </w:pPr>
      <w:r w:rsidRPr="00801AFD">
        <w:rPr>
          <w:sz w:val="22"/>
          <w:szCs w:val="22"/>
          <w:u w:val="single"/>
          <w:lang w:val="sr-Latn-ME"/>
        </w:rPr>
        <w:t>Reakcije povezane sa infuzijom</w:t>
      </w:r>
    </w:p>
    <w:p w14:paraId="610859A5" w14:textId="7EB2F275" w:rsidR="00D36DC1" w:rsidRPr="00801AFD" w:rsidRDefault="003815F3" w:rsidP="00801AFD">
      <w:pPr>
        <w:pStyle w:val="Default"/>
        <w:widowControl w:val="0"/>
        <w:jc w:val="both"/>
        <w:rPr>
          <w:sz w:val="22"/>
          <w:szCs w:val="22"/>
          <w:lang w:val="sr-Latn-ME"/>
        </w:rPr>
      </w:pPr>
      <w:r w:rsidRPr="00801AFD">
        <w:rPr>
          <w:sz w:val="22"/>
          <w:szCs w:val="22"/>
          <w:lang w:val="sr-Latn-ME"/>
        </w:rPr>
        <w:t xml:space="preserve">Primjena ravulizumaba može da dovede do </w:t>
      </w:r>
      <w:r w:rsidR="00AE5148" w:rsidRPr="00801AFD">
        <w:rPr>
          <w:sz w:val="22"/>
          <w:szCs w:val="22"/>
          <w:lang w:val="sr-Latn-ME"/>
        </w:rPr>
        <w:t xml:space="preserve">sistemke reakcije povezane sa infuzijom </w:t>
      </w:r>
      <w:r w:rsidR="009D34B4" w:rsidRPr="00801AFD">
        <w:rPr>
          <w:sz w:val="22"/>
          <w:szCs w:val="22"/>
          <w:lang w:val="sr-Latn-ME"/>
        </w:rPr>
        <w:t>i ale</w:t>
      </w:r>
      <w:r w:rsidR="004037E9" w:rsidRPr="00801AFD">
        <w:rPr>
          <w:sz w:val="22"/>
          <w:szCs w:val="22"/>
          <w:lang w:val="sr-Latn-ME"/>
        </w:rPr>
        <w:t>r</w:t>
      </w:r>
      <w:r w:rsidR="009D34B4" w:rsidRPr="00801AFD">
        <w:rPr>
          <w:sz w:val="22"/>
          <w:szCs w:val="22"/>
          <w:lang w:val="sr-Latn-ME"/>
        </w:rPr>
        <w:t>gijskih i reakcija preos</w:t>
      </w:r>
      <w:r w:rsidR="004037E9" w:rsidRPr="00801AFD">
        <w:rPr>
          <w:sz w:val="22"/>
          <w:szCs w:val="22"/>
          <w:lang w:val="sr-Latn-ME"/>
        </w:rPr>
        <w:t>j</w:t>
      </w:r>
      <w:r w:rsidR="009D34B4" w:rsidRPr="00801AFD">
        <w:rPr>
          <w:sz w:val="22"/>
          <w:szCs w:val="22"/>
          <w:lang w:val="sr-Latn-ME"/>
        </w:rPr>
        <w:t>etljivosti (uključujući anafilaksu).</w:t>
      </w:r>
      <w:r w:rsidRPr="00801AFD">
        <w:rPr>
          <w:sz w:val="22"/>
          <w:szCs w:val="22"/>
          <w:lang w:val="sr-Latn-ME"/>
        </w:rPr>
        <w:t xml:space="preserve"> </w:t>
      </w:r>
    </w:p>
    <w:p w14:paraId="2A0F45E8" w14:textId="17C8C573" w:rsidR="003815F3" w:rsidRPr="00801AFD" w:rsidRDefault="003815F3" w:rsidP="00801AFD">
      <w:pPr>
        <w:pStyle w:val="Default"/>
        <w:widowControl w:val="0"/>
        <w:jc w:val="both"/>
        <w:rPr>
          <w:sz w:val="22"/>
          <w:szCs w:val="22"/>
          <w:lang w:val="sr-Latn-ME"/>
        </w:rPr>
      </w:pPr>
      <w:r w:rsidRPr="00801AFD">
        <w:rPr>
          <w:sz w:val="22"/>
          <w:szCs w:val="22"/>
          <w:lang w:val="sr-Latn-ME"/>
        </w:rPr>
        <w:t xml:space="preserve">U kliničkim ispitivanjima, reakcije na infuziju </w:t>
      </w:r>
      <w:r w:rsidR="005B4A64" w:rsidRPr="00801AFD">
        <w:rPr>
          <w:sz w:val="22"/>
          <w:szCs w:val="22"/>
          <w:lang w:val="sr-Latn-ME"/>
        </w:rPr>
        <w:t>su bile česte (1</w:t>
      </w:r>
      <w:r w:rsidR="00B966EA" w:rsidRPr="00801AFD">
        <w:rPr>
          <w:sz w:val="22"/>
          <w:szCs w:val="22"/>
          <w:lang w:val="sr-Latn-ME"/>
        </w:rPr>
        <w:t>.6</w:t>
      </w:r>
      <w:r w:rsidR="005B4A64" w:rsidRPr="00801AFD">
        <w:rPr>
          <w:sz w:val="22"/>
          <w:szCs w:val="22"/>
          <w:lang w:val="sr-Latn-ME"/>
        </w:rPr>
        <w:t>%). Ovi događaji koji su bili blagi do um</w:t>
      </w:r>
      <w:r w:rsidR="0099493B" w:rsidRPr="00801AFD">
        <w:rPr>
          <w:sz w:val="22"/>
          <w:szCs w:val="22"/>
          <w:lang w:val="sr-Latn-ME"/>
        </w:rPr>
        <w:t>j</w:t>
      </w:r>
      <w:r w:rsidR="005B4A64" w:rsidRPr="00801AFD">
        <w:rPr>
          <w:sz w:val="22"/>
          <w:szCs w:val="22"/>
          <w:lang w:val="sr-Latn-ME"/>
        </w:rPr>
        <w:t xml:space="preserve">ereno teški i prolazni </w:t>
      </w:r>
      <w:r w:rsidRPr="00801AFD">
        <w:rPr>
          <w:sz w:val="22"/>
          <w:szCs w:val="22"/>
          <w:lang w:val="sr-Latn-ME"/>
        </w:rPr>
        <w:t>[</w:t>
      </w:r>
      <w:r w:rsidR="005B4A64" w:rsidRPr="00801AFD">
        <w:rPr>
          <w:sz w:val="22"/>
          <w:szCs w:val="22"/>
          <w:lang w:val="sr-Latn-ME"/>
        </w:rPr>
        <w:t>uključujući</w:t>
      </w:r>
      <w:r w:rsidRPr="00801AFD">
        <w:rPr>
          <w:sz w:val="22"/>
          <w:szCs w:val="22"/>
          <w:lang w:val="sr-Latn-ME"/>
        </w:rPr>
        <w:t xml:space="preserve"> bolov</w:t>
      </w:r>
      <w:r w:rsidR="005B4A64" w:rsidRPr="00801AFD">
        <w:rPr>
          <w:sz w:val="22"/>
          <w:szCs w:val="22"/>
          <w:lang w:val="sr-Latn-ME"/>
        </w:rPr>
        <w:t>e</w:t>
      </w:r>
      <w:r w:rsidRPr="00801AFD">
        <w:rPr>
          <w:sz w:val="22"/>
          <w:szCs w:val="22"/>
          <w:lang w:val="sr-Latn-ME"/>
        </w:rPr>
        <w:t xml:space="preserve"> u leđ</w:t>
      </w:r>
      <w:r w:rsidR="00D36DC1" w:rsidRPr="00801AFD">
        <w:rPr>
          <w:sz w:val="22"/>
          <w:szCs w:val="22"/>
          <w:lang w:val="sr-Latn-ME"/>
        </w:rPr>
        <w:t>ima</w:t>
      </w:r>
      <w:r w:rsidRPr="00801AFD">
        <w:rPr>
          <w:sz w:val="22"/>
          <w:szCs w:val="22"/>
          <w:lang w:val="sr-Latn-ME"/>
        </w:rPr>
        <w:t xml:space="preserve">, </w:t>
      </w:r>
      <w:r w:rsidR="00D36DC1" w:rsidRPr="00801AFD">
        <w:rPr>
          <w:sz w:val="22"/>
          <w:szCs w:val="22"/>
          <w:lang w:val="sr-Latn-ME"/>
        </w:rPr>
        <w:t xml:space="preserve">abdominalni bol, mišićni spazam, </w:t>
      </w:r>
      <w:r w:rsidRPr="00801AFD">
        <w:rPr>
          <w:sz w:val="22"/>
          <w:szCs w:val="22"/>
          <w:lang w:val="sr-Latn-ME"/>
        </w:rPr>
        <w:t xml:space="preserve">pad krvnog pritiska, porast krvnog pritiska, </w:t>
      </w:r>
      <w:r w:rsidR="00D36DC1" w:rsidRPr="00801AFD">
        <w:rPr>
          <w:sz w:val="22"/>
          <w:szCs w:val="22"/>
          <w:lang w:val="sr-Latn-ME"/>
        </w:rPr>
        <w:t xml:space="preserve">ukočenost, </w:t>
      </w:r>
      <w:r w:rsidRPr="00801AFD">
        <w:rPr>
          <w:sz w:val="22"/>
          <w:szCs w:val="22"/>
          <w:lang w:val="sr-Latn-ME"/>
        </w:rPr>
        <w:t>nelagodnost u udovima, preosjetljivost na lijek (alergijska reakcija) i disgeuzija (loš ukus u ustima)</w:t>
      </w:r>
      <w:r w:rsidR="005B4A64" w:rsidRPr="00801AFD">
        <w:rPr>
          <w:sz w:val="22"/>
          <w:szCs w:val="22"/>
          <w:lang w:val="sr-Latn-ME"/>
        </w:rPr>
        <w:t xml:space="preserve"> i pospanost</w:t>
      </w:r>
      <w:r w:rsidRPr="00801AFD">
        <w:rPr>
          <w:sz w:val="22"/>
          <w:szCs w:val="22"/>
          <w:lang w:val="sr-Latn-ME"/>
        </w:rPr>
        <w:t>]. U slučaju reakcije na infuziju, infuziju ravulizumaba treba prekinuti i preduzeti odgovarajuće suportivne mjere ako se pojave znaci kardiovaskularne nestabilnosti ili ugroženog disanja.</w:t>
      </w:r>
    </w:p>
    <w:p w14:paraId="26F99D10" w14:textId="77777777" w:rsidR="003815F3" w:rsidRPr="00801AFD" w:rsidRDefault="003815F3" w:rsidP="00801AFD">
      <w:pPr>
        <w:pStyle w:val="Default"/>
        <w:widowControl w:val="0"/>
        <w:jc w:val="both"/>
        <w:rPr>
          <w:sz w:val="22"/>
          <w:szCs w:val="22"/>
          <w:lang w:val="sr-Latn-ME"/>
        </w:rPr>
      </w:pPr>
    </w:p>
    <w:p w14:paraId="510B491A" w14:textId="0F5524A0" w:rsidR="003815F3" w:rsidRPr="00801AFD" w:rsidRDefault="003815F3" w:rsidP="00801AFD">
      <w:pPr>
        <w:widowControl w:val="0"/>
        <w:jc w:val="both"/>
        <w:rPr>
          <w:color w:val="000000"/>
          <w:sz w:val="22"/>
          <w:szCs w:val="22"/>
          <w:u w:val="single"/>
          <w:lang w:val="sr-Latn-ME"/>
        </w:rPr>
      </w:pPr>
      <w:r w:rsidRPr="00801AFD">
        <w:rPr>
          <w:color w:val="000000"/>
          <w:sz w:val="22"/>
          <w:szCs w:val="22"/>
          <w:u w:val="single"/>
          <w:lang w:val="sr-Latn-ME"/>
        </w:rPr>
        <w:t>Prekid liječenja kod PNH</w:t>
      </w:r>
      <w:r w:rsidR="004037E9" w:rsidRPr="00801AFD">
        <w:rPr>
          <w:color w:val="000000"/>
          <w:sz w:val="22"/>
          <w:szCs w:val="22"/>
          <w:u w:val="single"/>
          <w:lang w:val="sr-Latn-ME"/>
        </w:rPr>
        <w:t>-a</w:t>
      </w:r>
    </w:p>
    <w:p w14:paraId="39003F91" w14:textId="2D8C7E29" w:rsidR="003815F3" w:rsidRPr="00801AFD" w:rsidRDefault="003815F3" w:rsidP="00801AFD">
      <w:pPr>
        <w:widowControl w:val="0"/>
        <w:jc w:val="both"/>
        <w:rPr>
          <w:color w:val="000000"/>
          <w:sz w:val="22"/>
          <w:szCs w:val="22"/>
          <w:lang w:val="sr-Latn-ME"/>
        </w:rPr>
      </w:pPr>
      <w:r w:rsidRPr="00801AFD">
        <w:rPr>
          <w:color w:val="000000"/>
          <w:sz w:val="22"/>
          <w:szCs w:val="22"/>
          <w:lang w:val="sr-Latn-ME"/>
        </w:rPr>
        <w:t>Ako se terapija ravulizumabom prekine kod pacijenata sa PNH</w:t>
      </w:r>
      <w:r w:rsidR="001A2C49" w:rsidRPr="00801AFD">
        <w:rPr>
          <w:color w:val="000000"/>
          <w:sz w:val="22"/>
          <w:szCs w:val="22"/>
          <w:lang w:val="sr-Latn-ME"/>
        </w:rPr>
        <w:t>-om</w:t>
      </w:r>
      <w:r w:rsidRPr="00801AFD">
        <w:rPr>
          <w:color w:val="000000"/>
          <w:sz w:val="22"/>
          <w:szCs w:val="22"/>
          <w:lang w:val="sr-Latn-ME"/>
        </w:rPr>
        <w:t>, pacijente treba pažljivo nadgledati zbog moguće pojave znak</w:t>
      </w:r>
      <w:r w:rsidR="001A2C49" w:rsidRPr="00801AFD">
        <w:rPr>
          <w:color w:val="000000"/>
          <w:sz w:val="22"/>
          <w:szCs w:val="22"/>
          <w:lang w:val="sr-Latn-ME"/>
        </w:rPr>
        <w:t>ova</w:t>
      </w:r>
      <w:r w:rsidRPr="00801AFD">
        <w:rPr>
          <w:color w:val="000000"/>
          <w:sz w:val="22"/>
          <w:szCs w:val="22"/>
          <w:lang w:val="sr-Latn-ME"/>
        </w:rPr>
        <w:t xml:space="preserve"> i simptoma teške intravaskularne hemolize, koju karakterišu povišene vrijednosti LDH (laktat dehidrogenaze) zajedno sa naglim smanjenjem PNH klon ćelija ili hemoglobina ili ponovnom pojavom simptoma kao što su umor, hemoglobinurija, bolovi u stomaku, otežano disanje (dispneja), glavni neželjeni vaskularni događaj (uključujući trombozu), disfagija ili erektilna disfunkcija. Pacijente koji prekinu sa primjenom ravulizumaba treba pratiti najmanje 16 nedjelja kako bi se otkrila hemoliza i druge reakcije. Ako se pojave znaci i simptomi hemolize, uključujući povišeni LDH, nakon prekida terapije, </w:t>
      </w:r>
      <w:r w:rsidR="005559D6" w:rsidRPr="00801AFD">
        <w:rPr>
          <w:color w:val="000000"/>
          <w:sz w:val="22"/>
          <w:szCs w:val="22"/>
          <w:lang w:val="sr-Latn-ME"/>
        </w:rPr>
        <w:t xml:space="preserve">potrebno je </w:t>
      </w:r>
      <w:r w:rsidR="00852A5C" w:rsidRPr="00801AFD">
        <w:rPr>
          <w:color w:val="000000"/>
          <w:sz w:val="22"/>
          <w:szCs w:val="22"/>
          <w:lang w:val="sr-Latn-ME"/>
        </w:rPr>
        <w:t>razmotrit</w:t>
      </w:r>
      <w:r w:rsidR="005559D6" w:rsidRPr="00801AFD">
        <w:rPr>
          <w:color w:val="000000"/>
          <w:sz w:val="22"/>
          <w:szCs w:val="22"/>
          <w:lang w:val="sr-Latn-ME"/>
        </w:rPr>
        <w:t>i</w:t>
      </w:r>
      <w:r w:rsidR="00852A5C" w:rsidRPr="00801AFD">
        <w:rPr>
          <w:color w:val="000000"/>
          <w:sz w:val="22"/>
          <w:szCs w:val="22"/>
          <w:lang w:val="sr-Latn-ME"/>
        </w:rPr>
        <w:t xml:space="preserve"> </w:t>
      </w:r>
      <w:r w:rsidRPr="00801AFD">
        <w:rPr>
          <w:color w:val="000000"/>
          <w:sz w:val="22"/>
          <w:szCs w:val="22"/>
          <w:lang w:val="sr-Latn-ME"/>
        </w:rPr>
        <w:t>ponovno uvođenj</w:t>
      </w:r>
      <w:r w:rsidR="005559D6" w:rsidRPr="00801AFD">
        <w:rPr>
          <w:color w:val="000000"/>
          <w:sz w:val="22"/>
          <w:szCs w:val="22"/>
          <w:lang w:val="sr-Latn-ME"/>
        </w:rPr>
        <w:t>e</w:t>
      </w:r>
      <w:r w:rsidRPr="00801AFD">
        <w:rPr>
          <w:color w:val="000000"/>
          <w:sz w:val="22"/>
          <w:szCs w:val="22"/>
          <w:lang w:val="sr-Latn-ME"/>
        </w:rPr>
        <w:t xml:space="preserve"> terapije ravulizumabom.</w:t>
      </w:r>
    </w:p>
    <w:p w14:paraId="59935E56" w14:textId="77777777" w:rsidR="003815F3" w:rsidRPr="00801AFD" w:rsidRDefault="003815F3" w:rsidP="00801AFD">
      <w:pPr>
        <w:widowControl w:val="0"/>
        <w:jc w:val="both"/>
        <w:rPr>
          <w:color w:val="000000"/>
          <w:sz w:val="22"/>
          <w:szCs w:val="22"/>
          <w:lang w:val="sr-Latn-ME"/>
        </w:rPr>
      </w:pPr>
    </w:p>
    <w:p w14:paraId="05970015" w14:textId="73483D95" w:rsidR="003815F3" w:rsidRPr="00801AFD" w:rsidRDefault="003815F3" w:rsidP="00801AFD">
      <w:pPr>
        <w:widowControl w:val="0"/>
        <w:jc w:val="both"/>
        <w:rPr>
          <w:color w:val="000000"/>
          <w:sz w:val="22"/>
          <w:szCs w:val="22"/>
          <w:u w:val="single"/>
          <w:lang w:val="sr-Latn-ME"/>
        </w:rPr>
      </w:pPr>
      <w:r w:rsidRPr="00801AFD">
        <w:rPr>
          <w:color w:val="000000"/>
          <w:sz w:val="22"/>
          <w:szCs w:val="22"/>
          <w:u w:val="single"/>
          <w:lang w:val="sr-Latn-ME"/>
        </w:rPr>
        <w:t>Prekid liječenja kod aHUS</w:t>
      </w:r>
      <w:r w:rsidR="001A2C49" w:rsidRPr="00801AFD">
        <w:rPr>
          <w:color w:val="000000"/>
          <w:sz w:val="22"/>
          <w:szCs w:val="22"/>
          <w:u w:val="single"/>
          <w:lang w:val="sr-Latn-ME"/>
        </w:rPr>
        <w:t>-a</w:t>
      </w:r>
    </w:p>
    <w:p w14:paraId="0CEADC41" w14:textId="77777777" w:rsidR="003815F3" w:rsidRPr="00801AFD" w:rsidRDefault="003815F3" w:rsidP="00801AFD">
      <w:pPr>
        <w:widowControl w:val="0"/>
        <w:jc w:val="both"/>
        <w:rPr>
          <w:color w:val="000000"/>
          <w:sz w:val="22"/>
          <w:szCs w:val="22"/>
          <w:lang w:val="sr-Latn-ME"/>
        </w:rPr>
      </w:pPr>
      <w:r w:rsidRPr="00801AFD">
        <w:rPr>
          <w:color w:val="000000"/>
          <w:sz w:val="22"/>
          <w:szCs w:val="22"/>
          <w:lang w:val="sr-Latn-ME"/>
        </w:rPr>
        <w:t>Nema specifičnih podataka o prekidu primjene ravulizumaba. U dugoročnoj prospektivnoj opservacionoj studiji, prekid upotrebe inhibitora komplementa C5 (ekulizumab) doveo je do 13,5 puta veće stope recidiva TMA i pokazao je trend smanjenja bubrežne funkcije u poređenju sa pacijentima koji su nastavili liječenje.</w:t>
      </w:r>
    </w:p>
    <w:p w14:paraId="29106D0D" w14:textId="01D0AD83" w:rsidR="003815F3" w:rsidRPr="00801AFD" w:rsidRDefault="003815F3" w:rsidP="00801AFD">
      <w:pPr>
        <w:widowControl w:val="0"/>
        <w:jc w:val="both"/>
        <w:rPr>
          <w:color w:val="000000"/>
          <w:sz w:val="22"/>
          <w:szCs w:val="22"/>
          <w:lang w:val="sr-Latn-ME"/>
        </w:rPr>
      </w:pPr>
      <w:r w:rsidRPr="00801AFD">
        <w:rPr>
          <w:color w:val="000000"/>
          <w:sz w:val="22"/>
          <w:szCs w:val="22"/>
          <w:lang w:val="sr-Latn-ME"/>
        </w:rPr>
        <w:t xml:space="preserve">Ako pacijenti treba da prekinu sa primjenom ravulizumaba, treba ih pažljivo pratiti zbog moguće pojave znakova i simptoma TMA. Međutim, takvo praćenje </w:t>
      </w:r>
      <w:r w:rsidR="00852A5C" w:rsidRPr="00801AFD">
        <w:rPr>
          <w:color w:val="000000"/>
          <w:sz w:val="22"/>
          <w:szCs w:val="22"/>
          <w:lang w:val="sr-Latn-ME"/>
        </w:rPr>
        <w:t xml:space="preserve">možda neće </w:t>
      </w:r>
      <w:r w:rsidRPr="00801AFD">
        <w:rPr>
          <w:color w:val="000000"/>
          <w:sz w:val="22"/>
          <w:szCs w:val="22"/>
          <w:lang w:val="sr-Latn-ME"/>
        </w:rPr>
        <w:t>biti dovoljno da bi se predvidjele ili spriječile ozbiljne komplikacije TMA.</w:t>
      </w:r>
    </w:p>
    <w:p w14:paraId="7634517A" w14:textId="77777777" w:rsidR="003815F3" w:rsidRPr="00801AFD" w:rsidRDefault="003815F3" w:rsidP="00801AFD">
      <w:pPr>
        <w:widowControl w:val="0"/>
        <w:jc w:val="both"/>
        <w:rPr>
          <w:color w:val="000000"/>
          <w:sz w:val="22"/>
          <w:szCs w:val="22"/>
          <w:lang w:val="sr-Latn-ME"/>
        </w:rPr>
      </w:pPr>
    </w:p>
    <w:p w14:paraId="5026B9A5" w14:textId="6F8EC901" w:rsidR="003815F3" w:rsidRPr="00801AFD" w:rsidRDefault="003815F3" w:rsidP="00801AFD">
      <w:pPr>
        <w:widowControl w:val="0"/>
        <w:jc w:val="both"/>
        <w:rPr>
          <w:color w:val="000000"/>
          <w:sz w:val="22"/>
          <w:szCs w:val="22"/>
          <w:lang w:val="sr-Latn-ME"/>
        </w:rPr>
      </w:pPr>
      <w:r w:rsidRPr="00801AFD">
        <w:rPr>
          <w:color w:val="000000"/>
          <w:sz w:val="22"/>
          <w:szCs w:val="22"/>
          <w:lang w:val="sr-Latn-ME"/>
        </w:rPr>
        <w:t>TMA komplikacije nakon prekida liječenja mogu se identifikovati ako se prim</w:t>
      </w:r>
      <w:r w:rsidR="001A2C49" w:rsidRPr="00801AFD">
        <w:rPr>
          <w:color w:val="000000"/>
          <w:sz w:val="22"/>
          <w:szCs w:val="22"/>
          <w:lang w:val="sr-Latn-ME"/>
        </w:rPr>
        <w:t>i</w:t>
      </w:r>
      <w:r w:rsidRPr="00801AFD">
        <w:rPr>
          <w:color w:val="000000"/>
          <w:sz w:val="22"/>
          <w:szCs w:val="22"/>
          <w:lang w:val="sr-Latn-ME"/>
        </w:rPr>
        <w:t>jeti bilo šta od sljedećeg:</w:t>
      </w:r>
    </w:p>
    <w:p w14:paraId="726E841B" w14:textId="64F2C10F" w:rsidR="00E17168" w:rsidRPr="00801AFD" w:rsidRDefault="003815F3" w:rsidP="00801AFD">
      <w:pPr>
        <w:pStyle w:val="ListParagraph"/>
        <w:widowControl w:val="0"/>
        <w:numPr>
          <w:ilvl w:val="0"/>
          <w:numId w:val="14"/>
        </w:numPr>
        <w:rPr>
          <w:color w:val="000000"/>
          <w:szCs w:val="22"/>
          <w:lang w:val="sr-Latn-ME"/>
        </w:rPr>
      </w:pPr>
      <w:r w:rsidRPr="00801AFD">
        <w:rPr>
          <w:color w:val="000000"/>
          <w:szCs w:val="22"/>
          <w:lang w:val="sr-Latn-ME"/>
        </w:rPr>
        <w:t xml:space="preserve">istovremeno su prisutna najmanje </w:t>
      </w:r>
      <w:r w:rsidR="00E17168" w:rsidRPr="00801AFD">
        <w:rPr>
          <w:color w:val="000000"/>
          <w:szCs w:val="22"/>
          <w:lang w:val="sr-Latn-ME"/>
        </w:rPr>
        <w:t xml:space="preserve">2 </w:t>
      </w:r>
      <w:r w:rsidRPr="00801AFD">
        <w:rPr>
          <w:color w:val="000000"/>
          <w:szCs w:val="22"/>
          <w:lang w:val="sr-Latn-ME"/>
        </w:rPr>
        <w:t>od navedenih laboratorijskih nalaza: smanjenje broja trombocita za 25% ili više u odnosu na početno ili maksimalno stanje trombocita tokom liječenja ravulizumabom; povećanje serumskog kreatinina za 25% ili više u odnosu na početnu ili najnižu vr</w:t>
      </w:r>
      <w:r w:rsidR="001A2C49" w:rsidRPr="00801AFD">
        <w:rPr>
          <w:color w:val="000000"/>
          <w:szCs w:val="22"/>
          <w:lang w:val="sr-Latn-ME"/>
        </w:rPr>
        <w:t>i</w:t>
      </w:r>
      <w:r w:rsidRPr="00801AFD">
        <w:rPr>
          <w:color w:val="000000"/>
          <w:szCs w:val="22"/>
          <w:lang w:val="sr-Latn-ME"/>
        </w:rPr>
        <w:t>j</w:t>
      </w:r>
      <w:r w:rsidR="001A2C49" w:rsidRPr="00801AFD">
        <w:rPr>
          <w:color w:val="000000"/>
          <w:szCs w:val="22"/>
          <w:lang w:val="sr-Latn-ME"/>
        </w:rPr>
        <w:t>e</w:t>
      </w:r>
      <w:r w:rsidRPr="00801AFD">
        <w:rPr>
          <w:color w:val="000000"/>
          <w:szCs w:val="22"/>
          <w:lang w:val="sr-Latn-ME"/>
        </w:rPr>
        <w:t>dnost tokom lij</w:t>
      </w:r>
      <w:r w:rsidR="001A2C49" w:rsidRPr="00801AFD">
        <w:rPr>
          <w:color w:val="000000"/>
          <w:szCs w:val="22"/>
          <w:lang w:val="sr-Latn-ME"/>
        </w:rPr>
        <w:t>e</w:t>
      </w:r>
      <w:r w:rsidRPr="00801AFD">
        <w:rPr>
          <w:color w:val="000000"/>
          <w:szCs w:val="22"/>
          <w:lang w:val="sr-Latn-ME"/>
        </w:rPr>
        <w:t xml:space="preserve">čenja ravulizumabom; ili povećanje LDH u serumu za 25% ili više u odnosu na početnu vrijednost ili nivo tokom liječenja ravulizumabom (rezultati se moraju potvrditi drugim mjerenjem) </w:t>
      </w:r>
    </w:p>
    <w:p w14:paraId="7F6DDEF5" w14:textId="282B65C3" w:rsidR="00E17168" w:rsidRPr="00801AFD" w:rsidRDefault="00E17168" w:rsidP="00801AFD">
      <w:pPr>
        <w:widowControl w:val="0"/>
        <w:rPr>
          <w:color w:val="000000"/>
          <w:szCs w:val="20"/>
          <w:lang w:val="sr-Latn-ME"/>
        </w:rPr>
      </w:pPr>
      <w:r w:rsidRPr="00801AFD">
        <w:rPr>
          <w:color w:val="000000"/>
          <w:sz w:val="22"/>
          <w:szCs w:val="20"/>
          <w:lang w:val="sr-Latn-ME"/>
        </w:rPr>
        <w:t>ili</w:t>
      </w:r>
    </w:p>
    <w:p w14:paraId="165D80D1" w14:textId="77777777" w:rsidR="003815F3" w:rsidRPr="00801AFD" w:rsidRDefault="003815F3" w:rsidP="00801AFD">
      <w:pPr>
        <w:pStyle w:val="ListParagraph"/>
        <w:widowControl w:val="0"/>
        <w:numPr>
          <w:ilvl w:val="0"/>
          <w:numId w:val="14"/>
        </w:numPr>
        <w:rPr>
          <w:color w:val="000000"/>
          <w:szCs w:val="22"/>
          <w:lang w:val="sr-Latn-ME"/>
        </w:rPr>
      </w:pPr>
      <w:r w:rsidRPr="00801AFD">
        <w:rPr>
          <w:color w:val="000000"/>
          <w:szCs w:val="22"/>
          <w:lang w:val="sr-Latn-ME"/>
        </w:rPr>
        <w:t>bilo koji od sljedećih simptoma TMA: promjena mentalnog statusa ili konvulzivni napadi ili druge vanbubrežne TMA manifestacije, uključujući kardiovaskularne poremećaje, perikarditis, gastrointestinalne simptome/dijareju; ili trombozu.</w:t>
      </w:r>
    </w:p>
    <w:p w14:paraId="1C23864E" w14:textId="2D1A3C18" w:rsidR="003815F3" w:rsidRPr="00801AFD" w:rsidRDefault="003815F3" w:rsidP="00801AFD">
      <w:pPr>
        <w:widowControl w:val="0"/>
        <w:jc w:val="both"/>
        <w:rPr>
          <w:color w:val="000000"/>
          <w:sz w:val="22"/>
          <w:szCs w:val="22"/>
          <w:lang w:val="sr-Latn-ME"/>
        </w:rPr>
      </w:pPr>
      <w:r w:rsidRPr="00801AFD">
        <w:rPr>
          <w:color w:val="000000"/>
          <w:sz w:val="22"/>
          <w:szCs w:val="22"/>
          <w:lang w:val="sr-Latn-ME"/>
        </w:rPr>
        <w:t xml:space="preserve">Ako se pojave TMA komplikacije nakon prekida primjene ravulizumaba, </w:t>
      </w:r>
      <w:r w:rsidR="005559D6" w:rsidRPr="00801AFD">
        <w:rPr>
          <w:color w:val="000000"/>
          <w:sz w:val="22"/>
          <w:szCs w:val="22"/>
          <w:lang w:val="sr-Latn-ME"/>
        </w:rPr>
        <w:t xml:space="preserve">potrebno je razmotriri </w:t>
      </w:r>
      <w:r w:rsidRPr="00801AFD">
        <w:rPr>
          <w:color w:val="000000"/>
          <w:sz w:val="22"/>
          <w:szCs w:val="22"/>
          <w:lang w:val="sr-Latn-ME"/>
        </w:rPr>
        <w:t>ponovno uvođenj</w:t>
      </w:r>
      <w:r w:rsidR="005559D6" w:rsidRPr="00801AFD">
        <w:rPr>
          <w:color w:val="000000"/>
          <w:sz w:val="22"/>
          <w:szCs w:val="22"/>
          <w:lang w:val="sr-Latn-ME"/>
        </w:rPr>
        <w:t>e</w:t>
      </w:r>
      <w:r w:rsidRPr="00801AFD">
        <w:rPr>
          <w:color w:val="000000"/>
          <w:sz w:val="22"/>
          <w:szCs w:val="22"/>
          <w:lang w:val="sr-Latn-ME"/>
        </w:rPr>
        <w:t xml:space="preserve"> liječenja ravulizumabom, počevši sa udarnom dozom i dozom održavanja kako je opisano u </w:t>
      </w:r>
      <w:r w:rsidR="001A2C49" w:rsidRPr="00801AFD">
        <w:rPr>
          <w:color w:val="000000"/>
          <w:sz w:val="22"/>
          <w:szCs w:val="22"/>
          <w:lang w:val="sr-Latn-ME"/>
        </w:rPr>
        <w:t xml:space="preserve">dijelu </w:t>
      </w:r>
      <w:r w:rsidRPr="00801AFD">
        <w:rPr>
          <w:color w:val="000000"/>
          <w:sz w:val="22"/>
          <w:szCs w:val="22"/>
          <w:lang w:val="sr-Latn-ME"/>
        </w:rPr>
        <w:t>4.2.</w:t>
      </w:r>
    </w:p>
    <w:p w14:paraId="3AAD8EEE" w14:textId="77777777" w:rsidR="005559D6" w:rsidRPr="00801AFD" w:rsidRDefault="005559D6" w:rsidP="00801AFD">
      <w:pPr>
        <w:widowControl w:val="0"/>
        <w:tabs>
          <w:tab w:val="left" w:pos="284"/>
        </w:tabs>
        <w:jc w:val="both"/>
        <w:rPr>
          <w:color w:val="000000"/>
          <w:sz w:val="22"/>
          <w:szCs w:val="22"/>
          <w:u w:val="single"/>
          <w:lang w:val="sr-Latn-ME"/>
        </w:rPr>
      </w:pPr>
    </w:p>
    <w:p w14:paraId="0705E697" w14:textId="77777777" w:rsidR="00D36DC1" w:rsidRPr="00801AFD" w:rsidRDefault="005B4A64" w:rsidP="00801AFD">
      <w:pPr>
        <w:widowControl w:val="0"/>
        <w:tabs>
          <w:tab w:val="left" w:pos="284"/>
        </w:tabs>
        <w:jc w:val="both"/>
        <w:rPr>
          <w:color w:val="000000"/>
          <w:sz w:val="22"/>
          <w:szCs w:val="22"/>
          <w:u w:val="single"/>
          <w:lang w:val="sr-Latn-ME"/>
        </w:rPr>
      </w:pPr>
      <w:r w:rsidRPr="00801AFD">
        <w:rPr>
          <w:color w:val="000000"/>
          <w:sz w:val="22"/>
          <w:szCs w:val="22"/>
          <w:u w:val="single"/>
          <w:lang w:val="sr-Latn-ME"/>
        </w:rPr>
        <w:t>Prekid l</w:t>
      </w:r>
      <w:r w:rsidR="0099493B" w:rsidRPr="00801AFD">
        <w:rPr>
          <w:color w:val="000000"/>
          <w:sz w:val="22"/>
          <w:szCs w:val="22"/>
          <w:u w:val="single"/>
          <w:lang w:val="sr-Latn-ME"/>
        </w:rPr>
        <w:t>ij</w:t>
      </w:r>
      <w:r w:rsidRPr="00801AFD">
        <w:rPr>
          <w:color w:val="000000"/>
          <w:sz w:val="22"/>
          <w:szCs w:val="22"/>
          <w:u w:val="single"/>
          <w:lang w:val="sr-Latn-ME"/>
        </w:rPr>
        <w:t>ečenja kod gMG</w:t>
      </w:r>
    </w:p>
    <w:p w14:paraId="7BEFBEE4" w14:textId="00BF16BC" w:rsidR="005B4A64" w:rsidRPr="00801AFD" w:rsidRDefault="005B4A64" w:rsidP="00801AFD">
      <w:pPr>
        <w:widowControl w:val="0"/>
        <w:tabs>
          <w:tab w:val="left" w:pos="284"/>
        </w:tabs>
        <w:jc w:val="both"/>
        <w:rPr>
          <w:color w:val="000000"/>
          <w:sz w:val="22"/>
          <w:szCs w:val="22"/>
          <w:lang w:val="sr-Latn-ME"/>
        </w:rPr>
      </w:pPr>
      <w:r w:rsidRPr="00801AFD">
        <w:rPr>
          <w:color w:val="000000"/>
          <w:sz w:val="22"/>
          <w:szCs w:val="22"/>
          <w:lang w:val="sr-Latn-ME"/>
        </w:rPr>
        <w:t>Uzimajući u obzir da je gMG hronična bolest, pacijenate kod kojih se l</w:t>
      </w:r>
      <w:r w:rsidR="0099493B" w:rsidRPr="00801AFD">
        <w:rPr>
          <w:color w:val="000000"/>
          <w:sz w:val="22"/>
          <w:szCs w:val="22"/>
          <w:lang w:val="sr-Latn-ME"/>
        </w:rPr>
        <w:t>ij</w:t>
      </w:r>
      <w:r w:rsidRPr="00801AFD">
        <w:rPr>
          <w:color w:val="000000"/>
          <w:sz w:val="22"/>
          <w:szCs w:val="22"/>
          <w:lang w:val="sr-Latn-ME"/>
        </w:rPr>
        <w:t>ečenje ravulizumabom pokazalo korisnim, a koji su prekinuli l</w:t>
      </w:r>
      <w:r w:rsidR="0099493B" w:rsidRPr="00801AFD">
        <w:rPr>
          <w:color w:val="000000"/>
          <w:sz w:val="22"/>
          <w:szCs w:val="22"/>
          <w:lang w:val="sr-Latn-ME"/>
        </w:rPr>
        <w:t>ij</w:t>
      </w:r>
      <w:r w:rsidRPr="00801AFD">
        <w:rPr>
          <w:color w:val="000000"/>
          <w:sz w:val="22"/>
          <w:szCs w:val="22"/>
          <w:lang w:val="sr-Latn-ME"/>
        </w:rPr>
        <w:t>ečenje treba pratiti zbog moguće pojave simptoma osnovne bolesti. Ako se simptomi gMG jave nakon prekida l</w:t>
      </w:r>
      <w:r w:rsidR="0099493B" w:rsidRPr="00801AFD">
        <w:rPr>
          <w:color w:val="000000"/>
          <w:sz w:val="22"/>
          <w:szCs w:val="22"/>
          <w:lang w:val="sr-Latn-ME"/>
        </w:rPr>
        <w:t>ij</w:t>
      </w:r>
      <w:r w:rsidRPr="00801AFD">
        <w:rPr>
          <w:color w:val="000000"/>
          <w:sz w:val="22"/>
          <w:szCs w:val="22"/>
          <w:lang w:val="sr-Latn-ME"/>
        </w:rPr>
        <w:t xml:space="preserve">ečenja, </w:t>
      </w:r>
      <w:r w:rsidR="005559D6" w:rsidRPr="00801AFD">
        <w:rPr>
          <w:color w:val="000000"/>
          <w:sz w:val="22"/>
          <w:szCs w:val="22"/>
          <w:lang w:val="sr-Latn-ME"/>
        </w:rPr>
        <w:t xml:space="preserve">potrebno je </w:t>
      </w:r>
      <w:r w:rsidRPr="00801AFD">
        <w:rPr>
          <w:color w:val="000000"/>
          <w:sz w:val="22"/>
          <w:szCs w:val="22"/>
          <w:lang w:val="sr-Latn-ME"/>
        </w:rPr>
        <w:t>razmotrit</w:t>
      </w:r>
      <w:r w:rsidR="005559D6" w:rsidRPr="00801AFD">
        <w:rPr>
          <w:color w:val="000000"/>
          <w:sz w:val="22"/>
          <w:szCs w:val="22"/>
          <w:lang w:val="sr-Latn-ME"/>
        </w:rPr>
        <w:t>i</w:t>
      </w:r>
      <w:r w:rsidRPr="00801AFD">
        <w:rPr>
          <w:color w:val="000000"/>
          <w:sz w:val="22"/>
          <w:szCs w:val="22"/>
          <w:lang w:val="sr-Latn-ME"/>
        </w:rPr>
        <w:t xml:space="preserve"> ponovno započinjanje l</w:t>
      </w:r>
      <w:r w:rsidR="0099493B" w:rsidRPr="00801AFD">
        <w:rPr>
          <w:color w:val="000000"/>
          <w:sz w:val="22"/>
          <w:szCs w:val="22"/>
          <w:lang w:val="sr-Latn-ME"/>
        </w:rPr>
        <w:t>ij</w:t>
      </w:r>
      <w:r w:rsidRPr="00801AFD">
        <w:rPr>
          <w:color w:val="000000"/>
          <w:sz w:val="22"/>
          <w:szCs w:val="22"/>
          <w:lang w:val="sr-Latn-ME"/>
        </w:rPr>
        <w:t xml:space="preserve">ečenja ravulizumabom. </w:t>
      </w:r>
    </w:p>
    <w:p w14:paraId="3DD7E617" w14:textId="05FD9D13" w:rsidR="00D36DC1" w:rsidRPr="00801AFD" w:rsidRDefault="00D36DC1" w:rsidP="00801AFD">
      <w:pPr>
        <w:widowControl w:val="0"/>
        <w:tabs>
          <w:tab w:val="left" w:pos="284"/>
        </w:tabs>
        <w:jc w:val="both"/>
        <w:rPr>
          <w:color w:val="000000"/>
          <w:sz w:val="22"/>
          <w:szCs w:val="22"/>
          <w:lang w:val="sr-Latn-ME"/>
        </w:rPr>
      </w:pPr>
    </w:p>
    <w:p w14:paraId="7D186825" w14:textId="06F8324C" w:rsidR="00D36DC1" w:rsidRPr="00801AFD" w:rsidRDefault="00D36DC1" w:rsidP="00801AFD">
      <w:pPr>
        <w:widowControl w:val="0"/>
        <w:jc w:val="both"/>
        <w:rPr>
          <w:rFonts w:eastAsia="SimSun"/>
          <w:sz w:val="22"/>
          <w:szCs w:val="22"/>
          <w:u w:val="single"/>
          <w:lang w:val="sr-Latn-ME"/>
        </w:rPr>
      </w:pPr>
      <w:r w:rsidRPr="00801AFD">
        <w:rPr>
          <w:color w:val="000000"/>
          <w:sz w:val="22"/>
          <w:szCs w:val="22"/>
          <w:u w:val="single"/>
          <w:lang w:val="sr-Latn-ME"/>
        </w:rPr>
        <w:t>Prekid l</w:t>
      </w:r>
      <w:r w:rsidR="00471BA3" w:rsidRPr="00801AFD">
        <w:rPr>
          <w:color w:val="000000"/>
          <w:sz w:val="22"/>
          <w:szCs w:val="22"/>
          <w:u w:val="single"/>
          <w:lang w:val="sr-Latn-ME"/>
        </w:rPr>
        <w:t>ij</w:t>
      </w:r>
      <w:r w:rsidRPr="00801AFD">
        <w:rPr>
          <w:color w:val="000000"/>
          <w:sz w:val="22"/>
          <w:szCs w:val="22"/>
          <w:u w:val="single"/>
          <w:lang w:val="sr-Latn-ME"/>
        </w:rPr>
        <w:t xml:space="preserve">ečenja kod </w:t>
      </w:r>
      <w:bookmarkStart w:id="0" w:name="_Hlk134624899"/>
      <w:r w:rsidRPr="00801AFD">
        <w:rPr>
          <w:rFonts w:eastAsia="SimSun"/>
          <w:sz w:val="22"/>
          <w:szCs w:val="22"/>
          <w:u w:val="single"/>
          <w:lang w:val="sr-Latn-ME"/>
        </w:rPr>
        <w:t>NMOSD</w:t>
      </w:r>
      <w:bookmarkEnd w:id="0"/>
    </w:p>
    <w:p w14:paraId="2C603ED1" w14:textId="77777777" w:rsidR="00D36DC1" w:rsidRPr="00801AFD" w:rsidRDefault="00D36DC1" w:rsidP="00801AFD">
      <w:pPr>
        <w:widowControl w:val="0"/>
        <w:jc w:val="both"/>
        <w:rPr>
          <w:rFonts w:eastAsia="SimSun"/>
          <w:sz w:val="22"/>
          <w:szCs w:val="22"/>
          <w:u w:val="single"/>
          <w:lang w:val="sr-Latn-ME"/>
        </w:rPr>
      </w:pPr>
    </w:p>
    <w:p w14:paraId="035696A5" w14:textId="4F5C12C4" w:rsidR="00D36DC1" w:rsidRPr="00801AFD" w:rsidRDefault="00D36DC1" w:rsidP="00801AFD">
      <w:pPr>
        <w:widowControl w:val="0"/>
        <w:jc w:val="both"/>
        <w:rPr>
          <w:rFonts w:eastAsia="SimSun"/>
          <w:sz w:val="22"/>
          <w:szCs w:val="22"/>
          <w:lang w:val="sr-Latn-ME"/>
        </w:rPr>
      </w:pPr>
      <w:r w:rsidRPr="00801AFD">
        <w:rPr>
          <w:rFonts w:eastAsia="SimSun"/>
          <w:sz w:val="22"/>
          <w:szCs w:val="22"/>
          <w:lang w:val="sr-Latn-ME"/>
        </w:rPr>
        <w:t>Uzimajući u obzir da je NMOSD hronična bolest, pacijenate kod kojih se l</w:t>
      </w:r>
      <w:r w:rsidR="00471BA3" w:rsidRPr="00801AFD">
        <w:rPr>
          <w:rFonts w:eastAsia="SimSun"/>
          <w:sz w:val="22"/>
          <w:szCs w:val="22"/>
          <w:lang w:val="sr-Latn-ME"/>
        </w:rPr>
        <w:t>ij</w:t>
      </w:r>
      <w:r w:rsidRPr="00801AFD">
        <w:rPr>
          <w:rFonts w:eastAsia="SimSun"/>
          <w:sz w:val="22"/>
          <w:szCs w:val="22"/>
          <w:lang w:val="sr-Latn-ME"/>
        </w:rPr>
        <w:t>ečenje ravulizumabom pokazalo korisnim, a koji su prekinuli l</w:t>
      </w:r>
      <w:r w:rsidR="00471BA3" w:rsidRPr="00801AFD">
        <w:rPr>
          <w:rFonts w:eastAsia="SimSun"/>
          <w:sz w:val="22"/>
          <w:szCs w:val="22"/>
          <w:lang w:val="sr-Latn-ME"/>
        </w:rPr>
        <w:t>ij</w:t>
      </w:r>
      <w:r w:rsidRPr="00801AFD">
        <w:rPr>
          <w:rFonts w:eastAsia="SimSun"/>
          <w:sz w:val="22"/>
          <w:szCs w:val="22"/>
          <w:lang w:val="sr-Latn-ME"/>
        </w:rPr>
        <w:t>ečenje treba pratiti zbog pojave simptoma relapsa NMOSD. Ako se simptomi NMOSD jave nakon prekida l</w:t>
      </w:r>
      <w:r w:rsidR="00471BA3" w:rsidRPr="00801AFD">
        <w:rPr>
          <w:rFonts w:eastAsia="SimSun"/>
          <w:sz w:val="22"/>
          <w:szCs w:val="22"/>
          <w:lang w:val="sr-Latn-ME"/>
        </w:rPr>
        <w:t>ij</w:t>
      </w:r>
      <w:r w:rsidRPr="00801AFD">
        <w:rPr>
          <w:rFonts w:eastAsia="SimSun"/>
          <w:sz w:val="22"/>
          <w:szCs w:val="22"/>
          <w:lang w:val="sr-Latn-ME"/>
        </w:rPr>
        <w:t>ečenja, razmotrite ponovno započinjanje l</w:t>
      </w:r>
      <w:r w:rsidR="00471BA3" w:rsidRPr="00801AFD">
        <w:rPr>
          <w:rFonts w:eastAsia="SimSun"/>
          <w:sz w:val="22"/>
          <w:szCs w:val="22"/>
          <w:lang w:val="sr-Latn-ME"/>
        </w:rPr>
        <w:t>ij</w:t>
      </w:r>
      <w:r w:rsidRPr="00801AFD">
        <w:rPr>
          <w:rFonts w:eastAsia="SimSun"/>
          <w:sz w:val="22"/>
          <w:szCs w:val="22"/>
          <w:lang w:val="sr-Latn-ME"/>
        </w:rPr>
        <w:t xml:space="preserve">ečenja ravulizumabom. </w:t>
      </w:r>
    </w:p>
    <w:p w14:paraId="377B1BFA" w14:textId="77777777" w:rsidR="005B4A64" w:rsidRPr="00801AFD" w:rsidRDefault="005B4A64" w:rsidP="00801AFD">
      <w:pPr>
        <w:widowControl w:val="0"/>
        <w:tabs>
          <w:tab w:val="left" w:pos="284"/>
        </w:tabs>
        <w:jc w:val="both"/>
        <w:rPr>
          <w:color w:val="000000"/>
          <w:sz w:val="22"/>
          <w:szCs w:val="22"/>
          <w:lang w:val="sr-Latn-ME"/>
        </w:rPr>
      </w:pPr>
    </w:p>
    <w:p w14:paraId="08ED1612" w14:textId="77777777" w:rsidR="005B4A64" w:rsidRPr="00801AFD" w:rsidRDefault="005B4A64" w:rsidP="00801AFD">
      <w:pPr>
        <w:widowControl w:val="0"/>
        <w:tabs>
          <w:tab w:val="left" w:pos="284"/>
        </w:tabs>
        <w:jc w:val="both"/>
        <w:rPr>
          <w:color w:val="000000"/>
          <w:sz w:val="22"/>
          <w:szCs w:val="22"/>
          <w:u w:val="single"/>
          <w:lang w:val="sr-Latn-ME"/>
        </w:rPr>
      </w:pPr>
      <w:r w:rsidRPr="00801AFD">
        <w:rPr>
          <w:color w:val="000000"/>
          <w:sz w:val="22"/>
          <w:szCs w:val="22"/>
          <w:u w:val="single"/>
          <w:lang w:val="sr-Latn-ME"/>
        </w:rPr>
        <w:t>Prelazak sa ekulizumaba na ravulizumab</w:t>
      </w:r>
    </w:p>
    <w:p w14:paraId="0A7478A0" w14:textId="41DD8C69" w:rsidR="005B4A64" w:rsidRPr="00801AFD" w:rsidRDefault="005B4A64" w:rsidP="00801AFD">
      <w:pPr>
        <w:widowControl w:val="0"/>
        <w:tabs>
          <w:tab w:val="left" w:pos="284"/>
        </w:tabs>
        <w:jc w:val="both"/>
        <w:rPr>
          <w:color w:val="000000"/>
          <w:sz w:val="22"/>
          <w:szCs w:val="22"/>
          <w:lang w:val="sr-Latn-ME"/>
        </w:rPr>
      </w:pPr>
      <w:r w:rsidRPr="00801AFD">
        <w:rPr>
          <w:color w:val="000000"/>
          <w:sz w:val="22"/>
          <w:szCs w:val="22"/>
          <w:lang w:val="sr-Latn-ME"/>
        </w:rPr>
        <w:t>Kod pacijenata sa gMG, koji ne reaguju na odobreni režim doziranja ekulizumaba, ne preporučuje se l</w:t>
      </w:r>
      <w:r w:rsidR="0099493B" w:rsidRPr="00801AFD">
        <w:rPr>
          <w:color w:val="000000"/>
          <w:sz w:val="22"/>
          <w:szCs w:val="22"/>
          <w:lang w:val="sr-Latn-ME"/>
        </w:rPr>
        <w:t>ij</w:t>
      </w:r>
      <w:r w:rsidRPr="00801AFD">
        <w:rPr>
          <w:color w:val="000000"/>
          <w:sz w:val="22"/>
          <w:szCs w:val="22"/>
          <w:lang w:val="sr-Latn-ME"/>
        </w:rPr>
        <w:t>ečenje sa ravulizumabom.</w:t>
      </w:r>
    </w:p>
    <w:p w14:paraId="5EC570D5" w14:textId="7ED5E904" w:rsidR="00BD16A7" w:rsidRPr="00801AFD" w:rsidRDefault="00BD16A7" w:rsidP="00801AFD">
      <w:pPr>
        <w:widowControl w:val="0"/>
        <w:rPr>
          <w:color w:val="000000"/>
          <w:sz w:val="22"/>
          <w:szCs w:val="22"/>
          <w:lang w:val="sr-Latn-ME"/>
        </w:rPr>
      </w:pPr>
    </w:p>
    <w:p w14:paraId="5D5B4C6E" w14:textId="77777777" w:rsidR="003815F3" w:rsidRPr="00801AFD" w:rsidRDefault="003815F3" w:rsidP="00801AFD">
      <w:pPr>
        <w:widowControl w:val="0"/>
        <w:jc w:val="both"/>
        <w:rPr>
          <w:color w:val="000000"/>
          <w:sz w:val="22"/>
          <w:szCs w:val="22"/>
          <w:u w:val="single"/>
          <w:lang w:val="sr-Latn-ME"/>
        </w:rPr>
      </w:pPr>
      <w:r w:rsidRPr="00801AFD">
        <w:rPr>
          <w:color w:val="000000"/>
          <w:sz w:val="22"/>
          <w:szCs w:val="22"/>
          <w:u w:val="single"/>
          <w:lang w:val="sr-Latn-ME"/>
        </w:rPr>
        <w:t>Sadržaj natrijuma</w:t>
      </w:r>
    </w:p>
    <w:p w14:paraId="1290110C" w14:textId="77777777" w:rsidR="003815F3" w:rsidRPr="00801AFD" w:rsidRDefault="003815F3" w:rsidP="00801AFD">
      <w:pPr>
        <w:widowControl w:val="0"/>
        <w:jc w:val="both"/>
        <w:rPr>
          <w:color w:val="000000"/>
          <w:sz w:val="22"/>
          <w:szCs w:val="22"/>
          <w:u w:val="single"/>
          <w:lang w:val="sr-Latn-ME"/>
        </w:rPr>
      </w:pPr>
    </w:p>
    <w:p w14:paraId="3BEAC137" w14:textId="5606624D" w:rsidR="003815F3" w:rsidRPr="00801AFD" w:rsidRDefault="003815F3" w:rsidP="00801AFD">
      <w:pPr>
        <w:widowControl w:val="0"/>
        <w:jc w:val="both"/>
        <w:rPr>
          <w:i/>
          <w:sz w:val="22"/>
          <w:szCs w:val="22"/>
          <w:lang w:val="sr-Latn-ME"/>
        </w:rPr>
      </w:pPr>
      <w:r w:rsidRPr="00801AFD">
        <w:rPr>
          <w:i/>
          <w:sz w:val="22"/>
          <w:szCs w:val="22"/>
          <w:lang w:val="sr-Latn-ME"/>
        </w:rPr>
        <w:t>Ultomiris 300 mg/3 m</w:t>
      </w:r>
      <w:r w:rsidR="00BE275D" w:rsidRPr="00801AFD">
        <w:rPr>
          <w:i/>
          <w:sz w:val="22"/>
          <w:szCs w:val="22"/>
          <w:lang w:val="sr-Latn-ME"/>
        </w:rPr>
        <w:t>l</w:t>
      </w:r>
      <w:r w:rsidRPr="00801AFD">
        <w:rPr>
          <w:i/>
          <w:sz w:val="22"/>
          <w:szCs w:val="22"/>
          <w:lang w:val="sr-Latn-ME"/>
        </w:rPr>
        <w:t xml:space="preserve"> i </w:t>
      </w:r>
      <w:r w:rsidR="001A2C49" w:rsidRPr="00801AFD">
        <w:rPr>
          <w:i/>
          <w:sz w:val="22"/>
          <w:szCs w:val="22"/>
          <w:lang w:val="sr-Latn-ME"/>
        </w:rPr>
        <w:t>1</w:t>
      </w:r>
      <w:r w:rsidRPr="00801AFD">
        <w:rPr>
          <w:i/>
          <w:sz w:val="22"/>
          <w:szCs w:val="22"/>
          <w:lang w:val="sr-Latn-ME"/>
        </w:rPr>
        <w:t>100 mg/11 m</w:t>
      </w:r>
      <w:r w:rsidR="00BE275D" w:rsidRPr="00801AFD">
        <w:rPr>
          <w:i/>
          <w:sz w:val="22"/>
          <w:szCs w:val="22"/>
          <w:lang w:val="sr-Latn-ME"/>
        </w:rPr>
        <w:t>l</w:t>
      </w:r>
      <w:r w:rsidRPr="00801AFD">
        <w:rPr>
          <w:i/>
          <w:sz w:val="22"/>
          <w:szCs w:val="22"/>
          <w:lang w:val="sr-Latn-ME"/>
        </w:rPr>
        <w:t xml:space="preserve">, koncentrat za rastvor za infuziju </w:t>
      </w:r>
    </w:p>
    <w:p w14:paraId="38033C3D" w14:textId="77777777" w:rsidR="003815F3" w:rsidRPr="00801AFD" w:rsidRDefault="003815F3" w:rsidP="00801AFD">
      <w:pPr>
        <w:widowControl w:val="0"/>
        <w:jc w:val="both"/>
        <w:rPr>
          <w:color w:val="000000"/>
          <w:sz w:val="22"/>
          <w:szCs w:val="22"/>
          <w:u w:val="single"/>
          <w:lang w:val="sr-Latn-ME"/>
        </w:rPr>
      </w:pPr>
    </w:p>
    <w:p w14:paraId="6F2AC128" w14:textId="4DF60DFF" w:rsidR="003815F3" w:rsidRPr="00801AFD" w:rsidRDefault="003815F3" w:rsidP="00801AFD">
      <w:pPr>
        <w:widowControl w:val="0"/>
        <w:jc w:val="both"/>
        <w:rPr>
          <w:color w:val="000000"/>
          <w:sz w:val="22"/>
          <w:szCs w:val="22"/>
          <w:lang w:val="sr-Latn-ME"/>
        </w:rPr>
      </w:pPr>
      <w:r w:rsidRPr="00801AFD">
        <w:rPr>
          <w:color w:val="000000"/>
          <w:sz w:val="22"/>
          <w:szCs w:val="22"/>
          <w:lang w:val="sr-Latn-ME"/>
        </w:rPr>
        <w:t>Kada se razblaži sa 0,9% (9 mg/m</w:t>
      </w:r>
      <w:r w:rsidR="00BE275D" w:rsidRPr="00801AFD">
        <w:rPr>
          <w:color w:val="000000"/>
          <w:sz w:val="22"/>
          <w:szCs w:val="22"/>
          <w:lang w:val="sr-Latn-ME"/>
        </w:rPr>
        <w:t>l</w:t>
      </w:r>
      <w:r w:rsidRPr="00801AFD">
        <w:rPr>
          <w:color w:val="000000"/>
          <w:sz w:val="22"/>
          <w:szCs w:val="22"/>
          <w:lang w:val="sr-Latn-ME"/>
        </w:rPr>
        <w:t>) rastvora natrijum-hlorida za injekcije, ovaj l</w:t>
      </w:r>
      <w:r w:rsidR="00DA2268" w:rsidRPr="00801AFD">
        <w:rPr>
          <w:color w:val="000000"/>
          <w:sz w:val="22"/>
          <w:szCs w:val="22"/>
          <w:lang w:val="sr-Latn-ME"/>
        </w:rPr>
        <w:t>ij</w:t>
      </w:r>
      <w:r w:rsidRPr="00801AFD">
        <w:rPr>
          <w:color w:val="000000"/>
          <w:sz w:val="22"/>
          <w:szCs w:val="22"/>
          <w:lang w:val="sr-Latn-ME"/>
        </w:rPr>
        <w:t>ek sadrži 0,18 g natrijuma na 72 m</w:t>
      </w:r>
      <w:r w:rsidR="00BE275D" w:rsidRPr="00801AFD">
        <w:rPr>
          <w:color w:val="000000"/>
          <w:sz w:val="22"/>
          <w:szCs w:val="22"/>
          <w:lang w:val="sr-Latn-ME"/>
        </w:rPr>
        <w:t>l</w:t>
      </w:r>
      <w:r w:rsidRPr="00801AFD">
        <w:rPr>
          <w:color w:val="000000"/>
          <w:sz w:val="22"/>
          <w:szCs w:val="22"/>
          <w:lang w:val="sr-Latn-ME"/>
        </w:rPr>
        <w:t xml:space="preserve"> u maksimalnoj dozi, što odgovara 9,1% maksimalnog dnevnog unosa od 2 g natrijuma prema preporukama SZO za odraslu osobu.</w:t>
      </w:r>
    </w:p>
    <w:p w14:paraId="564102EE" w14:textId="77777777" w:rsidR="003815F3" w:rsidRPr="00801AFD" w:rsidRDefault="003815F3" w:rsidP="00801AFD">
      <w:pPr>
        <w:widowControl w:val="0"/>
        <w:jc w:val="both"/>
        <w:rPr>
          <w:sz w:val="22"/>
          <w:szCs w:val="22"/>
          <w:lang w:val="sr-Latn-ME"/>
        </w:rPr>
      </w:pPr>
    </w:p>
    <w:p w14:paraId="171A57C7" w14:textId="2AC099D5" w:rsidR="003815F3" w:rsidRPr="00801AFD" w:rsidRDefault="003815F3" w:rsidP="00801AFD">
      <w:pPr>
        <w:widowControl w:val="0"/>
        <w:jc w:val="both"/>
        <w:rPr>
          <w:i/>
          <w:sz w:val="22"/>
          <w:szCs w:val="22"/>
          <w:lang w:val="sr-Latn-ME"/>
        </w:rPr>
      </w:pPr>
      <w:r w:rsidRPr="00801AFD">
        <w:rPr>
          <w:i/>
          <w:sz w:val="22"/>
          <w:szCs w:val="22"/>
          <w:lang w:val="sr-Latn-ME"/>
        </w:rPr>
        <w:t>Ultomiris 300 mg/30 m</w:t>
      </w:r>
      <w:r w:rsidR="00BE275D" w:rsidRPr="00801AFD">
        <w:rPr>
          <w:i/>
          <w:sz w:val="22"/>
          <w:szCs w:val="22"/>
          <w:lang w:val="sr-Latn-ME"/>
        </w:rPr>
        <w:t>l</w:t>
      </w:r>
      <w:r w:rsidRPr="00801AFD">
        <w:rPr>
          <w:i/>
          <w:sz w:val="22"/>
          <w:szCs w:val="22"/>
          <w:lang w:val="sr-Latn-ME"/>
        </w:rPr>
        <w:t xml:space="preserve">, koncentrat za rastvor za infuziju </w:t>
      </w:r>
    </w:p>
    <w:p w14:paraId="68A635AC" w14:textId="77777777" w:rsidR="003815F3" w:rsidRPr="00801AFD" w:rsidRDefault="003815F3" w:rsidP="00801AFD">
      <w:pPr>
        <w:widowControl w:val="0"/>
        <w:jc w:val="both"/>
        <w:rPr>
          <w:sz w:val="22"/>
          <w:szCs w:val="22"/>
          <w:lang w:val="sr-Latn-ME"/>
        </w:rPr>
      </w:pPr>
    </w:p>
    <w:p w14:paraId="4B65F328" w14:textId="6BF0ED9F" w:rsidR="003815F3" w:rsidRPr="00801AFD" w:rsidRDefault="003815F3" w:rsidP="00801AFD">
      <w:pPr>
        <w:widowControl w:val="0"/>
        <w:jc w:val="both"/>
        <w:rPr>
          <w:color w:val="000000"/>
          <w:sz w:val="22"/>
          <w:szCs w:val="22"/>
          <w:lang w:val="sr-Latn-ME"/>
        </w:rPr>
      </w:pPr>
      <w:r w:rsidRPr="00801AFD">
        <w:rPr>
          <w:color w:val="000000"/>
          <w:sz w:val="22"/>
          <w:szCs w:val="22"/>
          <w:lang w:val="sr-Latn-ME"/>
        </w:rPr>
        <w:t>Kada se razblaži sa 0,9% (9 mg/m</w:t>
      </w:r>
      <w:r w:rsidR="00BE275D" w:rsidRPr="00801AFD">
        <w:rPr>
          <w:color w:val="000000"/>
          <w:sz w:val="22"/>
          <w:szCs w:val="22"/>
          <w:lang w:val="sr-Latn-ME"/>
        </w:rPr>
        <w:t>l</w:t>
      </w:r>
      <w:r w:rsidRPr="00801AFD">
        <w:rPr>
          <w:color w:val="000000"/>
          <w:sz w:val="22"/>
          <w:szCs w:val="22"/>
          <w:lang w:val="sr-Latn-ME"/>
        </w:rPr>
        <w:t>) rastvora natrijum-hlorida za injekcije, ovaj lijek sadrži 2,65 g natrijuma na 720 m</w:t>
      </w:r>
      <w:r w:rsidR="00BE275D" w:rsidRPr="00801AFD">
        <w:rPr>
          <w:color w:val="000000"/>
          <w:sz w:val="22"/>
          <w:szCs w:val="22"/>
          <w:lang w:val="sr-Latn-ME"/>
        </w:rPr>
        <w:t>l</w:t>
      </w:r>
      <w:r w:rsidRPr="00801AFD">
        <w:rPr>
          <w:color w:val="000000"/>
          <w:sz w:val="22"/>
          <w:szCs w:val="22"/>
          <w:lang w:val="sr-Latn-ME"/>
        </w:rPr>
        <w:t xml:space="preserve"> u maksimalnoj dozi, što odgovara 133% maksimalnog dnevnog unosa od 2 g natrijuma prema preporukama SZO za odraslu osobu.</w:t>
      </w:r>
    </w:p>
    <w:p w14:paraId="6E15E51F" w14:textId="77777777" w:rsidR="00057E35" w:rsidRPr="00801AFD" w:rsidRDefault="00057E35" w:rsidP="00801AFD">
      <w:pPr>
        <w:widowControl w:val="0"/>
        <w:tabs>
          <w:tab w:val="left" w:pos="540"/>
          <w:tab w:val="left" w:pos="569"/>
        </w:tabs>
        <w:jc w:val="both"/>
        <w:rPr>
          <w:bCs/>
          <w:sz w:val="22"/>
          <w:szCs w:val="22"/>
          <w:lang w:val="sr-Latn-ME"/>
        </w:rPr>
      </w:pPr>
    </w:p>
    <w:p w14:paraId="5903C53B" w14:textId="60F09234" w:rsidR="00411B4B" w:rsidRPr="00801AFD" w:rsidRDefault="00411B4B" w:rsidP="00801AFD">
      <w:pPr>
        <w:widowControl w:val="0"/>
        <w:tabs>
          <w:tab w:val="left" w:pos="540"/>
          <w:tab w:val="left" w:pos="569"/>
        </w:tabs>
        <w:jc w:val="both"/>
        <w:rPr>
          <w:b/>
          <w:bCs/>
          <w:sz w:val="22"/>
          <w:szCs w:val="22"/>
          <w:lang w:val="sr-Latn-ME"/>
        </w:rPr>
      </w:pPr>
      <w:r w:rsidRPr="00801AFD">
        <w:rPr>
          <w:b/>
          <w:bCs/>
          <w:sz w:val="22"/>
          <w:szCs w:val="22"/>
          <w:lang w:val="sr-Latn-ME"/>
        </w:rPr>
        <w:t>4.5.</w:t>
      </w:r>
      <w:r w:rsidR="000D60CC" w:rsidRPr="00801AFD">
        <w:rPr>
          <w:b/>
          <w:bCs/>
          <w:sz w:val="22"/>
          <w:szCs w:val="22"/>
          <w:lang w:val="sr-Latn-ME"/>
        </w:rPr>
        <w:tab/>
      </w:r>
      <w:r w:rsidRPr="00801AFD">
        <w:rPr>
          <w:b/>
          <w:bCs/>
          <w:sz w:val="22"/>
          <w:szCs w:val="22"/>
          <w:lang w:val="sr-Latn-ME"/>
        </w:rPr>
        <w:t>Interakcije sa drugim ljekovima i druge vrste interakcija</w:t>
      </w:r>
    </w:p>
    <w:p w14:paraId="0825CE81" w14:textId="2D6FD6C6" w:rsidR="00BE275D" w:rsidRPr="00801AFD" w:rsidRDefault="00BE275D" w:rsidP="00801AFD">
      <w:pPr>
        <w:widowControl w:val="0"/>
        <w:tabs>
          <w:tab w:val="left" w:pos="540"/>
          <w:tab w:val="left" w:pos="569"/>
        </w:tabs>
        <w:jc w:val="both"/>
        <w:rPr>
          <w:b/>
          <w:bCs/>
          <w:sz w:val="22"/>
          <w:szCs w:val="22"/>
          <w:lang w:val="sr-Latn-ME"/>
        </w:rPr>
      </w:pPr>
    </w:p>
    <w:p w14:paraId="48699F24" w14:textId="4172D7C5" w:rsidR="00BE275D" w:rsidRPr="00801AFD" w:rsidRDefault="00BE275D" w:rsidP="00801AFD">
      <w:pPr>
        <w:pStyle w:val="Default"/>
        <w:widowControl w:val="0"/>
        <w:jc w:val="both"/>
        <w:rPr>
          <w:sz w:val="22"/>
          <w:szCs w:val="22"/>
          <w:lang w:val="sr-Latn-ME"/>
        </w:rPr>
      </w:pPr>
      <w:r w:rsidRPr="00801AFD">
        <w:rPr>
          <w:sz w:val="22"/>
          <w:szCs w:val="22"/>
          <w:lang w:val="sr-Latn-ME"/>
        </w:rPr>
        <w:t xml:space="preserve">Nijesu sprovedene studije interakcija. </w:t>
      </w:r>
    </w:p>
    <w:p w14:paraId="6DCC80FF" w14:textId="7F2BFE58" w:rsidR="00D36DC1" w:rsidRPr="00801AFD" w:rsidRDefault="00D36DC1" w:rsidP="00801AFD">
      <w:pPr>
        <w:pStyle w:val="Default"/>
        <w:widowControl w:val="0"/>
        <w:jc w:val="both"/>
        <w:rPr>
          <w:sz w:val="22"/>
          <w:szCs w:val="22"/>
          <w:lang w:val="sr-Latn-ME"/>
        </w:rPr>
      </w:pPr>
    </w:p>
    <w:p w14:paraId="37647060" w14:textId="1F522A49" w:rsidR="00D36DC1" w:rsidRPr="00801AFD" w:rsidRDefault="00D36DC1" w:rsidP="00801AFD">
      <w:pPr>
        <w:widowControl w:val="0"/>
        <w:jc w:val="both"/>
        <w:rPr>
          <w:sz w:val="22"/>
          <w:szCs w:val="22"/>
          <w:lang w:val="sr-Latn-ME"/>
        </w:rPr>
      </w:pPr>
      <w:r w:rsidRPr="00801AFD">
        <w:rPr>
          <w:sz w:val="22"/>
          <w:szCs w:val="22"/>
          <w:lang w:val="sr-Latn-ME"/>
        </w:rPr>
        <w:t>Na osnovu potencijalnog inhibitornog dejstva ravulizumaba na citotoksičnost rituksimaba zavisnog od komplemenata, ravulizumab može smanjiti očekivane farmakodinamičke efekte rituksimaba</w:t>
      </w:r>
      <w:r w:rsidR="005826A9" w:rsidRPr="00801AFD">
        <w:rPr>
          <w:sz w:val="22"/>
          <w:szCs w:val="22"/>
          <w:lang w:val="sr-Latn-ME"/>
        </w:rPr>
        <w:t>.</w:t>
      </w:r>
    </w:p>
    <w:p w14:paraId="05334706" w14:textId="77777777" w:rsidR="008D605F" w:rsidRPr="00801AFD" w:rsidRDefault="008D605F" w:rsidP="00801AFD">
      <w:pPr>
        <w:widowControl w:val="0"/>
        <w:jc w:val="both"/>
        <w:rPr>
          <w:sz w:val="22"/>
          <w:szCs w:val="22"/>
          <w:lang w:val="sr-Latn-ME"/>
        </w:rPr>
      </w:pPr>
    </w:p>
    <w:p w14:paraId="27C3E8F7" w14:textId="68116496" w:rsidR="008D605F" w:rsidRPr="00801AFD" w:rsidRDefault="008D605F" w:rsidP="00801AFD">
      <w:pPr>
        <w:widowControl w:val="0"/>
        <w:jc w:val="both"/>
        <w:rPr>
          <w:sz w:val="22"/>
          <w:szCs w:val="22"/>
          <w:lang w:val="sr-Latn-ME"/>
        </w:rPr>
      </w:pPr>
      <w:r w:rsidRPr="00801AFD">
        <w:rPr>
          <w:sz w:val="22"/>
          <w:szCs w:val="22"/>
          <w:lang w:val="sr-Latn-ME"/>
        </w:rPr>
        <w:t>Hronično liječenje intravenskim ljudskim imunoglobulinom (IVIg) može poremetiti neonatalnim Fc receptorom (FcRn) posredovan endosomski mehanizam recikliranja monoklonskih antitijela kao što je ravulizumab i tako smanjiti koncentracije ravulizumaba u serumu.</w:t>
      </w:r>
    </w:p>
    <w:p w14:paraId="72F9A49A" w14:textId="77777777" w:rsidR="008D605F" w:rsidRPr="00801AFD" w:rsidRDefault="008D605F" w:rsidP="00801AFD">
      <w:pPr>
        <w:widowControl w:val="0"/>
        <w:jc w:val="both"/>
        <w:rPr>
          <w:sz w:val="22"/>
          <w:szCs w:val="22"/>
          <w:lang w:val="sr-Latn-ME"/>
        </w:rPr>
      </w:pPr>
    </w:p>
    <w:p w14:paraId="7E31DA43" w14:textId="7A859D8A" w:rsidR="005B4A64" w:rsidRPr="00801AFD" w:rsidRDefault="005B4A64" w:rsidP="00801AFD">
      <w:pPr>
        <w:widowControl w:val="0"/>
        <w:jc w:val="both"/>
        <w:rPr>
          <w:sz w:val="22"/>
          <w:szCs w:val="22"/>
          <w:lang w:val="sr-Latn-ME"/>
        </w:rPr>
      </w:pPr>
      <w:r w:rsidRPr="00801AFD">
        <w:rPr>
          <w:sz w:val="22"/>
          <w:szCs w:val="22"/>
          <w:lang w:val="sr-Latn-ME"/>
        </w:rPr>
        <w:t xml:space="preserve">Pogledajte </w:t>
      </w:r>
      <w:r w:rsidR="005559D6" w:rsidRPr="00801AFD">
        <w:rPr>
          <w:sz w:val="22"/>
          <w:szCs w:val="22"/>
          <w:lang w:val="sr-Latn-ME"/>
        </w:rPr>
        <w:t xml:space="preserve">dio </w:t>
      </w:r>
      <w:r w:rsidRPr="00801AFD">
        <w:rPr>
          <w:sz w:val="22"/>
          <w:szCs w:val="22"/>
          <w:lang w:val="sr-Latn-ME"/>
        </w:rPr>
        <w:t>4.2. za uputstvo u slučaju istovremenog l</w:t>
      </w:r>
      <w:r w:rsidR="0099493B" w:rsidRPr="00801AFD">
        <w:rPr>
          <w:sz w:val="22"/>
          <w:szCs w:val="22"/>
          <w:lang w:val="sr-Latn-ME"/>
        </w:rPr>
        <w:t>ij</w:t>
      </w:r>
      <w:r w:rsidRPr="00801AFD">
        <w:rPr>
          <w:sz w:val="22"/>
          <w:szCs w:val="22"/>
          <w:lang w:val="sr-Latn-ME"/>
        </w:rPr>
        <w:t>ečenja sa PE</w:t>
      </w:r>
      <w:r w:rsidR="005559D6" w:rsidRPr="00801AFD">
        <w:rPr>
          <w:sz w:val="22"/>
          <w:szCs w:val="22"/>
          <w:lang w:val="sr-Latn-ME"/>
        </w:rPr>
        <w:t>-om</w:t>
      </w:r>
      <w:r w:rsidRPr="00801AFD">
        <w:rPr>
          <w:sz w:val="22"/>
          <w:szCs w:val="22"/>
          <w:lang w:val="sr-Latn-ME"/>
        </w:rPr>
        <w:t>, PP</w:t>
      </w:r>
      <w:r w:rsidR="005559D6" w:rsidRPr="00801AFD">
        <w:rPr>
          <w:sz w:val="22"/>
          <w:szCs w:val="22"/>
          <w:lang w:val="sr-Latn-ME"/>
        </w:rPr>
        <w:t xml:space="preserve">-om </w:t>
      </w:r>
      <w:r w:rsidRPr="00801AFD">
        <w:rPr>
          <w:sz w:val="22"/>
          <w:szCs w:val="22"/>
          <w:lang w:val="sr-Latn-ME"/>
        </w:rPr>
        <w:t xml:space="preserve"> ili </w:t>
      </w:r>
      <w:r w:rsidR="005559D6" w:rsidRPr="00801AFD">
        <w:rPr>
          <w:sz w:val="22"/>
          <w:szCs w:val="22"/>
          <w:lang w:val="sr-Latn-ME"/>
        </w:rPr>
        <w:t xml:space="preserve">primjenom </w:t>
      </w:r>
      <w:r w:rsidRPr="00801AFD">
        <w:rPr>
          <w:sz w:val="22"/>
          <w:szCs w:val="22"/>
          <w:lang w:val="sr-Latn-ME"/>
        </w:rPr>
        <w:t>IVIg.</w:t>
      </w:r>
    </w:p>
    <w:p w14:paraId="00B242BA" w14:textId="77777777" w:rsidR="0072020E" w:rsidRPr="00801AFD" w:rsidRDefault="0072020E" w:rsidP="00801AFD">
      <w:pPr>
        <w:widowControl w:val="0"/>
        <w:tabs>
          <w:tab w:val="left" w:pos="540"/>
          <w:tab w:val="left" w:pos="569"/>
        </w:tabs>
        <w:jc w:val="both"/>
        <w:rPr>
          <w:bCs/>
          <w:sz w:val="22"/>
          <w:szCs w:val="22"/>
          <w:lang w:val="sr-Latn-ME"/>
        </w:rPr>
      </w:pPr>
    </w:p>
    <w:p w14:paraId="51B68853" w14:textId="507695D6" w:rsidR="0072020E" w:rsidRPr="00801AFD" w:rsidRDefault="0072020E" w:rsidP="00801AFD">
      <w:pPr>
        <w:widowControl w:val="0"/>
        <w:tabs>
          <w:tab w:val="left" w:pos="540"/>
          <w:tab w:val="left" w:pos="569"/>
        </w:tabs>
        <w:jc w:val="both"/>
        <w:rPr>
          <w:b/>
          <w:sz w:val="22"/>
          <w:szCs w:val="22"/>
          <w:lang w:val="sr-Latn-ME"/>
        </w:rPr>
      </w:pPr>
      <w:r w:rsidRPr="00801AFD">
        <w:rPr>
          <w:b/>
          <w:bCs/>
          <w:sz w:val="22"/>
          <w:szCs w:val="22"/>
          <w:lang w:val="sr-Latn-ME"/>
        </w:rPr>
        <w:t xml:space="preserve">4.6. </w:t>
      </w:r>
      <w:r w:rsidR="00480FB1" w:rsidRPr="00801AFD">
        <w:rPr>
          <w:b/>
          <w:bCs/>
          <w:sz w:val="22"/>
          <w:szCs w:val="22"/>
          <w:lang w:val="sr-Latn-ME"/>
        </w:rPr>
        <w:tab/>
      </w:r>
      <w:r w:rsidR="006D20A5" w:rsidRPr="00801AFD">
        <w:rPr>
          <w:b/>
          <w:sz w:val="22"/>
          <w:szCs w:val="22"/>
          <w:lang w:val="sr-Latn-ME"/>
        </w:rPr>
        <w:t>Plodnost, trudnoća i dojenje</w:t>
      </w:r>
    </w:p>
    <w:p w14:paraId="705F1C8A" w14:textId="0BD6C642" w:rsidR="00BE275D" w:rsidRPr="00801AFD" w:rsidRDefault="00BE275D" w:rsidP="00801AFD">
      <w:pPr>
        <w:widowControl w:val="0"/>
        <w:tabs>
          <w:tab w:val="left" w:pos="540"/>
          <w:tab w:val="left" w:pos="569"/>
        </w:tabs>
        <w:jc w:val="both"/>
        <w:rPr>
          <w:b/>
          <w:sz w:val="22"/>
          <w:szCs w:val="22"/>
          <w:lang w:val="sr-Latn-ME"/>
        </w:rPr>
      </w:pPr>
    </w:p>
    <w:p w14:paraId="632D7D92" w14:textId="77777777" w:rsidR="00BE275D" w:rsidRPr="00801AFD" w:rsidRDefault="00BE275D" w:rsidP="00801AFD">
      <w:pPr>
        <w:widowControl w:val="0"/>
        <w:jc w:val="both"/>
        <w:rPr>
          <w:color w:val="000000"/>
          <w:sz w:val="22"/>
          <w:szCs w:val="22"/>
          <w:u w:val="single"/>
          <w:lang w:val="sr-Latn-ME"/>
        </w:rPr>
      </w:pPr>
      <w:r w:rsidRPr="00801AFD">
        <w:rPr>
          <w:color w:val="000000"/>
          <w:sz w:val="22"/>
          <w:szCs w:val="22"/>
          <w:u w:val="single"/>
          <w:lang w:val="sr-Latn-ME"/>
        </w:rPr>
        <w:t>Žene u reproduktivnom periodu</w:t>
      </w:r>
    </w:p>
    <w:p w14:paraId="633722D4" w14:textId="77777777" w:rsidR="00BE275D" w:rsidRPr="00801AFD" w:rsidRDefault="00BE275D" w:rsidP="00801AFD">
      <w:pPr>
        <w:widowControl w:val="0"/>
        <w:jc w:val="both"/>
        <w:rPr>
          <w:color w:val="000000"/>
          <w:sz w:val="22"/>
          <w:szCs w:val="22"/>
          <w:lang w:val="sr-Latn-ME"/>
        </w:rPr>
      </w:pPr>
      <w:r w:rsidRPr="00801AFD">
        <w:rPr>
          <w:color w:val="000000"/>
          <w:sz w:val="22"/>
          <w:szCs w:val="22"/>
          <w:lang w:val="sr-Latn-ME"/>
        </w:rPr>
        <w:t>Žene u reproduktivnom periodu treba da koriste efikasnu kontracepciju tokom liječenja i do 8 mjeseci nakon liječenja ovim lijekom.</w:t>
      </w:r>
    </w:p>
    <w:p w14:paraId="498089A6" w14:textId="77777777" w:rsidR="00BE275D" w:rsidRPr="00801AFD" w:rsidRDefault="00BE275D" w:rsidP="00801AFD">
      <w:pPr>
        <w:widowControl w:val="0"/>
        <w:tabs>
          <w:tab w:val="left" w:pos="540"/>
          <w:tab w:val="left" w:pos="569"/>
        </w:tabs>
        <w:jc w:val="both"/>
        <w:rPr>
          <w:b/>
          <w:sz w:val="22"/>
          <w:szCs w:val="22"/>
          <w:lang w:val="sr-Latn-ME"/>
        </w:rPr>
      </w:pPr>
    </w:p>
    <w:p w14:paraId="18EB23A7" w14:textId="39DAFB2F" w:rsidR="002031B3" w:rsidRPr="00801AFD" w:rsidRDefault="002031B3" w:rsidP="00801AFD">
      <w:pPr>
        <w:widowControl w:val="0"/>
        <w:tabs>
          <w:tab w:val="left" w:pos="540"/>
          <w:tab w:val="left" w:pos="569"/>
        </w:tabs>
        <w:jc w:val="both"/>
        <w:rPr>
          <w:sz w:val="22"/>
          <w:szCs w:val="22"/>
          <w:u w:val="single"/>
          <w:lang w:val="sr-Latn-ME"/>
        </w:rPr>
      </w:pPr>
      <w:r w:rsidRPr="00801AFD">
        <w:rPr>
          <w:sz w:val="22"/>
          <w:szCs w:val="22"/>
          <w:u w:val="single"/>
          <w:lang w:val="sr-Latn-ME"/>
        </w:rPr>
        <w:t>Plodnost</w:t>
      </w:r>
    </w:p>
    <w:p w14:paraId="3FED874C" w14:textId="77777777" w:rsidR="00BE275D" w:rsidRPr="00801AFD" w:rsidRDefault="00BE275D" w:rsidP="00801AFD">
      <w:pPr>
        <w:widowControl w:val="0"/>
        <w:jc w:val="both"/>
        <w:rPr>
          <w:color w:val="000000"/>
          <w:sz w:val="22"/>
          <w:szCs w:val="22"/>
          <w:lang w:val="sr-Latn-ME"/>
        </w:rPr>
      </w:pPr>
      <w:r w:rsidRPr="00801AFD">
        <w:rPr>
          <w:color w:val="000000"/>
          <w:sz w:val="22"/>
          <w:szCs w:val="22"/>
          <w:lang w:val="sr-Latn-ME"/>
        </w:rPr>
        <w:t>Nijesu sprovedene posebne nekliničke studije o uticaju ravulizumaba na plodnost.</w:t>
      </w:r>
    </w:p>
    <w:p w14:paraId="166C38A4" w14:textId="77777777" w:rsidR="00BE275D" w:rsidRPr="00801AFD" w:rsidRDefault="00BE275D" w:rsidP="00801AFD">
      <w:pPr>
        <w:widowControl w:val="0"/>
        <w:jc w:val="both"/>
        <w:rPr>
          <w:color w:val="000000"/>
          <w:sz w:val="22"/>
          <w:szCs w:val="22"/>
          <w:lang w:val="sr-Latn-ME"/>
        </w:rPr>
      </w:pPr>
      <w:r w:rsidRPr="00801AFD">
        <w:rPr>
          <w:color w:val="000000"/>
          <w:sz w:val="22"/>
          <w:szCs w:val="22"/>
          <w:lang w:val="sr-Latn-ME"/>
        </w:rPr>
        <w:t>Nekliničke studije o reproduktivnoj toksičnosti sprovedene na miševima primjenom surogat molekula miša (BB5.1) nijesu pokazale negativan uticaj na plodnost kod liječenih ženki ili mužjaka.</w:t>
      </w:r>
    </w:p>
    <w:p w14:paraId="0FC36C47" w14:textId="77777777" w:rsidR="002031B3" w:rsidRPr="00801AFD" w:rsidRDefault="002031B3" w:rsidP="00801AFD">
      <w:pPr>
        <w:widowControl w:val="0"/>
        <w:tabs>
          <w:tab w:val="left" w:pos="540"/>
          <w:tab w:val="left" w:pos="569"/>
        </w:tabs>
        <w:jc w:val="both"/>
        <w:rPr>
          <w:sz w:val="22"/>
          <w:szCs w:val="22"/>
          <w:u w:val="single"/>
          <w:lang w:val="sr-Latn-ME"/>
        </w:rPr>
      </w:pPr>
    </w:p>
    <w:p w14:paraId="571D9285" w14:textId="77777777" w:rsidR="007A3ECB" w:rsidRPr="00801AFD" w:rsidRDefault="007A3ECB" w:rsidP="00801AFD">
      <w:pPr>
        <w:widowControl w:val="0"/>
        <w:tabs>
          <w:tab w:val="left" w:pos="540"/>
          <w:tab w:val="left" w:pos="569"/>
        </w:tabs>
        <w:jc w:val="both"/>
        <w:rPr>
          <w:sz w:val="22"/>
          <w:szCs w:val="22"/>
          <w:u w:val="single"/>
          <w:lang w:val="sr-Latn-ME"/>
        </w:rPr>
      </w:pPr>
      <w:r w:rsidRPr="00801AFD">
        <w:rPr>
          <w:sz w:val="22"/>
          <w:szCs w:val="22"/>
          <w:u w:val="single"/>
          <w:lang w:val="sr-Latn-ME"/>
        </w:rPr>
        <w:t>Trudnoća</w:t>
      </w:r>
    </w:p>
    <w:p w14:paraId="332F3B03" w14:textId="77777777" w:rsidR="00BE275D" w:rsidRPr="00801AFD" w:rsidRDefault="00BE275D" w:rsidP="00801AFD">
      <w:pPr>
        <w:widowControl w:val="0"/>
        <w:jc w:val="both"/>
        <w:rPr>
          <w:color w:val="000000"/>
          <w:sz w:val="22"/>
          <w:szCs w:val="22"/>
          <w:lang w:val="sr-Latn-ME"/>
        </w:rPr>
      </w:pPr>
      <w:r w:rsidRPr="00801AFD">
        <w:rPr>
          <w:color w:val="000000"/>
          <w:sz w:val="22"/>
          <w:szCs w:val="22"/>
          <w:lang w:val="sr-Latn-ME"/>
        </w:rPr>
        <w:t>Nema kliničkih podataka o upotrebi ravulizumaba kod trudnica.</w:t>
      </w:r>
    </w:p>
    <w:p w14:paraId="35F7B2CA" w14:textId="6BBEE0AA" w:rsidR="00BE275D" w:rsidRPr="00801AFD" w:rsidRDefault="00BE275D" w:rsidP="00801AFD">
      <w:pPr>
        <w:widowControl w:val="0"/>
        <w:jc w:val="both"/>
        <w:rPr>
          <w:color w:val="000000"/>
          <w:sz w:val="22"/>
          <w:szCs w:val="22"/>
          <w:lang w:val="sr-Latn-ME"/>
        </w:rPr>
      </w:pPr>
      <w:r w:rsidRPr="00801AFD">
        <w:rPr>
          <w:color w:val="000000"/>
          <w:sz w:val="22"/>
          <w:szCs w:val="22"/>
          <w:lang w:val="sr-Latn-ME"/>
        </w:rPr>
        <w:t xml:space="preserve">Nekliničke studije o reproduktivnoj toksičnosti sa ravulizumabom nijesu rađene (vidjeti dio 5.3). Studije reproduktivne toksičnosti su sprovedene na miševima primjenom mišjeg surogat molekula BB5.1 i procjenjivale su efekat blokade C5 na reproduktivni sistem. U ovim studijama nije utvrđena specifična reproduktivna toksičnost povezana sa ispitivanim lijekom. Poznato je da ljudski </w:t>
      </w:r>
      <w:r w:rsidR="00E17168" w:rsidRPr="00801AFD">
        <w:rPr>
          <w:color w:val="000000"/>
          <w:sz w:val="22"/>
          <w:szCs w:val="22"/>
          <w:lang w:val="sr-Latn-ME"/>
        </w:rPr>
        <w:t>imunoglobulin</w:t>
      </w:r>
      <w:r w:rsidR="00270781" w:rsidRPr="00801AFD">
        <w:rPr>
          <w:color w:val="000000"/>
          <w:sz w:val="22"/>
          <w:szCs w:val="22"/>
          <w:lang w:val="sr-Latn-ME"/>
        </w:rPr>
        <w:t xml:space="preserve"> G</w:t>
      </w:r>
      <w:r w:rsidR="00E17168" w:rsidRPr="00801AFD">
        <w:rPr>
          <w:color w:val="000000"/>
          <w:sz w:val="22"/>
          <w:szCs w:val="22"/>
          <w:lang w:val="sr-Latn-ME"/>
        </w:rPr>
        <w:t xml:space="preserve"> (IgG) </w:t>
      </w:r>
      <w:r w:rsidRPr="00801AFD">
        <w:rPr>
          <w:color w:val="000000"/>
          <w:sz w:val="22"/>
          <w:szCs w:val="22"/>
          <w:lang w:val="sr-Latn-ME"/>
        </w:rPr>
        <w:t>prolaze kroz ljudsku placentu i stoga ravulizumab potencijalno može da izazove inhibiciju konačne aktivacije sistema komplementa u fetalnoj cirkulaciji.</w:t>
      </w:r>
    </w:p>
    <w:p w14:paraId="7A92BAE8" w14:textId="75486563" w:rsidR="00BE275D" w:rsidRPr="00801AFD" w:rsidRDefault="00BE275D" w:rsidP="00801AFD">
      <w:pPr>
        <w:widowControl w:val="0"/>
        <w:jc w:val="both"/>
        <w:rPr>
          <w:color w:val="000000"/>
          <w:sz w:val="22"/>
          <w:szCs w:val="22"/>
          <w:lang w:val="sr-Latn-ME"/>
        </w:rPr>
      </w:pPr>
      <w:r w:rsidRPr="00801AFD">
        <w:rPr>
          <w:color w:val="000000"/>
          <w:sz w:val="22"/>
          <w:szCs w:val="22"/>
          <w:lang w:val="sr-Latn-ME"/>
        </w:rPr>
        <w:t>Studije na životinjama nijesu dovoljne da bi se donio konačan zaključak o reproduktivnoj toksičnosti (vidjeti dio 5.3).</w:t>
      </w:r>
    </w:p>
    <w:p w14:paraId="6A195A14" w14:textId="5DB893E1" w:rsidR="00BE275D" w:rsidRPr="00801AFD" w:rsidRDefault="00BE275D" w:rsidP="00801AFD">
      <w:pPr>
        <w:widowControl w:val="0"/>
        <w:jc w:val="both"/>
        <w:rPr>
          <w:color w:val="000000"/>
          <w:sz w:val="22"/>
          <w:szCs w:val="22"/>
          <w:lang w:val="sr-Latn-ME"/>
        </w:rPr>
      </w:pPr>
      <w:r w:rsidRPr="00801AFD">
        <w:rPr>
          <w:color w:val="000000"/>
          <w:sz w:val="22"/>
          <w:szCs w:val="22"/>
          <w:lang w:val="sr-Latn-ME"/>
        </w:rPr>
        <w:t>Upotreba ravulizumaba kod trudnica može se razmotriti nakon proc</w:t>
      </w:r>
      <w:r w:rsidR="00A30593" w:rsidRPr="00801AFD">
        <w:rPr>
          <w:color w:val="000000"/>
          <w:sz w:val="22"/>
          <w:szCs w:val="22"/>
          <w:lang w:val="sr-Latn-ME"/>
        </w:rPr>
        <w:t>j</w:t>
      </w:r>
      <w:r w:rsidRPr="00801AFD">
        <w:rPr>
          <w:color w:val="000000"/>
          <w:sz w:val="22"/>
          <w:szCs w:val="22"/>
          <w:lang w:val="sr-Latn-ME"/>
        </w:rPr>
        <w:t>ene rizika i koristi.</w:t>
      </w:r>
    </w:p>
    <w:p w14:paraId="248AD109" w14:textId="77777777" w:rsidR="002031B3" w:rsidRPr="00801AFD" w:rsidRDefault="002031B3" w:rsidP="00801AFD">
      <w:pPr>
        <w:widowControl w:val="0"/>
        <w:tabs>
          <w:tab w:val="left" w:pos="540"/>
          <w:tab w:val="left" w:pos="569"/>
        </w:tabs>
        <w:jc w:val="both"/>
        <w:rPr>
          <w:sz w:val="22"/>
          <w:szCs w:val="22"/>
          <w:u w:val="single"/>
          <w:lang w:val="sr-Latn-ME"/>
        </w:rPr>
      </w:pPr>
    </w:p>
    <w:p w14:paraId="4EFFCF9A" w14:textId="77777777" w:rsidR="00BE275D" w:rsidRPr="00801AFD" w:rsidRDefault="007A3ECB" w:rsidP="00801AFD">
      <w:pPr>
        <w:widowControl w:val="0"/>
        <w:tabs>
          <w:tab w:val="left" w:pos="540"/>
          <w:tab w:val="left" w:pos="569"/>
        </w:tabs>
        <w:jc w:val="both"/>
        <w:rPr>
          <w:sz w:val="22"/>
          <w:szCs w:val="22"/>
          <w:u w:val="single"/>
          <w:lang w:val="sr-Latn-ME"/>
        </w:rPr>
      </w:pPr>
      <w:r w:rsidRPr="00801AFD">
        <w:rPr>
          <w:sz w:val="22"/>
          <w:szCs w:val="22"/>
          <w:u w:val="single"/>
          <w:lang w:val="sr-Latn-ME"/>
        </w:rPr>
        <w:t>Dojenje</w:t>
      </w:r>
    </w:p>
    <w:p w14:paraId="46CC34A4" w14:textId="77777777" w:rsidR="00BE275D" w:rsidRPr="00801AFD" w:rsidRDefault="00BE275D" w:rsidP="00801AFD">
      <w:pPr>
        <w:widowControl w:val="0"/>
        <w:jc w:val="both"/>
        <w:rPr>
          <w:color w:val="000000"/>
          <w:sz w:val="22"/>
          <w:szCs w:val="22"/>
          <w:lang w:val="sr-Latn-ME"/>
        </w:rPr>
      </w:pPr>
      <w:r w:rsidRPr="00801AFD">
        <w:rPr>
          <w:color w:val="000000"/>
          <w:sz w:val="22"/>
          <w:szCs w:val="22"/>
          <w:lang w:val="sr-Latn-ME"/>
        </w:rPr>
        <w:t>Nije poznato da li se ravulizumab izlučuje u majčino mlijeko. Nekliničke studije o reproduktivnoj toksičnosti sprovedene na miševima primjenom mišjeg surogat molekula BB5.1 pokazale su da unos mlijeka tretiranih ženki nije imao štetan efekat na potomstvo.</w:t>
      </w:r>
    </w:p>
    <w:p w14:paraId="230C4E6C" w14:textId="77777777" w:rsidR="00BE275D" w:rsidRPr="00801AFD" w:rsidRDefault="00BE275D" w:rsidP="00801AFD">
      <w:pPr>
        <w:widowControl w:val="0"/>
        <w:jc w:val="both"/>
        <w:rPr>
          <w:color w:val="000000"/>
          <w:sz w:val="22"/>
          <w:szCs w:val="22"/>
          <w:lang w:val="sr-Latn-ME"/>
        </w:rPr>
      </w:pPr>
    </w:p>
    <w:p w14:paraId="2A294CB8" w14:textId="77777777" w:rsidR="00BE275D" w:rsidRPr="00801AFD" w:rsidRDefault="00BE275D" w:rsidP="00801AFD">
      <w:pPr>
        <w:widowControl w:val="0"/>
        <w:jc w:val="both"/>
        <w:rPr>
          <w:color w:val="000000"/>
          <w:sz w:val="22"/>
          <w:szCs w:val="22"/>
          <w:lang w:val="sr-Latn-ME"/>
        </w:rPr>
      </w:pPr>
      <w:r w:rsidRPr="00801AFD">
        <w:rPr>
          <w:color w:val="000000"/>
          <w:sz w:val="22"/>
          <w:szCs w:val="22"/>
          <w:lang w:val="sr-Latn-ME"/>
        </w:rPr>
        <w:t>Ne može se isključiti rizik za novorođenče.</w:t>
      </w:r>
    </w:p>
    <w:p w14:paraId="21B2E1EC" w14:textId="1AD41185" w:rsidR="00BD16A7" w:rsidRDefault="00BE275D" w:rsidP="00801AFD">
      <w:pPr>
        <w:widowControl w:val="0"/>
        <w:jc w:val="both"/>
        <w:rPr>
          <w:color w:val="000000"/>
          <w:sz w:val="22"/>
          <w:szCs w:val="22"/>
          <w:lang w:val="sr-Latn-ME"/>
        </w:rPr>
      </w:pPr>
      <w:r w:rsidRPr="00801AFD">
        <w:rPr>
          <w:color w:val="000000"/>
          <w:sz w:val="22"/>
          <w:szCs w:val="22"/>
          <w:lang w:val="sr-Latn-ME"/>
        </w:rPr>
        <w:t>Budući da se mnogi ljekovi i imunoglobulini izlučuju u majčino mlijeko i zbog mogućeg razvoja ozbiljnih neželjenih reakcija kod novorođenčadi, dojenje treba prekinuti tokom liječenja ravulizumabom i do 8 mjeseci nakon toga.</w:t>
      </w:r>
    </w:p>
    <w:p w14:paraId="54B0D9F5" w14:textId="77777777" w:rsidR="00801AFD" w:rsidRPr="00801AFD" w:rsidRDefault="00801AFD" w:rsidP="00801AFD">
      <w:pPr>
        <w:widowControl w:val="0"/>
        <w:jc w:val="both"/>
        <w:rPr>
          <w:b/>
          <w:bCs/>
          <w:sz w:val="22"/>
          <w:szCs w:val="22"/>
          <w:lang w:val="sr-Latn-ME"/>
        </w:rPr>
      </w:pPr>
    </w:p>
    <w:p w14:paraId="6691E37D" w14:textId="630085A9" w:rsidR="0072020E" w:rsidRPr="00801AFD" w:rsidRDefault="0072020E" w:rsidP="00801AFD">
      <w:pPr>
        <w:widowControl w:val="0"/>
        <w:tabs>
          <w:tab w:val="left" w:pos="540"/>
          <w:tab w:val="left" w:pos="569"/>
        </w:tabs>
        <w:ind w:left="540" w:hanging="540"/>
        <w:jc w:val="both"/>
        <w:rPr>
          <w:b/>
          <w:bCs/>
          <w:sz w:val="22"/>
          <w:szCs w:val="22"/>
          <w:lang w:val="sr-Latn-ME"/>
        </w:rPr>
      </w:pPr>
      <w:r w:rsidRPr="00801AFD">
        <w:rPr>
          <w:b/>
          <w:bCs/>
          <w:sz w:val="22"/>
          <w:szCs w:val="22"/>
          <w:lang w:val="sr-Latn-ME"/>
        </w:rPr>
        <w:t xml:space="preserve">4.7. </w:t>
      </w:r>
      <w:r w:rsidR="00480FB1" w:rsidRPr="00801AFD">
        <w:rPr>
          <w:b/>
          <w:bCs/>
          <w:sz w:val="22"/>
          <w:szCs w:val="22"/>
          <w:lang w:val="sr-Latn-ME"/>
        </w:rPr>
        <w:tab/>
      </w:r>
      <w:r w:rsidRPr="00801AFD">
        <w:rPr>
          <w:b/>
          <w:bCs/>
          <w:sz w:val="22"/>
          <w:szCs w:val="22"/>
          <w:lang w:val="sr-Latn-ME"/>
        </w:rPr>
        <w:t xml:space="preserve">Uticaj na </w:t>
      </w:r>
      <w:r w:rsidR="002031B3" w:rsidRPr="00801AFD">
        <w:rPr>
          <w:b/>
          <w:bCs/>
          <w:sz w:val="22"/>
          <w:szCs w:val="22"/>
          <w:lang w:val="sr-Latn-ME"/>
        </w:rPr>
        <w:t xml:space="preserve">sposobnost </w:t>
      </w:r>
      <w:r w:rsidR="00F34554" w:rsidRPr="00801AFD">
        <w:rPr>
          <w:b/>
          <w:bCs/>
          <w:sz w:val="22"/>
          <w:szCs w:val="22"/>
          <w:lang w:val="sr-Latn-ME"/>
        </w:rPr>
        <w:t>upravljanja vozili</w:t>
      </w:r>
      <w:r w:rsidRPr="00801AFD">
        <w:rPr>
          <w:b/>
          <w:bCs/>
          <w:sz w:val="22"/>
          <w:szCs w:val="22"/>
          <w:lang w:val="sr-Latn-ME"/>
        </w:rPr>
        <w:t>m</w:t>
      </w:r>
      <w:r w:rsidR="00F34554" w:rsidRPr="00801AFD">
        <w:rPr>
          <w:b/>
          <w:bCs/>
          <w:sz w:val="22"/>
          <w:szCs w:val="22"/>
          <w:lang w:val="sr-Latn-ME"/>
        </w:rPr>
        <w:t>a</w:t>
      </w:r>
      <w:r w:rsidRPr="00801AFD">
        <w:rPr>
          <w:b/>
          <w:bCs/>
          <w:sz w:val="22"/>
          <w:szCs w:val="22"/>
          <w:lang w:val="sr-Latn-ME"/>
        </w:rPr>
        <w:t xml:space="preserve"> i </w:t>
      </w:r>
      <w:r w:rsidR="000D3449" w:rsidRPr="00801AFD">
        <w:rPr>
          <w:b/>
          <w:bCs/>
          <w:sz w:val="22"/>
          <w:szCs w:val="22"/>
          <w:lang w:val="sr-Latn-ME"/>
        </w:rPr>
        <w:t xml:space="preserve">rukovanje </w:t>
      </w:r>
      <w:r w:rsidRPr="00801AFD">
        <w:rPr>
          <w:b/>
          <w:bCs/>
          <w:sz w:val="22"/>
          <w:szCs w:val="22"/>
          <w:lang w:val="sr-Latn-ME"/>
        </w:rPr>
        <w:t>mašinama</w:t>
      </w:r>
    </w:p>
    <w:p w14:paraId="26147F49" w14:textId="7B63D3A8" w:rsidR="006F6043" w:rsidRPr="00801AFD" w:rsidRDefault="006F6043" w:rsidP="00801AFD">
      <w:pPr>
        <w:widowControl w:val="0"/>
        <w:tabs>
          <w:tab w:val="left" w:pos="540"/>
          <w:tab w:val="left" w:pos="569"/>
        </w:tabs>
        <w:ind w:left="540" w:hanging="540"/>
        <w:jc w:val="both"/>
        <w:rPr>
          <w:b/>
          <w:bCs/>
          <w:sz w:val="22"/>
          <w:szCs w:val="22"/>
          <w:lang w:val="sr-Latn-ME"/>
        </w:rPr>
      </w:pPr>
    </w:p>
    <w:p w14:paraId="3FBBC074" w14:textId="1571D52F" w:rsidR="006F6043" w:rsidRPr="00801AFD" w:rsidRDefault="006F6043" w:rsidP="00801AFD">
      <w:pPr>
        <w:widowControl w:val="0"/>
        <w:jc w:val="both"/>
        <w:rPr>
          <w:b/>
          <w:bCs/>
          <w:sz w:val="22"/>
          <w:szCs w:val="22"/>
          <w:lang w:val="sr-Latn-ME"/>
        </w:rPr>
      </w:pPr>
      <w:r w:rsidRPr="00801AFD">
        <w:rPr>
          <w:sz w:val="22"/>
          <w:szCs w:val="22"/>
          <w:lang w:val="sr-Latn-ME"/>
        </w:rPr>
        <w:t>Lijek Ultomiris nema ili ima zanemarljiv uticaj na sposobnost upravljanja vozilima i rukovanja mašinama.</w:t>
      </w:r>
    </w:p>
    <w:p w14:paraId="05D11A90" w14:textId="77777777" w:rsidR="0072020E" w:rsidRPr="00801AFD" w:rsidRDefault="0072020E" w:rsidP="00801AFD">
      <w:pPr>
        <w:widowControl w:val="0"/>
        <w:tabs>
          <w:tab w:val="left" w:pos="540"/>
          <w:tab w:val="left" w:pos="569"/>
        </w:tabs>
        <w:jc w:val="both"/>
        <w:rPr>
          <w:b/>
          <w:bCs/>
          <w:sz w:val="22"/>
          <w:szCs w:val="22"/>
          <w:lang w:val="sr-Latn-ME"/>
        </w:rPr>
      </w:pPr>
    </w:p>
    <w:p w14:paraId="41F4CC39" w14:textId="66AFF320" w:rsidR="0072020E" w:rsidRPr="00801AFD" w:rsidRDefault="0072020E" w:rsidP="00801AFD">
      <w:pPr>
        <w:widowControl w:val="0"/>
        <w:tabs>
          <w:tab w:val="left" w:pos="540"/>
          <w:tab w:val="left" w:pos="569"/>
        </w:tabs>
        <w:jc w:val="both"/>
        <w:rPr>
          <w:b/>
          <w:bCs/>
          <w:sz w:val="22"/>
          <w:szCs w:val="22"/>
          <w:lang w:val="sr-Latn-ME"/>
        </w:rPr>
      </w:pPr>
      <w:r w:rsidRPr="00801AFD">
        <w:rPr>
          <w:b/>
          <w:bCs/>
          <w:sz w:val="22"/>
          <w:szCs w:val="22"/>
          <w:lang w:val="sr-Latn-ME"/>
        </w:rPr>
        <w:t xml:space="preserve">4.8. </w:t>
      </w:r>
      <w:r w:rsidR="00480FB1" w:rsidRPr="00801AFD">
        <w:rPr>
          <w:b/>
          <w:bCs/>
          <w:sz w:val="22"/>
          <w:szCs w:val="22"/>
          <w:lang w:val="sr-Latn-ME"/>
        </w:rPr>
        <w:tab/>
      </w:r>
      <w:r w:rsidRPr="00801AFD">
        <w:rPr>
          <w:b/>
          <w:bCs/>
          <w:sz w:val="22"/>
          <w:szCs w:val="22"/>
          <w:lang w:val="sr-Latn-ME"/>
        </w:rPr>
        <w:t>Neželjena dejstva</w:t>
      </w:r>
    </w:p>
    <w:p w14:paraId="070EF9F4" w14:textId="6497CB9F" w:rsidR="006F6043" w:rsidRPr="00801AFD" w:rsidRDefault="006F6043" w:rsidP="00801AFD">
      <w:pPr>
        <w:widowControl w:val="0"/>
        <w:tabs>
          <w:tab w:val="left" w:pos="540"/>
          <w:tab w:val="left" w:pos="569"/>
        </w:tabs>
        <w:jc w:val="both"/>
        <w:rPr>
          <w:b/>
          <w:bCs/>
          <w:sz w:val="22"/>
          <w:szCs w:val="22"/>
          <w:lang w:val="sr-Latn-ME"/>
        </w:rPr>
      </w:pPr>
    </w:p>
    <w:p w14:paraId="6DF2366B" w14:textId="77777777" w:rsidR="006F6043" w:rsidRPr="00801AFD" w:rsidRDefault="006F6043" w:rsidP="00801AFD">
      <w:pPr>
        <w:pStyle w:val="Default"/>
        <w:widowControl w:val="0"/>
        <w:jc w:val="both"/>
        <w:rPr>
          <w:sz w:val="22"/>
          <w:szCs w:val="22"/>
          <w:u w:val="single"/>
          <w:lang w:val="sr-Latn-ME"/>
        </w:rPr>
      </w:pPr>
      <w:r w:rsidRPr="00801AFD">
        <w:rPr>
          <w:sz w:val="22"/>
          <w:szCs w:val="22"/>
          <w:u w:val="single"/>
          <w:lang w:val="sr-Latn-ME"/>
        </w:rPr>
        <w:t>Sažetak bezbjednosnog profila</w:t>
      </w:r>
    </w:p>
    <w:p w14:paraId="001EAB46" w14:textId="4CECE52C" w:rsidR="006F6043" w:rsidRPr="00801AFD" w:rsidRDefault="00AE5148" w:rsidP="00801AFD">
      <w:pPr>
        <w:pStyle w:val="Default"/>
        <w:widowControl w:val="0"/>
        <w:jc w:val="both"/>
        <w:rPr>
          <w:sz w:val="22"/>
          <w:szCs w:val="22"/>
          <w:lang w:val="sr-Latn-ME"/>
        </w:rPr>
      </w:pPr>
      <w:r w:rsidRPr="00801AFD">
        <w:rPr>
          <w:sz w:val="22"/>
          <w:szCs w:val="22"/>
          <w:lang w:val="sr-Latn-ME"/>
        </w:rPr>
        <w:t>Najčešće neželjene reakcije kod prim</w:t>
      </w:r>
      <w:r w:rsidR="00395981" w:rsidRPr="00801AFD">
        <w:rPr>
          <w:sz w:val="22"/>
          <w:szCs w:val="22"/>
          <w:lang w:val="sr-Latn-ME"/>
        </w:rPr>
        <w:t>j</w:t>
      </w:r>
      <w:r w:rsidRPr="00801AFD">
        <w:rPr>
          <w:sz w:val="22"/>
          <w:szCs w:val="22"/>
          <w:lang w:val="sr-Latn-ME"/>
        </w:rPr>
        <w:t>ene ravulizumaba (intravenske formulacije) su glavobolja (</w:t>
      </w:r>
      <w:r w:rsidR="00E17168" w:rsidRPr="00801AFD">
        <w:rPr>
          <w:sz w:val="22"/>
          <w:szCs w:val="22"/>
          <w:lang w:val="sr-Latn-ME"/>
        </w:rPr>
        <w:t>30</w:t>
      </w:r>
      <w:r w:rsidRPr="00801AFD">
        <w:rPr>
          <w:sz w:val="22"/>
          <w:szCs w:val="22"/>
          <w:lang w:val="sr-Latn-ME"/>
        </w:rPr>
        <w:t xml:space="preserve">%), </w:t>
      </w:r>
      <w:r w:rsidR="002637CB" w:rsidRPr="00801AFD">
        <w:rPr>
          <w:sz w:val="22"/>
          <w:szCs w:val="22"/>
          <w:lang w:val="sr-Latn-ME"/>
        </w:rPr>
        <w:t xml:space="preserve">infekcija gornjih disajnih puteva </w:t>
      </w:r>
      <w:r w:rsidRPr="00801AFD">
        <w:rPr>
          <w:sz w:val="22"/>
          <w:szCs w:val="22"/>
          <w:lang w:val="sr-Latn-ME"/>
        </w:rPr>
        <w:t>(</w:t>
      </w:r>
      <w:r w:rsidR="00E17168" w:rsidRPr="00801AFD">
        <w:rPr>
          <w:sz w:val="22"/>
          <w:szCs w:val="22"/>
          <w:lang w:val="sr-Latn-ME"/>
        </w:rPr>
        <w:t>21.1</w:t>
      </w:r>
      <w:r w:rsidRPr="00801AFD">
        <w:rPr>
          <w:sz w:val="22"/>
          <w:szCs w:val="22"/>
          <w:lang w:val="sr-Latn-ME"/>
        </w:rPr>
        <w:t xml:space="preserve">%), </w:t>
      </w:r>
      <w:r w:rsidR="002637CB" w:rsidRPr="00801AFD">
        <w:rPr>
          <w:sz w:val="22"/>
          <w:szCs w:val="22"/>
          <w:lang w:val="sr-Latn-ME"/>
        </w:rPr>
        <w:t>nazofaringitis</w:t>
      </w:r>
      <w:r w:rsidRPr="00801AFD">
        <w:rPr>
          <w:sz w:val="22"/>
          <w:szCs w:val="22"/>
          <w:lang w:val="sr-Latn-ME"/>
        </w:rPr>
        <w:t xml:space="preserve"> (</w:t>
      </w:r>
      <w:r w:rsidR="00E17168" w:rsidRPr="00801AFD">
        <w:rPr>
          <w:lang w:val="sr-Latn-ME"/>
        </w:rPr>
        <w:t>20.1</w:t>
      </w:r>
      <w:r w:rsidRPr="00801AFD">
        <w:rPr>
          <w:sz w:val="22"/>
          <w:szCs w:val="22"/>
          <w:lang w:val="sr-Latn-ME"/>
        </w:rPr>
        <w:t>%), proliv (</w:t>
      </w:r>
      <w:r w:rsidR="00E17168" w:rsidRPr="00801AFD">
        <w:rPr>
          <w:sz w:val="22"/>
          <w:szCs w:val="22"/>
          <w:lang w:val="sr-Latn-ME"/>
        </w:rPr>
        <w:t>18.1</w:t>
      </w:r>
      <w:r w:rsidRPr="00801AFD">
        <w:rPr>
          <w:sz w:val="22"/>
          <w:szCs w:val="22"/>
          <w:lang w:val="sr-Latn-ME"/>
        </w:rPr>
        <w:t>%), pireksija (</w:t>
      </w:r>
      <w:r w:rsidR="00E17168" w:rsidRPr="00801AFD">
        <w:rPr>
          <w:sz w:val="22"/>
          <w:szCs w:val="22"/>
          <w:lang w:val="sr-Latn-ME"/>
        </w:rPr>
        <w:t>17.6</w:t>
      </w:r>
      <w:r w:rsidRPr="00801AFD">
        <w:rPr>
          <w:sz w:val="22"/>
          <w:szCs w:val="22"/>
          <w:lang w:val="sr-Latn-ME"/>
        </w:rPr>
        <w:t>%), mučnina (</w:t>
      </w:r>
      <w:r w:rsidR="00E17168" w:rsidRPr="00801AFD">
        <w:rPr>
          <w:sz w:val="22"/>
          <w:szCs w:val="22"/>
          <w:lang w:val="sr-Latn-ME"/>
        </w:rPr>
        <w:t>14.6</w:t>
      </w:r>
      <w:r w:rsidRPr="00801AFD">
        <w:rPr>
          <w:sz w:val="22"/>
          <w:szCs w:val="22"/>
          <w:lang w:val="sr-Latn-ME"/>
        </w:rPr>
        <w:t>%), artralgija (</w:t>
      </w:r>
      <w:r w:rsidR="00E17168" w:rsidRPr="00801AFD">
        <w:rPr>
          <w:sz w:val="22"/>
          <w:szCs w:val="22"/>
          <w:lang w:val="sr-Latn-ME"/>
        </w:rPr>
        <w:t>14.1</w:t>
      </w:r>
      <w:r w:rsidRPr="00801AFD">
        <w:rPr>
          <w:sz w:val="22"/>
          <w:szCs w:val="22"/>
          <w:lang w:val="sr-Latn-ME"/>
        </w:rPr>
        <w:t>%), umor (</w:t>
      </w:r>
      <w:r w:rsidR="008D605F" w:rsidRPr="00801AFD">
        <w:rPr>
          <w:sz w:val="22"/>
          <w:szCs w:val="22"/>
          <w:lang w:val="sr-Latn-ME"/>
        </w:rPr>
        <w:t>13.1</w:t>
      </w:r>
      <w:r w:rsidRPr="00801AFD">
        <w:rPr>
          <w:sz w:val="22"/>
          <w:szCs w:val="22"/>
          <w:lang w:val="sr-Latn-ME"/>
        </w:rPr>
        <w:t>%), bol u leđima (</w:t>
      </w:r>
      <w:r w:rsidR="00E17168" w:rsidRPr="00801AFD">
        <w:rPr>
          <w:sz w:val="22"/>
          <w:szCs w:val="22"/>
          <w:lang w:val="sr-Latn-ME"/>
        </w:rPr>
        <w:t>13.5</w:t>
      </w:r>
      <w:r w:rsidRPr="00801AFD">
        <w:rPr>
          <w:sz w:val="22"/>
          <w:szCs w:val="22"/>
          <w:lang w:val="sr-Latn-ME"/>
        </w:rPr>
        <w:t>%)</w:t>
      </w:r>
      <w:r w:rsidR="008D605F" w:rsidRPr="00801AFD">
        <w:rPr>
          <w:sz w:val="22"/>
          <w:szCs w:val="22"/>
          <w:lang w:val="sr-Latn-ME"/>
        </w:rPr>
        <w:t>,</w:t>
      </w:r>
      <w:r w:rsidRPr="00801AFD">
        <w:rPr>
          <w:sz w:val="22"/>
          <w:szCs w:val="22"/>
          <w:lang w:val="sr-Latn-ME"/>
        </w:rPr>
        <w:t xml:space="preserve"> bol u abdomenu</w:t>
      </w:r>
      <w:r w:rsidR="008D605F" w:rsidRPr="00801AFD">
        <w:rPr>
          <w:sz w:val="22"/>
          <w:szCs w:val="22"/>
          <w:lang w:val="sr-Latn-ME"/>
        </w:rPr>
        <w:t xml:space="preserve"> </w:t>
      </w:r>
      <w:r w:rsidRPr="00801AFD">
        <w:rPr>
          <w:sz w:val="22"/>
          <w:szCs w:val="22"/>
          <w:lang w:val="sr-Latn-ME"/>
        </w:rPr>
        <w:t>(</w:t>
      </w:r>
      <w:r w:rsidR="00E17168" w:rsidRPr="00801AFD">
        <w:rPr>
          <w:sz w:val="22"/>
          <w:szCs w:val="22"/>
          <w:lang w:val="sr-Latn-ME"/>
        </w:rPr>
        <w:t>12.3</w:t>
      </w:r>
      <w:r w:rsidRPr="00801AFD">
        <w:rPr>
          <w:sz w:val="22"/>
          <w:szCs w:val="22"/>
          <w:lang w:val="sr-Latn-ME"/>
        </w:rPr>
        <w:t>%)</w:t>
      </w:r>
      <w:r w:rsidR="00E17168" w:rsidRPr="00801AFD">
        <w:rPr>
          <w:sz w:val="22"/>
          <w:szCs w:val="22"/>
          <w:lang w:val="sr-Latn-ME"/>
        </w:rPr>
        <w:t>,</w:t>
      </w:r>
      <w:r w:rsidR="008D605F" w:rsidRPr="00801AFD">
        <w:rPr>
          <w:sz w:val="22"/>
          <w:szCs w:val="22"/>
          <w:lang w:val="sr-Latn-ME"/>
        </w:rPr>
        <w:t xml:space="preserve"> v</w:t>
      </w:r>
      <w:r w:rsidR="002637CB" w:rsidRPr="00801AFD">
        <w:rPr>
          <w:sz w:val="22"/>
          <w:szCs w:val="22"/>
          <w:lang w:val="sr-Latn-ME"/>
        </w:rPr>
        <w:t>r</w:t>
      </w:r>
      <w:r w:rsidR="008D605F" w:rsidRPr="00801AFD">
        <w:rPr>
          <w:sz w:val="22"/>
          <w:szCs w:val="22"/>
          <w:lang w:val="sr-Latn-ME"/>
        </w:rPr>
        <w:t>toglavica (10.</w:t>
      </w:r>
      <w:r w:rsidR="00E17168" w:rsidRPr="00801AFD">
        <w:rPr>
          <w:sz w:val="22"/>
          <w:szCs w:val="22"/>
          <w:lang w:val="sr-Latn-ME"/>
        </w:rPr>
        <w:t>5</w:t>
      </w:r>
      <w:r w:rsidR="008D605F" w:rsidRPr="00801AFD">
        <w:rPr>
          <w:sz w:val="22"/>
          <w:szCs w:val="22"/>
          <w:lang w:val="sr-Latn-ME"/>
        </w:rPr>
        <w:t>%)</w:t>
      </w:r>
      <w:r w:rsidR="00E17168" w:rsidRPr="00801AFD">
        <w:rPr>
          <w:sz w:val="22"/>
          <w:szCs w:val="22"/>
          <w:lang w:val="sr-Latn-ME"/>
        </w:rPr>
        <w:t xml:space="preserve"> i infekcija urinarnog trakta (10.2%)</w:t>
      </w:r>
      <w:r w:rsidRPr="00801AFD">
        <w:rPr>
          <w:sz w:val="22"/>
          <w:szCs w:val="22"/>
          <w:lang w:val="sr-Latn-ME"/>
        </w:rPr>
        <w:t>. Najozbiljnije neželjene reakcije su meningokokna infekcija (0,</w:t>
      </w:r>
      <w:r w:rsidR="008D605F" w:rsidRPr="00801AFD">
        <w:rPr>
          <w:sz w:val="22"/>
          <w:szCs w:val="22"/>
          <w:lang w:val="sr-Latn-ME"/>
        </w:rPr>
        <w:t>7</w:t>
      </w:r>
      <w:r w:rsidRPr="00801AFD">
        <w:rPr>
          <w:sz w:val="22"/>
          <w:szCs w:val="22"/>
          <w:lang w:val="sr-Latn-ME"/>
        </w:rPr>
        <w:t>%) uključujući meningokoknu sepsu</w:t>
      </w:r>
      <w:r w:rsidR="008D605F" w:rsidRPr="00801AFD">
        <w:rPr>
          <w:sz w:val="22"/>
          <w:szCs w:val="22"/>
          <w:lang w:val="sr-Latn-ME"/>
        </w:rPr>
        <w:t>,</w:t>
      </w:r>
      <w:r w:rsidR="002637CB" w:rsidRPr="00801AFD">
        <w:rPr>
          <w:sz w:val="22"/>
          <w:szCs w:val="22"/>
          <w:lang w:val="sr-Latn-ME"/>
        </w:rPr>
        <w:t xml:space="preserve"> </w:t>
      </w:r>
      <w:r w:rsidRPr="00801AFD">
        <w:rPr>
          <w:sz w:val="22"/>
          <w:szCs w:val="22"/>
          <w:lang w:val="sr-Latn-ME"/>
        </w:rPr>
        <w:t>meningokokni encefalitis</w:t>
      </w:r>
      <w:r w:rsidR="008D605F" w:rsidRPr="00801AFD">
        <w:rPr>
          <w:sz w:val="22"/>
          <w:szCs w:val="22"/>
          <w:lang w:val="sr-Latn-ME"/>
        </w:rPr>
        <w:t>, meningokoknu infekciju</w:t>
      </w:r>
      <w:r w:rsidRPr="00801AFD">
        <w:rPr>
          <w:sz w:val="22"/>
          <w:szCs w:val="22"/>
          <w:lang w:val="sr-Latn-ME"/>
        </w:rPr>
        <w:t xml:space="preserve"> (vidjeti </w:t>
      </w:r>
      <w:r w:rsidR="002637CB" w:rsidRPr="00801AFD">
        <w:rPr>
          <w:sz w:val="22"/>
          <w:szCs w:val="22"/>
          <w:lang w:val="sr-Latn-ME"/>
        </w:rPr>
        <w:t xml:space="preserve">dio </w:t>
      </w:r>
      <w:r w:rsidRPr="00801AFD">
        <w:rPr>
          <w:sz w:val="22"/>
          <w:szCs w:val="22"/>
          <w:lang w:val="sr-Latn-ME"/>
        </w:rPr>
        <w:t>4.4)</w:t>
      </w:r>
      <w:r w:rsidR="008D605F" w:rsidRPr="00801AFD">
        <w:rPr>
          <w:sz w:val="22"/>
          <w:szCs w:val="22"/>
          <w:lang w:val="sr-Latn-ME"/>
        </w:rPr>
        <w:t xml:space="preserve"> i disemin</w:t>
      </w:r>
      <w:r w:rsidR="00F73C71" w:rsidRPr="00801AFD">
        <w:rPr>
          <w:sz w:val="22"/>
          <w:szCs w:val="22"/>
          <w:lang w:val="sr-Latn-ME"/>
        </w:rPr>
        <w:t>ov</w:t>
      </w:r>
      <w:r w:rsidR="008D605F" w:rsidRPr="00801AFD">
        <w:rPr>
          <w:sz w:val="22"/>
          <w:szCs w:val="22"/>
          <w:lang w:val="sr-Latn-ME"/>
        </w:rPr>
        <w:t>ana gonokokna infekcija (0,</w:t>
      </w:r>
      <w:r w:rsidR="00E17168" w:rsidRPr="00801AFD">
        <w:rPr>
          <w:sz w:val="22"/>
          <w:szCs w:val="22"/>
          <w:lang w:val="sr-Latn-ME"/>
        </w:rPr>
        <w:t>2</w:t>
      </w:r>
      <w:r w:rsidR="008D605F" w:rsidRPr="00801AFD">
        <w:rPr>
          <w:sz w:val="22"/>
          <w:szCs w:val="22"/>
          <w:lang w:val="sr-Latn-ME"/>
        </w:rPr>
        <w:t>%)</w:t>
      </w:r>
      <w:r w:rsidR="006F6043" w:rsidRPr="00801AFD">
        <w:rPr>
          <w:sz w:val="22"/>
          <w:szCs w:val="22"/>
          <w:lang w:val="sr-Latn-ME"/>
        </w:rPr>
        <w:t>.</w:t>
      </w:r>
    </w:p>
    <w:p w14:paraId="339D4E68" w14:textId="77777777" w:rsidR="006F6043" w:rsidRPr="00801AFD" w:rsidRDefault="006F6043" w:rsidP="00801AFD">
      <w:pPr>
        <w:pStyle w:val="Default"/>
        <w:widowControl w:val="0"/>
        <w:jc w:val="both"/>
        <w:rPr>
          <w:sz w:val="22"/>
          <w:szCs w:val="22"/>
          <w:lang w:val="sr-Latn-ME"/>
        </w:rPr>
      </w:pPr>
    </w:p>
    <w:p w14:paraId="34D5CB8B" w14:textId="77777777" w:rsidR="006F6043" w:rsidRPr="00801AFD" w:rsidRDefault="006F6043" w:rsidP="00801AFD">
      <w:pPr>
        <w:pStyle w:val="Default"/>
        <w:widowControl w:val="0"/>
        <w:jc w:val="both"/>
        <w:rPr>
          <w:sz w:val="22"/>
          <w:szCs w:val="22"/>
          <w:u w:val="single"/>
          <w:lang w:val="sr-Latn-ME"/>
        </w:rPr>
      </w:pPr>
      <w:r w:rsidRPr="00801AFD">
        <w:rPr>
          <w:sz w:val="22"/>
          <w:szCs w:val="22"/>
          <w:u w:val="single"/>
          <w:lang w:val="sr-Latn-ME"/>
        </w:rPr>
        <w:t>Tabelarni prikaz neželjenih reakcija</w:t>
      </w:r>
    </w:p>
    <w:p w14:paraId="08EE5A9B" w14:textId="01AB1F60" w:rsidR="006F6043" w:rsidRPr="00801AFD" w:rsidRDefault="006F6043" w:rsidP="00801AFD">
      <w:pPr>
        <w:pStyle w:val="Default"/>
        <w:widowControl w:val="0"/>
        <w:jc w:val="both"/>
        <w:rPr>
          <w:sz w:val="22"/>
          <w:szCs w:val="22"/>
          <w:lang w:val="sr-Latn-ME"/>
        </w:rPr>
      </w:pPr>
      <w:r w:rsidRPr="00801AFD">
        <w:rPr>
          <w:sz w:val="22"/>
          <w:szCs w:val="22"/>
          <w:lang w:val="sr-Latn-ME"/>
        </w:rPr>
        <w:t xml:space="preserve">Tabela </w:t>
      </w:r>
      <w:r w:rsidR="00AE5148" w:rsidRPr="00801AFD">
        <w:rPr>
          <w:sz w:val="22"/>
          <w:szCs w:val="22"/>
          <w:lang w:val="sr-Latn-ME"/>
        </w:rPr>
        <w:t xml:space="preserve">10 </w:t>
      </w:r>
      <w:r w:rsidRPr="00801AFD">
        <w:rPr>
          <w:sz w:val="22"/>
          <w:szCs w:val="22"/>
          <w:lang w:val="sr-Latn-ME"/>
        </w:rPr>
        <w:t xml:space="preserve">prikazuje neželjene reakcije uočene u kliničkim ispitivanjima </w:t>
      </w:r>
      <w:r w:rsidR="009D34B4" w:rsidRPr="00801AFD">
        <w:rPr>
          <w:sz w:val="22"/>
          <w:szCs w:val="22"/>
          <w:lang w:val="sr-Latn-ME"/>
        </w:rPr>
        <w:t>i iz postmarketinškog praćenja</w:t>
      </w:r>
      <w:r w:rsidR="00AE5148" w:rsidRPr="00801AFD">
        <w:rPr>
          <w:sz w:val="22"/>
          <w:szCs w:val="22"/>
          <w:lang w:val="sr-Latn-ME"/>
        </w:rPr>
        <w:t xml:space="preserve"> (intravenska formulacija).</w:t>
      </w:r>
    </w:p>
    <w:p w14:paraId="3B16AE3F" w14:textId="31C93D10" w:rsidR="006F6043" w:rsidRPr="00801AFD" w:rsidRDefault="006F6043" w:rsidP="00801AFD">
      <w:pPr>
        <w:pStyle w:val="Default"/>
        <w:widowControl w:val="0"/>
        <w:jc w:val="both"/>
        <w:rPr>
          <w:sz w:val="22"/>
          <w:szCs w:val="22"/>
          <w:lang w:val="sr-Latn-ME"/>
        </w:rPr>
      </w:pPr>
      <w:r w:rsidRPr="00801AFD">
        <w:rPr>
          <w:sz w:val="22"/>
          <w:szCs w:val="22"/>
          <w:lang w:val="sr-Latn-ME"/>
        </w:rPr>
        <w:t>Neželjene reakcije su navedene prema MedDRA klasama sistema organa i učestalosti na osnovu sljedeće konvencije: veoma čest</w:t>
      </w:r>
      <w:r w:rsidR="00F96090" w:rsidRPr="00801AFD">
        <w:rPr>
          <w:sz w:val="22"/>
          <w:szCs w:val="22"/>
          <w:lang w:val="sr-Latn-ME"/>
        </w:rPr>
        <w:t>o</w:t>
      </w:r>
      <w:r w:rsidRPr="00801AFD">
        <w:rPr>
          <w:sz w:val="22"/>
          <w:szCs w:val="22"/>
          <w:lang w:val="sr-Latn-ME"/>
        </w:rPr>
        <w:t xml:space="preserve"> (≥ 1/10); čest</w:t>
      </w:r>
      <w:r w:rsidR="00F96090" w:rsidRPr="00801AFD">
        <w:rPr>
          <w:sz w:val="22"/>
          <w:szCs w:val="22"/>
          <w:lang w:val="sr-Latn-ME"/>
        </w:rPr>
        <w:t>o</w:t>
      </w:r>
      <w:r w:rsidRPr="00801AFD">
        <w:rPr>
          <w:sz w:val="22"/>
          <w:szCs w:val="22"/>
          <w:lang w:val="sr-Latn-ME"/>
        </w:rPr>
        <w:t xml:space="preserve"> (≥ 1/100 i &lt;1/10); povremen</w:t>
      </w:r>
      <w:r w:rsidR="00F96090" w:rsidRPr="00801AFD">
        <w:rPr>
          <w:sz w:val="22"/>
          <w:szCs w:val="22"/>
          <w:lang w:val="sr-Latn-ME"/>
        </w:rPr>
        <w:t>o</w:t>
      </w:r>
      <w:r w:rsidRPr="00801AFD">
        <w:rPr>
          <w:sz w:val="22"/>
          <w:szCs w:val="22"/>
          <w:lang w:val="sr-Latn-ME"/>
        </w:rPr>
        <w:t xml:space="preserve"> (≥ 1/1000 i &lt;1/100); rijetk</w:t>
      </w:r>
      <w:r w:rsidR="00F96090" w:rsidRPr="00801AFD">
        <w:rPr>
          <w:sz w:val="22"/>
          <w:szCs w:val="22"/>
          <w:lang w:val="sr-Latn-ME"/>
        </w:rPr>
        <w:t>o</w:t>
      </w:r>
      <w:r w:rsidRPr="00801AFD">
        <w:rPr>
          <w:sz w:val="22"/>
          <w:szCs w:val="22"/>
          <w:lang w:val="sr-Latn-ME"/>
        </w:rPr>
        <w:t xml:space="preserve"> (≥ 1/10 000 i &lt;1/1 000); veoma rijetk</w:t>
      </w:r>
      <w:r w:rsidR="00F96090" w:rsidRPr="00801AFD">
        <w:rPr>
          <w:sz w:val="22"/>
          <w:szCs w:val="22"/>
          <w:lang w:val="sr-Latn-ME"/>
        </w:rPr>
        <w:t>o</w:t>
      </w:r>
      <w:r w:rsidRPr="00801AFD">
        <w:rPr>
          <w:sz w:val="22"/>
          <w:szCs w:val="22"/>
          <w:lang w:val="sr-Latn-ME"/>
        </w:rPr>
        <w:t xml:space="preserve"> (&lt;1/10 000); nepoznato (ne može se proc</w:t>
      </w:r>
      <w:r w:rsidR="00FF414C" w:rsidRPr="00801AFD">
        <w:rPr>
          <w:sz w:val="22"/>
          <w:szCs w:val="22"/>
          <w:lang w:val="sr-Latn-ME"/>
        </w:rPr>
        <w:t>ij</w:t>
      </w:r>
      <w:r w:rsidRPr="00801AFD">
        <w:rPr>
          <w:sz w:val="22"/>
          <w:szCs w:val="22"/>
          <w:lang w:val="sr-Latn-ME"/>
        </w:rPr>
        <w:t xml:space="preserve">eniti na osnovu </w:t>
      </w:r>
      <w:r w:rsidRPr="00801AFD">
        <w:rPr>
          <w:sz w:val="22"/>
          <w:szCs w:val="22"/>
          <w:lang w:val="sr-Latn-ME"/>
        </w:rPr>
        <w:lastRenderedPageBreak/>
        <w:t>dostupnih podataka).</w:t>
      </w:r>
    </w:p>
    <w:p w14:paraId="70277ABB" w14:textId="77777777" w:rsidR="006F6043" w:rsidRPr="00801AFD" w:rsidRDefault="006F6043" w:rsidP="00801AFD">
      <w:pPr>
        <w:pStyle w:val="Default"/>
        <w:widowControl w:val="0"/>
        <w:jc w:val="both"/>
        <w:rPr>
          <w:sz w:val="22"/>
          <w:szCs w:val="22"/>
          <w:lang w:val="sr-Latn-ME"/>
        </w:rPr>
      </w:pPr>
    </w:p>
    <w:p w14:paraId="359C3B97" w14:textId="189AB46A" w:rsidR="006F6043" w:rsidRPr="00801AFD" w:rsidRDefault="006F6043" w:rsidP="00801AFD">
      <w:pPr>
        <w:pStyle w:val="Default"/>
        <w:widowControl w:val="0"/>
        <w:jc w:val="both"/>
        <w:rPr>
          <w:sz w:val="22"/>
          <w:szCs w:val="22"/>
          <w:lang w:val="sr-Latn-ME"/>
        </w:rPr>
      </w:pPr>
      <w:r w:rsidRPr="00801AFD">
        <w:rPr>
          <w:sz w:val="22"/>
          <w:szCs w:val="22"/>
          <w:lang w:val="sr-Latn-ME"/>
        </w:rPr>
        <w:t xml:space="preserve">U okviru svake grupe učestalosti, neželjene reakcije su predstavljene </w:t>
      </w:r>
      <w:r w:rsidR="009D34B4" w:rsidRPr="00801AFD">
        <w:rPr>
          <w:sz w:val="22"/>
          <w:szCs w:val="22"/>
          <w:lang w:val="sr-Latn-ME"/>
        </w:rPr>
        <w:t>po opada</w:t>
      </w:r>
      <w:r w:rsidR="00FF414C" w:rsidRPr="00801AFD">
        <w:rPr>
          <w:sz w:val="22"/>
          <w:szCs w:val="22"/>
          <w:lang w:val="sr-Latn-ME"/>
        </w:rPr>
        <w:t>jućoj</w:t>
      </w:r>
      <w:r w:rsidR="009D34B4" w:rsidRPr="00801AFD">
        <w:rPr>
          <w:sz w:val="22"/>
          <w:szCs w:val="22"/>
          <w:lang w:val="sr-Latn-ME"/>
        </w:rPr>
        <w:t xml:space="preserve"> </w:t>
      </w:r>
      <w:r w:rsidR="00A84D65" w:rsidRPr="00801AFD">
        <w:rPr>
          <w:sz w:val="22"/>
          <w:szCs w:val="22"/>
          <w:lang w:val="sr-Latn-ME"/>
        </w:rPr>
        <w:t>ozbiljnosti reakcije</w:t>
      </w:r>
      <w:r w:rsidR="00E23684" w:rsidRPr="00801AFD">
        <w:rPr>
          <w:sz w:val="22"/>
          <w:szCs w:val="22"/>
          <w:lang w:val="sr-Latn-ME"/>
        </w:rPr>
        <w:t>.</w:t>
      </w:r>
    </w:p>
    <w:p w14:paraId="6B1130CA" w14:textId="7F6178E6" w:rsidR="00E23684" w:rsidRPr="00801AFD" w:rsidRDefault="00E23684" w:rsidP="00801AFD">
      <w:pPr>
        <w:pStyle w:val="Default"/>
        <w:widowControl w:val="0"/>
        <w:jc w:val="both"/>
        <w:rPr>
          <w:b/>
          <w:bCs/>
          <w:sz w:val="22"/>
          <w:szCs w:val="22"/>
          <w:lang w:val="sr-Latn-ME"/>
        </w:rPr>
      </w:pPr>
    </w:p>
    <w:p w14:paraId="75A76533" w14:textId="30862B85" w:rsidR="00A84D65" w:rsidRPr="00801AFD" w:rsidRDefault="006F6043" w:rsidP="00801AFD">
      <w:pPr>
        <w:pStyle w:val="Default"/>
        <w:widowControl w:val="0"/>
        <w:jc w:val="both"/>
        <w:rPr>
          <w:sz w:val="22"/>
          <w:szCs w:val="22"/>
          <w:lang w:val="sr-Latn-ME"/>
        </w:rPr>
      </w:pPr>
      <w:r w:rsidRPr="00801AFD">
        <w:rPr>
          <w:b/>
          <w:bCs/>
          <w:sz w:val="22"/>
          <w:szCs w:val="22"/>
          <w:lang w:val="sr-Latn-ME"/>
        </w:rPr>
        <w:t xml:space="preserve">Tabela </w:t>
      </w:r>
      <w:r w:rsidR="00F96090" w:rsidRPr="00801AFD">
        <w:rPr>
          <w:b/>
          <w:bCs/>
          <w:sz w:val="22"/>
          <w:szCs w:val="22"/>
          <w:lang w:val="sr-Latn-ME"/>
        </w:rPr>
        <w:t>10</w:t>
      </w:r>
      <w:r w:rsidRPr="00801AFD">
        <w:rPr>
          <w:b/>
          <w:bCs/>
          <w:sz w:val="22"/>
          <w:szCs w:val="22"/>
          <w:lang w:val="sr-Latn-ME"/>
        </w:rPr>
        <w:t>: Neželjene reakcije</w:t>
      </w:r>
      <w:r w:rsidR="00E17168" w:rsidRPr="00801AFD">
        <w:rPr>
          <w:b/>
          <w:bCs/>
          <w:sz w:val="22"/>
          <w:szCs w:val="22"/>
          <w:lang w:val="sr-Latn-ME"/>
        </w:rPr>
        <w:t xml:space="preserve"> na lijek</w:t>
      </w:r>
      <w:r w:rsidR="00A84D65" w:rsidRPr="00801AFD">
        <w:rPr>
          <w:b/>
          <w:bCs/>
          <w:sz w:val="22"/>
          <w:szCs w:val="22"/>
          <w:lang w:val="sr-Latn-ME"/>
        </w:rPr>
        <w:t xml:space="preserve"> </w:t>
      </w:r>
      <w:r w:rsidR="00A84D65" w:rsidRPr="00801AFD">
        <w:rPr>
          <w:b/>
          <w:bCs/>
          <w:color w:val="auto"/>
          <w:sz w:val="22"/>
          <w:szCs w:val="22"/>
          <w:lang w:val="sr-Latn-ME"/>
        </w:rPr>
        <w:t>iz kliničkih ispitivanja i postmarketinškog iskustva</w:t>
      </w:r>
    </w:p>
    <w:p w14:paraId="39C2FD70" w14:textId="77777777" w:rsidR="002D7031" w:rsidRPr="00801AFD" w:rsidRDefault="002D7031" w:rsidP="00801AFD">
      <w:pPr>
        <w:pStyle w:val="Default"/>
        <w:widowControl w:val="0"/>
        <w:jc w:val="both"/>
        <w:rPr>
          <w:sz w:val="22"/>
          <w:szCs w:val="22"/>
          <w:vertAlign w:val="superscript"/>
          <w:lang w:val="sr-Latn-ME"/>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12"/>
        <w:gridCol w:w="2374"/>
        <w:gridCol w:w="1921"/>
        <w:gridCol w:w="2250"/>
      </w:tblGrid>
      <w:tr w:rsidR="002D7031" w:rsidRPr="00801AFD" w14:paraId="1AD90F54" w14:textId="77777777" w:rsidTr="00961C31">
        <w:tc>
          <w:tcPr>
            <w:tcW w:w="0" w:type="auto"/>
          </w:tcPr>
          <w:p w14:paraId="1E260938" w14:textId="77777777" w:rsidR="002D7031" w:rsidRPr="00801AFD" w:rsidRDefault="002D7031" w:rsidP="00801AFD">
            <w:pPr>
              <w:widowControl w:val="0"/>
              <w:jc w:val="both"/>
              <w:rPr>
                <w:b/>
                <w:sz w:val="22"/>
                <w:szCs w:val="22"/>
                <w:lang w:val="sr-Latn-ME"/>
              </w:rPr>
            </w:pPr>
            <w:r w:rsidRPr="00801AFD">
              <w:rPr>
                <w:b/>
                <w:sz w:val="22"/>
                <w:szCs w:val="22"/>
                <w:lang w:val="sr-Latn-ME"/>
              </w:rPr>
              <w:t>MedDRA klasa Sistema organa</w:t>
            </w:r>
          </w:p>
        </w:tc>
        <w:tc>
          <w:tcPr>
            <w:tcW w:w="0" w:type="auto"/>
          </w:tcPr>
          <w:p w14:paraId="343C69B5" w14:textId="77777777" w:rsidR="002D7031" w:rsidRPr="00801AFD" w:rsidRDefault="002D7031" w:rsidP="00801AFD">
            <w:pPr>
              <w:widowControl w:val="0"/>
              <w:jc w:val="center"/>
              <w:rPr>
                <w:b/>
                <w:sz w:val="22"/>
                <w:szCs w:val="22"/>
                <w:lang w:val="sr-Latn-ME"/>
              </w:rPr>
            </w:pPr>
            <w:r w:rsidRPr="00801AFD">
              <w:rPr>
                <w:b/>
                <w:sz w:val="22"/>
                <w:szCs w:val="22"/>
                <w:lang w:val="sr-Latn-ME"/>
              </w:rPr>
              <w:t>Veoma često</w:t>
            </w:r>
          </w:p>
          <w:p w14:paraId="0CB01FB8" w14:textId="77777777" w:rsidR="002D7031" w:rsidRPr="00801AFD" w:rsidRDefault="002D7031" w:rsidP="00801AFD">
            <w:pPr>
              <w:widowControl w:val="0"/>
              <w:jc w:val="center"/>
              <w:rPr>
                <w:b/>
                <w:sz w:val="22"/>
                <w:szCs w:val="22"/>
                <w:lang w:val="sr-Latn-ME"/>
              </w:rPr>
            </w:pPr>
            <w:r w:rsidRPr="00801AFD">
              <w:rPr>
                <w:b/>
                <w:sz w:val="22"/>
                <w:szCs w:val="22"/>
                <w:lang w:val="sr-Latn-ME"/>
              </w:rPr>
              <w:t>(≥ 1/10)</w:t>
            </w:r>
          </w:p>
        </w:tc>
        <w:tc>
          <w:tcPr>
            <w:tcW w:w="0" w:type="auto"/>
          </w:tcPr>
          <w:p w14:paraId="5BBD9CF3" w14:textId="77777777" w:rsidR="002D7031" w:rsidRPr="00801AFD" w:rsidRDefault="002D7031" w:rsidP="00801AFD">
            <w:pPr>
              <w:widowControl w:val="0"/>
              <w:jc w:val="center"/>
              <w:rPr>
                <w:b/>
                <w:sz w:val="22"/>
                <w:szCs w:val="22"/>
                <w:lang w:val="sr-Latn-ME"/>
              </w:rPr>
            </w:pPr>
            <w:r w:rsidRPr="00801AFD">
              <w:rPr>
                <w:b/>
                <w:sz w:val="22"/>
                <w:szCs w:val="22"/>
                <w:lang w:val="sr-Latn-ME"/>
              </w:rPr>
              <w:t>Često</w:t>
            </w:r>
          </w:p>
          <w:p w14:paraId="143AFE95" w14:textId="1010136B" w:rsidR="002D7031" w:rsidRPr="00801AFD" w:rsidRDefault="002D7031" w:rsidP="00801AFD">
            <w:pPr>
              <w:widowControl w:val="0"/>
              <w:jc w:val="center"/>
              <w:rPr>
                <w:b/>
                <w:sz w:val="22"/>
                <w:szCs w:val="22"/>
                <w:lang w:val="sr-Latn-ME"/>
              </w:rPr>
            </w:pPr>
            <w:r w:rsidRPr="00801AFD">
              <w:rPr>
                <w:b/>
                <w:sz w:val="22"/>
                <w:szCs w:val="22"/>
                <w:lang w:val="sr-Latn-ME"/>
              </w:rPr>
              <w:t>(≥ 1/100 to &lt; 1/10)</w:t>
            </w:r>
          </w:p>
        </w:tc>
        <w:tc>
          <w:tcPr>
            <w:tcW w:w="0" w:type="auto"/>
          </w:tcPr>
          <w:p w14:paraId="3645479C" w14:textId="5A73559F" w:rsidR="002D7031" w:rsidRPr="00801AFD" w:rsidRDefault="002D7031" w:rsidP="00801AFD">
            <w:pPr>
              <w:widowControl w:val="0"/>
              <w:jc w:val="center"/>
              <w:rPr>
                <w:b/>
                <w:sz w:val="22"/>
                <w:szCs w:val="22"/>
                <w:lang w:val="sr-Latn-ME"/>
              </w:rPr>
            </w:pPr>
            <w:r w:rsidRPr="00801AFD">
              <w:rPr>
                <w:b/>
                <w:sz w:val="22"/>
                <w:szCs w:val="22"/>
                <w:lang w:val="sr-Latn-ME"/>
              </w:rPr>
              <w:t>Povremeno (≥ 1/1000 to &lt; 1/100)</w:t>
            </w:r>
          </w:p>
        </w:tc>
      </w:tr>
      <w:tr w:rsidR="002D7031" w:rsidRPr="00801AFD" w14:paraId="0C02C020" w14:textId="77777777" w:rsidTr="00961C31">
        <w:tc>
          <w:tcPr>
            <w:tcW w:w="0" w:type="auto"/>
          </w:tcPr>
          <w:p w14:paraId="142DD353" w14:textId="77777777" w:rsidR="002D7031" w:rsidRPr="00801AFD" w:rsidRDefault="002D7031" w:rsidP="00801AFD">
            <w:pPr>
              <w:widowControl w:val="0"/>
              <w:jc w:val="both"/>
              <w:rPr>
                <w:b/>
                <w:sz w:val="22"/>
                <w:szCs w:val="22"/>
                <w:lang w:val="sr-Latn-ME"/>
              </w:rPr>
            </w:pPr>
            <w:r w:rsidRPr="00801AFD">
              <w:rPr>
                <w:b/>
                <w:sz w:val="22"/>
                <w:szCs w:val="22"/>
                <w:lang w:val="sr-Latn-ME"/>
              </w:rPr>
              <w:t>Infekcije i infestacije</w:t>
            </w:r>
          </w:p>
        </w:tc>
        <w:tc>
          <w:tcPr>
            <w:tcW w:w="0" w:type="auto"/>
          </w:tcPr>
          <w:p w14:paraId="7AE7B8FB" w14:textId="532DBCC1" w:rsidR="002D7031" w:rsidRPr="00801AFD" w:rsidRDefault="00270781" w:rsidP="00961C31">
            <w:pPr>
              <w:widowControl w:val="0"/>
              <w:jc w:val="center"/>
              <w:rPr>
                <w:sz w:val="22"/>
                <w:szCs w:val="22"/>
                <w:lang w:val="sr-Latn-ME"/>
              </w:rPr>
            </w:pPr>
            <w:r w:rsidRPr="00801AFD">
              <w:rPr>
                <w:sz w:val="22"/>
                <w:szCs w:val="22"/>
                <w:lang w:val="sr-Latn-ME"/>
              </w:rPr>
              <w:t>i</w:t>
            </w:r>
            <w:r w:rsidR="00E17168" w:rsidRPr="00801AFD">
              <w:rPr>
                <w:sz w:val="22"/>
                <w:szCs w:val="22"/>
                <w:lang w:val="sr-Latn-ME"/>
              </w:rPr>
              <w:t>nfekcije urinarnog trakta</w:t>
            </w:r>
            <w:r w:rsidR="00E17168" w:rsidRPr="00801AFD">
              <w:rPr>
                <w:sz w:val="22"/>
                <w:szCs w:val="22"/>
                <w:vertAlign w:val="superscript"/>
                <w:lang w:val="sr-Latn-ME"/>
              </w:rPr>
              <w:t>a</w:t>
            </w:r>
            <w:r w:rsidR="00961C31">
              <w:rPr>
                <w:sz w:val="22"/>
                <w:szCs w:val="22"/>
                <w:lang w:val="sr-Latn-ME"/>
              </w:rPr>
              <w:t xml:space="preserve">, </w:t>
            </w:r>
            <w:r w:rsidR="00234DF4" w:rsidRPr="00801AFD">
              <w:rPr>
                <w:sz w:val="22"/>
                <w:szCs w:val="22"/>
                <w:lang w:val="sr-Latn-ME"/>
              </w:rPr>
              <w:t>i</w:t>
            </w:r>
            <w:r w:rsidR="002D7031" w:rsidRPr="00801AFD">
              <w:rPr>
                <w:sz w:val="22"/>
                <w:szCs w:val="22"/>
                <w:lang w:val="sr-Latn-ME"/>
              </w:rPr>
              <w:t>nfekcije gornjih disajnih puteva,</w:t>
            </w:r>
            <w:r w:rsidR="00961C31">
              <w:rPr>
                <w:sz w:val="22"/>
                <w:szCs w:val="22"/>
                <w:lang w:val="sr-Latn-ME"/>
              </w:rPr>
              <w:t xml:space="preserve"> </w:t>
            </w:r>
            <w:r w:rsidR="00234DF4" w:rsidRPr="00801AFD">
              <w:rPr>
                <w:sz w:val="22"/>
                <w:szCs w:val="22"/>
                <w:lang w:val="sr-Latn-ME"/>
              </w:rPr>
              <w:t>n</w:t>
            </w:r>
            <w:r w:rsidR="002D7031" w:rsidRPr="00801AFD">
              <w:rPr>
                <w:sz w:val="22"/>
                <w:szCs w:val="22"/>
                <w:lang w:val="sr-Latn-ME"/>
              </w:rPr>
              <w:t>azofaringitis</w:t>
            </w:r>
          </w:p>
        </w:tc>
        <w:tc>
          <w:tcPr>
            <w:tcW w:w="0" w:type="auto"/>
          </w:tcPr>
          <w:p w14:paraId="26B08007" w14:textId="77777777" w:rsidR="002D7031" w:rsidRPr="00801AFD" w:rsidRDefault="002D7031" w:rsidP="00801AFD">
            <w:pPr>
              <w:widowControl w:val="0"/>
              <w:jc w:val="center"/>
              <w:rPr>
                <w:sz w:val="22"/>
                <w:szCs w:val="22"/>
                <w:lang w:val="sr-Latn-ME"/>
              </w:rPr>
            </w:pPr>
          </w:p>
          <w:p w14:paraId="5C2C5659" w14:textId="57E3B385" w:rsidR="002D7031" w:rsidRPr="00801AFD" w:rsidRDefault="002D7031" w:rsidP="00801AFD">
            <w:pPr>
              <w:widowControl w:val="0"/>
              <w:jc w:val="center"/>
              <w:rPr>
                <w:sz w:val="22"/>
                <w:szCs w:val="22"/>
                <w:lang w:val="sr-Latn-ME"/>
              </w:rPr>
            </w:pPr>
          </w:p>
        </w:tc>
        <w:tc>
          <w:tcPr>
            <w:tcW w:w="0" w:type="auto"/>
          </w:tcPr>
          <w:p w14:paraId="1A88C538" w14:textId="1B223F12" w:rsidR="002D7031" w:rsidRPr="00801AFD" w:rsidRDefault="00234DF4" w:rsidP="00961C31">
            <w:pPr>
              <w:widowControl w:val="0"/>
              <w:jc w:val="center"/>
              <w:rPr>
                <w:sz w:val="22"/>
                <w:szCs w:val="22"/>
                <w:lang w:val="sr-Latn-ME"/>
              </w:rPr>
            </w:pPr>
            <w:r w:rsidRPr="00801AFD">
              <w:rPr>
                <w:sz w:val="22"/>
                <w:szCs w:val="22"/>
                <w:lang w:val="sr-Latn-ME"/>
              </w:rPr>
              <w:t>m</w:t>
            </w:r>
            <w:r w:rsidR="002D7031" w:rsidRPr="00801AFD">
              <w:rPr>
                <w:sz w:val="22"/>
                <w:szCs w:val="22"/>
                <w:lang w:val="sr-Latn-ME"/>
              </w:rPr>
              <w:t xml:space="preserve">enignokokne infekcije </w:t>
            </w:r>
            <w:r w:rsidR="00F96090" w:rsidRPr="00801AFD">
              <w:rPr>
                <w:sz w:val="22"/>
                <w:szCs w:val="22"/>
                <w:vertAlign w:val="superscript"/>
                <w:lang w:val="sr-Latn-ME"/>
              </w:rPr>
              <w:t>b</w:t>
            </w:r>
            <w:r w:rsidR="002D7031" w:rsidRPr="00801AFD">
              <w:rPr>
                <w:sz w:val="22"/>
                <w:szCs w:val="22"/>
                <w:lang w:val="sr-Latn-ME"/>
              </w:rPr>
              <w:t xml:space="preserve">, </w:t>
            </w:r>
            <w:r w:rsidR="008D605F" w:rsidRPr="00801AFD">
              <w:rPr>
                <w:sz w:val="22"/>
                <w:szCs w:val="22"/>
                <w:lang w:val="sr-Latn-ME"/>
              </w:rPr>
              <w:t xml:space="preserve">diseminirane gonokokne </w:t>
            </w:r>
            <w:r w:rsidR="002D7031" w:rsidRPr="00801AFD">
              <w:rPr>
                <w:sz w:val="22"/>
                <w:szCs w:val="22"/>
                <w:lang w:val="sr-Latn-ME"/>
              </w:rPr>
              <w:t>infekcije</w:t>
            </w:r>
            <w:r w:rsidR="00E17168" w:rsidRPr="00801AFD">
              <w:rPr>
                <w:sz w:val="22"/>
                <w:szCs w:val="22"/>
                <w:vertAlign w:val="superscript"/>
                <w:lang w:val="sr-Latn-ME"/>
              </w:rPr>
              <w:t>c</w:t>
            </w:r>
          </w:p>
        </w:tc>
      </w:tr>
      <w:tr w:rsidR="002D7031" w:rsidRPr="00801AFD" w14:paraId="634BE7B7" w14:textId="77777777" w:rsidTr="00961C31">
        <w:tc>
          <w:tcPr>
            <w:tcW w:w="0" w:type="auto"/>
          </w:tcPr>
          <w:p w14:paraId="40C6C7C1" w14:textId="77777777" w:rsidR="002D7031" w:rsidRPr="00801AFD" w:rsidRDefault="002D7031" w:rsidP="00801AFD">
            <w:pPr>
              <w:widowControl w:val="0"/>
              <w:jc w:val="both"/>
              <w:rPr>
                <w:b/>
                <w:sz w:val="22"/>
                <w:szCs w:val="22"/>
                <w:lang w:val="sr-Latn-ME"/>
              </w:rPr>
            </w:pPr>
            <w:r w:rsidRPr="00801AFD">
              <w:rPr>
                <w:b/>
                <w:sz w:val="22"/>
                <w:szCs w:val="22"/>
                <w:lang w:val="sr-Latn-ME"/>
              </w:rPr>
              <w:t>Poremećaji imunog sistema</w:t>
            </w:r>
          </w:p>
        </w:tc>
        <w:tc>
          <w:tcPr>
            <w:tcW w:w="0" w:type="auto"/>
          </w:tcPr>
          <w:p w14:paraId="24EA06C4" w14:textId="77777777" w:rsidR="002D7031" w:rsidRPr="00801AFD" w:rsidRDefault="002D7031" w:rsidP="00801AFD">
            <w:pPr>
              <w:widowControl w:val="0"/>
              <w:jc w:val="center"/>
              <w:rPr>
                <w:sz w:val="22"/>
                <w:szCs w:val="22"/>
                <w:lang w:val="sr-Latn-ME"/>
              </w:rPr>
            </w:pPr>
          </w:p>
        </w:tc>
        <w:tc>
          <w:tcPr>
            <w:tcW w:w="0" w:type="auto"/>
          </w:tcPr>
          <w:p w14:paraId="411243E7" w14:textId="2B2EFE37" w:rsidR="002D7031" w:rsidRPr="00801AFD" w:rsidRDefault="00234DF4" w:rsidP="00801AFD">
            <w:pPr>
              <w:widowControl w:val="0"/>
              <w:jc w:val="center"/>
              <w:rPr>
                <w:sz w:val="22"/>
                <w:szCs w:val="22"/>
                <w:lang w:val="sr-Latn-ME"/>
              </w:rPr>
            </w:pPr>
            <w:r w:rsidRPr="00801AFD">
              <w:rPr>
                <w:sz w:val="22"/>
                <w:szCs w:val="22"/>
                <w:lang w:val="sr-Latn-ME"/>
              </w:rPr>
              <w:t>p</w:t>
            </w:r>
            <w:r w:rsidR="005E76F7" w:rsidRPr="00801AFD">
              <w:rPr>
                <w:sz w:val="22"/>
                <w:szCs w:val="22"/>
                <w:lang w:val="sr-Latn-ME"/>
              </w:rPr>
              <w:t>reos</w:t>
            </w:r>
            <w:r w:rsidRPr="00801AFD">
              <w:rPr>
                <w:sz w:val="22"/>
                <w:szCs w:val="22"/>
                <w:lang w:val="sr-Latn-ME"/>
              </w:rPr>
              <w:t>j</w:t>
            </w:r>
            <w:r w:rsidR="005E76F7" w:rsidRPr="00801AFD">
              <w:rPr>
                <w:sz w:val="22"/>
                <w:szCs w:val="22"/>
                <w:lang w:val="sr-Latn-ME"/>
              </w:rPr>
              <w:t>etljivost</w:t>
            </w:r>
            <w:r w:rsidR="00E17168" w:rsidRPr="00801AFD">
              <w:rPr>
                <w:sz w:val="22"/>
                <w:szCs w:val="22"/>
                <w:vertAlign w:val="superscript"/>
                <w:lang w:val="sr-Latn-ME"/>
              </w:rPr>
              <w:t>e</w:t>
            </w:r>
          </w:p>
        </w:tc>
        <w:tc>
          <w:tcPr>
            <w:tcW w:w="0" w:type="auto"/>
          </w:tcPr>
          <w:p w14:paraId="148F94CB" w14:textId="7F3510B5" w:rsidR="002D7031" w:rsidRPr="00801AFD" w:rsidRDefault="00234DF4" w:rsidP="00801AFD">
            <w:pPr>
              <w:widowControl w:val="0"/>
              <w:jc w:val="center"/>
              <w:rPr>
                <w:sz w:val="22"/>
                <w:szCs w:val="22"/>
                <w:lang w:val="sr-Latn-ME"/>
              </w:rPr>
            </w:pPr>
            <w:r w:rsidRPr="00801AFD">
              <w:rPr>
                <w:sz w:val="22"/>
                <w:szCs w:val="22"/>
                <w:lang w:val="sr-Latn-ME"/>
              </w:rPr>
              <w:t>a</w:t>
            </w:r>
            <w:r w:rsidR="002D7031" w:rsidRPr="00801AFD">
              <w:rPr>
                <w:sz w:val="22"/>
                <w:szCs w:val="22"/>
                <w:lang w:val="sr-Latn-ME"/>
              </w:rPr>
              <w:t>nafilaktička reakcija</w:t>
            </w:r>
            <w:r w:rsidR="00E17168" w:rsidRPr="00801AFD">
              <w:rPr>
                <w:sz w:val="22"/>
                <w:szCs w:val="22"/>
                <w:vertAlign w:val="superscript"/>
                <w:lang w:val="sr-Latn-ME"/>
              </w:rPr>
              <w:t>d</w:t>
            </w:r>
            <w:r w:rsidR="002D7031" w:rsidRPr="00801AFD">
              <w:rPr>
                <w:sz w:val="22"/>
                <w:szCs w:val="22"/>
                <w:lang w:val="sr-Latn-ME"/>
              </w:rPr>
              <w:t xml:space="preserve">, </w:t>
            </w:r>
          </w:p>
        </w:tc>
      </w:tr>
      <w:tr w:rsidR="002D7031" w:rsidRPr="00801AFD" w14:paraId="5577450D" w14:textId="77777777" w:rsidTr="00961C31">
        <w:tc>
          <w:tcPr>
            <w:tcW w:w="0" w:type="auto"/>
          </w:tcPr>
          <w:p w14:paraId="72054B9E" w14:textId="77777777" w:rsidR="002D7031" w:rsidRPr="00801AFD" w:rsidRDefault="002D7031" w:rsidP="00801AFD">
            <w:pPr>
              <w:widowControl w:val="0"/>
              <w:jc w:val="both"/>
              <w:rPr>
                <w:b/>
                <w:sz w:val="22"/>
                <w:szCs w:val="22"/>
                <w:lang w:val="sr-Latn-ME"/>
              </w:rPr>
            </w:pPr>
            <w:r w:rsidRPr="00801AFD">
              <w:rPr>
                <w:b/>
                <w:bCs/>
                <w:sz w:val="22"/>
                <w:szCs w:val="22"/>
                <w:lang w:val="sr-Latn-ME"/>
              </w:rPr>
              <w:t>Poremećaji nervnog sistema</w:t>
            </w:r>
          </w:p>
        </w:tc>
        <w:tc>
          <w:tcPr>
            <w:tcW w:w="0" w:type="auto"/>
          </w:tcPr>
          <w:p w14:paraId="5032DB11" w14:textId="0A343AC0" w:rsidR="008D605F" w:rsidRPr="00801AFD" w:rsidRDefault="006452BC" w:rsidP="00961C31">
            <w:pPr>
              <w:widowControl w:val="0"/>
              <w:jc w:val="center"/>
              <w:rPr>
                <w:sz w:val="22"/>
                <w:szCs w:val="22"/>
                <w:lang w:val="sr-Latn-ME"/>
              </w:rPr>
            </w:pPr>
            <w:r w:rsidRPr="00801AFD">
              <w:rPr>
                <w:sz w:val="22"/>
                <w:szCs w:val="22"/>
                <w:lang w:val="sr-Latn-ME"/>
              </w:rPr>
              <w:t>g</w:t>
            </w:r>
            <w:r w:rsidR="002D7031" w:rsidRPr="00801AFD">
              <w:rPr>
                <w:sz w:val="22"/>
                <w:szCs w:val="22"/>
                <w:lang w:val="sr-Latn-ME"/>
              </w:rPr>
              <w:t>lavobolja</w:t>
            </w:r>
            <w:r w:rsidR="00961C31">
              <w:rPr>
                <w:sz w:val="22"/>
                <w:szCs w:val="22"/>
                <w:lang w:val="sr-Latn-ME"/>
              </w:rPr>
              <w:t xml:space="preserve">, </w:t>
            </w:r>
            <w:r w:rsidR="008D605F" w:rsidRPr="00801AFD">
              <w:rPr>
                <w:sz w:val="22"/>
                <w:szCs w:val="22"/>
                <w:lang w:val="sr-Latn-ME"/>
              </w:rPr>
              <w:t>vrtoglavica</w:t>
            </w:r>
          </w:p>
        </w:tc>
        <w:tc>
          <w:tcPr>
            <w:tcW w:w="0" w:type="auto"/>
          </w:tcPr>
          <w:p w14:paraId="4A0AFFF4" w14:textId="397A6755" w:rsidR="002D7031" w:rsidRPr="00801AFD" w:rsidRDefault="002D7031" w:rsidP="00801AFD">
            <w:pPr>
              <w:widowControl w:val="0"/>
              <w:jc w:val="center"/>
              <w:rPr>
                <w:sz w:val="22"/>
                <w:szCs w:val="22"/>
                <w:lang w:val="sr-Latn-ME"/>
              </w:rPr>
            </w:pPr>
          </w:p>
        </w:tc>
        <w:tc>
          <w:tcPr>
            <w:tcW w:w="0" w:type="auto"/>
          </w:tcPr>
          <w:p w14:paraId="230A193F" w14:textId="77777777" w:rsidR="002D7031" w:rsidRPr="00801AFD" w:rsidRDefault="002D7031" w:rsidP="00801AFD">
            <w:pPr>
              <w:widowControl w:val="0"/>
              <w:jc w:val="center"/>
              <w:rPr>
                <w:sz w:val="22"/>
                <w:szCs w:val="22"/>
                <w:lang w:val="sr-Latn-ME"/>
              </w:rPr>
            </w:pPr>
          </w:p>
        </w:tc>
      </w:tr>
      <w:tr w:rsidR="002D7031" w:rsidRPr="00801AFD" w14:paraId="43632182" w14:textId="77777777" w:rsidTr="00961C31">
        <w:tc>
          <w:tcPr>
            <w:tcW w:w="0" w:type="auto"/>
          </w:tcPr>
          <w:p w14:paraId="5BA0E248" w14:textId="77777777" w:rsidR="002D7031" w:rsidRPr="00801AFD" w:rsidRDefault="002D7031" w:rsidP="00801AFD">
            <w:pPr>
              <w:widowControl w:val="0"/>
              <w:jc w:val="both"/>
              <w:rPr>
                <w:b/>
                <w:sz w:val="22"/>
                <w:szCs w:val="22"/>
                <w:lang w:val="sr-Latn-ME"/>
              </w:rPr>
            </w:pPr>
            <w:r w:rsidRPr="00801AFD">
              <w:rPr>
                <w:b/>
                <w:sz w:val="22"/>
                <w:szCs w:val="22"/>
                <w:lang w:val="sr-Latn-ME"/>
              </w:rPr>
              <w:t>Gastrointestinalni poremećaji</w:t>
            </w:r>
          </w:p>
        </w:tc>
        <w:tc>
          <w:tcPr>
            <w:tcW w:w="0" w:type="auto"/>
          </w:tcPr>
          <w:p w14:paraId="4615C6D6" w14:textId="2E15BFBF" w:rsidR="002D7031" w:rsidRPr="00801AFD" w:rsidRDefault="00234DF4" w:rsidP="00801AFD">
            <w:pPr>
              <w:widowControl w:val="0"/>
              <w:jc w:val="center"/>
              <w:rPr>
                <w:sz w:val="22"/>
                <w:szCs w:val="22"/>
                <w:lang w:val="sr-Latn-ME"/>
              </w:rPr>
            </w:pPr>
            <w:r w:rsidRPr="00801AFD">
              <w:rPr>
                <w:sz w:val="22"/>
                <w:szCs w:val="22"/>
                <w:lang w:val="sr-Latn-ME"/>
              </w:rPr>
              <w:t>d</w:t>
            </w:r>
            <w:r w:rsidR="002D7031" w:rsidRPr="00801AFD">
              <w:rPr>
                <w:sz w:val="22"/>
                <w:szCs w:val="22"/>
                <w:lang w:val="sr-Latn-ME"/>
              </w:rPr>
              <w:t>ijareja</w:t>
            </w:r>
            <w:r w:rsidR="00961C31">
              <w:rPr>
                <w:sz w:val="22"/>
                <w:szCs w:val="22"/>
                <w:lang w:val="sr-Latn-ME"/>
              </w:rPr>
              <w:t>,</w:t>
            </w:r>
            <w:r w:rsidR="008D605F" w:rsidRPr="00801AFD">
              <w:rPr>
                <w:sz w:val="22"/>
                <w:szCs w:val="22"/>
                <w:lang w:val="sr-Latn-ME"/>
              </w:rPr>
              <w:t xml:space="preserve"> </w:t>
            </w:r>
            <w:r w:rsidRPr="00801AFD">
              <w:rPr>
                <w:sz w:val="22"/>
                <w:szCs w:val="22"/>
                <w:lang w:val="sr-Latn-ME"/>
              </w:rPr>
              <w:t>a</w:t>
            </w:r>
            <w:r w:rsidR="005E76F7" w:rsidRPr="00801AFD">
              <w:rPr>
                <w:sz w:val="22"/>
                <w:szCs w:val="22"/>
                <w:lang w:val="sr-Latn-ME"/>
              </w:rPr>
              <w:t xml:space="preserve">bdominalni bol, </w:t>
            </w:r>
            <w:r w:rsidRPr="00801AFD">
              <w:rPr>
                <w:sz w:val="22"/>
                <w:szCs w:val="22"/>
                <w:lang w:val="sr-Latn-ME"/>
              </w:rPr>
              <w:t>m</w:t>
            </w:r>
            <w:r w:rsidR="005E76F7" w:rsidRPr="00801AFD">
              <w:rPr>
                <w:sz w:val="22"/>
                <w:szCs w:val="22"/>
                <w:lang w:val="sr-Latn-ME"/>
              </w:rPr>
              <w:t>učnina</w:t>
            </w:r>
          </w:p>
        </w:tc>
        <w:tc>
          <w:tcPr>
            <w:tcW w:w="0" w:type="auto"/>
          </w:tcPr>
          <w:p w14:paraId="4C79E20C" w14:textId="7232468F" w:rsidR="002D7031" w:rsidRPr="00801AFD" w:rsidRDefault="00234DF4" w:rsidP="00801AFD">
            <w:pPr>
              <w:widowControl w:val="0"/>
              <w:jc w:val="center"/>
              <w:rPr>
                <w:sz w:val="22"/>
                <w:szCs w:val="22"/>
                <w:lang w:val="sr-Latn-ME"/>
              </w:rPr>
            </w:pPr>
            <w:r w:rsidRPr="00801AFD">
              <w:rPr>
                <w:sz w:val="22"/>
                <w:szCs w:val="22"/>
                <w:lang w:val="sr-Latn-ME"/>
              </w:rPr>
              <w:t>p</w:t>
            </w:r>
            <w:r w:rsidR="002D7031" w:rsidRPr="00801AFD">
              <w:rPr>
                <w:sz w:val="22"/>
                <w:szCs w:val="22"/>
                <w:lang w:val="sr-Latn-ME"/>
              </w:rPr>
              <w:t xml:space="preserve">ovraćanje, </w:t>
            </w:r>
            <w:r w:rsidRPr="00801AFD">
              <w:rPr>
                <w:sz w:val="22"/>
                <w:szCs w:val="22"/>
                <w:lang w:val="sr-Latn-ME"/>
              </w:rPr>
              <w:t>d</w:t>
            </w:r>
            <w:r w:rsidR="002D7031" w:rsidRPr="00801AFD">
              <w:rPr>
                <w:sz w:val="22"/>
                <w:szCs w:val="22"/>
                <w:lang w:val="sr-Latn-ME"/>
              </w:rPr>
              <w:t>ispepsija</w:t>
            </w:r>
          </w:p>
        </w:tc>
        <w:tc>
          <w:tcPr>
            <w:tcW w:w="0" w:type="auto"/>
          </w:tcPr>
          <w:p w14:paraId="7AE1CC2F" w14:textId="77777777" w:rsidR="002D7031" w:rsidRPr="00801AFD" w:rsidRDefault="002D7031" w:rsidP="00801AFD">
            <w:pPr>
              <w:widowControl w:val="0"/>
              <w:jc w:val="center"/>
              <w:rPr>
                <w:sz w:val="22"/>
                <w:szCs w:val="22"/>
                <w:lang w:val="sr-Latn-ME"/>
              </w:rPr>
            </w:pPr>
          </w:p>
        </w:tc>
      </w:tr>
      <w:tr w:rsidR="002D7031" w:rsidRPr="00801AFD" w14:paraId="10C3E48D" w14:textId="77777777" w:rsidTr="00961C31">
        <w:tc>
          <w:tcPr>
            <w:tcW w:w="0" w:type="auto"/>
          </w:tcPr>
          <w:p w14:paraId="4D094A93" w14:textId="77777777" w:rsidR="002D7031" w:rsidRPr="00801AFD" w:rsidRDefault="002D7031" w:rsidP="00801AFD">
            <w:pPr>
              <w:widowControl w:val="0"/>
              <w:jc w:val="both"/>
              <w:rPr>
                <w:b/>
                <w:sz w:val="22"/>
                <w:szCs w:val="22"/>
                <w:lang w:val="sr-Latn-ME"/>
              </w:rPr>
            </w:pPr>
            <w:r w:rsidRPr="00801AFD">
              <w:rPr>
                <w:b/>
                <w:sz w:val="22"/>
                <w:szCs w:val="22"/>
                <w:lang w:val="sr-Latn-ME"/>
              </w:rPr>
              <w:t xml:space="preserve"> Poremećaji kože i potkožnog tkiva</w:t>
            </w:r>
          </w:p>
        </w:tc>
        <w:tc>
          <w:tcPr>
            <w:tcW w:w="0" w:type="auto"/>
          </w:tcPr>
          <w:p w14:paraId="787EB4C7" w14:textId="77777777" w:rsidR="002D7031" w:rsidRPr="00801AFD" w:rsidRDefault="002D7031" w:rsidP="00801AFD">
            <w:pPr>
              <w:widowControl w:val="0"/>
              <w:jc w:val="center"/>
              <w:rPr>
                <w:sz w:val="22"/>
                <w:szCs w:val="22"/>
                <w:lang w:val="sr-Latn-ME"/>
              </w:rPr>
            </w:pPr>
          </w:p>
        </w:tc>
        <w:tc>
          <w:tcPr>
            <w:tcW w:w="0" w:type="auto"/>
          </w:tcPr>
          <w:p w14:paraId="2FEA2C28" w14:textId="38C4DA7E" w:rsidR="002D7031" w:rsidRPr="00801AFD" w:rsidRDefault="00234DF4" w:rsidP="00801AFD">
            <w:pPr>
              <w:widowControl w:val="0"/>
              <w:jc w:val="center"/>
              <w:rPr>
                <w:sz w:val="22"/>
                <w:szCs w:val="22"/>
                <w:lang w:val="sr-Latn-ME"/>
              </w:rPr>
            </w:pPr>
            <w:r w:rsidRPr="00801AFD">
              <w:rPr>
                <w:sz w:val="22"/>
                <w:szCs w:val="22"/>
                <w:lang w:val="sr-Latn-ME"/>
              </w:rPr>
              <w:t>u</w:t>
            </w:r>
            <w:r w:rsidR="002D7031" w:rsidRPr="00801AFD">
              <w:rPr>
                <w:sz w:val="22"/>
                <w:szCs w:val="22"/>
                <w:lang w:val="sr-Latn-ME"/>
              </w:rPr>
              <w:t xml:space="preserve">rtikarija, </w:t>
            </w:r>
            <w:r w:rsidRPr="00801AFD">
              <w:rPr>
                <w:sz w:val="22"/>
                <w:szCs w:val="22"/>
                <w:lang w:val="sr-Latn-ME"/>
              </w:rPr>
              <w:t>s</w:t>
            </w:r>
            <w:r w:rsidR="002D7031" w:rsidRPr="00801AFD">
              <w:rPr>
                <w:sz w:val="22"/>
                <w:szCs w:val="22"/>
                <w:lang w:val="sr-Latn-ME"/>
              </w:rPr>
              <w:t xml:space="preserve">vrab, </w:t>
            </w:r>
            <w:r w:rsidRPr="00801AFD">
              <w:rPr>
                <w:sz w:val="22"/>
                <w:szCs w:val="22"/>
                <w:lang w:val="sr-Latn-ME"/>
              </w:rPr>
              <w:t>o</w:t>
            </w:r>
            <w:r w:rsidR="002D7031" w:rsidRPr="00801AFD">
              <w:rPr>
                <w:sz w:val="22"/>
                <w:szCs w:val="22"/>
                <w:lang w:val="sr-Latn-ME"/>
              </w:rPr>
              <w:t>sip</w:t>
            </w:r>
          </w:p>
        </w:tc>
        <w:tc>
          <w:tcPr>
            <w:tcW w:w="0" w:type="auto"/>
          </w:tcPr>
          <w:p w14:paraId="45ACC9BB" w14:textId="77777777" w:rsidR="002D7031" w:rsidRPr="00801AFD" w:rsidRDefault="002D7031" w:rsidP="00801AFD">
            <w:pPr>
              <w:widowControl w:val="0"/>
              <w:jc w:val="center"/>
              <w:rPr>
                <w:sz w:val="22"/>
                <w:szCs w:val="22"/>
                <w:lang w:val="sr-Latn-ME"/>
              </w:rPr>
            </w:pPr>
          </w:p>
        </w:tc>
      </w:tr>
      <w:tr w:rsidR="005E76F7" w:rsidRPr="00801AFD" w14:paraId="2A195F98" w14:textId="77777777" w:rsidTr="00961C31">
        <w:tc>
          <w:tcPr>
            <w:tcW w:w="0" w:type="auto"/>
          </w:tcPr>
          <w:p w14:paraId="4623B1FD" w14:textId="7229EBEF" w:rsidR="005E76F7" w:rsidRPr="00801AFD" w:rsidRDefault="005E76F7" w:rsidP="00801AFD">
            <w:pPr>
              <w:widowControl w:val="0"/>
              <w:jc w:val="both"/>
              <w:rPr>
                <w:b/>
                <w:sz w:val="22"/>
                <w:szCs w:val="22"/>
                <w:lang w:val="sr-Latn-ME"/>
              </w:rPr>
            </w:pPr>
            <w:r w:rsidRPr="00801AFD">
              <w:rPr>
                <w:b/>
                <w:sz w:val="22"/>
                <w:szCs w:val="22"/>
                <w:lang w:val="sr-Latn-ME"/>
              </w:rPr>
              <w:t>Poremećaji mišićno</w:t>
            </w:r>
            <w:r w:rsidR="00234DF4" w:rsidRPr="00801AFD">
              <w:rPr>
                <w:b/>
                <w:sz w:val="22"/>
                <w:szCs w:val="22"/>
                <w:lang w:val="sr-Latn-ME"/>
              </w:rPr>
              <w:t>-</w:t>
            </w:r>
            <w:r w:rsidRPr="00801AFD">
              <w:rPr>
                <w:b/>
                <w:sz w:val="22"/>
                <w:szCs w:val="22"/>
                <w:lang w:val="sr-Latn-ME"/>
              </w:rPr>
              <w:t xml:space="preserve"> koštanog sistema i vezivnog tkiva</w:t>
            </w:r>
          </w:p>
        </w:tc>
        <w:tc>
          <w:tcPr>
            <w:tcW w:w="0" w:type="auto"/>
          </w:tcPr>
          <w:p w14:paraId="62701CA9" w14:textId="72FEF8D9" w:rsidR="005E76F7" w:rsidRPr="00801AFD" w:rsidRDefault="00234DF4" w:rsidP="00801AFD">
            <w:pPr>
              <w:widowControl w:val="0"/>
              <w:jc w:val="center"/>
              <w:rPr>
                <w:sz w:val="22"/>
                <w:szCs w:val="22"/>
                <w:lang w:val="sr-Latn-ME"/>
              </w:rPr>
            </w:pPr>
            <w:r w:rsidRPr="00801AFD">
              <w:rPr>
                <w:sz w:val="22"/>
                <w:szCs w:val="22"/>
                <w:lang w:val="sr-Latn-ME"/>
              </w:rPr>
              <w:t>a</w:t>
            </w:r>
            <w:r w:rsidR="005E76F7" w:rsidRPr="00801AFD">
              <w:rPr>
                <w:sz w:val="22"/>
                <w:szCs w:val="22"/>
                <w:lang w:val="sr-Latn-ME"/>
              </w:rPr>
              <w:t>rtralgija, bol u leđima,</w:t>
            </w:r>
          </w:p>
        </w:tc>
        <w:tc>
          <w:tcPr>
            <w:tcW w:w="0" w:type="auto"/>
          </w:tcPr>
          <w:p w14:paraId="020872DD" w14:textId="3A9D9E4F" w:rsidR="005E76F7" w:rsidRPr="00801AFD" w:rsidRDefault="00234DF4" w:rsidP="00801AFD">
            <w:pPr>
              <w:widowControl w:val="0"/>
              <w:jc w:val="center"/>
              <w:rPr>
                <w:sz w:val="22"/>
                <w:szCs w:val="22"/>
                <w:lang w:val="sr-Latn-ME"/>
              </w:rPr>
            </w:pPr>
            <w:r w:rsidRPr="00801AFD">
              <w:rPr>
                <w:sz w:val="22"/>
                <w:szCs w:val="22"/>
                <w:lang w:val="sr-Latn-ME"/>
              </w:rPr>
              <w:t>m</w:t>
            </w:r>
            <w:r w:rsidR="005E76F7" w:rsidRPr="00801AFD">
              <w:rPr>
                <w:sz w:val="22"/>
                <w:szCs w:val="22"/>
                <w:lang w:val="sr-Latn-ME"/>
              </w:rPr>
              <w:t>ijalgija, spazam mišića</w:t>
            </w:r>
          </w:p>
        </w:tc>
        <w:tc>
          <w:tcPr>
            <w:tcW w:w="0" w:type="auto"/>
          </w:tcPr>
          <w:p w14:paraId="192B383E" w14:textId="77777777" w:rsidR="005E76F7" w:rsidRPr="00801AFD" w:rsidRDefault="005E76F7" w:rsidP="00801AFD">
            <w:pPr>
              <w:widowControl w:val="0"/>
              <w:jc w:val="center"/>
              <w:rPr>
                <w:sz w:val="22"/>
                <w:szCs w:val="22"/>
                <w:lang w:val="sr-Latn-ME"/>
              </w:rPr>
            </w:pPr>
          </w:p>
        </w:tc>
      </w:tr>
      <w:tr w:rsidR="005E76F7" w:rsidRPr="00801AFD" w14:paraId="414720FB" w14:textId="77777777" w:rsidTr="00961C31">
        <w:tc>
          <w:tcPr>
            <w:tcW w:w="0" w:type="auto"/>
          </w:tcPr>
          <w:p w14:paraId="68DE7D2C" w14:textId="03588B27" w:rsidR="005E76F7" w:rsidRPr="00801AFD" w:rsidRDefault="005E76F7" w:rsidP="00801AFD">
            <w:pPr>
              <w:widowControl w:val="0"/>
              <w:jc w:val="both"/>
              <w:rPr>
                <w:b/>
                <w:sz w:val="22"/>
                <w:szCs w:val="22"/>
                <w:lang w:val="sr-Latn-ME"/>
              </w:rPr>
            </w:pPr>
            <w:r w:rsidRPr="00801AFD">
              <w:rPr>
                <w:b/>
                <w:bCs/>
                <w:sz w:val="22"/>
                <w:szCs w:val="22"/>
                <w:lang w:val="sr-Latn-ME"/>
              </w:rPr>
              <w:t>Opšti poremećaji i reakcije na mjestu primjene</w:t>
            </w:r>
          </w:p>
        </w:tc>
        <w:tc>
          <w:tcPr>
            <w:tcW w:w="0" w:type="auto"/>
          </w:tcPr>
          <w:p w14:paraId="3A74FFFD" w14:textId="4163969A" w:rsidR="005E76F7" w:rsidRPr="00801AFD" w:rsidRDefault="00234DF4" w:rsidP="00801AFD">
            <w:pPr>
              <w:widowControl w:val="0"/>
              <w:jc w:val="center"/>
              <w:rPr>
                <w:sz w:val="22"/>
                <w:szCs w:val="22"/>
                <w:lang w:val="sr-Latn-ME"/>
              </w:rPr>
            </w:pPr>
            <w:r w:rsidRPr="00801AFD">
              <w:rPr>
                <w:sz w:val="22"/>
                <w:szCs w:val="22"/>
                <w:lang w:val="sr-Latn-ME"/>
              </w:rPr>
              <w:t>p</w:t>
            </w:r>
            <w:r w:rsidR="005E76F7" w:rsidRPr="00801AFD">
              <w:rPr>
                <w:sz w:val="22"/>
                <w:szCs w:val="22"/>
                <w:lang w:val="sr-Latn-ME"/>
              </w:rPr>
              <w:t xml:space="preserve">ireksija, </w:t>
            </w:r>
            <w:r w:rsidR="006452BC" w:rsidRPr="00801AFD">
              <w:rPr>
                <w:sz w:val="22"/>
                <w:szCs w:val="22"/>
                <w:lang w:val="sr-Latn-ME"/>
              </w:rPr>
              <w:t>u</w:t>
            </w:r>
            <w:r w:rsidR="005E76F7" w:rsidRPr="00801AFD">
              <w:rPr>
                <w:sz w:val="22"/>
                <w:szCs w:val="22"/>
                <w:lang w:val="sr-Latn-ME"/>
              </w:rPr>
              <w:t>mor</w:t>
            </w:r>
          </w:p>
        </w:tc>
        <w:tc>
          <w:tcPr>
            <w:tcW w:w="0" w:type="auto"/>
          </w:tcPr>
          <w:p w14:paraId="0BFC4D50" w14:textId="14F661A7" w:rsidR="005E76F7" w:rsidRPr="00801AFD" w:rsidRDefault="00234DF4" w:rsidP="00801AFD">
            <w:pPr>
              <w:widowControl w:val="0"/>
              <w:jc w:val="center"/>
              <w:rPr>
                <w:sz w:val="22"/>
                <w:szCs w:val="22"/>
                <w:lang w:val="sr-Latn-ME"/>
              </w:rPr>
            </w:pPr>
            <w:r w:rsidRPr="00801AFD">
              <w:rPr>
                <w:sz w:val="22"/>
                <w:szCs w:val="22"/>
                <w:lang w:val="sr-Latn-ME"/>
              </w:rPr>
              <w:t>b</w:t>
            </w:r>
            <w:r w:rsidR="005E76F7" w:rsidRPr="00801AFD">
              <w:rPr>
                <w:sz w:val="22"/>
                <w:szCs w:val="22"/>
                <w:lang w:val="sr-Latn-ME"/>
              </w:rPr>
              <w:t xml:space="preserve">olest slična gripu, </w:t>
            </w:r>
            <w:r w:rsidRPr="00801AFD">
              <w:rPr>
                <w:sz w:val="22"/>
                <w:szCs w:val="22"/>
                <w:lang w:val="sr-Latn-ME"/>
              </w:rPr>
              <w:t>j</w:t>
            </w:r>
            <w:r w:rsidR="005E76F7" w:rsidRPr="00801AFD">
              <w:rPr>
                <w:sz w:val="22"/>
                <w:szCs w:val="22"/>
                <w:lang w:val="sr-Latn-ME"/>
              </w:rPr>
              <w:t xml:space="preserve">eza, </w:t>
            </w:r>
            <w:r w:rsidRPr="00801AFD">
              <w:rPr>
                <w:sz w:val="22"/>
                <w:szCs w:val="22"/>
                <w:lang w:val="sr-Latn-ME"/>
              </w:rPr>
              <w:t>a</w:t>
            </w:r>
            <w:r w:rsidR="005E76F7" w:rsidRPr="00801AFD">
              <w:rPr>
                <w:sz w:val="22"/>
                <w:szCs w:val="22"/>
                <w:lang w:val="sr-Latn-ME"/>
              </w:rPr>
              <w:t>stenija</w:t>
            </w:r>
          </w:p>
        </w:tc>
        <w:tc>
          <w:tcPr>
            <w:tcW w:w="0" w:type="auto"/>
          </w:tcPr>
          <w:p w14:paraId="692EBE4B" w14:textId="77777777" w:rsidR="005E76F7" w:rsidRPr="00801AFD" w:rsidRDefault="005E76F7" w:rsidP="00801AFD">
            <w:pPr>
              <w:widowControl w:val="0"/>
              <w:jc w:val="center"/>
              <w:rPr>
                <w:sz w:val="22"/>
                <w:szCs w:val="22"/>
                <w:lang w:val="sr-Latn-ME"/>
              </w:rPr>
            </w:pPr>
          </w:p>
        </w:tc>
      </w:tr>
      <w:tr w:rsidR="005E76F7" w:rsidRPr="00801AFD" w14:paraId="76EE7A35" w14:textId="77777777" w:rsidTr="00961C31">
        <w:tc>
          <w:tcPr>
            <w:tcW w:w="0" w:type="auto"/>
          </w:tcPr>
          <w:p w14:paraId="1EDB2377" w14:textId="77777777" w:rsidR="005E76F7" w:rsidRPr="00801AFD" w:rsidRDefault="005E76F7" w:rsidP="00801AFD">
            <w:pPr>
              <w:widowControl w:val="0"/>
              <w:jc w:val="both"/>
              <w:rPr>
                <w:b/>
                <w:sz w:val="22"/>
                <w:szCs w:val="22"/>
                <w:lang w:val="sr-Latn-ME"/>
              </w:rPr>
            </w:pPr>
            <w:r w:rsidRPr="00801AFD">
              <w:rPr>
                <w:b/>
                <w:sz w:val="22"/>
                <w:szCs w:val="22"/>
                <w:lang w:val="sr-Latn-ME"/>
              </w:rPr>
              <w:t>Povrede, trovanja i proceduralne komplikacije</w:t>
            </w:r>
          </w:p>
        </w:tc>
        <w:tc>
          <w:tcPr>
            <w:tcW w:w="0" w:type="auto"/>
          </w:tcPr>
          <w:p w14:paraId="57EC4793" w14:textId="77777777" w:rsidR="005E76F7" w:rsidRPr="00801AFD" w:rsidRDefault="005E76F7" w:rsidP="00801AFD">
            <w:pPr>
              <w:widowControl w:val="0"/>
              <w:jc w:val="center"/>
              <w:rPr>
                <w:sz w:val="22"/>
                <w:szCs w:val="22"/>
                <w:lang w:val="sr-Latn-ME"/>
              </w:rPr>
            </w:pPr>
          </w:p>
        </w:tc>
        <w:tc>
          <w:tcPr>
            <w:tcW w:w="0" w:type="auto"/>
          </w:tcPr>
          <w:p w14:paraId="1547A182" w14:textId="4A1927A2" w:rsidR="005E76F7" w:rsidRPr="00801AFD" w:rsidRDefault="00234DF4" w:rsidP="00801AFD">
            <w:pPr>
              <w:widowControl w:val="0"/>
              <w:jc w:val="center"/>
              <w:rPr>
                <w:sz w:val="22"/>
                <w:szCs w:val="22"/>
                <w:lang w:val="sr-Latn-ME"/>
              </w:rPr>
            </w:pPr>
            <w:r w:rsidRPr="00801AFD">
              <w:rPr>
                <w:sz w:val="22"/>
                <w:szCs w:val="22"/>
                <w:lang w:val="sr-Latn-ME"/>
              </w:rPr>
              <w:t>r</w:t>
            </w:r>
            <w:r w:rsidR="005E76F7" w:rsidRPr="00801AFD">
              <w:rPr>
                <w:sz w:val="22"/>
                <w:szCs w:val="22"/>
                <w:lang w:val="sr-Latn-ME"/>
              </w:rPr>
              <w:t xml:space="preserve">eakcije </w:t>
            </w:r>
            <w:r w:rsidRPr="00801AFD">
              <w:rPr>
                <w:sz w:val="22"/>
                <w:szCs w:val="22"/>
                <w:lang w:val="sr-Latn-ME"/>
              </w:rPr>
              <w:t>povezane</w:t>
            </w:r>
            <w:r w:rsidR="005E76F7" w:rsidRPr="00801AFD">
              <w:rPr>
                <w:sz w:val="22"/>
                <w:szCs w:val="22"/>
                <w:lang w:val="sr-Latn-ME"/>
              </w:rPr>
              <w:t xml:space="preserve"> sa primanjem infuzije</w:t>
            </w:r>
          </w:p>
        </w:tc>
        <w:tc>
          <w:tcPr>
            <w:tcW w:w="0" w:type="auto"/>
          </w:tcPr>
          <w:p w14:paraId="780BC76C" w14:textId="77777777" w:rsidR="005E76F7" w:rsidRPr="00801AFD" w:rsidRDefault="005E76F7" w:rsidP="00801AFD">
            <w:pPr>
              <w:widowControl w:val="0"/>
              <w:jc w:val="center"/>
              <w:rPr>
                <w:sz w:val="22"/>
                <w:szCs w:val="22"/>
                <w:lang w:val="sr-Latn-ME"/>
              </w:rPr>
            </w:pPr>
          </w:p>
        </w:tc>
      </w:tr>
    </w:tbl>
    <w:p w14:paraId="5C28B179" w14:textId="38B2A807" w:rsidR="00E17168" w:rsidRPr="00961C31" w:rsidRDefault="008B46BA" w:rsidP="00801AFD">
      <w:pPr>
        <w:pStyle w:val="Default"/>
        <w:widowControl w:val="0"/>
        <w:jc w:val="both"/>
        <w:rPr>
          <w:sz w:val="20"/>
          <w:szCs w:val="22"/>
          <w:lang w:val="sr-Latn-ME"/>
        </w:rPr>
      </w:pPr>
      <w:r w:rsidRPr="00961C31">
        <w:rPr>
          <w:sz w:val="20"/>
          <w:szCs w:val="22"/>
          <w:vertAlign w:val="superscript"/>
          <w:lang w:val="sr-Latn-ME"/>
        </w:rPr>
        <w:t xml:space="preserve">a </w:t>
      </w:r>
      <w:r w:rsidR="00E17168" w:rsidRPr="00961C31">
        <w:rPr>
          <w:sz w:val="20"/>
          <w:szCs w:val="22"/>
          <w:lang w:val="sr-Latn-ME"/>
        </w:rPr>
        <w:t xml:space="preserve">Infekcija urinarnog trakta je grupni termin koji uključuje Poželjne termine: infekcija urinarnog trakta, bakterijska infekcija urinarnog trakta, enterokokna infekcija urinarnog trakta i infekcija urinarnog trakta </w:t>
      </w:r>
      <w:r w:rsidR="00410F1A" w:rsidRPr="00961C31">
        <w:rPr>
          <w:sz w:val="20"/>
          <w:szCs w:val="22"/>
          <w:lang w:val="sr-Latn-ME"/>
        </w:rPr>
        <w:t xml:space="preserve">uzrokovana </w:t>
      </w:r>
      <w:r w:rsidR="00E17168" w:rsidRPr="00961C31">
        <w:rPr>
          <w:sz w:val="20"/>
          <w:szCs w:val="22"/>
          <w:lang w:val="sr-Latn-ME"/>
        </w:rPr>
        <w:t>Escherichi</w:t>
      </w:r>
      <w:r w:rsidR="00410F1A" w:rsidRPr="00961C31">
        <w:rPr>
          <w:sz w:val="20"/>
          <w:szCs w:val="22"/>
          <w:lang w:val="sr-Latn-ME"/>
        </w:rPr>
        <w:t>a-om</w:t>
      </w:r>
      <w:r w:rsidR="00E17168" w:rsidRPr="00961C31">
        <w:rPr>
          <w:sz w:val="20"/>
          <w:szCs w:val="22"/>
          <w:lang w:val="sr-Latn-ME"/>
        </w:rPr>
        <w:t>.</w:t>
      </w:r>
    </w:p>
    <w:p w14:paraId="6DADE3C6" w14:textId="5B104AB6" w:rsidR="002D7031" w:rsidRPr="00961C31" w:rsidRDefault="00410F1A" w:rsidP="00801AFD">
      <w:pPr>
        <w:pStyle w:val="Default"/>
        <w:widowControl w:val="0"/>
        <w:jc w:val="both"/>
        <w:rPr>
          <w:sz w:val="20"/>
          <w:szCs w:val="22"/>
          <w:lang w:val="sr-Latn-ME"/>
        </w:rPr>
      </w:pPr>
      <w:r w:rsidRPr="00961C31">
        <w:rPr>
          <w:sz w:val="20"/>
          <w:szCs w:val="22"/>
          <w:vertAlign w:val="superscript"/>
          <w:lang w:val="sr-Latn-ME"/>
        </w:rPr>
        <w:t>b</w:t>
      </w:r>
      <w:r w:rsidR="006F6043" w:rsidRPr="00961C31">
        <w:rPr>
          <w:sz w:val="20"/>
          <w:szCs w:val="22"/>
          <w:lang w:val="sr-Latn-ME"/>
        </w:rPr>
        <w:t>Meningokokna infekcija uključuje preporučene izraze „meningokokna infekcija“ i „meningokokna sepsa“</w:t>
      </w:r>
      <w:r w:rsidR="002D7031" w:rsidRPr="00961C31">
        <w:rPr>
          <w:sz w:val="20"/>
          <w:szCs w:val="22"/>
          <w:lang w:val="sr-Latn-ME"/>
        </w:rPr>
        <w:t>i i menignokokni encefalitis.</w:t>
      </w:r>
    </w:p>
    <w:p w14:paraId="3C12ED22" w14:textId="31CEE1A5" w:rsidR="008B46BA" w:rsidRPr="00961C31" w:rsidRDefault="00410F1A" w:rsidP="00801AFD">
      <w:pPr>
        <w:pStyle w:val="Default"/>
        <w:widowControl w:val="0"/>
        <w:jc w:val="both"/>
        <w:rPr>
          <w:sz w:val="20"/>
          <w:szCs w:val="22"/>
          <w:lang w:val="sr-Latn-ME"/>
        </w:rPr>
      </w:pPr>
      <w:r w:rsidRPr="00961C31">
        <w:rPr>
          <w:sz w:val="20"/>
          <w:szCs w:val="22"/>
          <w:vertAlign w:val="superscript"/>
          <w:lang w:val="sr-Latn-ME"/>
        </w:rPr>
        <w:t>c</w:t>
      </w:r>
      <w:r w:rsidR="008B46BA" w:rsidRPr="00961C31">
        <w:rPr>
          <w:sz w:val="20"/>
          <w:szCs w:val="22"/>
          <w:vertAlign w:val="superscript"/>
          <w:lang w:val="sr-Latn-ME"/>
        </w:rPr>
        <w:t xml:space="preserve"> </w:t>
      </w:r>
      <w:r w:rsidR="008B46BA" w:rsidRPr="00961C31">
        <w:rPr>
          <w:sz w:val="20"/>
          <w:szCs w:val="22"/>
          <w:lang w:val="sr-Latn-ME"/>
        </w:rPr>
        <w:t>Diseminirana gonokokna infekcija uključuje preporučene termine „diseminovana gonokokna infekcija“ i „gonokokna infekcija“</w:t>
      </w:r>
    </w:p>
    <w:p w14:paraId="75BC3508" w14:textId="68B35460" w:rsidR="008B46BA" w:rsidRPr="00961C31" w:rsidRDefault="00410F1A" w:rsidP="00801AFD">
      <w:pPr>
        <w:pStyle w:val="Default"/>
        <w:widowControl w:val="0"/>
        <w:jc w:val="both"/>
        <w:rPr>
          <w:sz w:val="20"/>
          <w:szCs w:val="22"/>
          <w:lang w:val="sr-Latn-ME"/>
        </w:rPr>
      </w:pPr>
      <w:r w:rsidRPr="00961C31">
        <w:rPr>
          <w:sz w:val="20"/>
          <w:szCs w:val="22"/>
          <w:vertAlign w:val="superscript"/>
          <w:lang w:val="sr-Latn-ME"/>
        </w:rPr>
        <w:t>d</w:t>
      </w:r>
      <w:r w:rsidR="008B46BA" w:rsidRPr="00961C31">
        <w:rPr>
          <w:sz w:val="20"/>
          <w:szCs w:val="22"/>
          <w:lang w:val="sr-Latn-ME"/>
        </w:rPr>
        <w:t xml:space="preserve"> Procijenjeno iz postmarketinškog iskustva </w:t>
      </w:r>
    </w:p>
    <w:p w14:paraId="24A7D9A2" w14:textId="42B8D41F" w:rsidR="00A84D65" w:rsidRPr="00961C31" w:rsidRDefault="00410F1A" w:rsidP="00801AFD">
      <w:pPr>
        <w:pStyle w:val="Default"/>
        <w:widowControl w:val="0"/>
        <w:jc w:val="both"/>
        <w:rPr>
          <w:sz w:val="22"/>
          <w:lang w:val="sr-Latn-ME"/>
        </w:rPr>
      </w:pPr>
      <w:r w:rsidRPr="00961C31">
        <w:rPr>
          <w:sz w:val="20"/>
          <w:szCs w:val="22"/>
          <w:vertAlign w:val="superscript"/>
          <w:lang w:val="sr-Latn-ME"/>
        </w:rPr>
        <w:t>e</w:t>
      </w:r>
      <w:r w:rsidR="008B46BA" w:rsidRPr="00961C31">
        <w:rPr>
          <w:sz w:val="20"/>
          <w:szCs w:val="22"/>
          <w:vertAlign w:val="superscript"/>
          <w:lang w:val="sr-Latn-ME"/>
        </w:rPr>
        <w:t xml:space="preserve"> </w:t>
      </w:r>
      <w:r w:rsidR="00D423F0" w:rsidRPr="00961C31">
        <w:rPr>
          <w:sz w:val="20"/>
          <w:szCs w:val="22"/>
          <w:lang w:val="sr-Latn-ME"/>
        </w:rPr>
        <w:t xml:space="preserve">Preosjetljivost </w:t>
      </w:r>
      <w:r w:rsidR="002D7031" w:rsidRPr="00961C31">
        <w:rPr>
          <w:sz w:val="20"/>
          <w:szCs w:val="22"/>
          <w:lang w:val="sr-Latn-ME"/>
        </w:rPr>
        <w:t xml:space="preserve">je grupni termin za </w:t>
      </w:r>
      <w:r w:rsidR="008B46BA" w:rsidRPr="00961C31">
        <w:rPr>
          <w:sz w:val="20"/>
          <w:szCs w:val="22"/>
          <w:lang w:val="sr-Latn-ME"/>
        </w:rPr>
        <w:t>preporučene termine „</w:t>
      </w:r>
      <w:r w:rsidR="002D7031" w:rsidRPr="00961C31">
        <w:rPr>
          <w:sz w:val="20"/>
          <w:szCs w:val="22"/>
          <w:lang w:val="sr-Latn-ME"/>
        </w:rPr>
        <w:t>preos</w:t>
      </w:r>
      <w:r w:rsidR="00471BA3" w:rsidRPr="00961C31">
        <w:rPr>
          <w:sz w:val="20"/>
          <w:szCs w:val="22"/>
          <w:lang w:val="sr-Latn-ME"/>
        </w:rPr>
        <w:t>j</w:t>
      </w:r>
      <w:r w:rsidR="002D7031" w:rsidRPr="00961C31">
        <w:rPr>
          <w:sz w:val="20"/>
          <w:szCs w:val="22"/>
          <w:lang w:val="sr-Latn-ME"/>
        </w:rPr>
        <w:t>etljivost na l</w:t>
      </w:r>
      <w:r w:rsidR="00471BA3" w:rsidRPr="00961C31">
        <w:rPr>
          <w:sz w:val="20"/>
          <w:szCs w:val="22"/>
          <w:lang w:val="sr-Latn-ME"/>
        </w:rPr>
        <w:t>j</w:t>
      </w:r>
      <w:r w:rsidR="002D7031" w:rsidRPr="00961C31">
        <w:rPr>
          <w:sz w:val="20"/>
          <w:szCs w:val="22"/>
          <w:lang w:val="sr-Latn-ME"/>
        </w:rPr>
        <w:t>ekove sa povezanim uzročnikom</w:t>
      </w:r>
      <w:r w:rsidR="008B46BA" w:rsidRPr="00961C31">
        <w:rPr>
          <w:sz w:val="20"/>
          <w:szCs w:val="22"/>
          <w:lang w:val="sr-Latn-ME"/>
        </w:rPr>
        <w:t>“</w:t>
      </w:r>
      <w:r w:rsidR="002D7031" w:rsidRPr="00961C31">
        <w:rPr>
          <w:sz w:val="20"/>
          <w:szCs w:val="22"/>
          <w:lang w:val="sr-Latn-ME"/>
        </w:rPr>
        <w:t xml:space="preserve"> i </w:t>
      </w:r>
      <w:r w:rsidR="008B46BA" w:rsidRPr="00961C31">
        <w:rPr>
          <w:sz w:val="20"/>
          <w:szCs w:val="22"/>
          <w:lang w:val="sr-Latn-ME"/>
        </w:rPr>
        <w:t>„</w:t>
      </w:r>
      <w:r w:rsidR="002D7031" w:rsidRPr="00961C31">
        <w:rPr>
          <w:sz w:val="20"/>
          <w:szCs w:val="22"/>
          <w:lang w:val="sr-Latn-ME"/>
        </w:rPr>
        <w:t>preos</w:t>
      </w:r>
      <w:r w:rsidR="00471BA3" w:rsidRPr="00961C31">
        <w:rPr>
          <w:sz w:val="20"/>
          <w:szCs w:val="22"/>
          <w:lang w:val="sr-Latn-ME"/>
        </w:rPr>
        <w:t>j</w:t>
      </w:r>
      <w:r w:rsidR="002D7031" w:rsidRPr="00961C31">
        <w:rPr>
          <w:sz w:val="20"/>
          <w:szCs w:val="22"/>
          <w:lang w:val="sr-Latn-ME"/>
        </w:rPr>
        <w:t>etljivost</w:t>
      </w:r>
      <w:r w:rsidR="008A435D" w:rsidRPr="00961C31">
        <w:rPr>
          <w:sz w:val="20"/>
          <w:szCs w:val="22"/>
          <w:lang w:val="sr-Latn-ME"/>
        </w:rPr>
        <w:t>“</w:t>
      </w:r>
      <w:r w:rsidR="002D7031" w:rsidRPr="00961C31">
        <w:rPr>
          <w:sz w:val="20"/>
          <w:szCs w:val="22"/>
          <w:lang w:val="sr-Latn-ME"/>
        </w:rPr>
        <w:t xml:space="preserve"> </w:t>
      </w:r>
    </w:p>
    <w:p w14:paraId="0A36244D" w14:textId="77777777" w:rsidR="00D423F0" w:rsidRPr="00801AFD" w:rsidRDefault="00D423F0" w:rsidP="00801AFD">
      <w:pPr>
        <w:widowControl w:val="0"/>
        <w:autoSpaceDE w:val="0"/>
        <w:autoSpaceDN w:val="0"/>
        <w:adjustRightInd w:val="0"/>
        <w:jc w:val="both"/>
        <w:rPr>
          <w:color w:val="000000"/>
          <w:sz w:val="22"/>
          <w:szCs w:val="22"/>
          <w:lang w:val="sr-Latn-ME"/>
        </w:rPr>
      </w:pPr>
    </w:p>
    <w:p w14:paraId="6ADD25F0" w14:textId="68D51820" w:rsidR="006F6043" w:rsidRPr="00801AFD" w:rsidRDefault="006F6043" w:rsidP="00801AFD">
      <w:pPr>
        <w:pStyle w:val="Default"/>
        <w:widowControl w:val="0"/>
        <w:jc w:val="both"/>
        <w:rPr>
          <w:sz w:val="22"/>
          <w:szCs w:val="22"/>
          <w:u w:val="single"/>
          <w:lang w:val="sr-Latn-ME"/>
        </w:rPr>
      </w:pPr>
      <w:r w:rsidRPr="00801AFD">
        <w:rPr>
          <w:sz w:val="22"/>
          <w:szCs w:val="22"/>
          <w:u w:val="single"/>
          <w:lang w:val="sr-Latn-ME"/>
        </w:rPr>
        <w:t>Opis odabranih neželjenih reakcija</w:t>
      </w:r>
    </w:p>
    <w:p w14:paraId="410565D8" w14:textId="77777777" w:rsidR="006F6043" w:rsidRPr="00801AFD" w:rsidRDefault="006F6043" w:rsidP="00801AFD">
      <w:pPr>
        <w:pStyle w:val="Default"/>
        <w:widowControl w:val="0"/>
        <w:jc w:val="both"/>
        <w:rPr>
          <w:sz w:val="22"/>
          <w:szCs w:val="22"/>
          <w:u w:val="single"/>
          <w:lang w:val="sr-Latn-ME"/>
        </w:rPr>
      </w:pPr>
    </w:p>
    <w:p w14:paraId="0720DA7A" w14:textId="05DEF18F" w:rsidR="006F6043" w:rsidRPr="00801AFD" w:rsidRDefault="006F6043" w:rsidP="00801AFD">
      <w:pPr>
        <w:pStyle w:val="Default"/>
        <w:widowControl w:val="0"/>
        <w:jc w:val="both"/>
        <w:rPr>
          <w:i/>
          <w:iCs/>
          <w:sz w:val="22"/>
          <w:szCs w:val="22"/>
          <w:lang w:val="sr-Latn-ME"/>
        </w:rPr>
      </w:pPr>
      <w:r w:rsidRPr="00801AFD">
        <w:rPr>
          <w:i/>
          <w:iCs/>
          <w:sz w:val="22"/>
          <w:szCs w:val="22"/>
          <w:lang w:val="sr-Latn-ME"/>
        </w:rPr>
        <w:t>Meningokokna infekcija/sepsa</w:t>
      </w:r>
      <w:r w:rsidR="002D7031" w:rsidRPr="00801AFD">
        <w:rPr>
          <w:i/>
          <w:iCs/>
          <w:sz w:val="22"/>
          <w:szCs w:val="22"/>
          <w:lang w:val="sr-Latn-ME"/>
        </w:rPr>
        <w:t>/encefalitis</w:t>
      </w:r>
    </w:p>
    <w:p w14:paraId="126A26FB" w14:textId="699786BC" w:rsidR="006F6043" w:rsidRPr="00801AFD" w:rsidRDefault="006F6043" w:rsidP="00801AFD">
      <w:pPr>
        <w:pStyle w:val="Default"/>
        <w:widowControl w:val="0"/>
        <w:jc w:val="both"/>
        <w:rPr>
          <w:sz w:val="22"/>
          <w:szCs w:val="22"/>
          <w:lang w:val="sr-Latn-ME"/>
        </w:rPr>
      </w:pPr>
      <w:r w:rsidRPr="00801AFD">
        <w:rPr>
          <w:sz w:val="22"/>
          <w:szCs w:val="22"/>
          <w:lang w:val="sr-Latn-ME"/>
        </w:rPr>
        <w:t>Vakcinacija smanjuje, ali ne eliminiše rizik od meningokokne infekcije. U kliničkim ispitivanjima,</w:t>
      </w:r>
      <w:r w:rsidR="002D7031" w:rsidRPr="00801AFD">
        <w:rPr>
          <w:color w:val="auto"/>
          <w:sz w:val="22"/>
          <w:szCs w:val="22"/>
          <w:lang w:val="sr-Latn-ME"/>
        </w:rPr>
        <w:t>&lt; 1%</w:t>
      </w:r>
      <w:r w:rsidR="00FF0A34" w:rsidRPr="00801AFD">
        <w:rPr>
          <w:sz w:val="22"/>
          <w:szCs w:val="22"/>
          <w:lang w:val="sr-Latn-ME"/>
        </w:rPr>
        <w:t xml:space="preserve"> </w:t>
      </w:r>
      <w:r w:rsidRPr="00801AFD">
        <w:rPr>
          <w:sz w:val="22"/>
          <w:szCs w:val="22"/>
          <w:lang w:val="sr-Latn-ME"/>
        </w:rPr>
        <w:t>pacijenta razvilo je tešku meningokoknu infekciju dok je primalo terapiju ravulizumabom; sv</w:t>
      </w:r>
      <w:r w:rsidR="002D7031" w:rsidRPr="00801AFD">
        <w:rPr>
          <w:sz w:val="22"/>
          <w:szCs w:val="22"/>
          <w:lang w:val="sr-Latn-ME"/>
        </w:rPr>
        <w:t>i</w:t>
      </w:r>
      <w:r w:rsidRPr="00801AFD">
        <w:rPr>
          <w:sz w:val="22"/>
          <w:szCs w:val="22"/>
          <w:lang w:val="sr-Latn-ME"/>
        </w:rPr>
        <w:t xml:space="preserve"> </w:t>
      </w:r>
      <w:r w:rsidR="00234DF4" w:rsidRPr="00801AFD">
        <w:rPr>
          <w:sz w:val="22"/>
          <w:szCs w:val="22"/>
          <w:lang w:val="sr-Latn-ME"/>
        </w:rPr>
        <w:t>(</w:t>
      </w:r>
      <w:r w:rsidRPr="00801AFD">
        <w:rPr>
          <w:sz w:val="22"/>
          <w:szCs w:val="22"/>
          <w:lang w:val="sr-Latn-ME"/>
        </w:rPr>
        <w:t>3</w:t>
      </w:r>
      <w:r w:rsidR="00BF454C" w:rsidRPr="00801AFD">
        <w:rPr>
          <w:sz w:val="22"/>
          <w:szCs w:val="22"/>
          <w:lang w:val="sr-Latn-ME"/>
        </w:rPr>
        <w:t xml:space="preserve"> </w:t>
      </w:r>
      <w:r w:rsidR="00234DF4" w:rsidRPr="00801AFD">
        <w:rPr>
          <w:sz w:val="22"/>
          <w:szCs w:val="22"/>
          <w:lang w:val="sr-Latn-ME"/>
        </w:rPr>
        <w:t>pacijenta) su bili</w:t>
      </w:r>
      <w:r w:rsidRPr="00801AFD">
        <w:rPr>
          <w:sz w:val="22"/>
          <w:szCs w:val="22"/>
          <w:lang w:val="sr-Latn-ME"/>
        </w:rPr>
        <w:t xml:space="preserve"> </w:t>
      </w:r>
      <w:r w:rsidR="002D7031" w:rsidRPr="00801AFD">
        <w:rPr>
          <w:sz w:val="22"/>
          <w:szCs w:val="22"/>
          <w:lang w:val="sr-Latn-ME"/>
        </w:rPr>
        <w:t>odrasli</w:t>
      </w:r>
      <w:r w:rsidR="00234DF4" w:rsidRPr="00801AFD">
        <w:rPr>
          <w:sz w:val="22"/>
          <w:szCs w:val="22"/>
          <w:lang w:val="sr-Latn-ME"/>
        </w:rPr>
        <w:t xml:space="preserve"> </w:t>
      </w:r>
      <w:r w:rsidR="00BF454C" w:rsidRPr="00801AFD">
        <w:rPr>
          <w:sz w:val="22"/>
          <w:szCs w:val="22"/>
          <w:lang w:val="sr-Latn-ME"/>
        </w:rPr>
        <w:t xml:space="preserve">vakcinisani </w:t>
      </w:r>
      <w:r w:rsidR="00234DF4" w:rsidRPr="00801AFD">
        <w:rPr>
          <w:sz w:val="22"/>
          <w:szCs w:val="22"/>
          <w:lang w:val="sr-Latn-ME"/>
        </w:rPr>
        <w:t>pacijenti</w:t>
      </w:r>
      <w:r w:rsidR="00535855" w:rsidRPr="00801AFD">
        <w:rPr>
          <w:sz w:val="22"/>
          <w:szCs w:val="22"/>
          <w:lang w:val="sr-Latn-ME"/>
        </w:rPr>
        <w:t xml:space="preserve"> sa PNH ili NMOSD</w:t>
      </w:r>
      <w:r w:rsidRPr="00801AFD">
        <w:rPr>
          <w:sz w:val="22"/>
          <w:szCs w:val="22"/>
          <w:lang w:val="sr-Latn-ME"/>
        </w:rPr>
        <w:t xml:space="preserve">. </w:t>
      </w:r>
      <w:r w:rsidR="00535855" w:rsidRPr="00801AFD">
        <w:rPr>
          <w:sz w:val="22"/>
          <w:szCs w:val="22"/>
          <w:lang w:val="sr-Latn-ME"/>
        </w:rPr>
        <w:t>Z</w:t>
      </w:r>
      <w:r w:rsidRPr="00801AFD">
        <w:rPr>
          <w:sz w:val="22"/>
          <w:szCs w:val="22"/>
          <w:lang w:val="sr-Latn-ME"/>
        </w:rPr>
        <w:t xml:space="preserve">a informacije o prevenciji i liječenju meningokokne infekcije, vidjeti </w:t>
      </w:r>
      <w:r w:rsidR="003F7208" w:rsidRPr="00801AFD">
        <w:rPr>
          <w:sz w:val="22"/>
          <w:szCs w:val="22"/>
          <w:lang w:val="sr-Latn-ME"/>
        </w:rPr>
        <w:t xml:space="preserve">dio </w:t>
      </w:r>
      <w:r w:rsidRPr="00801AFD">
        <w:rPr>
          <w:sz w:val="22"/>
          <w:szCs w:val="22"/>
          <w:lang w:val="sr-Latn-ME"/>
        </w:rPr>
        <w:t>4.4. Meningokokne infekcije kod pacijenata liječenih ravulizumabom predstavljene su kao meningokokna sepsa</w:t>
      </w:r>
      <w:r w:rsidR="00535855" w:rsidRPr="00801AFD">
        <w:rPr>
          <w:sz w:val="22"/>
          <w:szCs w:val="22"/>
          <w:lang w:val="sr-Latn-ME"/>
        </w:rPr>
        <w:t xml:space="preserve"> i menignokokni encefalitis</w:t>
      </w:r>
      <w:r w:rsidRPr="00801AFD">
        <w:rPr>
          <w:sz w:val="22"/>
          <w:szCs w:val="22"/>
          <w:lang w:val="sr-Latn-ME"/>
        </w:rPr>
        <w:t xml:space="preserve">. Pacijenti </w:t>
      </w:r>
      <w:r w:rsidR="005559D6" w:rsidRPr="00801AFD">
        <w:rPr>
          <w:sz w:val="22"/>
          <w:szCs w:val="22"/>
          <w:lang w:val="sr-Latn-ME"/>
        </w:rPr>
        <w:t xml:space="preserve">moraju biti </w:t>
      </w:r>
      <w:r w:rsidRPr="00801AFD">
        <w:rPr>
          <w:sz w:val="22"/>
          <w:szCs w:val="22"/>
          <w:lang w:val="sr-Latn-ME"/>
        </w:rPr>
        <w:t xml:space="preserve">upoznati sa znacima i simptomima meningokokne </w:t>
      </w:r>
      <w:r w:rsidR="00535855" w:rsidRPr="00801AFD">
        <w:rPr>
          <w:sz w:val="22"/>
          <w:szCs w:val="22"/>
          <w:lang w:val="sr-Latn-ME"/>
        </w:rPr>
        <w:t>infekcije</w:t>
      </w:r>
      <w:r w:rsidR="007229C0" w:rsidRPr="00801AFD">
        <w:rPr>
          <w:sz w:val="22"/>
          <w:szCs w:val="22"/>
          <w:lang w:val="sr-Latn-ME"/>
        </w:rPr>
        <w:t xml:space="preserve"> </w:t>
      </w:r>
      <w:r w:rsidRPr="00801AFD">
        <w:rPr>
          <w:sz w:val="22"/>
          <w:szCs w:val="22"/>
          <w:lang w:val="sr-Latn-ME"/>
        </w:rPr>
        <w:t>i treba im objasniti da odmah potraže medicinsku pomoć.</w:t>
      </w:r>
    </w:p>
    <w:p w14:paraId="03066780" w14:textId="77777777" w:rsidR="00AE5148" w:rsidRPr="00801AFD" w:rsidRDefault="00AE5148" w:rsidP="00801AFD">
      <w:pPr>
        <w:pStyle w:val="Default"/>
        <w:widowControl w:val="0"/>
        <w:jc w:val="both"/>
        <w:rPr>
          <w:sz w:val="22"/>
          <w:szCs w:val="22"/>
          <w:lang w:val="sr-Latn-ME"/>
        </w:rPr>
      </w:pPr>
    </w:p>
    <w:p w14:paraId="19EB844C" w14:textId="70A4F2E0" w:rsidR="00AE5148" w:rsidRPr="00801AFD" w:rsidRDefault="00AE5148" w:rsidP="00801AFD">
      <w:pPr>
        <w:pStyle w:val="Default"/>
        <w:widowControl w:val="0"/>
        <w:jc w:val="both"/>
        <w:rPr>
          <w:i/>
          <w:sz w:val="22"/>
          <w:szCs w:val="22"/>
          <w:lang w:val="sr-Latn-ME"/>
        </w:rPr>
      </w:pPr>
      <w:r w:rsidRPr="00801AFD">
        <w:rPr>
          <w:i/>
          <w:sz w:val="22"/>
          <w:szCs w:val="22"/>
          <w:lang w:val="sr-Latn-ME"/>
        </w:rPr>
        <w:t>Reakcije povezane s infuzijom</w:t>
      </w:r>
    </w:p>
    <w:p w14:paraId="0D66288E" w14:textId="00FBD5FC" w:rsidR="006F6043" w:rsidRPr="00801AFD" w:rsidRDefault="00AE5148" w:rsidP="00801AFD">
      <w:pPr>
        <w:pStyle w:val="Default"/>
        <w:widowControl w:val="0"/>
        <w:jc w:val="both"/>
        <w:rPr>
          <w:sz w:val="22"/>
          <w:szCs w:val="22"/>
          <w:lang w:val="sr-Latn-ME"/>
        </w:rPr>
      </w:pPr>
      <w:r w:rsidRPr="00801AFD">
        <w:rPr>
          <w:sz w:val="22"/>
          <w:szCs w:val="22"/>
          <w:lang w:val="sr-Latn-ME"/>
        </w:rPr>
        <w:t>U kliničkim ispitivanjima, reakcije povezane s infuzijom bile su česte (≥ 1 %). Ti događaji, blage do</w:t>
      </w:r>
      <w:r w:rsidR="00961C31">
        <w:rPr>
          <w:sz w:val="22"/>
          <w:szCs w:val="22"/>
          <w:lang w:val="sr-Latn-ME"/>
        </w:rPr>
        <w:t xml:space="preserve"> </w:t>
      </w:r>
      <w:r w:rsidRPr="00801AFD">
        <w:rPr>
          <w:sz w:val="22"/>
          <w:szCs w:val="22"/>
          <w:lang w:val="sr-Latn-ME"/>
        </w:rPr>
        <w:t>um</w:t>
      </w:r>
      <w:r w:rsidR="00BF454C" w:rsidRPr="00801AFD">
        <w:rPr>
          <w:sz w:val="22"/>
          <w:szCs w:val="22"/>
          <w:lang w:val="sr-Latn-ME"/>
        </w:rPr>
        <w:t>j</w:t>
      </w:r>
      <w:r w:rsidRPr="00801AFD">
        <w:rPr>
          <w:sz w:val="22"/>
          <w:szCs w:val="22"/>
          <w:lang w:val="sr-Latn-ME"/>
        </w:rPr>
        <w:t>erene težine i prolazni, uključivali su bol u leđima, bol u abdomenu, grčeve u mišićima, sniženje</w:t>
      </w:r>
      <w:r w:rsidR="00961C31">
        <w:rPr>
          <w:sz w:val="22"/>
          <w:szCs w:val="22"/>
          <w:lang w:val="sr-Latn-ME"/>
        </w:rPr>
        <w:t xml:space="preserve"> </w:t>
      </w:r>
      <w:r w:rsidRPr="00801AFD">
        <w:rPr>
          <w:sz w:val="22"/>
          <w:szCs w:val="22"/>
          <w:lang w:val="sr-Latn-ME"/>
        </w:rPr>
        <w:t>krvnog pritiska, povišenje krvnog pritiska, drhatnje, nelagodu u udovima, preos</w:t>
      </w:r>
      <w:r w:rsidR="00BF454C" w:rsidRPr="00801AFD">
        <w:rPr>
          <w:sz w:val="22"/>
          <w:szCs w:val="22"/>
          <w:lang w:val="sr-Latn-ME"/>
        </w:rPr>
        <w:t>j</w:t>
      </w:r>
      <w:r w:rsidRPr="00801AFD">
        <w:rPr>
          <w:sz w:val="22"/>
          <w:szCs w:val="22"/>
          <w:lang w:val="sr-Latn-ME"/>
        </w:rPr>
        <w:t>etljivost (alergijska reakcija), disgeuziju (loš okus) i omamljenost. Ove reakcije nisu zaht</w:t>
      </w:r>
      <w:r w:rsidR="00BF454C" w:rsidRPr="00801AFD">
        <w:rPr>
          <w:sz w:val="22"/>
          <w:szCs w:val="22"/>
          <w:lang w:val="sr-Latn-ME"/>
        </w:rPr>
        <w:t>ij</w:t>
      </w:r>
      <w:r w:rsidRPr="00801AFD">
        <w:rPr>
          <w:sz w:val="22"/>
          <w:szCs w:val="22"/>
          <w:lang w:val="sr-Latn-ME"/>
        </w:rPr>
        <w:t>evale prekid</w:t>
      </w:r>
      <w:r w:rsidR="00961C31">
        <w:rPr>
          <w:sz w:val="22"/>
          <w:szCs w:val="22"/>
          <w:lang w:val="sr-Latn-ME"/>
        </w:rPr>
        <w:t xml:space="preserve"> </w:t>
      </w:r>
      <w:r w:rsidRPr="00801AFD">
        <w:rPr>
          <w:sz w:val="22"/>
          <w:szCs w:val="22"/>
          <w:lang w:val="sr-Latn-ME"/>
        </w:rPr>
        <w:t>prim</w:t>
      </w:r>
      <w:r w:rsidR="00BF454C" w:rsidRPr="00801AFD">
        <w:rPr>
          <w:sz w:val="22"/>
          <w:szCs w:val="22"/>
          <w:lang w:val="sr-Latn-ME"/>
        </w:rPr>
        <w:t>j</w:t>
      </w:r>
      <w:r w:rsidRPr="00801AFD">
        <w:rPr>
          <w:sz w:val="22"/>
          <w:szCs w:val="22"/>
          <w:lang w:val="sr-Latn-ME"/>
        </w:rPr>
        <w:t>ene ravulizumaba.</w:t>
      </w:r>
    </w:p>
    <w:p w14:paraId="2D556A31" w14:textId="77777777" w:rsidR="00AE5148" w:rsidRPr="00801AFD" w:rsidRDefault="00AE5148" w:rsidP="00801AFD">
      <w:pPr>
        <w:pStyle w:val="Default"/>
        <w:widowControl w:val="0"/>
        <w:jc w:val="both"/>
        <w:rPr>
          <w:sz w:val="22"/>
          <w:szCs w:val="22"/>
          <w:lang w:val="sr-Latn-ME"/>
        </w:rPr>
      </w:pPr>
    </w:p>
    <w:p w14:paraId="232E79FF" w14:textId="5465F194" w:rsidR="006F6043" w:rsidRPr="00801AFD" w:rsidRDefault="006F6043" w:rsidP="00801AFD">
      <w:pPr>
        <w:pStyle w:val="Default"/>
        <w:widowControl w:val="0"/>
        <w:jc w:val="both"/>
        <w:rPr>
          <w:sz w:val="22"/>
          <w:szCs w:val="22"/>
          <w:lang w:val="sr-Latn-ME"/>
        </w:rPr>
      </w:pPr>
      <w:r w:rsidRPr="00801AFD">
        <w:rPr>
          <w:i/>
          <w:iCs/>
          <w:sz w:val="22"/>
          <w:szCs w:val="22"/>
          <w:lang w:val="sr-Latn-ME"/>
        </w:rPr>
        <w:t xml:space="preserve">Imunogenost </w:t>
      </w:r>
      <w:r w:rsidR="00F14DE0" w:rsidRPr="00801AFD">
        <w:rPr>
          <w:i/>
          <w:iCs/>
          <w:sz w:val="22"/>
          <w:szCs w:val="22"/>
          <w:lang w:val="sr-Latn-ME"/>
        </w:rPr>
        <w:t xml:space="preserve"> </w:t>
      </w:r>
    </w:p>
    <w:p w14:paraId="490AFE22" w14:textId="24957C1F" w:rsidR="006F6043" w:rsidRPr="00801AFD" w:rsidRDefault="006F6043" w:rsidP="00801AFD">
      <w:pPr>
        <w:widowControl w:val="0"/>
        <w:jc w:val="both"/>
        <w:rPr>
          <w:color w:val="000000"/>
          <w:sz w:val="22"/>
          <w:szCs w:val="22"/>
          <w:lang w:val="sr-Latn-ME"/>
        </w:rPr>
      </w:pPr>
      <w:r w:rsidRPr="00801AFD">
        <w:rPr>
          <w:color w:val="000000"/>
          <w:sz w:val="22"/>
          <w:szCs w:val="22"/>
          <w:lang w:val="sr-Latn-ME"/>
        </w:rPr>
        <w:t xml:space="preserve">Liječenje bilo kojim terapijskim proteinom može izazvati imuni odgovor. U studijama na pacijentima sa PNH (N = </w:t>
      </w:r>
      <w:r w:rsidR="00AE5148" w:rsidRPr="00801AFD">
        <w:rPr>
          <w:color w:val="000000"/>
          <w:sz w:val="22"/>
          <w:szCs w:val="22"/>
          <w:lang w:val="sr-Latn-ME"/>
        </w:rPr>
        <w:t>475</w:t>
      </w:r>
      <w:r w:rsidRPr="00801AFD">
        <w:rPr>
          <w:color w:val="000000"/>
          <w:sz w:val="22"/>
          <w:szCs w:val="22"/>
          <w:lang w:val="sr-Latn-ME"/>
        </w:rPr>
        <w:t>)</w:t>
      </w:r>
      <w:r w:rsidR="00FF0A34" w:rsidRPr="00801AFD">
        <w:rPr>
          <w:color w:val="000000"/>
          <w:sz w:val="22"/>
          <w:szCs w:val="22"/>
          <w:lang w:val="sr-Latn-ME"/>
        </w:rPr>
        <w:t>,</w:t>
      </w:r>
      <w:r w:rsidR="00FF0A34" w:rsidRPr="00801AFD">
        <w:rPr>
          <w:sz w:val="22"/>
          <w:szCs w:val="22"/>
          <w:lang w:val="sr-Latn-ME"/>
        </w:rPr>
        <w:t xml:space="preserve"> </w:t>
      </w:r>
      <w:r w:rsidR="00FF0A34" w:rsidRPr="00801AFD">
        <w:rPr>
          <w:color w:val="000000"/>
          <w:sz w:val="22"/>
          <w:szCs w:val="22"/>
          <w:lang w:val="sr-Latn-ME"/>
        </w:rPr>
        <w:t>pedijatrijskim pacijentima sa PNH (N = 13)</w:t>
      </w:r>
      <w:r w:rsidR="005559D6" w:rsidRPr="00801AFD">
        <w:rPr>
          <w:color w:val="000000"/>
          <w:sz w:val="22"/>
          <w:szCs w:val="22"/>
          <w:lang w:val="sr-Latn-ME"/>
        </w:rPr>
        <w:t>,</w:t>
      </w:r>
      <w:r w:rsidRPr="00801AFD">
        <w:rPr>
          <w:color w:val="000000"/>
          <w:sz w:val="22"/>
          <w:szCs w:val="22"/>
          <w:lang w:val="sr-Latn-ME"/>
        </w:rPr>
        <w:t xml:space="preserve"> aHUS (N = 89),</w:t>
      </w:r>
      <w:r w:rsidR="00A84D65" w:rsidRPr="00801AFD">
        <w:rPr>
          <w:color w:val="000000"/>
          <w:sz w:val="22"/>
          <w:szCs w:val="22"/>
          <w:lang w:val="sr-Latn-ME"/>
        </w:rPr>
        <w:t xml:space="preserve"> gMG studije (N=86) </w:t>
      </w:r>
      <w:r w:rsidR="00535855" w:rsidRPr="00801AFD">
        <w:rPr>
          <w:color w:val="000000"/>
          <w:sz w:val="22"/>
          <w:szCs w:val="22"/>
          <w:lang w:val="sr-Latn-ME"/>
        </w:rPr>
        <w:t>i NMOSD studije</w:t>
      </w:r>
      <w:r w:rsidR="00535855" w:rsidRPr="00801AFD">
        <w:rPr>
          <w:sz w:val="22"/>
          <w:szCs w:val="22"/>
          <w:lang w:val="sr-Latn-ME"/>
        </w:rPr>
        <w:t xml:space="preserve"> (N = 58), </w:t>
      </w:r>
      <w:r w:rsidR="003F7208" w:rsidRPr="00801AFD">
        <w:rPr>
          <w:color w:val="000000"/>
          <w:sz w:val="22"/>
          <w:szCs w:val="22"/>
          <w:lang w:val="sr-Latn-ME"/>
        </w:rPr>
        <w:t xml:space="preserve">zabilježena </w:t>
      </w:r>
      <w:r w:rsidRPr="00801AFD">
        <w:rPr>
          <w:color w:val="000000"/>
          <w:sz w:val="22"/>
          <w:szCs w:val="22"/>
          <w:lang w:val="sr-Latn-ME"/>
        </w:rPr>
        <w:t>su samo 2 slučaja (0,</w:t>
      </w:r>
      <w:r w:rsidR="00AE5148" w:rsidRPr="00801AFD">
        <w:rPr>
          <w:color w:val="000000"/>
          <w:sz w:val="22"/>
          <w:szCs w:val="22"/>
          <w:lang w:val="sr-Latn-ME"/>
        </w:rPr>
        <w:t>43</w:t>
      </w:r>
      <w:r w:rsidRPr="00801AFD">
        <w:rPr>
          <w:color w:val="000000"/>
          <w:sz w:val="22"/>
          <w:szCs w:val="22"/>
          <w:lang w:val="sr-Latn-ME"/>
        </w:rPr>
        <w:t>%) razvoja antit</w:t>
      </w:r>
      <w:r w:rsidR="00BF454C" w:rsidRPr="00801AFD">
        <w:rPr>
          <w:color w:val="000000"/>
          <w:sz w:val="22"/>
          <w:szCs w:val="22"/>
          <w:lang w:val="sr-Latn-ME"/>
        </w:rPr>
        <w:t>i</w:t>
      </w:r>
      <w:r w:rsidRPr="00801AFD">
        <w:rPr>
          <w:color w:val="000000"/>
          <w:sz w:val="22"/>
          <w:szCs w:val="22"/>
          <w:lang w:val="sr-Latn-ME"/>
        </w:rPr>
        <w:t>jela na ljekove tokom liječenja ravulizumabom</w:t>
      </w:r>
      <w:r w:rsidR="00FF0A34" w:rsidRPr="00801AFD">
        <w:rPr>
          <w:color w:val="000000"/>
          <w:sz w:val="22"/>
          <w:szCs w:val="22"/>
          <w:lang w:val="sr-Latn-ME"/>
        </w:rPr>
        <w:t xml:space="preserve"> (1 odrasli pacijent sa PNH i 1 odrasli pacijent sa aHUS).</w:t>
      </w:r>
      <w:r w:rsidRPr="00801AFD">
        <w:rPr>
          <w:color w:val="000000"/>
          <w:sz w:val="22"/>
          <w:szCs w:val="22"/>
          <w:lang w:val="sr-Latn-ME"/>
        </w:rPr>
        <w:t xml:space="preserve"> Ova antit</w:t>
      </w:r>
      <w:r w:rsidR="00BF454C" w:rsidRPr="00801AFD">
        <w:rPr>
          <w:color w:val="000000"/>
          <w:sz w:val="22"/>
          <w:szCs w:val="22"/>
          <w:lang w:val="sr-Latn-ME"/>
        </w:rPr>
        <w:t>i</w:t>
      </w:r>
      <w:r w:rsidRPr="00801AFD">
        <w:rPr>
          <w:color w:val="000000"/>
          <w:sz w:val="22"/>
          <w:szCs w:val="22"/>
          <w:lang w:val="sr-Latn-ME"/>
        </w:rPr>
        <w:t>jela su bila prolazne prirode i bila su prisutna u niskim titrima i nijesu bila povezana sa kliničkim odgovorom ili neželjenim događajima.</w:t>
      </w:r>
    </w:p>
    <w:p w14:paraId="45C437AB" w14:textId="77777777" w:rsidR="006F6043" w:rsidRPr="00801AFD" w:rsidRDefault="006F6043" w:rsidP="00801AFD">
      <w:pPr>
        <w:widowControl w:val="0"/>
        <w:jc w:val="both"/>
        <w:rPr>
          <w:i/>
          <w:iCs/>
          <w:color w:val="000000"/>
          <w:sz w:val="22"/>
          <w:szCs w:val="22"/>
          <w:lang w:val="sr-Latn-ME"/>
        </w:rPr>
      </w:pPr>
    </w:p>
    <w:p w14:paraId="13986262" w14:textId="07306048" w:rsidR="006F6043" w:rsidRPr="00801AFD" w:rsidRDefault="006F6043" w:rsidP="00801AFD">
      <w:pPr>
        <w:widowControl w:val="0"/>
        <w:jc w:val="both"/>
        <w:rPr>
          <w:i/>
          <w:iCs/>
          <w:color w:val="000000"/>
          <w:sz w:val="22"/>
          <w:szCs w:val="22"/>
          <w:lang w:val="sr-Latn-ME"/>
        </w:rPr>
      </w:pPr>
      <w:r w:rsidRPr="00801AFD">
        <w:rPr>
          <w:i/>
          <w:iCs/>
          <w:color w:val="000000"/>
          <w:sz w:val="22"/>
          <w:szCs w:val="22"/>
          <w:lang w:val="sr-Latn-ME"/>
        </w:rPr>
        <w:t>Pedijatrijska populacija</w:t>
      </w:r>
    </w:p>
    <w:p w14:paraId="65EA5098" w14:textId="6922B806" w:rsidR="00FF0A34" w:rsidRPr="00801AFD" w:rsidRDefault="00FF0A34" w:rsidP="00801AFD">
      <w:pPr>
        <w:widowControl w:val="0"/>
        <w:jc w:val="both"/>
        <w:rPr>
          <w:i/>
          <w:iCs/>
          <w:color w:val="000000"/>
          <w:sz w:val="22"/>
          <w:szCs w:val="22"/>
          <w:lang w:val="sr-Latn-ME"/>
        </w:rPr>
      </w:pPr>
    </w:p>
    <w:p w14:paraId="5738A055" w14:textId="77777777" w:rsidR="00FF0A34" w:rsidRPr="00801AFD" w:rsidRDefault="00FF0A34" w:rsidP="00801AFD">
      <w:pPr>
        <w:widowControl w:val="0"/>
        <w:jc w:val="both"/>
        <w:rPr>
          <w:i/>
          <w:iCs/>
          <w:color w:val="000000"/>
          <w:sz w:val="22"/>
          <w:szCs w:val="22"/>
          <w:u w:val="single"/>
          <w:lang w:val="sr-Latn-ME"/>
        </w:rPr>
      </w:pPr>
      <w:r w:rsidRPr="00801AFD">
        <w:rPr>
          <w:i/>
          <w:iCs/>
          <w:color w:val="000000"/>
          <w:sz w:val="22"/>
          <w:szCs w:val="22"/>
          <w:u w:val="single"/>
          <w:lang w:val="sr-Latn-ME"/>
        </w:rPr>
        <w:t>Paroksizmalna noćna hemoglobinurija (PNH)</w:t>
      </w:r>
    </w:p>
    <w:p w14:paraId="73FAB217" w14:textId="526428BE" w:rsidR="00FF0A34" w:rsidRPr="00801AFD" w:rsidRDefault="00FF0A34" w:rsidP="00801AFD">
      <w:pPr>
        <w:widowControl w:val="0"/>
        <w:jc w:val="both"/>
        <w:rPr>
          <w:color w:val="000000"/>
          <w:sz w:val="22"/>
          <w:szCs w:val="22"/>
          <w:lang w:val="sr-Latn-ME"/>
        </w:rPr>
      </w:pPr>
      <w:r w:rsidRPr="00801AFD">
        <w:rPr>
          <w:color w:val="000000"/>
          <w:sz w:val="22"/>
          <w:szCs w:val="22"/>
          <w:lang w:val="sr-Latn-ME"/>
        </w:rPr>
        <w:t>Kod pedijatrijskih pacijenata sa PNH (</w:t>
      </w:r>
      <w:r w:rsidR="008A435D" w:rsidRPr="00801AFD">
        <w:rPr>
          <w:sz w:val="22"/>
          <w:szCs w:val="22"/>
          <w:lang w:val="sr-Latn-ME"/>
        </w:rPr>
        <w:t xml:space="preserve">N = 13, </w:t>
      </w:r>
      <w:r w:rsidRPr="00801AFD">
        <w:rPr>
          <w:color w:val="000000"/>
          <w:sz w:val="22"/>
          <w:szCs w:val="22"/>
          <w:lang w:val="sr-Latn-ME"/>
        </w:rPr>
        <w:t>uzrasta od 9 do 17 godina) koji su uključeni u PNH studiju (ALXN1210-PNH-304), d</w:t>
      </w:r>
      <w:r w:rsidR="003F7208" w:rsidRPr="00801AFD">
        <w:rPr>
          <w:color w:val="000000"/>
          <w:sz w:val="22"/>
          <w:szCs w:val="22"/>
          <w:lang w:val="sr-Latn-ME"/>
        </w:rPr>
        <w:t>j</w:t>
      </w:r>
      <w:r w:rsidRPr="00801AFD">
        <w:rPr>
          <w:color w:val="000000"/>
          <w:sz w:val="22"/>
          <w:szCs w:val="22"/>
          <w:lang w:val="sr-Latn-ME"/>
        </w:rPr>
        <w:t>elovalo je da je bezbednosni profil sličan onome koji je prim</w:t>
      </w:r>
      <w:r w:rsidR="003F7208" w:rsidRPr="00801AFD">
        <w:rPr>
          <w:color w:val="000000"/>
          <w:sz w:val="22"/>
          <w:szCs w:val="22"/>
          <w:lang w:val="sr-Latn-ME"/>
        </w:rPr>
        <w:t>i</w:t>
      </w:r>
      <w:r w:rsidRPr="00801AFD">
        <w:rPr>
          <w:color w:val="000000"/>
          <w:sz w:val="22"/>
          <w:szCs w:val="22"/>
          <w:lang w:val="sr-Latn-ME"/>
        </w:rPr>
        <w:t>jećen kod odraslih pacijenata sa PNH. Najčešće neželjene reakcije, prijavljene kod pedijatrijskih pacijenata sa PNH, su bile bol u abdomenu</w:t>
      </w:r>
      <w:r w:rsidR="008A435D" w:rsidRPr="00801AFD">
        <w:rPr>
          <w:color w:val="000000"/>
          <w:sz w:val="22"/>
          <w:szCs w:val="22"/>
          <w:lang w:val="sr-Latn-ME"/>
        </w:rPr>
        <w:t xml:space="preserve">, </w:t>
      </w:r>
      <w:r w:rsidRPr="00801AFD">
        <w:rPr>
          <w:color w:val="000000"/>
          <w:sz w:val="22"/>
          <w:szCs w:val="22"/>
          <w:lang w:val="sr-Latn-ME"/>
        </w:rPr>
        <w:t xml:space="preserve"> </w:t>
      </w:r>
      <w:r w:rsidR="008A435D" w:rsidRPr="00801AFD">
        <w:rPr>
          <w:color w:val="000000"/>
          <w:sz w:val="22"/>
          <w:szCs w:val="22"/>
          <w:lang w:val="sr-Latn-ME"/>
        </w:rPr>
        <w:t xml:space="preserve">mučnina, </w:t>
      </w:r>
      <w:r w:rsidRPr="00801AFD">
        <w:rPr>
          <w:color w:val="000000"/>
          <w:sz w:val="22"/>
          <w:szCs w:val="22"/>
          <w:lang w:val="sr-Latn-ME"/>
        </w:rPr>
        <w:t>nazofaringitis</w:t>
      </w:r>
      <w:r w:rsidR="008A435D" w:rsidRPr="00801AFD">
        <w:rPr>
          <w:color w:val="000000"/>
          <w:sz w:val="22"/>
          <w:szCs w:val="22"/>
          <w:lang w:val="sr-Latn-ME"/>
        </w:rPr>
        <w:t xml:space="preserve"> i glavobolja </w:t>
      </w:r>
      <w:r w:rsidRPr="00801AFD">
        <w:rPr>
          <w:color w:val="000000"/>
          <w:sz w:val="22"/>
          <w:szCs w:val="22"/>
          <w:lang w:val="sr-Latn-ME"/>
        </w:rPr>
        <w:t xml:space="preserve">koje su se javile kod </w:t>
      </w:r>
      <w:r w:rsidR="008A435D" w:rsidRPr="00801AFD">
        <w:rPr>
          <w:color w:val="000000"/>
          <w:sz w:val="22"/>
          <w:szCs w:val="22"/>
          <w:lang w:val="sr-Latn-ME"/>
        </w:rPr>
        <w:t xml:space="preserve">3 </w:t>
      </w:r>
      <w:r w:rsidRPr="00801AFD">
        <w:rPr>
          <w:color w:val="000000"/>
          <w:sz w:val="22"/>
          <w:szCs w:val="22"/>
          <w:lang w:val="sr-Latn-ME"/>
        </w:rPr>
        <w:t>pacijenta (</w:t>
      </w:r>
      <w:r w:rsidR="008A435D" w:rsidRPr="00801AFD">
        <w:rPr>
          <w:color w:val="000000"/>
          <w:sz w:val="22"/>
          <w:szCs w:val="22"/>
          <w:lang w:val="sr-Latn-ME"/>
        </w:rPr>
        <w:t>23,1</w:t>
      </w:r>
      <w:r w:rsidRPr="00801AFD">
        <w:rPr>
          <w:color w:val="000000"/>
          <w:sz w:val="22"/>
          <w:szCs w:val="22"/>
          <w:lang w:val="sr-Latn-ME"/>
        </w:rPr>
        <w:t>%).</w:t>
      </w:r>
    </w:p>
    <w:p w14:paraId="64C254BA" w14:textId="0E395145" w:rsidR="00EF0C21" w:rsidRPr="00801AFD" w:rsidRDefault="00EF0C21" w:rsidP="00801AFD">
      <w:pPr>
        <w:widowControl w:val="0"/>
        <w:jc w:val="both"/>
        <w:rPr>
          <w:color w:val="000000"/>
          <w:sz w:val="22"/>
          <w:szCs w:val="22"/>
          <w:lang w:val="sr-Latn-ME"/>
        </w:rPr>
      </w:pPr>
    </w:p>
    <w:p w14:paraId="47EF748B" w14:textId="43547C71" w:rsidR="00EF0C21" w:rsidRPr="00801AFD" w:rsidRDefault="00EF0C21" w:rsidP="00801AFD">
      <w:pPr>
        <w:widowControl w:val="0"/>
        <w:jc w:val="both"/>
        <w:rPr>
          <w:i/>
          <w:iCs/>
          <w:color w:val="000000"/>
          <w:sz w:val="22"/>
          <w:szCs w:val="22"/>
          <w:u w:val="single"/>
          <w:lang w:val="sr-Latn-ME"/>
        </w:rPr>
      </w:pPr>
      <w:r w:rsidRPr="00801AFD">
        <w:rPr>
          <w:i/>
          <w:iCs/>
          <w:color w:val="000000"/>
          <w:sz w:val="22"/>
          <w:szCs w:val="22"/>
          <w:u w:val="single"/>
          <w:lang w:val="sr-Latn-ME"/>
        </w:rPr>
        <w:t>Atipični hemolitičko-uremijski sindrom (aHUS)</w:t>
      </w:r>
    </w:p>
    <w:p w14:paraId="5802F31C" w14:textId="71EC6880" w:rsidR="006F6043" w:rsidRPr="00801AFD" w:rsidRDefault="006F6043" w:rsidP="00801AFD">
      <w:pPr>
        <w:widowControl w:val="0"/>
        <w:jc w:val="both"/>
        <w:rPr>
          <w:color w:val="000000"/>
          <w:sz w:val="22"/>
          <w:szCs w:val="22"/>
          <w:lang w:val="sr-Latn-ME"/>
        </w:rPr>
      </w:pPr>
      <w:r w:rsidRPr="00801AFD">
        <w:rPr>
          <w:color w:val="000000"/>
          <w:sz w:val="22"/>
          <w:szCs w:val="22"/>
          <w:lang w:val="sr-Latn-ME"/>
        </w:rPr>
        <w:t>Kod pedijatrijskih pacijenata sa dokazanim aHUS-om (</w:t>
      </w:r>
      <w:r w:rsidR="008A435D" w:rsidRPr="00801AFD">
        <w:rPr>
          <w:sz w:val="22"/>
          <w:szCs w:val="22"/>
          <w:lang w:val="sr-Latn-ME"/>
        </w:rPr>
        <w:t xml:space="preserve">N = 34, </w:t>
      </w:r>
      <w:r w:rsidR="003F7208" w:rsidRPr="00801AFD">
        <w:rPr>
          <w:color w:val="000000"/>
          <w:sz w:val="22"/>
          <w:szCs w:val="22"/>
          <w:lang w:val="sr-Latn-ME"/>
        </w:rPr>
        <w:t xml:space="preserve">uzrasta </w:t>
      </w:r>
      <w:r w:rsidRPr="00801AFD">
        <w:rPr>
          <w:color w:val="000000"/>
          <w:sz w:val="22"/>
          <w:szCs w:val="22"/>
          <w:lang w:val="sr-Latn-ME"/>
        </w:rPr>
        <w:t>od 10 mjeseci do manje od 18 godina) koji su uključeni u studiju ALXN1210-aHUS-312, djelovalo je da je bezbjednosni profil ravulizumaba sličan onome koji je prim</w:t>
      </w:r>
      <w:r w:rsidR="003F7208" w:rsidRPr="00801AFD">
        <w:rPr>
          <w:color w:val="000000"/>
          <w:sz w:val="22"/>
          <w:szCs w:val="22"/>
          <w:lang w:val="sr-Latn-ME"/>
        </w:rPr>
        <w:t>i</w:t>
      </w:r>
      <w:r w:rsidRPr="00801AFD">
        <w:rPr>
          <w:color w:val="000000"/>
          <w:sz w:val="22"/>
          <w:szCs w:val="22"/>
          <w:lang w:val="sr-Latn-ME"/>
        </w:rPr>
        <w:t xml:space="preserve">jećen kod odraslih pacijenata sa dokazanim aHUS. Izgleda da su bezbjednosni profili različitih starosnih podgrupa pedijatrijskih pacijenata slični. Podaci o bezbjednosti kod pacijenata mlađih od 2 godine ograničeni su na četiri pacijenta. </w:t>
      </w:r>
      <w:r w:rsidR="00EF0C21" w:rsidRPr="00801AFD">
        <w:rPr>
          <w:color w:val="000000"/>
          <w:sz w:val="22"/>
          <w:szCs w:val="22"/>
          <w:lang w:val="sr-Latn-ME"/>
        </w:rPr>
        <w:t>Najčešć</w:t>
      </w:r>
      <w:r w:rsidR="00410F1A" w:rsidRPr="00801AFD">
        <w:rPr>
          <w:color w:val="000000"/>
          <w:sz w:val="22"/>
          <w:szCs w:val="22"/>
          <w:lang w:val="sr-Latn-ME"/>
        </w:rPr>
        <w:t>e</w:t>
      </w:r>
      <w:r w:rsidR="00EF0C21" w:rsidRPr="00801AFD">
        <w:rPr>
          <w:color w:val="000000"/>
          <w:sz w:val="22"/>
          <w:szCs w:val="22"/>
          <w:lang w:val="sr-Latn-ME"/>
        </w:rPr>
        <w:t xml:space="preserve"> neželjen</w:t>
      </w:r>
      <w:r w:rsidR="00410F1A" w:rsidRPr="00801AFD">
        <w:rPr>
          <w:color w:val="000000"/>
          <w:sz w:val="22"/>
          <w:szCs w:val="22"/>
          <w:lang w:val="sr-Latn-ME"/>
        </w:rPr>
        <w:t>e</w:t>
      </w:r>
      <w:r w:rsidR="00EF0C21" w:rsidRPr="00801AFD">
        <w:rPr>
          <w:color w:val="000000"/>
          <w:sz w:val="22"/>
          <w:szCs w:val="22"/>
          <w:lang w:val="sr-Latn-ME"/>
        </w:rPr>
        <w:t xml:space="preserve"> reakcij</w:t>
      </w:r>
      <w:r w:rsidR="00410F1A" w:rsidRPr="00801AFD">
        <w:rPr>
          <w:color w:val="000000"/>
          <w:sz w:val="22"/>
          <w:szCs w:val="22"/>
          <w:lang w:val="sr-Latn-ME"/>
        </w:rPr>
        <w:t>e (&gt;20%)</w:t>
      </w:r>
      <w:r w:rsidR="00EF0C21" w:rsidRPr="00801AFD">
        <w:rPr>
          <w:color w:val="000000"/>
          <w:sz w:val="22"/>
          <w:szCs w:val="22"/>
          <w:lang w:val="sr-Latn-ME"/>
        </w:rPr>
        <w:t xml:space="preserve"> prijavljen</w:t>
      </w:r>
      <w:r w:rsidR="00410F1A" w:rsidRPr="00801AFD">
        <w:rPr>
          <w:color w:val="000000"/>
          <w:sz w:val="22"/>
          <w:szCs w:val="22"/>
          <w:lang w:val="sr-Latn-ME"/>
        </w:rPr>
        <w:t>e</w:t>
      </w:r>
      <w:r w:rsidR="00EF0C21" w:rsidRPr="00801AFD">
        <w:rPr>
          <w:color w:val="000000"/>
          <w:sz w:val="22"/>
          <w:szCs w:val="22"/>
          <w:lang w:val="sr-Latn-ME"/>
        </w:rPr>
        <w:t xml:space="preserve"> </w:t>
      </w:r>
      <w:r w:rsidRPr="00801AFD">
        <w:rPr>
          <w:color w:val="000000"/>
          <w:sz w:val="22"/>
          <w:szCs w:val="22"/>
          <w:lang w:val="sr-Latn-ME"/>
        </w:rPr>
        <w:t xml:space="preserve">kod pedijatrijskih pacijenata </w:t>
      </w:r>
      <w:r w:rsidR="00410F1A" w:rsidRPr="00801AFD">
        <w:rPr>
          <w:color w:val="000000"/>
          <w:sz w:val="22"/>
          <w:szCs w:val="22"/>
          <w:lang w:val="sr-Latn-ME"/>
        </w:rPr>
        <w:t>su bile</w:t>
      </w:r>
      <w:r w:rsidRPr="00801AFD">
        <w:rPr>
          <w:color w:val="000000"/>
          <w:sz w:val="22"/>
          <w:szCs w:val="22"/>
          <w:lang w:val="sr-Latn-ME"/>
        </w:rPr>
        <w:t xml:space="preserve"> pireksija</w:t>
      </w:r>
      <w:r w:rsidR="00410F1A" w:rsidRPr="00801AFD">
        <w:rPr>
          <w:color w:val="000000"/>
          <w:sz w:val="22"/>
          <w:szCs w:val="22"/>
          <w:lang w:val="sr-Latn-ME"/>
        </w:rPr>
        <w:t>, povraćanje, dijareja, glavobolja, nazofaringitis, infekcija gornjih disajnih puteva i abdominalni bol</w:t>
      </w:r>
      <w:r w:rsidRPr="00801AFD">
        <w:rPr>
          <w:color w:val="000000"/>
          <w:sz w:val="22"/>
          <w:szCs w:val="22"/>
          <w:lang w:val="sr-Latn-ME"/>
        </w:rPr>
        <w:t>.</w:t>
      </w:r>
    </w:p>
    <w:p w14:paraId="7AD44A91" w14:textId="77777777" w:rsidR="000E1ECA" w:rsidRPr="00801AFD" w:rsidRDefault="000E1ECA" w:rsidP="00801AFD">
      <w:pPr>
        <w:widowControl w:val="0"/>
        <w:jc w:val="both"/>
        <w:rPr>
          <w:color w:val="000000"/>
          <w:sz w:val="22"/>
          <w:szCs w:val="22"/>
          <w:lang w:val="sr-Latn-ME"/>
        </w:rPr>
      </w:pPr>
    </w:p>
    <w:p w14:paraId="20097763" w14:textId="77777777" w:rsidR="00A84D65" w:rsidRPr="00801AFD" w:rsidRDefault="00A84D65" w:rsidP="00801AFD">
      <w:pPr>
        <w:widowControl w:val="0"/>
        <w:jc w:val="both"/>
        <w:rPr>
          <w:i/>
          <w:iCs/>
          <w:color w:val="000000"/>
          <w:sz w:val="22"/>
          <w:szCs w:val="22"/>
          <w:u w:val="single"/>
          <w:lang w:val="sr-Latn-ME"/>
        </w:rPr>
      </w:pPr>
      <w:r w:rsidRPr="00801AFD">
        <w:rPr>
          <w:i/>
          <w:iCs/>
          <w:color w:val="000000"/>
          <w:sz w:val="22"/>
          <w:szCs w:val="22"/>
          <w:u w:val="single"/>
          <w:lang w:val="sr-Latn-ME"/>
        </w:rPr>
        <w:t>Generalizovana mijastenija gravis (gMG)</w:t>
      </w:r>
    </w:p>
    <w:p w14:paraId="2635D2C1" w14:textId="52170381" w:rsidR="00A84D65" w:rsidRPr="00801AFD" w:rsidRDefault="00A84D65" w:rsidP="00801AFD">
      <w:pPr>
        <w:widowControl w:val="0"/>
        <w:jc w:val="both"/>
        <w:rPr>
          <w:sz w:val="22"/>
          <w:szCs w:val="22"/>
          <w:lang w:val="sr-Latn-ME"/>
        </w:rPr>
      </w:pPr>
      <w:r w:rsidRPr="00801AFD">
        <w:rPr>
          <w:sz w:val="22"/>
          <w:szCs w:val="22"/>
          <w:lang w:val="sr-Latn-ME"/>
        </w:rPr>
        <w:t>Ravulizumab nije proučavan kod pedijatrijskih pacijenata sa gMG.</w:t>
      </w:r>
    </w:p>
    <w:p w14:paraId="57EE5D01" w14:textId="6623A5C0" w:rsidR="002D5FEA" w:rsidRPr="00801AFD" w:rsidRDefault="002D5FEA" w:rsidP="00801AFD">
      <w:pPr>
        <w:widowControl w:val="0"/>
        <w:jc w:val="both"/>
        <w:rPr>
          <w:sz w:val="22"/>
          <w:szCs w:val="22"/>
          <w:lang w:val="sr-Latn-ME"/>
        </w:rPr>
      </w:pPr>
    </w:p>
    <w:p w14:paraId="4DFC1327" w14:textId="77777777" w:rsidR="002D5FEA" w:rsidRPr="00801AFD" w:rsidRDefault="002D5FEA" w:rsidP="00801AFD">
      <w:pPr>
        <w:widowControl w:val="0"/>
        <w:jc w:val="both"/>
        <w:rPr>
          <w:i/>
          <w:iCs/>
          <w:sz w:val="22"/>
          <w:szCs w:val="22"/>
          <w:lang w:val="sr-Latn-ME"/>
        </w:rPr>
      </w:pPr>
      <w:r w:rsidRPr="00801AFD">
        <w:rPr>
          <w:i/>
          <w:iCs/>
          <w:sz w:val="22"/>
          <w:szCs w:val="22"/>
          <w:u w:val="single"/>
          <w:lang w:val="sr-Latn-ME"/>
        </w:rPr>
        <w:t>Spektar poremećaja optičkog neuromijelitisa (NMOSD</w:t>
      </w:r>
      <w:r w:rsidRPr="00801AFD">
        <w:rPr>
          <w:i/>
          <w:iCs/>
          <w:sz w:val="22"/>
          <w:szCs w:val="22"/>
          <w:lang w:val="sr-Latn-ME"/>
        </w:rPr>
        <w:t>)</w:t>
      </w:r>
    </w:p>
    <w:p w14:paraId="2E6B85A1" w14:textId="45508721" w:rsidR="00BF454C" w:rsidRDefault="002D5FEA" w:rsidP="00961C31">
      <w:pPr>
        <w:widowControl w:val="0"/>
        <w:jc w:val="both"/>
        <w:rPr>
          <w:sz w:val="22"/>
          <w:szCs w:val="22"/>
          <w:lang w:val="sr-Latn-ME"/>
        </w:rPr>
      </w:pPr>
      <w:r w:rsidRPr="00801AFD">
        <w:rPr>
          <w:sz w:val="22"/>
          <w:szCs w:val="22"/>
          <w:lang w:val="sr-Latn-ME"/>
        </w:rPr>
        <w:t>Ravulizumab nije proučavan kod pedijatrijskih pacijenata sa NMOSD</w:t>
      </w:r>
    </w:p>
    <w:p w14:paraId="3D5CE883" w14:textId="77777777" w:rsidR="00961C31" w:rsidRPr="00801AFD" w:rsidRDefault="00961C31" w:rsidP="00961C31">
      <w:pPr>
        <w:widowControl w:val="0"/>
        <w:jc w:val="both"/>
        <w:rPr>
          <w:b/>
          <w:bCs/>
          <w:sz w:val="22"/>
          <w:szCs w:val="22"/>
          <w:lang w:val="sr-Latn-ME"/>
        </w:rPr>
      </w:pPr>
    </w:p>
    <w:p w14:paraId="7270DF4B" w14:textId="77777777" w:rsidR="008B6280" w:rsidRPr="00801AFD" w:rsidRDefault="008B6280" w:rsidP="00801AFD">
      <w:pPr>
        <w:widowControl w:val="0"/>
        <w:spacing w:after="200" w:line="276" w:lineRule="auto"/>
        <w:jc w:val="both"/>
        <w:rPr>
          <w:rFonts w:eastAsia="Calibri"/>
          <w:sz w:val="22"/>
          <w:szCs w:val="22"/>
          <w:u w:val="single"/>
          <w:lang w:val="sr-Latn-ME"/>
        </w:rPr>
      </w:pPr>
      <w:r w:rsidRPr="00801AFD">
        <w:rPr>
          <w:rFonts w:eastAsia="Calibri"/>
          <w:sz w:val="22"/>
          <w:szCs w:val="22"/>
          <w:u w:val="single"/>
          <w:lang w:val="sr-Latn-ME"/>
        </w:rPr>
        <w:t>Prijavljivanje sumnji na neželjena dejstva</w:t>
      </w:r>
    </w:p>
    <w:p w14:paraId="6F332A58" w14:textId="2FFF9418" w:rsidR="008B6280" w:rsidRPr="00801AFD" w:rsidRDefault="008B6280" w:rsidP="00801AFD">
      <w:pPr>
        <w:widowControl w:val="0"/>
        <w:spacing w:after="200"/>
        <w:jc w:val="both"/>
        <w:rPr>
          <w:rFonts w:eastAsia="Calibri"/>
          <w:sz w:val="22"/>
          <w:szCs w:val="22"/>
          <w:lang w:val="sr-Latn-ME"/>
        </w:rPr>
      </w:pPr>
      <w:r w:rsidRPr="00801AFD">
        <w:rPr>
          <w:rFonts w:eastAsia="Calibri"/>
          <w:sz w:val="22"/>
          <w:szCs w:val="22"/>
          <w:lang w:val="sr-Latn-ME"/>
        </w:rPr>
        <w:t>Prijavljivanje neželjenih dejstava nakon dobijanja dozvole</w:t>
      </w:r>
      <w:r w:rsidR="005559D6" w:rsidRPr="00801AFD">
        <w:rPr>
          <w:rFonts w:eastAsia="Calibri"/>
          <w:sz w:val="22"/>
          <w:szCs w:val="22"/>
          <w:lang w:val="sr-Latn-ME"/>
        </w:rPr>
        <w:t xml:space="preserve"> za lijek</w:t>
      </w:r>
      <w:r w:rsidRPr="00801AFD">
        <w:rPr>
          <w:rFonts w:eastAsia="Calibri"/>
          <w:sz w:val="22"/>
          <w:szCs w:val="22"/>
          <w:lang w:val="sr-Latn-ME"/>
        </w:rPr>
        <w:t xml:space="preserve"> je od velikog značaja jer obezbjeđuje kontinuirano praćenje odnosa korist/rizik primjene lijeka. Zdravstveni radnici treba da prijave svaku sumnju na neželjeno dejstvo ovog lijeka Institutu za ljekove i medicinska sredstva (CInMED):</w:t>
      </w:r>
    </w:p>
    <w:p w14:paraId="18EC539A" w14:textId="77777777" w:rsidR="008B6280" w:rsidRPr="00801AFD" w:rsidRDefault="008B6280" w:rsidP="00801AFD">
      <w:pPr>
        <w:pStyle w:val="NoSpacing"/>
        <w:widowControl w:val="0"/>
        <w:jc w:val="both"/>
        <w:rPr>
          <w:rFonts w:eastAsia="Calibri"/>
          <w:sz w:val="22"/>
          <w:szCs w:val="22"/>
          <w:lang w:val="sr-Latn-ME"/>
        </w:rPr>
      </w:pPr>
      <w:r w:rsidRPr="00801AFD">
        <w:rPr>
          <w:rFonts w:eastAsia="Calibri"/>
          <w:sz w:val="22"/>
          <w:szCs w:val="22"/>
          <w:lang w:val="sr-Latn-ME"/>
        </w:rPr>
        <w:t xml:space="preserve">Institut za ljekove i medicinska sredstva </w:t>
      </w:r>
    </w:p>
    <w:p w14:paraId="3D50087F" w14:textId="77777777" w:rsidR="008B6280" w:rsidRPr="00801AFD" w:rsidRDefault="008B6280" w:rsidP="00801AFD">
      <w:pPr>
        <w:pStyle w:val="NoSpacing"/>
        <w:widowControl w:val="0"/>
        <w:jc w:val="both"/>
        <w:rPr>
          <w:rFonts w:eastAsia="Calibri"/>
          <w:sz w:val="22"/>
          <w:szCs w:val="22"/>
          <w:lang w:val="sr-Latn-ME"/>
        </w:rPr>
      </w:pPr>
      <w:r w:rsidRPr="00801AFD">
        <w:rPr>
          <w:rFonts w:eastAsia="Calibri"/>
          <w:sz w:val="22"/>
          <w:szCs w:val="22"/>
          <w:lang w:val="sr-Latn-ME"/>
        </w:rPr>
        <w:t>Odjeljenje za farmakovigilancu</w:t>
      </w:r>
    </w:p>
    <w:p w14:paraId="4262C9E7" w14:textId="77777777" w:rsidR="008B6280" w:rsidRPr="00801AFD" w:rsidRDefault="008B6280" w:rsidP="00801AFD">
      <w:pPr>
        <w:pStyle w:val="NoSpacing"/>
        <w:widowControl w:val="0"/>
        <w:jc w:val="both"/>
        <w:rPr>
          <w:rFonts w:eastAsia="Calibri"/>
          <w:sz w:val="22"/>
          <w:szCs w:val="22"/>
          <w:lang w:val="sr-Latn-ME"/>
        </w:rPr>
      </w:pPr>
      <w:r w:rsidRPr="00801AFD">
        <w:rPr>
          <w:rFonts w:eastAsia="Calibri"/>
          <w:sz w:val="22"/>
          <w:szCs w:val="22"/>
          <w:lang w:val="sr-Latn-ME"/>
        </w:rPr>
        <w:t>Bulevar Ivana Crnojevića 64a, 81000 Podgorica</w:t>
      </w:r>
    </w:p>
    <w:p w14:paraId="62E86D9F" w14:textId="77777777" w:rsidR="008B6280" w:rsidRPr="00801AFD" w:rsidRDefault="008B6280" w:rsidP="00801AFD">
      <w:pPr>
        <w:pStyle w:val="NoSpacing"/>
        <w:widowControl w:val="0"/>
        <w:jc w:val="both"/>
        <w:rPr>
          <w:rFonts w:eastAsia="Calibri"/>
          <w:sz w:val="22"/>
          <w:szCs w:val="22"/>
          <w:lang w:val="sr-Latn-ME"/>
        </w:rPr>
      </w:pPr>
    </w:p>
    <w:p w14:paraId="09C24A47" w14:textId="77777777" w:rsidR="008B6280" w:rsidRPr="00801AFD" w:rsidRDefault="008B6280" w:rsidP="00801AFD">
      <w:pPr>
        <w:pStyle w:val="NoSpacing"/>
        <w:widowControl w:val="0"/>
        <w:jc w:val="both"/>
        <w:rPr>
          <w:rFonts w:eastAsia="Calibri"/>
          <w:sz w:val="22"/>
          <w:szCs w:val="22"/>
          <w:lang w:val="sr-Latn-ME"/>
        </w:rPr>
      </w:pPr>
      <w:r w:rsidRPr="00801AFD">
        <w:rPr>
          <w:rFonts w:eastAsia="Calibri"/>
          <w:sz w:val="22"/>
          <w:szCs w:val="22"/>
          <w:lang w:val="sr-Latn-ME"/>
        </w:rPr>
        <w:t>tel: +382 (0) 20 310 280</w:t>
      </w:r>
    </w:p>
    <w:p w14:paraId="7DA82D47" w14:textId="77777777" w:rsidR="008B6280" w:rsidRPr="00801AFD" w:rsidRDefault="008B6280" w:rsidP="00801AFD">
      <w:pPr>
        <w:pStyle w:val="NoSpacing"/>
        <w:widowControl w:val="0"/>
        <w:tabs>
          <w:tab w:val="left" w:pos="6720"/>
        </w:tabs>
        <w:jc w:val="both"/>
        <w:rPr>
          <w:rFonts w:eastAsia="Calibri"/>
          <w:sz w:val="22"/>
          <w:szCs w:val="22"/>
          <w:lang w:val="sr-Latn-ME"/>
        </w:rPr>
      </w:pPr>
      <w:r w:rsidRPr="00801AFD">
        <w:rPr>
          <w:rFonts w:eastAsia="Calibri"/>
          <w:sz w:val="22"/>
          <w:szCs w:val="22"/>
          <w:lang w:val="sr-Latn-ME"/>
        </w:rPr>
        <w:t>fax: +382 (0) 20 310 581</w:t>
      </w:r>
      <w:r w:rsidRPr="00801AFD">
        <w:rPr>
          <w:rFonts w:eastAsia="Calibri"/>
          <w:sz w:val="22"/>
          <w:szCs w:val="22"/>
          <w:lang w:val="sr-Latn-ME"/>
        </w:rPr>
        <w:tab/>
      </w:r>
    </w:p>
    <w:p w14:paraId="37DDF26E" w14:textId="77777777" w:rsidR="008B6280" w:rsidRPr="00801AFD" w:rsidRDefault="00801AFD" w:rsidP="00801AFD">
      <w:pPr>
        <w:pStyle w:val="NoSpacing"/>
        <w:widowControl w:val="0"/>
        <w:jc w:val="both"/>
        <w:rPr>
          <w:rFonts w:eastAsia="Calibri"/>
          <w:sz w:val="22"/>
          <w:szCs w:val="22"/>
          <w:lang w:val="sr-Latn-ME"/>
        </w:rPr>
      </w:pPr>
      <w:hyperlink r:id="rId8" w:history="1">
        <w:r w:rsidR="008B6280" w:rsidRPr="00801AFD">
          <w:rPr>
            <w:rStyle w:val="Hyperlink"/>
            <w:rFonts w:eastAsia="Calibri"/>
            <w:sz w:val="22"/>
            <w:szCs w:val="22"/>
            <w:lang w:val="sr-Latn-ME"/>
          </w:rPr>
          <w:t>www.cinmed.me</w:t>
        </w:r>
      </w:hyperlink>
    </w:p>
    <w:p w14:paraId="58AA46B1" w14:textId="77777777" w:rsidR="008B6280" w:rsidRPr="00801AFD" w:rsidRDefault="00801AFD" w:rsidP="00801AFD">
      <w:pPr>
        <w:pStyle w:val="NoSpacing"/>
        <w:widowControl w:val="0"/>
        <w:jc w:val="both"/>
        <w:rPr>
          <w:rFonts w:eastAsia="Calibri"/>
          <w:color w:val="0000FF"/>
          <w:sz w:val="22"/>
          <w:szCs w:val="22"/>
          <w:u w:val="single"/>
          <w:lang w:val="sr-Latn-ME"/>
        </w:rPr>
      </w:pPr>
      <w:hyperlink r:id="rId9" w:history="1">
        <w:r w:rsidR="008B6280" w:rsidRPr="00801AFD">
          <w:rPr>
            <w:rStyle w:val="Hyperlink"/>
            <w:rFonts w:eastAsia="Calibri"/>
            <w:sz w:val="22"/>
            <w:szCs w:val="22"/>
            <w:lang w:val="sr-Latn-ME"/>
          </w:rPr>
          <w:t>nezeljenadejstva@cinmed.me</w:t>
        </w:r>
      </w:hyperlink>
    </w:p>
    <w:p w14:paraId="1766E140" w14:textId="77777777" w:rsidR="008B6280" w:rsidRPr="00801AFD" w:rsidRDefault="008B6280" w:rsidP="00801AFD">
      <w:pPr>
        <w:pStyle w:val="NoSpacing"/>
        <w:widowControl w:val="0"/>
        <w:jc w:val="both"/>
        <w:rPr>
          <w:rFonts w:eastAsia="Calibri"/>
          <w:sz w:val="22"/>
          <w:szCs w:val="22"/>
          <w:lang w:val="sr-Latn-ME"/>
        </w:rPr>
      </w:pPr>
      <w:r w:rsidRPr="00801AFD">
        <w:rPr>
          <w:rFonts w:eastAsia="Calibri"/>
          <w:sz w:val="22"/>
          <w:szCs w:val="22"/>
          <w:lang w:val="sr-Latn-ME"/>
        </w:rPr>
        <w:t>putem IS zdravstvene zaštite</w:t>
      </w:r>
    </w:p>
    <w:p w14:paraId="60DC0BC5" w14:textId="77777777" w:rsidR="008B6280" w:rsidRPr="00801AFD" w:rsidRDefault="008B6280" w:rsidP="00801AFD">
      <w:pPr>
        <w:pStyle w:val="NoSpacing"/>
        <w:widowControl w:val="0"/>
        <w:jc w:val="both"/>
        <w:rPr>
          <w:rFonts w:eastAsia="Calibri"/>
          <w:sz w:val="22"/>
          <w:szCs w:val="22"/>
          <w:lang w:val="sr-Latn-ME"/>
        </w:rPr>
      </w:pPr>
      <w:r w:rsidRPr="00801AFD">
        <w:rPr>
          <w:rFonts w:eastAsia="Calibri"/>
          <w:sz w:val="22"/>
          <w:szCs w:val="22"/>
          <w:lang w:val="sr-Latn-ME"/>
        </w:rPr>
        <w:t>QR kod za online prijavu sumnje na neželjeno dejstvo lijeka:</w:t>
      </w:r>
    </w:p>
    <w:p w14:paraId="74BC7541" w14:textId="77777777" w:rsidR="008B6280" w:rsidRPr="00801AFD" w:rsidRDefault="008B6280" w:rsidP="00801AFD">
      <w:pPr>
        <w:pStyle w:val="NoSpacing"/>
        <w:widowControl w:val="0"/>
        <w:jc w:val="both"/>
        <w:rPr>
          <w:rFonts w:eastAsia="Calibri"/>
          <w:sz w:val="22"/>
          <w:szCs w:val="22"/>
          <w:lang w:val="sr-Latn-ME"/>
        </w:rPr>
      </w:pPr>
    </w:p>
    <w:p w14:paraId="7CEB4601" w14:textId="22B1B2C7" w:rsidR="008B6280" w:rsidRPr="00801AFD" w:rsidRDefault="00961C31" w:rsidP="00801AFD">
      <w:pPr>
        <w:pStyle w:val="NoSpacing"/>
        <w:widowControl w:val="0"/>
        <w:jc w:val="both"/>
        <w:rPr>
          <w:rFonts w:eastAsia="Calibri"/>
          <w:sz w:val="22"/>
          <w:szCs w:val="22"/>
          <w:lang w:val="sr-Latn-ME"/>
        </w:rPr>
      </w:pPr>
      <w:r w:rsidRPr="007F661E">
        <w:rPr>
          <w:b/>
          <w:bCs/>
          <w:noProof/>
          <w:sz w:val="22"/>
          <w:szCs w:val="22"/>
        </w:rPr>
        <w:drawing>
          <wp:inline distT="0" distB="0" distL="0" distR="0" wp14:anchorId="714C977F" wp14:editId="225CD03C">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43B3448" w14:textId="77777777" w:rsidR="008B6280" w:rsidRPr="00801AFD" w:rsidRDefault="008B6280" w:rsidP="00801AFD">
      <w:pPr>
        <w:pStyle w:val="NoSpacing"/>
        <w:widowControl w:val="0"/>
        <w:jc w:val="both"/>
        <w:rPr>
          <w:rFonts w:eastAsia="Calibri"/>
          <w:sz w:val="22"/>
          <w:szCs w:val="22"/>
          <w:lang w:val="sr-Latn-ME"/>
        </w:rPr>
      </w:pPr>
    </w:p>
    <w:p w14:paraId="793CE022" w14:textId="77777777" w:rsidR="00CD6F02" w:rsidRPr="00801AFD" w:rsidRDefault="0072020E" w:rsidP="00801AFD">
      <w:pPr>
        <w:widowControl w:val="0"/>
        <w:tabs>
          <w:tab w:val="left" w:pos="540"/>
          <w:tab w:val="left" w:pos="569"/>
        </w:tabs>
        <w:jc w:val="both"/>
        <w:rPr>
          <w:b/>
          <w:bCs/>
          <w:sz w:val="22"/>
          <w:szCs w:val="22"/>
          <w:lang w:val="sr-Latn-ME"/>
        </w:rPr>
      </w:pPr>
      <w:r w:rsidRPr="00801AFD">
        <w:rPr>
          <w:b/>
          <w:bCs/>
          <w:sz w:val="22"/>
          <w:szCs w:val="22"/>
          <w:lang w:val="sr-Latn-ME"/>
        </w:rPr>
        <w:lastRenderedPageBreak/>
        <w:t xml:space="preserve">4.9. </w:t>
      </w:r>
      <w:r w:rsidR="00480FB1" w:rsidRPr="00801AFD">
        <w:rPr>
          <w:b/>
          <w:bCs/>
          <w:sz w:val="22"/>
          <w:szCs w:val="22"/>
          <w:lang w:val="sr-Latn-ME"/>
        </w:rPr>
        <w:tab/>
      </w:r>
      <w:r w:rsidRPr="00801AFD">
        <w:rPr>
          <w:b/>
          <w:bCs/>
          <w:sz w:val="22"/>
          <w:szCs w:val="22"/>
          <w:lang w:val="sr-Latn-ME"/>
        </w:rPr>
        <w:t>Predoziranje</w:t>
      </w:r>
      <w:r w:rsidR="002846DB" w:rsidRPr="00801AFD">
        <w:rPr>
          <w:b/>
          <w:bCs/>
          <w:sz w:val="22"/>
          <w:szCs w:val="22"/>
          <w:lang w:val="sr-Latn-ME"/>
        </w:rPr>
        <w:t xml:space="preserve"> </w:t>
      </w:r>
    </w:p>
    <w:p w14:paraId="2F6F7628" w14:textId="3040CC25" w:rsidR="00CD6F02" w:rsidRPr="00801AFD" w:rsidRDefault="00CD6F02" w:rsidP="00801AFD">
      <w:pPr>
        <w:widowControl w:val="0"/>
        <w:tabs>
          <w:tab w:val="left" w:pos="540"/>
          <w:tab w:val="left" w:pos="569"/>
        </w:tabs>
        <w:jc w:val="both"/>
        <w:rPr>
          <w:b/>
          <w:bCs/>
          <w:sz w:val="22"/>
          <w:szCs w:val="22"/>
          <w:lang w:val="sr-Latn-ME"/>
        </w:rPr>
      </w:pPr>
    </w:p>
    <w:p w14:paraId="175D8E8F" w14:textId="77777777" w:rsidR="006F6043" w:rsidRPr="00801AFD" w:rsidRDefault="006F6043" w:rsidP="00801AFD">
      <w:pPr>
        <w:pStyle w:val="Default"/>
        <w:widowControl w:val="0"/>
        <w:jc w:val="both"/>
        <w:rPr>
          <w:sz w:val="22"/>
          <w:szCs w:val="22"/>
          <w:lang w:val="sr-Latn-ME"/>
        </w:rPr>
      </w:pPr>
      <w:r w:rsidRPr="00801AFD">
        <w:rPr>
          <w:sz w:val="22"/>
          <w:szCs w:val="22"/>
          <w:lang w:val="sr-Latn-ME"/>
        </w:rPr>
        <w:t xml:space="preserve">Do sada nije zabilježen nijedan slučaj predoziranja. </w:t>
      </w:r>
    </w:p>
    <w:p w14:paraId="40E474B1" w14:textId="69829D29" w:rsidR="006F6043" w:rsidRPr="00801AFD" w:rsidRDefault="006F6043" w:rsidP="00801AFD">
      <w:pPr>
        <w:widowControl w:val="0"/>
        <w:jc w:val="both"/>
        <w:rPr>
          <w:sz w:val="22"/>
          <w:szCs w:val="22"/>
          <w:lang w:val="sr-Latn-ME"/>
        </w:rPr>
      </w:pPr>
      <w:r w:rsidRPr="00801AFD">
        <w:rPr>
          <w:sz w:val="22"/>
          <w:szCs w:val="22"/>
          <w:lang w:val="sr-Latn-ME"/>
        </w:rPr>
        <w:t>U slučaju predoziranja, primjenu infuzije treba odmah prekinuti, a pacijenta pažljivo pratiti</w:t>
      </w:r>
      <w:r w:rsidR="00AE5148" w:rsidRPr="00801AFD">
        <w:rPr>
          <w:sz w:val="22"/>
          <w:szCs w:val="22"/>
          <w:lang w:val="sr-Latn-ME"/>
        </w:rPr>
        <w:t xml:space="preserve"> zbog</w:t>
      </w:r>
      <w:r w:rsidR="00961C31">
        <w:rPr>
          <w:sz w:val="22"/>
          <w:szCs w:val="22"/>
          <w:lang w:val="sr-Latn-ME"/>
        </w:rPr>
        <w:t xml:space="preserve"> </w:t>
      </w:r>
      <w:r w:rsidR="00AE5148" w:rsidRPr="00801AFD">
        <w:rPr>
          <w:sz w:val="22"/>
          <w:szCs w:val="22"/>
          <w:lang w:val="sr-Latn-ME"/>
        </w:rPr>
        <w:t>moguće pojave znakova ili simptoma nežlejnih reakcija i započeti odgovarajuće simptomatsko liječenje</w:t>
      </w:r>
      <w:r w:rsidRPr="00801AFD">
        <w:rPr>
          <w:sz w:val="22"/>
          <w:szCs w:val="22"/>
          <w:lang w:val="sr-Latn-ME"/>
        </w:rPr>
        <w:t>.</w:t>
      </w:r>
    </w:p>
    <w:p w14:paraId="3F2602B4" w14:textId="77777777" w:rsidR="006F6043" w:rsidRPr="00801AFD" w:rsidRDefault="006F6043" w:rsidP="00801AFD">
      <w:pPr>
        <w:widowControl w:val="0"/>
        <w:jc w:val="both"/>
        <w:rPr>
          <w:b/>
          <w:bCs/>
          <w:sz w:val="22"/>
          <w:szCs w:val="22"/>
          <w:lang w:val="sr-Latn-ME"/>
        </w:rPr>
      </w:pPr>
    </w:p>
    <w:p w14:paraId="6214B578" w14:textId="77777777" w:rsidR="00227BDB" w:rsidRPr="00801AFD" w:rsidRDefault="00227BDB" w:rsidP="00801AFD">
      <w:pPr>
        <w:widowControl w:val="0"/>
        <w:tabs>
          <w:tab w:val="left" w:pos="540"/>
          <w:tab w:val="left" w:pos="569"/>
        </w:tabs>
        <w:jc w:val="both"/>
        <w:rPr>
          <w:b/>
          <w:bCs/>
          <w:sz w:val="22"/>
          <w:szCs w:val="22"/>
          <w:lang w:val="sr-Latn-ME"/>
        </w:rPr>
      </w:pPr>
    </w:p>
    <w:p w14:paraId="4F82ADBC" w14:textId="77777777" w:rsidR="0072020E" w:rsidRPr="00801AFD" w:rsidRDefault="0072020E" w:rsidP="00801AFD">
      <w:pPr>
        <w:widowControl w:val="0"/>
        <w:tabs>
          <w:tab w:val="left" w:pos="540"/>
          <w:tab w:val="left" w:pos="569"/>
        </w:tabs>
        <w:jc w:val="both"/>
        <w:rPr>
          <w:b/>
          <w:bCs/>
          <w:sz w:val="22"/>
          <w:szCs w:val="22"/>
          <w:lang w:val="sr-Latn-ME"/>
        </w:rPr>
      </w:pPr>
      <w:r w:rsidRPr="00801AFD">
        <w:rPr>
          <w:b/>
          <w:bCs/>
          <w:sz w:val="22"/>
          <w:szCs w:val="22"/>
          <w:lang w:val="sr-Latn-ME"/>
        </w:rPr>
        <w:t xml:space="preserve">5. </w:t>
      </w:r>
      <w:r w:rsidR="00480FB1" w:rsidRPr="00801AFD">
        <w:rPr>
          <w:b/>
          <w:bCs/>
          <w:sz w:val="22"/>
          <w:szCs w:val="22"/>
          <w:lang w:val="sr-Latn-ME"/>
        </w:rPr>
        <w:tab/>
      </w:r>
      <w:r w:rsidRPr="00801AFD">
        <w:rPr>
          <w:b/>
          <w:bCs/>
          <w:sz w:val="22"/>
          <w:szCs w:val="22"/>
          <w:lang w:val="sr-Latn-ME"/>
        </w:rPr>
        <w:t>FARMAKOLOŠK</w:t>
      </w:r>
      <w:r w:rsidR="000D425A" w:rsidRPr="00801AFD">
        <w:rPr>
          <w:b/>
          <w:bCs/>
          <w:sz w:val="22"/>
          <w:szCs w:val="22"/>
          <w:lang w:val="sr-Latn-ME"/>
        </w:rPr>
        <w:t>I</w:t>
      </w:r>
      <w:r w:rsidRPr="00801AFD">
        <w:rPr>
          <w:b/>
          <w:bCs/>
          <w:sz w:val="22"/>
          <w:szCs w:val="22"/>
          <w:lang w:val="sr-Latn-ME"/>
        </w:rPr>
        <w:t xml:space="preserve"> PODACI</w:t>
      </w:r>
    </w:p>
    <w:p w14:paraId="634FE9C6" w14:textId="77777777" w:rsidR="0072020E" w:rsidRPr="00801AFD" w:rsidRDefault="0072020E" w:rsidP="00801AFD">
      <w:pPr>
        <w:widowControl w:val="0"/>
        <w:tabs>
          <w:tab w:val="left" w:pos="540"/>
          <w:tab w:val="left" w:pos="569"/>
        </w:tabs>
        <w:jc w:val="both"/>
        <w:rPr>
          <w:b/>
          <w:bCs/>
          <w:sz w:val="22"/>
          <w:szCs w:val="22"/>
          <w:lang w:val="sr-Latn-ME"/>
        </w:rPr>
      </w:pPr>
    </w:p>
    <w:p w14:paraId="0BC84107" w14:textId="77777777" w:rsidR="0072020E" w:rsidRPr="00801AFD" w:rsidRDefault="0072020E" w:rsidP="00801AFD">
      <w:pPr>
        <w:widowControl w:val="0"/>
        <w:tabs>
          <w:tab w:val="left" w:pos="540"/>
          <w:tab w:val="left" w:pos="569"/>
        </w:tabs>
        <w:jc w:val="both"/>
        <w:rPr>
          <w:b/>
          <w:bCs/>
          <w:sz w:val="22"/>
          <w:szCs w:val="22"/>
          <w:lang w:val="sr-Latn-ME"/>
        </w:rPr>
      </w:pPr>
      <w:r w:rsidRPr="00801AFD">
        <w:rPr>
          <w:b/>
          <w:bCs/>
          <w:sz w:val="22"/>
          <w:szCs w:val="22"/>
          <w:lang w:val="sr-Latn-ME"/>
        </w:rPr>
        <w:t xml:space="preserve">5.1. </w:t>
      </w:r>
      <w:r w:rsidR="00480FB1" w:rsidRPr="00801AFD">
        <w:rPr>
          <w:b/>
          <w:bCs/>
          <w:sz w:val="22"/>
          <w:szCs w:val="22"/>
          <w:lang w:val="sr-Latn-ME"/>
        </w:rPr>
        <w:tab/>
      </w:r>
      <w:r w:rsidRPr="00801AFD">
        <w:rPr>
          <w:b/>
          <w:bCs/>
          <w:sz w:val="22"/>
          <w:szCs w:val="22"/>
          <w:lang w:val="sr-Latn-ME"/>
        </w:rPr>
        <w:t>Farmakodinamski podaci</w:t>
      </w:r>
      <w:r w:rsidR="003A7059" w:rsidRPr="00801AFD">
        <w:rPr>
          <w:b/>
          <w:bCs/>
          <w:sz w:val="22"/>
          <w:szCs w:val="22"/>
          <w:lang w:val="sr-Latn-ME"/>
        </w:rPr>
        <w:t xml:space="preserve"> </w:t>
      </w:r>
    </w:p>
    <w:p w14:paraId="1C7352D5" w14:textId="77777777" w:rsidR="00F45F77" w:rsidRPr="00801AFD" w:rsidRDefault="00F45F77" w:rsidP="00801AFD">
      <w:pPr>
        <w:widowControl w:val="0"/>
        <w:tabs>
          <w:tab w:val="left" w:pos="540"/>
          <w:tab w:val="left" w:pos="569"/>
        </w:tabs>
        <w:jc w:val="both"/>
        <w:rPr>
          <w:b/>
          <w:bCs/>
          <w:sz w:val="22"/>
          <w:szCs w:val="22"/>
          <w:lang w:val="sr-Latn-ME"/>
        </w:rPr>
      </w:pPr>
    </w:p>
    <w:p w14:paraId="0F3D6C14" w14:textId="15C77380" w:rsidR="0072020E" w:rsidRPr="00801AFD" w:rsidRDefault="0072020E" w:rsidP="00801AFD">
      <w:pPr>
        <w:widowControl w:val="0"/>
        <w:tabs>
          <w:tab w:val="left" w:pos="540"/>
          <w:tab w:val="left" w:pos="569"/>
        </w:tabs>
        <w:jc w:val="both"/>
        <w:rPr>
          <w:bCs/>
          <w:sz w:val="22"/>
          <w:szCs w:val="22"/>
          <w:lang w:val="sr-Latn-ME"/>
        </w:rPr>
      </w:pPr>
      <w:r w:rsidRPr="00801AFD">
        <w:rPr>
          <w:bCs/>
          <w:sz w:val="22"/>
          <w:szCs w:val="22"/>
          <w:lang w:val="sr-Latn-ME"/>
        </w:rPr>
        <w:t>Farmakoterapijska grupa:</w:t>
      </w:r>
      <w:r w:rsidR="006F6043" w:rsidRPr="00801AFD">
        <w:rPr>
          <w:bCs/>
          <w:sz w:val="22"/>
          <w:szCs w:val="22"/>
          <w:lang w:val="sr-Latn-ME"/>
        </w:rPr>
        <w:t xml:space="preserve"> </w:t>
      </w:r>
      <w:r w:rsidR="00270781" w:rsidRPr="00801AFD">
        <w:rPr>
          <w:sz w:val="22"/>
          <w:szCs w:val="22"/>
          <w:lang w:val="sr-Latn-ME"/>
        </w:rPr>
        <w:t>I</w:t>
      </w:r>
      <w:r w:rsidR="006F6043" w:rsidRPr="00801AFD">
        <w:rPr>
          <w:sz w:val="22"/>
          <w:szCs w:val="22"/>
          <w:lang w:val="sr-Latn-ME"/>
        </w:rPr>
        <w:t xml:space="preserve">munosupresivi, </w:t>
      </w:r>
      <w:r w:rsidR="00410F1A" w:rsidRPr="00801AFD">
        <w:rPr>
          <w:sz w:val="22"/>
          <w:szCs w:val="22"/>
          <w:lang w:val="sr-Latn-ME"/>
        </w:rPr>
        <w:t>inhibitori komplementa</w:t>
      </w:r>
    </w:p>
    <w:p w14:paraId="426805AB" w14:textId="77777777" w:rsidR="0072020E" w:rsidRPr="00801AFD" w:rsidRDefault="0072020E" w:rsidP="00801AFD">
      <w:pPr>
        <w:widowControl w:val="0"/>
        <w:tabs>
          <w:tab w:val="left" w:pos="540"/>
          <w:tab w:val="left" w:pos="569"/>
        </w:tabs>
        <w:jc w:val="both"/>
        <w:rPr>
          <w:bCs/>
          <w:sz w:val="22"/>
          <w:szCs w:val="22"/>
          <w:lang w:val="sr-Latn-ME"/>
        </w:rPr>
      </w:pPr>
    </w:p>
    <w:p w14:paraId="2BAE5920" w14:textId="4FB06D89" w:rsidR="0072020E" w:rsidRPr="00801AFD" w:rsidRDefault="0072020E" w:rsidP="00801AFD">
      <w:pPr>
        <w:widowControl w:val="0"/>
        <w:jc w:val="both"/>
        <w:rPr>
          <w:sz w:val="22"/>
          <w:szCs w:val="22"/>
          <w:lang w:val="sr-Latn-ME"/>
        </w:rPr>
      </w:pPr>
      <w:r w:rsidRPr="00801AFD">
        <w:rPr>
          <w:bCs/>
          <w:sz w:val="22"/>
          <w:szCs w:val="22"/>
          <w:lang w:val="sr-Latn-ME"/>
        </w:rPr>
        <w:t>ATC kod:</w:t>
      </w:r>
      <w:r w:rsidR="006F6043" w:rsidRPr="00801AFD">
        <w:rPr>
          <w:bCs/>
          <w:sz w:val="22"/>
          <w:szCs w:val="22"/>
          <w:lang w:val="sr-Latn-ME"/>
        </w:rPr>
        <w:t xml:space="preserve"> </w:t>
      </w:r>
      <w:r w:rsidR="007F079F" w:rsidRPr="00801AFD">
        <w:rPr>
          <w:sz w:val="22"/>
          <w:szCs w:val="22"/>
          <w:lang w:val="sr-Latn-ME"/>
        </w:rPr>
        <w:t>L04AJ02</w:t>
      </w:r>
    </w:p>
    <w:p w14:paraId="4C805D06" w14:textId="77777777" w:rsidR="006F6043" w:rsidRPr="00801AFD" w:rsidRDefault="006F6043" w:rsidP="00801AFD">
      <w:pPr>
        <w:widowControl w:val="0"/>
        <w:jc w:val="both"/>
        <w:rPr>
          <w:sz w:val="22"/>
          <w:szCs w:val="22"/>
          <w:lang w:val="sr-Latn-ME"/>
        </w:rPr>
      </w:pPr>
    </w:p>
    <w:p w14:paraId="26AD3F97" w14:textId="77777777" w:rsidR="006F6043" w:rsidRPr="00801AFD" w:rsidRDefault="006F6043" w:rsidP="00801AFD">
      <w:pPr>
        <w:pStyle w:val="Default"/>
        <w:widowControl w:val="0"/>
        <w:jc w:val="both"/>
        <w:rPr>
          <w:b/>
          <w:bCs/>
          <w:sz w:val="22"/>
          <w:szCs w:val="22"/>
          <w:lang w:val="sr-Latn-ME"/>
        </w:rPr>
      </w:pPr>
      <w:r w:rsidRPr="00801AFD">
        <w:rPr>
          <w:b/>
          <w:bCs/>
          <w:sz w:val="22"/>
          <w:szCs w:val="22"/>
          <w:lang w:val="sr-Latn-ME"/>
        </w:rPr>
        <w:t xml:space="preserve">Mehanizam dejstva </w:t>
      </w:r>
    </w:p>
    <w:p w14:paraId="5F6D512E" w14:textId="2CB5F46D" w:rsidR="006F6043" w:rsidRPr="00801AFD" w:rsidRDefault="006F6043" w:rsidP="00801AFD">
      <w:pPr>
        <w:pStyle w:val="Default"/>
        <w:widowControl w:val="0"/>
        <w:jc w:val="both"/>
        <w:rPr>
          <w:sz w:val="22"/>
          <w:szCs w:val="22"/>
          <w:lang w:val="sr-Latn-ME"/>
        </w:rPr>
      </w:pPr>
      <w:r w:rsidRPr="00801AFD">
        <w:rPr>
          <w:sz w:val="22"/>
          <w:szCs w:val="22"/>
          <w:lang w:val="sr-Latn-ME"/>
        </w:rPr>
        <w:t>Ravulizumab je monoklonsko antit</w:t>
      </w:r>
      <w:r w:rsidR="00A30593" w:rsidRPr="00801AFD">
        <w:rPr>
          <w:sz w:val="22"/>
          <w:szCs w:val="22"/>
          <w:lang w:val="sr-Latn-ME"/>
        </w:rPr>
        <w:t>ij</w:t>
      </w:r>
      <w:r w:rsidRPr="00801AFD">
        <w:rPr>
          <w:sz w:val="22"/>
          <w:szCs w:val="22"/>
          <w:lang w:val="sr-Latn-ME"/>
        </w:rPr>
        <w:t>elo IgG</w:t>
      </w:r>
      <w:r w:rsidRPr="00801AFD">
        <w:rPr>
          <w:sz w:val="22"/>
          <w:szCs w:val="22"/>
          <w:vertAlign w:val="subscript"/>
          <w:lang w:val="sr-Latn-ME"/>
        </w:rPr>
        <w:t xml:space="preserve">2/4K </w:t>
      </w:r>
      <w:r w:rsidRPr="00801AFD">
        <w:rPr>
          <w:sz w:val="22"/>
          <w:szCs w:val="22"/>
          <w:lang w:val="sr-Latn-ME"/>
        </w:rPr>
        <w:t>koje se specifično vezuje za protein C5 u sistemu komplementa, čime onemogućava njegovo c</w:t>
      </w:r>
      <w:r w:rsidR="00A30593" w:rsidRPr="00801AFD">
        <w:rPr>
          <w:sz w:val="22"/>
          <w:szCs w:val="22"/>
          <w:lang w:val="sr-Latn-ME"/>
        </w:rPr>
        <w:t>ij</w:t>
      </w:r>
      <w:r w:rsidRPr="00801AFD">
        <w:rPr>
          <w:sz w:val="22"/>
          <w:szCs w:val="22"/>
          <w:lang w:val="sr-Latn-ME"/>
        </w:rPr>
        <w:t xml:space="preserve">epanje na C5a (proinflamatorni anafilatoksin) i C5b (podjedinica sa kojom započinje formiranje </w:t>
      </w:r>
      <w:r w:rsidR="00A84D65" w:rsidRPr="00801AFD">
        <w:rPr>
          <w:sz w:val="22"/>
          <w:szCs w:val="22"/>
          <w:lang w:val="sr-Latn-ME"/>
        </w:rPr>
        <w:t>kompleksa koji oštećuje membranu</w:t>
      </w:r>
      <w:r w:rsidR="004E3029" w:rsidRPr="00801AFD">
        <w:rPr>
          <w:sz w:val="22"/>
          <w:szCs w:val="22"/>
          <w:lang w:val="sr-Latn-ME"/>
        </w:rPr>
        <w:t xml:space="preserve"> </w:t>
      </w:r>
      <w:r w:rsidRPr="00801AFD">
        <w:rPr>
          <w:sz w:val="22"/>
          <w:szCs w:val="22"/>
          <w:lang w:val="sr-Latn-ME"/>
        </w:rPr>
        <w:t>[</w:t>
      </w:r>
      <w:r w:rsidR="00A84D65" w:rsidRPr="00801AFD">
        <w:rPr>
          <w:sz w:val="22"/>
          <w:szCs w:val="22"/>
          <w:lang w:val="sr-Latn-ME"/>
        </w:rPr>
        <w:t>MA</w:t>
      </w:r>
      <w:r w:rsidR="005559D6" w:rsidRPr="00801AFD">
        <w:rPr>
          <w:sz w:val="22"/>
          <w:szCs w:val="22"/>
          <w:lang w:val="sr-Latn-ME"/>
        </w:rPr>
        <w:t>C(</w:t>
      </w:r>
      <w:r w:rsidR="005559D6" w:rsidRPr="00801AFD">
        <w:rPr>
          <w:iCs/>
          <w:sz w:val="22"/>
          <w:szCs w:val="22"/>
          <w:lang w:val="sr-Latn-ME"/>
        </w:rPr>
        <w:t>membrane attack complex )</w:t>
      </w:r>
      <w:r w:rsidR="00A84D65" w:rsidRPr="00801AFD">
        <w:rPr>
          <w:sz w:val="22"/>
          <w:szCs w:val="22"/>
          <w:lang w:val="sr-Latn-ME"/>
        </w:rPr>
        <w:t xml:space="preserve"> ili </w:t>
      </w:r>
      <w:r w:rsidRPr="00801AFD">
        <w:rPr>
          <w:sz w:val="22"/>
          <w:szCs w:val="22"/>
          <w:lang w:val="sr-Latn-ME"/>
        </w:rPr>
        <w:t>C5b-9]) i spr</w:t>
      </w:r>
      <w:r w:rsidR="004E3029" w:rsidRPr="00801AFD">
        <w:rPr>
          <w:sz w:val="22"/>
          <w:szCs w:val="22"/>
          <w:lang w:val="sr-Latn-ME"/>
        </w:rPr>
        <w:t>i</w:t>
      </w:r>
      <w:r w:rsidR="00A30593" w:rsidRPr="00801AFD">
        <w:rPr>
          <w:sz w:val="22"/>
          <w:szCs w:val="22"/>
          <w:lang w:val="sr-Latn-ME"/>
        </w:rPr>
        <w:t>j</w:t>
      </w:r>
      <w:r w:rsidRPr="00801AFD">
        <w:rPr>
          <w:sz w:val="22"/>
          <w:szCs w:val="22"/>
          <w:lang w:val="sr-Latn-ME"/>
        </w:rPr>
        <w:t>ečava stvaranje C5b-9. Ravulizumab ne inhibira rane komponente aktivacije komplementa neophodne za opsonizaciju mikroorganizama i uklanjanje imunokompleksa.</w:t>
      </w:r>
    </w:p>
    <w:p w14:paraId="7FD03CEE" w14:textId="77777777" w:rsidR="006F6043" w:rsidRPr="00801AFD" w:rsidRDefault="006F6043" w:rsidP="00801AFD">
      <w:pPr>
        <w:pStyle w:val="Default"/>
        <w:widowControl w:val="0"/>
        <w:jc w:val="both"/>
        <w:rPr>
          <w:sz w:val="22"/>
          <w:szCs w:val="22"/>
          <w:lang w:val="sr-Latn-ME"/>
        </w:rPr>
      </w:pPr>
    </w:p>
    <w:p w14:paraId="72BE73E3" w14:textId="77777777" w:rsidR="006F6043" w:rsidRPr="00801AFD" w:rsidRDefault="006F6043" w:rsidP="00801AFD">
      <w:pPr>
        <w:pStyle w:val="Default"/>
        <w:widowControl w:val="0"/>
        <w:jc w:val="both"/>
        <w:rPr>
          <w:b/>
          <w:bCs/>
          <w:sz w:val="22"/>
          <w:szCs w:val="22"/>
          <w:lang w:val="sr-Latn-ME"/>
        </w:rPr>
      </w:pPr>
      <w:r w:rsidRPr="00801AFD">
        <w:rPr>
          <w:b/>
          <w:bCs/>
          <w:sz w:val="22"/>
          <w:szCs w:val="22"/>
          <w:lang w:val="sr-Latn-ME"/>
        </w:rPr>
        <w:t>Farmakodinamski efekti</w:t>
      </w:r>
    </w:p>
    <w:p w14:paraId="0F70CE5E" w14:textId="2652D297" w:rsidR="006F6043" w:rsidRPr="00801AFD" w:rsidRDefault="006F6043" w:rsidP="00801AFD">
      <w:pPr>
        <w:pStyle w:val="Default"/>
        <w:widowControl w:val="0"/>
        <w:jc w:val="both"/>
        <w:rPr>
          <w:sz w:val="22"/>
          <w:szCs w:val="22"/>
          <w:lang w:val="sr-Latn-ME"/>
        </w:rPr>
      </w:pPr>
      <w:r w:rsidRPr="00801AFD">
        <w:rPr>
          <w:sz w:val="22"/>
          <w:szCs w:val="22"/>
          <w:lang w:val="sr-Latn-ME"/>
        </w:rPr>
        <w:t>U studijama faze III, nakon terapije ravulizumabom kod</w:t>
      </w:r>
      <w:r w:rsidR="00EF0C21" w:rsidRPr="00801AFD">
        <w:rPr>
          <w:sz w:val="22"/>
          <w:szCs w:val="22"/>
          <w:lang w:val="sr-Latn-ME"/>
        </w:rPr>
        <w:t xml:space="preserve"> odraslih i pedijatrijskih</w:t>
      </w:r>
      <w:r w:rsidRPr="00801AFD">
        <w:rPr>
          <w:sz w:val="22"/>
          <w:szCs w:val="22"/>
          <w:lang w:val="sr-Latn-ME"/>
        </w:rPr>
        <w:t xml:space="preserve"> pacijenata sa PNH</w:t>
      </w:r>
      <w:r w:rsidR="00A30593" w:rsidRPr="00801AFD">
        <w:rPr>
          <w:sz w:val="22"/>
          <w:szCs w:val="22"/>
          <w:lang w:val="sr-Latn-ME"/>
        </w:rPr>
        <w:t>-om</w:t>
      </w:r>
      <w:r w:rsidRPr="00801AFD">
        <w:rPr>
          <w:sz w:val="22"/>
          <w:szCs w:val="22"/>
          <w:lang w:val="sr-Latn-ME"/>
        </w:rPr>
        <w:t xml:space="preserve"> koji prethodno nijesu prim</w:t>
      </w:r>
      <w:r w:rsidR="00A30593" w:rsidRPr="00801AFD">
        <w:rPr>
          <w:sz w:val="22"/>
          <w:szCs w:val="22"/>
          <w:lang w:val="sr-Latn-ME"/>
        </w:rPr>
        <w:t>a</w:t>
      </w:r>
      <w:r w:rsidRPr="00801AFD">
        <w:rPr>
          <w:sz w:val="22"/>
          <w:szCs w:val="22"/>
          <w:lang w:val="sr-Latn-ME"/>
        </w:rPr>
        <w:t>li inhibitor sistema komplementa i kod onih koji su primali ekulizumab, prim</w:t>
      </w:r>
      <w:r w:rsidR="00A30593" w:rsidRPr="00801AFD">
        <w:rPr>
          <w:sz w:val="22"/>
          <w:szCs w:val="22"/>
          <w:lang w:val="sr-Latn-ME"/>
        </w:rPr>
        <w:t>i</w:t>
      </w:r>
      <w:r w:rsidRPr="00801AFD">
        <w:rPr>
          <w:sz w:val="22"/>
          <w:szCs w:val="22"/>
          <w:lang w:val="sr-Latn-ME"/>
        </w:rPr>
        <w:t>jećena je trenutna</w:t>
      </w:r>
      <w:r w:rsidR="00EF0C21" w:rsidRPr="00801AFD">
        <w:rPr>
          <w:sz w:val="22"/>
          <w:szCs w:val="22"/>
          <w:lang w:val="sr-Latn-ME"/>
        </w:rPr>
        <w:t xml:space="preserve">, </w:t>
      </w:r>
      <w:r w:rsidRPr="00801AFD">
        <w:rPr>
          <w:sz w:val="22"/>
          <w:szCs w:val="22"/>
          <w:lang w:val="sr-Latn-ME"/>
        </w:rPr>
        <w:t xml:space="preserve">potpuna </w:t>
      </w:r>
      <w:r w:rsidR="00EF0C21" w:rsidRPr="00801AFD">
        <w:rPr>
          <w:sz w:val="22"/>
          <w:szCs w:val="22"/>
          <w:lang w:val="sr-Latn-ME"/>
        </w:rPr>
        <w:t xml:space="preserve">i održiva </w:t>
      </w:r>
      <w:r w:rsidRPr="00801AFD">
        <w:rPr>
          <w:sz w:val="22"/>
          <w:szCs w:val="22"/>
          <w:lang w:val="sr-Latn-ME"/>
        </w:rPr>
        <w:t>inhibicija slobodnog C5 u serumu (koncentracija &lt;0,5 µg/ml) do kraja prve infuzije i kod svih pacijenata se održala tokom čitavog 26-nedjeljnog perioda liječenja. Trenutna i potpuna inhibicija slobodnog C5 u serumu prim</w:t>
      </w:r>
      <w:r w:rsidR="005A23C7" w:rsidRPr="00801AFD">
        <w:rPr>
          <w:sz w:val="22"/>
          <w:szCs w:val="22"/>
          <w:lang w:val="sr-Latn-ME"/>
        </w:rPr>
        <w:t>i</w:t>
      </w:r>
      <w:r w:rsidRPr="00801AFD">
        <w:rPr>
          <w:sz w:val="22"/>
          <w:szCs w:val="22"/>
          <w:lang w:val="sr-Latn-ME"/>
        </w:rPr>
        <w:t>jećena je i kod odraslih i kod pedijatrijskih pacijenata sa aHUS</w:t>
      </w:r>
      <w:r w:rsidR="005A23C7" w:rsidRPr="00801AFD">
        <w:rPr>
          <w:sz w:val="22"/>
          <w:szCs w:val="22"/>
          <w:lang w:val="sr-Latn-ME"/>
        </w:rPr>
        <w:t>-om</w:t>
      </w:r>
      <w:r w:rsidRPr="00801AFD">
        <w:rPr>
          <w:sz w:val="22"/>
          <w:szCs w:val="22"/>
          <w:lang w:val="sr-Latn-ME"/>
        </w:rPr>
        <w:t xml:space="preserve"> </w:t>
      </w:r>
      <w:r w:rsidR="00A84D65" w:rsidRPr="00801AFD">
        <w:rPr>
          <w:sz w:val="22"/>
          <w:szCs w:val="22"/>
          <w:lang w:val="sr-Latn-ME"/>
        </w:rPr>
        <w:t>i kod odraslih pacijenata sa gMG</w:t>
      </w:r>
      <w:r w:rsidR="002D5FEA" w:rsidRPr="00801AFD">
        <w:rPr>
          <w:sz w:val="22"/>
          <w:szCs w:val="22"/>
          <w:lang w:val="sr-Latn-ME"/>
        </w:rPr>
        <w:t xml:space="preserve"> </w:t>
      </w:r>
      <w:r w:rsidR="00A84D65" w:rsidRPr="00801AFD">
        <w:rPr>
          <w:sz w:val="22"/>
          <w:szCs w:val="22"/>
          <w:lang w:val="sr-Latn-ME"/>
        </w:rPr>
        <w:t xml:space="preserve"> </w:t>
      </w:r>
      <w:r w:rsidR="002D5FEA" w:rsidRPr="00801AFD">
        <w:rPr>
          <w:sz w:val="22"/>
          <w:szCs w:val="22"/>
          <w:lang w:val="sr-Latn-ME"/>
        </w:rPr>
        <w:t>i kod odraslih pacijenata sa NMOSD</w:t>
      </w:r>
      <w:r w:rsidR="00A84D65" w:rsidRPr="00801AFD">
        <w:rPr>
          <w:sz w:val="22"/>
          <w:szCs w:val="22"/>
          <w:lang w:val="sr-Latn-ME"/>
        </w:rPr>
        <w:t xml:space="preserve"> </w:t>
      </w:r>
      <w:r w:rsidRPr="00801AFD">
        <w:rPr>
          <w:sz w:val="22"/>
          <w:szCs w:val="22"/>
          <w:lang w:val="sr-Latn-ME"/>
        </w:rPr>
        <w:t xml:space="preserve">do kraja prve infuzije i tokom perioda </w:t>
      </w:r>
      <w:r w:rsidR="002D5FEA" w:rsidRPr="00801AFD">
        <w:rPr>
          <w:sz w:val="22"/>
          <w:szCs w:val="22"/>
          <w:lang w:val="sr-Latn-ME"/>
        </w:rPr>
        <w:t xml:space="preserve">primarnog </w:t>
      </w:r>
      <w:r w:rsidRPr="00801AFD">
        <w:rPr>
          <w:sz w:val="22"/>
          <w:szCs w:val="22"/>
          <w:lang w:val="sr-Latn-ME"/>
        </w:rPr>
        <w:t>liječenja.</w:t>
      </w:r>
    </w:p>
    <w:p w14:paraId="75A9AC36" w14:textId="2DC2C5FC" w:rsidR="006F6043" w:rsidRPr="00801AFD" w:rsidRDefault="006F6043" w:rsidP="00801AFD">
      <w:pPr>
        <w:pStyle w:val="Default"/>
        <w:widowControl w:val="0"/>
        <w:jc w:val="both"/>
        <w:rPr>
          <w:sz w:val="22"/>
          <w:szCs w:val="22"/>
          <w:lang w:val="sr-Latn-ME"/>
        </w:rPr>
      </w:pPr>
      <w:r w:rsidRPr="00801AFD">
        <w:rPr>
          <w:sz w:val="22"/>
          <w:szCs w:val="22"/>
          <w:lang w:val="sr-Latn-ME"/>
        </w:rPr>
        <w:t>Obim i trajanje farmakodinamskog odgovora kod pacijenata sa PNH</w:t>
      </w:r>
      <w:r w:rsidR="005A23C7" w:rsidRPr="00801AFD">
        <w:rPr>
          <w:sz w:val="22"/>
          <w:szCs w:val="22"/>
          <w:lang w:val="sr-Latn-ME"/>
        </w:rPr>
        <w:t>-om</w:t>
      </w:r>
      <w:r w:rsidR="00A84D65" w:rsidRPr="00801AFD">
        <w:rPr>
          <w:sz w:val="22"/>
          <w:szCs w:val="22"/>
          <w:lang w:val="sr-Latn-ME"/>
        </w:rPr>
        <w:t>,</w:t>
      </w:r>
      <w:r w:rsidR="005559D6" w:rsidRPr="00801AFD">
        <w:rPr>
          <w:sz w:val="22"/>
          <w:szCs w:val="22"/>
          <w:lang w:val="sr-Latn-ME"/>
        </w:rPr>
        <w:t xml:space="preserve"> </w:t>
      </w:r>
      <w:r w:rsidRPr="00801AFD">
        <w:rPr>
          <w:sz w:val="22"/>
          <w:szCs w:val="22"/>
          <w:lang w:val="sr-Latn-ME"/>
        </w:rPr>
        <w:t>aHUS</w:t>
      </w:r>
      <w:r w:rsidR="005A23C7" w:rsidRPr="00801AFD">
        <w:rPr>
          <w:sz w:val="22"/>
          <w:szCs w:val="22"/>
          <w:lang w:val="sr-Latn-ME"/>
        </w:rPr>
        <w:t>-om</w:t>
      </w:r>
      <w:r w:rsidR="005559D6" w:rsidRPr="00801AFD">
        <w:rPr>
          <w:sz w:val="22"/>
          <w:szCs w:val="22"/>
          <w:lang w:val="sr-Latn-ME"/>
        </w:rPr>
        <w:t xml:space="preserve"> i </w:t>
      </w:r>
      <w:r w:rsidRPr="00801AFD">
        <w:rPr>
          <w:sz w:val="22"/>
          <w:szCs w:val="22"/>
          <w:lang w:val="sr-Latn-ME"/>
        </w:rPr>
        <w:t xml:space="preserve"> </w:t>
      </w:r>
      <w:r w:rsidR="00A84D65" w:rsidRPr="00801AFD">
        <w:rPr>
          <w:sz w:val="22"/>
          <w:szCs w:val="22"/>
          <w:lang w:val="sr-Latn-ME"/>
        </w:rPr>
        <w:t>gMG</w:t>
      </w:r>
      <w:r w:rsidR="000E1ECA" w:rsidRPr="00801AFD">
        <w:rPr>
          <w:sz w:val="22"/>
          <w:szCs w:val="22"/>
          <w:lang w:val="sr-Latn-ME"/>
        </w:rPr>
        <w:t xml:space="preserve"> ili NMOSD</w:t>
      </w:r>
      <w:r w:rsidR="005559D6" w:rsidRPr="00801AFD">
        <w:rPr>
          <w:sz w:val="22"/>
          <w:szCs w:val="22"/>
          <w:lang w:val="sr-Latn-ME"/>
        </w:rPr>
        <w:t xml:space="preserve"> </w:t>
      </w:r>
      <w:r w:rsidRPr="00801AFD">
        <w:rPr>
          <w:sz w:val="22"/>
          <w:szCs w:val="22"/>
          <w:lang w:val="sr-Latn-ME"/>
        </w:rPr>
        <w:t>zavisili su od izloženosti ravulizumabu. Koncentracije slobodnog C5 ispod 0,5 µg/ml bile su povezane sa maksimalnom kontrolom intravaskularne hemolize i potpunom inhibicijom završne aktivacije sistema komplementa.</w:t>
      </w:r>
      <w:r w:rsidR="00A84D65" w:rsidRPr="00801AFD">
        <w:rPr>
          <w:sz w:val="22"/>
          <w:szCs w:val="22"/>
          <w:lang w:val="sr-Latn-ME"/>
        </w:rPr>
        <w:t xml:space="preserve"> Kod gMG završna aktivacija sistema komplementa dovodi do taloženja MAC</w:t>
      </w:r>
      <w:r w:rsidR="005559D6" w:rsidRPr="00801AFD">
        <w:rPr>
          <w:sz w:val="22"/>
          <w:szCs w:val="22"/>
          <w:lang w:val="sr-Latn-ME"/>
        </w:rPr>
        <w:t>-a</w:t>
      </w:r>
      <w:r w:rsidR="00A84D65" w:rsidRPr="00801AFD">
        <w:rPr>
          <w:sz w:val="22"/>
          <w:szCs w:val="22"/>
          <w:lang w:val="sr-Latn-ME"/>
        </w:rPr>
        <w:t xml:space="preserve"> u neuromišićnoj sinapsi i pogoršanja neuromišićne transmisije.</w:t>
      </w:r>
      <w:r w:rsidR="002D5FEA" w:rsidRPr="00801AFD">
        <w:rPr>
          <w:sz w:val="22"/>
          <w:szCs w:val="22"/>
          <w:lang w:val="sr-Latn-ME"/>
        </w:rPr>
        <w:t xml:space="preserve"> Kod NMOSD završna aktivacija sistema komplementa dovodi do taloženja MAC i upala zavisna od C5a, nekroza astrocita i oštećenje okolnih glija ćelija i neurona.</w:t>
      </w:r>
    </w:p>
    <w:p w14:paraId="09407913" w14:textId="77777777" w:rsidR="006F6043" w:rsidRPr="00801AFD" w:rsidRDefault="006F6043" w:rsidP="00801AFD">
      <w:pPr>
        <w:pStyle w:val="Default"/>
        <w:widowControl w:val="0"/>
        <w:jc w:val="both"/>
        <w:rPr>
          <w:sz w:val="22"/>
          <w:szCs w:val="22"/>
          <w:lang w:val="sr-Latn-ME"/>
        </w:rPr>
      </w:pPr>
    </w:p>
    <w:p w14:paraId="09717F49" w14:textId="77777777" w:rsidR="006F6043" w:rsidRPr="00801AFD" w:rsidRDefault="006F6043" w:rsidP="00801AFD">
      <w:pPr>
        <w:pStyle w:val="Default"/>
        <w:widowControl w:val="0"/>
        <w:jc w:val="both"/>
        <w:rPr>
          <w:b/>
          <w:bCs/>
          <w:sz w:val="22"/>
          <w:szCs w:val="22"/>
          <w:lang w:val="sr-Latn-ME"/>
        </w:rPr>
      </w:pPr>
      <w:r w:rsidRPr="00801AFD">
        <w:rPr>
          <w:b/>
          <w:bCs/>
          <w:sz w:val="22"/>
          <w:szCs w:val="22"/>
          <w:lang w:val="sr-Latn-ME"/>
        </w:rPr>
        <w:t>Klinička efikasnost i bezbjednost</w:t>
      </w:r>
    </w:p>
    <w:p w14:paraId="622CBB88" w14:textId="190075F8" w:rsidR="006F6043" w:rsidRPr="00801AFD" w:rsidRDefault="006F6043" w:rsidP="00801AFD">
      <w:pPr>
        <w:pStyle w:val="Default"/>
        <w:widowControl w:val="0"/>
        <w:jc w:val="both"/>
        <w:rPr>
          <w:i/>
          <w:iCs/>
          <w:sz w:val="22"/>
          <w:szCs w:val="22"/>
          <w:lang w:val="sr-Latn-ME"/>
        </w:rPr>
      </w:pPr>
      <w:r w:rsidRPr="00801AFD">
        <w:rPr>
          <w:i/>
          <w:iCs/>
          <w:sz w:val="22"/>
          <w:szCs w:val="22"/>
          <w:lang w:val="sr-Latn-ME"/>
        </w:rPr>
        <w:t>Paroksizmalna noćna hemoglobinurija</w:t>
      </w:r>
      <w:r w:rsidR="00AE5148" w:rsidRPr="00801AFD">
        <w:rPr>
          <w:i/>
          <w:iCs/>
          <w:sz w:val="22"/>
          <w:szCs w:val="22"/>
          <w:lang w:val="sr-Latn-ME"/>
        </w:rPr>
        <w:t xml:space="preserve"> (PNH)</w:t>
      </w:r>
    </w:p>
    <w:p w14:paraId="69232A18" w14:textId="4D099F92" w:rsidR="006F6043" w:rsidRPr="00801AFD" w:rsidRDefault="006F6043" w:rsidP="00801AFD">
      <w:pPr>
        <w:pStyle w:val="Default"/>
        <w:widowControl w:val="0"/>
        <w:jc w:val="both"/>
        <w:rPr>
          <w:sz w:val="22"/>
          <w:szCs w:val="22"/>
          <w:lang w:val="sr-Latn-ME"/>
        </w:rPr>
      </w:pPr>
      <w:r w:rsidRPr="00801AFD">
        <w:rPr>
          <w:sz w:val="22"/>
          <w:szCs w:val="22"/>
          <w:lang w:val="sr-Latn-ME"/>
        </w:rPr>
        <w:t>Bezbjednost i efikasnost ravulizumaba kod pacijenata sa PNH</w:t>
      </w:r>
      <w:r w:rsidR="005A23C7" w:rsidRPr="00801AFD">
        <w:rPr>
          <w:sz w:val="22"/>
          <w:szCs w:val="22"/>
          <w:lang w:val="sr-Latn-ME"/>
        </w:rPr>
        <w:t>-om</w:t>
      </w:r>
      <w:r w:rsidRPr="00801AFD">
        <w:rPr>
          <w:sz w:val="22"/>
          <w:szCs w:val="22"/>
          <w:lang w:val="sr-Latn-ME"/>
        </w:rPr>
        <w:t xml:space="preserve"> proc</w:t>
      </w:r>
      <w:r w:rsidR="001E6B36" w:rsidRPr="00801AFD">
        <w:rPr>
          <w:sz w:val="22"/>
          <w:szCs w:val="22"/>
          <w:lang w:val="sr-Latn-ME"/>
        </w:rPr>
        <w:t>i</w:t>
      </w:r>
      <w:r w:rsidRPr="00801AFD">
        <w:rPr>
          <w:sz w:val="22"/>
          <w:szCs w:val="22"/>
          <w:lang w:val="sr-Latn-ME"/>
        </w:rPr>
        <w:t>jenjeni su u dva otvorena, randomizovana ispitivanja faze III sa aktivnom kontrolom:</w:t>
      </w:r>
    </w:p>
    <w:p w14:paraId="0512C4D2" w14:textId="4AE8158E" w:rsidR="006F6043" w:rsidRPr="00801AFD" w:rsidRDefault="006F6043" w:rsidP="00801AFD">
      <w:pPr>
        <w:pStyle w:val="Default"/>
        <w:widowControl w:val="0"/>
        <w:numPr>
          <w:ilvl w:val="0"/>
          <w:numId w:val="14"/>
        </w:numPr>
        <w:jc w:val="both"/>
        <w:rPr>
          <w:sz w:val="22"/>
          <w:szCs w:val="22"/>
          <w:lang w:val="sr-Latn-ME"/>
        </w:rPr>
      </w:pPr>
      <w:r w:rsidRPr="00801AFD">
        <w:rPr>
          <w:sz w:val="22"/>
          <w:szCs w:val="22"/>
          <w:lang w:val="sr-Latn-ME"/>
        </w:rPr>
        <w:t>u studiji o upotrebi kod odraslih pacijenata sa PNH</w:t>
      </w:r>
      <w:r w:rsidR="001E6B36" w:rsidRPr="00801AFD">
        <w:rPr>
          <w:sz w:val="22"/>
          <w:szCs w:val="22"/>
          <w:lang w:val="sr-Latn-ME"/>
        </w:rPr>
        <w:t>-om</w:t>
      </w:r>
      <w:r w:rsidRPr="00801AFD">
        <w:rPr>
          <w:sz w:val="22"/>
          <w:szCs w:val="22"/>
          <w:lang w:val="sr-Latn-ME"/>
        </w:rPr>
        <w:t xml:space="preserve"> koji prethodno nijesu primili inhibitor sistema komplementa</w:t>
      </w:r>
    </w:p>
    <w:p w14:paraId="3C15678F" w14:textId="77777777" w:rsidR="006F6043" w:rsidRPr="00801AFD" w:rsidRDefault="006F6043" w:rsidP="00801AFD">
      <w:pPr>
        <w:pStyle w:val="Default"/>
        <w:widowControl w:val="0"/>
        <w:numPr>
          <w:ilvl w:val="0"/>
          <w:numId w:val="14"/>
        </w:numPr>
        <w:jc w:val="both"/>
        <w:rPr>
          <w:sz w:val="22"/>
          <w:szCs w:val="22"/>
          <w:lang w:val="sr-Latn-ME"/>
        </w:rPr>
      </w:pPr>
      <w:r w:rsidRPr="00801AFD">
        <w:rPr>
          <w:sz w:val="22"/>
          <w:szCs w:val="22"/>
          <w:lang w:val="sr-Latn-ME"/>
        </w:rPr>
        <w:t>u studiji na pacijentima koji su prethodno primali ekulizumab, sprovedenoj na pacijentima sa PNH koji su bili klinički stabilni nakon liječenja ekulizumabom najmanje tokom proteklih 6 mjeseci.</w:t>
      </w:r>
    </w:p>
    <w:p w14:paraId="1C32A66D" w14:textId="77777777" w:rsidR="006F6043" w:rsidRPr="00801AFD" w:rsidRDefault="006F6043" w:rsidP="00801AFD">
      <w:pPr>
        <w:pStyle w:val="Default"/>
        <w:widowControl w:val="0"/>
        <w:jc w:val="both"/>
        <w:rPr>
          <w:sz w:val="22"/>
          <w:szCs w:val="22"/>
          <w:lang w:val="sr-Latn-ME"/>
        </w:rPr>
      </w:pPr>
    </w:p>
    <w:p w14:paraId="5E277664" w14:textId="4C2B2BB4" w:rsidR="006F6043" w:rsidRPr="00801AFD" w:rsidRDefault="006F6043" w:rsidP="00801AFD">
      <w:pPr>
        <w:widowControl w:val="0"/>
        <w:jc w:val="both"/>
        <w:rPr>
          <w:color w:val="000000"/>
          <w:sz w:val="22"/>
          <w:szCs w:val="22"/>
          <w:lang w:val="sr-Latn-ME"/>
        </w:rPr>
      </w:pPr>
      <w:r w:rsidRPr="00801AFD">
        <w:rPr>
          <w:color w:val="000000"/>
          <w:sz w:val="22"/>
          <w:szCs w:val="22"/>
          <w:lang w:val="sr-Latn-ME"/>
        </w:rPr>
        <w:t xml:space="preserve">Ravulizumab je doziran u skladu sa preporučenom dozom opisanom u </w:t>
      </w:r>
      <w:r w:rsidR="001E6B36" w:rsidRPr="00801AFD">
        <w:rPr>
          <w:color w:val="000000"/>
          <w:sz w:val="22"/>
          <w:szCs w:val="22"/>
          <w:lang w:val="sr-Latn-ME"/>
        </w:rPr>
        <w:t xml:space="preserve">dijelu </w:t>
      </w:r>
      <w:r w:rsidRPr="00801AFD">
        <w:rPr>
          <w:color w:val="000000"/>
          <w:sz w:val="22"/>
          <w:szCs w:val="22"/>
          <w:lang w:val="sr-Latn-ME"/>
        </w:rPr>
        <w:t>4.2 (4 infuzije ravulizumaba tokom 26 nedjelja), dok je ekulizumab prim</w:t>
      </w:r>
      <w:r w:rsidR="001E6B36" w:rsidRPr="00801AFD">
        <w:rPr>
          <w:color w:val="000000"/>
          <w:sz w:val="22"/>
          <w:szCs w:val="22"/>
          <w:lang w:val="sr-Latn-ME"/>
        </w:rPr>
        <w:t>i</w:t>
      </w:r>
      <w:r w:rsidRPr="00801AFD">
        <w:rPr>
          <w:color w:val="000000"/>
          <w:sz w:val="22"/>
          <w:szCs w:val="22"/>
          <w:lang w:val="sr-Latn-ME"/>
        </w:rPr>
        <w:t>jenjivan u skladu sa režimom doziranja odobrenim za ekulizumab od 600 mg svake nedjelje tokom prve 4 nedjelje i 900 mg svake 2 nedjelje (15 infuzija tokom 26 nedjelja).</w:t>
      </w:r>
    </w:p>
    <w:p w14:paraId="2AF5CF85" w14:textId="77777777" w:rsidR="006F6043" w:rsidRPr="00801AFD" w:rsidRDefault="006F6043" w:rsidP="00801AFD">
      <w:pPr>
        <w:widowControl w:val="0"/>
        <w:jc w:val="both"/>
        <w:rPr>
          <w:color w:val="000000"/>
          <w:sz w:val="22"/>
          <w:szCs w:val="22"/>
          <w:lang w:val="sr-Latn-ME"/>
        </w:rPr>
      </w:pPr>
    </w:p>
    <w:p w14:paraId="3326D817" w14:textId="77777777" w:rsidR="006F6043" w:rsidRPr="00801AFD" w:rsidRDefault="006F6043" w:rsidP="00801AFD">
      <w:pPr>
        <w:widowControl w:val="0"/>
        <w:jc w:val="both"/>
        <w:rPr>
          <w:color w:val="000000"/>
          <w:sz w:val="22"/>
          <w:szCs w:val="22"/>
          <w:lang w:val="sr-Latn-ME"/>
        </w:rPr>
      </w:pPr>
      <w:r w:rsidRPr="00801AFD">
        <w:rPr>
          <w:color w:val="000000"/>
          <w:sz w:val="22"/>
          <w:szCs w:val="22"/>
          <w:lang w:val="sr-Latn-ME"/>
        </w:rPr>
        <w:t>Pacijenti su vakcinisani protiv meningokokne infekcije prije ili na početku liječenja ravulizumabom ili ekulizumabom ili su primali odgovarajuću antibiotsku profilaksu do 2 nedjelje nakon vakcinacije.</w:t>
      </w:r>
    </w:p>
    <w:p w14:paraId="743CBBBA" w14:textId="2F386E69" w:rsidR="006F6043" w:rsidRPr="00801AFD" w:rsidRDefault="006F6043" w:rsidP="00801AFD">
      <w:pPr>
        <w:widowControl w:val="0"/>
        <w:jc w:val="both"/>
        <w:rPr>
          <w:color w:val="000000"/>
          <w:sz w:val="22"/>
          <w:szCs w:val="22"/>
          <w:lang w:val="sr-Latn-ME"/>
        </w:rPr>
      </w:pPr>
      <w:r w:rsidRPr="00801AFD">
        <w:rPr>
          <w:color w:val="000000"/>
          <w:sz w:val="22"/>
          <w:szCs w:val="22"/>
          <w:lang w:val="sr-Latn-ME"/>
        </w:rPr>
        <w:t>U oba ispitivanja faze III nije bilo značajnih razlika u demografskim ili osnovnim karakteristikama između grupe koja je lij</w:t>
      </w:r>
      <w:r w:rsidR="001E6B36" w:rsidRPr="00801AFD">
        <w:rPr>
          <w:color w:val="000000"/>
          <w:sz w:val="22"/>
          <w:szCs w:val="22"/>
          <w:lang w:val="sr-Latn-ME"/>
        </w:rPr>
        <w:t>e</w:t>
      </w:r>
      <w:r w:rsidRPr="00801AFD">
        <w:rPr>
          <w:color w:val="000000"/>
          <w:sz w:val="22"/>
          <w:szCs w:val="22"/>
          <w:lang w:val="sr-Latn-ME"/>
        </w:rPr>
        <w:t xml:space="preserve">čena ravulizumabom i grupe koja je liječena ekulizumabom. Primjena </w:t>
      </w:r>
      <w:r w:rsidRPr="00801AFD">
        <w:rPr>
          <w:color w:val="000000"/>
          <w:sz w:val="22"/>
          <w:szCs w:val="22"/>
          <w:lang w:val="sr-Latn-ME"/>
        </w:rPr>
        <w:lastRenderedPageBreak/>
        <w:t>transfuzije u prethodnih 12 mjeseci u grupama liječenim ravulizumabom i ekulizumabom bila je slična u oba ispitivanja faze III.</w:t>
      </w:r>
    </w:p>
    <w:p w14:paraId="58FAB273" w14:textId="77777777" w:rsidR="006F6043" w:rsidRPr="00801AFD" w:rsidRDefault="006F6043" w:rsidP="00801AFD">
      <w:pPr>
        <w:widowControl w:val="0"/>
        <w:jc w:val="both"/>
        <w:rPr>
          <w:color w:val="000000"/>
          <w:sz w:val="22"/>
          <w:szCs w:val="22"/>
          <w:lang w:val="sr-Latn-ME"/>
        </w:rPr>
      </w:pPr>
    </w:p>
    <w:p w14:paraId="249CC490" w14:textId="7E6FC40E" w:rsidR="006F6043" w:rsidRPr="00801AFD" w:rsidRDefault="006F6043" w:rsidP="00801AFD">
      <w:pPr>
        <w:widowControl w:val="0"/>
        <w:jc w:val="both"/>
        <w:rPr>
          <w:i/>
          <w:iCs/>
          <w:color w:val="000000"/>
          <w:sz w:val="22"/>
          <w:szCs w:val="22"/>
          <w:u w:val="single"/>
          <w:lang w:val="sr-Latn-ME"/>
        </w:rPr>
      </w:pPr>
      <w:r w:rsidRPr="00801AFD">
        <w:rPr>
          <w:i/>
          <w:iCs/>
          <w:color w:val="000000"/>
          <w:sz w:val="22"/>
          <w:szCs w:val="22"/>
          <w:u w:val="single"/>
          <w:lang w:val="sr-Latn-ME"/>
        </w:rPr>
        <w:t xml:space="preserve">Studija na </w:t>
      </w:r>
      <w:r w:rsidR="00EF0C21" w:rsidRPr="00801AFD">
        <w:rPr>
          <w:i/>
          <w:iCs/>
          <w:color w:val="000000"/>
          <w:sz w:val="22"/>
          <w:szCs w:val="22"/>
          <w:u w:val="single"/>
          <w:lang w:val="sr-Latn-ME"/>
        </w:rPr>
        <w:t xml:space="preserve">odraslim </w:t>
      </w:r>
      <w:r w:rsidRPr="00801AFD">
        <w:rPr>
          <w:i/>
          <w:iCs/>
          <w:color w:val="000000"/>
          <w:sz w:val="22"/>
          <w:szCs w:val="22"/>
          <w:u w:val="single"/>
          <w:lang w:val="sr-Latn-ME"/>
        </w:rPr>
        <w:t>pacijentima sa PNH</w:t>
      </w:r>
      <w:r w:rsidR="002631C7" w:rsidRPr="00801AFD">
        <w:rPr>
          <w:i/>
          <w:iCs/>
          <w:color w:val="000000"/>
          <w:sz w:val="22"/>
          <w:szCs w:val="22"/>
          <w:u w:val="single"/>
          <w:lang w:val="sr-Latn-ME"/>
        </w:rPr>
        <w:t>-om</w:t>
      </w:r>
      <w:r w:rsidRPr="00801AFD">
        <w:rPr>
          <w:i/>
          <w:iCs/>
          <w:color w:val="000000"/>
          <w:sz w:val="22"/>
          <w:szCs w:val="22"/>
          <w:u w:val="single"/>
          <w:lang w:val="sr-Latn-ME"/>
        </w:rPr>
        <w:t xml:space="preserve"> koji prethodno nijesu primili inhibitor sistema komplementa</w:t>
      </w:r>
      <w:r w:rsidR="00AE5148" w:rsidRPr="00801AFD">
        <w:rPr>
          <w:i/>
          <w:iCs/>
          <w:color w:val="000000"/>
          <w:sz w:val="22"/>
          <w:szCs w:val="22"/>
          <w:u w:val="single"/>
          <w:lang w:val="sr-Latn-ME"/>
        </w:rPr>
        <w:t xml:space="preserve"> (ALXN1210-PNH-301)</w:t>
      </w:r>
    </w:p>
    <w:p w14:paraId="2D2D9989" w14:textId="17E3CC23" w:rsidR="006F6043" w:rsidRPr="00801AFD" w:rsidRDefault="006F6043" w:rsidP="00801AFD">
      <w:pPr>
        <w:widowControl w:val="0"/>
        <w:jc w:val="both"/>
        <w:rPr>
          <w:color w:val="000000"/>
          <w:sz w:val="22"/>
          <w:szCs w:val="22"/>
          <w:lang w:val="sr-Latn-ME"/>
        </w:rPr>
      </w:pPr>
      <w:r w:rsidRPr="00801AFD">
        <w:rPr>
          <w:color w:val="000000"/>
          <w:sz w:val="22"/>
          <w:szCs w:val="22"/>
          <w:lang w:val="sr-Latn-ME"/>
        </w:rPr>
        <w:t>Studija na pacijentima koji ranije nijesu primili inhibitor sistema komplementa bila je 26-nedjeljna, multicentrična, otvorena, randomizovana studija faze</w:t>
      </w:r>
      <w:r w:rsidR="002631C7" w:rsidRPr="00801AFD">
        <w:rPr>
          <w:color w:val="000000"/>
          <w:sz w:val="22"/>
          <w:szCs w:val="22"/>
          <w:lang w:val="sr-Latn-ME"/>
        </w:rPr>
        <w:t xml:space="preserve"> III</w:t>
      </w:r>
      <w:r w:rsidRPr="00801AFD">
        <w:rPr>
          <w:color w:val="000000"/>
          <w:sz w:val="22"/>
          <w:szCs w:val="22"/>
          <w:lang w:val="sr-Latn-ME"/>
        </w:rPr>
        <w:t xml:space="preserve"> sa aktivnom kontrolom, sprovedena na 246 pacijenata koji nijesu primili terapiju inhibitorom sistema komplementa prije uključivanja u studiju</w:t>
      </w:r>
      <w:r w:rsidR="008A435D" w:rsidRPr="00801AFD">
        <w:rPr>
          <w:color w:val="000000"/>
          <w:sz w:val="22"/>
          <w:szCs w:val="22"/>
          <w:lang w:val="sr-Latn-ME"/>
        </w:rPr>
        <w:t xml:space="preserve"> a nakon studije uslijedio je dugoročni produžetak u kojem su svi pacijenti primali ravulizumab</w:t>
      </w:r>
      <w:r w:rsidRPr="00801AFD">
        <w:rPr>
          <w:color w:val="000000"/>
          <w:sz w:val="22"/>
          <w:szCs w:val="22"/>
          <w:lang w:val="sr-Latn-ME"/>
        </w:rPr>
        <w:t>. Pacijenti koji ispunjavaju uslove za uključivanje u ovu studiju morali su da imaju dokazanu visoku aktivnost bolesti, definisanu kao nivo LDH ≥ 1,5 × gornja granica normale (GGN) na skriningu i da imaju 1 ili više sljedećih znakova ili simptoma povezanih sa PNH</w:t>
      </w:r>
      <w:r w:rsidR="002631C7" w:rsidRPr="00801AFD">
        <w:rPr>
          <w:color w:val="000000"/>
          <w:sz w:val="22"/>
          <w:szCs w:val="22"/>
          <w:lang w:val="sr-Latn-ME"/>
        </w:rPr>
        <w:t>-om</w:t>
      </w:r>
      <w:r w:rsidRPr="00801AFD">
        <w:rPr>
          <w:color w:val="000000"/>
          <w:sz w:val="22"/>
          <w:szCs w:val="22"/>
          <w:lang w:val="sr-Latn-ME"/>
        </w:rPr>
        <w:t xml:space="preserve"> u roku od 3 mjeseca prije skrininga: umor, hemoglobinurija, bolovi u stomaku, otežano disanje (dispneja), anemija (hemoglobin &lt;</w:t>
      </w:r>
      <w:r w:rsidR="002631C7" w:rsidRPr="00801AFD">
        <w:rPr>
          <w:color w:val="000000"/>
          <w:sz w:val="22"/>
          <w:szCs w:val="22"/>
          <w:lang w:val="sr-Latn-ME"/>
        </w:rPr>
        <w:t xml:space="preserve"> </w:t>
      </w:r>
      <w:r w:rsidRPr="00801AFD">
        <w:rPr>
          <w:color w:val="000000"/>
          <w:sz w:val="22"/>
          <w:szCs w:val="22"/>
          <w:lang w:val="sr-Latn-ME"/>
        </w:rPr>
        <w:t>10 g/dl), istorija glavnih neželjenih vaskularnih događaja (uključujući trombozu), disfagija ili erektilna disfunkcija; ili upotreba transfuzije koncentrovanih eritrocita zbog PNH.</w:t>
      </w:r>
    </w:p>
    <w:p w14:paraId="4967F2B6" w14:textId="77777777" w:rsidR="006F6043" w:rsidRPr="00801AFD" w:rsidRDefault="006F6043" w:rsidP="00801AFD">
      <w:pPr>
        <w:widowControl w:val="0"/>
        <w:jc w:val="both"/>
        <w:rPr>
          <w:color w:val="000000"/>
          <w:sz w:val="22"/>
          <w:szCs w:val="22"/>
          <w:lang w:val="sr-Latn-ME"/>
        </w:rPr>
      </w:pPr>
    </w:p>
    <w:p w14:paraId="33D71712" w14:textId="1DF2946A" w:rsidR="006F6043" w:rsidRPr="00801AFD" w:rsidRDefault="006F6043" w:rsidP="00801AFD">
      <w:pPr>
        <w:widowControl w:val="0"/>
        <w:jc w:val="both"/>
        <w:rPr>
          <w:color w:val="000000"/>
          <w:sz w:val="22"/>
          <w:szCs w:val="22"/>
          <w:lang w:val="sr-Latn-ME"/>
        </w:rPr>
      </w:pPr>
      <w:r w:rsidRPr="00801AFD">
        <w:rPr>
          <w:color w:val="000000"/>
          <w:sz w:val="22"/>
          <w:szCs w:val="22"/>
          <w:lang w:val="sr-Latn-ME"/>
        </w:rPr>
        <w:t>Više od 80% pacijenata u ob</w:t>
      </w:r>
      <w:r w:rsidR="002631C7" w:rsidRPr="00801AFD">
        <w:rPr>
          <w:color w:val="000000"/>
          <w:sz w:val="22"/>
          <w:szCs w:val="22"/>
          <w:lang w:val="sr-Latn-ME"/>
        </w:rPr>
        <w:t>ij</w:t>
      </w:r>
      <w:r w:rsidRPr="00801AFD">
        <w:rPr>
          <w:color w:val="000000"/>
          <w:sz w:val="22"/>
          <w:szCs w:val="22"/>
          <w:lang w:val="sr-Latn-ME"/>
        </w:rPr>
        <w:t>e grupe liječenja primilo je transfuziju u periodu od 12 mjeseci prije uključivanja u studiju. Većina populacije studije u kojoj pacijenti prethodno nijesu prim</w:t>
      </w:r>
      <w:r w:rsidR="002631C7" w:rsidRPr="00801AFD">
        <w:rPr>
          <w:color w:val="000000"/>
          <w:sz w:val="22"/>
          <w:szCs w:val="22"/>
          <w:lang w:val="sr-Latn-ME"/>
        </w:rPr>
        <w:t>a</w:t>
      </w:r>
      <w:r w:rsidRPr="00801AFD">
        <w:rPr>
          <w:color w:val="000000"/>
          <w:sz w:val="22"/>
          <w:szCs w:val="22"/>
          <w:lang w:val="sr-Latn-ME"/>
        </w:rPr>
        <w:t>li inhibitor sistema komplemenata imali su ozbiljnu hemolizu na početku; 86,2% uključenih pacijenata imalo je povišene vrijednosti LDH ≥ 3 × GGN, što je direktna mjera intravaskularne hemolize u okolnostima PNH</w:t>
      </w:r>
      <w:r w:rsidR="002631C7" w:rsidRPr="00801AFD">
        <w:rPr>
          <w:color w:val="000000"/>
          <w:sz w:val="22"/>
          <w:szCs w:val="22"/>
          <w:lang w:val="sr-Latn-ME"/>
        </w:rPr>
        <w:t>-a</w:t>
      </w:r>
      <w:r w:rsidRPr="00801AFD">
        <w:rPr>
          <w:color w:val="000000"/>
          <w:sz w:val="22"/>
          <w:szCs w:val="22"/>
          <w:lang w:val="sr-Latn-ME"/>
        </w:rPr>
        <w:t>.</w:t>
      </w:r>
    </w:p>
    <w:p w14:paraId="5D9CD70B" w14:textId="77777777" w:rsidR="006F6043" w:rsidRPr="00801AFD" w:rsidRDefault="006F6043" w:rsidP="00801AFD">
      <w:pPr>
        <w:widowControl w:val="0"/>
        <w:jc w:val="both"/>
        <w:rPr>
          <w:color w:val="000000"/>
          <w:sz w:val="22"/>
          <w:szCs w:val="22"/>
          <w:lang w:val="sr-Latn-ME"/>
        </w:rPr>
      </w:pPr>
    </w:p>
    <w:p w14:paraId="64F2A21A" w14:textId="6063E1D3" w:rsidR="006F6043" w:rsidRPr="00801AFD" w:rsidRDefault="006F6043" w:rsidP="00801AFD">
      <w:pPr>
        <w:widowControl w:val="0"/>
        <w:jc w:val="both"/>
        <w:rPr>
          <w:sz w:val="22"/>
          <w:szCs w:val="22"/>
          <w:lang w:val="sr-Latn-ME"/>
        </w:rPr>
      </w:pPr>
      <w:r w:rsidRPr="00801AFD">
        <w:rPr>
          <w:color w:val="000000"/>
          <w:sz w:val="22"/>
          <w:szCs w:val="22"/>
          <w:lang w:val="sr-Latn-ME"/>
        </w:rPr>
        <w:t xml:space="preserve">Tabela </w:t>
      </w:r>
      <w:r w:rsidR="00AE5148" w:rsidRPr="00801AFD">
        <w:rPr>
          <w:color w:val="000000"/>
          <w:sz w:val="22"/>
          <w:szCs w:val="22"/>
          <w:lang w:val="sr-Latn-ME"/>
        </w:rPr>
        <w:t xml:space="preserve">11 </w:t>
      </w:r>
      <w:r w:rsidRPr="00801AFD">
        <w:rPr>
          <w:color w:val="000000"/>
          <w:sz w:val="22"/>
          <w:szCs w:val="22"/>
          <w:lang w:val="sr-Latn-ME"/>
        </w:rPr>
        <w:t>prikazuje početne karakteristike pacijenata sa PNH</w:t>
      </w:r>
      <w:r w:rsidR="002631C7" w:rsidRPr="00801AFD">
        <w:rPr>
          <w:color w:val="000000"/>
          <w:sz w:val="22"/>
          <w:szCs w:val="22"/>
          <w:lang w:val="sr-Latn-ME"/>
        </w:rPr>
        <w:t>-om</w:t>
      </w:r>
      <w:r w:rsidRPr="00801AFD">
        <w:rPr>
          <w:color w:val="000000"/>
          <w:sz w:val="22"/>
          <w:szCs w:val="22"/>
          <w:lang w:val="sr-Latn-ME"/>
        </w:rPr>
        <w:t xml:space="preserve"> koji su uključeni u studiju u kojoj pacijenti prethodno nijesu primili inhibitor sistema komplementa. Nije bilo klinički značajnih razlika između liječenih grupa</w:t>
      </w:r>
      <w:r w:rsidRPr="00801AFD">
        <w:rPr>
          <w:sz w:val="22"/>
          <w:szCs w:val="22"/>
          <w:lang w:val="sr-Latn-ME"/>
        </w:rPr>
        <w:t>.</w:t>
      </w:r>
    </w:p>
    <w:p w14:paraId="4B41A8DE" w14:textId="77777777" w:rsidR="006F6043" w:rsidRPr="00801AFD" w:rsidRDefault="006F6043" w:rsidP="00801AFD">
      <w:pPr>
        <w:widowControl w:val="0"/>
        <w:jc w:val="both"/>
        <w:rPr>
          <w:sz w:val="22"/>
          <w:szCs w:val="22"/>
          <w:lang w:val="sr-Latn-ME"/>
        </w:rPr>
      </w:pPr>
    </w:p>
    <w:p w14:paraId="30F83C4B" w14:textId="72DB3830" w:rsidR="006F6043" w:rsidRPr="00801AFD" w:rsidRDefault="006F6043" w:rsidP="00801AFD">
      <w:pPr>
        <w:widowControl w:val="0"/>
        <w:jc w:val="both"/>
        <w:rPr>
          <w:b/>
          <w:bCs/>
          <w:sz w:val="22"/>
          <w:szCs w:val="22"/>
          <w:lang w:val="sr-Latn-ME"/>
        </w:rPr>
      </w:pPr>
      <w:r w:rsidRPr="00801AFD">
        <w:rPr>
          <w:b/>
          <w:bCs/>
          <w:sz w:val="22"/>
          <w:szCs w:val="22"/>
          <w:lang w:val="sr-Latn-ME"/>
        </w:rPr>
        <w:t xml:space="preserve">Tabela </w:t>
      </w:r>
      <w:r w:rsidR="00AE5148" w:rsidRPr="00801AFD">
        <w:rPr>
          <w:b/>
          <w:bCs/>
          <w:sz w:val="22"/>
          <w:szCs w:val="22"/>
          <w:lang w:val="sr-Latn-ME"/>
        </w:rPr>
        <w:t>11</w:t>
      </w:r>
      <w:r w:rsidRPr="00801AFD">
        <w:rPr>
          <w:b/>
          <w:bCs/>
          <w:sz w:val="22"/>
          <w:szCs w:val="22"/>
          <w:lang w:val="sr-Latn-ME"/>
        </w:rPr>
        <w:t xml:space="preserve">: Karakteristike pacijenata na početku studije </w:t>
      </w:r>
      <w:r w:rsidRPr="00801AFD">
        <w:rPr>
          <w:b/>
          <w:bCs/>
          <w:color w:val="000000"/>
          <w:sz w:val="22"/>
          <w:szCs w:val="22"/>
          <w:lang w:val="sr-Latn-ME"/>
        </w:rPr>
        <w:t>u kojoj pacijenti prethodno nijesu primili inhibitor sistema komplementa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74"/>
        <w:gridCol w:w="2406"/>
        <w:gridCol w:w="1849"/>
        <w:gridCol w:w="1828"/>
      </w:tblGrid>
      <w:tr w:rsidR="006F6043" w:rsidRPr="00801AFD" w14:paraId="21925073" w14:textId="77777777" w:rsidTr="00961C31">
        <w:trPr>
          <w:trHeight w:val="533"/>
          <w:jc w:val="center"/>
        </w:trPr>
        <w:tc>
          <w:tcPr>
            <w:tcW w:w="1641" w:type="pct"/>
            <w:tcBorders>
              <w:top w:val="single" w:sz="6" w:space="0" w:color="auto"/>
              <w:left w:val="single" w:sz="6" w:space="0" w:color="auto"/>
              <w:bottom w:val="single" w:sz="6" w:space="0" w:color="auto"/>
              <w:right w:val="single" w:sz="6" w:space="0" w:color="auto"/>
            </w:tcBorders>
            <w:vAlign w:val="center"/>
            <w:hideMark/>
          </w:tcPr>
          <w:p w14:paraId="3E2DD573" w14:textId="77777777" w:rsidR="006F6043" w:rsidRPr="00801AFD" w:rsidRDefault="006F6043" w:rsidP="00801AFD">
            <w:pPr>
              <w:pStyle w:val="C-TableHeader"/>
              <w:keepNext w:val="0"/>
              <w:widowControl w:val="0"/>
              <w:jc w:val="both"/>
              <w:rPr>
                <w:rFonts w:ascii="Times New Roman" w:hAnsi="Times New Roman"/>
                <w:b w:val="0"/>
                <w:sz w:val="22"/>
                <w:szCs w:val="22"/>
                <w:lang w:val="sr-Latn-ME"/>
              </w:rPr>
            </w:pPr>
            <w:r w:rsidRPr="00801AFD">
              <w:rPr>
                <w:rFonts w:ascii="Times New Roman" w:hAnsi="Times New Roman"/>
                <w:sz w:val="22"/>
                <w:szCs w:val="22"/>
                <w:lang w:val="sr-Latn-ME"/>
              </w:rPr>
              <w:t>Parametar</w:t>
            </w:r>
          </w:p>
        </w:tc>
        <w:tc>
          <w:tcPr>
            <w:tcW w:w="1328" w:type="pct"/>
            <w:tcBorders>
              <w:top w:val="single" w:sz="6" w:space="0" w:color="auto"/>
              <w:left w:val="single" w:sz="6" w:space="0" w:color="auto"/>
              <w:bottom w:val="single" w:sz="6" w:space="0" w:color="auto"/>
              <w:right w:val="single" w:sz="6" w:space="0" w:color="auto"/>
            </w:tcBorders>
            <w:vAlign w:val="center"/>
            <w:hideMark/>
          </w:tcPr>
          <w:p w14:paraId="7F626C33" w14:textId="77777777" w:rsidR="006F6043" w:rsidRPr="00801AFD" w:rsidRDefault="006F6043" w:rsidP="00801AFD">
            <w:pPr>
              <w:pStyle w:val="C-TableHeader"/>
              <w:keepNext w:val="0"/>
              <w:widowControl w:val="0"/>
              <w:jc w:val="both"/>
              <w:rPr>
                <w:rFonts w:ascii="Times New Roman" w:hAnsi="Times New Roman"/>
                <w:b w:val="0"/>
                <w:sz w:val="22"/>
                <w:szCs w:val="22"/>
                <w:lang w:val="sr-Latn-ME"/>
              </w:rPr>
            </w:pPr>
            <w:r w:rsidRPr="00801AFD">
              <w:rPr>
                <w:rFonts w:ascii="Times New Roman" w:hAnsi="Times New Roman"/>
                <w:sz w:val="22"/>
                <w:szCs w:val="22"/>
                <w:lang w:val="sr-Latn-ME"/>
              </w:rPr>
              <w:t>Statistika</w:t>
            </w:r>
          </w:p>
        </w:tc>
        <w:tc>
          <w:tcPr>
            <w:tcW w:w="1021" w:type="pct"/>
            <w:tcBorders>
              <w:top w:val="single" w:sz="6" w:space="0" w:color="auto"/>
              <w:left w:val="single" w:sz="6" w:space="0" w:color="auto"/>
              <w:bottom w:val="single" w:sz="6" w:space="0" w:color="auto"/>
              <w:right w:val="single" w:sz="6" w:space="0" w:color="auto"/>
            </w:tcBorders>
            <w:hideMark/>
          </w:tcPr>
          <w:p w14:paraId="7DDDCF0B" w14:textId="77777777" w:rsidR="006F6043" w:rsidRPr="00801AFD" w:rsidRDefault="006F6043" w:rsidP="00801AFD">
            <w:pPr>
              <w:pStyle w:val="C-TableHeader"/>
              <w:keepNext w:val="0"/>
              <w:widowControl w:val="0"/>
              <w:jc w:val="both"/>
              <w:rPr>
                <w:rFonts w:ascii="Times New Roman" w:hAnsi="Times New Roman"/>
                <w:b w:val="0"/>
                <w:sz w:val="22"/>
                <w:szCs w:val="22"/>
                <w:lang w:val="sr-Latn-ME"/>
              </w:rPr>
            </w:pPr>
            <w:r w:rsidRPr="00801AFD">
              <w:rPr>
                <w:rFonts w:ascii="Times New Roman" w:hAnsi="Times New Roman"/>
                <w:sz w:val="22"/>
                <w:szCs w:val="22"/>
                <w:lang w:val="sr-Latn-ME"/>
              </w:rPr>
              <w:t>Ravulizumab</w:t>
            </w:r>
            <w:r w:rsidRPr="00801AFD">
              <w:rPr>
                <w:rFonts w:ascii="Times New Roman" w:hAnsi="Times New Roman"/>
                <w:sz w:val="22"/>
                <w:szCs w:val="22"/>
                <w:lang w:val="sr-Latn-ME"/>
              </w:rPr>
              <w:br/>
              <w:t>(N</w:t>
            </w:r>
            <w:r w:rsidRPr="00801AFD">
              <w:rPr>
                <w:rFonts w:ascii="Times New Roman" w:eastAsia="Calibri" w:hAnsi="Times New Roman"/>
                <w:b w:val="0"/>
                <w:sz w:val="22"/>
                <w:szCs w:val="22"/>
                <w:lang w:val="sr-Latn-ME"/>
              </w:rPr>
              <w:t> </w:t>
            </w:r>
            <w:r w:rsidRPr="00801AFD">
              <w:rPr>
                <w:rFonts w:ascii="Times New Roman" w:hAnsi="Times New Roman"/>
                <w:sz w:val="22"/>
                <w:szCs w:val="22"/>
                <w:lang w:val="sr-Latn-ME"/>
              </w:rPr>
              <w:t>=</w:t>
            </w:r>
            <w:r w:rsidRPr="00801AFD">
              <w:rPr>
                <w:rFonts w:ascii="Times New Roman" w:eastAsia="Calibri" w:hAnsi="Times New Roman"/>
                <w:b w:val="0"/>
                <w:sz w:val="22"/>
                <w:szCs w:val="22"/>
                <w:lang w:val="sr-Latn-ME"/>
              </w:rPr>
              <w:t> </w:t>
            </w:r>
            <w:r w:rsidRPr="00801AFD">
              <w:rPr>
                <w:rFonts w:ascii="Times New Roman" w:hAnsi="Times New Roman"/>
                <w:sz w:val="22"/>
                <w:szCs w:val="22"/>
                <w:lang w:val="sr-Latn-ME"/>
              </w:rPr>
              <w:t>125)</w:t>
            </w:r>
          </w:p>
        </w:tc>
        <w:tc>
          <w:tcPr>
            <w:tcW w:w="1009" w:type="pct"/>
            <w:tcBorders>
              <w:top w:val="single" w:sz="6" w:space="0" w:color="auto"/>
              <w:left w:val="single" w:sz="6" w:space="0" w:color="auto"/>
              <w:bottom w:val="single" w:sz="6" w:space="0" w:color="auto"/>
              <w:right w:val="single" w:sz="6" w:space="0" w:color="auto"/>
            </w:tcBorders>
            <w:hideMark/>
          </w:tcPr>
          <w:p w14:paraId="415CD634" w14:textId="77777777" w:rsidR="006F6043" w:rsidRPr="00801AFD" w:rsidRDefault="006F6043" w:rsidP="00801AFD">
            <w:pPr>
              <w:pStyle w:val="C-TableHeader"/>
              <w:keepNext w:val="0"/>
              <w:widowControl w:val="0"/>
              <w:jc w:val="both"/>
              <w:rPr>
                <w:rFonts w:ascii="Times New Roman" w:hAnsi="Times New Roman"/>
                <w:b w:val="0"/>
                <w:sz w:val="22"/>
                <w:szCs w:val="22"/>
                <w:lang w:val="sr-Latn-ME"/>
              </w:rPr>
            </w:pPr>
            <w:r w:rsidRPr="00801AFD">
              <w:rPr>
                <w:rFonts w:ascii="Times New Roman" w:hAnsi="Times New Roman"/>
                <w:sz w:val="22"/>
                <w:szCs w:val="22"/>
                <w:lang w:val="sr-Latn-ME"/>
              </w:rPr>
              <w:t>Ekulizumab</w:t>
            </w:r>
            <w:r w:rsidRPr="00801AFD">
              <w:rPr>
                <w:rFonts w:ascii="Times New Roman" w:hAnsi="Times New Roman"/>
                <w:sz w:val="22"/>
                <w:szCs w:val="22"/>
                <w:lang w:val="sr-Latn-ME"/>
              </w:rPr>
              <w:br/>
              <w:t>(N</w:t>
            </w:r>
            <w:r w:rsidRPr="00801AFD">
              <w:rPr>
                <w:rFonts w:ascii="Times New Roman" w:eastAsia="Calibri" w:hAnsi="Times New Roman"/>
                <w:b w:val="0"/>
                <w:sz w:val="22"/>
                <w:szCs w:val="22"/>
                <w:lang w:val="sr-Latn-ME"/>
              </w:rPr>
              <w:t> </w:t>
            </w:r>
            <w:r w:rsidRPr="00801AFD">
              <w:rPr>
                <w:rFonts w:ascii="Times New Roman" w:hAnsi="Times New Roman"/>
                <w:sz w:val="22"/>
                <w:szCs w:val="22"/>
                <w:lang w:val="sr-Latn-ME"/>
              </w:rPr>
              <w:t>=</w:t>
            </w:r>
            <w:r w:rsidRPr="00801AFD">
              <w:rPr>
                <w:rFonts w:ascii="Times New Roman" w:eastAsia="Calibri" w:hAnsi="Times New Roman"/>
                <w:b w:val="0"/>
                <w:sz w:val="22"/>
                <w:szCs w:val="22"/>
                <w:lang w:val="sr-Latn-ME"/>
              </w:rPr>
              <w:t> </w:t>
            </w:r>
            <w:r w:rsidRPr="00801AFD">
              <w:rPr>
                <w:rFonts w:ascii="Times New Roman" w:hAnsi="Times New Roman"/>
                <w:sz w:val="22"/>
                <w:szCs w:val="22"/>
                <w:lang w:val="sr-Latn-ME"/>
              </w:rPr>
              <w:t>121)</w:t>
            </w:r>
          </w:p>
        </w:tc>
      </w:tr>
      <w:tr w:rsidR="006F6043" w:rsidRPr="00801AFD" w14:paraId="35A2C7F7" w14:textId="77777777" w:rsidTr="00961C31">
        <w:trPr>
          <w:trHeight w:val="705"/>
          <w:jc w:val="center"/>
        </w:trPr>
        <w:tc>
          <w:tcPr>
            <w:tcW w:w="1641" w:type="pct"/>
            <w:tcBorders>
              <w:top w:val="single" w:sz="6" w:space="0" w:color="auto"/>
              <w:left w:val="single" w:sz="6" w:space="0" w:color="auto"/>
              <w:bottom w:val="single" w:sz="6" w:space="0" w:color="auto"/>
              <w:right w:val="single" w:sz="6" w:space="0" w:color="auto"/>
            </w:tcBorders>
          </w:tcPr>
          <w:p w14:paraId="0525112A" w14:textId="490425C1" w:rsidR="006F6043" w:rsidRPr="00801AFD" w:rsidRDefault="006F6043" w:rsidP="00801AFD">
            <w:pPr>
              <w:pStyle w:val="C-TableText"/>
              <w:widowControl w:val="0"/>
              <w:jc w:val="both"/>
              <w:rPr>
                <w:sz w:val="22"/>
                <w:szCs w:val="22"/>
              </w:rPr>
            </w:pPr>
            <w:r w:rsidRPr="00801AFD">
              <w:rPr>
                <w:sz w:val="22"/>
                <w:szCs w:val="22"/>
              </w:rPr>
              <w:t>Starost (godine) pri dijagnozi PNH</w:t>
            </w:r>
            <w:r w:rsidR="002631C7" w:rsidRPr="00801AFD">
              <w:rPr>
                <w:sz w:val="22"/>
                <w:szCs w:val="22"/>
              </w:rPr>
              <w:t>-a</w:t>
            </w:r>
          </w:p>
        </w:tc>
        <w:tc>
          <w:tcPr>
            <w:tcW w:w="1328" w:type="pct"/>
            <w:tcBorders>
              <w:top w:val="single" w:sz="6" w:space="0" w:color="auto"/>
              <w:left w:val="single" w:sz="6" w:space="0" w:color="auto"/>
              <w:bottom w:val="single" w:sz="6" w:space="0" w:color="auto"/>
              <w:right w:val="single" w:sz="6" w:space="0" w:color="auto"/>
            </w:tcBorders>
          </w:tcPr>
          <w:p w14:paraId="7A10335F" w14:textId="77777777" w:rsidR="006F6043" w:rsidRPr="00801AFD" w:rsidRDefault="006F6043" w:rsidP="00801AFD">
            <w:pPr>
              <w:pStyle w:val="C-TableText"/>
              <w:widowControl w:val="0"/>
              <w:jc w:val="both"/>
              <w:rPr>
                <w:sz w:val="22"/>
                <w:szCs w:val="22"/>
              </w:rPr>
            </w:pPr>
            <w:r w:rsidRPr="00801AFD">
              <w:rPr>
                <w:sz w:val="22"/>
                <w:szCs w:val="22"/>
              </w:rPr>
              <w:t>Srednja vrijednost (SD)</w:t>
            </w:r>
          </w:p>
          <w:p w14:paraId="5A8FCFC7" w14:textId="3F294B7C" w:rsidR="006F6043" w:rsidRPr="00801AFD" w:rsidRDefault="006F6043" w:rsidP="00801AFD">
            <w:pPr>
              <w:pStyle w:val="C-TableText"/>
              <w:widowControl w:val="0"/>
              <w:jc w:val="both"/>
              <w:rPr>
                <w:sz w:val="22"/>
                <w:szCs w:val="22"/>
              </w:rPr>
            </w:pPr>
            <w:r w:rsidRPr="00801AFD">
              <w:rPr>
                <w:sz w:val="22"/>
                <w:szCs w:val="22"/>
              </w:rPr>
              <w:t>Medijana</w:t>
            </w:r>
          </w:p>
          <w:p w14:paraId="5A22E054" w14:textId="77777777" w:rsidR="006F6043" w:rsidRPr="00801AFD" w:rsidRDefault="006F6043" w:rsidP="00801AFD">
            <w:pPr>
              <w:pStyle w:val="C-TableText"/>
              <w:widowControl w:val="0"/>
              <w:jc w:val="both"/>
              <w:rPr>
                <w:sz w:val="22"/>
                <w:szCs w:val="22"/>
              </w:rPr>
            </w:pPr>
            <w:r w:rsidRPr="00801AFD">
              <w:rPr>
                <w:sz w:val="22"/>
                <w:szCs w:val="22"/>
              </w:rPr>
              <w:t>Min, maks</w:t>
            </w:r>
          </w:p>
        </w:tc>
        <w:tc>
          <w:tcPr>
            <w:tcW w:w="1021" w:type="pct"/>
            <w:tcBorders>
              <w:top w:val="single" w:sz="6" w:space="0" w:color="auto"/>
              <w:left w:val="single" w:sz="6" w:space="0" w:color="auto"/>
              <w:bottom w:val="single" w:sz="6" w:space="0" w:color="auto"/>
              <w:right w:val="single" w:sz="6" w:space="0" w:color="auto"/>
            </w:tcBorders>
          </w:tcPr>
          <w:p w14:paraId="0704EAF5" w14:textId="77777777" w:rsidR="006F6043" w:rsidRPr="00801AFD" w:rsidRDefault="006F6043" w:rsidP="00801AFD">
            <w:pPr>
              <w:pStyle w:val="C-TableText"/>
              <w:widowControl w:val="0"/>
              <w:jc w:val="both"/>
              <w:rPr>
                <w:sz w:val="22"/>
                <w:szCs w:val="22"/>
              </w:rPr>
            </w:pPr>
            <w:r w:rsidRPr="00801AFD">
              <w:rPr>
                <w:sz w:val="22"/>
                <w:szCs w:val="22"/>
              </w:rPr>
              <w:t>37.9 (14.90)</w:t>
            </w:r>
          </w:p>
          <w:p w14:paraId="62B676D1" w14:textId="4C3E4E57" w:rsidR="006F6043" w:rsidRPr="00801AFD" w:rsidRDefault="006F6043" w:rsidP="00801AFD">
            <w:pPr>
              <w:pStyle w:val="C-TableText"/>
              <w:widowControl w:val="0"/>
              <w:jc w:val="both"/>
              <w:rPr>
                <w:sz w:val="22"/>
                <w:szCs w:val="22"/>
              </w:rPr>
            </w:pPr>
            <w:r w:rsidRPr="00801AFD">
              <w:rPr>
                <w:sz w:val="22"/>
                <w:szCs w:val="22"/>
              </w:rPr>
              <w:t>34.0</w:t>
            </w:r>
          </w:p>
          <w:p w14:paraId="0CF92A83" w14:textId="77777777" w:rsidR="006F6043" w:rsidRPr="00801AFD" w:rsidRDefault="006F6043" w:rsidP="00801AFD">
            <w:pPr>
              <w:pStyle w:val="C-TableText"/>
              <w:widowControl w:val="0"/>
              <w:jc w:val="both"/>
              <w:rPr>
                <w:sz w:val="22"/>
                <w:szCs w:val="22"/>
              </w:rPr>
            </w:pPr>
            <w:r w:rsidRPr="00801AFD">
              <w:rPr>
                <w:sz w:val="22"/>
                <w:szCs w:val="22"/>
              </w:rPr>
              <w:t>15, 81</w:t>
            </w:r>
          </w:p>
        </w:tc>
        <w:tc>
          <w:tcPr>
            <w:tcW w:w="1009" w:type="pct"/>
            <w:tcBorders>
              <w:top w:val="single" w:sz="6" w:space="0" w:color="auto"/>
              <w:left w:val="single" w:sz="6" w:space="0" w:color="auto"/>
              <w:bottom w:val="single" w:sz="6" w:space="0" w:color="auto"/>
              <w:right w:val="single" w:sz="6" w:space="0" w:color="auto"/>
            </w:tcBorders>
          </w:tcPr>
          <w:p w14:paraId="0D20813A" w14:textId="6F870C0E" w:rsidR="002631C7" w:rsidRPr="00801AFD" w:rsidRDefault="006F6043" w:rsidP="00801AFD">
            <w:pPr>
              <w:pStyle w:val="C-TableText"/>
              <w:widowControl w:val="0"/>
              <w:jc w:val="both"/>
              <w:rPr>
                <w:sz w:val="22"/>
                <w:szCs w:val="22"/>
              </w:rPr>
            </w:pPr>
            <w:r w:rsidRPr="00801AFD">
              <w:rPr>
                <w:sz w:val="22"/>
                <w:szCs w:val="22"/>
              </w:rPr>
              <w:t>39.6 (16.65)</w:t>
            </w:r>
          </w:p>
          <w:p w14:paraId="3D01ADFC" w14:textId="02EB04B7" w:rsidR="006F6043" w:rsidRPr="00801AFD" w:rsidRDefault="006F6043" w:rsidP="00801AFD">
            <w:pPr>
              <w:pStyle w:val="C-TableText"/>
              <w:widowControl w:val="0"/>
              <w:jc w:val="both"/>
              <w:rPr>
                <w:sz w:val="22"/>
                <w:szCs w:val="22"/>
              </w:rPr>
            </w:pPr>
            <w:r w:rsidRPr="00801AFD">
              <w:rPr>
                <w:sz w:val="22"/>
                <w:szCs w:val="22"/>
              </w:rPr>
              <w:t>36.5</w:t>
            </w:r>
          </w:p>
          <w:p w14:paraId="047C750B" w14:textId="77777777" w:rsidR="006F6043" w:rsidRPr="00801AFD" w:rsidRDefault="006F6043" w:rsidP="00801AFD">
            <w:pPr>
              <w:pStyle w:val="C-TableText"/>
              <w:widowControl w:val="0"/>
              <w:jc w:val="both"/>
              <w:rPr>
                <w:sz w:val="22"/>
                <w:szCs w:val="22"/>
              </w:rPr>
            </w:pPr>
            <w:r w:rsidRPr="00801AFD">
              <w:rPr>
                <w:sz w:val="22"/>
                <w:szCs w:val="22"/>
              </w:rPr>
              <w:t>13, 82</w:t>
            </w:r>
          </w:p>
        </w:tc>
      </w:tr>
      <w:tr w:rsidR="006F6043" w:rsidRPr="00801AFD" w14:paraId="7BF5B6BF" w14:textId="77777777" w:rsidTr="00961C31">
        <w:trPr>
          <w:trHeight w:val="615"/>
          <w:jc w:val="center"/>
        </w:trPr>
        <w:tc>
          <w:tcPr>
            <w:tcW w:w="1641" w:type="pct"/>
            <w:tcBorders>
              <w:top w:val="single" w:sz="6" w:space="0" w:color="auto"/>
              <w:left w:val="single" w:sz="6" w:space="0" w:color="auto"/>
              <w:bottom w:val="single" w:sz="6" w:space="0" w:color="auto"/>
              <w:right w:val="single" w:sz="6" w:space="0" w:color="auto"/>
            </w:tcBorders>
          </w:tcPr>
          <w:p w14:paraId="40DE2593" w14:textId="77777777" w:rsidR="006F6043" w:rsidRPr="00801AFD" w:rsidRDefault="006F6043" w:rsidP="00801AFD">
            <w:pPr>
              <w:pStyle w:val="C-TableText"/>
              <w:widowControl w:val="0"/>
              <w:jc w:val="both"/>
              <w:rPr>
                <w:sz w:val="22"/>
                <w:szCs w:val="22"/>
              </w:rPr>
            </w:pPr>
            <w:r w:rsidRPr="00801AFD">
              <w:rPr>
                <w:sz w:val="22"/>
                <w:szCs w:val="22"/>
              </w:rPr>
              <w:t>Starost (godine) pri prvoj infuziji u studiji</w:t>
            </w:r>
          </w:p>
        </w:tc>
        <w:tc>
          <w:tcPr>
            <w:tcW w:w="1328" w:type="pct"/>
            <w:tcBorders>
              <w:top w:val="single" w:sz="6" w:space="0" w:color="auto"/>
              <w:left w:val="single" w:sz="6" w:space="0" w:color="auto"/>
              <w:bottom w:val="single" w:sz="6" w:space="0" w:color="auto"/>
              <w:right w:val="single" w:sz="6" w:space="0" w:color="auto"/>
            </w:tcBorders>
          </w:tcPr>
          <w:p w14:paraId="25543FE3" w14:textId="77777777" w:rsidR="006F6043" w:rsidRPr="00801AFD" w:rsidRDefault="006F6043" w:rsidP="00801AFD">
            <w:pPr>
              <w:pStyle w:val="C-TableText"/>
              <w:widowControl w:val="0"/>
              <w:jc w:val="both"/>
              <w:rPr>
                <w:sz w:val="22"/>
                <w:szCs w:val="22"/>
              </w:rPr>
            </w:pPr>
            <w:r w:rsidRPr="00801AFD">
              <w:rPr>
                <w:sz w:val="22"/>
                <w:szCs w:val="22"/>
              </w:rPr>
              <w:t>Srednja vrijednost (SD)</w:t>
            </w:r>
          </w:p>
          <w:p w14:paraId="2C23A5E2" w14:textId="2E419CE1" w:rsidR="006F6043" w:rsidRPr="00801AFD" w:rsidRDefault="006F6043" w:rsidP="00801AFD">
            <w:pPr>
              <w:pStyle w:val="C-TableText"/>
              <w:widowControl w:val="0"/>
              <w:jc w:val="both"/>
              <w:rPr>
                <w:sz w:val="22"/>
                <w:szCs w:val="22"/>
              </w:rPr>
            </w:pPr>
            <w:r w:rsidRPr="00801AFD">
              <w:rPr>
                <w:sz w:val="22"/>
                <w:szCs w:val="22"/>
              </w:rPr>
              <w:t>Medijana</w:t>
            </w:r>
          </w:p>
          <w:p w14:paraId="6E9F8E57" w14:textId="77777777" w:rsidR="006F6043" w:rsidRPr="00801AFD" w:rsidRDefault="006F6043" w:rsidP="00801AFD">
            <w:pPr>
              <w:pStyle w:val="C-TableText"/>
              <w:widowControl w:val="0"/>
              <w:jc w:val="both"/>
              <w:rPr>
                <w:sz w:val="22"/>
                <w:szCs w:val="22"/>
              </w:rPr>
            </w:pPr>
            <w:r w:rsidRPr="00801AFD">
              <w:rPr>
                <w:sz w:val="22"/>
                <w:szCs w:val="22"/>
              </w:rPr>
              <w:t>Min, maks</w:t>
            </w:r>
          </w:p>
        </w:tc>
        <w:tc>
          <w:tcPr>
            <w:tcW w:w="1021" w:type="pct"/>
            <w:tcBorders>
              <w:top w:val="single" w:sz="6" w:space="0" w:color="auto"/>
              <w:left w:val="single" w:sz="6" w:space="0" w:color="auto"/>
              <w:bottom w:val="single" w:sz="6" w:space="0" w:color="auto"/>
              <w:right w:val="single" w:sz="6" w:space="0" w:color="auto"/>
            </w:tcBorders>
          </w:tcPr>
          <w:p w14:paraId="717B3672" w14:textId="72F76F14" w:rsidR="002631C7" w:rsidRPr="00801AFD" w:rsidRDefault="006F6043" w:rsidP="00801AFD">
            <w:pPr>
              <w:pStyle w:val="C-TableText"/>
              <w:widowControl w:val="0"/>
              <w:jc w:val="both"/>
              <w:rPr>
                <w:sz w:val="22"/>
                <w:szCs w:val="22"/>
              </w:rPr>
            </w:pPr>
            <w:r w:rsidRPr="00801AFD">
              <w:rPr>
                <w:sz w:val="22"/>
                <w:szCs w:val="22"/>
              </w:rPr>
              <w:t>44.8 (15.16)</w:t>
            </w:r>
          </w:p>
          <w:p w14:paraId="661447FC" w14:textId="06226B4E" w:rsidR="006F6043" w:rsidRPr="00801AFD" w:rsidRDefault="006F6043" w:rsidP="00801AFD">
            <w:pPr>
              <w:pStyle w:val="C-TableText"/>
              <w:widowControl w:val="0"/>
              <w:jc w:val="both"/>
              <w:rPr>
                <w:sz w:val="22"/>
                <w:szCs w:val="22"/>
              </w:rPr>
            </w:pPr>
            <w:r w:rsidRPr="00801AFD">
              <w:rPr>
                <w:sz w:val="22"/>
                <w:szCs w:val="22"/>
              </w:rPr>
              <w:t>43.0</w:t>
            </w:r>
          </w:p>
          <w:p w14:paraId="331A7846" w14:textId="77777777" w:rsidR="006F6043" w:rsidRPr="00801AFD" w:rsidRDefault="006F6043" w:rsidP="00801AFD">
            <w:pPr>
              <w:pStyle w:val="C-TableText"/>
              <w:widowControl w:val="0"/>
              <w:jc w:val="both"/>
              <w:rPr>
                <w:sz w:val="22"/>
                <w:szCs w:val="22"/>
              </w:rPr>
            </w:pPr>
            <w:r w:rsidRPr="00801AFD">
              <w:rPr>
                <w:sz w:val="22"/>
                <w:szCs w:val="22"/>
              </w:rPr>
              <w:t>18, 83</w:t>
            </w:r>
          </w:p>
        </w:tc>
        <w:tc>
          <w:tcPr>
            <w:tcW w:w="1009" w:type="pct"/>
            <w:tcBorders>
              <w:top w:val="single" w:sz="6" w:space="0" w:color="auto"/>
              <w:left w:val="single" w:sz="6" w:space="0" w:color="auto"/>
              <w:bottom w:val="single" w:sz="6" w:space="0" w:color="auto"/>
              <w:right w:val="single" w:sz="6" w:space="0" w:color="auto"/>
            </w:tcBorders>
          </w:tcPr>
          <w:p w14:paraId="148C931B" w14:textId="1D0C757E" w:rsidR="002631C7" w:rsidRPr="00801AFD" w:rsidRDefault="006F6043" w:rsidP="00801AFD">
            <w:pPr>
              <w:pStyle w:val="C-TableText"/>
              <w:widowControl w:val="0"/>
              <w:jc w:val="both"/>
              <w:rPr>
                <w:sz w:val="22"/>
                <w:szCs w:val="22"/>
              </w:rPr>
            </w:pPr>
            <w:r w:rsidRPr="00801AFD">
              <w:rPr>
                <w:sz w:val="22"/>
                <w:szCs w:val="22"/>
              </w:rPr>
              <w:t>46.2 (16.24)</w:t>
            </w:r>
          </w:p>
          <w:p w14:paraId="17CE4A6D" w14:textId="5E8E4F7F" w:rsidR="006F6043" w:rsidRPr="00801AFD" w:rsidRDefault="006F6043" w:rsidP="00801AFD">
            <w:pPr>
              <w:pStyle w:val="C-TableText"/>
              <w:widowControl w:val="0"/>
              <w:jc w:val="both"/>
              <w:rPr>
                <w:sz w:val="22"/>
                <w:szCs w:val="22"/>
              </w:rPr>
            </w:pPr>
            <w:r w:rsidRPr="00801AFD">
              <w:rPr>
                <w:sz w:val="22"/>
                <w:szCs w:val="22"/>
              </w:rPr>
              <w:t>45.0</w:t>
            </w:r>
          </w:p>
          <w:p w14:paraId="600A0885" w14:textId="77777777" w:rsidR="006F6043" w:rsidRPr="00801AFD" w:rsidRDefault="006F6043" w:rsidP="00801AFD">
            <w:pPr>
              <w:pStyle w:val="C-TableText"/>
              <w:widowControl w:val="0"/>
              <w:jc w:val="both"/>
              <w:rPr>
                <w:sz w:val="22"/>
                <w:szCs w:val="22"/>
              </w:rPr>
            </w:pPr>
            <w:r w:rsidRPr="00801AFD">
              <w:rPr>
                <w:sz w:val="22"/>
                <w:szCs w:val="22"/>
              </w:rPr>
              <w:t>18, 86</w:t>
            </w:r>
          </w:p>
        </w:tc>
      </w:tr>
      <w:tr w:rsidR="006F6043" w:rsidRPr="00801AFD" w14:paraId="1C30CC1A" w14:textId="77777777" w:rsidTr="00961C31">
        <w:trPr>
          <w:trHeight w:val="354"/>
          <w:jc w:val="center"/>
        </w:trPr>
        <w:tc>
          <w:tcPr>
            <w:tcW w:w="1641" w:type="pct"/>
            <w:tcBorders>
              <w:top w:val="single" w:sz="6" w:space="0" w:color="auto"/>
              <w:left w:val="single" w:sz="6" w:space="0" w:color="auto"/>
              <w:bottom w:val="single" w:sz="6" w:space="0" w:color="auto"/>
              <w:right w:val="single" w:sz="6" w:space="0" w:color="auto"/>
            </w:tcBorders>
          </w:tcPr>
          <w:p w14:paraId="1C70B4D3" w14:textId="77777777" w:rsidR="006F6043" w:rsidRPr="00801AFD" w:rsidRDefault="006F6043" w:rsidP="00801AFD">
            <w:pPr>
              <w:pStyle w:val="C-TableText"/>
              <w:widowControl w:val="0"/>
              <w:jc w:val="both"/>
              <w:rPr>
                <w:sz w:val="22"/>
                <w:szCs w:val="22"/>
              </w:rPr>
            </w:pPr>
            <w:r w:rsidRPr="00801AFD">
              <w:rPr>
                <w:sz w:val="22"/>
                <w:szCs w:val="22"/>
              </w:rPr>
              <w:t>Pol (n, %)</w:t>
            </w:r>
          </w:p>
        </w:tc>
        <w:tc>
          <w:tcPr>
            <w:tcW w:w="1328" w:type="pct"/>
            <w:tcBorders>
              <w:top w:val="single" w:sz="6" w:space="0" w:color="auto"/>
              <w:left w:val="single" w:sz="6" w:space="0" w:color="auto"/>
              <w:bottom w:val="single" w:sz="6" w:space="0" w:color="auto"/>
              <w:right w:val="single" w:sz="6" w:space="0" w:color="auto"/>
            </w:tcBorders>
          </w:tcPr>
          <w:p w14:paraId="2AD5CACF" w14:textId="77777777" w:rsidR="006F6043" w:rsidRPr="00801AFD" w:rsidRDefault="006F6043" w:rsidP="00801AFD">
            <w:pPr>
              <w:pStyle w:val="C-TableText"/>
              <w:widowControl w:val="0"/>
              <w:jc w:val="both"/>
              <w:rPr>
                <w:sz w:val="22"/>
                <w:szCs w:val="22"/>
              </w:rPr>
            </w:pPr>
            <w:r w:rsidRPr="00801AFD">
              <w:rPr>
                <w:sz w:val="22"/>
                <w:szCs w:val="22"/>
              </w:rPr>
              <w:t>Muški</w:t>
            </w:r>
          </w:p>
          <w:p w14:paraId="66D23DF7" w14:textId="77777777" w:rsidR="006F6043" w:rsidRPr="00801AFD" w:rsidRDefault="006F6043" w:rsidP="00801AFD">
            <w:pPr>
              <w:pStyle w:val="C-TableText"/>
              <w:widowControl w:val="0"/>
              <w:jc w:val="both"/>
              <w:rPr>
                <w:sz w:val="22"/>
                <w:szCs w:val="22"/>
              </w:rPr>
            </w:pPr>
            <w:r w:rsidRPr="00801AFD">
              <w:rPr>
                <w:sz w:val="22"/>
                <w:szCs w:val="22"/>
              </w:rPr>
              <w:t>Ženski</w:t>
            </w:r>
          </w:p>
        </w:tc>
        <w:tc>
          <w:tcPr>
            <w:tcW w:w="1021" w:type="pct"/>
            <w:tcBorders>
              <w:top w:val="single" w:sz="6" w:space="0" w:color="auto"/>
              <w:left w:val="single" w:sz="6" w:space="0" w:color="auto"/>
              <w:bottom w:val="single" w:sz="6" w:space="0" w:color="auto"/>
              <w:right w:val="single" w:sz="6" w:space="0" w:color="auto"/>
            </w:tcBorders>
          </w:tcPr>
          <w:p w14:paraId="2AA0139C" w14:textId="77777777" w:rsidR="006F6043" w:rsidRPr="00801AFD" w:rsidRDefault="006F6043" w:rsidP="00801AFD">
            <w:pPr>
              <w:pStyle w:val="C-TableText"/>
              <w:widowControl w:val="0"/>
              <w:jc w:val="both"/>
              <w:rPr>
                <w:sz w:val="22"/>
                <w:szCs w:val="22"/>
              </w:rPr>
            </w:pPr>
            <w:r w:rsidRPr="00801AFD">
              <w:rPr>
                <w:sz w:val="22"/>
                <w:szCs w:val="22"/>
              </w:rPr>
              <w:t>65 (52.0)</w:t>
            </w:r>
          </w:p>
          <w:p w14:paraId="5A1D0A35" w14:textId="77777777" w:rsidR="006F6043" w:rsidRPr="00801AFD" w:rsidRDefault="006F6043" w:rsidP="00801AFD">
            <w:pPr>
              <w:pStyle w:val="C-TableText"/>
              <w:widowControl w:val="0"/>
              <w:jc w:val="both"/>
              <w:rPr>
                <w:sz w:val="22"/>
                <w:szCs w:val="22"/>
              </w:rPr>
            </w:pPr>
            <w:r w:rsidRPr="00801AFD">
              <w:rPr>
                <w:sz w:val="22"/>
                <w:szCs w:val="22"/>
              </w:rPr>
              <w:t>60 (48.0)</w:t>
            </w:r>
          </w:p>
        </w:tc>
        <w:tc>
          <w:tcPr>
            <w:tcW w:w="1009" w:type="pct"/>
            <w:tcBorders>
              <w:top w:val="single" w:sz="6" w:space="0" w:color="auto"/>
              <w:left w:val="single" w:sz="6" w:space="0" w:color="auto"/>
              <w:bottom w:val="single" w:sz="6" w:space="0" w:color="auto"/>
              <w:right w:val="single" w:sz="6" w:space="0" w:color="auto"/>
            </w:tcBorders>
          </w:tcPr>
          <w:p w14:paraId="271D787C" w14:textId="77777777" w:rsidR="006F6043" w:rsidRPr="00801AFD" w:rsidRDefault="006F6043" w:rsidP="00801AFD">
            <w:pPr>
              <w:pStyle w:val="C-TableText"/>
              <w:widowControl w:val="0"/>
              <w:jc w:val="both"/>
              <w:rPr>
                <w:sz w:val="22"/>
                <w:szCs w:val="22"/>
              </w:rPr>
            </w:pPr>
            <w:r w:rsidRPr="00801AFD">
              <w:rPr>
                <w:sz w:val="22"/>
                <w:szCs w:val="22"/>
              </w:rPr>
              <w:t>69 (57.0)</w:t>
            </w:r>
          </w:p>
          <w:p w14:paraId="30A3EFBC" w14:textId="77777777" w:rsidR="006F6043" w:rsidRPr="00801AFD" w:rsidRDefault="006F6043" w:rsidP="00801AFD">
            <w:pPr>
              <w:pStyle w:val="C-TableText"/>
              <w:widowControl w:val="0"/>
              <w:jc w:val="both"/>
              <w:rPr>
                <w:sz w:val="22"/>
                <w:szCs w:val="22"/>
              </w:rPr>
            </w:pPr>
            <w:r w:rsidRPr="00801AFD">
              <w:rPr>
                <w:sz w:val="22"/>
                <w:szCs w:val="22"/>
              </w:rPr>
              <w:t>52 (43.0)</w:t>
            </w:r>
          </w:p>
        </w:tc>
      </w:tr>
      <w:tr w:rsidR="006F6043" w:rsidRPr="00801AFD" w14:paraId="195334B0" w14:textId="77777777" w:rsidTr="00961C31">
        <w:trPr>
          <w:trHeight w:val="51"/>
          <w:jc w:val="center"/>
        </w:trPr>
        <w:tc>
          <w:tcPr>
            <w:tcW w:w="1641" w:type="pct"/>
            <w:vMerge w:val="restart"/>
            <w:tcBorders>
              <w:left w:val="single" w:sz="6" w:space="0" w:color="auto"/>
              <w:right w:val="single" w:sz="6" w:space="0" w:color="auto"/>
            </w:tcBorders>
          </w:tcPr>
          <w:p w14:paraId="1712BBE4" w14:textId="77777777" w:rsidR="006F6043" w:rsidRPr="00801AFD" w:rsidRDefault="006F6043" w:rsidP="00801AFD">
            <w:pPr>
              <w:pStyle w:val="C-TableText"/>
              <w:widowControl w:val="0"/>
              <w:jc w:val="both"/>
              <w:rPr>
                <w:sz w:val="22"/>
                <w:szCs w:val="22"/>
              </w:rPr>
            </w:pPr>
            <w:r w:rsidRPr="00801AFD">
              <w:rPr>
                <w:sz w:val="22"/>
                <w:szCs w:val="22"/>
              </w:rPr>
              <w:t>Nivo LDH prije liječenja</w:t>
            </w:r>
          </w:p>
        </w:tc>
        <w:tc>
          <w:tcPr>
            <w:tcW w:w="1328" w:type="pct"/>
            <w:tcBorders>
              <w:top w:val="nil"/>
              <w:left w:val="single" w:sz="6" w:space="0" w:color="auto"/>
              <w:bottom w:val="nil"/>
              <w:right w:val="single" w:sz="6" w:space="0" w:color="auto"/>
            </w:tcBorders>
          </w:tcPr>
          <w:p w14:paraId="44BEE761" w14:textId="77777777" w:rsidR="006F6043" w:rsidRPr="00801AFD" w:rsidRDefault="006F6043" w:rsidP="00801AFD">
            <w:pPr>
              <w:pStyle w:val="C-TableText"/>
              <w:widowControl w:val="0"/>
              <w:jc w:val="both"/>
              <w:rPr>
                <w:sz w:val="22"/>
                <w:szCs w:val="22"/>
              </w:rPr>
            </w:pPr>
            <w:r w:rsidRPr="00801AFD">
              <w:rPr>
                <w:sz w:val="22"/>
                <w:szCs w:val="22"/>
              </w:rPr>
              <w:t>Srednja vrijednost (SD)</w:t>
            </w:r>
          </w:p>
        </w:tc>
        <w:tc>
          <w:tcPr>
            <w:tcW w:w="1021" w:type="pct"/>
            <w:tcBorders>
              <w:top w:val="nil"/>
              <w:left w:val="single" w:sz="6" w:space="0" w:color="auto"/>
              <w:bottom w:val="nil"/>
              <w:right w:val="single" w:sz="6" w:space="0" w:color="auto"/>
            </w:tcBorders>
          </w:tcPr>
          <w:p w14:paraId="6ABF4E00" w14:textId="77777777" w:rsidR="006F6043" w:rsidRPr="00801AFD" w:rsidRDefault="006F6043" w:rsidP="00801AFD">
            <w:pPr>
              <w:pStyle w:val="C-TableText"/>
              <w:widowControl w:val="0"/>
              <w:jc w:val="both"/>
              <w:rPr>
                <w:sz w:val="22"/>
                <w:szCs w:val="22"/>
              </w:rPr>
            </w:pPr>
            <w:r w:rsidRPr="00801AFD">
              <w:rPr>
                <w:sz w:val="22"/>
                <w:szCs w:val="22"/>
              </w:rPr>
              <w:t>1633.5 (778.75)</w:t>
            </w:r>
          </w:p>
        </w:tc>
        <w:tc>
          <w:tcPr>
            <w:tcW w:w="1009" w:type="pct"/>
            <w:tcBorders>
              <w:top w:val="nil"/>
              <w:left w:val="single" w:sz="6" w:space="0" w:color="auto"/>
              <w:bottom w:val="nil"/>
              <w:right w:val="single" w:sz="6" w:space="0" w:color="auto"/>
            </w:tcBorders>
          </w:tcPr>
          <w:p w14:paraId="48204711" w14:textId="77777777" w:rsidR="006F6043" w:rsidRPr="00801AFD" w:rsidRDefault="006F6043" w:rsidP="00801AFD">
            <w:pPr>
              <w:pStyle w:val="C-TableText"/>
              <w:widowControl w:val="0"/>
              <w:jc w:val="both"/>
              <w:rPr>
                <w:sz w:val="22"/>
                <w:szCs w:val="22"/>
              </w:rPr>
            </w:pPr>
            <w:r w:rsidRPr="00801AFD">
              <w:rPr>
                <w:sz w:val="22"/>
                <w:szCs w:val="22"/>
              </w:rPr>
              <w:t>1578.3 (727.06)</w:t>
            </w:r>
          </w:p>
        </w:tc>
      </w:tr>
      <w:tr w:rsidR="006F6043" w:rsidRPr="00801AFD" w14:paraId="17AA1420" w14:textId="77777777" w:rsidTr="00961C31">
        <w:trPr>
          <w:trHeight w:val="147"/>
          <w:jc w:val="center"/>
        </w:trPr>
        <w:tc>
          <w:tcPr>
            <w:tcW w:w="1641" w:type="pct"/>
            <w:vMerge/>
            <w:tcBorders>
              <w:left w:val="single" w:sz="6" w:space="0" w:color="auto"/>
              <w:right w:val="single" w:sz="6" w:space="0" w:color="auto"/>
            </w:tcBorders>
            <w:vAlign w:val="center"/>
          </w:tcPr>
          <w:p w14:paraId="281911CA" w14:textId="77777777" w:rsidR="006F6043" w:rsidRPr="00801AFD" w:rsidRDefault="006F6043" w:rsidP="00801AFD">
            <w:pPr>
              <w:pStyle w:val="C-TableText"/>
              <w:widowControl w:val="0"/>
              <w:jc w:val="both"/>
              <w:rPr>
                <w:sz w:val="22"/>
                <w:szCs w:val="22"/>
              </w:rPr>
            </w:pPr>
          </w:p>
        </w:tc>
        <w:tc>
          <w:tcPr>
            <w:tcW w:w="1328" w:type="pct"/>
            <w:tcBorders>
              <w:top w:val="nil"/>
              <w:left w:val="single" w:sz="6" w:space="0" w:color="auto"/>
              <w:bottom w:val="single" w:sz="4" w:space="0" w:color="auto"/>
              <w:right w:val="single" w:sz="6" w:space="0" w:color="auto"/>
            </w:tcBorders>
          </w:tcPr>
          <w:p w14:paraId="64CC41A8" w14:textId="77777777" w:rsidR="006F6043" w:rsidRPr="00801AFD" w:rsidRDefault="006F6043" w:rsidP="00801AFD">
            <w:pPr>
              <w:pStyle w:val="C-TableText"/>
              <w:widowControl w:val="0"/>
              <w:jc w:val="both"/>
              <w:rPr>
                <w:sz w:val="22"/>
                <w:szCs w:val="22"/>
              </w:rPr>
            </w:pPr>
            <w:r w:rsidRPr="00801AFD">
              <w:rPr>
                <w:sz w:val="22"/>
                <w:szCs w:val="22"/>
              </w:rPr>
              <w:t>Medijana</w:t>
            </w:r>
          </w:p>
        </w:tc>
        <w:tc>
          <w:tcPr>
            <w:tcW w:w="1021" w:type="pct"/>
            <w:tcBorders>
              <w:top w:val="nil"/>
              <w:left w:val="single" w:sz="6" w:space="0" w:color="auto"/>
              <w:bottom w:val="single" w:sz="4" w:space="0" w:color="auto"/>
              <w:right w:val="single" w:sz="6" w:space="0" w:color="auto"/>
            </w:tcBorders>
          </w:tcPr>
          <w:p w14:paraId="0AFFAA9E" w14:textId="77777777" w:rsidR="006F6043" w:rsidRPr="00801AFD" w:rsidRDefault="006F6043" w:rsidP="00801AFD">
            <w:pPr>
              <w:pStyle w:val="C-TableText"/>
              <w:widowControl w:val="0"/>
              <w:jc w:val="both"/>
              <w:rPr>
                <w:sz w:val="22"/>
                <w:szCs w:val="22"/>
              </w:rPr>
            </w:pPr>
            <w:r w:rsidRPr="00801AFD">
              <w:rPr>
                <w:sz w:val="22"/>
                <w:szCs w:val="22"/>
              </w:rPr>
              <w:t>1513.5</w:t>
            </w:r>
          </w:p>
        </w:tc>
        <w:tc>
          <w:tcPr>
            <w:tcW w:w="1009" w:type="pct"/>
            <w:tcBorders>
              <w:top w:val="nil"/>
              <w:left w:val="single" w:sz="6" w:space="0" w:color="auto"/>
              <w:bottom w:val="single" w:sz="4" w:space="0" w:color="auto"/>
              <w:right w:val="single" w:sz="6" w:space="0" w:color="auto"/>
            </w:tcBorders>
          </w:tcPr>
          <w:p w14:paraId="0D41280C" w14:textId="77777777" w:rsidR="006F6043" w:rsidRPr="00801AFD" w:rsidRDefault="006F6043" w:rsidP="00801AFD">
            <w:pPr>
              <w:pStyle w:val="C-TableText"/>
              <w:widowControl w:val="0"/>
              <w:jc w:val="both"/>
              <w:rPr>
                <w:sz w:val="22"/>
                <w:szCs w:val="22"/>
              </w:rPr>
            </w:pPr>
            <w:r w:rsidRPr="00801AFD">
              <w:rPr>
                <w:sz w:val="22"/>
                <w:szCs w:val="22"/>
              </w:rPr>
              <w:t>1445.0</w:t>
            </w:r>
          </w:p>
        </w:tc>
      </w:tr>
      <w:tr w:rsidR="006F6043" w:rsidRPr="00801AFD" w14:paraId="1CC3A4AC" w14:textId="77777777" w:rsidTr="00961C31">
        <w:trPr>
          <w:trHeight w:val="429"/>
          <w:jc w:val="center"/>
        </w:trPr>
        <w:tc>
          <w:tcPr>
            <w:tcW w:w="1641" w:type="pct"/>
            <w:tcBorders>
              <w:left w:val="single" w:sz="6" w:space="0" w:color="auto"/>
              <w:right w:val="single" w:sz="6" w:space="0" w:color="auto"/>
            </w:tcBorders>
          </w:tcPr>
          <w:p w14:paraId="72D2D934" w14:textId="77777777" w:rsidR="006F6043" w:rsidRPr="00801AFD" w:rsidRDefault="006F6043" w:rsidP="00801AFD">
            <w:pPr>
              <w:pStyle w:val="C-TableText"/>
              <w:widowControl w:val="0"/>
              <w:jc w:val="both"/>
              <w:rPr>
                <w:sz w:val="22"/>
                <w:szCs w:val="22"/>
              </w:rPr>
            </w:pPr>
            <w:r w:rsidRPr="00801AFD">
              <w:rPr>
                <w:sz w:val="22"/>
                <w:szCs w:val="22"/>
              </w:rPr>
              <w:t>Broj pacijenata sa transfuzijom koncentrovanih eritrocita (pRBC) u toku prethodnih 12 mjeseci prije prve doze</w:t>
            </w:r>
          </w:p>
        </w:tc>
        <w:tc>
          <w:tcPr>
            <w:tcW w:w="1328" w:type="pct"/>
            <w:tcBorders>
              <w:top w:val="single" w:sz="4" w:space="0" w:color="auto"/>
              <w:left w:val="single" w:sz="6" w:space="0" w:color="auto"/>
              <w:bottom w:val="single" w:sz="6" w:space="0" w:color="auto"/>
              <w:right w:val="single" w:sz="6" w:space="0" w:color="auto"/>
            </w:tcBorders>
          </w:tcPr>
          <w:p w14:paraId="1DE387F8" w14:textId="77777777" w:rsidR="006F6043" w:rsidRPr="00801AFD" w:rsidRDefault="006F6043" w:rsidP="00801AFD">
            <w:pPr>
              <w:pStyle w:val="C-TableText"/>
              <w:widowControl w:val="0"/>
              <w:jc w:val="both"/>
              <w:rPr>
                <w:sz w:val="22"/>
                <w:szCs w:val="22"/>
              </w:rPr>
            </w:pPr>
            <w:r w:rsidRPr="00801AFD">
              <w:rPr>
                <w:sz w:val="22"/>
                <w:szCs w:val="22"/>
              </w:rPr>
              <w:t>n (%)</w:t>
            </w:r>
          </w:p>
        </w:tc>
        <w:tc>
          <w:tcPr>
            <w:tcW w:w="1021" w:type="pct"/>
            <w:tcBorders>
              <w:top w:val="single" w:sz="4" w:space="0" w:color="auto"/>
              <w:left w:val="single" w:sz="6" w:space="0" w:color="auto"/>
              <w:bottom w:val="single" w:sz="6" w:space="0" w:color="auto"/>
              <w:right w:val="single" w:sz="6" w:space="0" w:color="auto"/>
            </w:tcBorders>
          </w:tcPr>
          <w:p w14:paraId="3CE3F41C" w14:textId="77777777" w:rsidR="006F6043" w:rsidRPr="00801AFD" w:rsidRDefault="006F6043" w:rsidP="00801AFD">
            <w:pPr>
              <w:pStyle w:val="C-TableText"/>
              <w:widowControl w:val="0"/>
              <w:jc w:val="both"/>
              <w:rPr>
                <w:sz w:val="22"/>
                <w:szCs w:val="22"/>
              </w:rPr>
            </w:pPr>
            <w:r w:rsidRPr="00801AFD">
              <w:rPr>
                <w:sz w:val="22"/>
                <w:szCs w:val="22"/>
              </w:rPr>
              <w:t>103 (82.4)</w:t>
            </w:r>
          </w:p>
        </w:tc>
        <w:tc>
          <w:tcPr>
            <w:tcW w:w="1009" w:type="pct"/>
            <w:tcBorders>
              <w:top w:val="single" w:sz="4" w:space="0" w:color="auto"/>
              <w:left w:val="single" w:sz="6" w:space="0" w:color="auto"/>
              <w:bottom w:val="single" w:sz="6" w:space="0" w:color="auto"/>
              <w:right w:val="single" w:sz="6" w:space="0" w:color="auto"/>
            </w:tcBorders>
          </w:tcPr>
          <w:p w14:paraId="1018A6CC" w14:textId="77777777" w:rsidR="006F6043" w:rsidRPr="00801AFD" w:rsidRDefault="006F6043" w:rsidP="00801AFD">
            <w:pPr>
              <w:pStyle w:val="C-TableText"/>
              <w:widowControl w:val="0"/>
              <w:jc w:val="both"/>
              <w:rPr>
                <w:sz w:val="22"/>
                <w:szCs w:val="22"/>
              </w:rPr>
            </w:pPr>
            <w:r w:rsidRPr="00801AFD">
              <w:rPr>
                <w:sz w:val="22"/>
                <w:szCs w:val="22"/>
              </w:rPr>
              <w:t>100 (82.6)</w:t>
            </w:r>
          </w:p>
        </w:tc>
      </w:tr>
      <w:tr w:rsidR="006F6043" w:rsidRPr="00801AFD" w14:paraId="7FD55589" w14:textId="77777777" w:rsidTr="00961C31">
        <w:trPr>
          <w:trHeight w:val="145"/>
          <w:jc w:val="center"/>
        </w:trPr>
        <w:tc>
          <w:tcPr>
            <w:tcW w:w="1641" w:type="pct"/>
            <w:vMerge w:val="restart"/>
            <w:tcBorders>
              <w:left w:val="single" w:sz="6" w:space="0" w:color="auto"/>
              <w:right w:val="single" w:sz="6" w:space="0" w:color="auto"/>
            </w:tcBorders>
          </w:tcPr>
          <w:p w14:paraId="189115AE" w14:textId="77777777" w:rsidR="006F6043" w:rsidRPr="00801AFD" w:rsidRDefault="006F6043" w:rsidP="00801AFD">
            <w:pPr>
              <w:pStyle w:val="C-TableText"/>
              <w:widowControl w:val="0"/>
              <w:jc w:val="both"/>
              <w:rPr>
                <w:sz w:val="22"/>
                <w:szCs w:val="22"/>
              </w:rPr>
            </w:pPr>
            <w:r w:rsidRPr="00801AFD">
              <w:rPr>
                <w:sz w:val="22"/>
                <w:szCs w:val="22"/>
              </w:rPr>
              <w:t>Jedinice pRBC transfuzije u roku od 12 mjeseci prije prve doze</w:t>
            </w:r>
          </w:p>
        </w:tc>
        <w:tc>
          <w:tcPr>
            <w:tcW w:w="1328" w:type="pct"/>
            <w:tcBorders>
              <w:top w:val="single" w:sz="6" w:space="0" w:color="auto"/>
              <w:left w:val="single" w:sz="6" w:space="0" w:color="auto"/>
              <w:bottom w:val="nil"/>
              <w:right w:val="single" w:sz="6" w:space="0" w:color="auto"/>
            </w:tcBorders>
          </w:tcPr>
          <w:p w14:paraId="10F97AB9" w14:textId="77777777" w:rsidR="006F6043" w:rsidRPr="00801AFD" w:rsidRDefault="006F6043" w:rsidP="00801AFD">
            <w:pPr>
              <w:pStyle w:val="C-TableText"/>
              <w:widowControl w:val="0"/>
              <w:jc w:val="both"/>
              <w:rPr>
                <w:sz w:val="22"/>
                <w:szCs w:val="22"/>
              </w:rPr>
            </w:pPr>
            <w:r w:rsidRPr="00801AFD">
              <w:rPr>
                <w:sz w:val="22"/>
                <w:szCs w:val="22"/>
              </w:rPr>
              <w:t>Ukupno</w:t>
            </w:r>
          </w:p>
        </w:tc>
        <w:tc>
          <w:tcPr>
            <w:tcW w:w="1021" w:type="pct"/>
            <w:tcBorders>
              <w:top w:val="single" w:sz="6" w:space="0" w:color="auto"/>
              <w:left w:val="single" w:sz="6" w:space="0" w:color="auto"/>
              <w:bottom w:val="nil"/>
              <w:right w:val="single" w:sz="6" w:space="0" w:color="auto"/>
            </w:tcBorders>
          </w:tcPr>
          <w:p w14:paraId="4DE5BBC3" w14:textId="77777777" w:rsidR="006F6043" w:rsidRPr="00801AFD" w:rsidRDefault="006F6043" w:rsidP="00801AFD">
            <w:pPr>
              <w:pStyle w:val="C-TableText"/>
              <w:widowControl w:val="0"/>
              <w:jc w:val="both"/>
              <w:rPr>
                <w:sz w:val="22"/>
                <w:szCs w:val="22"/>
              </w:rPr>
            </w:pPr>
            <w:r w:rsidRPr="00801AFD">
              <w:rPr>
                <w:sz w:val="22"/>
                <w:szCs w:val="22"/>
              </w:rPr>
              <w:t>925</w:t>
            </w:r>
          </w:p>
        </w:tc>
        <w:tc>
          <w:tcPr>
            <w:tcW w:w="1009" w:type="pct"/>
            <w:tcBorders>
              <w:top w:val="single" w:sz="6" w:space="0" w:color="auto"/>
              <w:left w:val="single" w:sz="6" w:space="0" w:color="auto"/>
              <w:bottom w:val="nil"/>
              <w:right w:val="single" w:sz="6" w:space="0" w:color="auto"/>
            </w:tcBorders>
          </w:tcPr>
          <w:p w14:paraId="0160F64B" w14:textId="77777777" w:rsidR="006F6043" w:rsidRPr="00801AFD" w:rsidRDefault="006F6043" w:rsidP="00801AFD">
            <w:pPr>
              <w:pStyle w:val="C-TableText"/>
              <w:widowControl w:val="0"/>
              <w:jc w:val="both"/>
              <w:rPr>
                <w:sz w:val="22"/>
                <w:szCs w:val="22"/>
              </w:rPr>
            </w:pPr>
            <w:r w:rsidRPr="00801AFD">
              <w:rPr>
                <w:sz w:val="22"/>
                <w:szCs w:val="22"/>
              </w:rPr>
              <w:t>861</w:t>
            </w:r>
          </w:p>
        </w:tc>
      </w:tr>
      <w:tr w:rsidR="006F6043" w:rsidRPr="00801AFD" w14:paraId="11F20A31" w14:textId="77777777" w:rsidTr="00961C31">
        <w:trPr>
          <w:trHeight w:val="145"/>
          <w:jc w:val="center"/>
        </w:trPr>
        <w:tc>
          <w:tcPr>
            <w:tcW w:w="1641" w:type="pct"/>
            <w:vMerge/>
            <w:tcBorders>
              <w:left w:val="single" w:sz="6" w:space="0" w:color="auto"/>
              <w:right w:val="single" w:sz="6" w:space="0" w:color="auto"/>
            </w:tcBorders>
          </w:tcPr>
          <w:p w14:paraId="363F751D" w14:textId="77777777" w:rsidR="006F6043" w:rsidRPr="00801AFD" w:rsidRDefault="006F6043" w:rsidP="00801AFD">
            <w:pPr>
              <w:pStyle w:val="C-TableText"/>
              <w:widowControl w:val="0"/>
              <w:jc w:val="both"/>
              <w:rPr>
                <w:sz w:val="22"/>
                <w:szCs w:val="22"/>
              </w:rPr>
            </w:pPr>
          </w:p>
        </w:tc>
        <w:tc>
          <w:tcPr>
            <w:tcW w:w="1328" w:type="pct"/>
            <w:tcBorders>
              <w:top w:val="nil"/>
              <w:left w:val="single" w:sz="6" w:space="0" w:color="auto"/>
              <w:bottom w:val="nil"/>
              <w:right w:val="single" w:sz="6" w:space="0" w:color="auto"/>
            </w:tcBorders>
          </w:tcPr>
          <w:p w14:paraId="3B7CA0CB" w14:textId="77777777" w:rsidR="006F6043" w:rsidRPr="00801AFD" w:rsidRDefault="006F6043" w:rsidP="00801AFD">
            <w:pPr>
              <w:pStyle w:val="C-TableText"/>
              <w:widowControl w:val="0"/>
              <w:jc w:val="both"/>
              <w:rPr>
                <w:sz w:val="22"/>
                <w:szCs w:val="22"/>
              </w:rPr>
            </w:pPr>
            <w:r w:rsidRPr="00801AFD">
              <w:rPr>
                <w:sz w:val="22"/>
                <w:szCs w:val="22"/>
              </w:rPr>
              <w:t>Srednja vrijednost (SD)</w:t>
            </w:r>
          </w:p>
        </w:tc>
        <w:tc>
          <w:tcPr>
            <w:tcW w:w="1021" w:type="pct"/>
            <w:tcBorders>
              <w:top w:val="nil"/>
              <w:left w:val="single" w:sz="6" w:space="0" w:color="auto"/>
              <w:bottom w:val="nil"/>
              <w:right w:val="single" w:sz="6" w:space="0" w:color="auto"/>
            </w:tcBorders>
          </w:tcPr>
          <w:p w14:paraId="37315B9F" w14:textId="77777777" w:rsidR="006F6043" w:rsidRPr="00801AFD" w:rsidRDefault="006F6043" w:rsidP="00801AFD">
            <w:pPr>
              <w:pStyle w:val="C-TableText"/>
              <w:widowControl w:val="0"/>
              <w:jc w:val="both"/>
              <w:rPr>
                <w:sz w:val="22"/>
                <w:szCs w:val="22"/>
              </w:rPr>
            </w:pPr>
            <w:r w:rsidRPr="00801AFD">
              <w:rPr>
                <w:sz w:val="22"/>
                <w:szCs w:val="22"/>
              </w:rPr>
              <w:t>9.0 (7.74)</w:t>
            </w:r>
          </w:p>
        </w:tc>
        <w:tc>
          <w:tcPr>
            <w:tcW w:w="1009" w:type="pct"/>
            <w:tcBorders>
              <w:top w:val="nil"/>
              <w:left w:val="single" w:sz="6" w:space="0" w:color="auto"/>
              <w:bottom w:val="nil"/>
              <w:right w:val="single" w:sz="6" w:space="0" w:color="auto"/>
            </w:tcBorders>
          </w:tcPr>
          <w:p w14:paraId="7B94AE5C" w14:textId="77777777" w:rsidR="006F6043" w:rsidRPr="00801AFD" w:rsidRDefault="006F6043" w:rsidP="00801AFD">
            <w:pPr>
              <w:pStyle w:val="C-TableText"/>
              <w:widowControl w:val="0"/>
              <w:jc w:val="both"/>
              <w:rPr>
                <w:sz w:val="22"/>
                <w:szCs w:val="22"/>
              </w:rPr>
            </w:pPr>
            <w:r w:rsidRPr="00801AFD">
              <w:rPr>
                <w:sz w:val="22"/>
                <w:szCs w:val="22"/>
              </w:rPr>
              <w:t>8.6 (7.90)</w:t>
            </w:r>
          </w:p>
        </w:tc>
      </w:tr>
      <w:tr w:rsidR="006F6043" w:rsidRPr="00801AFD" w14:paraId="7131F5EF" w14:textId="77777777" w:rsidTr="00961C31">
        <w:trPr>
          <w:trHeight w:val="145"/>
          <w:jc w:val="center"/>
        </w:trPr>
        <w:tc>
          <w:tcPr>
            <w:tcW w:w="1641" w:type="pct"/>
            <w:vMerge/>
            <w:tcBorders>
              <w:left w:val="single" w:sz="6" w:space="0" w:color="auto"/>
              <w:right w:val="single" w:sz="6" w:space="0" w:color="auto"/>
            </w:tcBorders>
          </w:tcPr>
          <w:p w14:paraId="0D7DBC91" w14:textId="77777777" w:rsidR="006F6043" w:rsidRPr="00801AFD" w:rsidRDefault="006F6043" w:rsidP="00801AFD">
            <w:pPr>
              <w:pStyle w:val="C-TableText"/>
              <w:widowControl w:val="0"/>
              <w:jc w:val="both"/>
              <w:rPr>
                <w:sz w:val="22"/>
                <w:szCs w:val="22"/>
              </w:rPr>
            </w:pPr>
          </w:p>
        </w:tc>
        <w:tc>
          <w:tcPr>
            <w:tcW w:w="1328" w:type="pct"/>
            <w:tcBorders>
              <w:top w:val="nil"/>
              <w:left w:val="single" w:sz="6" w:space="0" w:color="auto"/>
              <w:bottom w:val="single" w:sz="4" w:space="0" w:color="auto"/>
              <w:right w:val="single" w:sz="6" w:space="0" w:color="auto"/>
            </w:tcBorders>
          </w:tcPr>
          <w:p w14:paraId="2BB7B415" w14:textId="77777777" w:rsidR="006F6043" w:rsidRPr="00801AFD" w:rsidRDefault="006F6043" w:rsidP="00801AFD">
            <w:pPr>
              <w:pStyle w:val="C-TableText"/>
              <w:widowControl w:val="0"/>
              <w:jc w:val="both"/>
              <w:rPr>
                <w:sz w:val="22"/>
                <w:szCs w:val="22"/>
              </w:rPr>
            </w:pPr>
            <w:r w:rsidRPr="00801AFD">
              <w:rPr>
                <w:sz w:val="22"/>
                <w:szCs w:val="22"/>
              </w:rPr>
              <w:t>Medijana</w:t>
            </w:r>
          </w:p>
        </w:tc>
        <w:tc>
          <w:tcPr>
            <w:tcW w:w="1021" w:type="pct"/>
            <w:tcBorders>
              <w:top w:val="nil"/>
              <w:left w:val="single" w:sz="6" w:space="0" w:color="auto"/>
              <w:bottom w:val="single" w:sz="4" w:space="0" w:color="auto"/>
              <w:right w:val="single" w:sz="6" w:space="0" w:color="auto"/>
            </w:tcBorders>
          </w:tcPr>
          <w:p w14:paraId="41846651" w14:textId="77777777" w:rsidR="006F6043" w:rsidRPr="00801AFD" w:rsidRDefault="006F6043" w:rsidP="00801AFD">
            <w:pPr>
              <w:pStyle w:val="C-TableText"/>
              <w:widowControl w:val="0"/>
              <w:jc w:val="both"/>
              <w:rPr>
                <w:sz w:val="22"/>
                <w:szCs w:val="22"/>
              </w:rPr>
            </w:pPr>
            <w:r w:rsidRPr="00801AFD">
              <w:rPr>
                <w:sz w:val="22"/>
                <w:szCs w:val="22"/>
              </w:rPr>
              <w:t>6.0</w:t>
            </w:r>
          </w:p>
        </w:tc>
        <w:tc>
          <w:tcPr>
            <w:tcW w:w="1009" w:type="pct"/>
            <w:tcBorders>
              <w:top w:val="nil"/>
              <w:left w:val="single" w:sz="6" w:space="0" w:color="auto"/>
              <w:bottom w:val="single" w:sz="4" w:space="0" w:color="auto"/>
              <w:right w:val="single" w:sz="6" w:space="0" w:color="auto"/>
            </w:tcBorders>
          </w:tcPr>
          <w:p w14:paraId="0F55FF5B" w14:textId="77777777" w:rsidR="006F6043" w:rsidRPr="00801AFD" w:rsidRDefault="006F6043" w:rsidP="00801AFD">
            <w:pPr>
              <w:pStyle w:val="C-TableText"/>
              <w:widowControl w:val="0"/>
              <w:jc w:val="both"/>
              <w:rPr>
                <w:sz w:val="22"/>
                <w:szCs w:val="22"/>
              </w:rPr>
            </w:pPr>
            <w:r w:rsidRPr="00801AFD">
              <w:rPr>
                <w:sz w:val="22"/>
                <w:szCs w:val="22"/>
              </w:rPr>
              <w:t>6.0</w:t>
            </w:r>
          </w:p>
        </w:tc>
      </w:tr>
      <w:tr w:rsidR="006F6043" w:rsidRPr="00801AFD" w14:paraId="336AA9BC" w14:textId="77777777" w:rsidTr="00961C31">
        <w:trPr>
          <w:trHeight w:val="145"/>
          <w:jc w:val="center"/>
        </w:trPr>
        <w:tc>
          <w:tcPr>
            <w:tcW w:w="1641" w:type="pct"/>
            <w:tcBorders>
              <w:left w:val="single" w:sz="6" w:space="0" w:color="auto"/>
              <w:bottom w:val="nil"/>
              <w:right w:val="single" w:sz="4" w:space="0" w:color="auto"/>
            </w:tcBorders>
          </w:tcPr>
          <w:p w14:paraId="24B4D4A7" w14:textId="262C2C7F" w:rsidR="006F6043" w:rsidRPr="00801AFD" w:rsidRDefault="006F6043" w:rsidP="00801AFD">
            <w:pPr>
              <w:pStyle w:val="Default"/>
              <w:widowControl w:val="0"/>
              <w:jc w:val="both"/>
              <w:rPr>
                <w:sz w:val="22"/>
                <w:szCs w:val="22"/>
                <w:lang w:val="sr-Latn-ME"/>
              </w:rPr>
            </w:pPr>
            <w:r w:rsidRPr="00801AFD">
              <w:rPr>
                <w:sz w:val="22"/>
                <w:szCs w:val="22"/>
                <w:lang w:val="sr-Latn-ME"/>
              </w:rPr>
              <w:t>Ukupni broj PNH klon eritrocita</w:t>
            </w:r>
          </w:p>
        </w:tc>
        <w:tc>
          <w:tcPr>
            <w:tcW w:w="1328" w:type="pct"/>
            <w:tcBorders>
              <w:top w:val="single" w:sz="4" w:space="0" w:color="auto"/>
              <w:left w:val="single" w:sz="4" w:space="0" w:color="auto"/>
              <w:bottom w:val="nil"/>
              <w:right w:val="single" w:sz="4" w:space="0" w:color="auto"/>
            </w:tcBorders>
          </w:tcPr>
          <w:p w14:paraId="484EC3D7" w14:textId="77777777" w:rsidR="006F6043" w:rsidRPr="00801AFD" w:rsidRDefault="006F6043" w:rsidP="00801AFD">
            <w:pPr>
              <w:pStyle w:val="C-TableText"/>
              <w:widowControl w:val="0"/>
              <w:jc w:val="both"/>
              <w:rPr>
                <w:sz w:val="22"/>
                <w:szCs w:val="22"/>
              </w:rPr>
            </w:pPr>
            <w:r w:rsidRPr="00801AFD">
              <w:rPr>
                <w:sz w:val="22"/>
                <w:szCs w:val="22"/>
              </w:rPr>
              <w:t>Medijana</w:t>
            </w:r>
          </w:p>
        </w:tc>
        <w:tc>
          <w:tcPr>
            <w:tcW w:w="1021" w:type="pct"/>
            <w:tcBorders>
              <w:top w:val="single" w:sz="4" w:space="0" w:color="auto"/>
              <w:left w:val="single" w:sz="4" w:space="0" w:color="auto"/>
              <w:bottom w:val="nil"/>
              <w:right w:val="single" w:sz="4" w:space="0" w:color="auto"/>
            </w:tcBorders>
          </w:tcPr>
          <w:p w14:paraId="10BBD94A" w14:textId="77777777" w:rsidR="006F6043" w:rsidRPr="00801AFD" w:rsidRDefault="006F6043" w:rsidP="00801AFD">
            <w:pPr>
              <w:pStyle w:val="C-TableText"/>
              <w:widowControl w:val="0"/>
              <w:jc w:val="both"/>
              <w:rPr>
                <w:sz w:val="22"/>
                <w:szCs w:val="22"/>
              </w:rPr>
            </w:pPr>
            <w:r w:rsidRPr="00801AFD">
              <w:rPr>
                <w:sz w:val="22"/>
                <w:szCs w:val="22"/>
              </w:rPr>
              <w:t>33.6</w:t>
            </w:r>
          </w:p>
        </w:tc>
        <w:tc>
          <w:tcPr>
            <w:tcW w:w="1009" w:type="pct"/>
            <w:tcBorders>
              <w:top w:val="single" w:sz="4" w:space="0" w:color="auto"/>
              <w:left w:val="single" w:sz="4" w:space="0" w:color="auto"/>
              <w:bottom w:val="nil"/>
              <w:right w:val="single" w:sz="4" w:space="0" w:color="auto"/>
            </w:tcBorders>
          </w:tcPr>
          <w:p w14:paraId="118B989E" w14:textId="77777777" w:rsidR="006F6043" w:rsidRPr="00801AFD" w:rsidRDefault="006F6043" w:rsidP="00801AFD">
            <w:pPr>
              <w:pStyle w:val="C-TableText"/>
              <w:widowControl w:val="0"/>
              <w:jc w:val="both"/>
              <w:rPr>
                <w:sz w:val="22"/>
                <w:szCs w:val="22"/>
              </w:rPr>
            </w:pPr>
            <w:r w:rsidRPr="00801AFD">
              <w:rPr>
                <w:sz w:val="22"/>
                <w:szCs w:val="22"/>
              </w:rPr>
              <w:t>34.2</w:t>
            </w:r>
          </w:p>
        </w:tc>
      </w:tr>
      <w:tr w:rsidR="006F6043" w:rsidRPr="00801AFD" w14:paraId="2970CA55" w14:textId="77777777" w:rsidTr="00961C31">
        <w:trPr>
          <w:trHeight w:val="145"/>
          <w:jc w:val="center"/>
        </w:trPr>
        <w:tc>
          <w:tcPr>
            <w:tcW w:w="1641" w:type="pct"/>
            <w:tcBorders>
              <w:left w:val="single" w:sz="6" w:space="0" w:color="auto"/>
              <w:bottom w:val="nil"/>
              <w:right w:val="single" w:sz="4" w:space="0" w:color="auto"/>
            </w:tcBorders>
          </w:tcPr>
          <w:p w14:paraId="1DFE5DF3" w14:textId="07B3C5ED" w:rsidR="006F6043" w:rsidRPr="00801AFD" w:rsidRDefault="006F6043" w:rsidP="00801AFD">
            <w:pPr>
              <w:pStyle w:val="Default"/>
              <w:widowControl w:val="0"/>
              <w:jc w:val="both"/>
              <w:rPr>
                <w:sz w:val="22"/>
                <w:szCs w:val="22"/>
                <w:lang w:val="sr-Latn-ME"/>
              </w:rPr>
            </w:pPr>
            <w:r w:rsidRPr="00801AFD">
              <w:rPr>
                <w:sz w:val="22"/>
                <w:szCs w:val="22"/>
                <w:lang w:val="sr-Latn-ME"/>
              </w:rPr>
              <w:t>Ukupni broj PNH klon granulocita</w:t>
            </w:r>
          </w:p>
        </w:tc>
        <w:tc>
          <w:tcPr>
            <w:tcW w:w="1328" w:type="pct"/>
            <w:tcBorders>
              <w:top w:val="single" w:sz="4" w:space="0" w:color="auto"/>
              <w:left w:val="single" w:sz="4" w:space="0" w:color="auto"/>
              <w:bottom w:val="nil"/>
              <w:right w:val="single" w:sz="4" w:space="0" w:color="auto"/>
            </w:tcBorders>
          </w:tcPr>
          <w:p w14:paraId="42670626" w14:textId="77777777" w:rsidR="006F6043" w:rsidRPr="00801AFD" w:rsidRDefault="006F6043" w:rsidP="00801AFD">
            <w:pPr>
              <w:pStyle w:val="C-TableText"/>
              <w:widowControl w:val="0"/>
              <w:jc w:val="both"/>
              <w:rPr>
                <w:sz w:val="22"/>
                <w:szCs w:val="22"/>
              </w:rPr>
            </w:pPr>
            <w:r w:rsidRPr="00801AFD">
              <w:rPr>
                <w:sz w:val="22"/>
                <w:szCs w:val="22"/>
              </w:rPr>
              <w:t>Medijana</w:t>
            </w:r>
          </w:p>
        </w:tc>
        <w:tc>
          <w:tcPr>
            <w:tcW w:w="1021" w:type="pct"/>
            <w:tcBorders>
              <w:top w:val="single" w:sz="4" w:space="0" w:color="auto"/>
              <w:left w:val="single" w:sz="4" w:space="0" w:color="auto"/>
              <w:bottom w:val="nil"/>
              <w:right w:val="single" w:sz="4" w:space="0" w:color="auto"/>
            </w:tcBorders>
          </w:tcPr>
          <w:p w14:paraId="0563B59A" w14:textId="77777777" w:rsidR="006F6043" w:rsidRPr="00801AFD" w:rsidRDefault="006F6043" w:rsidP="00801AFD">
            <w:pPr>
              <w:pStyle w:val="C-TableText"/>
              <w:widowControl w:val="0"/>
              <w:jc w:val="both"/>
              <w:rPr>
                <w:sz w:val="22"/>
                <w:szCs w:val="22"/>
              </w:rPr>
            </w:pPr>
            <w:r w:rsidRPr="00801AFD">
              <w:rPr>
                <w:sz w:val="22"/>
                <w:szCs w:val="22"/>
              </w:rPr>
              <w:t>93.8</w:t>
            </w:r>
          </w:p>
        </w:tc>
        <w:tc>
          <w:tcPr>
            <w:tcW w:w="1009" w:type="pct"/>
            <w:tcBorders>
              <w:top w:val="single" w:sz="4" w:space="0" w:color="auto"/>
              <w:left w:val="single" w:sz="4" w:space="0" w:color="auto"/>
              <w:bottom w:val="nil"/>
              <w:right w:val="single" w:sz="4" w:space="0" w:color="auto"/>
            </w:tcBorders>
          </w:tcPr>
          <w:p w14:paraId="5D3A8798" w14:textId="77777777" w:rsidR="006F6043" w:rsidRPr="00801AFD" w:rsidRDefault="006F6043" w:rsidP="00801AFD">
            <w:pPr>
              <w:pStyle w:val="C-TableText"/>
              <w:widowControl w:val="0"/>
              <w:jc w:val="both"/>
              <w:rPr>
                <w:sz w:val="22"/>
                <w:szCs w:val="22"/>
              </w:rPr>
            </w:pPr>
            <w:r w:rsidRPr="00801AFD">
              <w:rPr>
                <w:sz w:val="22"/>
                <w:szCs w:val="22"/>
              </w:rPr>
              <w:t>92.4</w:t>
            </w:r>
          </w:p>
        </w:tc>
      </w:tr>
      <w:tr w:rsidR="006F6043" w:rsidRPr="00801AFD" w14:paraId="7B99D917" w14:textId="77777777" w:rsidTr="00961C31">
        <w:trPr>
          <w:trHeight w:val="145"/>
          <w:jc w:val="center"/>
        </w:trPr>
        <w:tc>
          <w:tcPr>
            <w:tcW w:w="1641" w:type="pct"/>
            <w:tcBorders>
              <w:left w:val="single" w:sz="6" w:space="0" w:color="auto"/>
              <w:bottom w:val="nil"/>
              <w:right w:val="single" w:sz="4" w:space="0" w:color="auto"/>
            </w:tcBorders>
          </w:tcPr>
          <w:p w14:paraId="670ED8DF" w14:textId="77777777" w:rsidR="006F6043" w:rsidRPr="00801AFD" w:rsidRDefault="006F6043" w:rsidP="00801AFD">
            <w:pPr>
              <w:pStyle w:val="C-TableText"/>
              <w:widowControl w:val="0"/>
              <w:jc w:val="both"/>
              <w:rPr>
                <w:sz w:val="22"/>
                <w:szCs w:val="22"/>
              </w:rPr>
            </w:pPr>
            <w:r w:rsidRPr="00801AFD">
              <w:rPr>
                <w:sz w:val="22"/>
                <w:szCs w:val="22"/>
              </w:rPr>
              <w:t>Pacijenti sa bilo kojim stanjem usljed PNH</w:t>
            </w:r>
            <w:r w:rsidRPr="00801AFD">
              <w:rPr>
                <w:sz w:val="22"/>
                <w:szCs w:val="22"/>
                <w:vertAlign w:val="superscript"/>
              </w:rPr>
              <w:t>a</w:t>
            </w:r>
            <w:r w:rsidRPr="00801AFD">
              <w:rPr>
                <w:sz w:val="22"/>
                <w:szCs w:val="22"/>
              </w:rPr>
              <w:t xml:space="preserve"> predavanja informisanog pristanka</w:t>
            </w:r>
          </w:p>
        </w:tc>
        <w:tc>
          <w:tcPr>
            <w:tcW w:w="1328" w:type="pct"/>
            <w:tcBorders>
              <w:top w:val="single" w:sz="4" w:space="0" w:color="auto"/>
              <w:left w:val="single" w:sz="4" w:space="0" w:color="auto"/>
              <w:bottom w:val="nil"/>
              <w:right w:val="single" w:sz="4" w:space="0" w:color="auto"/>
            </w:tcBorders>
          </w:tcPr>
          <w:p w14:paraId="3FA2D37B" w14:textId="77777777" w:rsidR="006F6043" w:rsidRPr="00801AFD" w:rsidRDefault="006F6043" w:rsidP="00801AFD">
            <w:pPr>
              <w:pStyle w:val="C-TableText"/>
              <w:widowControl w:val="0"/>
              <w:jc w:val="both"/>
              <w:rPr>
                <w:sz w:val="22"/>
                <w:szCs w:val="22"/>
              </w:rPr>
            </w:pPr>
            <w:r w:rsidRPr="00801AFD">
              <w:rPr>
                <w:sz w:val="22"/>
                <w:szCs w:val="22"/>
              </w:rPr>
              <w:t>n (%)</w:t>
            </w:r>
          </w:p>
        </w:tc>
        <w:tc>
          <w:tcPr>
            <w:tcW w:w="1021" w:type="pct"/>
            <w:tcBorders>
              <w:top w:val="single" w:sz="4" w:space="0" w:color="auto"/>
              <w:left w:val="single" w:sz="4" w:space="0" w:color="auto"/>
              <w:bottom w:val="nil"/>
              <w:right w:val="single" w:sz="4" w:space="0" w:color="auto"/>
            </w:tcBorders>
          </w:tcPr>
          <w:p w14:paraId="6497E1CF" w14:textId="77777777" w:rsidR="006F6043" w:rsidRPr="00801AFD" w:rsidRDefault="006F6043" w:rsidP="00801AFD">
            <w:pPr>
              <w:pStyle w:val="C-TableText"/>
              <w:widowControl w:val="0"/>
              <w:jc w:val="both"/>
              <w:rPr>
                <w:sz w:val="22"/>
                <w:szCs w:val="22"/>
              </w:rPr>
            </w:pPr>
            <w:r w:rsidRPr="00801AFD">
              <w:rPr>
                <w:sz w:val="22"/>
                <w:szCs w:val="22"/>
              </w:rPr>
              <w:t>121 (96.8)</w:t>
            </w:r>
          </w:p>
        </w:tc>
        <w:tc>
          <w:tcPr>
            <w:tcW w:w="1009" w:type="pct"/>
            <w:tcBorders>
              <w:top w:val="single" w:sz="4" w:space="0" w:color="auto"/>
              <w:left w:val="single" w:sz="4" w:space="0" w:color="auto"/>
              <w:bottom w:val="nil"/>
              <w:right w:val="single" w:sz="4" w:space="0" w:color="auto"/>
            </w:tcBorders>
          </w:tcPr>
          <w:p w14:paraId="31BEB105" w14:textId="77777777" w:rsidR="006F6043" w:rsidRPr="00801AFD" w:rsidRDefault="006F6043" w:rsidP="00801AFD">
            <w:pPr>
              <w:pStyle w:val="C-TableText"/>
              <w:widowControl w:val="0"/>
              <w:jc w:val="both"/>
              <w:rPr>
                <w:sz w:val="22"/>
                <w:szCs w:val="22"/>
              </w:rPr>
            </w:pPr>
            <w:r w:rsidRPr="00801AFD">
              <w:rPr>
                <w:sz w:val="22"/>
                <w:szCs w:val="22"/>
              </w:rPr>
              <w:t>120 (99.2)</w:t>
            </w:r>
          </w:p>
        </w:tc>
      </w:tr>
      <w:tr w:rsidR="006F6043" w:rsidRPr="00801AFD" w14:paraId="1168E0AD" w14:textId="77777777" w:rsidTr="00961C31">
        <w:trPr>
          <w:trHeight w:val="145"/>
          <w:jc w:val="center"/>
        </w:trPr>
        <w:tc>
          <w:tcPr>
            <w:tcW w:w="1641" w:type="pct"/>
            <w:tcBorders>
              <w:top w:val="nil"/>
              <w:left w:val="single" w:sz="4" w:space="0" w:color="auto"/>
              <w:bottom w:val="nil"/>
              <w:right w:val="single" w:sz="4" w:space="0" w:color="auto"/>
            </w:tcBorders>
          </w:tcPr>
          <w:p w14:paraId="582A441C" w14:textId="16BCDB02" w:rsidR="006F6043" w:rsidRPr="00801AFD" w:rsidRDefault="006F6043" w:rsidP="00801AFD">
            <w:pPr>
              <w:pStyle w:val="C-TableText"/>
              <w:widowControl w:val="0"/>
              <w:jc w:val="both"/>
              <w:rPr>
                <w:sz w:val="22"/>
                <w:szCs w:val="22"/>
              </w:rPr>
            </w:pPr>
            <w:r w:rsidRPr="00801AFD">
              <w:rPr>
                <w:sz w:val="22"/>
                <w:szCs w:val="22"/>
              </w:rPr>
              <w:t>Anemija</w:t>
            </w:r>
          </w:p>
        </w:tc>
        <w:tc>
          <w:tcPr>
            <w:tcW w:w="1328" w:type="pct"/>
            <w:tcBorders>
              <w:top w:val="nil"/>
              <w:left w:val="single" w:sz="4" w:space="0" w:color="auto"/>
              <w:bottom w:val="nil"/>
              <w:right w:val="single" w:sz="4" w:space="0" w:color="auto"/>
            </w:tcBorders>
          </w:tcPr>
          <w:p w14:paraId="6883D0A5" w14:textId="77777777" w:rsidR="006F6043" w:rsidRPr="00801AFD" w:rsidRDefault="006F6043" w:rsidP="00801AFD">
            <w:pPr>
              <w:pStyle w:val="C-TableText"/>
              <w:widowControl w:val="0"/>
              <w:jc w:val="both"/>
              <w:rPr>
                <w:sz w:val="22"/>
                <w:szCs w:val="22"/>
              </w:rPr>
            </w:pPr>
          </w:p>
        </w:tc>
        <w:tc>
          <w:tcPr>
            <w:tcW w:w="1021" w:type="pct"/>
            <w:tcBorders>
              <w:top w:val="nil"/>
              <w:left w:val="single" w:sz="4" w:space="0" w:color="auto"/>
              <w:bottom w:val="nil"/>
              <w:right w:val="single" w:sz="4" w:space="0" w:color="auto"/>
            </w:tcBorders>
          </w:tcPr>
          <w:p w14:paraId="23E8280E" w14:textId="77777777" w:rsidR="006F6043" w:rsidRPr="00801AFD" w:rsidRDefault="006F6043" w:rsidP="00801AFD">
            <w:pPr>
              <w:pStyle w:val="C-TableText"/>
              <w:widowControl w:val="0"/>
              <w:jc w:val="both"/>
              <w:rPr>
                <w:sz w:val="22"/>
                <w:szCs w:val="22"/>
              </w:rPr>
            </w:pPr>
            <w:r w:rsidRPr="00801AFD">
              <w:rPr>
                <w:sz w:val="22"/>
                <w:szCs w:val="22"/>
              </w:rPr>
              <w:t>103 (82.4)</w:t>
            </w:r>
          </w:p>
        </w:tc>
        <w:tc>
          <w:tcPr>
            <w:tcW w:w="1009" w:type="pct"/>
            <w:tcBorders>
              <w:top w:val="nil"/>
              <w:left w:val="single" w:sz="4" w:space="0" w:color="auto"/>
              <w:bottom w:val="nil"/>
              <w:right w:val="single" w:sz="4" w:space="0" w:color="auto"/>
            </w:tcBorders>
          </w:tcPr>
          <w:p w14:paraId="1C5559F6" w14:textId="77777777" w:rsidR="006F6043" w:rsidRPr="00801AFD" w:rsidRDefault="006F6043" w:rsidP="00801AFD">
            <w:pPr>
              <w:pStyle w:val="C-TableText"/>
              <w:widowControl w:val="0"/>
              <w:jc w:val="both"/>
              <w:rPr>
                <w:sz w:val="22"/>
                <w:szCs w:val="22"/>
              </w:rPr>
            </w:pPr>
            <w:r w:rsidRPr="00801AFD">
              <w:rPr>
                <w:sz w:val="22"/>
                <w:szCs w:val="22"/>
              </w:rPr>
              <w:t>105 (86.8)</w:t>
            </w:r>
          </w:p>
        </w:tc>
      </w:tr>
      <w:tr w:rsidR="006F6043" w:rsidRPr="00801AFD" w14:paraId="1186354E" w14:textId="77777777" w:rsidTr="00961C31">
        <w:trPr>
          <w:trHeight w:val="145"/>
          <w:jc w:val="center"/>
        </w:trPr>
        <w:tc>
          <w:tcPr>
            <w:tcW w:w="1641" w:type="pct"/>
            <w:tcBorders>
              <w:top w:val="nil"/>
              <w:left w:val="single" w:sz="4" w:space="0" w:color="auto"/>
              <w:bottom w:val="nil"/>
              <w:right w:val="single" w:sz="4" w:space="0" w:color="auto"/>
            </w:tcBorders>
          </w:tcPr>
          <w:p w14:paraId="7F800A0F" w14:textId="662AA142" w:rsidR="006F6043" w:rsidRPr="00801AFD" w:rsidRDefault="006F6043" w:rsidP="00801AFD">
            <w:pPr>
              <w:pStyle w:val="C-TableText"/>
              <w:widowControl w:val="0"/>
              <w:jc w:val="both"/>
              <w:rPr>
                <w:sz w:val="22"/>
                <w:szCs w:val="22"/>
              </w:rPr>
            </w:pPr>
            <w:r w:rsidRPr="00801AFD">
              <w:rPr>
                <w:sz w:val="22"/>
                <w:szCs w:val="22"/>
              </w:rPr>
              <w:t>Hematurija ili hemoglobinurija</w:t>
            </w:r>
          </w:p>
        </w:tc>
        <w:tc>
          <w:tcPr>
            <w:tcW w:w="1328" w:type="pct"/>
            <w:tcBorders>
              <w:top w:val="nil"/>
              <w:left w:val="single" w:sz="4" w:space="0" w:color="auto"/>
              <w:bottom w:val="nil"/>
              <w:right w:val="single" w:sz="4" w:space="0" w:color="auto"/>
            </w:tcBorders>
          </w:tcPr>
          <w:p w14:paraId="6E0EF102" w14:textId="77777777" w:rsidR="006F6043" w:rsidRPr="00801AFD" w:rsidRDefault="006F6043" w:rsidP="00801AFD">
            <w:pPr>
              <w:pStyle w:val="C-TableText"/>
              <w:widowControl w:val="0"/>
              <w:jc w:val="both"/>
              <w:rPr>
                <w:sz w:val="22"/>
                <w:szCs w:val="22"/>
              </w:rPr>
            </w:pPr>
          </w:p>
        </w:tc>
        <w:tc>
          <w:tcPr>
            <w:tcW w:w="1021" w:type="pct"/>
            <w:tcBorders>
              <w:top w:val="nil"/>
              <w:left w:val="single" w:sz="4" w:space="0" w:color="auto"/>
              <w:bottom w:val="nil"/>
              <w:right w:val="single" w:sz="4" w:space="0" w:color="auto"/>
            </w:tcBorders>
          </w:tcPr>
          <w:p w14:paraId="4E40DAD4" w14:textId="77777777" w:rsidR="006F6043" w:rsidRPr="00801AFD" w:rsidRDefault="006F6043" w:rsidP="00801AFD">
            <w:pPr>
              <w:pStyle w:val="C-TableText"/>
              <w:widowControl w:val="0"/>
              <w:jc w:val="both"/>
              <w:rPr>
                <w:sz w:val="22"/>
                <w:szCs w:val="22"/>
              </w:rPr>
            </w:pPr>
            <w:r w:rsidRPr="00801AFD">
              <w:rPr>
                <w:sz w:val="22"/>
                <w:szCs w:val="22"/>
              </w:rPr>
              <w:t>81 (64.8)</w:t>
            </w:r>
          </w:p>
        </w:tc>
        <w:tc>
          <w:tcPr>
            <w:tcW w:w="1009" w:type="pct"/>
            <w:tcBorders>
              <w:top w:val="nil"/>
              <w:left w:val="single" w:sz="4" w:space="0" w:color="auto"/>
              <w:bottom w:val="nil"/>
              <w:right w:val="single" w:sz="4" w:space="0" w:color="auto"/>
            </w:tcBorders>
          </w:tcPr>
          <w:p w14:paraId="2917CFA8" w14:textId="77777777" w:rsidR="006F6043" w:rsidRPr="00801AFD" w:rsidRDefault="006F6043" w:rsidP="00801AFD">
            <w:pPr>
              <w:pStyle w:val="C-TableText"/>
              <w:widowControl w:val="0"/>
              <w:jc w:val="both"/>
              <w:rPr>
                <w:sz w:val="22"/>
                <w:szCs w:val="22"/>
              </w:rPr>
            </w:pPr>
            <w:r w:rsidRPr="00801AFD">
              <w:rPr>
                <w:sz w:val="22"/>
                <w:szCs w:val="22"/>
              </w:rPr>
              <w:t>75 (62.0)</w:t>
            </w:r>
          </w:p>
        </w:tc>
      </w:tr>
      <w:tr w:rsidR="006F6043" w:rsidRPr="00801AFD" w14:paraId="5D563B08" w14:textId="77777777" w:rsidTr="00961C31">
        <w:trPr>
          <w:trHeight w:val="145"/>
          <w:jc w:val="center"/>
        </w:trPr>
        <w:tc>
          <w:tcPr>
            <w:tcW w:w="1641" w:type="pct"/>
            <w:tcBorders>
              <w:top w:val="nil"/>
              <w:left w:val="single" w:sz="4" w:space="0" w:color="auto"/>
              <w:bottom w:val="nil"/>
              <w:right w:val="single" w:sz="4" w:space="0" w:color="auto"/>
            </w:tcBorders>
          </w:tcPr>
          <w:p w14:paraId="64B79992" w14:textId="0C795066" w:rsidR="006F6043" w:rsidRPr="00801AFD" w:rsidRDefault="006F6043" w:rsidP="00801AFD">
            <w:pPr>
              <w:pStyle w:val="C-TableText"/>
              <w:widowControl w:val="0"/>
              <w:jc w:val="both"/>
              <w:rPr>
                <w:sz w:val="22"/>
                <w:szCs w:val="22"/>
              </w:rPr>
            </w:pPr>
            <w:r w:rsidRPr="00801AFD">
              <w:rPr>
                <w:sz w:val="22"/>
                <w:szCs w:val="22"/>
              </w:rPr>
              <w:lastRenderedPageBreak/>
              <w:t>Aplastična anemija</w:t>
            </w:r>
          </w:p>
        </w:tc>
        <w:tc>
          <w:tcPr>
            <w:tcW w:w="1328" w:type="pct"/>
            <w:tcBorders>
              <w:top w:val="nil"/>
              <w:left w:val="single" w:sz="4" w:space="0" w:color="auto"/>
              <w:bottom w:val="nil"/>
              <w:right w:val="single" w:sz="4" w:space="0" w:color="auto"/>
            </w:tcBorders>
          </w:tcPr>
          <w:p w14:paraId="728B64A1" w14:textId="77777777" w:rsidR="006F6043" w:rsidRPr="00801AFD" w:rsidRDefault="006F6043" w:rsidP="00801AFD">
            <w:pPr>
              <w:pStyle w:val="C-TableText"/>
              <w:widowControl w:val="0"/>
              <w:jc w:val="both"/>
              <w:rPr>
                <w:sz w:val="22"/>
                <w:szCs w:val="22"/>
              </w:rPr>
            </w:pPr>
          </w:p>
        </w:tc>
        <w:tc>
          <w:tcPr>
            <w:tcW w:w="1021" w:type="pct"/>
            <w:tcBorders>
              <w:top w:val="nil"/>
              <w:left w:val="single" w:sz="4" w:space="0" w:color="auto"/>
              <w:bottom w:val="nil"/>
              <w:right w:val="single" w:sz="4" w:space="0" w:color="auto"/>
            </w:tcBorders>
          </w:tcPr>
          <w:p w14:paraId="68A07896" w14:textId="77777777" w:rsidR="006F6043" w:rsidRPr="00801AFD" w:rsidRDefault="006F6043" w:rsidP="00801AFD">
            <w:pPr>
              <w:pStyle w:val="C-TableText"/>
              <w:widowControl w:val="0"/>
              <w:jc w:val="both"/>
              <w:rPr>
                <w:sz w:val="22"/>
                <w:szCs w:val="22"/>
              </w:rPr>
            </w:pPr>
            <w:r w:rsidRPr="00801AFD">
              <w:rPr>
                <w:sz w:val="22"/>
                <w:szCs w:val="22"/>
              </w:rPr>
              <w:t>41 (32.8)</w:t>
            </w:r>
          </w:p>
        </w:tc>
        <w:tc>
          <w:tcPr>
            <w:tcW w:w="1009" w:type="pct"/>
            <w:tcBorders>
              <w:top w:val="nil"/>
              <w:left w:val="single" w:sz="4" w:space="0" w:color="auto"/>
              <w:bottom w:val="nil"/>
              <w:right w:val="single" w:sz="4" w:space="0" w:color="auto"/>
            </w:tcBorders>
          </w:tcPr>
          <w:p w14:paraId="6F3EF552" w14:textId="77777777" w:rsidR="006F6043" w:rsidRPr="00801AFD" w:rsidRDefault="006F6043" w:rsidP="00801AFD">
            <w:pPr>
              <w:pStyle w:val="C-TableText"/>
              <w:widowControl w:val="0"/>
              <w:jc w:val="both"/>
              <w:rPr>
                <w:sz w:val="22"/>
                <w:szCs w:val="22"/>
              </w:rPr>
            </w:pPr>
            <w:r w:rsidRPr="00801AFD">
              <w:rPr>
                <w:sz w:val="22"/>
                <w:szCs w:val="22"/>
              </w:rPr>
              <w:t>38 (31.4)</w:t>
            </w:r>
          </w:p>
        </w:tc>
      </w:tr>
      <w:tr w:rsidR="006F6043" w:rsidRPr="00801AFD" w14:paraId="6C24CDB0" w14:textId="77777777" w:rsidTr="00961C31">
        <w:trPr>
          <w:trHeight w:val="145"/>
          <w:jc w:val="center"/>
        </w:trPr>
        <w:tc>
          <w:tcPr>
            <w:tcW w:w="1641" w:type="pct"/>
            <w:tcBorders>
              <w:top w:val="nil"/>
              <w:left w:val="single" w:sz="4" w:space="0" w:color="auto"/>
              <w:bottom w:val="nil"/>
              <w:right w:val="single" w:sz="4" w:space="0" w:color="auto"/>
            </w:tcBorders>
          </w:tcPr>
          <w:p w14:paraId="50237FA4" w14:textId="250E105B" w:rsidR="006F6043" w:rsidRPr="00801AFD" w:rsidRDefault="006F6043" w:rsidP="00801AFD">
            <w:pPr>
              <w:pStyle w:val="C-TableText"/>
              <w:widowControl w:val="0"/>
              <w:jc w:val="both"/>
              <w:rPr>
                <w:sz w:val="22"/>
                <w:szCs w:val="22"/>
              </w:rPr>
            </w:pPr>
            <w:r w:rsidRPr="00801AFD">
              <w:rPr>
                <w:sz w:val="22"/>
                <w:szCs w:val="22"/>
              </w:rPr>
              <w:t>Insuficijencija bubrega</w:t>
            </w:r>
          </w:p>
        </w:tc>
        <w:tc>
          <w:tcPr>
            <w:tcW w:w="1328" w:type="pct"/>
            <w:tcBorders>
              <w:top w:val="nil"/>
              <w:left w:val="single" w:sz="4" w:space="0" w:color="auto"/>
              <w:bottom w:val="nil"/>
              <w:right w:val="single" w:sz="4" w:space="0" w:color="auto"/>
            </w:tcBorders>
          </w:tcPr>
          <w:p w14:paraId="7CE49955" w14:textId="77777777" w:rsidR="006F6043" w:rsidRPr="00801AFD" w:rsidRDefault="006F6043" w:rsidP="00801AFD">
            <w:pPr>
              <w:pStyle w:val="C-TableText"/>
              <w:widowControl w:val="0"/>
              <w:jc w:val="both"/>
              <w:rPr>
                <w:sz w:val="22"/>
                <w:szCs w:val="22"/>
              </w:rPr>
            </w:pPr>
          </w:p>
        </w:tc>
        <w:tc>
          <w:tcPr>
            <w:tcW w:w="1021" w:type="pct"/>
            <w:tcBorders>
              <w:top w:val="nil"/>
              <w:left w:val="single" w:sz="4" w:space="0" w:color="auto"/>
              <w:bottom w:val="nil"/>
              <w:right w:val="single" w:sz="4" w:space="0" w:color="auto"/>
            </w:tcBorders>
          </w:tcPr>
          <w:p w14:paraId="68DB3B27" w14:textId="77777777" w:rsidR="006F6043" w:rsidRPr="00801AFD" w:rsidRDefault="006F6043" w:rsidP="00801AFD">
            <w:pPr>
              <w:pStyle w:val="C-TableText"/>
              <w:widowControl w:val="0"/>
              <w:jc w:val="both"/>
              <w:rPr>
                <w:sz w:val="22"/>
                <w:szCs w:val="22"/>
              </w:rPr>
            </w:pPr>
            <w:r w:rsidRPr="00801AFD">
              <w:rPr>
                <w:sz w:val="22"/>
                <w:szCs w:val="22"/>
              </w:rPr>
              <w:t>19 (15.2)</w:t>
            </w:r>
          </w:p>
        </w:tc>
        <w:tc>
          <w:tcPr>
            <w:tcW w:w="1009" w:type="pct"/>
            <w:tcBorders>
              <w:top w:val="nil"/>
              <w:left w:val="single" w:sz="4" w:space="0" w:color="auto"/>
              <w:bottom w:val="nil"/>
              <w:right w:val="single" w:sz="4" w:space="0" w:color="auto"/>
            </w:tcBorders>
          </w:tcPr>
          <w:p w14:paraId="3D7928F3" w14:textId="77777777" w:rsidR="006F6043" w:rsidRPr="00801AFD" w:rsidRDefault="006F6043" w:rsidP="00801AFD">
            <w:pPr>
              <w:pStyle w:val="C-TableText"/>
              <w:widowControl w:val="0"/>
              <w:jc w:val="both"/>
              <w:rPr>
                <w:sz w:val="22"/>
                <w:szCs w:val="22"/>
              </w:rPr>
            </w:pPr>
            <w:r w:rsidRPr="00801AFD">
              <w:rPr>
                <w:sz w:val="22"/>
                <w:szCs w:val="22"/>
              </w:rPr>
              <w:t>11 (9.1)</w:t>
            </w:r>
          </w:p>
        </w:tc>
      </w:tr>
      <w:tr w:rsidR="006F6043" w:rsidRPr="00801AFD" w14:paraId="4F66C204" w14:textId="77777777" w:rsidTr="00961C31">
        <w:trPr>
          <w:trHeight w:val="145"/>
          <w:jc w:val="center"/>
        </w:trPr>
        <w:tc>
          <w:tcPr>
            <w:tcW w:w="1641" w:type="pct"/>
            <w:tcBorders>
              <w:top w:val="nil"/>
              <w:left w:val="single" w:sz="4" w:space="0" w:color="auto"/>
              <w:bottom w:val="nil"/>
              <w:right w:val="single" w:sz="4" w:space="0" w:color="auto"/>
            </w:tcBorders>
          </w:tcPr>
          <w:p w14:paraId="5AF3C9DA" w14:textId="2796287C" w:rsidR="006F6043" w:rsidRPr="00801AFD" w:rsidRDefault="006F6043" w:rsidP="00801AFD">
            <w:pPr>
              <w:pStyle w:val="C-TableText"/>
              <w:widowControl w:val="0"/>
              <w:jc w:val="both"/>
              <w:rPr>
                <w:sz w:val="22"/>
                <w:szCs w:val="22"/>
              </w:rPr>
            </w:pPr>
            <w:r w:rsidRPr="00801AFD">
              <w:rPr>
                <w:sz w:val="22"/>
                <w:szCs w:val="22"/>
              </w:rPr>
              <w:t>Mijelodisplastični sindrom</w:t>
            </w:r>
          </w:p>
        </w:tc>
        <w:tc>
          <w:tcPr>
            <w:tcW w:w="1328" w:type="pct"/>
            <w:tcBorders>
              <w:top w:val="nil"/>
              <w:left w:val="single" w:sz="4" w:space="0" w:color="auto"/>
              <w:bottom w:val="nil"/>
              <w:right w:val="single" w:sz="4" w:space="0" w:color="auto"/>
            </w:tcBorders>
          </w:tcPr>
          <w:p w14:paraId="5593A635" w14:textId="77777777" w:rsidR="006F6043" w:rsidRPr="00801AFD" w:rsidRDefault="006F6043" w:rsidP="00801AFD">
            <w:pPr>
              <w:pStyle w:val="C-TableText"/>
              <w:widowControl w:val="0"/>
              <w:jc w:val="both"/>
              <w:rPr>
                <w:sz w:val="22"/>
                <w:szCs w:val="22"/>
              </w:rPr>
            </w:pPr>
          </w:p>
        </w:tc>
        <w:tc>
          <w:tcPr>
            <w:tcW w:w="1021" w:type="pct"/>
            <w:tcBorders>
              <w:top w:val="nil"/>
              <w:left w:val="single" w:sz="4" w:space="0" w:color="auto"/>
              <w:bottom w:val="nil"/>
              <w:right w:val="single" w:sz="4" w:space="0" w:color="auto"/>
            </w:tcBorders>
          </w:tcPr>
          <w:p w14:paraId="1C5C1C51" w14:textId="77777777" w:rsidR="006F6043" w:rsidRPr="00801AFD" w:rsidRDefault="006F6043" w:rsidP="00801AFD">
            <w:pPr>
              <w:pStyle w:val="C-TableText"/>
              <w:widowControl w:val="0"/>
              <w:jc w:val="both"/>
              <w:rPr>
                <w:sz w:val="22"/>
                <w:szCs w:val="22"/>
              </w:rPr>
            </w:pPr>
            <w:r w:rsidRPr="00801AFD">
              <w:rPr>
                <w:sz w:val="22"/>
                <w:szCs w:val="22"/>
              </w:rPr>
              <w:t>7 (5.6)</w:t>
            </w:r>
          </w:p>
        </w:tc>
        <w:tc>
          <w:tcPr>
            <w:tcW w:w="1009" w:type="pct"/>
            <w:tcBorders>
              <w:top w:val="nil"/>
              <w:left w:val="single" w:sz="4" w:space="0" w:color="auto"/>
              <w:bottom w:val="nil"/>
              <w:right w:val="single" w:sz="4" w:space="0" w:color="auto"/>
            </w:tcBorders>
          </w:tcPr>
          <w:p w14:paraId="14B719D5" w14:textId="77777777" w:rsidR="006F6043" w:rsidRPr="00801AFD" w:rsidRDefault="006F6043" w:rsidP="00801AFD">
            <w:pPr>
              <w:pStyle w:val="C-TableText"/>
              <w:widowControl w:val="0"/>
              <w:jc w:val="both"/>
              <w:rPr>
                <w:sz w:val="22"/>
                <w:szCs w:val="22"/>
              </w:rPr>
            </w:pPr>
            <w:r w:rsidRPr="00801AFD">
              <w:rPr>
                <w:sz w:val="22"/>
                <w:szCs w:val="22"/>
              </w:rPr>
              <w:t>6 (5.0)</w:t>
            </w:r>
          </w:p>
        </w:tc>
      </w:tr>
      <w:tr w:rsidR="006F6043" w:rsidRPr="00801AFD" w14:paraId="18DEB012" w14:textId="77777777" w:rsidTr="00961C31">
        <w:trPr>
          <w:trHeight w:val="145"/>
          <w:jc w:val="center"/>
        </w:trPr>
        <w:tc>
          <w:tcPr>
            <w:tcW w:w="1641" w:type="pct"/>
            <w:tcBorders>
              <w:top w:val="nil"/>
              <w:left w:val="single" w:sz="4" w:space="0" w:color="auto"/>
              <w:bottom w:val="nil"/>
              <w:right w:val="single" w:sz="4" w:space="0" w:color="auto"/>
            </w:tcBorders>
          </w:tcPr>
          <w:p w14:paraId="342DF1CA" w14:textId="469BE414" w:rsidR="006F6043" w:rsidRPr="00801AFD" w:rsidRDefault="006F6043" w:rsidP="00801AFD">
            <w:pPr>
              <w:pStyle w:val="C-TableText"/>
              <w:widowControl w:val="0"/>
              <w:jc w:val="both"/>
              <w:rPr>
                <w:sz w:val="22"/>
                <w:szCs w:val="22"/>
              </w:rPr>
            </w:pPr>
            <w:r w:rsidRPr="00801AFD">
              <w:rPr>
                <w:sz w:val="22"/>
                <w:szCs w:val="22"/>
              </w:rPr>
              <w:t>Komplikacije trudnoće</w:t>
            </w:r>
          </w:p>
        </w:tc>
        <w:tc>
          <w:tcPr>
            <w:tcW w:w="1328" w:type="pct"/>
            <w:tcBorders>
              <w:top w:val="nil"/>
              <w:left w:val="single" w:sz="4" w:space="0" w:color="auto"/>
              <w:bottom w:val="nil"/>
              <w:right w:val="single" w:sz="4" w:space="0" w:color="auto"/>
            </w:tcBorders>
          </w:tcPr>
          <w:p w14:paraId="61A1A028" w14:textId="77777777" w:rsidR="006F6043" w:rsidRPr="00801AFD" w:rsidRDefault="006F6043" w:rsidP="00801AFD">
            <w:pPr>
              <w:pStyle w:val="C-TableText"/>
              <w:widowControl w:val="0"/>
              <w:jc w:val="both"/>
              <w:rPr>
                <w:sz w:val="22"/>
                <w:szCs w:val="22"/>
              </w:rPr>
            </w:pPr>
          </w:p>
        </w:tc>
        <w:tc>
          <w:tcPr>
            <w:tcW w:w="1021" w:type="pct"/>
            <w:tcBorders>
              <w:top w:val="nil"/>
              <w:left w:val="single" w:sz="4" w:space="0" w:color="auto"/>
              <w:bottom w:val="nil"/>
              <w:right w:val="single" w:sz="4" w:space="0" w:color="auto"/>
            </w:tcBorders>
          </w:tcPr>
          <w:p w14:paraId="108A0D34" w14:textId="77777777" w:rsidR="006F6043" w:rsidRPr="00801AFD" w:rsidRDefault="006F6043" w:rsidP="00801AFD">
            <w:pPr>
              <w:pStyle w:val="C-TableText"/>
              <w:widowControl w:val="0"/>
              <w:jc w:val="both"/>
              <w:rPr>
                <w:sz w:val="22"/>
                <w:szCs w:val="22"/>
              </w:rPr>
            </w:pPr>
            <w:r w:rsidRPr="00801AFD">
              <w:rPr>
                <w:sz w:val="22"/>
                <w:szCs w:val="22"/>
              </w:rPr>
              <w:t>3 (2.4)</w:t>
            </w:r>
          </w:p>
        </w:tc>
        <w:tc>
          <w:tcPr>
            <w:tcW w:w="1009" w:type="pct"/>
            <w:tcBorders>
              <w:top w:val="nil"/>
              <w:left w:val="single" w:sz="4" w:space="0" w:color="auto"/>
              <w:bottom w:val="nil"/>
              <w:right w:val="single" w:sz="4" w:space="0" w:color="auto"/>
            </w:tcBorders>
          </w:tcPr>
          <w:p w14:paraId="1B29423C" w14:textId="77777777" w:rsidR="006F6043" w:rsidRPr="00801AFD" w:rsidRDefault="006F6043" w:rsidP="00801AFD">
            <w:pPr>
              <w:pStyle w:val="C-TableText"/>
              <w:widowControl w:val="0"/>
              <w:jc w:val="both"/>
              <w:rPr>
                <w:sz w:val="22"/>
                <w:szCs w:val="22"/>
              </w:rPr>
            </w:pPr>
            <w:r w:rsidRPr="00801AFD">
              <w:rPr>
                <w:sz w:val="22"/>
                <w:szCs w:val="22"/>
              </w:rPr>
              <w:t>4 (3.3)</w:t>
            </w:r>
          </w:p>
        </w:tc>
      </w:tr>
      <w:tr w:rsidR="006F6043" w:rsidRPr="00801AFD" w14:paraId="326CA6D3" w14:textId="77777777" w:rsidTr="00961C31">
        <w:trPr>
          <w:trHeight w:val="145"/>
          <w:jc w:val="center"/>
        </w:trPr>
        <w:tc>
          <w:tcPr>
            <w:tcW w:w="1641" w:type="pct"/>
            <w:tcBorders>
              <w:top w:val="nil"/>
              <w:left w:val="single" w:sz="6" w:space="0" w:color="auto"/>
              <w:bottom w:val="single" w:sz="4" w:space="0" w:color="auto"/>
              <w:right w:val="single" w:sz="4" w:space="0" w:color="auto"/>
            </w:tcBorders>
          </w:tcPr>
          <w:p w14:paraId="321565D3" w14:textId="6589B498" w:rsidR="006F6043" w:rsidRPr="00801AFD" w:rsidRDefault="006F6043" w:rsidP="00801AFD">
            <w:pPr>
              <w:pStyle w:val="C-TableText"/>
              <w:widowControl w:val="0"/>
              <w:jc w:val="both"/>
              <w:rPr>
                <w:sz w:val="22"/>
                <w:szCs w:val="22"/>
              </w:rPr>
            </w:pPr>
            <w:r w:rsidRPr="00801AFD">
              <w:rPr>
                <w:sz w:val="22"/>
                <w:szCs w:val="22"/>
              </w:rPr>
              <w:t>Ostalo</w:t>
            </w:r>
            <w:r w:rsidRPr="00801AFD">
              <w:rPr>
                <w:sz w:val="22"/>
                <w:szCs w:val="22"/>
                <w:vertAlign w:val="superscript"/>
              </w:rPr>
              <w:t>b</w:t>
            </w:r>
          </w:p>
        </w:tc>
        <w:tc>
          <w:tcPr>
            <w:tcW w:w="1328" w:type="pct"/>
            <w:tcBorders>
              <w:top w:val="nil"/>
              <w:left w:val="single" w:sz="4" w:space="0" w:color="auto"/>
              <w:bottom w:val="single" w:sz="4" w:space="0" w:color="auto"/>
              <w:right w:val="single" w:sz="4" w:space="0" w:color="auto"/>
            </w:tcBorders>
          </w:tcPr>
          <w:p w14:paraId="79F02DD6" w14:textId="77777777" w:rsidR="006F6043" w:rsidRPr="00801AFD" w:rsidRDefault="006F6043" w:rsidP="00801AFD">
            <w:pPr>
              <w:pStyle w:val="C-TableText"/>
              <w:widowControl w:val="0"/>
              <w:jc w:val="both"/>
              <w:rPr>
                <w:sz w:val="22"/>
                <w:szCs w:val="22"/>
              </w:rPr>
            </w:pPr>
          </w:p>
        </w:tc>
        <w:tc>
          <w:tcPr>
            <w:tcW w:w="1021" w:type="pct"/>
            <w:tcBorders>
              <w:top w:val="nil"/>
              <w:left w:val="single" w:sz="4" w:space="0" w:color="auto"/>
              <w:bottom w:val="single" w:sz="4" w:space="0" w:color="auto"/>
              <w:right w:val="single" w:sz="4" w:space="0" w:color="auto"/>
            </w:tcBorders>
          </w:tcPr>
          <w:p w14:paraId="0E1B50F3" w14:textId="77777777" w:rsidR="006F6043" w:rsidRPr="00801AFD" w:rsidRDefault="006F6043" w:rsidP="00801AFD">
            <w:pPr>
              <w:pStyle w:val="C-TableText"/>
              <w:widowControl w:val="0"/>
              <w:jc w:val="both"/>
              <w:rPr>
                <w:sz w:val="22"/>
                <w:szCs w:val="22"/>
              </w:rPr>
            </w:pPr>
            <w:r w:rsidRPr="00801AFD">
              <w:rPr>
                <w:sz w:val="22"/>
                <w:szCs w:val="22"/>
              </w:rPr>
              <w:t>27 (21.6)</w:t>
            </w:r>
          </w:p>
        </w:tc>
        <w:tc>
          <w:tcPr>
            <w:tcW w:w="1009" w:type="pct"/>
            <w:tcBorders>
              <w:top w:val="nil"/>
              <w:left w:val="single" w:sz="4" w:space="0" w:color="auto"/>
              <w:bottom w:val="single" w:sz="4" w:space="0" w:color="auto"/>
              <w:right w:val="single" w:sz="4" w:space="0" w:color="auto"/>
            </w:tcBorders>
          </w:tcPr>
          <w:p w14:paraId="48FD2476" w14:textId="77777777" w:rsidR="006F6043" w:rsidRPr="00801AFD" w:rsidRDefault="006F6043" w:rsidP="00801AFD">
            <w:pPr>
              <w:pStyle w:val="C-TableText"/>
              <w:widowControl w:val="0"/>
              <w:jc w:val="both"/>
              <w:rPr>
                <w:sz w:val="22"/>
                <w:szCs w:val="22"/>
              </w:rPr>
            </w:pPr>
            <w:r w:rsidRPr="00801AFD">
              <w:rPr>
                <w:sz w:val="22"/>
                <w:szCs w:val="22"/>
              </w:rPr>
              <w:t>13 (10.7)</w:t>
            </w:r>
          </w:p>
        </w:tc>
      </w:tr>
    </w:tbl>
    <w:p w14:paraId="0D48ABF8" w14:textId="77777777" w:rsidR="006F6043" w:rsidRPr="00961C31" w:rsidRDefault="006F6043" w:rsidP="00801AFD">
      <w:pPr>
        <w:widowControl w:val="0"/>
        <w:jc w:val="both"/>
        <w:rPr>
          <w:color w:val="000000"/>
          <w:sz w:val="20"/>
          <w:szCs w:val="22"/>
          <w:lang w:val="sr-Latn-ME"/>
        </w:rPr>
      </w:pPr>
      <w:r w:rsidRPr="00961C31">
        <w:rPr>
          <w:color w:val="000000"/>
          <w:sz w:val="20"/>
          <w:szCs w:val="22"/>
          <w:lang w:val="sr-Latn-ME"/>
        </w:rPr>
        <w:t>a Na osnovu istorije bolesti.</w:t>
      </w:r>
    </w:p>
    <w:p w14:paraId="37FA0F3A" w14:textId="7E34661E" w:rsidR="006F6043" w:rsidRPr="00961C31" w:rsidRDefault="006B0139" w:rsidP="00801AFD">
      <w:pPr>
        <w:widowControl w:val="0"/>
        <w:jc w:val="both"/>
        <w:rPr>
          <w:color w:val="000000"/>
          <w:sz w:val="20"/>
          <w:szCs w:val="22"/>
          <w:lang w:val="sr-Latn-ME"/>
        </w:rPr>
      </w:pPr>
      <w:r w:rsidRPr="00961C31">
        <w:rPr>
          <w:color w:val="000000"/>
          <w:sz w:val="20"/>
          <w:szCs w:val="22"/>
          <w:lang w:val="sr-Latn-ME"/>
        </w:rPr>
        <w:t>b</w:t>
      </w:r>
      <w:r w:rsidR="006F6043" w:rsidRPr="00961C31">
        <w:rPr>
          <w:color w:val="000000"/>
          <w:sz w:val="20"/>
          <w:szCs w:val="22"/>
          <w:lang w:val="sr-Latn-ME"/>
        </w:rPr>
        <w:t xml:space="preserve"> "Ostalo" prema izv</w:t>
      </w:r>
      <w:r w:rsidRPr="00961C31">
        <w:rPr>
          <w:color w:val="000000"/>
          <w:sz w:val="20"/>
          <w:szCs w:val="22"/>
          <w:lang w:val="sr-Latn-ME"/>
        </w:rPr>
        <w:t>j</w:t>
      </w:r>
      <w:r w:rsidR="006F6043" w:rsidRPr="00961C31">
        <w:rPr>
          <w:color w:val="000000"/>
          <w:sz w:val="20"/>
          <w:szCs w:val="22"/>
          <w:lang w:val="sr-Latn-ME"/>
        </w:rPr>
        <w:t>eštaju o slučaju uključuje trombocitopeniju, hroničnu bolest bubrega i pancitopeniju, kao i nekoliko drugih stanja.</w:t>
      </w:r>
    </w:p>
    <w:p w14:paraId="0F26FE83" w14:textId="77777777" w:rsidR="006F6043" w:rsidRPr="00801AFD" w:rsidRDefault="006F6043" w:rsidP="00801AFD">
      <w:pPr>
        <w:widowControl w:val="0"/>
        <w:jc w:val="both"/>
        <w:rPr>
          <w:color w:val="000000"/>
          <w:sz w:val="22"/>
          <w:szCs w:val="22"/>
          <w:lang w:val="sr-Latn-ME"/>
        </w:rPr>
      </w:pPr>
    </w:p>
    <w:p w14:paraId="65FEA448" w14:textId="24FBC42A" w:rsidR="006F6043" w:rsidRPr="00801AFD" w:rsidRDefault="006F6043" w:rsidP="00801AFD">
      <w:pPr>
        <w:widowControl w:val="0"/>
        <w:jc w:val="both"/>
        <w:rPr>
          <w:color w:val="000000"/>
          <w:sz w:val="22"/>
          <w:szCs w:val="22"/>
          <w:lang w:val="sr-Latn-ME"/>
        </w:rPr>
      </w:pPr>
      <w:r w:rsidRPr="00801AFD">
        <w:rPr>
          <w:color w:val="000000"/>
          <w:sz w:val="22"/>
          <w:szCs w:val="22"/>
          <w:lang w:val="sr-Latn-ME"/>
        </w:rPr>
        <w:t>Mjere koprimarnog ishoda su bile izbjegavanje transfuzije i hemolize na osnovu direktnog mjerenja normalizacije nivoa LDH (nivoi LDH ≤ 1 × GGN, sa GGN za LDH 246 U/l). Ključne mjere sekundarnog ishoda uključivale su procenat promjene nivoa LDH u odnosu na početne vrijednosti, promjene u kvalitetu života (FACIT-umor), procenat pacijenata sa probojnom hemolizom i procenat pacijenata sa stabilizovanim hemoglobinom.</w:t>
      </w:r>
    </w:p>
    <w:p w14:paraId="74F13CF0" w14:textId="77777777" w:rsidR="006F6043" w:rsidRPr="00801AFD" w:rsidRDefault="006F6043" w:rsidP="00801AFD">
      <w:pPr>
        <w:widowControl w:val="0"/>
        <w:jc w:val="both"/>
        <w:rPr>
          <w:color w:val="000000"/>
          <w:sz w:val="22"/>
          <w:szCs w:val="22"/>
          <w:lang w:val="sr-Latn-ME"/>
        </w:rPr>
      </w:pPr>
    </w:p>
    <w:p w14:paraId="65BBBAC5" w14:textId="416C8100" w:rsidR="006F6043" w:rsidRPr="00801AFD" w:rsidRDefault="006F6043" w:rsidP="00801AFD">
      <w:pPr>
        <w:widowControl w:val="0"/>
        <w:jc w:val="both"/>
        <w:rPr>
          <w:color w:val="000000"/>
          <w:sz w:val="22"/>
          <w:szCs w:val="22"/>
          <w:lang w:val="sr-Latn-ME"/>
        </w:rPr>
      </w:pPr>
      <w:r w:rsidRPr="00801AFD">
        <w:rPr>
          <w:color w:val="000000"/>
          <w:sz w:val="22"/>
          <w:szCs w:val="22"/>
          <w:lang w:val="sr-Latn-ME"/>
        </w:rPr>
        <w:t>Ravulizumab je bio neinferioran u odnosu na ekulizumab u ob</w:t>
      </w:r>
      <w:r w:rsidR="006B0139" w:rsidRPr="00801AFD">
        <w:rPr>
          <w:color w:val="000000"/>
          <w:sz w:val="22"/>
          <w:szCs w:val="22"/>
          <w:lang w:val="sr-Latn-ME"/>
        </w:rPr>
        <w:t>i</w:t>
      </w:r>
      <w:r w:rsidRPr="00801AFD">
        <w:rPr>
          <w:color w:val="000000"/>
          <w:sz w:val="22"/>
          <w:szCs w:val="22"/>
          <w:lang w:val="sr-Latn-ME"/>
        </w:rPr>
        <w:t xml:space="preserve">je mjere koprimarnog ishoda, izbjegavanju transfuzije koncentrata eritrocita u skladu sa smjernicama utvrđenih planom i normalizaciji LDH od 29. do 183. dana, i u sve 4 ključne sekundarne mjere ishoda (slika 1). </w:t>
      </w:r>
    </w:p>
    <w:p w14:paraId="6DF913DF" w14:textId="77777777" w:rsidR="006F6043" w:rsidRPr="00801AFD" w:rsidRDefault="006F6043" w:rsidP="00801AFD">
      <w:pPr>
        <w:widowControl w:val="0"/>
        <w:jc w:val="both"/>
        <w:rPr>
          <w:b/>
          <w:bCs/>
          <w:color w:val="000000"/>
          <w:sz w:val="22"/>
          <w:szCs w:val="22"/>
          <w:lang w:val="sr-Latn-ME"/>
        </w:rPr>
      </w:pPr>
    </w:p>
    <w:p w14:paraId="077C38F8" w14:textId="77777777" w:rsidR="006F6043" w:rsidRPr="00801AFD" w:rsidRDefault="006F6043" w:rsidP="00801AFD">
      <w:pPr>
        <w:widowControl w:val="0"/>
        <w:jc w:val="both"/>
        <w:rPr>
          <w:b/>
          <w:bCs/>
          <w:color w:val="000000"/>
          <w:sz w:val="22"/>
          <w:szCs w:val="22"/>
          <w:lang w:val="sr-Latn-ME"/>
        </w:rPr>
      </w:pPr>
      <w:r w:rsidRPr="00801AFD">
        <w:rPr>
          <w:b/>
          <w:bCs/>
          <w:color w:val="000000"/>
          <w:sz w:val="22"/>
          <w:szCs w:val="22"/>
          <w:lang w:val="sr-Latn-ME"/>
        </w:rPr>
        <w:t>Slika 1: Analiza mjera koprimarnih i sekundarnih ishoda - kompletan set podataka za analizu (studija u kojoj pacijenti prethodno nijesu primili inhibitor sistema komplementa)</w:t>
      </w:r>
    </w:p>
    <w:p w14:paraId="43A22563" w14:textId="77777777" w:rsidR="006F6043" w:rsidRPr="00801AFD" w:rsidRDefault="006F6043" w:rsidP="00801AFD">
      <w:pPr>
        <w:widowControl w:val="0"/>
        <w:jc w:val="both"/>
        <w:rPr>
          <w:color w:val="000000"/>
          <w:sz w:val="22"/>
          <w:szCs w:val="22"/>
          <w:lang w:val="sr-Latn-ME"/>
        </w:rPr>
      </w:pPr>
    </w:p>
    <w:p w14:paraId="3178D62C" w14:textId="491C3251" w:rsidR="00887E44" w:rsidRPr="00801AFD" w:rsidRDefault="00887E44" w:rsidP="00801AFD">
      <w:pPr>
        <w:pStyle w:val="Default"/>
        <w:widowControl w:val="0"/>
        <w:jc w:val="both"/>
        <w:rPr>
          <w:sz w:val="22"/>
          <w:szCs w:val="22"/>
          <w:lang w:val="sr-Latn-ME"/>
        </w:rPr>
      </w:pPr>
      <w:r w:rsidRPr="00801AFD">
        <w:rPr>
          <w:sz w:val="22"/>
          <w:szCs w:val="22"/>
          <w:lang w:val="sr-Latn-ME"/>
        </w:rPr>
        <w:drawing>
          <wp:inline distT="0" distB="0" distL="0" distR="0" wp14:anchorId="59C31FEC" wp14:editId="4A6E9D4D">
            <wp:extent cx="5761355" cy="3094355"/>
            <wp:effectExtent l="0" t="0" r="0" b="0"/>
            <wp:docPr id="3" name="Picture 3" descr="A picture containing text, receipt, screensho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receipt, screenshot, numb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61355" cy="3094355"/>
                    </a:xfrm>
                    <a:prstGeom prst="rect">
                      <a:avLst/>
                    </a:prstGeom>
                  </pic:spPr>
                </pic:pic>
              </a:graphicData>
            </a:graphic>
          </wp:inline>
        </w:drawing>
      </w:r>
    </w:p>
    <w:p w14:paraId="3FF368FB" w14:textId="74D2FBCC" w:rsidR="00887E44" w:rsidRPr="00801AFD" w:rsidRDefault="00887E44" w:rsidP="00801AFD">
      <w:pPr>
        <w:pStyle w:val="Default"/>
        <w:widowControl w:val="0"/>
        <w:jc w:val="both"/>
        <w:rPr>
          <w:sz w:val="22"/>
          <w:szCs w:val="22"/>
          <w:lang w:val="sr-Latn-ME"/>
        </w:rPr>
      </w:pPr>
    </w:p>
    <w:p w14:paraId="1924ABA8" w14:textId="224C26F8" w:rsidR="006F6043" w:rsidRPr="00961C31" w:rsidRDefault="006F6043" w:rsidP="00801AFD">
      <w:pPr>
        <w:pStyle w:val="Default"/>
        <w:widowControl w:val="0"/>
        <w:jc w:val="both"/>
        <w:rPr>
          <w:sz w:val="20"/>
          <w:szCs w:val="22"/>
          <w:lang w:val="sr-Latn-ME"/>
        </w:rPr>
      </w:pPr>
      <w:r w:rsidRPr="00961C31">
        <w:rPr>
          <w:sz w:val="20"/>
          <w:szCs w:val="22"/>
          <w:lang w:val="sr-Latn-ME"/>
        </w:rPr>
        <w:t xml:space="preserve">Napomena: Crni trougao pokazuje granice neinferiornosti, a sive tačke predstavljaju procjene. </w:t>
      </w:r>
    </w:p>
    <w:p w14:paraId="2EDA1131" w14:textId="77777777" w:rsidR="006F6043" w:rsidRPr="00961C31" w:rsidRDefault="006F6043" w:rsidP="00801AFD">
      <w:pPr>
        <w:pStyle w:val="Default"/>
        <w:widowControl w:val="0"/>
        <w:jc w:val="both"/>
        <w:rPr>
          <w:sz w:val="20"/>
          <w:szCs w:val="22"/>
          <w:lang w:val="sr-Latn-ME"/>
        </w:rPr>
      </w:pPr>
      <w:r w:rsidRPr="00961C31">
        <w:rPr>
          <w:sz w:val="20"/>
          <w:szCs w:val="22"/>
          <w:lang w:val="sr-Latn-ME"/>
        </w:rPr>
        <w:t xml:space="preserve">Napomena: LDH = laktat dehidrogenaza; CI = interval pouzdanosti; FACIT = funkcionalna procjena terapije hronične bolesti (engl. </w:t>
      </w:r>
      <w:r w:rsidRPr="00961C31">
        <w:rPr>
          <w:i/>
          <w:iCs/>
          <w:sz w:val="20"/>
          <w:szCs w:val="22"/>
          <w:lang w:val="sr-Latn-ME"/>
        </w:rPr>
        <w:t>Functional Assessment of Chronic Illness Therapy</w:t>
      </w:r>
      <w:r w:rsidRPr="00961C31">
        <w:rPr>
          <w:sz w:val="20"/>
          <w:szCs w:val="22"/>
          <w:lang w:val="sr-Latn-ME"/>
        </w:rPr>
        <w:t xml:space="preserve">). </w:t>
      </w:r>
    </w:p>
    <w:p w14:paraId="7ED25160" w14:textId="77777777" w:rsidR="006F6043" w:rsidRPr="00801AFD" w:rsidRDefault="006F6043" w:rsidP="00801AFD">
      <w:pPr>
        <w:pStyle w:val="Default"/>
        <w:widowControl w:val="0"/>
        <w:jc w:val="both"/>
        <w:rPr>
          <w:sz w:val="22"/>
          <w:szCs w:val="22"/>
          <w:lang w:val="sr-Latn-ME"/>
        </w:rPr>
      </w:pPr>
    </w:p>
    <w:p w14:paraId="4493D976" w14:textId="382E7049" w:rsidR="008A435D" w:rsidRPr="00801AFD" w:rsidRDefault="008A435D" w:rsidP="00801AFD">
      <w:pPr>
        <w:pStyle w:val="Default"/>
        <w:widowControl w:val="0"/>
        <w:jc w:val="both"/>
        <w:rPr>
          <w:sz w:val="22"/>
          <w:szCs w:val="22"/>
          <w:lang w:val="sr-Latn-ME"/>
        </w:rPr>
      </w:pPr>
      <w:r w:rsidRPr="00801AFD">
        <w:rPr>
          <w:sz w:val="22"/>
          <w:szCs w:val="22"/>
          <w:lang w:val="sr-Latn-ME"/>
        </w:rPr>
        <w:t xml:space="preserve">Završna analiza efikasnosti postignute u ispitivanju uključila je sve bolesnike koji su ikada bili liječeni ravulizumabom (n = 244) i kojima je medijan trajanja liječenja iznosio 1423 dana. Završna analiza potvrdila je da su se odgovori na liječenje ravulizumabom primijećeni u </w:t>
      </w:r>
      <w:r w:rsidR="00903D56" w:rsidRPr="00801AFD">
        <w:rPr>
          <w:sz w:val="22"/>
          <w:szCs w:val="22"/>
          <w:lang w:val="sr-Latn-ME"/>
        </w:rPr>
        <w:t>periodu</w:t>
      </w:r>
      <w:r w:rsidRPr="00801AFD">
        <w:rPr>
          <w:sz w:val="22"/>
          <w:szCs w:val="22"/>
          <w:lang w:val="sr-Latn-ME"/>
        </w:rPr>
        <w:t xml:space="preserve"> primarne procjene </w:t>
      </w:r>
      <w:r w:rsidR="00903D56" w:rsidRPr="00801AFD">
        <w:rPr>
          <w:sz w:val="22"/>
          <w:szCs w:val="22"/>
          <w:lang w:val="sr-Latn-ME"/>
        </w:rPr>
        <w:t>zadržali</w:t>
      </w:r>
      <w:r w:rsidRPr="00801AFD">
        <w:rPr>
          <w:sz w:val="22"/>
          <w:szCs w:val="22"/>
          <w:lang w:val="sr-Latn-ME"/>
        </w:rPr>
        <w:t xml:space="preserve"> </w:t>
      </w:r>
      <w:r w:rsidR="00903D56" w:rsidRPr="00801AFD">
        <w:rPr>
          <w:sz w:val="22"/>
          <w:szCs w:val="22"/>
          <w:lang w:val="sr-Latn-ME"/>
        </w:rPr>
        <w:t>tokom</w:t>
      </w:r>
      <w:r w:rsidRPr="00801AFD">
        <w:rPr>
          <w:sz w:val="22"/>
          <w:szCs w:val="22"/>
          <w:lang w:val="sr-Latn-ME"/>
        </w:rPr>
        <w:t xml:space="preserve"> cijelog trajanja ispitivanja.</w:t>
      </w:r>
    </w:p>
    <w:p w14:paraId="6FE15066" w14:textId="77777777" w:rsidR="008A435D" w:rsidRPr="00801AFD" w:rsidRDefault="008A435D" w:rsidP="00801AFD">
      <w:pPr>
        <w:pStyle w:val="Default"/>
        <w:widowControl w:val="0"/>
        <w:jc w:val="both"/>
        <w:rPr>
          <w:sz w:val="22"/>
          <w:szCs w:val="22"/>
          <w:lang w:val="sr-Latn-ME"/>
        </w:rPr>
      </w:pPr>
    </w:p>
    <w:p w14:paraId="6588C224" w14:textId="749D22CA" w:rsidR="006F6043" w:rsidRPr="00801AFD" w:rsidRDefault="006F6043" w:rsidP="00801AFD">
      <w:pPr>
        <w:pStyle w:val="Default"/>
        <w:widowControl w:val="0"/>
        <w:jc w:val="both"/>
        <w:rPr>
          <w:sz w:val="22"/>
          <w:szCs w:val="22"/>
          <w:u w:val="single"/>
          <w:lang w:val="sr-Latn-ME"/>
        </w:rPr>
      </w:pPr>
      <w:r w:rsidRPr="00801AFD">
        <w:rPr>
          <w:i/>
          <w:iCs/>
          <w:sz w:val="22"/>
          <w:szCs w:val="22"/>
          <w:u w:val="single"/>
          <w:lang w:val="sr-Latn-ME"/>
        </w:rPr>
        <w:t>Studija kod</w:t>
      </w:r>
      <w:r w:rsidR="00EF0C21" w:rsidRPr="00801AFD">
        <w:rPr>
          <w:i/>
          <w:iCs/>
          <w:sz w:val="22"/>
          <w:szCs w:val="22"/>
          <w:u w:val="single"/>
          <w:lang w:val="sr-Latn-ME"/>
        </w:rPr>
        <w:t xml:space="preserve"> odraslih</w:t>
      </w:r>
      <w:r w:rsidRPr="00801AFD">
        <w:rPr>
          <w:i/>
          <w:iCs/>
          <w:sz w:val="22"/>
          <w:szCs w:val="22"/>
          <w:u w:val="single"/>
          <w:lang w:val="sr-Latn-ME"/>
        </w:rPr>
        <w:t xml:space="preserve"> pacijenata sa PNH</w:t>
      </w:r>
      <w:r w:rsidR="006B0139" w:rsidRPr="00801AFD">
        <w:rPr>
          <w:i/>
          <w:iCs/>
          <w:sz w:val="22"/>
          <w:szCs w:val="22"/>
          <w:u w:val="single"/>
          <w:lang w:val="sr-Latn-ME"/>
        </w:rPr>
        <w:t>-om</w:t>
      </w:r>
      <w:r w:rsidRPr="00801AFD">
        <w:rPr>
          <w:i/>
          <w:iCs/>
          <w:sz w:val="22"/>
          <w:szCs w:val="22"/>
          <w:u w:val="single"/>
          <w:lang w:val="sr-Latn-ME"/>
        </w:rPr>
        <w:t xml:space="preserve"> prethodno liječenih ekulizumabom </w:t>
      </w:r>
      <w:r w:rsidR="00AE5148" w:rsidRPr="00801AFD">
        <w:rPr>
          <w:i/>
          <w:iCs/>
          <w:sz w:val="22"/>
          <w:szCs w:val="22"/>
          <w:u w:val="single"/>
          <w:lang w:val="sr-Latn-ME"/>
        </w:rPr>
        <w:t>(ALXN1210-PNH-302)</w:t>
      </w:r>
    </w:p>
    <w:p w14:paraId="4A8CB911" w14:textId="1BB9FB35" w:rsidR="006F6043" w:rsidRPr="00801AFD" w:rsidRDefault="006F6043" w:rsidP="00801AFD">
      <w:pPr>
        <w:widowControl w:val="0"/>
        <w:jc w:val="both"/>
        <w:rPr>
          <w:color w:val="000000"/>
          <w:sz w:val="22"/>
          <w:szCs w:val="22"/>
          <w:lang w:val="sr-Latn-ME"/>
        </w:rPr>
      </w:pPr>
      <w:r w:rsidRPr="00801AFD">
        <w:rPr>
          <w:color w:val="000000"/>
          <w:sz w:val="22"/>
          <w:szCs w:val="22"/>
          <w:lang w:val="sr-Latn-ME"/>
        </w:rPr>
        <w:t>Studija kod pacijenata koji su prethodno primali ekulizumab bila je 26-nedjeljna, multicentrična, otvorena, randomizovana studija faze III sa aktivnom kontrolom i obuhvatila je 195 pacijenata sa PNH koji su bili klinički stabilni (LDH ≤ 1,5 × GGN) nakon liječenja ekulizumabom najmanje proteklih 6 mjeseci.</w:t>
      </w:r>
      <w:r w:rsidR="00903D56" w:rsidRPr="00801AFD">
        <w:rPr>
          <w:lang w:val="sr-Latn-ME"/>
        </w:rPr>
        <w:t xml:space="preserve"> </w:t>
      </w:r>
      <w:r w:rsidR="00903D56" w:rsidRPr="00801AFD">
        <w:rPr>
          <w:color w:val="000000"/>
          <w:sz w:val="22"/>
          <w:szCs w:val="22"/>
          <w:lang w:val="sr-Latn-ME"/>
        </w:rPr>
        <w:t>Nakon studije uslijedio je dugoročni nastavak ispitivanja, u kom su svi pacijenti primali ravulizumab.</w:t>
      </w:r>
    </w:p>
    <w:p w14:paraId="13A4A0CA" w14:textId="77777777" w:rsidR="006F6043" w:rsidRPr="00801AFD" w:rsidRDefault="006F6043" w:rsidP="00801AFD">
      <w:pPr>
        <w:widowControl w:val="0"/>
        <w:jc w:val="both"/>
        <w:rPr>
          <w:color w:val="000000"/>
          <w:sz w:val="22"/>
          <w:szCs w:val="22"/>
          <w:lang w:val="sr-Latn-ME"/>
        </w:rPr>
      </w:pPr>
    </w:p>
    <w:p w14:paraId="2DB9102B" w14:textId="56C6272B" w:rsidR="006F6043" w:rsidRPr="00801AFD" w:rsidRDefault="006F6043" w:rsidP="00801AFD">
      <w:pPr>
        <w:widowControl w:val="0"/>
        <w:jc w:val="both"/>
        <w:rPr>
          <w:color w:val="000000"/>
          <w:sz w:val="22"/>
          <w:szCs w:val="22"/>
          <w:lang w:val="sr-Latn-ME"/>
        </w:rPr>
      </w:pPr>
      <w:r w:rsidRPr="00801AFD">
        <w:rPr>
          <w:color w:val="000000"/>
          <w:sz w:val="22"/>
          <w:szCs w:val="22"/>
          <w:lang w:val="sr-Latn-ME"/>
        </w:rPr>
        <w:t>Grupe ravulizumaba i ekulizumaba imale su sličnu istoriju PNH</w:t>
      </w:r>
      <w:r w:rsidR="00772E5E" w:rsidRPr="00801AFD">
        <w:rPr>
          <w:color w:val="000000"/>
          <w:sz w:val="22"/>
          <w:szCs w:val="22"/>
          <w:lang w:val="sr-Latn-ME"/>
        </w:rPr>
        <w:t>-a</w:t>
      </w:r>
      <w:r w:rsidRPr="00801AFD">
        <w:rPr>
          <w:color w:val="000000"/>
          <w:sz w:val="22"/>
          <w:szCs w:val="22"/>
          <w:lang w:val="sr-Latn-ME"/>
        </w:rPr>
        <w:t>. Primjena transfuzije u prethodnih 12 mjeseci bila je slična u grupi koja je primala ravulizumab i u grupi koja je primala ekulizumab, a više od 87% pacijenata u ob</w:t>
      </w:r>
      <w:r w:rsidR="005727AA" w:rsidRPr="00801AFD">
        <w:rPr>
          <w:color w:val="000000"/>
          <w:sz w:val="22"/>
          <w:szCs w:val="22"/>
          <w:lang w:val="sr-Latn-ME"/>
        </w:rPr>
        <w:t>i</w:t>
      </w:r>
      <w:r w:rsidRPr="00801AFD">
        <w:rPr>
          <w:color w:val="000000"/>
          <w:sz w:val="22"/>
          <w:szCs w:val="22"/>
          <w:lang w:val="sr-Latn-ME"/>
        </w:rPr>
        <w:t>je liječene grupe nije primilo transfuziju u roku od 12 mjeseci prije uključivanja u studiju. Prosječan ukupan broj PNH klon eritrocita iznosio je 60,05%, ukupan broj PNH klon granulocita 83.30%, a ukupan broj PNH klon monocita 85,86%.</w:t>
      </w:r>
    </w:p>
    <w:p w14:paraId="2FAE1099" w14:textId="77777777" w:rsidR="006F6043" w:rsidRPr="00801AFD" w:rsidRDefault="006F6043" w:rsidP="00801AFD">
      <w:pPr>
        <w:widowControl w:val="0"/>
        <w:jc w:val="both"/>
        <w:rPr>
          <w:color w:val="000000"/>
          <w:sz w:val="22"/>
          <w:szCs w:val="22"/>
          <w:lang w:val="sr-Latn-ME"/>
        </w:rPr>
      </w:pPr>
    </w:p>
    <w:p w14:paraId="43BF824B" w14:textId="5F076FCA" w:rsidR="006F6043" w:rsidRPr="00801AFD" w:rsidRDefault="006F6043" w:rsidP="00801AFD">
      <w:pPr>
        <w:widowControl w:val="0"/>
        <w:jc w:val="both"/>
        <w:rPr>
          <w:sz w:val="22"/>
          <w:szCs w:val="22"/>
          <w:lang w:val="sr-Latn-ME"/>
        </w:rPr>
      </w:pPr>
      <w:r w:rsidRPr="00801AFD">
        <w:rPr>
          <w:color w:val="000000"/>
          <w:sz w:val="22"/>
          <w:szCs w:val="22"/>
          <w:lang w:val="sr-Latn-ME"/>
        </w:rPr>
        <w:t xml:space="preserve">Tabela </w:t>
      </w:r>
      <w:r w:rsidR="00AE5148" w:rsidRPr="00801AFD">
        <w:rPr>
          <w:color w:val="000000"/>
          <w:sz w:val="22"/>
          <w:szCs w:val="22"/>
          <w:lang w:val="sr-Latn-ME"/>
        </w:rPr>
        <w:t>12</w:t>
      </w:r>
      <w:r w:rsidRPr="00801AFD">
        <w:rPr>
          <w:color w:val="000000"/>
          <w:sz w:val="22"/>
          <w:szCs w:val="22"/>
          <w:lang w:val="sr-Latn-ME"/>
        </w:rPr>
        <w:t>: Prikazuje početne karakteristike pacijenata sa PNH uključenih u studiju kod pacijenata koji su prethodno primali ekulizumab. Nije bilo klinički značajnih razlika između grupa liječenja</w:t>
      </w:r>
      <w:r w:rsidRPr="00801AFD">
        <w:rPr>
          <w:sz w:val="22"/>
          <w:szCs w:val="22"/>
          <w:lang w:val="sr-Latn-ME"/>
        </w:rPr>
        <w:t>.</w:t>
      </w:r>
    </w:p>
    <w:p w14:paraId="24F64061" w14:textId="77777777" w:rsidR="006F6043" w:rsidRPr="00801AFD" w:rsidRDefault="006F6043" w:rsidP="00801AFD">
      <w:pPr>
        <w:widowControl w:val="0"/>
        <w:jc w:val="both"/>
        <w:rPr>
          <w:sz w:val="22"/>
          <w:szCs w:val="22"/>
          <w:lang w:val="sr-Latn-ME"/>
        </w:rPr>
      </w:pPr>
    </w:p>
    <w:p w14:paraId="16108782" w14:textId="3B587705" w:rsidR="006F6043" w:rsidRPr="00801AFD" w:rsidRDefault="006F6043" w:rsidP="00801AFD">
      <w:pPr>
        <w:widowControl w:val="0"/>
        <w:jc w:val="both"/>
        <w:rPr>
          <w:b/>
          <w:bCs/>
          <w:sz w:val="22"/>
          <w:szCs w:val="22"/>
          <w:lang w:val="sr-Latn-ME"/>
        </w:rPr>
      </w:pPr>
      <w:r w:rsidRPr="00801AFD">
        <w:rPr>
          <w:b/>
          <w:bCs/>
          <w:sz w:val="22"/>
          <w:szCs w:val="22"/>
          <w:lang w:val="sr-Latn-ME"/>
        </w:rPr>
        <w:t xml:space="preserve">Tabela </w:t>
      </w:r>
      <w:r w:rsidR="00AE5148" w:rsidRPr="00801AFD">
        <w:rPr>
          <w:b/>
          <w:bCs/>
          <w:sz w:val="22"/>
          <w:szCs w:val="22"/>
          <w:lang w:val="sr-Latn-ME"/>
        </w:rPr>
        <w:t>12</w:t>
      </w:r>
      <w:r w:rsidRPr="00801AFD">
        <w:rPr>
          <w:b/>
          <w:bCs/>
          <w:sz w:val="22"/>
          <w:szCs w:val="22"/>
          <w:lang w:val="sr-Latn-ME"/>
        </w:rPr>
        <w:t xml:space="preserve">: Karakteristike pacijenata na početku studije </w:t>
      </w:r>
      <w:r w:rsidRPr="00801AFD">
        <w:rPr>
          <w:b/>
          <w:bCs/>
          <w:color w:val="000000"/>
          <w:sz w:val="22"/>
          <w:szCs w:val="22"/>
          <w:lang w:val="sr-Latn-ME"/>
        </w:rPr>
        <w:t xml:space="preserve">u kojoj </w:t>
      </w:r>
      <w:r w:rsidR="005727AA" w:rsidRPr="00801AFD">
        <w:rPr>
          <w:b/>
          <w:bCs/>
          <w:color w:val="000000"/>
          <w:sz w:val="22"/>
          <w:szCs w:val="22"/>
          <w:lang w:val="sr-Latn-ME"/>
        </w:rPr>
        <w:t xml:space="preserve">su </w:t>
      </w:r>
      <w:r w:rsidRPr="00801AFD">
        <w:rPr>
          <w:b/>
          <w:bCs/>
          <w:color w:val="000000"/>
          <w:sz w:val="22"/>
          <w:szCs w:val="22"/>
          <w:lang w:val="sr-Latn-ME"/>
        </w:rPr>
        <w:t>pacijenti prethodno primali ekulizumab</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72"/>
        <w:gridCol w:w="2413"/>
        <w:gridCol w:w="1844"/>
        <w:gridCol w:w="1828"/>
      </w:tblGrid>
      <w:tr w:rsidR="006F6043" w:rsidRPr="00801AFD" w14:paraId="5B1D70F3" w14:textId="77777777" w:rsidTr="00961C31">
        <w:trPr>
          <w:trHeight w:val="533"/>
          <w:jc w:val="center"/>
        </w:trPr>
        <w:tc>
          <w:tcPr>
            <w:tcW w:w="1641" w:type="pct"/>
            <w:tcBorders>
              <w:top w:val="single" w:sz="6" w:space="0" w:color="auto"/>
              <w:left w:val="single" w:sz="6" w:space="0" w:color="auto"/>
              <w:bottom w:val="single" w:sz="6" w:space="0" w:color="auto"/>
              <w:right w:val="single" w:sz="6" w:space="0" w:color="auto"/>
            </w:tcBorders>
            <w:vAlign w:val="center"/>
            <w:hideMark/>
          </w:tcPr>
          <w:p w14:paraId="132B3788" w14:textId="77777777" w:rsidR="006F6043" w:rsidRPr="00801AFD" w:rsidRDefault="006F6043" w:rsidP="00801AFD">
            <w:pPr>
              <w:pStyle w:val="C-TableHeader"/>
              <w:keepNext w:val="0"/>
              <w:widowControl w:val="0"/>
              <w:jc w:val="both"/>
              <w:rPr>
                <w:rFonts w:ascii="Times New Roman" w:hAnsi="Times New Roman"/>
                <w:b w:val="0"/>
                <w:sz w:val="22"/>
                <w:szCs w:val="22"/>
                <w:lang w:val="sr-Latn-ME"/>
              </w:rPr>
            </w:pPr>
            <w:r w:rsidRPr="00801AFD">
              <w:rPr>
                <w:rFonts w:ascii="Times New Roman" w:hAnsi="Times New Roman"/>
                <w:sz w:val="22"/>
                <w:szCs w:val="22"/>
                <w:lang w:val="sr-Latn-ME"/>
              </w:rPr>
              <w:t>Parametar</w:t>
            </w:r>
          </w:p>
        </w:tc>
        <w:tc>
          <w:tcPr>
            <w:tcW w:w="1332" w:type="pct"/>
            <w:tcBorders>
              <w:top w:val="single" w:sz="6" w:space="0" w:color="auto"/>
              <w:left w:val="single" w:sz="6" w:space="0" w:color="auto"/>
              <w:bottom w:val="single" w:sz="6" w:space="0" w:color="auto"/>
              <w:right w:val="single" w:sz="6" w:space="0" w:color="auto"/>
            </w:tcBorders>
            <w:vAlign w:val="center"/>
            <w:hideMark/>
          </w:tcPr>
          <w:p w14:paraId="7BFE23CF" w14:textId="77777777" w:rsidR="006F6043" w:rsidRPr="00801AFD" w:rsidRDefault="006F6043" w:rsidP="00801AFD">
            <w:pPr>
              <w:pStyle w:val="C-TableHeader"/>
              <w:keepNext w:val="0"/>
              <w:widowControl w:val="0"/>
              <w:jc w:val="center"/>
              <w:rPr>
                <w:rFonts w:ascii="Times New Roman" w:hAnsi="Times New Roman"/>
                <w:b w:val="0"/>
                <w:sz w:val="22"/>
                <w:szCs w:val="22"/>
                <w:lang w:val="sr-Latn-ME"/>
              </w:rPr>
            </w:pPr>
            <w:r w:rsidRPr="00801AFD">
              <w:rPr>
                <w:rFonts w:ascii="Times New Roman" w:hAnsi="Times New Roman"/>
                <w:sz w:val="22"/>
                <w:szCs w:val="22"/>
                <w:lang w:val="sr-Latn-ME"/>
              </w:rPr>
              <w:t>Statistika</w:t>
            </w:r>
          </w:p>
        </w:tc>
        <w:tc>
          <w:tcPr>
            <w:tcW w:w="1018" w:type="pct"/>
            <w:tcBorders>
              <w:top w:val="single" w:sz="6" w:space="0" w:color="auto"/>
              <w:left w:val="single" w:sz="6" w:space="0" w:color="auto"/>
              <w:bottom w:val="single" w:sz="6" w:space="0" w:color="auto"/>
              <w:right w:val="single" w:sz="6" w:space="0" w:color="auto"/>
            </w:tcBorders>
            <w:hideMark/>
          </w:tcPr>
          <w:p w14:paraId="5FB0C05F" w14:textId="77777777" w:rsidR="006F6043" w:rsidRPr="00801AFD" w:rsidRDefault="006F6043" w:rsidP="00801AFD">
            <w:pPr>
              <w:pStyle w:val="C-TableHeader"/>
              <w:keepNext w:val="0"/>
              <w:widowControl w:val="0"/>
              <w:jc w:val="center"/>
              <w:rPr>
                <w:rFonts w:ascii="Times New Roman" w:hAnsi="Times New Roman"/>
                <w:b w:val="0"/>
                <w:sz w:val="22"/>
                <w:szCs w:val="22"/>
                <w:lang w:val="sr-Latn-ME"/>
              </w:rPr>
            </w:pPr>
            <w:r w:rsidRPr="00801AFD">
              <w:rPr>
                <w:rFonts w:ascii="Times New Roman" w:hAnsi="Times New Roman"/>
                <w:sz w:val="22"/>
                <w:szCs w:val="22"/>
                <w:lang w:val="sr-Latn-ME"/>
              </w:rPr>
              <w:t>Ravulizumab</w:t>
            </w:r>
            <w:r w:rsidRPr="00801AFD">
              <w:rPr>
                <w:rFonts w:ascii="Times New Roman" w:hAnsi="Times New Roman"/>
                <w:sz w:val="22"/>
                <w:szCs w:val="22"/>
                <w:lang w:val="sr-Latn-ME"/>
              </w:rPr>
              <w:br/>
              <w:t>(N</w:t>
            </w:r>
            <w:r w:rsidRPr="00801AFD">
              <w:rPr>
                <w:rFonts w:ascii="Times New Roman" w:eastAsia="Calibri" w:hAnsi="Times New Roman"/>
                <w:b w:val="0"/>
                <w:sz w:val="22"/>
                <w:szCs w:val="22"/>
                <w:lang w:val="sr-Latn-ME"/>
              </w:rPr>
              <w:t> </w:t>
            </w:r>
            <w:r w:rsidRPr="00801AFD">
              <w:rPr>
                <w:rFonts w:ascii="Times New Roman" w:hAnsi="Times New Roman"/>
                <w:sz w:val="22"/>
                <w:szCs w:val="22"/>
                <w:lang w:val="sr-Latn-ME"/>
              </w:rPr>
              <w:t>=</w:t>
            </w:r>
            <w:r w:rsidRPr="00801AFD">
              <w:rPr>
                <w:rFonts w:ascii="Times New Roman" w:eastAsia="Calibri" w:hAnsi="Times New Roman"/>
                <w:b w:val="0"/>
                <w:sz w:val="22"/>
                <w:szCs w:val="22"/>
                <w:lang w:val="sr-Latn-ME"/>
              </w:rPr>
              <w:t> </w:t>
            </w:r>
            <w:r w:rsidRPr="00801AFD">
              <w:rPr>
                <w:rFonts w:ascii="Times New Roman" w:hAnsi="Times New Roman"/>
                <w:sz w:val="22"/>
                <w:szCs w:val="22"/>
                <w:lang w:val="sr-Latn-ME"/>
              </w:rPr>
              <w:t>97)</w:t>
            </w:r>
          </w:p>
        </w:tc>
        <w:tc>
          <w:tcPr>
            <w:tcW w:w="1010" w:type="pct"/>
            <w:tcBorders>
              <w:top w:val="single" w:sz="6" w:space="0" w:color="auto"/>
              <w:left w:val="single" w:sz="6" w:space="0" w:color="auto"/>
              <w:bottom w:val="single" w:sz="6" w:space="0" w:color="auto"/>
              <w:right w:val="single" w:sz="6" w:space="0" w:color="auto"/>
            </w:tcBorders>
            <w:hideMark/>
          </w:tcPr>
          <w:p w14:paraId="1AD0E63D" w14:textId="77777777" w:rsidR="006F6043" w:rsidRPr="00801AFD" w:rsidRDefault="006F6043" w:rsidP="00801AFD">
            <w:pPr>
              <w:pStyle w:val="C-TableHeader"/>
              <w:keepNext w:val="0"/>
              <w:widowControl w:val="0"/>
              <w:jc w:val="center"/>
              <w:rPr>
                <w:rFonts w:ascii="Times New Roman" w:hAnsi="Times New Roman"/>
                <w:b w:val="0"/>
                <w:sz w:val="22"/>
                <w:szCs w:val="22"/>
                <w:lang w:val="sr-Latn-ME"/>
              </w:rPr>
            </w:pPr>
            <w:r w:rsidRPr="00801AFD">
              <w:rPr>
                <w:rFonts w:ascii="Times New Roman" w:hAnsi="Times New Roman"/>
                <w:sz w:val="22"/>
                <w:szCs w:val="22"/>
                <w:lang w:val="sr-Latn-ME"/>
              </w:rPr>
              <w:t>Ekulizumab</w:t>
            </w:r>
            <w:r w:rsidRPr="00801AFD">
              <w:rPr>
                <w:rFonts w:ascii="Times New Roman" w:hAnsi="Times New Roman"/>
                <w:sz w:val="22"/>
                <w:szCs w:val="22"/>
                <w:lang w:val="sr-Latn-ME"/>
              </w:rPr>
              <w:br/>
              <w:t>(N</w:t>
            </w:r>
            <w:r w:rsidRPr="00801AFD">
              <w:rPr>
                <w:rFonts w:ascii="Times New Roman" w:eastAsia="Calibri" w:hAnsi="Times New Roman"/>
                <w:b w:val="0"/>
                <w:sz w:val="22"/>
                <w:szCs w:val="22"/>
                <w:lang w:val="sr-Latn-ME"/>
              </w:rPr>
              <w:t> </w:t>
            </w:r>
            <w:r w:rsidRPr="00801AFD">
              <w:rPr>
                <w:rFonts w:ascii="Times New Roman" w:hAnsi="Times New Roman"/>
                <w:sz w:val="22"/>
                <w:szCs w:val="22"/>
                <w:lang w:val="sr-Latn-ME"/>
              </w:rPr>
              <w:t>=</w:t>
            </w:r>
            <w:r w:rsidRPr="00801AFD">
              <w:rPr>
                <w:rFonts w:ascii="Times New Roman" w:eastAsia="Calibri" w:hAnsi="Times New Roman"/>
                <w:b w:val="0"/>
                <w:sz w:val="22"/>
                <w:szCs w:val="22"/>
                <w:lang w:val="sr-Latn-ME"/>
              </w:rPr>
              <w:t> </w:t>
            </w:r>
            <w:r w:rsidRPr="00801AFD">
              <w:rPr>
                <w:rFonts w:ascii="Times New Roman" w:hAnsi="Times New Roman"/>
                <w:sz w:val="22"/>
                <w:szCs w:val="22"/>
                <w:lang w:val="sr-Latn-ME"/>
              </w:rPr>
              <w:t>98)</w:t>
            </w:r>
          </w:p>
        </w:tc>
      </w:tr>
      <w:tr w:rsidR="006F6043" w:rsidRPr="00801AFD" w14:paraId="46EA3225" w14:textId="77777777" w:rsidTr="00961C31">
        <w:trPr>
          <w:trHeight w:val="705"/>
          <w:jc w:val="center"/>
        </w:trPr>
        <w:tc>
          <w:tcPr>
            <w:tcW w:w="1641" w:type="pct"/>
            <w:tcBorders>
              <w:top w:val="single" w:sz="6" w:space="0" w:color="auto"/>
              <w:left w:val="single" w:sz="6" w:space="0" w:color="auto"/>
              <w:bottom w:val="single" w:sz="6" w:space="0" w:color="auto"/>
              <w:right w:val="single" w:sz="6" w:space="0" w:color="auto"/>
            </w:tcBorders>
          </w:tcPr>
          <w:p w14:paraId="1382FC5D" w14:textId="1559FC31" w:rsidR="006F6043" w:rsidRPr="00801AFD" w:rsidRDefault="006F6043" w:rsidP="00801AFD">
            <w:pPr>
              <w:pStyle w:val="C-TableText"/>
              <w:widowControl w:val="0"/>
              <w:jc w:val="both"/>
              <w:rPr>
                <w:sz w:val="22"/>
                <w:szCs w:val="22"/>
              </w:rPr>
            </w:pPr>
            <w:r w:rsidRPr="00801AFD">
              <w:rPr>
                <w:sz w:val="22"/>
                <w:szCs w:val="22"/>
              </w:rPr>
              <w:t>Starost (godine) pri dijagnozi PNH</w:t>
            </w:r>
          </w:p>
        </w:tc>
        <w:tc>
          <w:tcPr>
            <w:tcW w:w="1332" w:type="pct"/>
            <w:tcBorders>
              <w:top w:val="single" w:sz="6" w:space="0" w:color="auto"/>
              <w:left w:val="single" w:sz="6" w:space="0" w:color="auto"/>
              <w:bottom w:val="single" w:sz="6" w:space="0" w:color="auto"/>
              <w:right w:val="single" w:sz="6" w:space="0" w:color="auto"/>
            </w:tcBorders>
          </w:tcPr>
          <w:p w14:paraId="23182659" w14:textId="77777777" w:rsidR="006F6043" w:rsidRPr="00801AFD" w:rsidRDefault="006F6043" w:rsidP="00801AFD">
            <w:pPr>
              <w:pStyle w:val="C-TableText"/>
              <w:widowControl w:val="0"/>
              <w:jc w:val="center"/>
              <w:rPr>
                <w:sz w:val="22"/>
                <w:szCs w:val="22"/>
              </w:rPr>
            </w:pPr>
            <w:r w:rsidRPr="00801AFD">
              <w:rPr>
                <w:sz w:val="22"/>
                <w:szCs w:val="22"/>
              </w:rPr>
              <w:t>Srednja vrijednost (SD)</w:t>
            </w:r>
          </w:p>
          <w:p w14:paraId="7083DE66" w14:textId="382C9E06" w:rsidR="006F6043" w:rsidRPr="00801AFD" w:rsidRDefault="006F6043" w:rsidP="00801AFD">
            <w:pPr>
              <w:pStyle w:val="C-TableText"/>
              <w:widowControl w:val="0"/>
              <w:jc w:val="center"/>
              <w:rPr>
                <w:sz w:val="22"/>
                <w:szCs w:val="22"/>
              </w:rPr>
            </w:pPr>
            <w:r w:rsidRPr="00801AFD">
              <w:rPr>
                <w:sz w:val="22"/>
                <w:szCs w:val="22"/>
              </w:rPr>
              <w:t>Medijana</w:t>
            </w:r>
          </w:p>
          <w:p w14:paraId="0DF7E67E" w14:textId="77777777" w:rsidR="006F6043" w:rsidRPr="00801AFD" w:rsidRDefault="006F6043" w:rsidP="00801AFD">
            <w:pPr>
              <w:pStyle w:val="C-TableText"/>
              <w:widowControl w:val="0"/>
              <w:jc w:val="center"/>
              <w:rPr>
                <w:sz w:val="22"/>
                <w:szCs w:val="22"/>
              </w:rPr>
            </w:pPr>
            <w:r w:rsidRPr="00801AFD">
              <w:rPr>
                <w:sz w:val="22"/>
                <w:szCs w:val="22"/>
              </w:rPr>
              <w:t>Min, maks</w:t>
            </w:r>
          </w:p>
        </w:tc>
        <w:tc>
          <w:tcPr>
            <w:tcW w:w="1018" w:type="pct"/>
            <w:tcBorders>
              <w:top w:val="single" w:sz="6" w:space="0" w:color="auto"/>
              <w:left w:val="single" w:sz="6" w:space="0" w:color="auto"/>
              <w:bottom w:val="single" w:sz="6" w:space="0" w:color="auto"/>
              <w:right w:val="single" w:sz="6" w:space="0" w:color="auto"/>
            </w:tcBorders>
          </w:tcPr>
          <w:p w14:paraId="7A5237ED" w14:textId="77777777" w:rsidR="006F6043" w:rsidRPr="00801AFD" w:rsidRDefault="006F6043" w:rsidP="00801AFD">
            <w:pPr>
              <w:pStyle w:val="C-TableText"/>
              <w:widowControl w:val="0"/>
              <w:jc w:val="center"/>
              <w:rPr>
                <w:sz w:val="22"/>
                <w:szCs w:val="22"/>
              </w:rPr>
            </w:pPr>
            <w:r w:rsidRPr="00801AFD">
              <w:rPr>
                <w:sz w:val="22"/>
                <w:szCs w:val="22"/>
              </w:rPr>
              <w:t>34.1 (14.41)</w:t>
            </w:r>
          </w:p>
          <w:p w14:paraId="3F387C3A" w14:textId="36EC037D" w:rsidR="006F6043" w:rsidRPr="00801AFD" w:rsidRDefault="006F6043" w:rsidP="00801AFD">
            <w:pPr>
              <w:pStyle w:val="C-TableText"/>
              <w:widowControl w:val="0"/>
              <w:jc w:val="center"/>
              <w:rPr>
                <w:sz w:val="22"/>
                <w:szCs w:val="22"/>
              </w:rPr>
            </w:pPr>
            <w:r w:rsidRPr="00801AFD">
              <w:rPr>
                <w:sz w:val="22"/>
                <w:szCs w:val="22"/>
              </w:rPr>
              <w:t>32.0</w:t>
            </w:r>
          </w:p>
          <w:p w14:paraId="7502A418" w14:textId="77777777" w:rsidR="006F6043" w:rsidRPr="00801AFD" w:rsidRDefault="006F6043" w:rsidP="00801AFD">
            <w:pPr>
              <w:pStyle w:val="C-TableText"/>
              <w:widowControl w:val="0"/>
              <w:jc w:val="center"/>
              <w:rPr>
                <w:sz w:val="22"/>
                <w:szCs w:val="22"/>
              </w:rPr>
            </w:pPr>
            <w:r w:rsidRPr="00801AFD">
              <w:rPr>
                <w:sz w:val="22"/>
                <w:szCs w:val="22"/>
              </w:rPr>
              <w:t>6, 73</w:t>
            </w:r>
          </w:p>
        </w:tc>
        <w:tc>
          <w:tcPr>
            <w:tcW w:w="1010" w:type="pct"/>
            <w:tcBorders>
              <w:top w:val="single" w:sz="6" w:space="0" w:color="auto"/>
              <w:left w:val="single" w:sz="6" w:space="0" w:color="auto"/>
              <w:bottom w:val="single" w:sz="6" w:space="0" w:color="auto"/>
              <w:right w:val="single" w:sz="6" w:space="0" w:color="auto"/>
            </w:tcBorders>
          </w:tcPr>
          <w:p w14:paraId="015E238F" w14:textId="77777777" w:rsidR="006F6043" w:rsidRPr="00801AFD" w:rsidRDefault="006F6043" w:rsidP="00801AFD">
            <w:pPr>
              <w:pStyle w:val="C-TableText"/>
              <w:widowControl w:val="0"/>
              <w:jc w:val="center"/>
              <w:rPr>
                <w:sz w:val="22"/>
                <w:szCs w:val="22"/>
              </w:rPr>
            </w:pPr>
            <w:r w:rsidRPr="00801AFD">
              <w:rPr>
                <w:sz w:val="22"/>
                <w:szCs w:val="22"/>
              </w:rPr>
              <w:t>36.8 (14.14)</w:t>
            </w:r>
          </w:p>
          <w:p w14:paraId="1386DBBA" w14:textId="139E15E1" w:rsidR="006F6043" w:rsidRPr="00801AFD" w:rsidRDefault="006F6043" w:rsidP="00801AFD">
            <w:pPr>
              <w:pStyle w:val="C-TableText"/>
              <w:widowControl w:val="0"/>
              <w:jc w:val="center"/>
              <w:rPr>
                <w:sz w:val="22"/>
                <w:szCs w:val="22"/>
              </w:rPr>
            </w:pPr>
            <w:r w:rsidRPr="00801AFD">
              <w:rPr>
                <w:sz w:val="22"/>
                <w:szCs w:val="22"/>
              </w:rPr>
              <w:t>35.0</w:t>
            </w:r>
          </w:p>
          <w:p w14:paraId="37A81995" w14:textId="77777777" w:rsidR="006F6043" w:rsidRPr="00801AFD" w:rsidRDefault="006F6043" w:rsidP="00801AFD">
            <w:pPr>
              <w:pStyle w:val="C-TableText"/>
              <w:widowControl w:val="0"/>
              <w:jc w:val="center"/>
              <w:rPr>
                <w:sz w:val="22"/>
                <w:szCs w:val="22"/>
              </w:rPr>
            </w:pPr>
            <w:r w:rsidRPr="00801AFD">
              <w:rPr>
                <w:sz w:val="22"/>
                <w:szCs w:val="22"/>
              </w:rPr>
              <w:t>11, 74</w:t>
            </w:r>
          </w:p>
        </w:tc>
      </w:tr>
      <w:tr w:rsidR="006F6043" w:rsidRPr="00801AFD" w14:paraId="41DB25F9" w14:textId="77777777" w:rsidTr="00961C31">
        <w:trPr>
          <w:trHeight w:val="615"/>
          <w:jc w:val="center"/>
        </w:trPr>
        <w:tc>
          <w:tcPr>
            <w:tcW w:w="1641" w:type="pct"/>
            <w:tcBorders>
              <w:top w:val="single" w:sz="6" w:space="0" w:color="auto"/>
              <w:left w:val="single" w:sz="6" w:space="0" w:color="auto"/>
              <w:bottom w:val="single" w:sz="6" w:space="0" w:color="auto"/>
              <w:right w:val="single" w:sz="6" w:space="0" w:color="auto"/>
            </w:tcBorders>
          </w:tcPr>
          <w:p w14:paraId="2192A2D7" w14:textId="77777777" w:rsidR="006F6043" w:rsidRPr="00801AFD" w:rsidRDefault="006F6043" w:rsidP="00801AFD">
            <w:pPr>
              <w:pStyle w:val="C-TableText"/>
              <w:widowControl w:val="0"/>
              <w:jc w:val="both"/>
              <w:rPr>
                <w:sz w:val="22"/>
                <w:szCs w:val="22"/>
              </w:rPr>
            </w:pPr>
            <w:r w:rsidRPr="00801AFD">
              <w:rPr>
                <w:sz w:val="22"/>
                <w:szCs w:val="22"/>
              </w:rPr>
              <w:t>Starost (godine) pri prvoj infuziji u studiji</w:t>
            </w:r>
          </w:p>
        </w:tc>
        <w:tc>
          <w:tcPr>
            <w:tcW w:w="1332" w:type="pct"/>
            <w:tcBorders>
              <w:top w:val="single" w:sz="6" w:space="0" w:color="auto"/>
              <w:left w:val="single" w:sz="6" w:space="0" w:color="auto"/>
              <w:bottom w:val="single" w:sz="6" w:space="0" w:color="auto"/>
              <w:right w:val="single" w:sz="6" w:space="0" w:color="auto"/>
            </w:tcBorders>
          </w:tcPr>
          <w:p w14:paraId="117DCD14" w14:textId="77777777" w:rsidR="006F6043" w:rsidRPr="00801AFD" w:rsidRDefault="006F6043" w:rsidP="00801AFD">
            <w:pPr>
              <w:pStyle w:val="C-TableText"/>
              <w:widowControl w:val="0"/>
              <w:jc w:val="center"/>
              <w:rPr>
                <w:sz w:val="22"/>
                <w:szCs w:val="22"/>
              </w:rPr>
            </w:pPr>
            <w:r w:rsidRPr="00801AFD">
              <w:rPr>
                <w:sz w:val="22"/>
                <w:szCs w:val="22"/>
              </w:rPr>
              <w:t>Srednja vrijednost (SD)</w:t>
            </w:r>
          </w:p>
          <w:p w14:paraId="223129DF" w14:textId="22B71BD5" w:rsidR="006F6043" w:rsidRPr="00801AFD" w:rsidRDefault="006F6043" w:rsidP="00801AFD">
            <w:pPr>
              <w:pStyle w:val="C-TableText"/>
              <w:widowControl w:val="0"/>
              <w:jc w:val="center"/>
              <w:rPr>
                <w:sz w:val="22"/>
                <w:szCs w:val="22"/>
              </w:rPr>
            </w:pPr>
            <w:r w:rsidRPr="00801AFD">
              <w:rPr>
                <w:sz w:val="22"/>
                <w:szCs w:val="22"/>
              </w:rPr>
              <w:t>Medijana</w:t>
            </w:r>
          </w:p>
          <w:p w14:paraId="53200CED" w14:textId="77777777" w:rsidR="006F6043" w:rsidRPr="00801AFD" w:rsidRDefault="006F6043" w:rsidP="00801AFD">
            <w:pPr>
              <w:pStyle w:val="C-TableText"/>
              <w:widowControl w:val="0"/>
              <w:jc w:val="center"/>
              <w:rPr>
                <w:sz w:val="22"/>
                <w:szCs w:val="22"/>
              </w:rPr>
            </w:pPr>
            <w:r w:rsidRPr="00801AFD">
              <w:rPr>
                <w:sz w:val="22"/>
                <w:szCs w:val="22"/>
              </w:rPr>
              <w:t>Min, maks</w:t>
            </w:r>
          </w:p>
        </w:tc>
        <w:tc>
          <w:tcPr>
            <w:tcW w:w="1018" w:type="pct"/>
            <w:tcBorders>
              <w:top w:val="single" w:sz="6" w:space="0" w:color="auto"/>
              <w:left w:val="single" w:sz="6" w:space="0" w:color="auto"/>
              <w:bottom w:val="single" w:sz="6" w:space="0" w:color="auto"/>
              <w:right w:val="single" w:sz="6" w:space="0" w:color="auto"/>
            </w:tcBorders>
          </w:tcPr>
          <w:p w14:paraId="0F9CD3CA" w14:textId="77777777" w:rsidR="006F6043" w:rsidRPr="00801AFD" w:rsidRDefault="006F6043" w:rsidP="00801AFD">
            <w:pPr>
              <w:pStyle w:val="C-TableText"/>
              <w:widowControl w:val="0"/>
              <w:jc w:val="center"/>
              <w:rPr>
                <w:sz w:val="22"/>
                <w:szCs w:val="22"/>
              </w:rPr>
            </w:pPr>
            <w:r w:rsidRPr="00801AFD">
              <w:rPr>
                <w:sz w:val="22"/>
                <w:szCs w:val="22"/>
              </w:rPr>
              <w:t>46.6 (14.41)</w:t>
            </w:r>
          </w:p>
          <w:p w14:paraId="0E75B13F" w14:textId="318EC263" w:rsidR="006F6043" w:rsidRPr="00801AFD" w:rsidRDefault="006F6043" w:rsidP="00801AFD">
            <w:pPr>
              <w:pStyle w:val="C-TableText"/>
              <w:widowControl w:val="0"/>
              <w:jc w:val="center"/>
              <w:rPr>
                <w:sz w:val="22"/>
                <w:szCs w:val="22"/>
              </w:rPr>
            </w:pPr>
            <w:r w:rsidRPr="00801AFD">
              <w:rPr>
                <w:sz w:val="22"/>
                <w:szCs w:val="22"/>
              </w:rPr>
              <w:t>45.0</w:t>
            </w:r>
          </w:p>
          <w:p w14:paraId="541D6E97" w14:textId="77777777" w:rsidR="006F6043" w:rsidRPr="00801AFD" w:rsidRDefault="006F6043" w:rsidP="00801AFD">
            <w:pPr>
              <w:pStyle w:val="C-TableText"/>
              <w:widowControl w:val="0"/>
              <w:jc w:val="center"/>
              <w:rPr>
                <w:sz w:val="22"/>
                <w:szCs w:val="22"/>
              </w:rPr>
            </w:pPr>
            <w:r w:rsidRPr="00801AFD">
              <w:rPr>
                <w:sz w:val="22"/>
                <w:szCs w:val="22"/>
              </w:rPr>
              <w:t>18, 79</w:t>
            </w:r>
          </w:p>
        </w:tc>
        <w:tc>
          <w:tcPr>
            <w:tcW w:w="1010" w:type="pct"/>
            <w:tcBorders>
              <w:top w:val="single" w:sz="6" w:space="0" w:color="auto"/>
              <w:left w:val="single" w:sz="6" w:space="0" w:color="auto"/>
              <w:bottom w:val="single" w:sz="6" w:space="0" w:color="auto"/>
              <w:right w:val="single" w:sz="6" w:space="0" w:color="auto"/>
            </w:tcBorders>
          </w:tcPr>
          <w:p w14:paraId="0828733F" w14:textId="77777777" w:rsidR="006F6043" w:rsidRPr="00801AFD" w:rsidRDefault="006F6043" w:rsidP="00801AFD">
            <w:pPr>
              <w:pStyle w:val="C-TableText"/>
              <w:widowControl w:val="0"/>
              <w:jc w:val="center"/>
              <w:rPr>
                <w:sz w:val="22"/>
                <w:szCs w:val="22"/>
              </w:rPr>
            </w:pPr>
            <w:r w:rsidRPr="00801AFD">
              <w:rPr>
                <w:sz w:val="22"/>
                <w:szCs w:val="22"/>
              </w:rPr>
              <w:t>48.8 (13.97)</w:t>
            </w:r>
          </w:p>
          <w:p w14:paraId="12D9E9F1" w14:textId="3D8F095E" w:rsidR="006F6043" w:rsidRPr="00801AFD" w:rsidRDefault="006F6043" w:rsidP="00801AFD">
            <w:pPr>
              <w:pStyle w:val="C-TableText"/>
              <w:widowControl w:val="0"/>
              <w:jc w:val="center"/>
              <w:rPr>
                <w:sz w:val="22"/>
                <w:szCs w:val="22"/>
              </w:rPr>
            </w:pPr>
            <w:r w:rsidRPr="00801AFD">
              <w:rPr>
                <w:sz w:val="22"/>
                <w:szCs w:val="22"/>
              </w:rPr>
              <w:t>49.0</w:t>
            </w:r>
          </w:p>
          <w:p w14:paraId="4CF082EA" w14:textId="77777777" w:rsidR="006F6043" w:rsidRPr="00801AFD" w:rsidRDefault="006F6043" w:rsidP="00801AFD">
            <w:pPr>
              <w:pStyle w:val="C-TableText"/>
              <w:widowControl w:val="0"/>
              <w:jc w:val="center"/>
              <w:rPr>
                <w:sz w:val="22"/>
                <w:szCs w:val="22"/>
              </w:rPr>
            </w:pPr>
            <w:r w:rsidRPr="00801AFD">
              <w:rPr>
                <w:sz w:val="22"/>
                <w:szCs w:val="22"/>
              </w:rPr>
              <w:t>23, 77</w:t>
            </w:r>
          </w:p>
        </w:tc>
      </w:tr>
      <w:tr w:rsidR="006F6043" w:rsidRPr="00801AFD" w14:paraId="43D67FF0" w14:textId="77777777" w:rsidTr="00961C31">
        <w:trPr>
          <w:trHeight w:val="354"/>
          <w:jc w:val="center"/>
        </w:trPr>
        <w:tc>
          <w:tcPr>
            <w:tcW w:w="1641" w:type="pct"/>
            <w:tcBorders>
              <w:top w:val="single" w:sz="6" w:space="0" w:color="auto"/>
              <w:left w:val="single" w:sz="6" w:space="0" w:color="auto"/>
              <w:bottom w:val="single" w:sz="6" w:space="0" w:color="auto"/>
              <w:right w:val="single" w:sz="6" w:space="0" w:color="auto"/>
            </w:tcBorders>
          </w:tcPr>
          <w:p w14:paraId="0F4C8891" w14:textId="77777777" w:rsidR="006F6043" w:rsidRPr="00801AFD" w:rsidRDefault="006F6043" w:rsidP="00801AFD">
            <w:pPr>
              <w:pStyle w:val="C-TableText"/>
              <w:widowControl w:val="0"/>
              <w:jc w:val="both"/>
              <w:rPr>
                <w:sz w:val="22"/>
                <w:szCs w:val="22"/>
              </w:rPr>
            </w:pPr>
            <w:r w:rsidRPr="00801AFD">
              <w:rPr>
                <w:sz w:val="22"/>
                <w:szCs w:val="22"/>
              </w:rPr>
              <w:t>Pol (n, %)</w:t>
            </w:r>
          </w:p>
        </w:tc>
        <w:tc>
          <w:tcPr>
            <w:tcW w:w="1332" w:type="pct"/>
            <w:tcBorders>
              <w:top w:val="single" w:sz="6" w:space="0" w:color="auto"/>
              <w:left w:val="single" w:sz="6" w:space="0" w:color="auto"/>
              <w:bottom w:val="single" w:sz="6" w:space="0" w:color="auto"/>
              <w:right w:val="single" w:sz="6" w:space="0" w:color="auto"/>
            </w:tcBorders>
          </w:tcPr>
          <w:p w14:paraId="061FE49E" w14:textId="77777777" w:rsidR="006F6043" w:rsidRPr="00801AFD" w:rsidRDefault="006F6043" w:rsidP="00801AFD">
            <w:pPr>
              <w:pStyle w:val="C-TableText"/>
              <w:widowControl w:val="0"/>
              <w:jc w:val="center"/>
              <w:rPr>
                <w:sz w:val="22"/>
                <w:szCs w:val="22"/>
              </w:rPr>
            </w:pPr>
            <w:r w:rsidRPr="00801AFD">
              <w:rPr>
                <w:sz w:val="22"/>
                <w:szCs w:val="22"/>
              </w:rPr>
              <w:t>Muški</w:t>
            </w:r>
          </w:p>
          <w:p w14:paraId="10922EE2" w14:textId="77777777" w:rsidR="006F6043" w:rsidRPr="00801AFD" w:rsidRDefault="006F6043" w:rsidP="00801AFD">
            <w:pPr>
              <w:pStyle w:val="C-TableText"/>
              <w:widowControl w:val="0"/>
              <w:jc w:val="center"/>
              <w:rPr>
                <w:sz w:val="22"/>
                <w:szCs w:val="22"/>
              </w:rPr>
            </w:pPr>
            <w:r w:rsidRPr="00801AFD">
              <w:rPr>
                <w:sz w:val="22"/>
                <w:szCs w:val="22"/>
              </w:rPr>
              <w:t>Ženski</w:t>
            </w:r>
          </w:p>
        </w:tc>
        <w:tc>
          <w:tcPr>
            <w:tcW w:w="1018" w:type="pct"/>
            <w:tcBorders>
              <w:top w:val="single" w:sz="6" w:space="0" w:color="auto"/>
              <w:left w:val="single" w:sz="6" w:space="0" w:color="auto"/>
              <w:bottom w:val="single" w:sz="6" w:space="0" w:color="auto"/>
              <w:right w:val="single" w:sz="6" w:space="0" w:color="auto"/>
            </w:tcBorders>
          </w:tcPr>
          <w:p w14:paraId="531D5164" w14:textId="77777777" w:rsidR="006F6043" w:rsidRPr="00801AFD" w:rsidRDefault="006F6043" w:rsidP="00801AFD">
            <w:pPr>
              <w:pStyle w:val="C-TableText"/>
              <w:widowControl w:val="0"/>
              <w:jc w:val="center"/>
              <w:rPr>
                <w:sz w:val="22"/>
                <w:szCs w:val="22"/>
              </w:rPr>
            </w:pPr>
            <w:r w:rsidRPr="00801AFD">
              <w:rPr>
                <w:sz w:val="22"/>
                <w:szCs w:val="22"/>
              </w:rPr>
              <w:t>50 (51.5)</w:t>
            </w:r>
          </w:p>
          <w:p w14:paraId="26C8597F" w14:textId="77777777" w:rsidR="006F6043" w:rsidRPr="00801AFD" w:rsidRDefault="006F6043" w:rsidP="00801AFD">
            <w:pPr>
              <w:pStyle w:val="C-TableText"/>
              <w:widowControl w:val="0"/>
              <w:jc w:val="center"/>
              <w:rPr>
                <w:sz w:val="22"/>
                <w:szCs w:val="22"/>
              </w:rPr>
            </w:pPr>
            <w:r w:rsidRPr="00801AFD">
              <w:rPr>
                <w:sz w:val="22"/>
                <w:szCs w:val="22"/>
              </w:rPr>
              <w:t>47 (48.5)</w:t>
            </w:r>
          </w:p>
        </w:tc>
        <w:tc>
          <w:tcPr>
            <w:tcW w:w="1010" w:type="pct"/>
            <w:tcBorders>
              <w:top w:val="single" w:sz="6" w:space="0" w:color="auto"/>
              <w:left w:val="single" w:sz="6" w:space="0" w:color="auto"/>
              <w:bottom w:val="single" w:sz="6" w:space="0" w:color="auto"/>
              <w:right w:val="single" w:sz="6" w:space="0" w:color="auto"/>
            </w:tcBorders>
          </w:tcPr>
          <w:p w14:paraId="6F1E33C0" w14:textId="77777777" w:rsidR="006F6043" w:rsidRPr="00801AFD" w:rsidRDefault="006F6043" w:rsidP="00801AFD">
            <w:pPr>
              <w:pStyle w:val="C-TableText"/>
              <w:widowControl w:val="0"/>
              <w:jc w:val="center"/>
              <w:rPr>
                <w:sz w:val="22"/>
                <w:szCs w:val="22"/>
              </w:rPr>
            </w:pPr>
            <w:r w:rsidRPr="00801AFD">
              <w:rPr>
                <w:sz w:val="22"/>
                <w:szCs w:val="22"/>
              </w:rPr>
              <w:t>48 (49.0)</w:t>
            </w:r>
          </w:p>
          <w:p w14:paraId="74B44C0D" w14:textId="77777777" w:rsidR="006F6043" w:rsidRPr="00801AFD" w:rsidRDefault="006F6043" w:rsidP="00801AFD">
            <w:pPr>
              <w:pStyle w:val="C-TableText"/>
              <w:widowControl w:val="0"/>
              <w:jc w:val="center"/>
              <w:rPr>
                <w:sz w:val="22"/>
                <w:szCs w:val="22"/>
              </w:rPr>
            </w:pPr>
            <w:r w:rsidRPr="00801AFD">
              <w:rPr>
                <w:sz w:val="22"/>
                <w:szCs w:val="22"/>
              </w:rPr>
              <w:t>50 (51.0)</w:t>
            </w:r>
          </w:p>
        </w:tc>
      </w:tr>
      <w:tr w:rsidR="006F6043" w:rsidRPr="00801AFD" w14:paraId="04C6E480" w14:textId="77777777" w:rsidTr="00961C31">
        <w:trPr>
          <w:trHeight w:val="51"/>
          <w:jc w:val="center"/>
        </w:trPr>
        <w:tc>
          <w:tcPr>
            <w:tcW w:w="1641" w:type="pct"/>
            <w:vMerge w:val="restart"/>
            <w:tcBorders>
              <w:left w:val="single" w:sz="6" w:space="0" w:color="auto"/>
              <w:right w:val="single" w:sz="6" w:space="0" w:color="auto"/>
            </w:tcBorders>
          </w:tcPr>
          <w:p w14:paraId="16F705B6" w14:textId="77777777" w:rsidR="006F6043" w:rsidRPr="00801AFD" w:rsidRDefault="006F6043" w:rsidP="00801AFD">
            <w:pPr>
              <w:pStyle w:val="C-TableText"/>
              <w:widowControl w:val="0"/>
              <w:jc w:val="both"/>
              <w:rPr>
                <w:sz w:val="22"/>
                <w:szCs w:val="22"/>
              </w:rPr>
            </w:pPr>
            <w:r w:rsidRPr="00801AFD">
              <w:rPr>
                <w:sz w:val="22"/>
                <w:szCs w:val="22"/>
              </w:rPr>
              <w:t>Nivo LDH prije liječenja</w:t>
            </w:r>
          </w:p>
        </w:tc>
        <w:tc>
          <w:tcPr>
            <w:tcW w:w="1332" w:type="pct"/>
            <w:tcBorders>
              <w:top w:val="nil"/>
              <w:left w:val="single" w:sz="6" w:space="0" w:color="auto"/>
              <w:bottom w:val="nil"/>
              <w:right w:val="single" w:sz="6" w:space="0" w:color="auto"/>
            </w:tcBorders>
          </w:tcPr>
          <w:p w14:paraId="1DA2E3B2" w14:textId="77777777" w:rsidR="006F6043" w:rsidRPr="00801AFD" w:rsidRDefault="006F6043" w:rsidP="00801AFD">
            <w:pPr>
              <w:pStyle w:val="C-TableText"/>
              <w:widowControl w:val="0"/>
              <w:jc w:val="center"/>
              <w:rPr>
                <w:sz w:val="22"/>
                <w:szCs w:val="22"/>
              </w:rPr>
            </w:pPr>
            <w:r w:rsidRPr="00801AFD">
              <w:rPr>
                <w:sz w:val="22"/>
                <w:szCs w:val="22"/>
              </w:rPr>
              <w:t>Srednja vrijednost (SD)</w:t>
            </w:r>
          </w:p>
        </w:tc>
        <w:tc>
          <w:tcPr>
            <w:tcW w:w="1018" w:type="pct"/>
            <w:tcBorders>
              <w:top w:val="nil"/>
              <w:left w:val="single" w:sz="6" w:space="0" w:color="auto"/>
              <w:bottom w:val="nil"/>
              <w:right w:val="single" w:sz="6" w:space="0" w:color="auto"/>
            </w:tcBorders>
          </w:tcPr>
          <w:p w14:paraId="0D05EF92" w14:textId="77777777" w:rsidR="006F6043" w:rsidRPr="00801AFD" w:rsidRDefault="006F6043" w:rsidP="00801AFD">
            <w:pPr>
              <w:pStyle w:val="C-TableText"/>
              <w:widowControl w:val="0"/>
              <w:jc w:val="center"/>
              <w:rPr>
                <w:sz w:val="22"/>
                <w:szCs w:val="22"/>
              </w:rPr>
            </w:pPr>
            <w:r w:rsidRPr="00801AFD">
              <w:rPr>
                <w:sz w:val="22"/>
                <w:szCs w:val="22"/>
              </w:rPr>
              <w:t>228.0 (48.71)</w:t>
            </w:r>
          </w:p>
        </w:tc>
        <w:tc>
          <w:tcPr>
            <w:tcW w:w="1010" w:type="pct"/>
            <w:tcBorders>
              <w:top w:val="nil"/>
              <w:left w:val="single" w:sz="6" w:space="0" w:color="auto"/>
              <w:bottom w:val="nil"/>
              <w:right w:val="single" w:sz="6" w:space="0" w:color="auto"/>
            </w:tcBorders>
          </w:tcPr>
          <w:p w14:paraId="37C46797" w14:textId="77777777" w:rsidR="006F6043" w:rsidRPr="00801AFD" w:rsidRDefault="006F6043" w:rsidP="00801AFD">
            <w:pPr>
              <w:pStyle w:val="C-TableText"/>
              <w:widowControl w:val="0"/>
              <w:jc w:val="center"/>
              <w:rPr>
                <w:sz w:val="22"/>
                <w:szCs w:val="22"/>
              </w:rPr>
            </w:pPr>
            <w:r w:rsidRPr="00801AFD">
              <w:rPr>
                <w:sz w:val="22"/>
                <w:szCs w:val="22"/>
              </w:rPr>
              <w:t>235.2 (49.71)</w:t>
            </w:r>
          </w:p>
        </w:tc>
      </w:tr>
      <w:tr w:rsidR="006F6043" w:rsidRPr="00801AFD" w14:paraId="24C5244B" w14:textId="77777777" w:rsidTr="00961C31">
        <w:trPr>
          <w:trHeight w:val="147"/>
          <w:jc w:val="center"/>
        </w:trPr>
        <w:tc>
          <w:tcPr>
            <w:tcW w:w="1641" w:type="pct"/>
            <w:vMerge/>
            <w:tcBorders>
              <w:left w:val="single" w:sz="6" w:space="0" w:color="auto"/>
              <w:right w:val="single" w:sz="6" w:space="0" w:color="auto"/>
            </w:tcBorders>
            <w:vAlign w:val="center"/>
          </w:tcPr>
          <w:p w14:paraId="5D38B167" w14:textId="77777777" w:rsidR="006F6043" w:rsidRPr="00801AFD" w:rsidRDefault="006F6043" w:rsidP="00801AFD">
            <w:pPr>
              <w:pStyle w:val="C-TableText"/>
              <w:widowControl w:val="0"/>
              <w:jc w:val="both"/>
              <w:rPr>
                <w:sz w:val="22"/>
                <w:szCs w:val="22"/>
              </w:rPr>
            </w:pPr>
          </w:p>
        </w:tc>
        <w:tc>
          <w:tcPr>
            <w:tcW w:w="1332" w:type="pct"/>
            <w:tcBorders>
              <w:top w:val="nil"/>
              <w:left w:val="single" w:sz="6" w:space="0" w:color="auto"/>
              <w:bottom w:val="single" w:sz="4" w:space="0" w:color="auto"/>
              <w:right w:val="single" w:sz="6" w:space="0" w:color="auto"/>
            </w:tcBorders>
          </w:tcPr>
          <w:p w14:paraId="62FAB161" w14:textId="77777777" w:rsidR="006F6043" w:rsidRPr="00801AFD" w:rsidRDefault="006F6043" w:rsidP="00801AFD">
            <w:pPr>
              <w:pStyle w:val="C-TableText"/>
              <w:widowControl w:val="0"/>
              <w:jc w:val="center"/>
              <w:rPr>
                <w:sz w:val="22"/>
                <w:szCs w:val="22"/>
              </w:rPr>
            </w:pPr>
            <w:r w:rsidRPr="00801AFD">
              <w:rPr>
                <w:sz w:val="22"/>
                <w:szCs w:val="22"/>
              </w:rPr>
              <w:t>Medijana</w:t>
            </w:r>
          </w:p>
        </w:tc>
        <w:tc>
          <w:tcPr>
            <w:tcW w:w="1018" w:type="pct"/>
            <w:tcBorders>
              <w:top w:val="nil"/>
              <w:left w:val="single" w:sz="6" w:space="0" w:color="auto"/>
              <w:bottom w:val="single" w:sz="4" w:space="0" w:color="auto"/>
              <w:right w:val="single" w:sz="6" w:space="0" w:color="auto"/>
            </w:tcBorders>
          </w:tcPr>
          <w:p w14:paraId="4673C4D5" w14:textId="77777777" w:rsidR="006F6043" w:rsidRPr="00801AFD" w:rsidRDefault="006F6043" w:rsidP="00801AFD">
            <w:pPr>
              <w:pStyle w:val="C-TableText"/>
              <w:widowControl w:val="0"/>
              <w:jc w:val="center"/>
              <w:rPr>
                <w:sz w:val="22"/>
                <w:szCs w:val="22"/>
              </w:rPr>
            </w:pPr>
            <w:r w:rsidRPr="00801AFD">
              <w:rPr>
                <w:sz w:val="22"/>
                <w:szCs w:val="22"/>
              </w:rPr>
              <w:t>224.0</w:t>
            </w:r>
          </w:p>
        </w:tc>
        <w:tc>
          <w:tcPr>
            <w:tcW w:w="1010" w:type="pct"/>
            <w:tcBorders>
              <w:top w:val="nil"/>
              <w:left w:val="single" w:sz="6" w:space="0" w:color="auto"/>
              <w:bottom w:val="single" w:sz="4" w:space="0" w:color="auto"/>
              <w:right w:val="single" w:sz="6" w:space="0" w:color="auto"/>
            </w:tcBorders>
          </w:tcPr>
          <w:p w14:paraId="6252FD1D" w14:textId="77777777" w:rsidR="006F6043" w:rsidRPr="00801AFD" w:rsidRDefault="006F6043" w:rsidP="00801AFD">
            <w:pPr>
              <w:pStyle w:val="C-TableText"/>
              <w:widowControl w:val="0"/>
              <w:jc w:val="center"/>
              <w:rPr>
                <w:sz w:val="22"/>
                <w:szCs w:val="22"/>
              </w:rPr>
            </w:pPr>
            <w:r w:rsidRPr="00801AFD">
              <w:rPr>
                <w:sz w:val="22"/>
                <w:szCs w:val="22"/>
              </w:rPr>
              <w:t>234.0</w:t>
            </w:r>
          </w:p>
        </w:tc>
      </w:tr>
      <w:tr w:rsidR="006F6043" w:rsidRPr="00801AFD" w14:paraId="4AB9E6BF" w14:textId="77777777" w:rsidTr="00961C31">
        <w:trPr>
          <w:trHeight w:val="429"/>
          <w:jc w:val="center"/>
        </w:trPr>
        <w:tc>
          <w:tcPr>
            <w:tcW w:w="1641" w:type="pct"/>
            <w:tcBorders>
              <w:left w:val="single" w:sz="6" w:space="0" w:color="auto"/>
              <w:right w:val="single" w:sz="6" w:space="0" w:color="auto"/>
            </w:tcBorders>
          </w:tcPr>
          <w:p w14:paraId="3A0E1428" w14:textId="77777777" w:rsidR="006F6043" w:rsidRPr="00801AFD" w:rsidRDefault="006F6043" w:rsidP="00801AFD">
            <w:pPr>
              <w:pStyle w:val="C-TableText"/>
              <w:widowControl w:val="0"/>
              <w:jc w:val="both"/>
              <w:rPr>
                <w:sz w:val="22"/>
                <w:szCs w:val="22"/>
              </w:rPr>
            </w:pPr>
            <w:r w:rsidRPr="00801AFD">
              <w:rPr>
                <w:sz w:val="22"/>
                <w:szCs w:val="22"/>
              </w:rPr>
              <w:t>Broj pacijenata sa transfuzijom koncentrovanih eritrocita (pRBC) u toku prethodnih 12 mjeseci prije prve doze</w:t>
            </w:r>
          </w:p>
        </w:tc>
        <w:tc>
          <w:tcPr>
            <w:tcW w:w="1332" w:type="pct"/>
            <w:tcBorders>
              <w:top w:val="single" w:sz="4" w:space="0" w:color="auto"/>
              <w:left w:val="single" w:sz="6" w:space="0" w:color="auto"/>
              <w:bottom w:val="single" w:sz="6" w:space="0" w:color="auto"/>
              <w:right w:val="single" w:sz="6" w:space="0" w:color="auto"/>
            </w:tcBorders>
          </w:tcPr>
          <w:p w14:paraId="4928243D" w14:textId="77777777" w:rsidR="006F6043" w:rsidRPr="00801AFD" w:rsidRDefault="006F6043" w:rsidP="00801AFD">
            <w:pPr>
              <w:pStyle w:val="C-TableText"/>
              <w:widowControl w:val="0"/>
              <w:jc w:val="center"/>
              <w:rPr>
                <w:sz w:val="22"/>
                <w:szCs w:val="22"/>
              </w:rPr>
            </w:pPr>
            <w:r w:rsidRPr="00801AFD">
              <w:rPr>
                <w:sz w:val="22"/>
                <w:szCs w:val="22"/>
              </w:rPr>
              <w:t>n (%)</w:t>
            </w:r>
          </w:p>
        </w:tc>
        <w:tc>
          <w:tcPr>
            <w:tcW w:w="1018" w:type="pct"/>
            <w:tcBorders>
              <w:top w:val="single" w:sz="4" w:space="0" w:color="auto"/>
              <w:left w:val="single" w:sz="6" w:space="0" w:color="auto"/>
              <w:bottom w:val="single" w:sz="6" w:space="0" w:color="auto"/>
              <w:right w:val="single" w:sz="6" w:space="0" w:color="auto"/>
            </w:tcBorders>
          </w:tcPr>
          <w:p w14:paraId="24030C9B" w14:textId="77777777" w:rsidR="006F6043" w:rsidRPr="00801AFD" w:rsidRDefault="006F6043" w:rsidP="00801AFD">
            <w:pPr>
              <w:pStyle w:val="C-TableText"/>
              <w:widowControl w:val="0"/>
              <w:jc w:val="center"/>
              <w:rPr>
                <w:sz w:val="22"/>
                <w:szCs w:val="22"/>
              </w:rPr>
            </w:pPr>
            <w:r w:rsidRPr="00801AFD">
              <w:rPr>
                <w:sz w:val="22"/>
                <w:szCs w:val="22"/>
              </w:rPr>
              <w:t>13 (13.4)</w:t>
            </w:r>
          </w:p>
        </w:tc>
        <w:tc>
          <w:tcPr>
            <w:tcW w:w="1010" w:type="pct"/>
            <w:tcBorders>
              <w:top w:val="single" w:sz="4" w:space="0" w:color="auto"/>
              <w:left w:val="single" w:sz="6" w:space="0" w:color="auto"/>
              <w:bottom w:val="single" w:sz="6" w:space="0" w:color="auto"/>
              <w:right w:val="single" w:sz="6" w:space="0" w:color="auto"/>
            </w:tcBorders>
          </w:tcPr>
          <w:p w14:paraId="240764FC" w14:textId="77777777" w:rsidR="006F6043" w:rsidRPr="00801AFD" w:rsidRDefault="006F6043" w:rsidP="00801AFD">
            <w:pPr>
              <w:pStyle w:val="C-TableText"/>
              <w:widowControl w:val="0"/>
              <w:jc w:val="center"/>
              <w:rPr>
                <w:sz w:val="22"/>
                <w:szCs w:val="22"/>
              </w:rPr>
            </w:pPr>
            <w:r w:rsidRPr="00801AFD">
              <w:rPr>
                <w:sz w:val="22"/>
                <w:szCs w:val="22"/>
              </w:rPr>
              <w:t>12 (12.2)</w:t>
            </w:r>
          </w:p>
        </w:tc>
      </w:tr>
      <w:tr w:rsidR="006F6043" w:rsidRPr="00801AFD" w14:paraId="245604F2" w14:textId="77777777" w:rsidTr="00961C31">
        <w:trPr>
          <w:trHeight w:val="145"/>
          <w:jc w:val="center"/>
        </w:trPr>
        <w:tc>
          <w:tcPr>
            <w:tcW w:w="1641" w:type="pct"/>
            <w:vMerge w:val="restart"/>
            <w:tcBorders>
              <w:left w:val="single" w:sz="6" w:space="0" w:color="auto"/>
              <w:right w:val="single" w:sz="6" w:space="0" w:color="auto"/>
            </w:tcBorders>
          </w:tcPr>
          <w:p w14:paraId="58D60700" w14:textId="77777777" w:rsidR="006F6043" w:rsidRPr="00801AFD" w:rsidRDefault="006F6043" w:rsidP="00801AFD">
            <w:pPr>
              <w:pStyle w:val="C-TableText"/>
              <w:widowControl w:val="0"/>
              <w:jc w:val="both"/>
              <w:rPr>
                <w:sz w:val="22"/>
                <w:szCs w:val="22"/>
              </w:rPr>
            </w:pPr>
            <w:r w:rsidRPr="00801AFD">
              <w:rPr>
                <w:sz w:val="22"/>
                <w:szCs w:val="22"/>
              </w:rPr>
              <w:t>Jedinice pRBC transfuzije u roku od 12 mjeseci prije prve doze</w:t>
            </w:r>
          </w:p>
        </w:tc>
        <w:tc>
          <w:tcPr>
            <w:tcW w:w="1332" w:type="pct"/>
            <w:tcBorders>
              <w:top w:val="single" w:sz="6" w:space="0" w:color="auto"/>
              <w:left w:val="single" w:sz="6" w:space="0" w:color="auto"/>
              <w:bottom w:val="nil"/>
              <w:right w:val="single" w:sz="6" w:space="0" w:color="auto"/>
            </w:tcBorders>
          </w:tcPr>
          <w:p w14:paraId="25D76E22" w14:textId="77777777" w:rsidR="006F6043" w:rsidRPr="00801AFD" w:rsidRDefault="006F6043" w:rsidP="00801AFD">
            <w:pPr>
              <w:pStyle w:val="C-TableText"/>
              <w:widowControl w:val="0"/>
              <w:jc w:val="center"/>
              <w:rPr>
                <w:sz w:val="22"/>
                <w:szCs w:val="22"/>
              </w:rPr>
            </w:pPr>
            <w:r w:rsidRPr="00801AFD">
              <w:rPr>
                <w:sz w:val="22"/>
                <w:szCs w:val="22"/>
              </w:rPr>
              <w:t>Ukupno</w:t>
            </w:r>
          </w:p>
        </w:tc>
        <w:tc>
          <w:tcPr>
            <w:tcW w:w="1018" w:type="pct"/>
            <w:tcBorders>
              <w:top w:val="single" w:sz="6" w:space="0" w:color="auto"/>
              <w:left w:val="single" w:sz="6" w:space="0" w:color="auto"/>
              <w:bottom w:val="nil"/>
              <w:right w:val="single" w:sz="6" w:space="0" w:color="auto"/>
            </w:tcBorders>
          </w:tcPr>
          <w:p w14:paraId="54A8CDBD" w14:textId="77777777" w:rsidR="006F6043" w:rsidRPr="00801AFD" w:rsidRDefault="006F6043" w:rsidP="00801AFD">
            <w:pPr>
              <w:pStyle w:val="C-TableText"/>
              <w:widowControl w:val="0"/>
              <w:jc w:val="center"/>
              <w:rPr>
                <w:sz w:val="22"/>
                <w:szCs w:val="22"/>
              </w:rPr>
            </w:pPr>
            <w:r w:rsidRPr="00801AFD">
              <w:rPr>
                <w:sz w:val="22"/>
                <w:szCs w:val="22"/>
              </w:rPr>
              <w:t>103</w:t>
            </w:r>
          </w:p>
        </w:tc>
        <w:tc>
          <w:tcPr>
            <w:tcW w:w="1010" w:type="pct"/>
            <w:tcBorders>
              <w:top w:val="single" w:sz="6" w:space="0" w:color="auto"/>
              <w:left w:val="single" w:sz="6" w:space="0" w:color="auto"/>
              <w:bottom w:val="nil"/>
              <w:right w:val="single" w:sz="6" w:space="0" w:color="auto"/>
            </w:tcBorders>
          </w:tcPr>
          <w:p w14:paraId="6AE9BF1F" w14:textId="77777777" w:rsidR="006F6043" w:rsidRPr="00801AFD" w:rsidRDefault="006F6043" w:rsidP="00801AFD">
            <w:pPr>
              <w:pStyle w:val="C-TableText"/>
              <w:widowControl w:val="0"/>
              <w:jc w:val="center"/>
              <w:rPr>
                <w:sz w:val="22"/>
                <w:szCs w:val="22"/>
              </w:rPr>
            </w:pPr>
            <w:r w:rsidRPr="00801AFD">
              <w:rPr>
                <w:sz w:val="22"/>
                <w:szCs w:val="22"/>
              </w:rPr>
              <w:t>50</w:t>
            </w:r>
          </w:p>
        </w:tc>
      </w:tr>
      <w:tr w:rsidR="006F6043" w:rsidRPr="00801AFD" w14:paraId="5C54E692" w14:textId="77777777" w:rsidTr="00961C31">
        <w:trPr>
          <w:trHeight w:val="145"/>
          <w:jc w:val="center"/>
        </w:trPr>
        <w:tc>
          <w:tcPr>
            <w:tcW w:w="1641" w:type="pct"/>
            <w:vMerge/>
            <w:tcBorders>
              <w:left w:val="single" w:sz="6" w:space="0" w:color="auto"/>
              <w:right w:val="single" w:sz="6" w:space="0" w:color="auto"/>
            </w:tcBorders>
          </w:tcPr>
          <w:p w14:paraId="130874FC" w14:textId="77777777" w:rsidR="006F6043" w:rsidRPr="00801AFD" w:rsidRDefault="006F6043" w:rsidP="00801AFD">
            <w:pPr>
              <w:pStyle w:val="C-TableText"/>
              <w:widowControl w:val="0"/>
              <w:jc w:val="both"/>
              <w:rPr>
                <w:sz w:val="22"/>
                <w:szCs w:val="22"/>
              </w:rPr>
            </w:pPr>
          </w:p>
        </w:tc>
        <w:tc>
          <w:tcPr>
            <w:tcW w:w="1332" w:type="pct"/>
            <w:tcBorders>
              <w:top w:val="nil"/>
              <w:left w:val="single" w:sz="6" w:space="0" w:color="auto"/>
              <w:bottom w:val="nil"/>
              <w:right w:val="single" w:sz="6" w:space="0" w:color="auto"/>
            </w:tcBorders>
          </w:tcPr>
          <w:p w14:paraId="467C9C72" w14:textId="77777777" w:rsidR="006F6043" w:rsidRPr="00801AFD" w:rsidRDefault="006F6043" w:rsidP="00801AFD">
            <w:pPr>
              <w:pStyle w:val="C-TableText"/>
              <w:widowControl w:val="0"/>
              <w:jc w:val="center"/>
              <w:rPr>
                <w:sz w:val="22"/>
                <w:szCs w:val="22"/>
              </w:rPr>
            </w:pPr>
            <w:r w:rsidRPr="00801AFD">
              <w:rPr>
                <w:sz w:val="22"/>
                <w:szCs w:val="22"/>
              </w:rPr>
              <w:t>Srednja vrijednost (SD)</w:t>
            </w:r>
          </w:p>
        </w:tc>
        <w:tc>
          <w:tcPr>
            <w:tcW w:w="1018" w:type="pct"/>
            <w:tcBorders>
              <w:top w:val="nil"/>
              <w:left w:val="single" w:sz="6" w:space="0" w:color="auto"/>
              <w:bottom w:val="nil"/>
              <w:right w:val="single" w:sz="6" w:space="0" w:color="auto"/>
            </w:tcBorders>
          </w:tcPr>
          <w:p w14:paraId="358AA465" w14:textId="77777777" w:rsidR="006F6043" w:rsidRPr="00801AFD" w:rsidRDefault="006F6043" w:rsidP="00801AFD">
            <w:pPr>
              <w:pStyle w:val="C-TableText"/>
              <w:widowControl w:val="0"/>
              <w:jc w:val="center"/>
              <w:rPr>
                <w:sz w:val="22"/>
                <w:szCs w:val="22"/>
              </w:rPr>
            </w:pPr>
            <w:r w:rsidRPr="00801AFD">
              <w:rPr>
                <w:sz w:val="22"/>
                <w:szCs w:val="22"/>
              </w:rPr>
              <w:t>7.9 (8.78)</w:t>
            </w:r>
          </w:p>
        </w:tc>
        <w:tc>
          <w:tcPr>
            <w:tcW w:w="1010" w:type="pct"/>
            <w:tcBorders>
              <w:top w:val="nil"/>
              <w:left w:val="single" w:sz="6" w:space="0" w:color="auto"/>
              <w:bottom w:val="nil"/>
              <w:right w:val="single" w:sz="6" w:space="0" w:color="auto"/>
            </w:tcBorders>
          </w:tcPr>
          <w:p w14:paraId="22D18E82" w14:textId="77777777" w:rsidR="006F6043" w:rsidRPr="00801AFD" w:rsidRDefault="006F6043" w:rsidP="00801AFD">
            <w:pPr>
              <w:pStyle w:val="C-TableText"/>
              <w:widowControl w:val="0"/>
              <w:jc w:val="center"/>
              <w:rPr>
                <w:sz w:val="22"/>
                <w:szCs w:val="22"/>
              </w:rPr>
            </w:pPr>
            <w:r w:rsidRPr="00801AFD">
              <w:rPr>
                <w:sz w:val="22"/>
                <w:szCs w:val="22"/>
              </w:rPr>
              <w:t>4.2 (3.83)</w:t>
            </w:r>
          </w:p>
        </w:tc>
      </w:tr>
      <w:tr w:rsidR="006F6043" w:rsidRPr="00801AFD" w14:paraId="5330615B" w14:textId="77777777" w:rsidTr="00961C31">
        <w:trPr>
          <w:trHeight w:val="145"/>
          <w:jc w:val="center"/>
        </w:trPr>
        <w:tc>
          <w:tcPr>
            <w:tcW w:w="1641" w:type="pct"/>
            <w:vMerge/>
            <w:tcBorders>
              <w:left w:val="single" w:sz="6" w:space="0" w:color="auto"/>
              <w:right w:val="single" w:sz="6" w:space="0" w:color="auto"/>
            </w:tcBorders>
          </w:tcPr>
          <w:p w14:paraId="401E449C" w14:textId="77777777" w:rsidR="006F6043" w:rsidRPr="00801AFD" w:rsidRDefault="006F6043" w:rsidP="00801AFD">
            <w:pPr>
              <w:pStyle w:val="C-TableText"/>
              <w:widowControl w:val="0"/>
              <w:jc w:val="both"/>
              <w:rPr>
                <w:sz w:val="22"/>
                <w:szCs w:val="22"/>
              </w:rPr>
            </w:pPr>
          </w:p>
        </w:tc>
        <w:tc>
          <w:tcPr>
            <w:tcW w:w="1332" w:type="pct"/>
            <w:tcBorders>
              <w:top w:val="nil"/>
              <w:left w:val="single" w:sz="6" w:space="0" w:color="auto"/>
              <w:bottom w:val="single" w:sz="4" w:space="0" w:color="auto"/>
              <w:right w:val="single" w:sz="6" w:space="0" w:color="auto"/>
            </w:tcBorders>
          </w:tcPr>
          <w:p w14:paraId="643AD8C8" w14:textId="77777777" w:rsidR="006F6043" w:rsidRPr="00801AFD" w:rsidRDefault="006F6043" w:rsidP="00801AFD">
            <w:pPr>
              <w:pStyle w:val="C-TableText"/>
              <w:widowControl w:val="0"/>
              <w:jc w:val="center"/>
              <w:rPr>
                <w:sz w:val="22"/>
                <w:szCs w:val="22"/>
              </w:rPr>
            </w:pPr>
            <w:r w:rsidRPr="00801AFD">
              <w:rPr>
                <w:sz w:val="22"/>
                <w:szCs w:val="22"/>
              </w:rPr>
              <w:t>Medijana</w:t>
            </w:r>
          </w:p>
        </w:tc>
        <w:tc>
          <w:tcPr>
            <w:tcW w:w="1018" w:type="pct"/>
            <w:tcBorders>
              <w:top w:val="nil"/>
              <w:left w:val="single" w:sz="6" w:space="0" w:color="auto"/>
              <w:bottom w:val="single" w:sz="4" w:space="0" w:color="auto"/>
              <w:right w:val="single" w:sz="6" w:space="0" w:color="auto"/>
            </w:tcBorders>
          </w:tcPr>
          <w:p w14:paraId="409B4EC4" w14:textId="77777777" w:rsidR="006F6043" w:rsidRPr="00801AFD" w:rsidRDefault="006F6043" w:rsidP="00801AFD">
            <w:pPr>
              <w:pStyle w:val="C-TableText"/>
              <w:widowControl w:val="0"/>
              <w:jc w:val="center"/>
              <w:rPr>
                <w:sz w:val="22"/>
                <w:szCs w:val="22"/>
              </w:rPr>
            </w:pPr>
            <w:r w:rsidRPr="00801AFD">
              <w:rPr>
                <w:sz w:val="22"/>
                <w:szCs w:val="22"/>
              </w:rPr>
              <w:t>4.0</w:t>
            </w:r>
          </w:p>
        </w:tc>
        <w:tc>
          <w:tcPr>
            <w:tcW w:w="1010" w:type="pct"/>
            <w:tcBorders>
              <w:top w:val="nil"/>
              <w:left w:val="single" w:sz="6" w:space="0" w:color="auto"/>
              <w:bottom w:val="single" w:sz="4" w:space="0" w:color="auto"/>
              <w:right w:val="single" w:sz="6" w:space="0" w:color="auto"/>
            </w:tcBorders>
          </w:tcPr>
          <w:p w14:paraId="21299470" w14:textId="77777777" w:rsidR="006F6043" w:rsidRPr="00801AFD" w:rsidRDefault="006F6043" w:rsidP="00801AFD">
            <w:pPr>
              <w:pStyle w:val="C-TableText"/>
              <w:widowControl w:val="0"/>
              <w:jc w:val="center"/>
              <w:rPr>
                <w:sz w:val="22"/>
                <w:szCs w:val="22"/>
              </w:rPr>
            </w:pPr>
            <w:r w:rsidRPr="00801AFD">
              <w:rPr>
                <w:sz w:val="22"/>
                <w:szCs w:val="22"/>
              </w:rPr>
              <w:t>2.5</w:t>
            </w:r>
          </w:p>
        </w:tc>
      </w:tr>
      <w:tr w:rsidR="006F6043" w:rsidRPr="00801AFD" w14:paraId="631A73BC" w14:textId="77777777" w:rsidTr="00961C31">
        <w:trPr>
          <w:trHeight w:val="145"/>
          <w:jc w:val="center"/>
        </w:trPr>
        <w:tc>
          <w:tcPr>
            <w:tcW w:w="1641" w:type="pct"/>
            <w:tcBorders>
              <w:left w:val="single" w:sz="6" w:space="0" w:color="auto"/>
              <w:bottom w:val="nil"/>
              <w:right w:val="single" w:sz="4" w:space="0" w:color="auto"/>
            </w:tcBorders>
          </w:tcPr>
          <w:p w14:paraId="0213C3A4" w14:textId="77777777" w:rsidR="006F6043" w:rsidRPr="00801AFD" w:rsidRDefault="006F6043" w:rsidP="00801AFD">
            <w:pPr>
              <w:pStyle w:val="C-TableText"/>
              <w:widowControl w:val="0"/>
              <w:jc w:val="both"/>
              <w:rPr>
                <w:sz w:val="22"/>
                <w:szCs w:val="22"/>
              </w:rPr>
            </w:pPr>
            <w:r w:rsidRPr="00801AFD">
              <w:rPr>
                <w:sz w:val="22"/>
                <w:szCs w:val="22"/>
              </w:rPr>
              <w:t>Pacijenti sa bilo kojim stanjem usljed PNH</w:t>
            </w:r>
            <w:r w:rsidRPr="00801AFD">
              <w:rPr>
                <w:sz w:val="22"/>
                <w:szCs w:val="22"/>
                <w:vertAlign w:val="superscript"/>
              </w:rPr>
              <w:t>a</w:t>
            </w:r>
            <w:r w:rsidRPr="00801AFD">
              <w:rPr>
                <w:sz w:val="22"/>
                <w:szCs w:val="22"/>
              </w:rPr>
              <w:t xml:space="preserve"> predavanja informisanog pristanka</w:t>
            </w:r>
          </w:p>
        </w:tc>
        <w:tc>
          <w:tcPr>
            <w:tcW w:w="1332" w:type="pct"/>
            <w:tcBorders>
              <w:top w:val="single" w:sz="4" w:space="0" w:color="auto"/>
              <w:left w:val="single" w:sz="4" w:space="0" w:color="auto"/>
              <w:bottom w:val="nil"/>
              <w:right w:val="single" w:sz="4" w:space="0" w:color="auto"/>
            </w:tcBorders>
          </w:tcPr>
          <w:p w14:paraId="4B452D6A" w14:textId="77777777" w:rsidR="006F6043" w:rsidRPr="00801AFD" w:rsidRDefault="006F6043" w:rsidP="00801AFD">
            <w:pPr>
              <w:pStyle w:val="C-TableText"/>
              <w:widowControl w:val="0"/>
              <w:jc w:val="center"/>
              <w:rPr>
                <w:sz w:val="22"/>
                <w:szCs w:val="22"/>
              </w:rPr>
            </w:pPr>
            <w:r w:rsidRPr="00801AFD">
              <w:rPr>
                <w:sz w:val="22"/>
                <w:szCs w:val="22"/>
              </w:rPr>
              <w:t>n (%)</w:t>
            </w:r>
          </w:p>
        </w:tc>
        <w:tc>
          <w:tcPr>
            <w:tcW w:w="1018" w:type="pct"/>
            <w:tcBorders>
              <w:top w:val="single" w:sz="4" w:space="0" w:color="auto"/>
              <w:left w:val="single" w:sz="4" w:space="0" w:color="auto"/>
              <w:bottom w:val="nil"/>
              <w:right w:val="single" w:sz="4" w:space="0" w:color="auto"/>
            </w:tcBorders>
          </w:tcPr>
          <w:p w14:paraId="37EC1640" w14:textId="77777777" w:rsidR="006F6043" w:rsidRPr="00801AFD" w:rsidRDefault="006F6043" w:rsidP="00801AFD">
            <w:pPr>
              <w:pStyle w:val="C-TableText"/>
              <w:widowControl w:val="0"/>
              <w:jc w:val="center"/>
              <w:rPr>
                <w:sz w:val="22"/>
                <w:szCs w:val="22"/>
              </w:rPr>
            </w:pPr>
            <w:r w:rsidRPr="00801AFD">
              <w:rPr>
                <w:sz w:val="22"/>
                <w:szCs w:val="22"/>
              </w:rPr>
              <w:t>90 (92.8)</w:t>
            </w:r>
          </w:p>
        </w:tc>
        <w:tc>
          <w:tcPr>
            <w:tcW w:w="1010" w:type="pct"/>
            <w:tcBorders>
              <w:top w:val="single" w:sz="4" w:space="0" w:color="auto"/>
              <w:left w:val="single" w:sz="4" w:space="0" w:color="auto"/>
              <w:bottom w:val="nil"/>
              <w:right w:val="single" w:sz="4" w:space="0" w:color="auto"/>
            </w:tcBorders>
          </w:tcPr>
          <w:p w14:paraId="771E5E74" w14:textId="77777777" w:rsidR="006F6043" w:rsidRPr="00801AFD" w:rsidRDefault="006F6043" w:rsidP="00801AFD">
            <w:pPr>
              <w:pStyle w:val="C-TableText"/>
              <w:widowControl w:val="0"/>
              <w:jc w:val="center"/>
              <w:rPr>
                <w:sz w:val="22"/>
                <w:szCs w:val="22"/>
              </w:rPr>
            </w:pPr>
            <w:r w:rsidRPr="00801AFD">
              <w:rPr>
                <w:sz w:val="22"/>
                <w:szCs w:val="22"/>
              </w:rPr>
              <w:t>96 (98.0)</w:t>
            </w:r>
          </w:p>
        </w:tc>
      </w:tr>
      <w:tr w:rsidR="006F6043" w:rsidRPr="00801AFD" w14:paraId="5702EF33" w14:textId="77777777" w:rsidTr="00961C31">
        <w:trPr>
          <w:trHeight w:val="145"/>
          <w:jc w:val="center"/>
        </w:trPr>
        <w:tc>
          <w:tcPr>
            <w:tcW w:w="1641" w:type="pct"/>
            <w:tcBorders>
              <w:top w:val="nil"/>
              <w:left w:val="single" w:sz="4" w:space="0" w:color="auto"/>
              <w:bottom w:val="nil"/>
              <w:right w:val="single" w:sz="4" w:space="0" w:color="auto"/>
            </w:tcBorders>
          </w:tcPr>
          <w:p w14:paraId="08D6ED35" w14:textId="65B37113" w:rsidR="006F6043" w:rsidRPr="00801AFD" w:rsidRDefault="006F6043" w:rsidP="00801AFD">
            <w:pPr>
              <w:pStyle w:val="C-TableText"/>
              <w:widowControl w:val="0"/>
              <w:jc w:val="both"/>
              <w:rPr>
                <w:sz w:val="22"/>
                <w:szCs w:val="22"/>
              </w:rPr>
            </w:pPr>
            <w:r w:rsidRPr="00801AFD">
              <w:rPr>
                <w:sz w:val="22"/>
                <w:szCs w:val="22"/>
              </w:rPr>
              <w:t>Anemija</w:t>
            </w:r>
          </w:p>
        </w:tc>
        <w:tc>
          <w:tcPr>
            <w:tcW w:w="1332" w:type="pct"/>
            <w:tcBorders>
              <w:top w:val="nil"/>
              <w:left w:val="single" w:sz="4" w:space="0" w:color="auto"/>
              <w:bottom w:val="nil"/>
              <w:right w:val="single" w:sz="4" w:space="0" w:color="auto"/>
            </w:tcBorders>
          </w:tcPr>
          <w:p w14:paraId="3856D209" w14:textId="77777777" w:rsidR="006F6043" w:rsidRPr="00801AFD" w:rsidRDefault="006F6043" w:rsidP="00801AFD">
            <w:pPr>
              <w:pStyle w:val="C-TableText"/>
              <w:widowControl w:val="0"/>
              <w:jc w:val="center"/>
              <w:rPr>
                <w:sz w:val="22"/>
                <w:szCs w:val="22"/>
              </w:rPr>
            </w:pPr>
          </w:p>
        </w:tc>
        <w:tc>
          <w:tcPr>
            <w:tcW w:w="1018" w:type="pct"/>
            <w:tcBorders>
              <w:top w:val="nil"/>
              <w:left w:val="single" w:sz="4" w:space="0" w:color="auto"/>
              <w:bottom w:val="nil"/>
              <w:right w:val="single" w:sz="4" w:space="0" w:color="auto"/>
            </w:tcBorders>
          </w:tcPr>
          <w:p w14:paraId="75C47D8E" w14:textId="77777777" w:rsidR="006F6043" w:rsidRPr="00801AFD" w:rsidRDefault="006F6043" w:rsidP="00801AFD">
            <w:pPr>
              <w:pStyle w:val="C-TableText"/>
              <w:widowControl w:val="0"/>
              <w:jc w:val="center"/>
              <w:rPr>
                <w:sz w:val="22"/>
                <w:szCs w:val="22"/>
              </w:rPr>
            </w:pPr>
            <w:r w:rsidRPr="00801AFD">
              <w:rPr>
                <w:sz w:val="22"/>
                <w:szCs w:val="22"/>
              </w:rPr>
              <w:t>64 (66.0)</w:t>
            </w:r>
          </w:p>
        </w:tc>
        <w:tc>
          <w:tcPr>
            <w:tcW w:w="1010" w:type="pct"/>
            <w:tcBorders>
              <w:top w:val="nil"/>
              <w:left w:val="single" w:sz="4" w:space="0" w:color="auto"/>
              <w:bottom w:val="nil"/>
              <w:right w:val="single" w:sz="4" w:space="0" w:color="auto"/>
            </w:tcBorders>
          </w:tcPr>
          <w:p w14:paraId="0E11AC12" w14:textId="77777777" w:rsidR="006F6043" w:rsidRPr="00801AFD" w:rsidRDefault="006F6043" w:rsidP="00801AFD">
            <w:pPr>
              <w:pStyle w:val="C-TableText"/>
              <w:widowControl w:val="0"/>
              <w:jc w:val="center"/>
              <w:rPr>
                <w:sz w:val="22"/>
                <w:szCs w:val="22"/>
              </w:rPr>
            </w:pPr>
            <w:r w:rsidRPr="00801AFD">
              <w:rPr>
                <w:sz w:val="22"/>
                <w:szCs w:val="22"/>
              </w:rPr>
              <w:t>67 (68.4)</w:t>
            </w:r>
          </w:p>
        </w:tc>
      </w:tr>
      <w:tr w:rsidR="006F6043" w:rsidRPr="00801AFD" w14:paraId="7208223D" w14:textId="77777777" w:rsidTr="00961C31">
        <w:trPr>
          <w:trHeight w:val="145"/>
          <w:jc w:val="center"/>
        </w:trPr>
        <w:tc>
          <w:tcPr>
            <w:tcW w:w="1641" w:type="pct"/>
            <w:tcBorders>
              <w:top w:val="nil"/>
              <w:left w:val="single" w:sz="4" w:space="0" w:color="auto"/>
              <w:bottom w:val="nil"/>
              <w:right w:val="single" w:sz="4" w:space="0" w:color="auto"/>
            </w:tcBorders>
          </w:tcPr>
          <w:p w14:paraId="269F6E5E" w14:textId="3005D6AC" w:rsidR="006F6043" w:rsidRPr="00801AFD" w:rsidRDefault="006F6043" w:rsidP="00801AFD">
            <w:pPr>
              <w:pStyle w:val="C-TableText"/>
              <w:widowControl w:val="0"/>
              <w:jc w:val="both"/>
              <w:rPr>
                <w:sz w:val="22"/>
                <w:szCs w:val="22"/>
              </w:rPr>
            </w:pPr>
            <w:r w:rsidRPr="00801AFD">
              <w:rPr>
                <w:sz w:val="22"/>
                <w:szCs w:val="22"/>
              </w:rPr>
              <w:t>Hematurija ili hemoglobinurija</w:t>
            </w:r>
          </w:p>
        </w:tc>
        <w:tc>
          <w:tcPr>
            <w:tcW w:w="1332" w:type="pct"/>
            <w:tcBorders>
              <w:top w:val="nil"/>
              <w:left w:val="single" w:sz="4" w:space="0" w:color="auto"/>
              <w:bottom w:val="nil"/>
              <w:right w:val="single" w:sz="4" w:space="0" w:color="auto"/>
            </w:tcBorders>
          </w:tcPr>
          <w:p w14:paraId="4D59C2C5" w14:textId="77777777" w:rsidR="006F6043" w:rsidRPr="00801AFD" w:rsidRDefault="006F6043" w:rsidP="00801AFD">
            <w:pPr>
              <w:pStyle w:val="C-TableText"/>
              <w:widowControl w:val="0"/>
              <w:jc w:val="center"/>
              <w:rPr>
                <w:sz w:val="22"/>
                <w:szCs w:val="22"/>
              </w:rPr>
            </w:pPr>
          </w:p>
        </w:tc>
        <w:tc>
          <w:tcPr>
            <w:tcW w:w="1018" w:type="pct"/>
            <w:tcBorders>
              <w:top w:val="nil"/>
              <w:left w:val="single" w:sz="4" w:space="0" w:color="auto"/>
              <w:bottom w:val="nil"/>
              <w:right w:val="single" w:sz="4" w:space="0" w:color="auto"/>
            </w:tcBorders>
          </w:tcPr>
          <w:p w14:paraId="0791E95E" w14:textId="77777777" w:rsidR="006F6043" w:rsidRPr="00801AFD" w:rsidRDefault="006F6043" w:rsidP="00801AFD">
            <w:pPr>
              <w:pStyle w:val="C-TableText"/>
              <w:widowControl w:val="0"/>
              <w:jc w:val="center"/>
              <w:rPr>
                <w:sz w:val="22"/>
                <w:szCs w:val="22"/>
              </w:rPr>
            </w:pPr>
            <w:r w:rsidRPr="00801AFD">
              <w:rPr>
                <w:sz w:val="22"/>
                <w:szCs w:val="22"/>
              </w:rPr>
              <w:t>47 (48.5)</w:t>
            </w:r>
          </w:p>
        </w:tc>
        <w:tc>
          <w:tcPr>
            <w:tcW w:w="1010" w:type="pct"/>
            <w:tcBorders>
              <w:top w:val="nil"/>
              <w:left w:val="single" w:sz="4" w:space="0" w:color="auto"/>
              <w:bottom w:val="nil"/>
              <w:right w:val="single" w:sz="4" w:space="0" w:color="auto"/>
            </w:tcBorders>
          </w:tcPr>
          <w:p w14:paraId="03B280E9" w14:textId="77777777" w:rsidR="006F6043" w:rsidRPr="00801AFD" w:rsidRDefault="006F6043" w:rsidP="00801AFD">
            <w:pPr>
              <w:pStyle w:val="C-TableText"/>
              <w:widowControl w:val="0"/>
              <w:jc w:val="center"/>
              <w:rPr>
                <w:sz w:val="22"/>
                <w:szCs w:val="22"/>
              </w:rPr>
            </w:pPr>
            <w:r w:rsidRPr="00801AFD">
              <w:rPr>
                <w:sz w:val="22"/>
                <w:szCs w:val="22"/>
              </w:rPr>
              <w:t>48 (49.0)</w:t>
            </w:r>
          </w:p>
        </w:tc>
      </w:tr>
      <w:tr w:rsidR="006F6043" w:rsidRPr="00801AFD" w14:paraId="4E554BC3" w14:textId="77777777" w:rsidTr="00961C31">
        <w:trPr>
          <w:trHeight w:val="145"/>
          <w:jc w:val="center"/>
        </w:trPr>
        <w:tc>
          <w:tcPr>
            <w:tcW w:w="1641" w:type="pct"/>
            <w:tcBorders>
              <w:top w:val="nil"/>
              <w:left w:val="single" w:sz="4" w:space="0" w:color="auto"/>
              <w:bottom w:val="nil"/>
              <w:right w:val="single" w:sz="4" w:space="0" w:color="auto"/>
            </w:tcBorders>
          </w:tcPr>
          <w:p w14:paraId="3D1675D2" w14:textId="6B09461F" w:rsidR="006F6043" w:rsidRPr="00801AFD" w:rsidRDefault="006F6043" w:rsidP="00801AFD">
            <w:pPr>
              <w:pStyle w:val="C-TableText"/>
              <w:widowControl w:val="0"/>
              <w:jc w:val="both"/>
              <w:rPr>
                <w:sz w:val="22"/>
                <w:szCs w:val="22"/>
              </w:rPr>
            </w:pPr>
            <w:r w:rsidRPr="00801AFD">
              <w:rPr>
                <w:sz w:val="22"/>
                <w:szCs w:val="22"/>
              </w:rPr>
              <w:t>Aplastična anemija</w:t>
            </w:r>
          </w:p>
        </w:tc>
        <w:tc>
          <w:tcPr>
            <w:tcW w:w="1332" w:type="pct"/>
            <w:tcBorders>
              <w:top w:val="nil"/>
              <w:left w:val="single" w:sz="4" w:space="0" w:color="auto"/>
              <w:bottom w:val="nil"/>
              <w:right w:val="single" w:sz="4" w:space="0" w:color="auto"/>
            </w:tcBorders>
          </w:tcPr>
          <w:p w14:paraId="21B2D647" w14:textId="77777777" w:rsidR="006F6043" w:rsidRPr="00801AFD" w:rsidRDefault="006F6043" w:rsidP="00801AFD">
            <w:pPr>
              <w:pStyle w:val="C-TableText"/>
              <w:widowControl w:val="0"/>
              <w:jc w:val="center"/>
              <w:rPr>
                <w:sz w:val="22"/>
                <w:szCs w:val="22"/>
              </w:rPr>
            </w:pPr>
          </w:p>
        </w:tc>
        <w:tc>
          <w:tcPr>
            <w:tcW w:w="1018" w:type="pct"/>
            <w:tcBorders>
              <w:top w:val="nil"/>
              <w:left w:val="single" w:sz="4" w:space="0" w:color="auto"/>
              <w:bottom w:val="nil"/>
              <w:right w:val="single" w:sz="4" w:space="0" w:color="auto"/>
            </w:tcBorders>
          </w:tcPr>
          <w:p w14:paraId="64D3253A" w14:textId="77777777" w:rsidR="006F6043" w:rsidRPr="00801AFD" w:rsidRDefault="006F6043" w:rsidP="00801AFD">
            <w:pPr>
              <w:pStyle w:val="C-TableText"/>
              <w:widowControl w:val="0"/>
              <w:jc w:val="center"/>
              <w:rPr>
                <w:sz w:val="22"/>
                <w:szCs w:val="22"/>
              </w:rPr>
            </w:pPr>
            <w:r w:rsidRPr="00801AFD">
              <w:rPr>
                <w:sz w:val="22"/>
                <w:szCs w:val="22"/>
              </w:rPr>
              <w:t>34 (35.1)</w:t>
            </w:r>
          </w:p>
        </w:tc>
        <w:tc>
          <w:tcPr>
            <w:tcW w:w="1010" w:type="pct"/>
            <w:tcBorders>
              <w:top w:val="nil"/>
              <w:left w:val="single" w:sz="4" w:space="0" w:color="auto"/>
              <w:bottom w:val="nil"/>
              <w:right w:val="single" w:sz="4" w:space="0" w:color="auto"/>
            </w:tcBorders>
          </w:tcPr>
          <w:p w14:paraId="13480E32" w14:textId="77777777" w:rsidR="006F6043" w:rsidRPr="00801AFD" w:rsidRDefault="006F6043" w:rsidP="00801AFD">
            <w:pPr>
              <w:pStyle w:val="C-TableText"/>
              <w:widowControl w:val="0"/>
              <w:jc w:val="center"/>
              <w:rPr>
                <w:sz w:val="22"/>
                <w:szCs w:val="22"/>
              </w:rPr>
            </w:pPr>
            <w:r w:rsidRPr="00801AFD">
              <w:rPr>
                <w:sz w:val="22"/>
                <w:szCs w:val="22"/>
              </w:rPr>
              <w:t>39 (39.8)</w:t>
            </w:r>
          </w:p>
        </w:tc>
      </w:tr>
      <w:tr w:rsidR="006F6043" w:rsidRPr="00801AFD" w14:paraId="665C17D6" w14:textId="77777777" w:rsidTr="00961C31">
        <w:trPr>
          <w:trHeight w:val="145"/>
          <w:jc w:val="center"/>
        </w:trPr>
        <w:tc>
          <w:tcPr>
            <w:tcW w:w="1641" w:type="pct"/>
            <w:tcBorders>
              <w:top w:val="nil"/>
              <w:left w:val="single" w:sz="4" w:space="0" w:color="auto"/>
              <w:bottom w:val="nil"/>
              <w:right w:val="single" w:sz="4" w:space="0" w:color="auto"/>
            </w:tcBorders>
          </w:tcPr>
          <w:p w14:paraId="39484923" w14:textId="5DD3F198" w:rsidR="006F6043" w:rsidRPr="00801AFD" w:rsidRDefault="006F6043" w:rsidP="00801AFD">
            <w:pPr>
              <w:pStyle w:val="C-TableText"/>
              <w:widowControl w:val="0"/>
              <w:jc w:val="both"/>
              <w:rPr>
                <w:sz w:val="22"/>
                <w:szCs w:val="22"/>
              </w:rPr>
            </w:pPr>
            <w:r w:rsidRPr="00801AFD">
              <w:rPr>
                <w:sz w:val="22"/>
                <w:szCs w:val="22"/>
              </w:rPr>
              <w:t>Insuficijencija bubrega</w:t>
            </w:r>
          </w:p>
        </w:tc>
        <w:tc>
          <w:tcPr>
            <w:tcW w:w="1332" w:type="pct"/>
            <w:tcBorders>
              <w:top w:val="nil"/>
              <w:left w:val="single" w:sz="4" w:space="0" w:color="auto"/>
              <w:bottom w:val="nil"/>
              <w:right w:val="single" w:sz="4" w:space="0" w:color="auto"/>
            </w:tcBorders>
          </w:tcPr>
          <w:p w14:paraId="252AA0A1" w14:textId="77777777" w:rsidR="006F6043" w:rsidRPr="00801AFD" w:rsidRDefault="006F6043" w:rsidP="00801AFD">
            <w:pPr>
              <w:pStyle w:val="C-TableText"/>
              <w:widowControl w:val="0"/>
              <w:jc w:val="center"/>
              <w:rPr>
                <w:sz w:val="22"/>
                <w:szCs w:val="22"/>
              </w:rPr>
            </w:pPr>
          </w:p>
        </w:tc>
        <w:tc>
          <w:tcPr>
            <w:tcW w:w="1018" w:type="pct"/>
            <w:tcBorders>
              <w:top w:val="nil"/>
              <w:left w:val="single" w:sz="4" w:space="0" w:color="auto"/>
              <w:bottom w:val="nil"/>
              <w:right w:val="single" w:sz="4" w:space="0" w:color="auto"/>
            </w:tcBorders>
          </w:tcPr>
          <w:p w14:paraId="6F60FCF4" w14:textId="77777777" w:rsidR="006F6043" w:rsidRPr="00801AFD" w:rsidRDefault="006F6043" w:rsidP="00801AFD">
            <w:pPr>
              <w:pStyle w:val="C-TableText"/>
              <w:widowControl w:val="0"/>
              <w:jc w:val="center"/>
              <w:rPr>
                <w:sz w:val="22"/>
                <w:szCs w:val="22"/>
              </w:rPr>
            </w:pPr>
            <w:r w:rsidRPr="00801AFD">
              <w:rPr>
                <w:sz w:val="22"/>
                <w:szCs w:val="22"/>
              </w:rPr>
              <w:t>11 (11.3)</w:t>
            </w:r>
          </w:p>
        </w:tc>
        <w:tc>
          <w:tcPr>
            <w:tcW w:w="1010" w:type="pct"/>
            <w:tcBorders>
              <w:top w:val="nil"/>
              <w:left w:val="single" w:sz="4" w:space="0" w:color="auto"/>
              <w:bottom w:val="nil"/>
              <w:right w:val="single" w:sz="4" w:space="0" w:color="auto"/>
            </w:tcBorders>
          </w:tcPr>
          <w:p w14:paraId="76D50CE1" w14:textId="77777777" w:rsidR="006F6043" w:rsidRPr="00801AFD" w:rsidRDefault="006F6043" w:rsidP="00801AFD">
            <w:pPr>
              <w:pStyle w:val="C-TableText"/>
              <w:widowControl w:val="0"/>
              <w:jc w:val="center"/>
              <w:rPr>
                <w:sz w:val="22"/>
                <w:szCs w:val="22"/>
              </w:rPr>
            </w:pPr>
            <w:r w:rsidRPr="00801AFD">
              <w:rPr>
                <w:sz w:val="22"/>
                <w:szCs w:val="22"/>
              </w:rPr>
              <w:t>7 (7.1)</w:t>
            </w:r>
          </w:p>
        </w:tc>
      </w:tr>
      <w:tr w:rsidR="006F6043" w:rsidRPr="00801AFD" w14:paraId="1600A968" w14:textId="77777777" w:rsidTr="00961C31">
        <w:trPr>
          <w:trHeight w:val="145"/>
          <w:jc w:val="center"/>
        </w:trPr>
        <w:tc>
          <w:tcPr>
            <w:tcW w:w="1641" w:type="pct"/>
            <w:tcBorders>
              <w:top w:val="nil"/>
              <w:left w:val="single" w:sz="4" w:space="0" w:color="auto"/>
              <w:bottom w:val="nil"/>
              <w:right w:val="single" w:sz="4" w:space="0" w:color="auto"/>
            </w:tcBorders>
          </w:tcPr>
          <w:p w14:paraId="760B4F92" w14:textId="26E8486F" w:rsidR="006F6043" w:rsidRPr="00801AFD" w:rsidRDefault="006F6043" w:rsidP="00801AFD">
            <w:pPr>
              <w:pStyle w:val="C-TableText"/>
              <w:widowControl w:val="0"/>
              <w:jc w:val="both"/>
              <w:rPr>
                <w:sz w:val="22"/>
                <w:szCs w:val="22"/>
              </w:rPr>
            </w:pPr>
            <w:r w:rsidRPr="00801AFD">
              <w:rPr>
                <w:sz w:val="22"/>
                <w:szCs w:val="22"/>
              </w:rPr>
              <w:t>Mijelodisplastični sindrom</w:t>
            </w:r>
          </w:p>
        </w:tc>
        <w:tc>
          <w:tcPr>
            <w:tcW w:w="1332" w:type="pct"/>
            <w:tcBorders>
              <w:top w:val="nil"/>
              <w:left w:val="single" w:sz="4" w:space="0" w:color="auto"/>
              <w:bottom w:val="nil"/>
              <w:right w:val="single" w:sz="4" w:space="0" w:color="auto"/>
            </w:tcBorders>
          </w:tcPr>
          <w:p w14:paraId="2AF88449" w14:textId="77777777" w:rsidR="006F6043" w:rsidRPr="00801AFD" w:rsidRDefault="006F6043" w:rsidP="00801AFD">
            <w:pPr>
              <w:pStyle w:val="C-TableText"/>
              <w:widowControl w:val="0"/>
              <w:jc w:val="center"/>
              <w:rPr>
                <w:sz w:val="22"/>
                <w:szCs w:val="22"/>
              </w:rPr>
            </w:pPr>
          </w:p>
        </w:tc>
        <w:tc>
          <w:tcPr>
            <w:tcW w:w="1018" w:type="pct"/>
            <w:tcBorders>
              <w:top w:val="nil"/>
              <w:left w:val="single" w:sz="4" w:space="0" w:color="auto"/>
              <w:bottom w:val="nil"/>
              <w:right w:val="single" w:sz="4" w:space="0" w:color="auto"/>
            </w:tcBorders>
          </w:tcPr>
          <w:p w14:paraId="1AF79BE5" w14:textId="77777777" w:rsidR="006F6043" w:rsidRPr="00801AFD" w:rsidRDefault="006F6043" w:rsidP="00801AFD">
            <w:pPr>
              <w:pStyle w:val="C-TableText"/>
              <w:widowControl w:val="0"/>
              <w:jc w:val="center"/>
              <w:rPr>
                <w:sz w:val="22"/>
                <w:szCs w:val="22"/>
              </w:rPr>
            </w:pPr>
            <w:r w:rsidRPr="00801AFD">
              <w:rPr>
                <w:sz w:val="22"/>
                <w:szCs w:val="22"/>
              </w:rPr>
              <w:t>3 (3.1)</w:t>
            </w:r>
          </w:p>
        </w:tc>
        <w:tc>
          <w:tcPr>
            <w:tcW w:w="1010" w:type="pct"/>
            <w:tcBorders>
              <w:top w:val="nil"/>
              <w:left w:val="single" w:sz="4" w:space="0" w:color="auto"/>
              <w:bottom w:val="nil"/>
              <w:right w:val="single" w:sz="4" w:space="0" w:color="auto"/>
            </w:tcBorders>
          </w:tcPr>
          <w:p w14:paraId="28245C96" w14:textId="77777777" w:rsidR="006F6043" w:rsidRPr="00801AFD" w:rsidRDefault="006F6043" w:rsidP="00801AFD">
            <w:pPr>
              <w:pStyle w:val="C-TableText"/>
              <w:widowControl w:val="0"/>
              <w:jc w:val="center"/>
              <w:rPr>
                <w:sz w:val="22"/>
                <w:szCs w:val="22"/>
              </w:rPr>
            </w:pPr>
            <w:r w:rsidRPr="00801AFD">
              <w:rPr>
                <w:sz w:val="22"/>
                <w:szCs w:val="22"/>
              </w:rPr>
              <w:t>6 (6.1)</w:t>
            </w:r>
          </w:p>
        </w:tc>
      </w:tr>
      <w:tr w:rsidR="006F6043" w:rsidRPr="00801AFD" w14:paraId="0DD68D55" w14:textId="77777777" w:rsidTr="00961C31">
        <w:trPr>
          <w:trHeight w:val="145"/>
          <w:jc w:val="center"/>
        </w:trPr>
        <w:tc>
          <w:tcPr>
            <w:tcW w:w="1641" w:type="pct"/>
            <w:tcBorders>
              <w:top w:val="nil"/>
              <w:left w:val="single" w:sz="4" w:space="0" w:color="auto"/>
              <w:bottom w:val="nil"/>
              <w:right w:val="single" w:sz="4" w:space="0" w:color="auto"/>
            </w:tcBorders>
          </w:tcPr>
          <w:p w14:paraId="326FB620" w14:textId="382F9999" w:rsidR="006F6043" w:rsidRPr="00801AFD" w:rsidRDefault="006F6043" w:rsidP="00801AFD">
            <w:pPr>
              <w:pStyle w:val="C-TableText"/>
              <w:widowControl w:val="0"/>
              <w:jc w:val="both"/>
              <w:rPr>
                <w:sz w:val="22"/>
                <w:szCs w:val="22"/>
              </w:rPr>
            </w:pPr>
            <w:r w:rsidRPr="00801AFD">
              <w:rPr>
                <w:sz w:val="22"/>
                <w:szCs w:val="22"/>
              </w:rPr>
              <w:t>Komplikacije trudnoće</w:t>
            </w:r>
          </w:p>
        </w:tc>
        <w:tc>
          <w:tcPr>
            <w:tcW w:w="1332" w:type="pct"/>
            <w:tcBorders>
              <w:top w:val="nil"/>
              <w:left w:val="single" w:sz="4" w:space="0" w:color="auto"/>
              <w:bottom w:val="nil"/>
              <w:right w:val="single" w:sz="4" w:space="0" w:color="auto"/>
            </w:tcBorders>
          </w:tcPr>
          <w:p w14:paraId="02AABE13" w14:textId="77777777" w:rsidR="006F6043" w:rsidRPr="00801AFD" w:rsidRDefault="006F6043" w:rsidP="00801AFD">
            <w:pPr>
              <w:pStyle w:val="C-TableText"/>
              <w:widowControl w:val="0"/>
              <w:jc w:val="center"/>
              <w:rPr>
                <w:sz w:val="22"/>
                <w:szCs w:val="22"/>
              </w:rPr>
            </w:pPr>
          </w:p>
        </w:tc>
        <w:tc>
          <w:tcPr>
            <w:tcW w:w="1018" w:type="pct"/>
            <w:tcBorders>
              <w:top w:val="nil"/>
              <w:left w:val="single" w:sz="4" w:space="0" w:color="auto"/>
              <w:bottom w:val="nil"/>
              <w:right w:val="single" w:sz="4" w:space="0" w:color="auto"/>
            </w:tcBorders>
          </w:tcPr>
          <w:p w14:paraId="6B4A8736" w14:textId="77777777" w:rsidR="006F6043" w:rsidRPr="00801AFD" w:rsidRDefault="006F6043" w:rsidP="00801AFD">
            <w:pPr>
              <w:pStyle w:val="C-TableText"/>
              <w:widowControl w:val="0"/>
              <w:jc w:val="center"/>
              <w:rPr>
                <w:sz w:val="22"/>
                <w:szCs w:val="22"/>
              </w:rPr>
            </w:pPr>
            <w:r w:rsidRPr="00801AFD">
              <w:rPr>
                <w:sz w:val="22"/>
                <w:szCs w:val="22"/>
              </w:rPr>
              <w:t>4 (4.1)</w:t>
            </w:r>
          </w:p>
        </w:tc>
        <w:tc>
          <w:tcPr>
            <w:tcW w:w="1010" w:type="pct"/>
            <w:tcBorders>
              <w:top w:val="nil"/>
              <w:left w:val="single" w:sz="4" w:space="0" w:color="auto"/>
              <w:bottom w:val="nil"/>
              <w:right w:val="single" w:sz="4" w:space="0" w:color="auto"/>
            </w:tcBorders>
          </w:tcPr>
          <w:p w14:paraId="2532182F" w14:textId="77777777" w:rsidR="006F6043" w:rsidRPr="00801AFD" w:rsidRDefault="006F6043" w:rsidP="00801AFD">
            <w:pPr>
              <w:pStyle w:val="C-TableText"/>
              <w:widowControl w:val="0"/>
              <w:jc w:val="center"/>
              <w:rPr>
                <w:sz w:val="22"/>
                <w:szCs w:val="22"/>
              </w:rPr>
            </w:pPr>
            <w:r w:rsidRPr="00801AFD">
              <w:rPr>
                <w:sz w:val="22"/>
                <w:szCs w:val="22"/>
              </w:rPr>
              <w:t>9 (9.2)</w:t>
            </w:r>
          </w:p>
        </w:tc>
      </w:tr>
      <w:tr w:rsidR="006F6043" w:rsidRPr="00801AFD" w14:paraId="74831EFC" w14:textId="77777777" w:rsidTr="00961C31">
        <w:trPr>
          <w:trHeight w:val="145"/>
          <w:jc w:val="center"/>
        </w:trPr>
        <w:tc>
          <w:tcPr>
            <w:tcW w:w="1641" w:type="pct"/>
            <w:tcBorders>
              <w:top w:val="nil"/>
              <w:left w:val="single" w:sz="6" w:space="0" w:color="auto"/>
              <w:bottom w:val="single" w:sz="4" w:space="0" w:color="auto"/>
              <w:right w:val="single" w:sz="4" w:space="0" w:color="auto"/>
            </w:tcBorders>
          </w:tcPr>
          <w:p w14:paraId="7AF8A993" w14:textId="1524632B" w:rsidR="006F6043" w:rsidRPr="00801AFD" w:rsidRDefault="006F6043" w:rsidP="00801AFD">
            <w:pPr>
              <w:pStyle w:val="C-TableText"/>
              <w:widowControl w:val="0"/>
              <w:jc w:val="both"/>
              <w:rPr>
                <w:sz w:val="22"/>
                <w:szCs w:val="22"/>
              </w:rPr>
            </w:pPr>
            <w:r w:rsidRPr="00801AFD">
              <w:rPr>
                <w:sz w:val="22"/>
                <w:szCs w:val="22"/>
              </w:rPr>
              <w:t>Ostalo</w:t>
            </w:r>
            <w:r w:rsidRPr="00801AFD">
              <w:rPr>
                <w:sz w:val="22"/>
                <w:szCs w:val="22"/>
                <w:vertAlign w:val="superscript"/>
              </w:rPr>
              <w:t>b</w:t>
            </w:r>
          </w:p>
        </w:tc>
        <w:tc>
          <w:tcPr>
            <w:tcW w:w="1332" w:type="pct"/>
            <w:tcBorders>
              <w:top w:val="nil"/>
              <w:left w:val="single" w:sz="4" w:space="0" w:color="auto"/>
              <w:bottom w:val="single" w:sz="4" w:space="0" w:color="auto"/>
              <w:right w:val="single" w:sz="4" w:space="0" w:color="auto"/>
            </w:tcBorders>
          </w:tcPr>
          <w:p w14:paraId="308E7958" w14:textId="77777777" w:rsidR="006F6043" w:rsidRPr="00801AFD" w:rsidRDefault="006F6043" w:rsidP="00801AFD">
            <w:pPr>
              <w:pStyle w:val="C-TableText"/>
              <w:widowControl w:val="0"/>
              <w:jc w:val="center"/>
              <w:rPr>
                <w:sz w:val="22"/>
                <w:szCs w:val="22"/>
              </w:rPr>
            </w:pPr>
          </w:p>
        </w:tc>
        <w:tc>
          <w:tcPr>
            <w:tcW w:w="1018" w:type="pct"/>
            <w:tcBorders>
              <w:top w:val="nil"/>
              <w:left w:val="single" w:sz="4" w:space="0" w:color="auto"/>
              <w:bottom w:val="single" w:sz="4" w:space="0" w:color="auto"/>
              <w:right w:val="single" w:sz="4" w:space="0" w:color="auto"/>
            </w:tcBorders>
          </w:tcPr>
          <w:p w14:paraId="64D1F211" w14:textId="77777777" w:rsidR="006F6043" w:rsidRPr="00801AFD" w:rsidRDefault="006F6043" w:rsidP="00801AFD">
            <w:pPr>
              <w:pStyle w:val="C-TableText"/>
              <w:widowControl w:val="0"/>
              <w:jc w:val="center"/>
              <w:rPr>
                <w:sz w:val="22"/>
                <w:szCs w:val="22"/>
              </w:rPr>
            </w:pPr>
            <w:r w:rsidRPr="00801AFD">
              <w:rPr>
                <w:sz w:val="22"/>
                <w:szCs w:val="22"/>
              </w:rPr>
              <w:t>14 (14.4)</w:t>
            </w:r>
          </w:p>
        </w:tc>
        <w:tc>
          <w:tcPr>
            <w:tcW w:w="1010" w:type="pct"/>
            <w:tcBorders>
              <w:top w:val="nil"/>
              <w:left w:val="single" w:sz="4" w:space="0" w:color="auto"/>
              <w:bottom w:val="single" w:sz="4" w:space="0" w:color="auto"/>
              <w:right w:val="single" w:sz="4" w:space="0" w:color="auto"/>
            </w:tcBorders>
          </w:tcPr>
          <w:p w14:paraId="654072DB" w14:textId="77777777" w:rsidR="006F6043" w:rsidRPr="00801AFD" w:rsidRDefault="006F6043" w:rsidP="00801AFD">
            <w:pPr>
              <w:pStyle w:val="C-TableText"/>
              <w:widowControl w:val="0"/>
              <w:jc w:val="center"/>
              <w:rPr>
                <w:sz w:val="22"/>
                <w:szCs w:val="22"/>
              </w:rPr>
            </w:pPr>
            <w:r w:rsidRPr="00801AFD">
              <w:rPr>
                <w:sz w:val="22"/>
                <w:szCs w:val="22"/>
              </w:rPr>
              <w:t>14 (14.3)</w:t>
            </w:r>
          </w:p>
        </w:tc>
      </w:tr>
    </w:tbl>
    <w:p w14:paraId="6548AB2C" w14:textId="77777777" w:rsidR="006F6043" w:rsidRPr="00961C31" w:rsidRDefault="006F6043" w:rsidP="00801AFD">
      <w:pPr>
        <w:widowControl w:val="0"/>
        <w:jc w:val="both"/>
        <w:rPr>
          <w:color w:val="000000"/>
          <w:sz w:val="20"/>
          <w:szCs w:val="22"/>
          <w:lang w:val="sr-Latn-ME"/>
        </w:rPr>
      </w:pPr>
      <w:r w:rsidRPr="00961C31">
        <w:rPr>
          <w:color w:val="000000"/>
          <w:sz w:val="20"/>
          <w:szCs w:val="22"/>
          <w:vertAlign w:val="superscript"/>
          <w:lang w:val="sr-Latn-ME"/>
        </w:rPr>
        <w:t>a</w:t>
      </w:r>
      <w:r w:rsidRPr="00961C31">
        <w:rPr>
          <w:color w:val="000000"/>
          <w:sz w:val="20"/>
          <w:szCs w:val="22"/>
          <w:lang w:val="sr-Latn-ME"/>
        </w:rPr>
        <w:t xml:space="preserve"> Na osnovu istorije bolesti.</w:t>
      </w:r>
    </w:p>
    <w:p w14:paraId="2FDB9A1E" w14:textId="77777777" w:rsidR="006F6043" w:rsidRPr="00961C31" w:rsidRDefault="006F6043" w:rsidP="00801AFD">
      <w:pPr>
        <w:widowControl w:val="0"/>
        <w:jc w:val="both"/>
        <w:rPr>
          <w:color w:val="000000"/>
          <w:sz w:val="20"/>
          <w:szCs w:val="22"/>
          <w:lang w:val="sr-Latn-ME"/>
        </w:rPr>
      </w:pPr>
      <w:r w:rsidRPr="00961C31">
        <w:rPr>
          <w:color w:val="000000"/>
          <w:sz w:val="20"/>
          <w:szCs w:val="22"/>
          <w:vertAlign w:val="superscript"/>
          <w:lang w:val="sr-Latn-ME"/>
        </w:rPr>
        <w:t>b</w:t>
      </w:r>
      <w:r w:rsidRPr="00961C31">
        <w:rPr>
          <w:color w:val="000000"/>
          <w:sz w:val="20"/>
          <w:szCs w:val="22"/>
          <w:lang w:val="sr-Latn-ME"/>
        </w:rPr>
        <w:t xml:space="preserve"> "Ostalo" uključuje neutropeniju, bubrežnu disfunkciju i trombocitopeniju, kao i niz drugih stanja.</w:t>
      </w:r>
    </w:p>
    <w:p w14:paraId="16B4304A" w14:textId="77777777" w:rsidR="006F6043" w:rsidRPr="00801AFD" w:rsidRDefault="006F6043" w:rsidP="00801AFD">
      <w:pPr>
        <w:widowControl w:val="0"/>
        <w:jc w:val="both"/>
        <w:rPr>
          <w:color w:val="000000"/>
          <w:sz w:val="22"/>
          <w:szCs w:val="22"/>
          <w:lang w:val="sr-Latn-ME"/>
        </w:rPr>
      </w:pPr>
    </w:p>
    <w:p w14:paraId="19AD53FD" w14:textId="447E9E5F" w:rsidR="006F6043" w:rsidRPr="00801AFD" w:rsidRDefault="006F6043" w:rsidP="00801AFD">
      <w:pPr>
        <w:widowControl w:val="0"/>
        <w:jc w:val="both"/>
        <w:rPr>
          <w:color w:val="000000"/>
          <w:sz w:val="22"/>
          <w:szCs w:val="22"/>
          <w:lang w:val="sr-Latn-ME"/>
        </w:rPr>
      </w:pPr>
      <w:r w:rsidRPr="00801AFD">
        <w:rPr>
          <w:color w:val="000000"/>
          <w:sz w:val="22"/>
          <w:szCs w:val="22"/>
          <w:lang w:val="sr-Latn-ME"/>
        </w:rPr>
        <w:t>M</w:t>
      </w:r>
      <w:r w:rsidR="005727AA" w:rsidRPr="00801AFD">
        <w:rPr>
          <w:color w:val="000000"/>
          <w:sz w:val="22"/>
          <w:szCs w:val="22"/>
          <w:lang w:val="sr-Latn-ME"/>
        </w:rPr>
        <w:t>j</w:t>
      </w:r>
      <w:r w:rsidRPr="00801AFD">
        <w:rPr>
          <w:color w:val="000000"/>
          <w:sz w:val="22"/>
          <w:szCs w:val="22"/>
          <w:lang w:val="sr-Latn-ME"/>
        </w:rPr>
        <w:t xml:space="preserve">era primarnog ishoda bila je hemoliza mjerena kao procentualna promjena vrijednosti LDH </w:t>
      </w:r>
      <w:r w:rsidR="005727AA" w:rsidRPr="00801AFD">
        <w:rPr>
          <w:color w:val="000000"/>
          <w:sz w:val="22"/>
          <w:szCs w:val="22"/>
          <w:lang w:val="sr-Latn-ME"/>
        </w:rPr>
        <w:t xml:space="preserve">u odnosu na </w:t>
      </w:r>
      <w:r w:rsidRPr="00801AFD">
        <w:rPr>
          <w:color w:val="000000"/>
          <w:sz w:val="22"/>
          <w:szCs w:val="22"/>
          <w:lang w:val="sr-Latn-ME"/>
        </w:rPr>
        <w:t>početn</w:t>
      </w:r>
      <w:r w:rsidR="005727AA" w:rsidRPr="00801AFD">
        <w:rPr>
          <w:color w:val="000000"/>
          <w:sz w:val="22"/>
          <w:szCs w:val="22"/>
          <w:lang w:val="sr-Latn-ME"/>
        </w:rPr>
        <w:t>u</w:t>
      </w:r>
      <w:r w:rsidRPr="00801AFD">
        <w:rPr>
          <w:color w:val="000000"/>
          <w:sz w:val="22"/>
          <w:szCs w:val="22"/>
          <w:lang w:val="sr-Latn-ME"/>
        </w:rPr>
        <w:t xml:space="preserve"> vrijednost. Sekundarne mjere ishoda obuhvatale su procenat pacijenata sa probojnom hemolizom, kvalitet života (FACIT-umor), izbjegavanje transfuzije i procenat pacijenata sa stabilizovanim hemoglobinom.</w:t>
      </w:r>
    </w:p>
    <w:p w14:paraId="297BC0DE" w14:textId="77777777" w:rsidR="006F6043" w:rsidRPr="00801AFD" w:rsidRDefault="006F6043" w:rsidP="00801AFD">
      <w:pPr>
        <w:widowControl w:val="0"/>
        <w:jc w:val="both"/>
        <w:rPr>
          <w:color w:val="000000"/>
          <w:sz w:val="22"/>
          <w:szCs w:val="22"/>
          <w:lang w:val="sr-Latn-ME"/>
        </w:rPr>
      </w:pPr>
    </w:p>
    <w:p w14:paraId="0BA2C1B8" w14:textId="488E735C" w:rsidR="006F6043" w:rsidRPr="00801AFD" w:rsidRDefault="006F6043" w:rsidP="00801AFD">
      <w:pPr>
        <w:widowControl w:val="0"/>
        <w:jc w:val="both"/>
        <w:rPr>
          <w:color w:val="000000"/>
          <w:sz w:val="22"/>
          <w:szCs w:val="22"/>
          <w:lang w:val="sr-Latn-ME"/>
        </w:rPr>
      </w:pPr>
      <w:r w:rsidRPr="00801AFD">
        <w:rPr>
          <w:color w:val="000000"/>
          <w:sz w:val="22"/>
          <w:szCs w:val="22"/>
          <w:lang w:val="sr-Latn-ME"/>
        </w:rPr>
        <w:t>Ravulizumab nije bio inferioran u odnosu na ekulizumab u primarnoj mjeri ishoda, procentualnoj promjeni vrijednosti LDH od počet</w:t>
      </w:r>
      <w:r w:rsidR="005727AA" w:rsidRPr="00801AFD">
        <w:rPr>
          <w:color w:val="000000"/>
          <w:sz w:val="22"/>
          <w:szCs w:val="22"/>
          <w:lang w:val="sr-Latn-ME"/>
        </w:rPr>
        <w:t>ka</w:t>
      </w:r>
      <w:r w:rsidRPr="00801AFD">
        <w:rPr>
          <w:color w:val="000000"/>
          <w:sz w:val="22"/>
          <w:szCs w:val="22"/>
          <w:lang w:val="sr-Latn-ME"/>
        </w:rPr>
        <w:t xml:space="preserve"> do 183. dana i u sve 4 ključne sekundarne mjere ishoda (slika 2).</w:t>
      </w:r>
    </w:p>
    <w:p w14:paraId="7DEE64BD" w14:textId="77777777" w:rsidR="006F6043" w:rsidRPr="00801AFD" w:rsidRDefault="006F6043" w:rsidP="00801AFD">
      <w:pPr>
        <w:widowControl w:val="0"/>
        <w:jc w:val="both"/>
        <w:rPr>
          <w:b/>
          <w:bCs/>
          <w:color w:val="000000"/>
          <w:sz w:val="22"/>
          <w:szCs w:val="22"/>
          <w:lang w:val="sr-Latn-ME"/>
        </w:rPr>
      </w:pPr>
    </w:p>
    <w:p w14:paraId="3D9BB001" w14:textId="0F24AD9D" w:rsidR="006F6043" w:rsidRPr="00801AFD" w:rsidRDefault="006F6043" w:rsidP="00801AFD">
      <w:pPr>
        <w:widowControl w:val="0"/>
        <w:jc w:val="both"/>
        <w:rPr>
          <w:b/>
          <w:bCs/>
          <w:color w:val="000000"/>
          <w:sz w:val="22"/>
          <w:szCs w:val="22"/>
          <w:lang w:val="sr-Latn-ME"/>
        </w:rPr>
      </w:pPr>
      <w:r w:rsidRPr="00801AFD">
        <w:rPr>
          <w:b/>
          <w:bCs/>
          <w:color w:val="000000"/>
          <w:sz w:val="22"/>
          <w:szCs w:val="22"/>
          <w:lang w:val="sr-Latn-ME"/>
        </w:rPr>
        <w:t xml:space="preserve">Slika 2: Analiza mjera primarnih i sekundarnih ishoda - kompletan set podataka za analizu (studija u kojoj su pacijenti prethodno </w:t>
      </w:r>
      <w:r w:rsidR="005727AA" w:rsidRPr="00801AFD">
        <w:rPr>
          <w:b/>
          <w:bCs/>
          <w:color w:val="000000"/>
          <w:sz w:val="22"/>
          <w:szCs w:val="22"/>
          <w:lang w:val="sr-Latn-ME"/>
        </w:rPr>
        <w:t xml:space="preserve">primali </w:t>
      </w:r>
      <w:r w:rsidRPr="00801AFD">
        <w:rPr>
          <w:b/>
          <w:bCs/>
          <w:color w:val="000000"/>
          <w:sz w:val="22"/>
          <w:szCs w:val="22"/>
          <w:lang w:val="sr-Latn-ME"/>
        </w:rPr>
        <w:t>ekulizumab)</w:t>
      </w:r>
    </w:p>
    <w:p w14:paraId="0F018FB3" w14:textId="49F28A70" w:rsidR="00887E44" w:rsidRPr="00801AFD" w:rsidRDefault="00887E44" w:rsidP="00801AFD">
      <w:pPr>
        <w:widowControl w:val="0"/>
        <w:jc w:val="both"/>
        <w:rPr>
          <w:b/>
          <w:bCs/>
          <w:color w:val="000000"/>
          <w:sz w:val="22"/>
          <w:szCs w:val="22"/>
          <w:lang w:val="sr-Latn-ME"/>
        </w:rPr>
      </w:pPr>
    </w:p>
    <w:p w14:paraId="78B5BE4E" w14:textId="166F5E84" w:rsidR="00887E44" w:rsidRPr="00801AFD" w:rsidRDefault="00887E44" w:rsidP="00801AFD">
      <w:pPr>
        <w:widowControl w:val="0"/>
        <w:jc w:val="both"/>
        <w:rPr>
          <w:b/>
          <w:bCs/>
          <w:color w:val="000000"/>
          <w:sz w:val="22"/>
          <w:szCs w:val="22"/>
          <w:lang w:val="sr-Latn-ME"/>
        </w:rPr>
      </w:pPr>
      <w:r w:rsidRPr="00801AFD">
        <w:rPr>
          <w:b/>
          <w:bCs/>
          <w:color w:val="000000"/>
          <w:sz w:val="22"/>
          <w:szCs w:val="22"/>
          <w:lang w:val="sr-Latn-ME"/>
        </w:rPr>
        <w:lastRenderedPageBreak/>
        <w:drawing>
          <wp:inline distT="0" distB="0" distL="0" distR="0" wp14:anchorId="4989ADA4" wp14:editId="7070D878">
            <wp:extent cx="5761355" cy="2606040"/>
            <wp:effectExtent l="0" t="0" r="0" b="3810"/>
            <wp:docPr id="5" name="Picture 5" descr="A picture containing text, receipt, screensh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receipt, screenshot, lin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61355" cy="2606040"/>
                    </a:xfrm>
                    <a:prstGeom prst="rect">
                      <a:avLst/>
                    </a:prstGeom>
                  </pic:spPr>
                </pic:pic>
              </a:graphicData>
            </a:graphic>
          </wp:inline>
        </w:drawing>
      </w:r>
    </w:p>
    <w:p w14:paraId="51883105" w14:textId="70CD695A" w:rsidR="00887E44" w:rsidRPr="00801AFD" w:rsidRDefault="00887E44" w:rsidP="00801AFD">
      <w:pPr>
        <w:widowControl w:val="0"/>
        <w:jc w:val="both"/>
        <w:rPr>
          <w:b/>
          <w:bCs/>
          <w:color w:val="000000"/>
          <w:sz w:val="22"/>
          <w:szCs w:val="22"/>
          <w:lang w:val="sr-Latn-ME"/>
        </w:rPr>
      </w:pPr>
    </w:p>
    <w:p w14:paraId="7CB00FEC" w14:textId="77777777" w:rsidR="006F6043" w:rsidRPr="00961C31" w:rsidRDefault="006F6043" w:rsidP="00801AFD">
      <w:pPr>
        <w:widowControl w:val="0"/>
        <w:jc w:val="both"/>
        <w:rPr>
          <w:color w:val="000000"/>
          <w:sz w:val="20"/>
          <w:szCs w:val="22"/>
          <w:lang w:val="sr-Latn-ME"/>
        </w:rPr>
      </w:pPr>
      <w:r w:rsidRPr="00961C31">
        <w:rPr>
          <w:color w:val="000000"/>
          <w:sz w:val="20"/>
          <w:szCs w:val="22"/>
          <w:lang w:val="sr-Latn-ME"/>
        </w:rPr>
        <w:t>Napomena: Crni trougao pokazuje granice neinferiornosti, a siva tačka procjenu.</w:t>
      </w:r>
    </w:p>
    <w:p w14:paraId="095FC88C" w14:textId="77777777" w:rsidR="006F6043" w:rsidRPr="00961C31" w:rsidRDefault="006F6043" w:rsidP="00801AFD">
      <w:pPr>
        <w:widowControl w:val="0"/>
        <w:jc w:val="both"/>
        <w:rPr>
          <w:color w:val="000000"/>
          <w:sz w:val="20"/>
          <w:szCs w:val="22"/>
          <w:lang w:val="sr-Latn-ME"/>
        </w:rPr>
      </w:pPr>
      <w:r w:rsidRPr="00961C31">
        <w:rPr>
          <w:color w:val="000000"/>
          <w:sz w:val="20"/>
          <w:szCs w:val="22"/>
          <w:lang w:val="sr-Latn-ME"/>
        </w:rPr>
        <w:t>Napomena: LDH = laktat dehidrogenaza; CI = interval pouzdanosti.</w:t>
      </w:r>
    </w:p>
    <w:p w14:paraId="3A9D676B" w14:textId="77777777" w:rsidR="006F6043" w:rsidRPr="00801AFD" w:rsidRDefault="006F6043" w:rsidP="00801AFD">
      <w:pPr>
        <w:widowControl w:val="0"/>
        <w:jc w:val="both"/>
        <w:rPr>
          <w:color w:val="000000"/>
          <w:sz w:val="22"/>
          <w:szCs w:val="22"/>
          <w:lang w:val="sr-Latn-ME"/>
        </w:rPr>
      </w:pPr>
    </w:p>
    <w:p w14:paraId="1B98A602" w14:textId="0C24F325" w:rsidR="00254BB0" w:rsidRPr="00801AFD" w:rsidRDefault="00254BB0" w:rsidP="00801AFD">
      <w:pPr>
        <w:widowControl w:val="0"/>
        <w:jc w:val="both"/>
        <w:rPr>
          <w:color w:val="000000"/>
          <w:sz w:val="22"/>
          <w:szCs w:val="22"/>
          <w:lang w:val="sr-Latn-ME"/>
        </w:rPr>
      </w:pPr>
      <w:r w:rsidRPr="00801AFD">
        <w:rPr>
          <w:color w:val="000000"/>
          <w:sz w:val="22"/>
          <w:szCs w:val="22"/>
          <w:lang w:val="sr-Latn-ME"/>
        </w:rPr>
        <w:t>Završna analiza efikasnosti postignute u ispitivanju uključila je sve pacijente koji su ikada bili</w:t>
      </w:r>
      <w:r w:rsidR="00961C31">
        <w:rPr>
          <w:color w:val="000000"/>
          <w:sz w:val="22"/>
          <w:szCs w:val="22"/>
          <w:lang w:val="sr-Latn-ME"/>
        </w:rPr>
        <w:t xml:space="preserve"> </w:t>
      </w:r>
      <w:r w:rsidRPr="00801AFD">
        <w:rPr>
          <w:color w:val="000000"/>
          <w:sz w:val="22"/>
          <w:szCs w:val="22"/>
          <w:lang w:val="sr-Latn-ME"/>
        </w:rPr>
        <w:t>l</w:t>
      </w:r>
      <w:r w:rsidR="00941D30" w:rsidRPr="00801AFD">
        <w:rPr>
          <w:color w:val="000000"/>
          <w:sz w:val="22"/>
          <w:szCs w:val="22"/>
          <w:lang w:val="sr-Latn-ME"/>
        </w:rPr>
        <w:t>ij</w:t>
      </w:r>
      <w:r w:rsidRPr="00801AFD">
        <w:rPr>
          <w:color w:val="000000"/>
          <w:sz w:val="22"/>
          <w:szCs w:val="22"/>
          <w:lang w:val="sr-Latn-ME"/>
        </w:rPr>
        <w:t>ečeni ravulizumabom (n = 192) i kojima je medijan</w:t>
      </w:r>
      <w:r w:rsidR="00941D30" w:rsidRPr="00801AFD">
        <w:rPr>
          <w:color w:val="000000"/>
          <w:sz w:val="22"/>
          <w:szCs w:val="22"/>
          <w:lang w:val="sr-Latn-ME"/>
        </w:rPr>
        <w:t>a</w:t>
      </w:r>
      <w:r w:rsidRPr="00801AFD">
        <w:rPr>
          <w:color w:val="000000"/>
          <w:sz w:val="22"/>
          <w:szCs w:val="22"/>
          <w:lang w:val="sr-Latn-ME"/>
        </w:rPr>
        <w:t xml:space="preserve"> trajanja l</w:t>
      </w:r>
      <w:r w:rsidR="00941D30" w:rsidRPr="00801AFD">
        <w:rPr>
          <w:color w:val="000000"/>
          <w:sz w:val="22"/>
          <w:szCs w:val="22"/>
          <w:lang w:val="sr-Latn-ME"/>
        </w:rPr>
        <w:t>ij</w:t>
      </w:r>
      <w:r w:rsidRPr="00801AFD">
        <w:rPr>
          <w:color w:val="000000"/>
          <w:sz w:val="22"/>
          <w:szCs w:val="22"/>
          <w:lang w:val="sr-Latn-ME"/>
        </w:rPr>
        <w:t>ečenja iznosila 968 dana. Završna analiza potvrdila je da su se odgovori na l</w:t>
      </w:r>
      <w:r w:rsidR="00941D30" w:rsidRPr="00801AFD">
        <w:rPr>
          <w:color w:val="000000"/>
          <w:sz w:val="22"/>
          <w:szCs w:val="22"/>
          <w:lang w:val="sr-Latn-ME"/>
        </w:rPr>
        <w:t>ij</w:t>
      </w:r>
      <w:r w:rsidRPr="00801AFD">
        <w:rPr>
          <w:color w:val="000000"/>
          <w:sz w:val="22"/>
          <w:szCs w:val="22"/>
          <w:lang w:val="sr-Latn-ME"/>
        </w:rPr>
        <w:t>ečenje ravulizumabom opaženi u periodu primarne proc</w:t>
      </w:r>
      <w:r w:rsidR="00941D30" w:rsidRPr="00801AFD">
        <w:rPr>
          <w:color w:val="000000"/>
          <w:sz w:val="22"/>
          <w:szCs w:val="22"/>
          <w:lang w:val="sr-Latn-ME"/>
        </w:rPr>
        <w:t>j</w:t>
      </w:r>
      <w:r w:rsidRPr="00801AFD">
        <w:rPr>
          <w:color w:val="000000"/>
          <w:sz w:val="22"/>
          <w:szCs w:val="22"/>
          <w:lang w:val="sr-Latn-ME"/>
        </w:rPr>
        <w:t>ene</w:t>
      </w:r>
      <w:r w:rsidR="00961C31">
        <w:rPr>
          <w:color w:val="000000"/>
          <w:sz w:val="22"/>
          <w:szCs w:val="22"/>
          <w:lang w:val="sr-Latn-ME"/>
        </w:rPr>
        <w:t xml:space="preserve"> </w:t>
      </w:r>
      <w:r w:rsidRPr="00801AFD">
        <w:rPr>
          <w:color w:val="000000"/>
          <w:sz w:val="22"/>
          <w:szCs w:val="22"/>
          <w:lang w:val="sr-Latn-ME"/>
        </w:rPr>
        <w:t>održali tokomom trajanja ispitivanja.</w:t>
      </w:r>
    </w:p>
    <w:p w14:paraId="380BE156" w14:textId="77777777" w:rsidR="00254BB0" w:rsidRPr="00801AFD" w:rsidRDefault="00254BB0" w:rsidP="00801AFD">
      <w:pPr>
        <w:widowControl w:val="0"/>
        <w:jc w:val="both"/>
        <w:rPr>
          <w:color w:val="000000"/>
          <w:sz w:val="22"/>
          <w:szCs w:val="22"/>
          <w:lang w:val="sr-Latn-ME"/>
        </w:rPr>
      </w:pPr>
    </w:p>
    <w:p w14:paraId="4395556E" w14:textId="77777777" w:rsidR="006F6043" w:rsidRPr="00801AFD" w:rsidRDefault="006F6043" w:rsidP="00801AFD">
      <w:pPr>
        <w:widowControl w:val="0"/>
        <w:jc w:val="both"/>
        <w:rPr>
          <w:i/>
          <w:iCs/>
          <w:color w:val="000000"/>
          <w:sz w:val="22"/>
          <w:szCs w:val="22"/>
          <w:lang w:val="sr-Latn-ME"/>
        </w:rPr>
      </w:pPr>
      <w:r w:rsidRPr="00801AFD">
        <w:rPr>
          <w:i/>
          <w:iCs/>
          <w:color w:val="000000"/>
          <w:sz w:val="22"/>
          <w:szCs w:val="22"/>
          <w:lang w:val="sr-Latn-ME"/>
        </w:rPr>
        <w:t>Atipični hemolitičko-uremijski sindrom (aHUS)</w:t>
      </w:r>
    </w:p>
    <w:p w14:paraId="52FB2378" w14:textId="77777777" w:rsidR="006F6043" w:rsidRPr="00801AFD" w:rsidRDefault="006F6043" w:rsidP="00801AFD">
      <w:pPr>
        <w:widowControl w:val="0"/>
        <w:jc w:val="both"/>
        <w:rPr>
          <w:i/>
          <w:iCs/>
          <w:color w:val="000000"/>
          <w:sz w:val="22"/>
          <w:szCs w:val="22"/>
          <w:lang w:val="sr-Latn-ME"/>
        </w:rPr>
      </w:pPr>
    </w:p>
    <w:p w14:paraId="078C8984" w14:textId="41E9F442" w:rsidR="006F6043" w:rsidRPr="00801AFD" w:rsidRDefault="006F6043" w:rsidP="00801AFD">
      <w:pPr>
        <w:widowControl w:val="0"/>
        <w:jc w:val="both"/>
        <w:rPr>
          <w:i/>
          <w:iCs/>
          <w:color w:val="000000"/>
          <w:sz w:val="22"/>
          <w:szCs w:val="22"/>
          <w:u w:val="single"/>
          <w:lang w:val="sr-Latn-ME"/>
        </w:rPr>
      </w:pPr>
      <w:r w:rsidRPr="00801AFD">
        <w:rPr>
          <w:i/>
          <w:iCs/>
          <w:color w:val="000000"/>
          <w:sz w:val="22"/>
          <w:szCs w:val="22"/>
          <w:u w:val="single"/>
          <w:lang w:val="sr-Latn-ME"/>
        </w:rPr>
        <w:t>Studija na odraslim pacijentima sa aHUS</w:t>
      </w:r>
      <w:r w:rsidR="005727AA" w:rsidRPr="00801AFD">
        <w:rPr>
          <w:i/>
          <w:iCs/>
          <w:color w:val="000000"/>
          <w:sz w:val="22"/>
          <w:szCs w:val="22"/>
          <w:u w:val="single"/>
          <w:lang w:val="sr-Latn-ME"/>
        </w:rPr>
        <w:t>-om</w:t>
      </w:r>
      <w:r w:rsidR="00AE5148" w:rsidRPr="00801AFD">
        <w:rPr>
          <w:i/>
          <w:iCs/>
          <w:color w:val="000000"/>
          <w:sz w:val="22"/>
          <w:szCs w:val="22"/>
          <w:u w:val="single"/>
          <w:lang w:val="sr-Latn-ME"/>
        </w:rPr>
        <w:t xml:space="preserve"> (ALXN1210-aHUS-311)</w:t>
      </w:r>
    </w:p>
    <w:p w14:paraId="474C5813" w14:textId="77777777" w:rsidR="00941D30" w:rsidRPr="00801AFD" w:rsidRDefault="00941D30" w:rsidP="00801AFD">
      <w:pPr>
        <w:widowControl w:val="0"/>
        <w:jc w:val="both"/>
        <w:rPr>
          <w:i/>
          <w:iCs/>
          <w:color w:val="000000"/>
          <w:sz w:val="22"/>
          <w:szCs w:val="22"/>
          <w:u w:val="single"/>
          <w:lang w:val="sr-Latn-ME"/>
        </w:rPr>
      </w:pPr>
    </w:p>
    <w:p w14:paraId="3584350A" w14:textId="1BEC69E4" w:rsidR="006F6043" w:rsidRPr="00801AFD" w:rsidRDefault="006F6043" w:rsidP="00801AFD">
      <w:pPr>
        <w:widowControl w:val="0"/>
        <w:jc w:val="both"/>
        <w:rPr>
          <w:color w:val="000000"/>
          <w:sz w:val="22"/>
          <w:szCs w:val="22"/>
          <w:lang w:val="sr-Latn-ME"/>
        </w:rPr>
      </w:pPr>
      <w:r w:rsidRPr="00801AFD">
        <w:rPr>
          <w:color w:val="000000"/>
          <w:sz w:val="22"/>
          <w:szCs w:val="22"/>
          <w:lang w:val="sr-Latn-ME"/>
        </w:rPr>
        <w:t>Studija sa odraslim pacijentima bila je multicentrična studija faze</w:t>
      </w:r>
      <w:r w:rsidR="00AA081F" w:rsidRPr="00801AFD">
        <w:rPr>
          <w:color w:val="000000"/>
          <w:sz w:val="22"/>
          <w:szCs w:val="22"/>
          <w:lang w:val="sr-Latn-ME"/>
        </w:rPr>
        <w:t xml:space="preserve"> III</w:t>
      </w:r>
      <w:r w:rsidRPr="00801AFD">
        <w:rPr>
          <w:color w:val="000000"/>
          <w:sz w:val="22"/>
          <w:szCs w:val="22"/>
          <w:lang w:val="sr-Latn-ME"/>
        </w:rPr>
        <w:t xml:space="preserve"> sa jednom grupom pacijenata sa dokumentovanim aHUS</w:t>
      </w:r>
      <w:r w:rsidR="00AA081F" w:rsidRPr="00801AFD">
        <w:rPr>
          <w:color w:val="000000"/>
          <w:sz w:val="22"/>
          <w:szCs w:val="22"/>
          <w:lang w:val="sr-Latn-ME"/>
        </w:rPr>
        <w:t>-om</w:t>
      </w:r>
      <w:r w:rsidRPr="00801AFD">
        <w:rPr>
          <w:color w:val="000000"/>
          <w:sz w:val="22"/>
          <w:szCs w:val="22"/>
          <w:lang w:val="sr-Latn-ME"/>
        </w:rPr>
        <w:t xml:space="preserve"> koji nijesu bili liječeni inhibitorom komplementa prije uključivanja u studiju i sa dokazanom trombotičkom mikroangiopatijom (TMA). Studija se sastojala od početnog perioda procjene od 26 nedjelja, nakon kojeg je pacijentima bilo dozvoljeno da se uključe u produženi period do 4,5 godine.</w:t>
      </w:r>
    </w:p>
    <w:p w14:paraId="2BF3A14B" w14:textId="3E66F3CA" w:rsidR="006F6043" w:rsidRPr="00801AFD" w:rsidRDefault="006F6043" w:rsidP="00801AFD">
      <w:pPr>
        <w:widowControl w:val="0"/>
        <w:jc w:val="both"/>
        <w:rPr>
          <w:color w:val="000000"/>
          <w:sz w:val="22"/>
          <w:szCs w:val="22"/>
          <w:lang w:val="sr-Latn-ME"/>
        </w:rPr>
      </w:pPr>
      <w:r w:rsidRPr="00801AFD">
        <w:rPr>
          <w:color w:val="000000"/>
          <w:sz w:val="22"/>
          <w:szCs w:val="22"/>
          <w:lang w:val="sr-Latn-ME"/>
        </w:rPr>
        <w:t>Uključeno je ukupno 58 pacijenata sa dokumentovanim aHUS</w:t>
      </w:r>
      <w:r w:rsidR="00AA081F" w:rsidRPr="00801AFD">
        <w:rPr>
          <w:color w:val="000000"/>
          <w:sz w:val="22"/>
          <w:szCs w:val="22"/>
          <w:lang w:val="sr-Latn-ME"/>
        </w:rPr>
        <w:t>-om</w:t>
      </w:r>
      <w:r w:rsidRPr="00801AFD">
        <w:rPr>
          <w:color w:val="000000"/>
          <w:sz w:val="22"/>
          <w:szCs w:val="22"/>
          <w:lang w:val="sr-Latn-ME"/>
        </w:rPr>
        <w:t>. Prema kriterijumima za uključivanje, pacijenti sa kliničkom slikom TMA</w:t>
      </w:r>
      <w:r w:rsidR="007F079F" w:rsidRPr="00801AFD">
        <w:rPr>
          <w:color w:val="000000"/>
          <w:sz w:val="22"/>
          <w:szCs w:val="22"/>
          <w:lang w:val="sr-Latn-ME"/>
        </w:rPr>
        <w:t>, zbog dezintegrina i metaloproteinaze sa motivom trombospondina tipa 1, nedostatak člana 13 (ADAMTS13),</w:t>
      </w:r>
      <w:r w:rsidRPr="00801AFD">
        <w:rPr>
          <w:color w:val="000000"/>
          <w:sz w:val="22"/>
          <w:szCs w:val="22"/>
          <w:lang w:val="sr-Latn-ME"/>
        </w:rPr>
        <w:t xml:space="preserve"> hemolitičko-uremijskog sindroma povezanog sa Shiga toksinom </w:t>
      </w:r>
      <w:r w:rsidR="00AA081F" w:rsidRPr="00801AFD">
        <w:rPr>
          <w:color w:val="000000"/>
          <w:sz w:val="22"/>
          <w:szCs w:val="22"/>
          <w:lang w:val="sr-Latn-ME"/>
        </w:rPr>
        <w:t xml:space="preserve">bakterije </w:t>
      </w:r>
      <w:r w:rsidRPr="00801AFD">
        <w:rPr>
          <w:i/>
          <w:iCs/>
          <w:color w:val="000000"/>
          <w:sz w:val="22"/>
          <w:szCs w:val="22"/>
          <w:lang w:val="sr-Latn-ME"/>
        </w:rPr>
        <w:t>Escherichia coli</w:t>
      </w:r>
      <w:r w:rsidRPr="00801AFD">
        <w:rPr>
          <w:color w:val="000000"/>
          <w:sz w:val="22"/>
          <w:szCs w:val="22"/>
          <w:lang w:val="sr-Latn-ME"/>
        </w:rPr>
        <w:t xml:space="preserve"> (hemolitičko-uremijski sindrom, isključujući STEC HUS)</w:t>
      </w:r>
      <w:r w:rsidR="007F079F" w:rsidRPr="00801AFD">
        <w:rPr>
          <w:color w:val="000000"/>
          <w:sz w:val="22"/>
          <w:szCs w:val="22"/>
          <w:lang w:val="sr-Latn-ME"/>
        </w:rPr>
        <w:t xml:space="preserve"> i genetskim defektom u metabolizmu kobalamina C</w:t>
      </w:r>
      <w:r w:rsidRPr="00801AFD">
        <w:rPr>
          <w:color w:val="000000"/>
          <w:sz w:val="22"/>
          <w:szCs w:val="22"/>
          <w:lang w:val="sr-Latn-ME"/>
        </w:rPr>
        <w:t>. Dva pacijenta su izuzeta iz kompletnog skupa podataka za analizu zbog potvrđene dijagnoze STEC HUS. Devedeset i tri posto pacijenata imalo je ekstrarenalne znake (kardiovaskularni, plućni, centralni nervni sistem, gastrointestinalni, kožni i mišićno-skeletni znaci) ili simptome aHUS</w:t>
      </w:r>
      <w:r w:rsidR="00AA081F" w:rsidRPr="00801AFD">
        <w:rPr>
          <w:color w:val="000000"/>
          <w:sz w:val="22"/>
          <w:szCs w:val="22"/>
          <w:lang w:val="sr-Latn-ME"/>
        </w:rPr>
        <w:t>-a</w:t>
      </w:r>
      <w:r w:rsidRPr="00801AFD">
        <w:rPr>
          <w:color w:val="000000"/>
          <w:sz w:val="22"/>
          <w:szCs w:val="22"/>
          <w:lang w:val="sr-Latn-ME"/>
        </w:rPr>
        <w:t xml:space="preserve"> na početku studije.</w:t>
      </w:r>
    </w:p>
    <w:p w14:paraId="3C7F79DC" w14:textId="77777777" w:rsidR="006F6043" w:rsidRPr="00801AFD" w:rsidRDefault="006F6043" w:rsidP="00801AFD">
      <w:pPr>
        <w:widowControl w:val="0"/>
        <w:jc w:val="both"/>
        <w:rPr>
          <w:color w:val="000000"/>
          <w:sz w:val="22"/>
          <w:szCs w:val="22"/>
          <w:lang w:val="sr-Latn-ME"/>
        </w:rPr>
      </w:pPr>
    </w:p>
    <w:p w14:paraId="0172CEEF" w14:textId="21BBC9A2" w:rsidR="006F6043" w:rsidRPr="00801AFD" w:rsidRDefault="006F6043" w:rsidP="00801AFD">
      <w:pPr>
        <w:widowControl w:val="0"/>
        <w:jc w:val="both"/>
        <w:rPr>
          <w:sz w:val="22"/>
          <w:szCs w:val="22"/>
          <w:lang w:val="sr-Latn-ME"/>
        </w:rPr>
      </w:pPr>
      <w:r w:rsidRPr="00801AFD">
        <w:rPr>
          <w:color w:val="000000"/>
          <w:sz w:val="22"/>
          <w:szCs w:val="22"/>
          <w:lang w:val="sr-Latn-ME"/>
        </w:rPr>
        <w:t xml:space="preserve">Tabela </w:t>
      </w:r>
      <w:r w:rsidR="00AE5148" w:rsidRPr="00801AFD">
        <w:rPr>
          <w:color w:val="000000"/>
          <w:sz w:val="22"/>
          <w:szCs w:val="22"/>
          <w:lang w:val="sr-Latn-ME"/>
        </w:rPr>
        <w:t xml:space="preserve">13 </w:t>
      </w:r>
      <w:r w:rsidRPr="00801AFD">
        <w:rPr>
          <w:color w:val="000000"/>
          <w:sz w:val="22"/>
          <w:szCs w:val="22"/>
          <w:lang w:val="sr-Latn-ME"/>
        </w:rPr>
        <w:t>prikazuje demografske i početne karakteristike 56 odraslih pacijenata uključenih u ispitivanje ALXN1210-aHUS-311 koji su činili kompletan skup podataka za analizu.</w:t>
      </w:r>
    </w:p>
    <w:p w14:paraId="2C794A6B" w14:textId="77777777" w:rsidR="006F6043" w:rsidRPr="00801AFD" w:rsidRDefault="006F6043" w:rsidP="00801AFD">
      <w:pPr>
        <w:widowControl w:val="0"/>
        <w:jc w:val="both"/>
        <w:rPr>
          <w:sz w:val="22"/>
          <w:szCs w:val="22"/>
          <w:lang w:val="sr-Latn-ME"/>
        </w:rPr>
      </w:pPr>
      <w:r w:rsidRPr="00801AFD">
        <w:rPr>
          <w:sz w:val="22"/>
          <w:szCs w:val="22"/>
          <w:lang w:val="sr-Latn-ME"/>
        </w:rPr>
        <w:t xml:space="preserve"> </w:t>
      </w:r>
    </w:p>
    <w:p w14:paraId="4428A910" w14:textId="3C330BB1" w:rsidR="006F6043" w:rsidRPr="00801AFD" w:rsidRDefault="006F6043" w:rsidP="00801AFD">
      <w:pPr>
        <w:widowControl w:val="0"/>
        <w:jc w:val="both"/>
        <w:rPr>
          <w:b/>
          <w:bCs/>
          <w:sz w:val="22"/>
          <w:szCs w:val="22"/>
          <w:lang w:val="sr-Latn-ME"/>
        </w:rPr>
      </w:pPr>
      <w:r w:rsidRPr="00801AFD">
        <w:rPr>
          <w:b/>
          <w:bCs/>
          <w:sz w:val="22"/>
          <w:szCs w:val="22"/>
          <w:lang w:val="sr-Latn-ME"/>
        </w:rPr>
        <w:t xml:space="preserve">Tabela </w:t>
      </w:r>
      <w:r w:rsidR="00AE5148" w:rsidRPr="00801AFD">
        <w:rPr>
          <w:b/>
          <w:bCs/>
          <w:sz w:val="22"/>
          <w:szCs w:val="22"/>
          <w:lang w:val="sr-Latn-ME"/>
        </w:rPr>
        <w:t>13</w:t>
      </w:r>
      <w:r w:rsidRPr="00801AFD">
        <w:rPr>
          <w:b/>
          <w:bCs/>
          <w:sz w:val="22"/>
          <w:szCs w:val="22"/>
          <w:lang w:val="sr-Latn-ME"/>
        </w:rPr>
        <w:t>: Početne karakteristike u studiji sa odraslim pacijentima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2416"/>
        <w:gridCol w:w="2690"/>
      </w:tblGrid>
      <w:tr w:rsidR="006F6043" w:rsidRPr="00801AFD" w14:paraId="1210FE33" w14:textId="77777777" w:rsidTr="00961C31">
        <w:trPr>
          <w:cantSplit/>
          <w:trHeight w:val="533"/>
          <w:jc w:val="center"/>
        </w:trPr>
        <w:tc>
          <w:tcPr>
            <w:tcW w:w="2183" w:type="pct"/>
            <w:vAlign w:val="center"/>
            <w:hideMark/>
          </w:tcPr>
          <w:p w14:paraId="66EAA702" w14:textId="77777777" w:rsidR="006F6043" w:rsidRPr="00801AFD" w:rsidRDefault="006F6043" w:rsidP="00801AFD">
            <w:pPr>
              <w:pStyle w:val="C-TableHeader"/>
              <w:keepNext w:val="0"/>
              <w:widowControl w:val="0"/>
              <w:jc w:val="both"/>
              <w:rPr>
                <w:rFonts w:ascii="Times New Roman" w:hAnsi="Times New Roman"/>
                <w:sz w:val="22"/>
                <w:szCs w:val="22"/>
                <w:lang w:val="sr-Latn-ME"/>
              </w:rPr>
            </w:pPr>
            <w:r w:rsidRPr="00801AFD">
              <w:rPr>
                <w:rFonts w:ascii="Times New Roman" w:hAnsi="Times New Roman"/>
                <w:sz w:val="22"/>
                <w:szCs w:val="22"/>
                <w:lang w:val="sr-Latn-ME"/>
              </w:rPr>
              <w:t>Parametar</w:t>
            </w:r>
          </w:p>
        </w:tc>
        <w:tc>
          <w:tcPr>
            <w:tcW w:w="1333" w:type="pct"/>
            <w:vAlign w:val="center"/>
            <w:hideMark/>
          </w:tcPr>
          <w:p w14:paraId="5315F84D" w14:textId="77777777" w:rsidR="006F6043" w:rsidRPr="00801AFD" w:rsidRDefault="006F6043"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Statistika</w:t>
            </w:r>
          </w:p>
        </w:tc>
        <w:tc>
          <w:tcPr>
            <w:tcW w:w="1484" w:type="pct"/>
            <w:hideMark/>
          </w:tcPr>
          <w:p w14:paraId="0CE3967D" w14:textId="77777777" w:rsidR="006F6043" w:rsidRPr="00801AFD" w:rsidRDefault="006F6043"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Ravulizumab</w:t>
            </w:r>
            <w:r w:rsidRPr="00801AFD">
              <w:rPr>
                <w:rFonts w:ascii="Times New Roman" w:hAnsi="Times New Roman"/>
                <w:sz w:val="22"/>
                <w:szCs w:val="22"/>
                <w:lang w:val="sr-Latn-ME"/>
              </w:rPr>
              <w:br/>
              <w:t>(N = 56)</w:t>
            </w:r>
          </w:p>
        </w:tc>
      </w:tr>
      <w:tr w:rsidR="006F6043" w:rsidRPr="00801AFD" w14:paraId="1612BDCE" w14:textId="77777777" w:rsidTr="00961C31">
        <w:trPr>
          <w:cantSplit/>
          <w:trHeight w:val="440"/>
          <w:jc w:val="center"/>
        </w:trPr>
        <w:tc>
          <w:tcPr>
            <w:tcW w:w="2183" w:type="pct"/>
          </w:tcPr>
          <w:p w14:paraId="30F49443" w14:textId="77777777" w:rsidR="006F6043" w:rsidRPr="00801AFD" w:rsidRDefault="006F6043" w:rsidP="00801AFD">
            <w:pPr>
              <w:pStyle w:val="C-TableText"/>
              <w:widowControl w:val="0"/>
              <w:jc w:val="both"/>
              <w:rPr>
                <w:sz w:val="22"/>
                <w:szCs w:val="22"/>
              </w:rPr>
            </w:pPr>
            <w:r w:rsidRPr="00801AFD">
              <w:rPr>
                <w:sz w:val="22"/>
                <w:szCs w:val="22"/>
              </w:rPr>
              <w:t>Starost u vrijeme primjene prve infuzije (godine)</w:t>
            </w:r>
          </w:p>
          <w:p w14:paraId="31E8AED9" w14:textId="77777777" w:rsidR="006F6043" w:rsidRPr="00801AFD" w:rsidRDefault="006F6043" w:rsidP="00801AFD">
            <w:pPr>
              <w:pStyle w:val="C-TableText"/>
              <w:widowControl w:val="0"/>
              <w:jc w:val="both"/>
              <w:rPr>
                <w:sz w:val="22"/>
                <w:szCs w:val="22"/>
              </w:rPr>
            </w:pPr>
          </w:p>
        </w:tc>
        <w:tc>
          <w:tcPr>
            <w:tcW w:w="1333" w:type="pct"/>
          </w:tcPr>
          <w:p w14:paraId="468892DF" w14:textId="77777777" w:rsidR="006F6043" w:rsidRPr="00801AFD" w:rsidRDefault="006F6043" w:rsidP="00801AFD">
            <w:pPr>
              <w:pStyle w:val="C-TableText"/>
              <w:widowControl w:val="0"/>
              <w:jc w:val="center"/>
              <w:rPr>
                <w:sz w:val="22"/>
                <w:szCs w:val="22"/>
              </w:rPr>
            </w:pPr>
            <w:r w:rsidRPr="00801AFD">
              <w:rPr>
                <w:sz w:val="22"/>
                <w:szCs w:val="22"/>
              </w:rPr>
              <w:t>Srednja vrijednost (SD)</w:t>
            </w:r>
          </w:p>
          <w:p w14:paraId="00775F44" w14:textId="77777777" w:rsidR="006F6043" w:rsidRPr="00801AFD" w:rsidRDefault="006F6043" w:rsidP="00801AFD">
            <w:pPr>
              <w:pStyle w:val="C-TableText"/>
              <w:widowControl w:val="0"/>
              <w:jc w:val="center"/>
              <w:rPr>
                <w:sz w:val="22"/>
                <w:szCs w:val="22"/>
              </w:rPr>
            </w:pPr>
            <w:r w:rsidRPr="00801AFD">
              <w:rPr>
                <w:sz w:val="22"/>
                <w:szCs w:val="22"/>
              </w:rPr>
              <w:t>Min, maks</w:t>
            </w:r>
          </w:p>
        </w:tc>
        <w:tc>
          <w:tcPr>
            <w:tcW w:w="1484" w:type="pct"/>
          </w:tcPr>
          <w:p w14:paraId="7E8E568B" w14:textId="77777777" w:rsidR="006F6043" w:rsidRPr="00801AFD" w:rsidRDefault="006F6043" w:rsidP="00801AFD">
            <w:pPr>
              <w:pStyle w:val="C-TableText"/>
              <w:widowControl w:val="0"/>
              <w:jc w:val="center"/>
              <w:rPr>
                <w:sz w:val="22"/>
                <w:szCs w:val="22"/>
              </w:rPr>
            </w:pPr>
            <w:r w:rsidRPr="00801AFD">
              <w:rPr>
                <w:sz w:val="22"/>
                <w:szCs w:val="22"/>
              </w:rPr>
              <w:t>42.2 (14.98)</w:t>
            </w:r>
          </w:p>
          <w:p w14:paraId="359AFE18" w14:textId="6DC8D6EC" w:rsidR="006F6043" w:rsidRPr="00801AFD" w:rsidRDefault="006F6043" w:rsidP="00801AFD">
            <w:pPr>
              <w:pStyle w:val="C-TableText"/>
              <w:widowControl w:val="0"/>
              <w:jc w:val="center"/>
              <w:rPr>
                <w:sz w:val="22"/>
                <w:szCs w:val="22"/>
              </w:rPr>
            </w:pPr>
            <w:r w:rsidRPr="00801AFD">
              <w:rPr>
                <w:sz w:val="22"/>
                <w:szCs w:val="22"/>
              </w:rPr>
              <w:t>19.5, 76.6</w:t>
            </w:r>
          </w:p>
        </w:tc>
      </w:tr>
      <w:tr w:rsidR="006F6043" w:rsidRPr="00801AFD" w14:paraId="2536BAC1" w14:textId="77777777" w:rsidTr="00961C31">
        <w:trPr>
          <w:cantSplit/>
          <w:trHeight w:val="413"/>
          <w:jc w:val="center"/>
        </w:trPr>
        <w:tc>
          <w:tcPr>
            <w:tcW w:w="2183" w:type="pct"/>
          </w:tcPr>
          <w:p w14:paraId="68084E91" w14:textId="77777777" w:rsidR="006F6043" w:rsidRPr="00801AFD" w:rsidRDefault="006F6043" w:rsidP="00801AFD">
            <w:pPr>
              <w:pStyle w:val="C-TableText"/>
              <w:widowControl w:val="0"/>
              <w:jc w:val="both"/>
              <w:rPr>
                <w:sz w:val="22"/>
                <w:szCs w:val="22"/>
              </w:rPr>
            </w:pPr>
            <w:r w:rsidRPr="00801AFD">
              <w:rPr>
                <w:sz w:val="22"/>
                <w:szCs w:val="22"/>
              </w:rPr>
              <w:t>Pol</w:t>
            </w:r>
          </w:p>
          <w:p w14:paraId="21BAFC80" w14:textId="05894856" w:rsidR="006F6043" w:rsidRPr="00801AFD" w:rsidRDefault="006F6043" w:rsidP="00801AFD">
            <w:pPr>
              <w:pStyle w:val="C-TableText"/>
              <w:widowControl w:val="0"/>
              <w:jc w:val="both"/>
              <w:rPr>
                <w:sz w:val="22"/>
                <w:szCs w:val="22"/>
              </w:rPr>
            </w:pPr>
            <w:r w:rsidRPr="00801AFD">
              <w:rPr>
                <w:sz w:val="22"/>
                <w:szCs w:val="22"/>
              </w:rPr>
              <w:t>Muški</w:t>
            </w:r>
          </w:p>
        </w:tc>
        <w:tc>
          <w:tcPr>
            <w:tcW w:w="1333" w:type="pct"/>
          </w:tcPr>
          <w:p w14:paraId="1D757C97" w14:textId="77777777" w:rsidR="006F6043" w:rsidRPr="00801AFD" w:rsidRDefault="006F6043" w:rsidP="00801AFD">
            <w:pPr>
              <w:pStyle w:val="C-TableText"/>
              <w:widowControl w:val="0"/>
              <w:jc w:val="center"/>
              <w:rPr>
                <w:sz w:val="22"/>
                <w:szCs w:val="22"/>
              </w:rPr>
            </w:pPr>
          </w:p>
          <w:p w14:paraId="3F396846" w14:textId="77777777" w:rsidR="006F6043" w:rsidRPr="00801AFD" w:rsidRDefault="006F6043" w:rsidP="00801AFD">
            <w:pPr>
              <w:pStyle w:val="C-TableText"/>
              <w:widowControl w:val="0"/>
              <w:jc w:val="center"/>
              <w:rPr>
                <w:sz w:val="22"/>
                <w:szCs w:val="22"/>
              </w:rPr>
            </w:pPr>
            <w:r w:rsidRPr="00801AFD">
              <w:rPr>
                <w:sz w:val="22"/>
                <w:szCs w:val="22"/>
              </w:rPr>
              <w:t>n (%)</w:t>
            </w:r>
          </w:p>
        </w:tc>
        <w:tc>
          <w:tcPr>
            <w:tcW w:w="1484" w:type="pct"/>
          </w:tcPr>
          <w:p w14:paraId="186220D8" w14:textId="77777777" w:rsidR="006F6043" w:rsidRPr="00801AFD" w:rsidRDefault="006F6043" w:rsidP="00801AFD">
            <w:pPr>
              <w:pStyle w:val="C-TableText"/>
              <w:widowControl w:val="0"/>
              <w:jc w:val="center"/>
              <w:rPr>
                <w:sz w:val="22"/>
                <w:szCs w:val="22"/>
              </w:rPr>
            </w:pPr>
          </w:p>
          <w:p w14:paraId="0792C907" w14:textId="77777777" w:rsidR="006F6043" w:rsidRPr="00801AFD" w:rsidRDefault="006F6043" w:rsidP="00801AFD">
            <w:pPr>
              <w:pStyle w:val="C-TableText"/>
              <w:widowControl w:val="0"/>
              <w:jc w:val="center"/>
              <w:rPr>
                <w:sz w:val="22"/>
                <w:szCs w:val="22"/>
              </w:rPr>
            </w:pPr>
            <w:r w:rsidRPr="00801AFD">
              <w:rPr>
                <w:sz w:val="22"/>
                <w:szCs w:val="22"/>
              </w:rPr>
              <w:t>19 (33.9)</w:t>
            </w:r>
          </w:p>
        </w:tc>
      </w:tr>
      <w:tr w:rsidR="006F6043" w:rsidRPr="00801AFD" w14:paraId="30A0F6CA" w14:textId="77777777" w:rsidTr="00961C31">
        <w:trPr>
          <w:cantSplit/>
          <w:trHeight w:val="1061"/>
          <w:jc w:val="center"/>
        </w:trPr>
        <w:tc>
          <w:tcPr>
            <w:tcW w:w="2183" w:type="pct"/>
            <w:vAlign w:val="center"/>
          </w:tcPr>
          <w:p w14:paraId="3FA75435" w14:textId="57A6FEA8" w:rsidR="006F6043" w:rsidRPr="00801AFD" w:rsidRDefault="006F6043" w:rsidP="00801AFD">
            <w:pPr>
              <w:pStyle w:val="C-TableText"/>
              <w:widowControl w:val="0"/>
              <w:jc w:val="both"/>
              <w:rPr>
                <w:sz w:val="22"/>
                <w:szCs w:val="22"/>
              </w:rPr>
            </w:pPr>
            <w:r w:rsidRPr="00801AFD">
              <w:rPr>
                <w:sz w:val="22"/>
                <w:szCs w:val="22"/>
              </w:rPr>
              <w:lastRenderedPageBreak/>
              <w:t>Rasa</w:t>
            </w:r>
            <w:r w:rsidRPr="00801AFD">
              <w:rPr>
                <w:color w:val="000000"/>
                <w:sz w:val="22"/>
                <w:szCs w:val="22"/>
                <w:vertAlign w:val="superscript"/>
              </w:rPr>
              <w:t>a</w:t>
            </w:r>
          </w:p>
          <w:p w14:paraId="115643C8" w14:textId="3C846107" w:rsidR="006F6043" w:rsidRPr="00801AFD" w:rsidRDefault="006F6043" w:rsidP="00801AFD">
            <w:pPr>
              <w:pStyle w:val="C-TableText"/>
              <w:widowControl w:val="0"/>
              <w:jc w:val="both"/>
              <w:rPr>
                <w:sz w:val="22"/>
                <w:szCs w:val="22"/>
              </w:rPr>
            </w:pPr>
            <w:r w:rsidRPr="00801AFD">
              <w:rPr>
                <w:sz w:val="22"/>
                <w:szCs w:val="22"/>
              </w:rPr>
              <w:t>Azijsk</w:t>
            </w:r>
            <w:r w:rsidR="00AA081F" w:rsidRPr="00801AFD">
              <w:rPr>
                <w:sz w:val="22"/>
                <w:szCs w:val="22"/>
              </w:rPr>
              <w:t>a</w:t>
            </w:r>
          </w:p>
          <w:p w14:paraId="357310EB" w14:textId="2C21F993" w:rsidR="006F6043" w:rsidRPr="00801AFD" w:rsidRDefault="006F6043" w:rsidP="00801AFD">
            <w:pPr>
              <w:pStyle w:val="C-TableText"/>
              <w:widowControl w:val="0"/>
              <w:jc w:val="both"/>
              <w:rPr>
                <w:sz w:val="22"/>
                <w:szCs w:val="22"/>
              </w:rPr>
            </w:pPr>
            <w:r w:rsidRPr="00801AFD">
              <w:rPr>
                <w:sz w:val="22"/>
                <w:szCs w:val="22"/>
              </w:rPr>
              <w:t>Bijela</w:t>
            </w:r>
          </w:p>
          <w:p w14:paraId="1A5CE93B" w14:textId="0EA3701E" w:rsidR="006F6043" w:rsidRPr="00801AFD" w:rsidRDefault="007F079F" w:rsidP="00801AFD">
            <w:pPr>
              <w:pStyle w:val="C-TableText"/>
              <w:widowControl w:val="0"/>
              <w:jc w:val="both"/>
              <w:rPr>
                <w:sz w:val="22"/>
                <w:szCs w:val="22"/>
              </w:rPr>
            </w:pPr>
            <w:r w:rsidRPr="00801AFD">
              <w:rPr>
                <w:sz w:val="22"/>
                <w:szCs w:val="22"/>
              </w:rPr>
              <w:t>Nepoznata/o</w:t>
            </w:r>
            <w:r w:rsidR="006F6043" w:rsidRPr="00801AFD">
              <w:rPr>
                <w:sz w:val="22"/>
                <w:szCs w:val="22"/>
              </w:rPr>
              <w:t>stalo</w:t>
            </w:r>
          </w:p>
        </w:tc>
        <w:tc>
          <w:tcPr>
            <w:tcW w:w="1333" w:type="pct"/>
          </w:tcPr>
          <w:p w14:paraId="796C3873" w14:textId="77777777" w:rsidR="006F6043" w:rsidRPr="00801AFD" w:rsidRDefault="006F6043" w:rsidP="00801AFD">
            <w:pPr>
              <w:pStyle w:val="C-TableText"/>
              <w:widowControl w:val="0"/>
              <w:jc w:val="center"/>
              <w:rPr>
                <w:sz w:val="22"/>
                <w:szCs w:val="22"/>
              </w:rPr>
            </w:pPr>
            <w:r w:rsidRPr="00801AFD">
              <w:rPr>
                <w:sz w:val="22"/>
                <w:szCs w:val="22"/>
              </w:rPr>
              <w:t>n (%)</w:t>
            </w:r>
          </w:p>
        </w:tc>
        <w:tc>
          <w:tcPr>
            <w:tcW w:w="1484" w:type="pct"/>
          </w:tcPr>
          <w:p w14:paraId="47BE8093" w14:textId="77777777" w:rsidR="006F6043" w:rsidRPr="00801AFD" w:rsidRDefault="006F6043" w:rsidP="00801AFD">
            <w:pPr>
              <w:pStyle w:val="C-TableText"/>
              <w:widowControl w:val="0"/>
              <w:jc w:val="center"/>
              <w:rPr>
                <w:sz w:val="22"/>
                <w:szCs w:val="22"/>
              </w:rPr>
            </w:pPr>
          </w:p>
          <w:p w14:paraId="72575759" w14:textId="77777777" w:rsidR="006F6043" w:rsidRPr="00801AFD" w:rsidRDefault="006F6043" w:rsidP="00801AFD">
            <w:pPr>
              <w:pStyle w:val="C-TableText"/>
              <w:widowControl w:val="0"/>
              <w:jc w:val="center"/>
              <w:rPr>
                <w:sz w:val="22"/>
                <w:szCs w:val="22"/>
              </w:rPr>
            </w:pPr>
            <w:r w:rsidRPr="00801AFD">
              <w:rPr>
                <w:sz w:val="22"/>
                <w:szCs w:val="22"/>
              </w:rPr>
              <w:t>15 (26.8)</w:t>
            </w:r>
          </w:p>
          <w:p w14:paraId="1BBEEA45" w14:textId="77777777" w:rsidR="006F6043" w:rsidRPr="00801AFD" w:rsidRDefault="006F6043" w:rsidP="00801AFD">
            <w:pPr>
              <w:pStyle w:val="C-TableText"/>
              <w:widowControl w:val="0"/>
              <w:jc w:val="center"/>
              <w:rPr>
                <w:sz w:val="22"/>
                <w:szCs w:val="22"/>
              </w:rPr>
            </w:pPr>
            <w:r w:rsidRPr="00801AFD">
              <w:rPr>
                <w:sz w:val="22"/>
                <w:szCs w:val="22"/>
              </w:rPr>
              <w:t>29 (51.8)</w:t>
            </w:r>
          </w:p>
          <w:p w14:paraId="062E1324" w14:textId="77777777" w:rsidR="006F6043" w:rsidRPr="00801AFD" w:rsidRDefault="006F6043" w:rsidP="00801AFD">
            <w:pPr>
              <w:pStyle w:val="C-TableText"/>
              <w:widowControl w:val="0"/>
              <w:jc w:val="center"/>
              <w:rPr>
                <w:sz w:val="22"/>
                <w:szCs w:val="22"/>
              </w:rPr>
            </w:pPr>
            <w:r w:rsidRPr="00801AFD">
              <w:rPr>
                <w:sz w:val="22"/>
                <w:szCs w:val="22"/>
              </w:rPr>
              <w:t>12 (21.4)</w:t>
            </w:r>
          </w:p>
        </w:tc>
      </w:tr>
      <w:tr w:rsidR="006F6043" w:rsidRPr="00801AFD" w14:paraId="1BD4A588" w14:textId="77777777" w:rsidTr="00961C31">
        <w:trPr>
          <w:cantSplit/>
          <w:trHeight w:val="179"/>
          <w:jc w:val="center"/>
        </w:trPr>
        <w:tc>
          <w:tcPr>
            <w:tcW w:w="2183" w:type="pct"/>
          </w:tcPr>
          <w:p w14:paraId="2A286B64" w14:textId="77777777" w:rsidR="006F6043" w:rsidRPr="00801AFD" w:rsidRDefault="006F6043" w:rsidP="00801AFD">
            <w:pPr>
              <w:pStyle w:val="C-TableText"/>
              <w:widowControl w:val="0"/>
              <w:jc w:val="both"/>
              <w:rPr>
                <w:sz w:val="22"/>
                <w:szCs w:val="22"/>
              </w:rPr>
            </w:pPr>
            <w:r w:rsidRPr="00801AFD">
              <w:rPr>
                <w:sz w:val="22"/>
                <w:szCs w:val="22"/>
              </w:rPr>
              <w:t>Prethodna transplantacija</w:t>
            </w:r>
          </w:p>
        </w:tc>
        <w:tc>
          <w:tcPr>
            <w:tcW w:w="1333" w:type="pct"/>
          </w:tcPr>
          <w:p w14:paraId="6BACA428" w14:textId="77777777" w:rsidR="006F6043" w:rsidRPr="00801AFD" w:rsidRDefault="006F6043" w:rsidP="00801AFD">
            <w:pPr>
              <w:pStyle w:val="C-TableText"/>
              <w:widowControl w:val="0"/>
              <w:jc w:val="center"/>
              <w:rPr>
                <w:sz w:val="22"/>
                <w:szCs w:val="22"/>
              </w:rPr>
            </w:pPr>
            <w:r w:rsidRPr="00801AFD">
              <w:rPr>
                <w:sz w:val="22"/>
                <w:szCs w:val="22"/>
              </w:rPr>
              <w:t>n (%)</w:t>
            </w:r>
          </w:p>
        </w:tc>
        <w:tc>
          <w:tcPr>
            <w:tcW w:w="1484" w:type="pct"/>
          </w:tcPr>
          <w:p w14:paraId="592281A6" w14:textId="77777777" w:rsidR="006F6043" w:rsidRPr="00801AFD" w:rsidRDefault="006F6043" w:rsidP="00801AFD">
            <w:pPr>
              <w:pStyle w:val="C-TableText"/>
              <w:widowControl w:val="0"/>
              <w:jc w:val="center"/>
              <w:rPr>
                <w:sz w:val="22"/>
                <w:szCs w:val="22"/>
              </w:rPr>
            </w:pPr>
            <w:r w:rsidRPr="00801AFD">
              <w:rPr>
                <w:sz w:val="22"/>
                <w:szCs w:val="22"/>
              </w:rPr>
              <w:t>8 (14.3)</w:t>
            </w:r>
          </w:p>
        </w:tc>
      </w:tr>
      <w:tr w:rsidR="006F6043" w:rsidRPr="00801AFD" w14:paraId="0846AFAE" w14:textId="77777777" w:rsidTr="00961C31">
        <w:trPr>
          <w:cantSplit/>
          <w:trHeight w:val="145"/>
          <w:jc w:val="center"/>
        </w:trPr>
        <w:tc>
          <w:tcPr>
            <w:tcW w:w="2183" w:type="pct"/>
          </w:tcPr>
          <w:p w14:paraId="47DF1F48" w14:textId="26309FA1" w:rsidR="006F6043" w:rsidRPr="00801AFD" w:rsidRDefault="006F6043" w:rsidP="00801AFD">
            <w:pPr>
              <w:pStyle w:val="C-TableText"/>
              <w:widowControl w:val="0"/>
              <w:jc w:val="both"/>
              <w:rPr>
                <w:sz w:val="22"/>
                <w:szCs w:val="22"/>
              </w:rPr>
            </w:pPr>
            <w:r w:rsidRPr="00801AFD">
              <w:rPr>
                <w:sz w:val="22"/>
                <w:szCs w:val="22"/>
              </w:rPr>
              <w:t>Trombociti (10</w:t>
            </w:r>
            <w:r w:rsidRPr="00801AFD">
              <w:rPr>
                <w:sz w:val="22"/>
                <w:szCs w:val="22"/>
                <w:vertAlign w:val="superscript"/>
              </w:rPr>
              <w:t>9</w:t>
            </w:r>
            <w:r w:rsidRPr="00801AFD">
              <w:rPr>
                <w:sz w:val="22"/>
                <w:szCs w:val="22"/>
              </w:rPr>
              <w:t>/</w:t>
            </w:r>
            <w:r w:rsidR="00D4193A" w:rsidRPr="00801AFD">
              <w:rPr>
                <w:sz w:val="22"/>
                <w:szCs w:val="22"/>
              </w:rPr>
              <w:t>l</w:t>
            </w:r>
            <w:r w:rsidRPr="00801AFD">
              <w:rPr>
                <w:sz w:val="22"/>
                <w:szCs w:val="22"/>
              </w:rPr>
              <w:t>) krv</w:t>
            </w:r>
          </w:p>
          <w:p w14:paraId="55BFF4EE" w14:textId="3268AA26" w:rsidR="006F6043" w:rsidRPr="00801AFD" w:rsidRDefault="006F6043" w:rsidP="00801AFD">
            <w:pPr>
              <w:pStyle w:val="C-TableText"/>
              <w:widowControl w:val="0"/>
              <w:jc w:val="both"/>
              <w:rPr>
                <w:sz w:val="22"/>
                <w:szCs w:val="22"/>
              </w:rPr>
            </w:pPr>
          </w:p>
        </w:tc>
        <w:tc>
          <w:tcPr>
            <w:tcW w:w="1333" w:type="pct"/>
          </w:tcPr>
          <w:p w14:paraId="40243E41" w14:textId="77777777" w:rsidR="006F6043" w:rsidRPr="00801AFD" w:rsidRDefault="006F6043" w:rsidP="00801AFD">
            <w:pPr>
              <w:pStyle w:val="C-TableText"/>
              <w:widowControl w:val="0"/>
              <w:jc w:val="center"/>
              <w:rPr>
                <w:sz w:val="22"/>
                <w:szCs w:val="22"/>
              </w:rPr>
            </w:pPr>
            <w:r w:rsidRPr="00801AFD">
              <w:rPr>
                <w:sz w:val="22"/>
                <w:szCs w:val="22"/>
              </w:rPr>
              <w:t>n</w:t>
            </w:r>
          </w:p>
          <w:p w14:paraId="49751DC0" w14:textId="77777777" w:rsidR="006F6043" w:rsidRPr="00801AFD" w:rsidRDefault="006F6043" w:rsidP="00801AFD">
            <w:pPr>
              <w:pStyle w:val="C-TableText"/>
              <w:widowControl w:val="0"/>
              <w:jc w:val="center"/>
              <w:rPr>
                <w:sz w:val="22"/>
                <w:szCs w:val="22"/>
              </w:rPr>
            </w:pPr>
            <w:r w:rsidRPr="00801AFD">
              <w:rPr>
                <w:sz w:val="22"/>
                <w:szCs w:val="22"/>
              </w:rPr>
              <w:t>Medijana (min, maks)</w:t>
            </w:r>
          </w:p>
        </w:tc>
        <w:tc>
          <w:tcPr>
            <w:tcW w:w="1484" w:type="pct"/>
          </w:tcPr>
          <w:p w14:paraId="2D033C4C" w14:textId="77777777" w:rsidR="006F6043" w:rsidRPr="00801AFD" w:rsidRDefault="006F6043" w:rsidP="00801AFD">
            <w:pPr>
              <w:pStyle w:val="C-TableText"/>
              <w:widowControl w:val="0"/>
              <w:jc w:val="center"/>
              <w:rPr>
                <w:sz w:val="22"/>
                <w:szCs w:val="22"/>
              </w:rPr>
            </w:pPr>
            <w:r w:rsidRPr="00801AFD">
              <w:rPr>
                <w:sz w:val="22"/>
                <w:szCs w:val="22"/>
              </w:rPr>
              <w:t>56</w:t>
            </w:r>
          </w:p>
          <w:p w14:paraId="702CF883" w14:textId="77777777" w:rsidR="006F6043" w:rsidRPr="00801AFD" w:rsidRDefault="006F6043" w:rsidP="00801AFD">
            <w:pPr>
              <w:pStyle w:val="C-TableText"/>
              <w:widowControl w:val="0"/>
              <w:jc w:val="center"/>
              <w:rPr>
                <w:sz w:val="22"/>
                <w:szCs w:val="22"/>
              </w:rPr>
            </w:pPr>
            <w:r w:rsidRPr="00801AFD">
              <w:rPr>
                <w:sz w:val="22"/>
                <w:szCs w:val="22"/>
              </w:rPr>
              <w:t>95.25 (18, 473)</w:t>
            </w:r>
          </w:p>
        </w:tc>
      </w:tr>
      <w:tr w:rsidR="006F6043" w:rsidRPr="00801AFD" w14:paraId="319B2FA5" w14:textId="77777777" w:rsidTr="00961C31">
        <w:trPr>
          <w:cantSplit/>
          <w:trHeight w:val="145"/>
          <w:jc w:val="center"/>
        </w:trPr>
        <w:tc>
          <w:tcPr>
            <w:tcW w:w="2183" w:type="pct"/>
          </w:tcPr>
          <w:p w14:paraId="1ACE63E1" w14:textId="7454324B" w:rsidR="006F6043" w:rsidRPr="00801AFD" w:rsidRDefault="006F6043" w:rsidP="00801AFD">
            <w:pPr>
              <w:pStyle w:val="C-TableText"/>
              <w:widowControl w:val="0"/>
              <w:jc w:val="both"/>
              <w:rPr>
                <w:bCs/>
                <w:sz w:val="22"/>
                <w:szCs w:val="22"/>
              </w:rPr>
            </w:pPr>
            <w:r w:rsidRPr="00801AFD">
              <w:rPr>
                <w:bCs/>
                <w:sz w:val="22"/>
                <w:szCs w:val="22"/>
              </w:rPr>
              <w:t>Hemoglobin (g/</w:t>
            </w:r>
            <w:r w:rsidR="00D4193A" w:rsidRPr="00801AFD">
              <w:rPr>
                <w:bCs/>
                <w:sz w:val="22"/>
                <w:szCs w:val="22"/>
              </w:rPr>
              <w:t>l</w:t>
            </w:r>
            <w:r w:rsidRPr="00801AFD">
              <w:rPr>
                <w:bCs/>
                <w:sz w:val="22"/>
                <w:szCs w:val="22"/>
              </w:rPr>
              <w:t>) krv</w:t>
            </w:r>
          </w:p>
          <w:p w14:paraId="7ADA7505" w14:textId="5D1A53D1" w:rsidR="006F6043" w:rsidRPr="00801AFD" w:rsidRDefault="006F6043" w:rsidP="00801AFD">
            <w:pPr>
              <w:pStyle w:val="C-TableText"/>
              <w:widowControl w:val="0"/>
              <w:jc w:val="both"/>
              <w:rPr>
                <w:bCs/>
                <w:sz w:val="22"/>
                <w:szCs w:val="22"/>
              </w:rPr>
            </w:pPr>
          </w:p>
        </w:tc>
        <w:tc>
          <w:tcPr>
            <w:tcW w:w="1333" w:type="pct"/>
          </w:tcPr>
          <w:p w14:paraId="29C82931" w14:textId="77777777" w:rsidR="006F6043" w:rsidRPr="00801AFD" w:rsidRDefault="006F6043" w:rsidP="00801AFD">
            <w:pPr>
              <w:pStyle w:val="C-TableText"/>
              <w:widowControl w:val="0"/>
              <w:jc w:val="center"/>
              <w:rPr>
                <w:sz w:val="22"/>
                <w:szCs w:val="22"/>
              </w:rPr>
            </w:pPr>
            <w:r w:rsidRPr="00801AFD">
              <w:rPr>
                <w:sz w:val="22"/>
                <w:szCs w:val="22"/>
              </w:rPr>
              <w:t>n</w:t>
            </w:r>
          </w:p>
          <w:p w14:paraId="7EE117AF" w14:textId="77777777" w:rsidR="006F6043" w:rsidRPr="00801AFD" w:rsidRDefault="006F6043" w:rsidP="00801AFD">
            <w:pPr>
              <w:pStyle w:val="C-TableText"/>
              <w:widowControl w:val="0"/>
              <w:jc w:val="center"/>
              <w:rPr>
                <w:sz w:val="22"/>
                <w:szCs w:val="22"/>
              </w:rPr>
            </w:pPr>
            <w:r w:rsidRPr="00801AFD">
              <w:rPr>
                <w:sz w:val="22"/>
                <w:szCs w:val="22"/>
              </w:rPr>
              <w:t>Medijana (min, maks)</w:t>
            </w:r>
          </w:p>
        </w:tc>
        <w:tc>
          <w:tcPr>
            <w:tcW w:w="1484" w:type="pct"/>
          </w:tcPr>
          <w:p w14:paraId="1C56A171" w14:textId="77777777" w:rsidR="006F6043" w:rsidRPr="00801AFD" w:rsidRDefault="006F6043" w:rsidP="00801AFD">
            <w:pPr>
              <w:pStyle w:val="C-TableText"/>
              <w:widowControl w:val="0"/>
              <w:jc w:val="center"/>
              <w:rPr>
                <w:sz w:val="22"/>
                <w:szCs w:val="22"/>
              </w:rPr>
            </w:pPr>
            <w:r w:rsidRPr="00801AFD">
              <w:rPr>
                <w:sz w:val="22"/>
                <w:szCs w:val="22"/>
              </w:rPr>
              <w:t>56</w:t>
            </w:r>
          </w:p>
          <w:p w14:paraId="427C321C" w14:textId="77777777" w:rsidR="006F6043" w:rsidRPr="00801AFD" w:rsidRDefault="006F6043" w:rsidP="00801AFD">
            <w:pPr>
              <w:pStyle w:val="C-TableText"/>
              <w:widowControl w:val="0"/>
              <w:jc w:val="center"/>
              <w:rPr>
                <w:bCs/>
                <w:sz w:val="22"/>
                <w:szCs w:val="22"/>
              </w:rPr>
            </w:pPr>
            <w:r w:rsidRPr="00801AFD">
              <w:rPr>
                <w:bCs/>
                <w:sz w:val="22"/>
                <w:szCs w:val="22"/>
              </w:rPr>
              <w:t>85.00 (60.5, 140)</w:t>
            </w:r>
          </w:p>
        </w:tc>
      </w:tr>
      <w:tr w:rsidR="006F6043" w:rsidRPr="00801AFD" w14:paraId="61A21E30" w14:textId="77777777" w:rsidTr="00961C31">
        <w:trPr>
          <w:cantSplit/>
          <w:trHeight w:val="145"/>
          <w:jc w:val="center"/>
        </w:trPr>
        <w:tc>
          <w:tcPr>
            <w:tcW w:w="2183" w:type="pct"/>
          </w:tcPr>
          <w:p w14:paraId="297F8DC2" w14:textId="560E5A68" w:rsidR="006F6043" w:rsidRPr="00801AFD" w:rsidRDefault="006F6043" w:rsidP="00801AFD">
            <w:pPr>
              <w:pStyle w:val="C-TableText"/>
              <w:widowControl w:val="0"/>
              <w:jc w:val="both"/>
              <w:rPr>
                <w:bCs/>
                <w:sz w:val="22"/>
                <w:szCs w:val="22"/>
              </w:rPr>
            </w:pPr>
            <w:r w:rsidRPr="00801AFD">
              <w:rPr>
                <w:bCs/>
                <w:sz w:val="22"/>
                <w:szCs w:val="22"/>
              </w:rPr>
              <w:t>LDH (U/</w:t>
            </w:r>
            <w:r w:rsidR="00D4193A" w:rsidRPr="00801AFD">
              <w:rPr>
                <w:bCs/>
                <w:sz w:val="22"/>
                <w:szCs w:val="22"/>
              </w:rPr>
              <w:t>l</w:t>
            </w:r>
            <w:r w:rsidRPr="00801AFD">
              <w:rPr>
                <w:bCs/>
                <w:sz w:val="22"/>
                <w:szCs w:val="22"/>
              </w:rPr>
              <w:t>) serum</w:t>
            </w:r>
          </w:p>
          <w:p w14:paraId="1D6E0386" w14:textId="7FAF2DAE" w:rsidR="006F6043" w:rsidRPr="00801AFD" w:rsidRDefault="006F6043" w:rsidP="00801AFD">
            <w:pPr>
              <w:pStyle w:val="C-TableText"/>
              <w:widowControl w:val="0"/>
              <w:jc w:val="both"/>
              <w:rPr>
                <w:bCs/>
                <w:sz w:val="22"/>
                <w:szCs w:val="22"/>
              </w:rPr>
            </w:pPr>
          </w:p>
        </w:tc>
        <w:tc>
          <w:tcPr>
            <w:tcW w:w="1333" w:type="pct"/>
          </w:tcPr>
          <w:p w14:paraId="208A006D" w14:textId="77777777" w:rsidR="006F6043" w:rsidRPr="00801AFD" w:rsidRDefault="006F6043" w:rsidP="00801AFD">
            <w:pPr>
              <w:pStyle w:val="C-TableText"/>
              <w:widowControl w:val="0"/>
              <w:jc w:val="center"/>
              <w:rPr>
                <w:sz w:val="22"/>
                <w:szCs w:val="22"/>
              </w:rPr>
            </w:pPr>
            <w:r w:rsidRPr="00801AFD">
              <w:rPr>
                <w:sz w:val="22"/>
                <w:szCs w:val="22"/>
              </w:rPr>
              <w:t>n</w:t>
            </w:r>
          </w:p>
          <w:p w14:paraId="693F19C8" w14:textId="77777777" w:rsidR="006F6043" w:rsidRPr="00801AFD" w:rsidRDefault="006F6043" w:rsidP="00801AFD">
            <w:pPr>
              <w:pStyle w:val="C-TableText"/>
              <w:widowControl w:val="0"/>
              <w:jc w:val="center"/>
              <w:rPr>
                <w:sz w:val="22"/>
                <w:szCs w:val="22"/>
              </w:rPr>
            </w:pPr>
            <w:r w:rsidRPr="00801AFD">
              <w:rPr>
                <w:sz w:val="22"/>
                <w:szCs w:val="22"/>
              </w:rPr>
              <w:t>Medijana (min, maks)</w:t>
            </w:r>
          </w:p>
        </w:tc>
        <w:tc>
          <w:tcPr>
            <w:tcW w:w="1484" w:type="pct"/>
            <w:tcBorders>
              <w:bottom w:val="single" w:sz="4" w:space="0" w:color="auto"/>
            </w:tcBorders>
          </w:tcPr>
          <w:p w14:paraId="34CCF2BC" w14:textId="77777777" w:rsidR="006F6043" w:rsidRPr="00801AFD" w:rsidRDefault="006F6043" w:rsidP="00801AFD">
            <w:pPr>
              <w:pStyle w:val="C-TableText"/>
              <w:widowControl w:val="0"/>
              <w:jc w:val="center"/>
              <w:rPr>
                <w:sz w:val="22"/>
                <w:szCs w:val="22"/>
              </w:rPr>
            </w:pPr>
            <w:r w:rsidRPr="00801AFD">
              <w:rPr>
                <w:sz w:val="22"/>
                <w:szCs w:val="22"/>
              </w:rPr>
              <w:t>56</w:t>
            </w:r>
          </w:p>
          <w:p w14:paraId="3588F169" w14:textId="77777777" w:rsidR="006F6043" w:rsidRPr="00801AFD" w:rsidRDefault="006F6043" w:rsidP="00801AFD">
            <w:pPr>
              <w:pStyle w:val="C-TableText"/>
              <w:widowControl w:val="0"/>
              <w:jc w:val="center"/>
              <w:rPr>
                <w:bCs/>
                <w:sz w:val="22"/>
                <w:szCs w:val="22"/>
              </w:rPr>
            </w:pPr>
            <w:r w:rsidRPr="00801AFD">
              <w:rPr>
                <w:bCs/>
                <w:sz w:val="22"/>
                <w:szCs w:val="22"/>
              </w:rPr>
              <w:t>508.00 (229.5, 3249)</w:t>
            </w:r>
          </w:p>
        </w:tc>
      </w:tr>
      <w:tr w:rsidR="006F6043" w:rsidRPr="00801AFD" w14:paraId="7B1D9512" w14:textId="77777777" w:rsidTr="00961C31">
        <w:trPr>
          <w:cantSplit/>
          <w:trHeight w:val="145"/>
          <w:jc w:val="center"/>
        </w:trPr>
        <w:tc>
          <w:tcPr>
            <w:tcW w:w="2183" w:type="pct"/>
          </w:tcPr>
          <w:p w14:paraId="236CF77F" w14:textId="7E786D9C" w:rsidR="006F6043" w:rsidRPr="00801AFD" w:rsidRDefault="006F6043" w:rsidP="00801AFD">
            <w:pPr>
              <w:pStyle w:val="C-TableText"/>
              <w:widowControl w:val="0"/>
              <w:jc w:val="both"/>
              <w:rPr>
                <w:bCs/>
                <w:sz w:val="22"/>
                <w:szCs w:val="22"/>
              </w:rPr>
            </w:pPr>
            <w:r w:rsidRPr="00801AFD">
              <w:rPr>
                <w:bCs/>
                <w:sz w:val="22"/>
                <w:szCs w:val="22"/>
              </w:rPr>
              <w:t>eGFR (m</w:t>
            </w:r>
            <w:r w:rsidR="00D4193A" w:rsidRPr="00801AFD">
              <w:rPr>
                <w:bCs/>
                <w:sz w:val="22"/>
                <w:szCs w:val="22"/>
              </w:rPr>
              <w:t>l</w:t>
            </w:r>
            <w:r w:rsidRPr="00801AFD">
              <w:rPr>
                <w:bCs/>
                <w:sz w:val="22"/>
                <w:szCs w:val="22"/>
              </w:rPr>
              <w:t>/min/1.73 m</w:t>
            </w:r>
            <w:r w:rsidRPr="00801AFD">
              <w:rPr>
                <w:bCs/>
                <w:sz w:val="22"/>
                <w:szCs w:val="22"/>
                <w:vertAlign w:val="superscript"/>
              </w:rPr>
              <w:t>2</w:t>
            </w:r>
            <w:r w:rsidRPr="00801AFD">
              <w:rPr>
                <w:bCs/>
                <w:sz w:val="22"/>
                <w:szCs w:val="22"/>
              </w:rPr>
              <w:t>)</w:t>
            </w:r>
          </w:p>
          <w:p w14:paraId="265F97BC" w14:textId="6D11EE2F" w:rsidR="006F6043" w:rsidRPr="00801AFD" w:rsidRDefault="006F6043" w:rsidP="00801AFD">
            <w:pPr>
              <w:pStyle w:val="C-TableText"/>
              <w:widowControl w:val="0"/>
              <w:jc w:val="both"/>
              <w:rPr>
                <w:bCs/>
                <w:sz w:val="22"/>
                <w:szCs w:val="22"/>
              </w:rPr>
            </w:pPr>
          </w:p>
        </w:tc>
        <w:tc>
          <w:tcPr>
            <w:tcW w:w="1333" w:type="pct"/>
          </w:tcPr>
          <w:p w14:paraId="3C4CBD8C" w14:textId="77777777" w:rsidR="006F6043" w:rsidRPr="00801AFD" w:rsidRDefault="006F6043" w:rsidP="00801AFD">
            <w:pPr>
              <w:pStyle w:val="C-TableText"/>
              <w:widowControl w:val="0"/>
              <w:jc w:val="center"/>
              <w:rPr>
                <w:sz w:val="22"/>
                <w:szCs w:val="22"/>
              </w:rPr>
            </w:pPr>
            <w:r w:rsidRPr="00801AFD">
              <w:rPr>
                <w:sz w:val="22"/>
                <w:szCs w:val="22"/>
              </w:rPr>
              <w:t>n (%)</w:t>
            </w:r>
          </w:p>
          <w:p w14:paraId="67106AD0" w14:textId="77777777" w:rsidR="006F6043" w:rsidRPr="00801AFD" w:rsidRDefault="006F6043" w:rsidP="00801AFD">
            <w:pPr>
              <w:pStyle w:val="C-TableText"/>
              <w:widowControl w:val="0"/>
              <w:jc w:val="center"/>
              <w:rPr>
                <w:sz w:val="22"/>
                <w:szCs w:val="22"/>
              </w:rPr>
            </w:pPr>
            <w:r w:rsidRPr="00801AFD">
              <w:rPr>
                <w:sz w:val="22"/>
                <w:szCs w:val="22"/>
              </w:rPr>
              <w:t>Medijana (min, maks)</w:t>
            </w:r>
          </w:p>
        </w:tc>
        <w:tc>
          <w:tcPr>
            <w:tcW w:w="1484" w:type="pct"/>
          </w:tcPr>
          <w:p w14:paraId="7BDEAE49" w14:textId="77777777" w:rsidR="006F6043" w:rsidRPr="00801AFD" w:rsidRDefault="006F6043" w:rsidP="00801AFD">
            <w:pPr>
              <w:pStyle w:val="C-TableText"/>
              <w:widowControl w:val="0"/>
              <w:jc w:val="center"/>
              <w:rPr>
                <w:bCs/>
                <w:sz w:val="22"/>
                <w:szCs w:val="22"/>
              </w:rPr>
            </w:pPr>
            <w:r w:rsidRPr="00801AFD">
              <w:rPr>
                <w:bCs/>
                <w:sz w:val="22"/>
                <w:szCs w:val="22"/>
              </w:rPr>
              <w:t>55</w:t>
            </w:r>
          </w:p>
          <w:p w14:paraId="28D128F9" w14:textId="77777777" w:rsidR="006F6043" w:rsidRPr="00801AFD" w:rsidRDefault="006F6043" w:rsidP="00801AFD">
            <w:pPr>
              <w:pStyle w:val="C-TableText"/>
              <w:widowControl w:val="0"/>
              <w:jc w:val="center"/>
              <w:rPr>
                <w:b/>
                <w:bCs/>
                <w:sz w:val="22"/>
                <w:szCs w:val="22"/>
              </w:rPr>
            </w:pPr>
            <w:r w:rsidRPr="00801AFD">
              <w:rPr>
                <w:bCs/>
                <w:sz w:val="22"/>
                <w:szCs w:val="22"/>
              </w:rPr>
              <w:t>10.00 (4, 80)</w:t>
            </w:r>
          </w:p>
        </w:tc>
      </w:tr>
      <w:tr w:rsidR="006F6043" w:rsidRPr="00801AFD" w14:paraId="0CC758FD" w14:textId="77777777" w:rsidTr="00961C31">
        <w:trPr>
          <w:cantSplit/>
          <w:trHeight w:val="233"/>
          <w:jc w:val="center"/>
        </w:trPr>
        <w:tc>
          <w:tcPr>
            <w:tcW w:w="2183" w:type="pct"/>
          </w:tcPr>
          <w:p w14:paraId="38ECD1B8" w14:textId="77777777" w:rsidR="006F6043" w:rsidRPr="00801AFD" w:rsidRDefault="006F6043" w:rsidP="00801AFD">
            <w:pPr>
              <w:pStyle w:val="C-TableText"/>
              <w:widowControl w:val="0"/>
              <w:jc w:val="both"/>
              <w:rPr>
                <w:bCs/>
                <w:sz w:val="22"/>
                <w:szCs w:val="22"/>
              </w:rPr>
            </w:pPr>
            <w:r w:rsidRPr="00801AFD">
              <w:rPr>
                <w:bCs/>
                <w:sz w:val="22"/>
                <w:szCs w:val="22"/>
              </w:rPr>
              <w:t>Pacijenti na dijalizi</w:t>
            </w:r>
          </w:p>
        </w:tc>
        <w:tc>
          <w:tcPr>
            <w:tcW w:w="1333" w:type="pct"/>
          </w:tcPr>
          <w:p w14:paraId="7036552F" w14:textId="77777777" w:rsidR="006F6043" w:rsidRPr="00801AFD" w:rsidRDefault="006F6043" w:rsidP="00801AFD">
            <w:pPr>
              <w:pStyle w:val="C-TableText"/>
              <w:widowControl w:val="0"/>
              <w:jc w:val="center"/>
              <w:rPr>
                <w:sz w:val="22"/>
                <w:szCs w:val="22"/>
              </w:rPr>
            </w:pPr>
            <w:r w:rsidRPr="00801AFD">
              <w:rPr>
                <w:sz w:val="22"/>
                <w:szCs w:val="22"/>
              </w:rPr>
              <w:t>N (%)</w:t>
            </w:r>
          </w:p>
        </w:tc>
        <w:tc>
          <w:tcPr>
            <w:tcW w:w="1484" w:type="pct"/>
          </w:tcPr>
          <w:p w14:paraId="6F6EE801" w14:textId="77777777" w:rsidR="006F6043" w:rsidRPr="00801AFD" w:rsidRDefault="006F6043" w:rsidP="00801AFD">
            <w:pPr>
              <w:pStyle w:val="C-TableText"/>
              <w:widowControl w:val="0"/>
              <w:jc w:val="center"/>
              <w:rPr>
                <w:b/>
                <w:sz w:val="22"/>
                <w:szCs w:val="22"/>
              </w:rPr>
            </w:pPr>
            <w:r w:rsidRPr="00801AFD">
              <w:rPr>
                <w:sz w:val="22"/>
                <w:szCs w:val="22"/>
              </w:rPr>
              <w:t>29</w:t>
            </w:r>
            <w:r w:rsidRPr="00801AFD">
              <w:rPr>
                <w:b/>
                <w:sz w:val="22"/>
                <w:szCs w:val="22"/>
              </w:rPr>
              <w:t xml:space="preserve"> (</w:t>
            </w:r>
            <w:r w:rsidRPr="00801AFD">
              <w:rPr>
                <w:sz w:val="22"/>
                <w:szCs w:val="22"/>
              </w:rPr>
              <w:t>51.8)</w:t>
            </w:r>
          </w:p>
        </w:tc>
      </w:tr>
      <w:tr w:rsidR="006F6043" w:rsidRPr="00801AFD" w14:paraId="0D9BF003" w14:textId="77777777" w:rsidTr="00961C31">
        <w:trPr>
          <w:cantSplit/>
          <w:trHeight w:val="197"/>
          <w:jc w:val="center"/>
        </w:trPr>
        <w:tc>
          <w:tcPr>
            <w:tcW w:w="2183" w:type="pct"/>
          </w:tcPr>
          <w:p w14:paraId="56ADA7AB" w14:textId="63EB6C4B" w:rsidR="006F6043" w:rsidRPr="00801AFD" w:rsidRDefault="006F6043" w:rsidP="00801AFD">
            <w:pPr>
              <w:pStyle w:val="C-TableText"/>
              <w:widowControl w:val="0"/>
              <w:jc w:val="both"/>
              <w:rPr>
                <w:b/>
                <w:bCs/>
                <w:sz w:val="22"/>
                <w:szCs w:val="22"/>
              </w:rPr>
            </w:pPr>
            <w:r w:rsidRPr="00801AFD">
              <w:rPr>
                <w:bCs/>
                <w:sz w:val="22"/>
                <w:szCs w:val="22"/>
              </w:rPr>
              <w:t>Pacijenti post partum</w:t>
            </w:r>
          </w:p>
        </w:tc>
        <w:tc>
          <w:tcPr>
            <w:tcW w:w="1333" w:type="pct"/>
          </w:tcPr>
          <w:p w14:paraId="5F062914" w14:textId="77777777" w:rsidR="006F6043" w:rsidRPr="00801AFD" w:rsidRDefault="006F6043" w:rsidP="00801AFD">
            <w:pPr>
              <w:pStyle w:val="C-TableText"/>
              <w:widowControl w:val="0"/>
              <w:jc w:val="center"/>
              <w:rPr>
                <w:sz w:val="22"/>
                <w:szCs w:val="22"/>
              </w:rPr>
            </w:pPr>
            <w:r w:rsidRPr="00801AFD">
              <w:rPr>
                <w:sz w:val="22"/>
                <w:szCs w:val="22"/>
              </w:rPr>
              <w:t>N (%)</w:t>
            </w:r>
          </w:p>
        </w:tc>
        <w:tc>
          <w:tcPr>
            <w:tcW w:w="1484" w:type="pct"/>
          </w:tcPr>
          <w:p w14:paraId="0A62DBEE" w14:textId="77777777" w:rsidR="006F6043" w:rsidRPr="00801AFD" w:rsidRDefault="006F6043" w:rsidP="00801AFD">
            <w:pPr>
              <w:pStyle w:val="C-TableText"/>
              <w:widowControl w:val="0"/>
              <w:jc w:val="center"/>
              <w:rPr>
                <w:sz w:val="22"/>
                <w:szCs w:val="22"/>
              </w:rPr>
            </w:pPr>
            <w:r w:rsidRPr="00801AFD">
              <w:rPr>
                <w:bCs/>
                <w:sz w:val="22"/>
                <w:szCs w:val="22"/>
              </w:rPr>
              <w:t>8 (14.3)</w:t>
            </w:r>
          </w:p>
        </w:tc>
      </w:tr>
    </w:tbl>
    <w:p w14:paraId="4385BAD4" w14:textId="12739354" w:rsidR="006F6043" w:rsidRPr="00961C31" w:rsidRDefault="006F6043" w:rsidP="00801AFD">
      <w:pPr>
        <w:widowControl w:val="0"/>
        <w:jc w:val="both"/>
        <w:rPr>
          <w:sz w:val="20"/>
          <w:szCs w:val="22"/>
          <w:lang w:val="sr-Latn-ME"/>
        </w:rPr>
      </w:pPr>
      <w:r w:rsidRPr="00961C31">
        <w:rPr>
          <w:sz w:val="20"/>
          <w:szCs w:val="22"/>
          <w:lang w:val="sr-Latn-ME"/>
        </w:rPr>
        <w:t>Napomena: Procenti se odnose na ukupan broj pacijenata.</w:t>
      </w:r>
    </w:p>
    <w:p w14:paraId="7C5D3499" w14:textId="0D5455DA" w:rsidR="006F6043" w:rsidRPr="00961C31" w:rsidRDefault="006F6043" w:rsidP="00801AFD">
      <w:pPr>
        <w:widowControl w:val="0"/>
        <w:jc w:val="both"/>
        <w:rPr>
          <w:sz w:val="20"/>
          <w:szCs w:val="22"/>
          <w:lang w:val="sr-Latn-ME"/>
        </w:rPr>
      </w:pPr>
      <w:r w:rsidRPr="00961C31">
        <w:rPr>
          <w:sz w:val="20"/>
          <w:szCs w:val="22"/>
          <w:lang w:val="sr-Latn-ME"/>
        </w:rPr>
        <w:t>Skraćenice: eGFR = proc</w:t>
      </w:r>
      <w:r w:rsidR="00AA081F" w:rsidRPr="00961C31">
        <w:rPr>
          <w:sz w:val="20"/>
          <w:szCs w:val="22"/>
          <w:lang w:val="sr-Latn-ME"/>
        </w:rPr>
        <w:t>i</w:t>
      </w:r>
      <w:r w:rsidRPr="00961C31">
        <w:rPr>
          <w:sz w:val="20"/>
          <w:szCs w:val="22"/>
          <w:lang w:val="sr-Latn-ME"/>
        </w:rPr>
        <w:t>jenjena brzina glomerularne filtracije; LDH = laktat dehidrogenaza; maks = maksimum; min = minimum.</w:t>
      </w:r>
    </w:p>
    <w:p w14:paraId="1EB7CCC4" w14:textId="77777777" w:rsidR="006F6043" w:rsidRPr="00801AFD" w:rsidRDefault="006F6043" w:rsidP="00801AFD">
      <w:pPr>
        <w:widowControl w:val="0"/>
        <w:jc w:val="both"/>
        <w:rPr>
          <w:sz w:val="22"/>
          <w:szCs w:val="22"/>
          <w:lang w:val="sr-Latn-ME"/>
        </w:rPr>
      </w:pPr>
    </w:p>
    <w:p w14:paraId="0C37465C" w14:textId="36D79B30" w:rsidR="006F6043" w:rsidRPr="00801AFD" w:rsidRDefault="006F6043" w:rsidP="00801AFD">
      <w:pPr>
        <w:widowControl w:val="0"/>
        <w:jc w:val="both"/>
        <w:rPr>
          <w:sz w:val="22"/>
          <w:szCs w:val="22"/>
          <w:lang w:val="sr-Latn-ME"/>
        </w:rPr>
      </w:pPr>
      <w:r w:rsidRPr="00801AFD">
        <w:rPr>
          <w:sz w:val="22"/>
          <w:szCs w:val="22"/>
          <w:lang w:val="sr-Latn-ME"/>
        </w:rPr>
        <w:t>Primarni ishod bio je potpuni TMA odgovor tokom 26-nedjeljnog perioda početne procjene, pokazan na osnovu normalizacije hematoloških parametara (broj trombocita ≥ 150 x 10</w:t>
      </w:r>
      <w:r w:rsidRPr="00801AFD">
        <w:rPr>
          <w:sz w:val="22"/>
          <w:szCs w:val="22"/>
          <w:vertAlign w:val="superscript"/>
          <w:lang w:val="sr-Latn-ME"/>
        </w:rPr>
        <w:t>9</w:t>
      </w:r>
      <w:r w:rsidRPr="00801AFD">
        <w:rPr>
          <w:sz w:val="22"/>
          <w:szCs w:val="22"/>
          <w:lang w:val="sr-Latn-ME"/>
        </w:rPr>
        <w:t>/</w:t>
      </w:r>
      <w:r w:rsidR="00D4193A" w:rsidRPr="00801AFD">
        <w:rPr>
          <w:sz w:val="22"/>
          <w:szCs w:val="22"/>
          <w:lang w:val="sr-Latn-ME"/>
        </w:rPr>
        <w:t>l</w:t>
      </w:r>
      <w:r w:rsidRPr="00801AFD">
        <w:rPr>
          <w:sz w:val="22"/>
          <w:szCs w:val="22"/>
          <w:lang w:val="sr-Latn-ME"/>
        </w:rPr>
        <w:t xml:space="preserve"> i LDH ≤ 246 U/</w:t>
      </w:r>
      <w:r w:rsidR="00D4193A" w:rsidRPr="00801AFD">
        <w:rPr>
          <w:sz w:val="22"/>
          <w:szCs w:val="22"/>
          <w:lang w:val="sr-Latn-ME"/>
        </w:rPr>
        <w:t>l</w:t>
      </w:r>
      <w:r w:rsidRPr="00801AFD">
        <w:rPr>
          <w:sz w:val="22"/>
          <w:szCs w:val="22"/>
          <w:lang w:val="sr-Latn-ME"/>
        </w:rPr>
        <w:t>) i ≥ 25% poboljšanja serumskog kreatinina u odnosu na početnu vrijednost. Pacijenti su morali da ispune sve kriterijume za potpuni TMA odgovor na 2 odvojene procjene u razmaku od najmanje 4 nedjelje (28 dana) i na svim mjerenjima tokom tog perioda.</w:t>
      </w:r>
    </w:p>
    <w:p w14:paraId="3F92F204" w14:textId="77777777" w:rsidR="006F6043" w:rsidRPr="00801AFD" w:rsidRDefault="006F6043" w:rsidP="00801AFD">
      <w:pPr>
        <w:widowControl w:val="0"/>
        <w:jc w:val="both"/>
        <w:rPr>
          <w:sz w:val="22"/>
          <w:szCs w:val="22"/>
          <w:lang w:val="sr-Latn-ME"/>
        </w:rPr>
      </w:pPr>
    </w:p>
    <w:p w14:paraId="035B5EF2" w14:textId="776E49C9" w:rsidR="006F6043" w:rsidRPr="00801AFD" w:rsidRDefault="006F6043" w:rsidP="00801AFD">
      <w:pPr>
        <w:widowControl w:val="0"/>
        <w:jc w:val="both"/>
        <w:rPr>
          <w:sz w:val="22"/>
          <w:szCs w:val="22"/>
          <w:lang w:val="sr-Latn-ME"/>
        </w:rPr>
      </w:pPr>
      <w:r w:rsidRPr="00801AFD">
        <w:rPr>
          <w:sz w:val="22"/>
          <w:szCs w:val="22"/>
          <w:lang w:val="sr-Latn-ME"/>
        </w:rPr>
        <w:t>Tokom 26-nedjeljnog perioda početne procjene, zabilježen je potpun TMA odgovor kod 30 od 56 pacijenata (53,6%), ka</w:t>
      </w:r>
      <w:r w:rsidR="00AA081F" w:rsidRPr="00801AFD">
        <w:rPr>
          <w:sz w:val="22"/>
          <w:szCs w:val="22"/>
          <w:lang w:val="sr-Latn-ME"/>
        </w:rPr>
        <w:t>k</w:t>
      </w:r>
      <w:r w:rsidRPr="00801AFD">
        <w:rPr>
          <w:sz w:val="22"/>
          <w:szCs w:val="22"/>
          <w:lang w:val="sr-Latn-ME"/>
        </w:rPr>
        <w:t xml:space="preserve">o je prikazano u </w:t>
      </w:r>
      <w:r w:rsidR="00AA081F" w:rsidRPr="00801AFD">
        <w:rPr>
          <w:sz w:val="22"/>
          <w:szCs w:val="22"/>
          <w:lang w:val="sr-Latn-ME"/>
        </w:rPr>
        <w:t>T</w:t>
      </w:r>
      <w:r w:rsidRPr="00801AFD">
        <w:rPr>
          <w:sz w:val="22"/>
          <w:szCs w:val="22"/>
          <w:lang w:val="sr-Latn-ME"/>
        </w:rPr>
        <w:t xml:space="preserve">abeli </w:t>
      </w:r>
      <w:r w:rsidR="00AE5148" w:rsidRPr="00801AFD">
        <w:rPr>
          <w:sz w:val="22"/>
          <w:szCs w:val="22"/>
          <w:lang w:val="sr-Latn-ME"/>
        </w:rPr>
        <w:t>14</w:t>
      </w:r>
      <w:r w:rsidRPr="00801AFD">
        <w:rPr>
          <w:sz w:val="22"/>
          <w:szCs w:val="22"/>
          <w:lang w:val="sr-Latn-ME"/>
        </w:rPr>
        <w:t>.</w:t>
      </w:r>
    </w:p>
    <w:p w14:paraId="63561512" w14:textId="77777777" w:rsidR="006F6043" w:rsidRPr="00801AFD" w:rsidRDefault="006F6043" w:rsidP="00801AFD">
      <w:pPr>
        <w:widowControl w:val="0"/>
        <w:jc w:val="both"/>
        <w:rPr>
          <w:sz w:val="22"/>
          <w:szCs w:val="22"/>
          <w:lang w:val="sr-Latn-ME"/>
        </w:rPr>
      </w:pPr>
    </w:p>
    <w:p w14:paraId="7873455A" w14:textId="786ABEF0" w:rsidR="006F6043" w:rsidRPr="00801AFD" w:rsidRDefault="006F6043" w:rsidP="00801AFD">
      <w:pPr>
        <w:widowControl w:val="0"/>
        <w:jc w:val="both"/>
        <w:rPr>
          <w:b/>
          <w:bCs/>
          <w:sz w:val="22"/>
          <w:szCs w:val="22"/>
          <w:lang w:val="sr-Latn-ME"/>
        </w:rPr>
      </w:pPr>
      <w:r w:rsidRPr="00801AFD">
        <w:rPr>
          <w:b/>
          <w:bCs/>
          <w:sz w:val="22"/>
          <w:szCs w:val="22"/>
          <w:lang w:val="sr-Latn-ME"/>
        </w:rPr>
        <w:t xml:space="preserve">Tabela </w:t>
      </w:r>
      <w:r w:rsidR="00AE5148" w:rsidRPr="00801AFD">
        <w:rPr>
          <w:b/>
          <w:bCs/>
          <w:sz w:val="22"/>
          <w:szCs w:val="22"/>
          <w:lang w:val="sr-Latn-ME"/>
        </w:rPr>
        <w:t>14</w:t>
      </w:r>
      <w:r w:rsidRPr="00801AFD">
        <w:rPr>
          <w:b/>
          <w:bCs/>
          <w:sz w:val="22"/>
          <w:szCs w:val="22"/>
          <w:lang w:val="sr-Latn-ME"/>
        </w:rPr>
        <w:t xml:space="preserve">: Kompletan TMA odgovor i analiza komponenata kompletnog TMA odgovora </w:t>
      </w:r>
      <w:r w:rsidR="007F079F" w:rsidRPr="00801AFD">
        <w:rPr>
          <w:b/>
          <w:bCs/>
          <w:sz w:val="22"/>
          <w:szCs w:val="22"/>
          <w:lang w:val="sr-Latn-ME"/>
        </w:rPr>
        <w:t>za period početne evaluacije od 26 nedjelja</w:t>
      </w:r>
      <w:r w:rsidRPr="00801AFD">
        <w:rPr>
          <w:b/>
          <w:bCs/>
          <w:sz w:val="22"/>
          <w:szCs w:val="22"/>
          <w:lang w:val="sr-Latn-ME"/>
        </w:rPr>
        <w:t xml:space="preserve"> (ALXN1210-aHUS-311)</w:t>
      </w:r>
    </w:p>
    <w:p w14:paraId="79388A86" w14:textId="77777777" w:rsidR="006F6043" w:rsidRPr="00801AFD" w:rsidRDefault="006F6043" w:rsidP="00801AFD">
      <w:pPr>
        <w:widowControl w:val="0"/>
        <w:jc w:val="both"/>
        <w:rPr>
          <w:sz w:val="22"/>
          <w:szCs w:val="22"/>
          <w:lang w:val="sr-Latn-ME"/>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32"/>
        <w:gridCol w:w="1509"/>
        <w:gridCol w:w="929"/>
        <w:gridCol w:w="3387"/>
      </w:tblGrid>
      <w:tr w:rsidR="006F6043" w:rsidRPr="00801AFD" w14:paraId="62F0E029" w14:textId="77777777" w:rsidTr="00961C31">
        <w:trPr>
          <w:cantSplit/>
          <w:tblHeader/>
        </w:trPr>
        <w:tc>
          <w:tcPr>
            <w:tcW w:w="1784" w:type="pct"/>
            <w:vMerge w:val="restart"/>
            <w:shd w:val="clear" w:color="auto" w:fill="auto"/>
          </w:tcPr>
          <w:p w14:paraId="09272833" w14:textId="77777777" w:rsidR="006F6043" w:rsidRPr="00801AFD" w:rsidRDefault="006F6043" w:rsidP="00801AFD">
            <w:pPr>
              <w:pStyle w:val="C-TableHeader"/>
              <w:keepNext w:val="0"/>
              <w:widowControl w:val="0"/>
              <w:jc w:val="both"/>
              <w:rPr>
                <w:rFonts w:ascii="Times New Roman" w:hAnsi="Times New Roman"/>
                <w:sz w:val="22"/>
                <w:szCs w:val="22"/>
                <w:lang w:val="sr-Latn-ME"/>
              </w:rPr>
            </w:pPr>
          </w:p>
        </w:tc>
        <w:tc>
          <w:tcPr>
            <w:tcW w:w="833" w:type="pct"/>
            <w:vMerge w:val="restart"/>
            <w:shd w:val="clear" w:color="auto" w:fill="auto"/>
          </w:tcPr>
          <w:p w14:paraId="3E3DE732" w14:textId="77777777" w:rsidR="006F6043" w:rsidRPr="00801AFD" w:rsidRDefault="006F6043" w:rsidP="00801AFD">
            <w:pPr>
              <w:pStyle w:val="C-TableHeader"/>
              <w:keepNext w:val="0"/>
              <w:widowControl w:val="0"/>
              <w:jc w:val="both"/>
              <w:rPr>
                <w:rFonts w:ascii="Times New Roman" w:hAnsi="Times New Roman"/>
                <w:sz w:val="22"/>
                <w:szCs w:val="22"/>
                <w:lang w:val="sr-Latn-ME"/>
              </w:rPr>
            </w:pPr>
            <w:r w:rsidRPr="00801AFD">
              <w:rPr>
                <w:rFonts w:ascii="Times New Roman" w:hAnsi="Times New Roman"/>
                <w:sz w:val="22"/>
                <w:szCs w:val="22"/>
                <w:lang w:val="sr-Latn-ME"/>
              </w:rPr>
              <w:t>Ukupno</w:t>
            </w:r>
          </w:p>
        </w:tc>
        <w:tc>
          <w:tcPr>
            <w:tcW w:w="2383" w:type="pct"/>
            <w:gridSpan w:val="2"/>
            <w:shd w:val="clear" w:color="auto" w:fill="auto"/>
          </w:tcPr>
          <w:p w14:paraId="67DB4B9E" w14:textId="77777777" w:rsidR="006F6043" w:rsidRPr="00801AFD" w:rsidRDefault="006F6043" w:rsidP="00801AFD">
            <w:pPr>
              <w:pStyle w:val="C-TableHeader"/>
              <w:keepNext w:val="0"/>
              <w:widowControl w:val="0"/>
              <w:jc w:val="both"/>
              <w:rPr>
                <w:rFonts w:ascii="Times New Roman" w:hAnsi="Times New Roman"/>
                <w:sz w:val="22"/>
                <w:szCs w:val="22"/>
                <w:lang w:val="sr-Latn-ME"/>
              </w:rPr>
            </w:pPr>
            <w:r w:rsidRPr="00801AFD">
              <w:rPr>
                <w:rFonts w:ascii="Times New Roman" w:hAnsi="Times New Roman"/>
                <w:sz w:val="22"/>
                <w:szCs w:val="22"/>
                <w:lang w:val="sr-Latn-ME"/>
              </w:rPr>
              <w:t>Pacijenti sa odgovorom</w:t>
            </w:r>
          </w:p>
        </w:tc>
      </w:tr>
      <w:tr w:rsidR="006F6043" w:rsidRPr="00801AFD" w14:paraId="5C8A74D9" w14:textId="77777777" w:rsidTr="00961C31">
        <w:trPr>
          <w:cantSplit/>
        </w:trPr>
        <w:tc>
          <w:tcPr>
            <w:tcW w:w="1784" w:type="pct"/>
            <w:vMerge/>
            <w:shd w:val="clear" w:color="auto" w:fill="auto"/>
          </w:tcPr>
          <w:p w14:paraId="4DD47716" w14:textId="77777777" w:rsidR="006F6043" w:rsidRPr="00801AFD" w:rsidRDefault="006F6043" w:rsidP="00801AFD">
            <w:pPr>
              <w:pStyle w:val="C-TableHeader"/>
              <w:keepNext w:val="0"/>
              <w:widowControl w:val="0"/>
              <w:jc w:val="both"/>
              <w:rPr>
                <w:rFonts w:ascii="Times New Roman" w:hAnsi="Times New Roman"/>
                <w:sz w:val="22"/>
                <w:szCs w:val="22"/>
                <w:lang w:val="sr-Latn-ME"/>
              </w:rPr>
            </w:pPr>
          </w:p>
        </w:tc>
        <w:tc>
          <w:tcPr>
            <w:tcW w:w="833" w:type="pct"/>
            <w:vMerge/>
            <w:shd w:val="clear" w:color="auto" w:fill="auto"/>
          </w:tcPr>
          <w:p w14:paraId="6AE959EF" w14:textId="77777777" w:rsidR="006F6043" w:rsidRPr="00801AFD" w:rsidRDefault="006F6043" w:rsidP="00801AFD">
            <w:pPr>
              <w:pStyle w:val="C-TableHeader"/>
              <w:keepNext w:val="0"/>
              <w:widowControl w:val="0"/>
              <w:jc w:val="both"/>
              <w:rPr>
                <w:rFonts w:ascii="Times New Roman" w:hAnsi="Times New Roman"/>
                <w:sz w:val="22"/>
                <w:szCs w:val="22"/>
                <w:lang w:val="sr-Latn-ME"/>
              </w:rPr>
            </w:pPr>
          </w:p>
        </w:tc>
        <w:tc>
          <w:tcPr>
            <w:tcW w:w="513" w:type="pct"/>
            <w:shd w:val="clear" w:color="auto" w:fill="auto"/>
          </w:tcPr>
          <w:p w14:paraId="152C28F4" w14:textId="77777777" w:rsidR="006F6043" w:rsidRPr="00801AFD" w:rsidRDefault="006F6043" w:rsidP="00801AFD">
            <w:pPr>
              <w:pStyle w:val="C-TableHeader"/>
              <w:keepNext w:val="0"/>
              <w:widowControl w:val="0"/>
              <w:jc w:val="both"/>
              <w:rPr>
                <w:rFonts w:ascii="Times New Roman" w:hAnsi="Times New Roman"/>
                <w:sz w:val="22"/>
                <w:szCs w:val="22"/>
                <w:lang w:val="sr-Latn-ME"/>
              </w:rPr>
            </w:pPr>
            <w:r w:rsidRPr="00801AFD">
              <w:rPr>
                <w:rFonts w:ascii="Times New Roman" w:hAnsi="Times New Roman"/>
                <w:sz w:val="22"/>
                <w:szCs w:val="22"/>
                <w:lang w:val="sr-Latn-ME"/>
              </w:rPr>
              <w:t>n</w:t>
            </w:r>
          </w:p>
        </w:tc>
        <w:tc>
          <w:tcPr>
            <w:tcW w:w="1870" w:type="pct"/>
            <w:shd w:val="clear" w:color="auto" w:fill="auto"/>
          </w:tcPr>
          <w:p w14:paraId="5A2BC752" w14:textId="77777777" w:rsidR="006F6043" w:rsidRPr="00801AFD" w:rsidRDefault="006F6043" w:rsidP="00801AFD">
            <w:pPr>
              <w:pStyle w:val="C-TableHeader"/>
              <w:keepNext w:val="0"/>
              <w:widowControl w:val="0"/>
              <w:jc w:val="both"/>
              <w:rPr>
                <w:rFonts w:ascii="Times New Roman" w:hAnsi="Times New Roman"/>
                <w:sz w:val="22"/>
                <w:szCs w:val="22"/>
                <w:lang w:val="sr-Latn-ME"/>
              </w:rPr>
            </w:pPr>
            <w:r w:rsidRPr="00801AFD">
              <w:rPr>
                <w:rFonts w:ascii="Times New Roman" w:hAnsi="Times New Roman"/>
                <w:sz w:val="22"/>
                <w:szCs w:val="22"/>
                <w:lang w:val="sr-Latn-ME"/>
              </w:rPr>
              <w:t>Procenat (95% CI)</w:t>
            </w:r>
            <w:r w:rsidRPr="00801AFD">
              <w:rPr>
                <w:rFonts w:ascii="Times New Roman" w:hAnsi="Times New Roman"/>
                <w:sz w:val="22"/>
                <w:szCs w:val="22"/>
                <w:vertAlign w:val="superscript"/>
                <w:lang w:val="sr-Latn-ME"/>
              </w:rPr>
              <w:t>a</w:t>
            </w:r>
          </w:p>
        </w:tc>
      </w:tr>
      <w:tr w:rsidR="006F6043" w:rsidRPr="00801AFD" w14:paraId="3E584D4A" w14:textId="77777777" w:rsidTr="00961C31">
        <w:trPr>
          <w:cantSplit/>
        </w:trPr>
        <w:tc>
          <w:tcPr>
            <w:tcW w:w="1784" w:type="pct"/>
            <w:tcBorders>
              <w:bottom w:val="single" w:sz="6" w:space="0" w:color="auto"/>
            </w:tcBorders>
            <w:shd w:val="clear" w:color="auto" w:fill="auto"/>
          </w:tcPr>
          <w:p w14:paraId="46B17D6D" w14:textId="51ADDD79" w:rsidR="006F6043" w:rsidRPr="00801AFD" w:rsidRDefault="006F6043" w:rsidP="00801AFD">
            <w:pPr>
              <w:pStyle w:val="C-TableText"/>
              <w:widowControl w:val="0"/>
              <w:jc w:val="both"/>
              <w:rPr>
                <w:sz w:val="22"/>
                <w:szCs w:val="22"/>
              </w:rPr>
            </w:pPr>
            <w:r w:rsidRPr="00801AFD">
              <w:rPr>
                <w:sz w:val="22"/>
                <w:szCs w:val="22"/>
              </w:rPr>
              <w:t>Kompletan TMA odgovor</w:t>
            </w:r>
          </w:p>
        </w:tc>
        <w:tc>
          <w:tcPr>
            <w:tcW w:w="833" w:type="pct"/>
            <w:tcBorders>
              <w:bottom w:val="single" w:sz="6" w:space="0" w:color="auto"/>
            </w:tcBorders>
            <w:shd w:val="clear" w:color="auto" w:fill="auto"/>
          </w:tcPr>
          <w:p w14:paraId="22259B36" w14:textId="77777777" w:rsidR="006F6043" w:rsidRPr="00801AFD" w:rsidRDefault="006F6043" w:rsidP="00801AFD">
            <w:pPr>
              <w:pStyle w:val="C-TableText"/>
              <w:widowControl w:val="0"/>
              <w:jc w:val="both"/>
              <w:rPr>
                <w:sz w:val="22"/>
                <w:szCs w:val="22"/>
              </w:rPr>
            </w:pPr>
            <w:r w:rsidRPr="00801AFD">
              <w:rPr>
                <w:sz w:val="22"/>
                <w:szCs w:val="22"/>
              </w:rPr>
              <w:t>56</w:t>
            </w:r>
          </w:p>
        </w:tc>
        <w:tc>
          <w:tcPr>
            <w:tcW w:w="513" w:type="pct"/>
            <w:tcBorders>
              <w:bottom w:val="single" w:sz="6" w:space="0" w:color="auto"/>
            </w:tcBorders>
            <w:shd w:val="clear" w:color="auto" w:fill="auto"/>
          </w:tcPr>
          <w:p w14:paraId="17C02D94" w14:textId="77777777" w:rsidR="006F6043" w:rsidRPr="00801AFD" w:rsidRDefault="006F6043" w:rsidP="00801AFD">
            <w:pPr>
              <w:pStyle w:val="C-TableText"/>
              <w:widowControl w:val="0"/>
              <w:jc w:val="both"/>
              <w:rPr>
                <w:sz w:val="22"/>
                <w:szCs w:val="22"/>
              </w:rPr>
            </w:pPr>
            <w:r w:rsidRPr="00801AFD">
              <w:rPr>
                <w:sz w:val="22"/>
                <w:szCs w:val="22"/>
              </w:rPr>
              <w:t>30</w:t>
            </w:r>
          </w:p>
        </w:tc>
        <w:tc>
          <w:tcPr>
            <w:tcW w:w="1870" w:type="pct"/>
            <w:tcBorders>
              <w:bottom w:val="single" w:sz="6" w:space="0" w:color="auto"/>
            </w:tcBorders>
            <w:shd w:val="clear" w:color="auto" w:fill="auto"/>
          </w:tcPr>
          <w:p w14:paraId="42A13AC4" w14:textId="77777777" w:rsidR="006F6043" w:rsidRPr="00801AFD" w:rsidRDefault="006F6043" w:rsidP="00801AFD">
            <w:pPr>
              <w:pStyle w:val="C-TableText"/>
              <w:widowControl w:val="0"/>
              <w:jc w:val="both"/>
              <w:rPr>
                <w:sz w:val="22"/>
                <w:szCs w:val="22"/>
              </w:rPr>
            </w:pPr>
            <w:r w:rsidRPr="00801AFD">
              <w:rPr>
                <w:sz w:val="22"/>
                <w:szCs w:val="22"/>
              </w:rPr>
              <w:t>0.536 (0.396, 0.675)</w:t>
            </w:r>
          </w:p>
        </w:tc>
      </w:tr>
      <w:tr w:rsidR="006F6043" w:rsidRPr="00801AFD" w14:paraId="34AB5962" w14:textId="77777777" w:rsidTr="00961C31">
        <w:trPr>
          <w:cantSplit/>
        </w:trPr>
        <w:tc>
          <w:tcPr>
            <w:tcW w:w="1784" w:type="pct"/>
            <w:tcBorders>
              <w:bottom w:val="nil"/>
            </w:tcBorders>
            <w:shd w:val="clear" w:color="auto" w:fill="auto"/>
          </w:tcPr>
          <w:p w14:paraId="5C99F2C9" w14:textId="77777777" w:rsidR="006F6043" w:rsidRPr="00801AFD" w:rsidRDefault="006F6043" w:rsidP="00801AFD">
            <w:pPr>
              <w:pStyle w:val="C-TableText"/>
              <w:widowControl w:val="0"/>
              <w:jc w:val="both"/>
              <w:rPr>
                <w:sz w:val="22"/>
                <w:szCs w:val="22"/>
              </w:rPr>
            </w:pPr>
            <w:r w:rsidRPr="00801AFD">
              <w:rPr>
                <w:sz w:val="22"/>
                <w:szCs w:val="22"/>
              </w:rPr>
              <w:t>Komponente kompletnog TMA odgovora</w:t>
            </w:r>
          </w:p>
        </w:tc>
        <w:tc>
          <w:tcPr>
            <w:tcW w:w="833" w:type="pct"/>
            <w:tcBorders>
              <w:bottom w:val="nil"/>
            </w:tcBorders>
            <w:shd w:val="clear" w:color="auto" w:fill="auto"/>
          </w:tcPr>
          <w:p w14:paraId="1904003C" w14:textId="77777777" w:rsidR="006F6043" w:rsidRPr="00801AFD" w:rsidRDefault="006F6043" w:rsidP="00801AFD">
            <w:pPr>
              <w:pStyle w:val="C-TableText"/>
              <w:widowControl w:val="0"/>
              <w:jc w:val="both"/>
              <w:rPr>
                <w:sz w:val="22"/>
                <w:szCs w:val="22"/>
              </w:rPr>
            </w:pPr>
          </w:p>
        </w:tc>
        <w:tc>
          <w:tcPr>
            <w:tcW w:w="513" w:type="pct"/>
            <w:tcBorders>
              <w:bottom w:val="nil"/>
            </w:tcBorders>
            <w:shd w:val="clear" w:color="auto" w:fill="auto"/>
          </w:tcPr>
          <w:p w14:paraId="4989B0E6" w14:textId="77777777" w:rsidR="006F6043" w:rsidRPr="00801AFD" w:rsidRDefault="006F6043" w:rsidP="00801AFD">
            <w:pPr>
              <w:pStyle w:val="C-TableText"/>
              <w:widowControl w:val="0"/>
              <w:jc w:val="both"/>
              <w:rPr>
                <w:sz w:val="22"/>
                <w:szCs w:val="22"/>
              </w:rPr>
            </w:pPr>
          </w:p>
        </w:tc>
        <w:tc>
          <w:tcPr>
            <w:tcW w:w="1870" w:type="pct"/>
            <w:tcBorders>
              <w:bottom w:val="nil"/>
            </w:tcBorders>
            <w:shd w:val="clear" w:color="auto" w:fill="auto"/>
          </w:tcPr>
          <w:p w14:paraId="42543CC0" w14:textId="77777777" w:rsidR="006F6043" w:rsidRPr="00801AFD" w:rsidRDefault="006F6043" w:rsidP="00801AFD">
            <w:pPr>
              <w:pStyle w:val="C-TableText"/>
              <w:widowControl w:val="0"/>
              <w:jc w:val="both"/>
              <w:rPr>
                <w:sz w:val="22"/>
                <w:szCs w:val="22"/>
              </w:rPr>
            </w:pPr>
          </w:p>
        </w:tc>
      </w:tr>
      <w:tr w:rsidR="006F6043" w:rsidRPr="00801AFD" w14:paraId="41A1F188" w14:textId="77777777" w:rsidTr="00961C31">
        <w:trPr>
          <w:cantSplit/>
          <w:trHeight w:val="273"/>
        </w:trPr>
        <w:tc>
          <w:tcPr>
            <w:tcW w:w="1784" w:type="pct"/>
            <w:tcBorders>
              <w:top w:val="nil"/>
              <w:bottom w:val="nil"/>
            </w:tcBorders>
            <w:shd w:val="clear" w:color="auto" w:fill="auto"/>
          </w:tcPr>
          <w:p w14:paraId="2C90D0F4" w14:textId="77777777" w:rsidR="006F6043" w:rsidRPr="00801AFD" w:rsidRDefault="006F6043" w:rsidP="00801AFD">
            <w:pPr>
              <w:pStyle w:val="C-TableText"/>
              <w:widowControl w:val="0"/>
              <w:ind w:left="86"/>
              <w:jc w:val="both"/>
              <w:rPr>
                <w:sz w:val="22"/>
                <w:szCs w:val="22"/>
              </w:rPr>
            </w:pPr>
            <w:r w:rsidRPr="00801AFD">
              <w:rPr>
                <w:sz w:val="22"/>
                <w:szCs w:val="22"/>
              </w:rPr>
              <w:t>Normalizacija broja trombocita</w:t>
            </w:r>
          </w:p>
        </w:tc>
        <w:tc>
          <w:tcPr>
            <w:tcW w:w="833" w:type="pct"/>
            <w:tcBorders>
              <w:top w:val="nil"/>
              <w:bottom w:val="nil"/>
            </w:tcBorders>
            <w:shd w:val="clear" w:color="auto" w:fill="auto"/>
          </w:tcPr>
          <w:p w14:paraId="4AACFE00" w14:textId="77777777" w:rsidR="006F6043" w:rsidRPr="00801AFD" w:rsidRDefault="006F6043" w:rsidP="00801AFD">
            <w:pPr>
              <w:pStyle w:val="C-TableText"/>
              <w:widowControl w:val="0"/>
              <w:jc w:val="both"/>
              <w:rPr>
                <w:sz w:val="22"/>
                <w:szCs w:val="22"/>
              </w:rPr>
            </w:pPr>
            <w:r w:rsidRPr="00801AFD">
              <w:rPr>
                <w:sz w:val="22"/>
                <w:szCs w:val="22"/>
              </w:rPr>
              <w:t>56</w:t>
            </w:r>
          </w:p>
        </w:tc>
        <w:tc>
          <w:tcPr>
            <w:tcW w:w="513" w:type="pct"/>
            <w:tcBorders>
              <w:top w:val="nil"/>
              <w:bottom w:val="nil"/>
            </w:tcBorders>
            <w:shd w:val="clear" w:color="auto" w:fill="auto"/>
          </w:tcPr>
          <w:p w14:paraId="69992C46" w14:textId="77777777" w:rsidR="006F6043" w:rsidRPr="00801AFD" w:rsidRDefault="006F6043" w:rsidP="00801AFD">
            <w:pPr>
              <w:pStyle w:val="C-TableText"/>
              <w:widowControl w:val="0"/>
              <w:jc w:val="both"/>
              <w:rPr>
                <w:sz w:val="22"/>
                <w:szCs w:val="22"/>
              </w:rPr>
            </w:pPr>
            <w:r w:rsidRPr="00801AFD">
              <w:rPr>
                <w:sz w:val="22"/>
                <w:szCs w:val="22"/>
              </w:rPr>
              <w:t>47</w:t>
            </w:r>
          </w:p>
        </w:tc>
        <w:tc>
          <w:tcPr>
            <w:tcW w:w="1870" w:type="pct"/>
            <w:tcBorders>
              <w:top w:val="nil"/>
              <w:bottom w:val="nil"/>
            </w:tcBorders>
            <w:shd w:val="clear" w:color="auto" w:fill="auto"/>
          </w:tcPr>
          <w:p w14:paraId="3444774F" w14:textId="77777777" w:rsidR="006F6043" w:rsidRPr="00801AFD" w:rsidRDefault="006F6043" w:rsidP="00801AFD">
            <w:pPr>
              <w:pStyle w:val="C-TableText"/>
              <w:widowControl w:val="0"/>
              <w:jc w:val="both"/>
              <w:rPr>
                <w:sz w:val="22"/>
                <w:szCs w:val="22"/>
              </w:rPr>
            </w:pPr>
            <w:r w:rsidRPr="00801AFD">
              <w:rPr>
                <w:sz w:val="22"/>
                <w:szCs w:val="22"/>
              </w:rPr>
              <w:t>0.839 (0.734, 0.944)</w:t>
            </w:r>
          </w:p>
        </w:tc>
      </w:tr>
      <w:tr w:rsidR="006F6043" w:rsidRPr="00801AFD" w14:paraId="3943AE2B" w14:textId="77777777" w:rsidTr="00961C31">
        <w:trPr>
          <w:cantSplit/>
          <w:trHeight w:val="273"/>
        </w:trPr>
        <w:tc>
          <w:tcPr>
            <w:tcW w:w="1784" w:type="pct"/>
            <w:tcBorders>
              <w:top w:val="nil"/>
              <w:bottom w:val="nil"/>
            </w:tcBorders>
            <w:shd w:val="clear" w:color="auto" w:fill="auto"/>
          </w:tcPr>
          <w:p w14:paraId="7CBBD475" w14:textId="77777777" w:rsidR="006F6043" w:rsidRPr="00801AFD" w:rsidRDefault="006F6043" w:rsidP="00801AFD">
            <w:pPr>
              <w:pStyle w:val="C-TableText"/>
              <w:widowControl w:val="0"/>
              <w:ind w:left="86"/>
              <w:jc w:val="both"/>
              <w:rPr>
                <w:sz w:val="22"/>
                <w:szCs w:val="22"/>
              </w:rPr>
            </w:pPr>
            <w:r w:rsidRPr="00801AFD">
              <w:rPr>
                <w:sz w:val="22"/>
                <w:szCs w:val="22"/>
              </w:rPr>
              <w:t>LDH normalizacija</w:t>
            </w:r>
          </w:p>
        </w:tc>
        <w:tc>
          <w:tcPr>
            <w:tcW w:w="833" w:type="pct"/>
            <w:tcBorders>
              <w:top w:val="nil"/>
              <w:bottom w:val="nil"/>
            </w:tcBorders>
            <w:shd w:val="clear" w:color="auto" w:fill="auto"/>
          </w:tcPr>
          <w:p w14:paraId="4CD2757A" w14:textId="77777777" w:rsidR="006F6043" w:rsidRPr="00801AFD" w:rsidRDefault="006F6043" w:rsidP="00801AFD">
            <w:pPr>
              <w:pStyle w:val="C-TableText"/>
              <w:widowControl w:val="0"/>
              <w:jc w:val="both"/>
              <w:rPr>
                <w:sz w:val="22"/>
                <w:szCs w:val="22"/>
              </w:rPr>
            </w:pPr>
            <w:r w:rsidRPr="00801AFD">
              <w:rPr>
                <w:sz w:val="22"/>
                <w:szCs w:val="22"/>
              </w:rPr>
              <w:t>56</w:t>
            </w:r>
          </w:p>
        </w:tc>
        <w:tc>
          <w:tcPr>
            <w:tcW w:w="513" w:type="pct"/>
            <w:tcBorders>
              <w:top w:val="nil"/>
              <w:bottom w:val="nil"/>
            </w:tcBorders>
            <w:shd w:val="clear" w:color="auto" w:fill="auto"/>
          </w:tcPr>
          <w:p w14:paraId="40F1B598" w14:textId="77777777" w:rsidR="006F6043" w:rsidRPr="00801AFD" w:rsidRDefault="006F6043" w:rsidP="00801AFD">
            <w:pPr>
              <w:pStyle w:val="C-TableText"/>
              <w:widowControl w:val="0"/>
              <w:jc w:val="both"/>
              <w:rPr>
                <w:sz w:val="22"/>
                <w:szCs w:val="22"/>
              </w:rPr>
            </w:pPr>
            <w:r w:rsidRPr="00801AFD">
              <w:rPr>
                <w:sz w:val="22"/>
                <w:szCs w:val="22"/>
              </w:rPr>
              <w:t>43</w:t>
            </w:r>
          </w:p>
        </w:tc>
        <w:tc>
          <w:tcPr>
            <w:tcW w:w="1870" w:type="pct"/>
            <w:tcBorders>
              <w:top w:val="nil"/>
              <w:bottom w:val="nil"/>
            </w:tcBorders>
            <w:shd w:val="clear" w:color="auto" w:fill="auto"/>
          </w:tcPr>
          <w:p w14:paraId="13D04DC1" w14:textId="77777777" w:rsidR="006F6043" w:rsidRPr="00801AFD" w:rsidRDefault="006F6043" w:rsidP="00801AFD">
            <w:pPr>
              <w:pStyle w:val="C-TableText"/>
              <w:widowControl w:val="0"/>
              <w:jc w:val="both"/>
              <w:rPr>
                <w:sz w:val="22"/>
                <w:szCs w:val="22"/>
              </w:rPr>
            </w:pPr>
            <w:r w:rsidRPr="00801AFD">
              <w:rPr>
                <w:sz w:val="22"/>
                <w:szCs w:val="22"/>
              </w:rPr>
              <w:t>0.768 (0.648, 0.887)</w:t>
            </w:r>
          </w:p>
        </w:tc>
      </w:tr>
      <w:tr w:rsidR="006F6043" w:rsidRPr="00801AFD" w14:paraId="73F2CBBE" w14:textId="77777777" w:rsidTr="00961C31">
        <w:trPr>
          <w:cantSplit/>
          <w:trHeight w:val="273"/>
        </w:trPr>
        <w:tc>
          <w:tcPr>
            <w:tcW w:w="1784" w:type="pct"/>
            <w:tcBorders>
              <w:top w:val="nil"/>
            </w:tcBorders>
            <w:shd w:val="clear" w:color="auto" w:fill="auto"/>
          </w:tcPr>
          <w:p w14:paraId="747D8547" w14:textId="0BDCA393" w:rsidR="006F6043" w:rsidRPr="00801AFD" w:rsidRDefault="006F6043" w:rsidP="00801AFD">
            <w:pPr>
              <w:pStyle w:val="C-TableText"/>
              <w:widowControl w:val="0"/>
              <w:ind w:left="86"/>
              <w:jc w:val="both"/>
              <w:rPr>
                <w:sz w:val="22"/>
                <w:szCs w:val="22"/>
              </w:rPr>
            </w:pPr>
            <w:r w:rsidRPr="00801AFD">
              <w:rPr>
                <w:rFonts w:eastAsia="Arial Unicode MS"/>
                <w:sz w:val="22"/>
                <w:szCs w:val="22"/>
              </w:rPr>
              <w:t>≥</w:t>
            </w:r>
            <w:r w:rsidR="0016713C" w:rsidRPr="00801AFD">
              <w:rPr>
                <w:rFonts w:eastAsia="Arial Unicode MS"/>
                <w:sz w:val="22"/>
                <w:szCs w:val="22"/>
              </w:rPr>
              <w:t xml:space="preserve"> </w:t>
            </w:r>
            <w:r w:rsidRPr="00801AFD">
              <w:rPr>
                <w:sz w:val="22"/>
                <w:szCs w:val="22"/>
              </w:rPr>
              <w:t>25%</w:t>
            </w:r>
            <w:r w:rsidR="0016713C" w:rsidRPr="00801AFD">
              <w:rPr>
                <w:sz w:val="22"/>
                <w:szCs w:val="22"/>
              </w:rPr>
              <w:t>-tno</w:t>
            </w:r>
            <w:r w:rsidRPr="00801AFD">
              <w:rPr>
                <w:sz w:val="22"/>
                <w:szCs w:val="22"/>
              </w:rPr>
              <w:t xml:space="preserve"> poboljšanj</w:t>
            </w:r>
            <w:r w:rsidR="0016713C" w:rsidRPr="00801AFD">
              <w:rPr>
                <w:sz w:val="22"/>
                <w:szCs w:val="22"/>
              </w:rPr>
              <w:t>e</w:t>
            </w:r>
            <w:r w:rsidRPr="00801AFD">
              <w:rPr>
                <w:sz w:val="22"/>
                <w:szCs w:val="22"/>
              </w:rPr>
              <w:t xml:space="preserve"> serumsko</w:t>
            </w:r>
            <w:r w:rsidR="0016713C" w:rsidRPr="00801AFD">
              <w:rPr>
                <w:sz w:val="22"/>
                <w:szCs w:val="22"/>
              </w:rPr>
              <w:t>g</w:t>
            </w:r>
            <w:r w:rsidRPr="00801AFD">
              <w:rPr>
                <w:sz w:val="22"/>
                <w:szCs w:val="22"/>
              </w:rPr>
              <w:t xml:space="preserve"> kreatinin</w:t>
            </w:r>
            <w:r w:rsidR="0016713C" w:rsidRPr="00801AFD">
              <w:rPr>
                <w:sz w:val="22"/>
                <w:szCs w:val="22"/>
              </w:rPr>
              <w:t>a</w:t>
            </w:r>
            <w:r w:rsidRPr="00801AFD">
              <w:rPr>
                <w:sz w:val="22"/>
                <w:szCs w:val="22"/>
              </w:rPr>
              <w:t xml:space="preserve"> u odnosu na počet</w:t>
            </w:r>
            <w:r w:rsidR="0016713C" w:rsidRPr="00801AFD">
              <w:rPr>
                <w:sz w:val="22"/>
                <w:szCs w:val="22"/>
              </w:rPr>
              <w:t>nu vrijednost</w:t>
            </w:r>
          </w:p>
        </w:tc>
        <w:tc>
          <w:tcPr>
            <w:tcW w:w="833" w:type="pct"/>
            <w:tcBorders>
              <w:top w:val="nil"/>
            </w:tcBorders>
            <w:shd w:val="clear" w:color="auto" w:fill="auto"/>
          </w:tcPr>
          <w:p w14:paraId="0E6EF6F2" w14:textId="77777777" w:rsidR="006F6043" w:rsidRPr="00801AFD" w:rsidRDefault="006F6043" w:rsidP="00801AFD">
            <w:pPr>
              <w:pStyle w:val="C-TableText"/>
              <w:widowControl w:val="0"/>
              <w:jc w:val="both"/>
              <w:rPr>
                <w:sz w:val="22"/>
                <w:szCs w:val="22"/>
              </w:rPr>
            </w:pPr>
            <w:r w:rsidRPr="00801AFD">
              <w:rPr>
                <w:sz w:val="22"/>
                <w:szCs w:val="22"/>
              </w:rPr>
              <w:t>56</w:t>
            </w:r>
          </w:p>
        </w:tc>
        <w:tc>
          <w:tcPr>
            <w:tcW w:w="513" w:type="pct"/>
            <w:tcBorders>
              <w:top w:val="nil"/>
            </w:tcBorders>
            <w:shd w:val="clear" w:color="auto" w:fill="auto"/>
          </w:tcPr>
          <w:p w14:paraId="52046905" w14:textId="77777777" w:rsidR="006F6043" w:rsidRPr="00801AFD" w:rsidRDefault="006F6043" w:rsidP="00801AFD">
            <w:pPr>
              <w:pStyle w:val="C-TableText"/>
              <w:widowControl w:val="0"/>
              <w:jc w:val="both"/>
              <w:rPr>
                <w:sz w:val="22"/>
                <w:szCs w:val="22"/>
              </w:rPr>
            </w:pPr>
            <w:r w:rsidRPr="00801AFD">
              <w:rPr>
                <w:sz w:val="22"/>
                <w:szCs w:val="22"/>
              </w:rPr>
              <w:t>33</w:t>
            </w:r>
          </w:p>
        </w:tc>
        <w:tc>
          <w:tcPr>
            <w:tcW w:w="1870" w:type="pct"/>
            <w:tcBorders>
              <w:top w:val="nil"/>
            </w:tcBorders>
            <w:shd w:val="clear" w:color="auto" w:fill="auto"/>
          </w:tcPr>
          <w:p w14:paraId="0E3DCD1F" w14:textId="77777777" w:rsidR="006F6043" w:rsidRPr="00801AFD" w:rsidRDefault="006F6043" w:rsidP="00801AFD">
            <w:pPr>
              <w:pStyle w:val="C-TableText"/>
              <w:widowControl w:val="0"/>
              <w:jc w:val="both"/>
              <w:rPr>
                <w:sz w:val="22"/>
                <w:szCs w:val="22"/>
              </w:rPr>
            </w:pPr>
            <w:r w:rsidRPr="00801AFD">
              <w:rPr>
                <w:sz w:val="22"/>
                <w:szCs w:val="22"/>
              </w:rPr>
              <w:t>0.589 (0.452, 0.727)</w:t>
            </w:r>
          </w:p>
        </w:tc>
      </w:tr>
      <w:tr w:rsidR="006F6043" w:rsidRPr="00801AFD" w14:paraId="7948A4DE" w14:textId="77777777" w:rsidTr="00961C31">
        <w:trPr>
          <w:cantSplit/>
          <w:trHeight w:val="273"/>
        </w:trPr>
        <w:tc>
          <w:tcPr>
            <w:tcW w:w="1784" w:type="pct"/>
            <w:shd w:val="clear" w:color="auto" w:fill="auto"/>
          </w:tcPr>
          <w:p w14:paraId="447F1BAE" w14:textId="77777777" w:rsidR="006F6043" w:rsidRPr="00801AFD" w:rsidRDefault="006F6043" w:rsidP="00801AFD">
            <w:pPr>
              <w:pStyle w:val="C-TableText"/>
              <w:widowControl w:val="0"/>
              <w:jc w:val="both"/>
              <w:rPr>
                <w:sz w:val="22"/>
                <w:szCs w:val="22"/>
              </w:rPr>
            </w:pPr>
            <w:r w:rsidRPr="00801AFD">
              <w:rPr>
                <w:sz w:val="22"/>
                <w:szCs w:val="22"/>
              </w:rPr>
              <w:t>Hematološka normalizacija</w:t>
            </w:r>
          </w:p>
        </w:tc>
        <w:tc>
          <w:tcPr>
            <w:tcW w:w="833" w:type="pct"/>
            <w:shd w:val="clear" w:color="auto" w:fill="auto"/>
          </w:tcPr>
          <w:p w14:paraId="5B55AC2A" w14:textId="77777777" w:rsidR="006F6043" w:rsidRPr="00801AFD" w:rsidRDefault="006F6043" w:rsidP="00801AFD">
            <w:pPr>
              <w:pStyle w:val="C-TableText"/>
              <w:widowControl w:val="0"/>
              <w:jc w:val="both"/>
              <w:rPr>
                <w:sz w:val="22"/>
                <w:szCs w:val="22"/>
              </w:rPr>
            </w:pPr>
            <w:r w:rsidRPr="00801AFD">
              <w:rPr>
                <w:sz w:val="22"/>
                <w:szCs w:val="22"/>
              </w:rPr>
              <w:t>56</w:t>
            </w:r>
          </w:p>
        </w:tc>
        <w:tc>
          <w:tcPr>
            <w:tcW w:w="513" w:type="pct"/>
            <w:shd w:val="clear" w:color="auto" w:fill="auto"/>
          </w:tcPr>
          <w:p w14:paraId="00BAABD1" w14:textId="77777777" w:rsidR="006F6043" w:rsidRPr="00801AFD" w:rsidRDefault="006F6043" w:rsidP="00801AFD">
            <w:pPr>
              <w:pStyle w:val="C-TableText"/>
              <w:widowControl w:val="0"/>
              <w:jc w:val="both"/>
              <w:rPr>
                <w:sz w:val="22"/>
                <w:szCs w:val="22"/>
              </w:rPr>
            </w:pPr>
            <w:r w:rsidRPr="00801AFD">
              <w:rPr>
                <w:sz w:val="22"/>
                <w:szCs w:val="22"/>
              </w:rPr>
              <w:t>41</w:t>
            </w:r>
          </w:p>
        </w:tc>
        <w:tc>
          <w:tcPr>
            <w:tcW w:w="1870" w:type="pct"/>
            <w:shd w:val="clear" w:color="auto" w:fill="auto"/>
          </w:tcPr>
          <w:p w14:paraId="145E1B43" w14:textId="77777777" w:rsidR="006F6043" w:rsidRPr="00801AFD" w:rsidRDefault="006F6043" w:rsidP="00801AFD">
            <w:pPr>
              <w:pStyle w:val="C-TableText"/>
              <w:widowControl w:val="0"/>
              <w:jc w:val="both"/>
              <w:rPr>
                <w:sz w:val="22"/>
                <w:szCs w:val="22"/>
              </w:rPr>
            </w:pPr>
            <w:r w:rsidRPr="00801AFD">
              <w:rPr>
                <w:sz w:val="22"/>
                <w:szCs w:val="22"/>
              </w:rPr>
              <w:t>0.732 (0.607, 0.857)</w:t>
            </w:r>
          </w:p>
        </w:tc>
      </w:tr>
    </w:tbl>
    <w:p w14:paraId="0CB46D24" w14:textId="452CBE29" w:rsidR="006F6043" w:rsidRPr="00961C31" w:rsidRDefault="006F6043" w:rsidP="00801AFD">
      <w:pPr>
        <w:widowControl w:val="0"/>
        <w:jc w:val="both"/>
        <w:rPr>
          <w:sz w:val="20"/>
          <w:szCs w:val="22"/>
          <w:lang w:val="sr-Latn-ME"/>
        </w:rPr>
      </w:pPr>
      <w:r w:rsidRPr="00961C31">
        <w:rPr>
          <w:sz w:val="20"/>
          <w:szCs w:val="22"/>
          <w:vertAlign w:val="superscript"/>
          <w:lang w:val="sr-Latn-ME"/>
        </w:rPr>
        <w:t>a</w:t>
      </w:r>
      <w:r w:rsidRPr="00961C31">
        <w:rPr>
          <w:sz w:val="20"/>
          <w:szCs w:val="22"/>
          <w:lang w:val="sr-Latn-ME"/>
        </w:rPr>
        <w:t xml:space="preserve"> </w:t>
      </w:r>
      <w:r w:rsidR="0016713C" w:rsidRPr="00961C31">
        <w:rPr>
          <w:sz w:val="20"/>
          <w:szCs w:val="22"/>
          <w:lang w:val="sr-Latn-ME"/>
        </w:rPr>
        <w:t xml:space="preserve">Vrijednosti </w:t>
      </w:r>
      <w:r w:rsidRPr="00961C31">
        <w:rPr>
          <w:sz w:val="20"/>
          <w:szCs w:val="22"/>
          <w:lang w:val="sr-Latn-ME"/>
        </w:rPr>
        <w:t>95% CI za proporciju zasnivale su se na metodi asimptotske Gaussove aproksimacije sa korekcijom kontinuiteta.</w:t>
      </w:r>
    </w:p>
    <w:p w14:paraId="00CBA2DF" w14:textId="77777777" w:rsidR="006F6043" w:rsidRPr="00961C31" w:rsidRDefault="006F6043" w:rsidP="00801AFD">
      <w:pPr>
        <w:widowControl w:val="0"/>
        <w:jc w:val="both"/>
        <w:rPr>
          <w:sz w:val="20"/>
          <w:szCs w:val="22"/>
          <w:lang w:val="sr-Latn-ME"/>
        </w:rPr>
      </w:pPr>
      <w:r w:rsidRPr="00961C31">
        <w:rPr>
          <w:sz w:val="20"/>
          <w:szCs w:val="22"/>
          <w:lang w:val="sr-Latn-ME"/>
        </w:rPr>
        <w:t>Skraćenice: CI = interval pouzdanosti; LDH = laktat dehidrogenaza; TMA = trombotička mikroangiopatija.</w:t>
      </w:r>
    </w:p>
    <w:p w14:paraId="1F33FF9C" w14:textId="77777777" w:rsidR="006F6043" w:rsidRPr="00801AFD" w:rsidRDefault="006F6043" w:rsidP="00801AFD">
      <w:pPr>
        <w:widowControl w:val="0"/>
        <w:jc w:val="both"/>
        <w:rPr>
          <w:sz w:val="22"/>
          <w:szCs w:val="22"/>
          <w:lang w:val="sr-Latn-ME"/>
        </w:rPr>
      </w:pPr>
    </w:p>
    <w:p w14:paraId="28E1B8CD" w14:textId="4EB1BD5F" w:rsidR="006F6043" w:rsidRPr="00801AFD" w:rsidRDefault="007F079F" w:rsidP="00801AFD">
      <w:pPr>
        <w:widowControl w:val="0"/>
        <w:jc w:val="both"/>
        <w:rPr>
          <w:sz w:val="22"/>
          <w:szCs w:val="22"/>
          <w:lang w:val="sr-Latn-ME"/>
        </w:rPr>
      </w:pPr>
      <w:r w:rsidRPr="00801AFD">
        <w:rPr>
          <w:sz w:val="22"/>
          <w:szCs w:val="22"/>
          <w:lang w:val="sr-Latn-ME"/>
        </w:rPr>
        <w:t>P</w:t>
      </w:r>
      <w:r w:rsidR="006F6043" w:rsidRPr="00801AFD">
        <w:rPr>
          <w:sz w:val="22"/>
          <w:szCs w:val="22"/>
          <w:lang w:val="sr-Latn-ME"/>
        </w:rPr>
        <w:t xml:space="preserve">otpun TMA odgovor je </w:t>
      </w:r>
      <w:r w:rsidRPr="00801AFD">
        <w:rPr>
          <w:sz w:val="22"/>
          <w:szCs w:val="22"/>
          <w:lang w:val="sr-Latn-ME"/>
        </w:rPr>
        <w:t>primijećeno kod šest dodatnih pacijenata tokom</w:t>
      </w:r>
      <w:r w:rsidR="006F6043" w:rsidRPr="00801AFD">
        <w:rPr>
          <w:sz w:val="22"/>
          <w:szCs w:val="22"/>
          <w:lang w:val="sr-Latn-ME"/>
        </w:rPr>
        <w:t xml:space="preserve"> </w:t>
      </w:r>
      <w:r w:rsidRPr="00801AFD">
        <w:rPr>
          <w:sz w:val="22"/>
          <w:szCs w:val="22"/>
          <w:lang w:val="sr-Latn-ME"/>
        </w:rPr>
        <w:t xml:space="preserve">produženog perioda </w:t>
      </w:r>
      <w:r w:rsidR="006F6043" w:rsidRPr="00801AFD">
        <w:rPr>
          <w:sz w:val="22"/>
          <w:szCs w:val="22"/>
          <w:lang w:val="sr-Latn-ME"/>
        </w:rPr>
        <w:t>na dane 169,</w:t>
      </w:r>
      <w:r w:rsidR="00F73C71" w:rsidRPr="00801AFD">
        <w:rPr>
          <w:sz w:val="22"/>
          <w:szCs w:val="22"/>
          <w:lang w:val="sr-Latn-ME"/>
        </w:rPr>
        <w:t xml:space="preserve"> </w:t>
      </w:r>
      <w:r w:rsidR="006F6043" w:rsidRPr="00801AFD">
        <w:rPr>
          <w:sz w:val="22"/>
          <w:szCs w:val="22"/>
          <w:lang w:val="sr-Latn-ME"/>
        </w:rPr>
        <w:t>302,</w:t>
      </w:r>
      <w:r w:rsidR="00F73C71" w:rsidRPr="00801AFD">
        <w:rPr>
          <w:sz w:val="22"/>
          <w:szCs w:val="22"/>
          <w:lang w:val="sr-Latn-ME"/>
        </w:rPr>
        <w:t xml:space="preserve"> </w:t>
      </w:r>
      <w:r w:rsidR="006F6043" w:rsidRPr="00801AFD">
        <w:rPr>
          <w:sz w:val="22"/>
          <w:szCs w:val="22"/>
          <w:lang w:val="sr-Latn-ME"/>
        </w:rPr>
        <w:t>401</w:t>
      </w:r>
      <w:r w:rsidR="00CF7D9F" w:rsidRPr="00801AFD">
        <w:rPr>
          <w:sz w:val="22"/>
          <w:szCs w:val="22"/>
          <w:lang w:val="sr-Latn-ME"/>
        </w:rPr>
        <w:t>,</w:t>
      </w:r>
      <w:r w:rsidR="00F73C71" w:rsidRPr="00801AFD">
        <w:rPr>
          <w:sz w:val="22"/>
          <w:szCs w:val="22"/>
          <w:lang w:val="sr-Latn-ME"/>
        </w:rPr>
        <w:t xml:space="preserve"> </w:t>
      </w:r>
      <w:r w:rsidR="006F6043" w:rsidRPr="00801AFD">
        <w:rPr>
          <w:sz w:val="22"/>
          <w:szCs w:val="22"/>
          <w:lang w:val="sr-Latn-ME"/>
        </w:rPr>
        <w:t>407</w:t>
      </w:r>
      <w:r w:rsidR="00CF7D9F" w:rsidRPr="00801AFD">
        <w:rPr>
          <w:sz w:val="22"/>
          <w:szCs w:val="22"/>
          <w:lang w:val="sr-Latn-ME"/>
        </w:rPr>
        <w:t>,</w:t>
      </w:r>
      <w:r w:rsidRPr="00801AFD">
        <w:rPr>
          <w:sz w:val="22"/>
          <w:szCs w:val="22"/>
          <w:lang w:val="sr-Latn-ME"/>
        </w:rPr>
        <w:t xml:space="preserve"> 1247</w:t>
      </w:r>
      <w:r w:rsidR="00CF7D9F" w:rsidRPr="00801AFD">
        <w:rPr>
          <w:sz w:val="22"/>
          <w:szCs w:val="22"/>
          <w:lang w:val="sr-Latn-ME"/>
        </w:rPr>
        <w:t>,</w:t>
      </w:r>
      <w:r w:rsidRPr="00801AFD">
        <w:rPr>
          <w:sz w:val="22"/>
          <w:szCs w:val="22"/>
          <w:lang w:val="sr-Latn-ME"/>
        </w:rPr>
        <w:t xml:space="preserve"> i 1359</w:t>
      </w:r>
      <w:r w:rsidR="006F6043" w:rsidRPr="00801AFD">
        <w:rPr>
          <w:sz w:val="22"/>
          <w:szCs w:val="22"/>
          <w:lang w:val="sr-Latn-ME"/>
        </w:rPr>
        <w:t>, što je rezultiralo ukupnim TMA odgovorom kod 3</w:t>
      </w:r>
      <w:r w:rsidRPr="00801AFD">
        <w:rPr>
          <w:sz w:val="22"/>
          <w:szCs w:val="22"/>
          <w:lang w:val="sr-Latn-ME"/>
        </w:rPr>
        <w:t>6</w:t>
      </w:r>
      <w:r w:rsidR="006F6043" w:rsidRPr="00801AFD">
        <w:rPr>
          <w:sz w:val="22"/>
          <w:szCs w:val="22"/>
          <w:lang w:val="sr-Latn-ME"/>
        </w:rPr>
        <w:t xml:space="preserve"> od 56 pacijenata (</w:t>
      </w:r>
      <w:r w:rsidRPr="00801AFD">
        <w:rPr>
          <w:sz w:val="22"/>
          <w:szCs w:val="22"/>
          <w:lang w:val="sr-Latn-ME"/>
        </w:rPr>
        <w:t>64</w:t>
      </w:r>
      <w:r w:rsidR="006F6043" w:rsidRPr="00801AFD">
        <w:rPr>
          <w:sz w:val="22"/>
          <w:szCs w:val="22"/>
          <w:lang w:val="sr-Latn-ME"/>
        </w:rPr>
        <w:t>,</w:t>
      </w:r>
      <w:r w:rsidRPr="00801AFD">
        <w:rPr>
          <w:sz w:val="22"/>
          <w:szCs w:val="22"/>
          <w:lang w:val="sr-Latn-ME"/>
        </w:rPr>
        <w:t>3</w:t>
      </w:r>
      <w:r w:rsidR="006F6043" w:rsidRPr="00801AFD">
        <w:rPr>
          <w:sz w:val="22"/>
          <w:szCs w:val="22"/>
          <w:lang w:val="sr-Latn-ME"/>
        </w:rPr>
        <w:t xml:space="preserve">%; 95% CI: </w:t>
      </w:r>
      <w:r w:rsidRPr="00801AFD">
        <w:rPr>
          <w:sz w:val="22"/>
          <w:szCs w:val="22"/>
          <w:lang w:val="sr-Latn-ME"/>
        </w:rPr>
        <w:t>50</w:t>
      </w:r>
      <w:r w:rsidR="006F6043" w:rsidRPr="00801AFD">
        <w:rPr>
          <w:sz w:val="22"/>
          <w:szCs w:val="22"/>
          <w:lang w:val="sr-Latn-ME"/>
        </w:rPr>
        <w:t>,</w:t>
      </w:r>
      <w:r w:rsidRPr="00801AFD">
        <w:rPr>
          <w:sz w:val="22"/>
          <w:szCs w:val="22"/>
          <w:lang w:val="sr-Latn-ME"/>
        </w:rPr>
        <w:t>8</w:t>
      </w:r>
      <w:r w:rsidR="006F6043" w:rsidRPr="00801AFD">
        <w:rPr>
          <w:sz w:val="22"/>
          <w:szCs w:val="22"/>
          <w:lang w:val="sr-Latn-ME"/>
        </w:rPr>
        <w:t xml:space="preserve">%, </w:t>
      </w:r>
      <w:r w:rsidRPr="00801AFD">
        <w:rPr>
          <w:sz w:val="22"/>
          <w:szCs w:val="22"/>
          <w:lang w:val="sr-Latn-ME"/>
        </w:rPr>
        <w:t>77</w:t>
      </w:r>
      <w:r w:rsidR="006F6043" w:rsidRPr="00801AFD">
        <w:rPr>
          <w:sz w:val="22"/>
          <w:szCs w:val="22"/>
          <w:lang w:val="sr-Latn-ME"/>
        </w:rPr>
        <w:t>,</w:t>
      </w:r>
      <w:r w:rsidRPr="00801AFD">
        <w:rPr>
          <w:sz w:val="22"/>
          <w:szCs w:val="22"/>
          <w:lang w:val="sr-Latn-ME"/>
        </w:rPr>
        <w:t>7</w:t>
      </w:r>
      <w:r w:rsidR="006F6043" w:rsidRPr="00801AFD">
        <w:rPr>
          <w:sz w:val="22"/>
          <w:szCs w:val="22"/>
          <w:lang w:val="sr-Latn-ME"/>
        </w:rPr>
        <w:t>%)</w:t>
      </w:r>
      <w:r w:rsidRPr="00801AFD">
        <w:rPr>
          <w:sz w:val="22"/>
          <w:szCs w:val="22"/>
          <w:lang w:val="sr-Latn-ME"/>
        </w:rPr>
        <w:t xml:space="preserve"> do kraja studije</w:t>
      </w:r>
      <w:r w:rsidR="006F6043" w:rsidRPr="00801AFD">
        <w:rPr>
          <w:sz w:val="22"/>
          <w:szCs w:val="22"/>
          <w:lang w:val="sr-Latn-ME"/>
        </w:rPr>
        <w:t xml:space="preserve">. Odgovor pojedinih komponenti povećao se na 48 (85,7%; 95% CI: 75,7%, 95,8%) pacijenata kod normalizacije broja trombocita, </w:t>
      </w:r>
      <w:r w:rsidR="00ED540C" w:rsidRPr="00801AFD">
        <w:rPr>
          <w:sz w:val="22"/>
          <w:szCs w:val="22"/>
          <w:lang w:val="sr-Latn-ME"/>
        </w:rPr>
        <w:t>4</w:t>
      </w:r>
      <w:r w:rsidR="00DC6C02" w:rsidRPr="00801AFD">
        <w:rPr>
          <w:sz w:val="22"/>
          <w:szCs w:val="22"/>
          <w:lang w:val="sr-Latn-ME"/>
        </w:rPr>
        <w:t>9</w:t>
      </w:r>
      <w:r w:rsidR="00ED540C" w:rsidRPr="00801AFD">
        <w:rPr>
          <w:sz w:val="22"/>
          <w:szCs w:val="22"/>
          <w:lang w:val="sr-Latn-ME"/>
        </w:rPr>
        <w:t xml:space="preserve"> </w:t>
      </w:r>
      <w:r w:rsidR="006F6043" w:rsidRPr="00801AFD">
        <w:rPr>
          <w:sz w:val="22"/>
          <w:szCs w:val="22"/>
          <w:lang w:val="sr-Latn-ME"/>
        </w:rPr>
        <w:t>(</w:t>
      </w:r>
      <w:r w:rsidR="00ED540C" w:rsidRPr="00801AFD">
        <w:rPr>
          <w:sz w:val="22"/>
          <w:szCs w:val="22"/>
          <w:lang w:val="sr-Latn-ME"/>
        </w:rPr>
        <w:t>87</w:t>
      </w:r>
      <w:r w:rsidR="006F6043" w:rsidRPr="00801AFD">
        <w:rPr>
          <w:sz w:val="22"/>
          <w:szCs w:val="22"/>
          <w:lang w:val="sr-Latn-ME"/>
        </w:rPr>
        <w:t>,</w:t>
      </w:r>
      <w:r w:rsidR="00ED540C" w:rsidRPr="00801AFD">
        <w:rPr>
          <w:sz w:val="22"/>
          <w:szCs w:val="22"/>
          <w:lang w:val="sr-Latn-ME"/>
        </w:rPr>
        <w:t>5</w:t>
      </w:r>
      <w:r w:rsidR="006F6043" w:rsidRPr="00801AFD">
        <w:rPr>
          <w:sz w:val="22"/>
          <w:szCs w:val="22"/>
          <w:lang w:val="sr-Latn-ME"/>
        </w:rPr>
        <w:t xml:space="preserve">%; 95% CI: </w:t>
      </w:r>
      <w:r w:rsidR="00ED540C" w:rsidRPr="00801AFD">
        <w:rPr>
          <w:sz w:val="22"/>
          <w:szCs w:val="22"/>
          <w:lang w:val="sr-Latn-ME"/>
        </w:rPr>
        <w:t>77</w:t>
      </w:r>
      <w:r w:rsidR="006F6043" w:rsidRPr="00801AFD">
        <w:rPr>
          <w:sz w:val="22"/>
          <w:szCs w:val="22"/>
          <w:lang w:val="sr-Latn-ME"/>
        </w:rPr>
        <w:t>,</w:t>
      </w:r>
      <w:r w:rsidR="00ED540C" w:rsidRPr="00801AFD">
        <w:rPr>
          <w:sz w:val="22"/>
          <w:szCs w:val="22"/>
          <w:lang w:val="sr-Latn-ME"/>
        </w:rPr>
        <w:t>9</w:t>
      </w:r>
      <w:r w:rsidR="006F6043" w:rsidRPr="00801AFD">
        <w:rPr>
          <w:sz w:val="22"/>
          <w:szCs w:val="22"/>
          <w:lang w:val="sr-Latn-ME"/>
        </w:rPr>
        <w:t xml:space="preserve">%, </w:t>
      </w:r>
      <w:r w:rsidR="00ED540C" w:rsidRPr="00801AFD">
        <w:rPr>
          <w:sz w:val="22"/>
          <w:szCs w:val="22"/>
          <w:lang w:val="sr-Latn-ME"/>
        </w:rPr>
        <w:t>97</w:t>
      </w:r>
      <w:r w:rsidR="006F6043" w:rsidRPr="00801AFD">
        <w:rPr>
          <w:sz w:val="22"/>
          <w:szCs w:val="22"/>
          <w:lang w:val="sr-Latn-ME"/>
        </w:rPr>
        <w:t>,</w:t>
      </w:r>
      <w:r w:rsidR="00ED540C" w:rsidRPr="00801AFD">
        <w:rPr>
          <w:sz w:val="22"/>
          <w:szCs w:val="22"/>
          <w:lang w:val="sr-Latn-ME"/>
        </w:rPr>
        <w:t>1</w:t>
      </w:r>
      <w:r w:rsidR="006F6043" w:rsidRPr="00801AFD">
        <w:rPr>
          <w:sz w:val="22"/>
          <w:szCs w:val="22"/>
          <w:lang w:val="sr-Latn-ME"/>
        </w:rPr>
        <w:t xml:space="preserve">%) pacijenata kod normalizacije LDH i </w:t>
      </w:r>
      <w:r w:rsidR="00ED540C" w:rsidRPr="00801AFD">
        <w:rPr>
          <w:sz w:val="22"/>
          <w:szCs w:val="22"/>
          <w:lang w:val="sr-Latn-ME"/>
        </w:rPr>
        <w:t xml:space="preserve">37 </w:t>
      </w:r>
      <w:r w:rsidR="006F6043" w:rsidRPr="00801AFD">
        <w:rPr>
          <w:sz w:val="22"/>
          <w:szCs w:val="22"/>
          <w:lang w:val="sr-Latn-ME"/>
        </w:rPr>
        <w:t>(</w:t>
      </w:r>
      <w:r w:rsidR="00ED540C" w:rsidRPr="00801AFD">
        <w:rPr>
          <w:sz w:val="22"/>
          <w:szCs w:val="22"/>
          <w:lang w:val="sr-Latn-ME"/>
        </w:rPr>
        <w:t>66</w:t>
      </w:r>
      <w:r w:rsidR="006F6043" w:rsidRPr="00801AFD">
        <w:rPr>
          <w:sz w:val="22"/>
          <w:szCs w:val="22"/>
          <w:lang w:val="sr-Latn-ME"/>
        </w:rPr>
        <w:t>,</w:t>
      </w:r>
      <w:r w:rsidR="00ED540C" w:rsidRPr="00801AFD">
        <w:rPr>
          <w:sz w:val="22"/>
          <w:szCs w:val="22"/>
          <w:lang w:val="sr-Latn-ME"/>
        </w:rPr>
        <w:t>1</w:t>
      </w:r>
      <w:r w:rsidR="006F6043" w:rsidRPr="00801AFD">
        <w:rPr>
          <w:sz w:val="22"/>
          <w:szCs w:val="22"/>
          <w:lang w:val="sr-Latn-ME"/>
        </w:rPr>
        <w:t xml:space="preserve">%; 95% CI: </w:t>
      </w:r>
      <w:r w:rsidR="00ED540C" w:rsidRPr="00801AFD">
        <w:rPr>
          <w:sz w:val="22"/>
          <w:szCs w:val="22"/>
          <w:lang w:val="sr-Latn-ME"/>
        </w:rPr>
        <w:t>52</w:t>
      </w:r>
      <w:r w:rsidR="006F6043" w:rsidRPr="00801AFD">
        <w:rPr>
          <w:sz w:val="22"/>
          <w:szCs w:val="22"/>
          <w:lang w:val="sr-Latn-ME"/>
        </w:rPr>
        <w:t>,</w:t>
      </w:r>
      <w:r w:rsidR="00ED540C" w:rsidRPr="00801AFD">
        <w:rPr>
          <w:sz w:val="22"/>
          <w:szCs w:val="22"/>
          <w:lang w:val="sr-Latn-ME"/>
        </w:rPr>
        <w:t>8</w:t>
      </w:r>
      <w:r w:rsidR="006F6043" w:rsidRPr="00801AFD">
        <w:rPr>
          <w:sz w:val="22"/>
          <w:szCs w:val="22"/>
          <w:lang w:val="sr-Latn-ME"/>
        </w:rPr>
        <w:t xml:space="preserve">%, </w:t>
      </w:r>
      <w:r w:rsidR="00ED540C" w:rsidRPr="00801AFD">
        <w:rPr>
          <w:sz w:val="22"/>
          <w:szCs w:val="22"/>
          <w:lang w:val="sr-Latn-ME"/>
        </w:rPr>
        <w:t>79</w:t>
      </w:r>
      <w:r w:rsidR="006F6043" w:rsidRPr="00801AFD">
        <w:rPr>
          <w:sz w:val="22"/>
          <w:szCs w:val="22"/>
          <w:lang w:val="sr-Latn-ME"/>
        </w:rPr>
        <w:t>,</w:t>
      </w:r>
      <w:r w:rsidR="00ED540C" w:rsidRPr="00801AFD">
        <w:rPr>
          <w:sz w:val="22"/>
          <w:szCs w:val="22"/>
          <w:lang w:val="sr-Latn-ME"/>
        </w:rPr>
        <w:t>4</w:t>
      </w:r>
      <w:r w:rsidR="006F6043" w:rsidRPr="00801AFD">
        <w:rPr>
          <w:sz w:val="22"/>
          <w:szCs w:val="22"/>
          <w:lang w:val="sr-Latn-ME"/>
        </w:rPr>
        <w:t xml:space="preserve">%) pacijenata kod poboljšanja bubrežne funkcije. </w:t>
      </w:r>
    </w:p>
    <w:p w14:paraId="767B4721" w14:textId="77777777" w:rsidR="006F6043" w:rsidRPr="00801AFD" w:rsidRDefault="006F6043" w:rsidP="00801AFD">
      <w:pPr>
        <w:widowControl w:val="0"/>
        <w:jc w:val="both"/>
        <w:rPr>
          <w:sz w:val="22"/>
          <w:szCs w:val="22"/>
          <w:lang w:val="sr-Latn-ME"/>
        </w:rPr>
      </w:pPr>
    </w:p>
    <w:p w14:paraId="7264BD73" w14:textId="585FCEF8" w:rsidR="006F6043" w:rsidRPr="00801AFD" w:rsidRDefault="00ED540C" w:rsidP="00801AFD">
      <w:pPr>
        <w:widowControl w:val="0"/>
        <w:jc w:val="both"/>
        <w:rPr>
          <w:color w:val="000000"/>
          <w:sz w:val="22"/>
          <w:szCs w:val="22"/>
          <w:lang w:val="sr-Latn-ME"/>
        </w:rPr>
      </w:pPr>
      <w:r w:rsidRPr="00801AFD">
        <w:rPr>
          <w:color w:val="000000"/>
          <w:sz w:val="22"/>
          <w:szCs w:val="22"/>
          <w:lang w:val="sr-Latn-ME"/>
        </w:rPr>
        <w:t>Medijana vremena do završetka k</w:t>
      </w:r>
      <w:r w:rsidR="006F6043" w:rsidRPr="00801AFD">
        <w:rPr>
          <w:color w:val="000000"/>
          <w:sz w:val="22"/>
          <w:szCs w:val="22"/>
          <w:lang w:val="sr-Latn-ME"/>
        </w:rPr>
        <w:t>ompletn</w:t>
      </w:r>
      <w:r w:rsidRPr="00801AFD">
        <w:rPr>
          <w:color w:val="000000"/>
          <w:sz w:val="22"/>
          <w:szCs w:val="22"/>
          <w:lang w:val="sr-Latn-ME"/>
        </w:rPr>
        <w:t>og</w:t>
      </w:r>
      <w:r w:rsidR="006F6043" w:rsidRPr="00801AFD">
        <w:rPr>
          <w:color w:val="000000"/>
          <w:sz w:val="22"/>
          <w:szCs w:val="22"/>
          <w:lang w:val="sr-Latn-ME"/>
        </w:rPr>
        <w:t xml:space="preserve"> TMA odgovor</w:t>
      </w:r>
      <w:r w:rsidRPr="00801AFD">
        <w:rPr>
          <w:color w:val="000000"/>
          <w:sz w:val="22"/>
          <w:szCs w:val="22"/>
          <w:lang w:val="sr-Latn-ME"/>
        </w:rPr>
        <w:t>a</w:t>
      </w:r>
      <w:r w:rsidR="006F6043" w:rsidRPr="00801AFD">
        <w:rPr>
          <w:color w:val="000000"/>
          <w:sz w:val="22"/>
          <w:szCs w:val="22"/>
          <w:lang w:val="sr-Latn-ME"/>
        </w:rPr>
        <w:t xml:space="preserve"> je 86 dana (7 do </w:t>
      </w:r>
      <w:r w:rsidRPr="00801AFD">
        <w:rPr>
          <w:color w:val="000000"/>
          <w:sz w:val="22"/>
          <w:szCs w:val="22"/>
          <w:lang w:val="sr-Latn-ME"/>
        </w:rPr>
        <w:t xml:space="preserve">1359 </w:t>
      </w:r>
      <w:r w:rsidR="006F6043" w:rsidRPr="00801AFD">
        <w:rPr>
          <w:color w:val="000000"/>
          <w:sz w:val="22"/>
          <w:szCs w:val="22"/>
          <w:lang w:val="sr-Latn-ME"/>
        </w:rPr>
        <w:t>dana). Ubrzo nakon početka primjene ravulizumaba, prim</w:t>
      </w:r>
      <w:r w:rsidR="00EC4D3C" w:rsidRPr="00801AFD">
        <w:rPr>
          <w:color w:val="000000"/>
          <w:sz w:val="22"/>
          <w:szCs w:val="22"/>
          <w:lang w:val="sr-Latn-ME"/>
        </w:rPr>
        <w:t>i</w:t>
      </w:r>
      <w:r w:rsidR="006F6043" w:rsidRPr="00801AFD">
        <w:rPr>
          <w:color w:val="000000"/>
          <w:sz w:val="22"/>
          <w:szCs w:val="22"/>
          <w:lang w:val="sr-Latn-ME"/>
        </w:rPr>
        <w:t>jećen je porast srednjeg broja trombocita, koji se povećao sa 118,52 × 10</w:t>
      </w:r>
      <w:r w:rsidR="006F6043" w:rsidRPr="00801AFD">
        <w:rPr>
          <w:color w:val="000000"/>
          <w:sz w:val="22"/>
          <w:szCs w:val="22"/>
          <w:vertAlign w:val="superscript"/>
          <w:lang w:val="sr-Latn-ME"/>
        </w:rPr>
        <w:t>9</w:t>
      </w:r>
      <w:r w:rsidR="006F6043" w:rsidRPr="00801AFD">
        <w:rPr>
          <w:color w:val="000000"/>
          <w:sz w:val="22"/>
          <w:szCs w:val="22"/>
          <w:lang w:val="sr-Latn-ME"/>
        </w:rPr>
        <w:t xml:space="preserve"> /</w:t>
      </w:r>
      <w:r w:rsidR="00D4193A" w:rsidRPr="00801AFD">
        <w:rPr>
          <w:color w:val="000000"/>
          <w:sz w:val="22"/>
          <w:szCs w:val="22"/>
          <w:lang w:val="sr-Latn-ME"/>
        </w:rPr>
        <w:t>l</w:t>
      </w:r>
      <w:r w:rsidR="006F6043" w:rsidRPr="00801AFD">
        <w:rPr>
          <w:color w:val="000000"/>
          <w:sz w:val="22"/>
          <w:szCs w:val="22"/>
          <w:lang w:val="sr-Latn-ME"/>
        </w:rPr>
        <w:t xml:space="preserve"> na početku na </w:t>
      </w:r>
      <w:r w:rsidRPr="00801AFD">
        <w:rPr>
          <w:color w:val="000000"/>
          <w:sz w:val="22"/>
          <w:szCs w:val="22"/>
          <w:lang w:val="sr-Latn-ME"/>
        </w:rPr>
        <w:t>243</w:t>
      </w:r>
      <w:r w:rsidR="006F6043" w:rsidRPr="00801AFD">
        <w:rPr>
          <w:color w:val="000000"/>
          <w:sz w:val="22"/>
          <w:szCs w:val="22"/>
          <w:lang w:val="sr-Latn-ME"/>
        </w:rPr>
        <w:t>,</w:t>
      </w:r>
      <w:r w:rsidRPr="00801AFD">
        <w:rPr>
          <w:color w:val="000000"/>
          <w:sz w:val="22"/>
          <w:szCs w:val="22"/>
          <w:lang w:val="sr-Latn-ME"/>
        </w:rPr>
        <w:t xml:space="preserve">54 </w:t>
      </w:r>
      <w:r w:rsidR="006F6043" w:rsidRPr="00801AFD">
        <w:rPr>
          <w:color w:val="000000"/>
          <w:sz w:val="22"/>
          <w:szCs w:val="22"/>
          <w:lang w:val="sr-Latn-ME"/>
        </w:rPr>
        <w:t>× 10</w:t>
      </w:r>
      <w:r w:rsidR="006F6043" w:rsidRPr="00801AFD">
        <w:rPr>
          <w:color w:val="000000"/>
          <w:sz w:val="22"/>
          <w:szCs w:val="22"/>
          <w:vertAlign w:val="superscript"/>
          <w:lang w:val="sr-Latn-ME"/>
        </w:rPr>
        <w:t>9</w:t>
      </w:r>
      <w:r w:rsidR="006F6043" w:rsidRPr="00801AFD">
        <w:rPr>
          <w:color w:val="000000"/>
          <w:sz w:val="22"/>
          <w:szCs w:val="22"/>
          <w:lang w:val="sr-Latn-ME"/>
        </w:rPr>
        <w:t>/</w:t>
      </w:r>
      <w:r w:rsidR="00D4193A" w:rsidRPr="00801AFD">
        <w:rPr>
          <w:color w:val="000000"/>
          <w:sz w:val="22"/>
          <w:szCs w:val="22"/>
          <w:lang w:val="sr-Latn-ME"/>
        </w:rPr>
        <w:t>l</w:t>
      </w:r>
      <w:r w:rsidR="006F6043" w:rsidRPr="00801AFD">
        <w:rPr>
          <w:color w:val="000000"/>
          <w:sz w:val="22"/>
          <w:szCs w:val="22"/>
          <w:lang w:val="sr-Latn-ME"/>
        </w:rPr>
        <w:t xml:space="preserve"> 8. dana</w:t>
      </w:r>
      <w:r w:rsidR="00EC4D3C" w:rsidRPr="00801AFD">
        <w:rPr>
          <w:color w:val="000000"/>
          <w:sz w:val="22"/>
          <w:szCs w:val="22"/>
          <w:lang w:val="sr-Latn-ME"/>
        </w:rPr>
        <w:t xml:space="preserve">, te se zadržao na vrijednostima </w:t>
      </w:r>
      <w:r w:rsidR="006F6043" w:rsidRPr="00801AFD">
        <w:rPr>
          <w:color w:val="000000"/>
          <w:sz w:val="22"/>
          <w:szCs w:val="22"/>
          <w:lang w:val="sr-Latn-ME"/>
        </w:rPr>
        <w:t>iznad 227 × 10</w:t>
      </w:r>
      <w:r w:rsidR="006F6043" w:rsidRPr="00801AFD">
        <w:rPr>
          <w:color w:val="000000"/>
          <w:sz w:val="22"/>
          <w:szCs w:val="22"/>
          <w:vertAlign w:val="superscript"/>
          <w:lang w:val="sr-Latn-ME"/>
        </w:rPr>
        <w:t>9</w:t>
      </w:r>
      <w:r w:rsidR="006F6043" w:rsidRPr="00801AFD">
        <w:rPr>
          <w:color w:val="000000"/>
          <w:sz w:val="22"/>
          <w:szCs w:val="22"/>
          <w:lang w:val="sr-Latn-ME"/>
        </w:rPr>
        <w:t>/</w:t>
      </w:r>
      <w:r w:rsidR="00D4193A" w:rsidRPr="00801AFD">
        <w:rPr>
          <w:color w:val="000000"/>
          <w:sz w:val="22"/>
          <w:szCs w:val="22"/>
          <w:lang w:val="sr-Latn-ME"/>
        </w:rPr>
        <w:t>l</w:t>
      </w:r>
      <w:r w:rsidR="006F6043" w:rsidRPr="00801AFD">
        <w:rPr>
          <w:color w:val="000000"/>
          <w:sz w:val="22"/>
          <w:szCs w:val="22"/>
          <w:lang w:val="sr-Latn-ME"/>
        </w:rPr>
        <w:t xml:space="preserve"> </w:t>
      </w:r>
      <w:r w:rsidR="006F6043" w:rsidRPr="00801AFD">
        <w:rPr>
          <w:color w:val="000000"/>
          <w:sz w:val="22"/>
          <w:szCs w:val="22"/>
          <w:lang w:val="sr-Latn-ME"/>
        </w:rPr>
        <w:lastRenderedPageBreak/>
        <w:t>pri svim narednim pregledima tokom perioda početne procjene (26 nedjelja). Slično tome, srednja vrijednost LDH je smanjena u odnosu na početnu vrijednost tokom prva 2 m</w:t>
      </w:r>
      <w:r w:rsidR="00EC4D3C" w:rsidRPr="00801AFD">
        <w:rPr>
          <w:color w:val="000000"/>
          <w:sz w:val="22"/>
          <w:szCs w:val="22"/>
          <w:lang w:val="sr-Latn-ME"/>
        </w:rPr>
        <w:t>j</w:t>
      </w:r>
      <w:r w:rsidR="006F6043" w:rsidRPr="00801AFD">
        <w:rPr>
          <w:color w:val="000000"/>
          <w:sz w:val="22"/>
          <w:szCs w:val="22"/>
          <w:lang w:val="sr-Latn-ME"/>
        </w:rPr>
        <w:t>eseca liječenja i kao takva zadržana je tokom početnog perioda procjene (26 nedjelja).</w:t>
      </w:r>
    </w:p>
    <w:p w14:paraId="1DC4E223" w14:textId="77777777" w:rsidR="006F6043" w:rsidRPr="00801AFD" w:rsidRDefault="006F6043" w:rsidP="00801AFD">
      <w:pPr>
        <w:widowControl w:val="0"/>
        <w:jc w:val="both"/>
        <w:rPr>
          <w:color w:val="000000"/>
          <w:sz w:val="22"/>
          <w:szCs w:val="22"/>
          <w:lang w:val="sr-Latn-ME"/>
        </w:rPr>
      </w:pPr>
    </w:p>
    <w:p w14:paraId="7C0833EE" w14:textId="13BAC57F" w:rsidR="00350529" w:rsidRPr="00801AFD" w:rsidRDefault="00ED540C" w:rsidP="00801AFD">
      <w:pPr>
        <w:widowControl w:val="0"/>
        <w:jc w:val="both"/>
        <w:rPr>
          <w:color w:val="000000"/>
          <w:sz w:val="22"/>
          <w:szCs w:val="22"/>
          <w:lang w:val="sr-Latn-ME"/>
        </w:rPr>
      </w:pPr>
      <w:r w:rsidRPr="00801AFD">
        <w:rPr>
          <w:color w:val="000000"/>
          <w:sz w:val="22"/>
          <w:szCs w:val="22"/>
          <w:lang w:val="sr-Latn-ME"/>
        </w:rPr>
        <w:t xml:space="preserve">Preko dvije trećine populacije </w:t>
      </w:r>
      <w:r w:rsidR="006F6043" w:rsidRPr="00801AFD">
        <w:rPr>
          <w:color w:val="000000"/>
          <w:sz w:val="22"/>
          <w:szCs w:val="22"/>
          <w:lang w:val="sr-Latn-ME"/>
        </w:rPr>
        <w:t xml:space="preserve">pacijenata </w:t>
      </w:r>
      <w:r w:rsidRPr="00801AFD">
        <w:rPr>
          <w:color w:val="000000"/>
          <w:sz w:val="22"/>
          <w:szCs w:val="22"/>
          <w:lang w:val="sr-Latn-ME"/>
        </w:rPr>
        <w:t xml:space="preserve">uglavnom </w:t>
      </w:r>
      <w:r w:rsidR="006F6043" w:rsidRPr="00801AFD">
        <w:rPr>
          <w:color w:val="000000"/>
          <w:sz w:val="22"/>
          <w:szCs w:val="22"/>
          <w:lang w:val="sr-Latn-ME"/>
        </w:rPr>
        <w:t xml:space="preserve">sa kliničkom slikom hronične bolesti bubrega (CKD) u stadijumu </w:t>
      </w:r>
      <w:r w:rsidR="00ED6563" w:rsidRPr="00801AFD">
        <w:rPr>
          <w:color w:val="000000"/>
          <w:sz w:val="22"/>
          <w:szCs w:val="22"/>
          <w:lang w:val="sr-Latn-ME"/>
        </w:rPr>
        <w:t xml:space="preserve">4 ili </w:t>
      </w:r>
      <w:r w:rsidR="006F6043" w:rsidRPr="00801AFD">
        <w:rPr>
          <w:color w:val="000000"/>
          <w:sz w:val="22"/>
          <w:szCs w:val="22"/>
          <w:lang w:val="sr-Latn-ME"/>
        </w:rPr>
        <w:t>5</w:t>
      </w:r>
      <w:r w:rsidR="00ED6563" w:rsidRPr="00801AFD">
        <w:rPr>
          <w:color w:val="000000"/>
          <w:sz w:val="22"/>
          <w:szCs w:val="22"/>
          <w:lang w:val="sr-Latn-ME"/>
        </w:rPr>
        <w:t xml:space="preserve"> na početnom nivou</w:t>
      </w:r>
      <w:r w:rsidR="006F6043" w:rsidRPr="00801AFD">
        <w:rPr>
          <w:color w:val="000000"/>
          <w:sz w:val="22"/>
          <w:szCs w:val="22"/>
          <w:lang w:val="sr-Latn-ME"/>
        </w:rPr>
        <w:t>, je imalo poboljšanje za 1 ili više stadijuma CKD</w:t>
      </w:r>
      <w:r w:rsidR="00ED6563" w:rsidRPr="00801AFD">
        <w:rPr>
          <w:color w:val="000000"/>
          <w:sz w:val="22"/>
          <w:szCs w:val="22"/>
          <w:lang w:val="sr-Latn-ME"/>
        </w:rPr>
        <w:t xml:space="preserve"> do 743. dana studije.</w:t>
      </w:r>
      <w:r w:rsidR="00350529" w:rsidRPr="00801AFD">
        <w:rPr>
          <w:color w:val="000000"/>
          <w:sz w:val="22"/>
          <w:szCs w:val="22"/>
          <w:lang w:val="sr-Latn-ME"/>
        </w:rPr>
        <w:t xml:space="preserve"> Poboljšanje bubrežne funkcije mjereno eGFR i dalje je bilo stabilno do kraja studije</w:t>
      </w:r>
      <w:r w:rsidR="006F6043" w:rsidRPr="00801AFD">
        <w:rPr>
          <w:color w:val="000000"/>
          <w:sz w:val="22"/>
          <w:szCs w:val="22"/>
          <w:lang w:val="sr-Latn-ME"/>
        </w:rPr>
        <w:t xml:space="preserve">. Kod mnogih pacijenata (19/30), hronična bolest bubrega nastavila je da se poboljšava nakon postizanja kompletnog TMA odgovora tokom 26-nedjeljnog perioda početne procjene. </w:t>
      </w:r>
    </w:p>
    <w:p w14:paraId="252407D9" w14:textId="7CB96874" w:rsidR="006F6043" w:rsidRPr="00801AFD" w:rsidRDefault="006F6043" w:rsidP="00801AFD">
      <w:pPr>
        <w:widowControl w:val="0"/>
        <w:jc w:val="both"/>
        <w:rPr>
          <w:color w:val="000000"/>
          <w:sz w:val="22"/>
          <w:szCs w:val="22"/>
          <w:lang w:val="sr-Latn-ME"/>
        </w:rPr>
      </w:pPr>
    </w:p>
    <w:p w14:paraId="5A2EDB9E" w14:textId="5C2FECA9" w:rsidR="00350529" w:rsidRPr="00801AFD" w:rsidRDefault="00350529" w:rsidP="00801AFD">
      <w:pPr>
        <w:widowControl w:val="0"/>
        <w:jc w:val="both"/>
        <w:rPr>
          <w:color w:val="000000"/>
          <w:sz w:val="22"/>
          <w:szCs w:val="22"/>
          <w:lang w:val="sr-Latn-ME"/>
        </w:rPr>
      </w:pPr>
      <w:r w:rsidRPr="00801AFD">
        <w:rPr>
          <w:color w:val="000000"/>
          <w:sz w:val="22"/>
          <w:szCs w:val="22"/>
          <w:lang w:val="sr-Latn-ME"/>
        </w:rPr>
        <w:t>Od 27 pacijenata kojima nije bila potrebna dijaliza pri ulasku u studiju, 19 pacijenata je ostalo bez dijalize tokom čitavog perioda studije, a 8 pacijenata je započelo dijalizu tokom studije, pri čemu su 2 od ovih pacijenata prekinul</w:t>
      </w:r>
      <w:r w:rsidR="0045074A" w:rsidRPr="00801AFD">
        <w:rPr>
          <w:color w:val="000000"/>
          <w:sz w:val="22"/>
          <w:szCs w:val="22"/>
          <w:lang w:val="sr-Latn-ME"/>
        </w:rPr>
        <w:t>i</w:t>
      </w:r>
      <w:r w:rsidRPr="00801AFD">
        <w:rPr>
          <w:color w:val="000000"/>
          <w:sz w:val="22"/>
          <w:szCs w:val="22"/>
          <w:lang w:val="sr-Latn-ME"/>
        </w:rPr>
        <w:t xml:space="preserve"> dijalizu tokom studije. Jedan od pacijenata koji je prekinuo dijalizu tokom perioda produžene studije, zatim je ponovo započeo dijalizu i nastavio do završetka studije.</w:t>
      </w:r>
    </w:p>
    <w:p w14:paraId="724DCCF9" w14:textId="157AD808" w:rsidR="00941D30" w:rsidRPr="00801AFD" w:rsidRDefault="00941D30" w:rsidP="00801AFD">
      <w:pPr>
        <w:widowControl w:val="0"/>
        <w:rPr>
          <w:color w:val="000000"/>
          <w:sz w:val="22"/>
          <w:szCs w:val="22"/>
          <w:lang w:val="sr-Latn-ME"/>
        </w:rPr>
      </w:pPr>
    </w:p>
    <w:p w14:paraId="2DBD4EB1" w14:textId="787FC8A3" w:rsidR="006F6043" w:rsidRPr="00801AFD" w:rsidRDefault="006F6043" w:rsidP="00801AFD">
      <w:pPr>
        <w:widowControl w:val="0"/>
        <w:jc w:val="both"/>
        <w:rPr>
          <w:b/>
          <w:bCs/>
          <w:sz w:val="22"/>
          <w:szCs w:val="22"/>
          <w:lang w:val="sr-Latn-ME"/>
        </w:rPr>
      </w:pPr>
      <w:r w:rsidRPr="00801AFD">
        <w:rPr>
          <w:b/>
          <w:bCs/>
          <w:color w:val="000000"/>
          <w:sz w:val="22"/>
          <w:szCs w:val="22"/>
          <w:lang w:val="sr-Latn-ME"/>
        </w:rPr>
        <w:t xml:space="preserve">Tabela </w:t>
      </w:r>
      <w:r w:rsidR="00AE5148" w:rsidRPr="00801AFD">
        <w:rPr>
          <w:b/>
          <w:bCs/>
          <w:color w:val="000000"/>
          <w:sz w:val="22"/>
          <w:szCs w:val="22"/>
          <w:lang w:val="sr-Latn-ME"/>
        </w:rPr>
        <w:t>15</w:t>
      </w:r>
      <w:r w:rsidRPr="00801AFD">
        <w:rPr>
          <w:b/>
          <w:bCs/>
          <w:color w:val="000000"/>
          <w:sz w:val="22"/>
          <w:szCs w:val="22"/>
          <w:lang w:val="sr-Latn-ME"/>
        </w:rPr>
        <w:t xml:space="preserve">: Sekundarni ishodi efikasnosti studije </w:t>
      </w:r>
      <w:r w:rsidR="0045074A" w:rsidRPr="00801AFD">
        <w:rPr>
          <w:b/>
          <w:bCs/>
          <w:color w:val="000000"/>
          <w:sz w:val="22"/>
          <w:szCs w:val="22"/>
          <w:lang w:val="sr-Latn-ME"/>
        </w:rPr>
        <w:t>za 26-ned</w:t>
      </w:r>
      <w:r w:rsidR="00DC6C02" w:rsidRPr="00801AFD">
        <w:rPr>
          <w:b/>
          <w:bCs/>
          <w:color w:val="000000"/>
          <w:sz w:val="22"/>
          <w:szCs w:val="22"/>
          <w:lang w:val="sr-Latn-ME"/>
        </w:rPr>
        <w:t>j</w:t>
      </w:r>
      <w:r w:rsidR="0045074A" w:rsidRPr="00801AFD">
        <w:rPr>
          <w:b/>
          <w:bCs/>
          <w:color w:val="000000"/>
          <w:sz w:val="22"/>
          <w:szCs w:val="22"/>
          <w:lang w:val="sr-Latn-ME"/>
        </w:rPr>
        <w:t xml:space="preserve">eljni period početne evaluacije studije </w:t>
      </w:r>
      <w:r w:rsidRPr="00801AFD">
        <w:rPr>
          <w:b/>
          <w:bCs/>
          <w:color w:val="000000"/>
          <w:sz w:val="22"/>
          <w:szCs w:val="22"/>
          <w:lang w:val="sr-Latn-ME"/>
        </w:rPr>
        <w:t>ALXN1210-aHUS-311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3"/>
        <w:gridCol w:w="2529"/>
        <w:gridCol w:w="3095"/>
      </w:tblGrid>
      <w:tr w:rsidR="006F6043" w:rsidRPr="00801AFD" w14:paraId="184DD047" w14:textId="77777777" w:rsidTr="006F6043">
        <w:trPr>
          <w:cantSplit/>
        </w:trPr>
        <w:tc>
          <w:tcPr>
            <w:tcW w:w="3618" w:type="dxa"/>
            <w:shd w:val="clear" w:color="auto" w:fill="auto"/>
          </w:tcPr>
          <w:p w14:paraId="528094DF" w14:textId="77777777" w:rsidR="006F6043" w:rsidRPr="00801AFD" w:rsidRDefault="006F6043" w:rsidP="00801AFD">
            <w:pPr>
              <w:pStyle w:val="C-TableHeader"/>
              <w:keepNext w:val="0"/>
              <w:widowControl w:val="0"/>
              <w:jc w:val="both"/>
              <w:rPr>
                <w:rFonts w:ascii="Times New Roman" w:hAnsi="Times New Roman"/>
                <w:sz w:val="22"/>
                <w:szCs w:val="22"/>
                <w:lang w:val="sr-Latn-ME"/>
              </w:rPr>
            </w:pPr>
            <w:r w:rsidRPr="00801AFD">
              <w:rPr>
                <w:rFonts w:ascii="Times New Roman" w:hAnsi="Times New Roman"/>
                <w:sz w:val="22"/>
                <w:szCs w:val="22"/>
                <w:lang w:val="sr-Latn-ME"/>
              </w:rPr>
              <w:t>Parametri</w:t>
            </w:r>
          </w:p>
        </w:tc>
        <w:tc>
          <w:tcPr>
            <w:tcW w:w="5872" w:type="dxa"/>
            <w:gridSpan w:val="2"/>
            <w:shd w:val="clear" w:color="auto" w:fill="auto"/>
          </w:tcPr>
          <w:p w14:paraId="29DC0E2C" w14:textId="77777777" w:rsidR="006F6043" w:rsidRPr="00801AFD" w:rsidRDefault="006F6043"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Studija ALXN1210</w:t>
            </w:r>
            <w:r w:rsidRPr="00801AFD">
              <w:rPr>
                <w:rFonts w:ascii="Times New Roman" w:hAnsi="Times New Roman"/>
                <w:sz w:val="22"/>
                <w:szCs w:val="22"/>
                <w:lang w:val="sr-Latn-ME"/>
              </w:rPr>
              <w:noBreakHyphen/>
              <w:t>aHUS</w:t>
            </w:r>
            <w:r w:rsidRPr="00801AFD">
              <w:rPr>
                <w:rFonts w:ascii="Times New Roman" w:hAnsi="Times New Roman"/>
                <w:sz w:val="22"/>
                <w:szCs w:val="22"/>
                <w:lang w:val="sr-Latn-ME"/>
              </w:rPr>
              <w:noBreakHyphen/>
              <w:t>311</w:t>
            </w:r>
          </w:p>
          <w:p w14:paraId="7A187BAF" w14:textId="77777777" w:rsidR="006F6043" w:rsidRPr="00801AFD" w:rsidRDefault="006F6043"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(N = 56)</w:t>
            </w:r>
          </w:p>
        </w:tc>
      </w:tr>
      <w:tr w:rsidR="006F6043" w:rsidRPr="00801AFD" w14:paraId="64A9B42D" w14:textId="77777777" w:rsidTr="006F6043">
        <w:trPr>
          <w:cantSplit/>
        </w:trPr>
        <w:tc>
          <w:tcPr>
            <w:tcW w:w="3618" w:type="dxa"/>
            <w:shd w:val="clear" w:color="auto" w:fill="auto"/>
          </w:tcPr>
          <w:p w14:paraId="7C3BF640" w14:textId="77777777" w:rsidR="006F6043" w:rsidRPr="00801AFD" w:rsidRDefault="006F6043" w:rsidP="00801AFD">
            <w:pPr>
              <w:pStyle w:val="C-TableText"/>
              <w:widowControl w:val="0"/>
              <w:jc w:val="both"/>
              <w:rPr>
                <w:sz w:val="22"/>
                <w:szCs w:val="22"/>
              </w:rPr>
            </w:pPr>
            <w:r w:rsidRPr="00801AFD">
              <w:rPr>
                <w:sz w:val="22"/>
                <w:szCs w:val="22"/>
              </w:rPr>
              <w:t>Hematološki TMA parametri, Dan 183</w:t>
            </w:r>
          </w:p>
          <w:p w14:paraId="2362F9E0" w14:textId="5E64A53E" w:rsidR="006F6043" w:rsidRPr="00801AFD" w:rsidRDefault="006F6043" w:rsidP="00801AFD">
            <w:pPr>
              <w:pStyle w:val="C-TableText"/>
              <w:widowControl w:val="0"/>
              <w:ind w:left="187"/>
              <w:jc w:val="both"/>
              <w:rPr>
                <w:sz w:val="22"/>
                <w:szCs w:val="22"/>
              </w:rPr>
            </w:pPr>
            <w:r w:rsidRPr="00801AFD">
              <w:rPr>
                <w:sz w:val="22"/>
                <w:szCs w:val="22"/>
              </w:rPr>
              <w:t>Trombociti (10</w:t>
            </w:r>
            <w:r w:rsidRPr="00801AFD">
              <w:rPr>
                <w:sz w:val="22"/>
                <w:szCs w:val="22"/>
                <w:vertAlign w:val="superscript"/>
              </w:rPr>
              <w:t>9</w:t>
            </w:r>
            <w:r w:rsidRPr="00801AFD">
              <w:rPr>
                <w:sz w:val="22"/>
                <w:szCs w:val="22"/>
              </w:rPr>
              <w:t>/</w:t>
            </w:r>
            <w:r w:rsidR="00D4193A" w:rsidRPr="00801AFD">
              <w:rPr>
                <w:sz w:val="22"/>
                <w:szCs w:val="22"/>
              </w:rPr>
              <w:t>l</w:t>
            </w:r>
            <w:r w:rsidRPr="00801AFD">
              <w:rPr>
                <w:sz w:val="22"/>
                <w:szCs w:val="22"/>
              </w:rPr>
              <w:t>) krv</w:t>
            </w:r>
          </w:p>
          <w:p w14:paraId="2718CD55" w14:textId="77777777" w:rsidR="006F6043" w:rsidRPr="00801AFD" w:rsidRDefault="006F6043" w:rsidP="00801AFD">
            <w:pPr>
              <w:pStyle w:val="C-TableText"/>
              <w:widowControl w:val="0"/>
              <w:ind w:left="360"/>
              <w:jc w:val="both"/>
              <w:rPr>
                <w:sz w:val="22"/>
                <w:szCs w:val="22"/>
              </w:rPr>
            </w:pPr>
            <w:r w:rsidRPr="00801AFD">
              <w:rPr>
                <w:sz w:val="22"/>
                <w:szCs w:val="22"/>
              </w:rPr>
              <w:t>Srednja vrijednost (SD)</w:t>
            </w:r>
          </w:p>
          <w:p w14:paraId="7D8A103D" w14:textId="77777777" w:rsidR="006F6043" w:rsidRPr="00801AFD" w:rsidRDefault="006F6043" w:rsidP="00801AFD">
            <w:pPr>
              <w:pStyle w:val="C-TableText"/>
              <w:widowControl w:val="0"/>
              <w:ind w:left="360"/>
              <w:jc w:val="both"/>
              <w:rPr>
                <w:sz w:val="22"/>
                <w:szCs w:val="22"/>
              </w:rPr>
            </w:pPr>
            <w:r w:rsidRPr="00801AFD">
              <w:rPr>
                <w:sz w:val="22"/>
                <w:szCs w:val="22"/>
              </w:rPr>
              <w:t>Medijana</w:t>
            </w:r>
          </w:p>
          <w:p w14:paraId="349DF69D" w14:textId="43AD276E" w:rsidR="006F6043" w:rsidRPr="00801AFD" w:rsidRDefault="006F6043" w:rsidP="00801AFD">
            <w:pPr>
              <w:pStyle w:val="C-TableText"/>
              <w:widowControl w:val="0"/>
              <w:ind w:left="187"/>
              <w:jc w:val="both"/>
              <w:rPr>
                <w:sz w:val="22"/>
                <w:szCs w:val="22"/>
              </w:rPr>
            </w:pPr>
            <w:r w:rsidRPr="00801AFD">
              <w:rPr>
                <w:sz w:val="22"/>
                <w:szCs w:val="22"/>
              </w:rPr>
              <w:t>LDH (U/</w:t>
            </w:r>
            <w:r w:rsidR="00D4193A" w:rsidRPr="00801AFD">
              <w:rPr>
                <w:sz w:val="22"/>
                <w:szCs w:val="22"/>
              </w:rPr>
              <w:t>l</w:t>
            </w:r>
            <w:r w:rsidRPr="00801AFD">
              <w:rPr>
                <w:sz w:val="22"/>
                <w:szCs w:val="22"/>
              </w:rPr>
              <w:t>) serum</w:t>
            </w:r>
          </w:p>
          <w:p w14:paraId="2B0AA1A7" w14:textId="77777777" w:rsidR="006F6043" w:rsidRPr="00801AFD" w:rsidRDefault="006F6043" w:rsidP="00801AFD">
            <w:pPr>
              <w:pStyle w:val="C-TableText"/>
              <w:widowControl w:val="0"/>
              <w:ind w:left="360"/>
              <w:jc w:val="both"/>
              <w:rPr>
                <w:sz w:val="22"/>
                <w:szCs w:val="22"/>
              </w:rPr>
            </w:pPr>
            <w:r w:rsidRPr="00801AFD">
              <w:rPr>
                <w:sz w:val="22"/>
                <w:szCs w:val="22"/>
              </w:rPr>
              <w:t>Srednja vrijednost (SD)</w:t>
            </w:r>
          </w:p>
          <w:p w14:paraId="51E85B7C" w14:textId="77777777" w:rsidR="006F6043" w:rsidRPr="00801AFD" w:rsidRDefault="006F6043" w:rsidP="00801AFD">
            <w:pPr>
              <w:pStyle w:val="C-TableText"/>
              <w:widowControl w:val="0"/>
              <w:ind w:left="360"/>
              <w:jc w:val="both"/>
              <w:rPr>
                <w:sz w:val="22"/>
                <w:szCs w:val="22"/>
              </w:rPr>
            </w:pPr>
            <w:r w:rsidRPr="00801AFD">
              <w:rPr>
                <w:sz w:val="22"/>
                <w:szCs w:val="22"/>
              </w:rPr>
              <w:t>Medijana</w:t>
            </w:r>
          </w:p>
        </w:tc>
        <w:tc>
          <w:tcPr>
            <w:tcW w:w="2610" w:type="dxa"/>
            <w:shd w:val="clear" w:color="auto" w:fill="auto"/>
          </w:tcPr>
          <w:p w14:paraId="5A0A7964" w14:textId="0FAA1136" w:rsidR="006F6043" w:rsidRPr="00801AFD" w:rsidRDefault="006F6043" w:rsidP="00801AFD">
            <w:pPr>
              <w:pStyle w:val="C-TableText"/>
              <w:widowControl w:val="0"/>
              <w:jc w:val="center"/>
              <w:rPr>
                <w:sz w:val="22"/>
                <w:szCs w:val="22"/>
              </w:rPr>
            </w:pPr>
            <w:r w:rsidRPr="00801AFD">
              <w:rPr>
                <w:sz w:val="22"/>
                <w:szCs w:val="22"/>
              </w:rPr>
              <w:t>Prim</w:t>
            </w:r>
            <w:r w:rsidR="00256931" w:rsidRPr="00801AFD">
              <w:rPr>
                <w:sz w:val="22"/>
                <w:szCs w:val="22"/>
              </w:rPr>
              <w:t>ij</w:t>
            </w:r>
            <w:r w:rsidRPr="00801AFD">
              <w:rPr>
                <w:sz w:val="22"/>
                <w:szCs w:val="22"/>
              </w:rPr>
              <w:t>ećena vrijednost (n=48)</w:t>
            </w:r>
          </w:p>
          <w:p w14:paraId="5EDFC6E5" w14:textId="77777777" w:rsidR="006F6043" w:rsidRPr="00801AFD" w:rsidRDefault="006F6043" w:rsidP="00801AFD">
            <w:pPr>
              <w:pStyle w:val="C-TableText"/>
              <w:widowControl w:val="0"/>
              <w:jc w:val="center"/>
              <w:rPr>
                <w:sz w:val="22"/>
                <w:szCs w:val="22"/>
              </w:rPr>
            </w:pPr>
          </w:p>
          <w:p w14:paraId="49DE29AA" w14:textId="77777777" w:rsidR="006F6043" w:rsidRPr="00801AFD" w:rsidRDefault="006F6043" w:rsidP="00801AFD">
            <w:pPr>
              <w:pStyle w:val="C-TableText"/>
              <w:widowControl w:val="0"/>
              <w:jc w:val="center"/>
              <w:rPr>
                <w:sz w:val="22"/>
                <w:szCs w:val="22"/>
              </w:rPr>
            </w:pPr>
            <w:r w:rsidRPr="00801AFD">
              <w:rPr>
                <w:sz w:val="22"/>
                <w:szCs w:val="22"/>
              </w:rPr>
              <w:t>237.96 (73.528)</w:t>
            </w:r>
          </w:p>
          <w:p w14:paraId="6AF13CDE" w14:textId="77777777" w:rsidR="006F6043" w:rsidRPr="00801AFD" w:rsidRDefault="006F6043" w:rsidP="00801AFD">
            <w:pPr>
              <w:pStyle w:val="C-TableText"/>
              <w:widowControl w:val="0"/>
              <w:jc w:val="center"/>
              <w:rPr>
                <w:sz w:val="22"/>
                <w:szCs w:val="22"/>
              </w:rPr>
            </w:pPr>
            <w:r w:rsidRPr="00801AFD">
              <w:rPr>
                <w:sz w:val="22"/>
                <w:szCs w:val="22"/>
              </w:rPr>
              <w:t>232.00</w:t>
            </w:r>
          </w:p>
          <w:p w14:paraId="43B8EFE2" w14:textId="77777777" w:rsidR="006F6043" w:rsidRPr="00801AFD" w:rsidRDefault="006F6043" w:rsidP="00801AFD">
            <w:pPr>
              <w:pStyle w:val="C-TableText"/>
              <w:widowControl w:val="0"/>
              <w:jc w:val="center"/>
              <w:rPr>
                <w:sz w:val="22"/>
                <w:szCs w:val="22"/>
              </w:rPr>
            </w:pPr>
          </w:p>
          <w:p w14:paraId="28D785D9" w14:textId="77777777" w:rsidR="006F6043" w:rsidRPr="00801AFD" w:rsidRDefault="006F6043" w:rsidP="00801AFD">
            <w:pPr>
              <w:pStyle w:val="C-TableText"/>
              <w:widowControl w:val="0"/>
              <w:jc w:val="center"/>
              <w:rPr>
                <w:sz w:val="22"/>
                <w:szCs w:val="22"/>
              </w:rPr>
            </w:pPr>
            <w:r w:rsidRPr="00801AFD">
              <w:rPr>
                <w:sz w:val="22"/>
                <w:szCs w:val="22"/>
              </w:rPr>
              <w:t>194.46 (58.099)</w:t>
            </w:r>
          </w:p>
          <w:p w14:paraId="6F369A04" w14:textId="77777777" w:rsidR="006F6043" w:rsidRPr="00801AFD" w:rsidRDefault="006F6043" w:rsidP="00801AFD">
            <w:pPr>
              <w:pStyle w:val="C-TableText"/>
              <w:widowControl w:val="0"/>
              <w:jc w:val="center"/>
              <w:rPr>
                <w:sz w:val="22"/>
                <w:szCs w:val="22"/>
              </w:rPr>
            </w:pPr>
            <w:r w:rsidRPr="00801AFD">
              <w:rPr>
                <w:sz w:val="22"/>
                <w:szCs w:val="22"/>
              </w:rPr>
              <w:t>176.50</w:t>
            </w:r>
          </w:p>
        </w:tc>
        <w:tc>
          <w:tcPr>
            <w:tcW w:w="3262" w:type="dxa"/>
            <w:shd w:val="clear" w:color="auto" w:fill="auto"/>
          </w:tcPr>
          <w:p w14:paraId="1CBF7089" w14:textId="77777777" w:rsidR="006F6043" w:rsidRPr="00801AFD" w:rsidRDefault="006F6043" w:rsidP="00801AFD">
            <w:pPr>
              <w:pStyle w:val="C-TableText"/>
              <w:widowControl w:val="0"/>
              <w:jc w:val="center"/>
              <w:rPr>
                <w:sz w:val="22"/>
                <w:szCs w:val="22"/>
              </w:rPr>
            </w:pPr>
            <w:r w:rsidRPr="00801AFD">
              <w:rPr>
                <w:sz w:val="22"/>
                <w:szCs w:val="22"/>
              </w:rPr>
              <w:t>Promjena u odnosu na početak (n=48)</w:t>
            </w:r>
          </w:p>
          <w:p w14:paraId="774CEC97" w14:textId="77777777" w:rsidR="006F6043" w:rsidRPr="00801AFD" w:rsidRDefault="006F6043" w:rsidP="00801AFD">
            <w:pPr>
              <w:pStyle w:val="C-TableText"/>
              <w:widowControl w:val="0"/>
              <w:jc w:val="center"/>
              <w:rPr>
                <w:sz w:val="22"/>
                <w:szCs w:val="22"/>
              </w:rPr>
            </w:pPr>
          </w:p>
          <w:p w14:paraId="5D1D5F3B" w14:textId="77777777" w:rsidR="006F6043" w:rsidRPr="00801AFD" w:rsidRDefault="006F6043" w:rsidP="00801AFD">
            <w:pPr>
              <w:pStyle w:val="C-TableText"/>
              <w:widowControl w:val="0"/>
              <w:jc w:val="center"/>
              <w:rPr>
                <w:sz w:val="22"/>
                <w:szCs w:val="22"/>
              </w:rPr>
            </w:pPr>
            <w:r w:rsidRPr="00801AFD">
              <w:rPr>
                <w:sz w:val="22"/>
                <w:szCs w:val="22"/>
              </w:rPr>
              <w:t>114.79 (105.568)</w:t>
            </w:r>
          </w:p>
          <w:p w14:paraId="4ADB365F" w14:textId="77777777" w:rsidR="006F6043" w:rsidRPr="00801AFD" w:rsidRDefault="006F6043" w:rsidP="00801AFD">
            <w:pPr>
              <w:pStyle w:val="C-TableText"/>
              <w:widowControl w:val="0"/>
              <w:jc w:val="center"/>
              <w:rPr>
                <w:sz w:val="22"/>
                <w:szCs w:val="22"/>
              </w:rPr>
            </w:pPr>
            <w:r w:rsidRPr="00801AFD">
              <w:rPr>
                <w:sz w:val="22"/>
                <w:szCs w:val="22"/>
              </w:rPr>
              <w:t>125.00</w:t>
            </w:r>
          </w:p>
          <w:p w14:paraId="56C1AF7B" w14:textId="77777777" w:rsidR="006F6043" w:rsidRPr="00801AFD" w:rsidRDefault="006F6043" w:rsidP="00801AFD">
            <w:pPr>
              <w:pStyle w:val="C-TableText"/>
              <w:widowControl w:val="0"/>
              <w:jc w:val="center"/>
              <w:rPr>
                <w:sz w:val="22"/>
                <w:szCs w:val="22"/>
              </w:rPr>
            </w:pPr>
          </w:p>
          <w:p w14:paraId="5F75DAC6" w14:textId="77777777" w:rsidR="006F6043" w:rsidRPr="00801AFD" w:rsidRDefault="006F6043" w:rsidP="00801AFD">
            <w:pPr>
              <w:pStyle w:val="C-TableText"/>
              <w:widowControl w:val="0"/>
              <w:jc w:val="center"/>
              <w:rPr>
                <w:sz w:val="22"/>
                <w:szCs w:val="22"/>
              </w:rPr>
            </w:pPr>
            <w:r w:rsidRPr="00801AFD">
              <w:rPr>
                <w:sz w:val="22"/>
                <w:szCs w:val="22"/>
              </w:rPr>
              <w:t>-519.83 (572.467)</w:t>
            </w:r>
          </w:p>
          <w:p w14:paraId="4756B6A5" w14:textId="77777777" w:rsidR="006F6043" w:rsidRPr="00801AFD" w:rsidRDefault="006F6043" w:rsidP="00801AFD">
            <w:pPr>
              <w:pStyle w:val="C-TableText"/>
              <w:widowControl w:val="0"/>
              <w:jc w:val="center"/>
              <w:rPr>
                <w:sz w:val="22"/>
                <w:szCs w:val="22"/>
              </w:rPr>
            </w:pPr>
            <w:r w:rsidRPr="00801AFD">
              <w:rPr>
                <w:sz w:val="22"/>
                <w:szCs w:val="22"/>
              </w:rPr>
              <w:t>-310.75</w:t>
            </w:r>
          </w:p>
        </w:tc>
      </w:tr>
      <w:tr w:rsidR="006F6043" w:rsidRPr="00801AFD" w14:paraId="139A80EF" w14:textId="77777777" w:rsidTr="006F6043">
        <w:trPr>
          <w:cantSplit/>
        </w:trPr>
        <w:tc>
          <w:tcPr>
            <w:tcW w:w="3618" w:type="dxa"/>
            <w:shd w:val="clear" w:color="auto" w:fill="auto"/>
          </w:tcPr>
          <w:p w14:paraId="5D721330" w14:textId="5E86C8CB" w:rsidR="006F6043" w:rsidRPr="00801AFD" w:rsidRDefault="006F6043" w:rsidP="00801AFD">
            <w:pPr>
              <w:pStyle w:val="C-TableText"/>
              <w:widowControl w:val="0"/>
              <w:jc w:val="both"/>
              <w:rPr>
                <w:sz w:val="22"/>
                <w:szCs w:val="22"/>
              </w:rPr>
            </w:pPr>
            <w:r w:rsidRPr="00801AFD">
              <w:rPr>
                <w:sz w:val="22"/>
                <w:szCs w:val="22"/>
              </w:rPr>
              <w:t>Porast hemoglobina od ≥ 20 g/</w:t>
            </w:r>
            <w:r w:rsidR="00D4193A" w:rsidRPr="00801AFD">
              <w:rPr>
                <w:sz w:val="22"/>
                <w:szCs w:val="22"/>
              </w:rPr>
              <w:t>l</w:t>
            </w:r>
            <w:r w:rsidRPr="00801AFD">
              <w:rPr>
                <w:sz w:val="22"/>
                <w:szCs w:val="22"/>
              </w:rPr>
              <w:t xml:space="preserve"> u odnosu na početak sa potvrdnim rezultatom tokom početnog perioda procjene</w:t>
            </w:r>
          </w:p>
          <w:p w14:paraId="7C570767" w14:textId="6FE9216D" w:rsidR="006F6043" w:rsidRPr="00801AFD" w:rsidRDefault="0045074A" w:rsidP="00801AFD">
            <w:pPr>
              <w:pStyle w:val="C-TableText"/>
              <w:widowControl w:val="0"/>
              <w:ind w:left="187"/>
              <w:jc w:val="both"/>
              <w:rPr>
                <w:sz w:val="22"/>
                <w:szCs w:val="22"/>
              </w:rPr>
            </w:pPr>
            <w:r w:rsidRPr="00801AFD">
              <w:rPr>
                <w:sz w:val="22"/>
                <w:szCs w:val="22"/>
              </w:rPr>
              <w:t>n/</w:t>
            </w:r>
            <w:r w:rsidR="006F6043" w:rsidRPr="00801AFD">
              <w:rPr>
                <w:sz w:val="22"/>
                <w:szCs w:val="22"/>
              </w:rPr>
              <w:t>m</w:t>
            </w:r>
          </w:p>
          <w:p w14:paraId="31C3FAFF" w14:textId="77777777" w:rsidR="006F6043" w:rsidRPr="00801AFD" w:rsidRDefault="006F6043" w:rsidP="00801AFD">
            <w:pPr>
              <w:pStyle w:val="C-TableText"/>
              <w:widowControl w:val="0"/>
              <w:jc w:val="both"/>
              <w:rPr>
                <w:sz w:val="22"/>
                <w:szCs w:val="22"/>
              </w:rPr>
            </w:pPr>
            <w:r w:rsidRPr="00801AFD">
              <w:rPr>
                <w:sz w:val="22"/>
                <w:szCs w:val="22"/>
              </w:rPr>
              <w:t>Procenat (95% CI)*</w:t>
            </w:r>
          </w:p>
        </w:tc>
        <w:tc>
          <w:tcPr>
            <w:tcW w:w="5872" w:type="dxa"/>
            <w:gridSpan w:val="2"/>
            <w:shd w:val="clear" w:color="auto" w:fill="auto"/>
          </w:tcPr>
          <w:p w14:paraId="4680D6C9" w14:textId="77777777" w:rsidR="006F6043" w:rsidRPr="00801AFD" w:rsidRDefault="006F6043" w:rsidP="00801AFD">
            <w:pPr>
              <w:pStyle w:val="C-TableText"/>
              <w:widowControl w:val="0"/>
              <w:jc w:val="center"/>
              <w:rPr>
                <w:sz w:val="22"/>
                <w:szCs w:val="22"/>
              </w:rPr>
            </w:pPr>
          </w:p>
          <w:p w14:paraId="57BCC82A" w14:textId="77777777" w:rsidR="006F6043" w:rsidRPr="00801AFD" w:rsidRDefault="006F6043" w:rsidP="00801AFD">
            <w:pPr>
              <w:pStyle w:val="C-TableText"/>
              <w:widowControl w:val="0"/>
              <w:jc w:val="center"/>
              <w:rPr>
                <w:sz w:val="22"/>
                <w:szCs w:val="22"/>
              </w:rPr>
            </w:pPr>
          </w:p>
          <w:p w14:paraId="0057E9B9" w14:textId="77777777" w:rsidR="006F6043" w:rsidRPr="00801AFD" w:rsidRDefault="006F6043" w:rsidP="00801AFD">
            <w:pPr>
              <w:pStyle w:val="C-TableText"/>
              <w:widowControl w:val="0"/>
              <w:jc w:val="center"/>
              <w:rPr>
                <w:sz w:val="22"/>
                <w:szCs w:val="22"/>
              </w:rPr>
            </w:pPr>
          </w:p>
          <w:p w14:paraId="49FD6D2B" w14:textId="77777777" w:rsidR="00256931" w:rsidRPr="00801AFD" w:rsidRDefault="00256931" w:rsidP="00801AFD">
            <w:pPr>
              <w:pStyle w:val="C-TableText"/>
              <w:widowControl w:val="0"/>
              <w:jc w:val="center"/>
              <w:rPr>
                <w:sz w:val="22"/>
                <w:szCs w:val="22"/>
              </w:rPr>
            </w:pPr>
          </w:p>
          <w:p w14:paraId="47AE185A" w14:textId="60E8471F" w:rsidR="006F6043" w:rsidRPr="00801AFD" w:rsidRDefault="006F6043" w:rsidP="00801AFD">
            <w:pPr>
              <w:pStyle w:val="C-TableText"/>
              <w:widowControl w:val="0"/>
              <w:jc w:val="center"/>
              <w:rPr>
                <w:sz w:val="22"/>
                <w:szCs w:val="22"/>
              </w:rPr>
            </w:pPr>
            <w:r w:rsidRPr="00801AFD">
              <w:rPr>
                <w:sz w:val="22"/>
                <w:szCs w:val="22"/>
              </w:rPr>
              <w:t>40/56</w:t>
            </w:r>
          </w:p>
          <w:p w14:paraId="7CE90CBC" w14:textId="77777777" w:rsidR="006F6043" w:rsidRPr="00801AFD" w:rsidRDefault="006F6043" w:rsidP="00801AFD">
            <w:pPr>
              <w:pStyle w:val="C-TableText"/>
              <w:widowControl w:val="0"/>
              <w:jc w:val="center"/>
              <w:rPr>
                <w:sz w:val="22"/>
                <w:szCs w:val="22"/>
              </w:rPr>
            </w:pPr>
            <w:r w:rsidRPr="00801AFD">
              <w:rPr>
                <w:sz w:val="22"/>
                <w:szCs w:val="22"/>
              </w:rPr>
              <w:t>0.714 (0.587, 0.842)</w:t>
            </w:r>
          </w:p>
        </w:tc>
      </w:tr>
      <w:tr w:rsidR="006F6043" w:rsidRPr="00801AFD" w14:paraId="4906A1B8" w14:textId="77777777" w:rsidTr="006F6043">
        <w:trPr>
          <w:cantSplit/>
        </w:trPr>
        <w:tc>
          <w:tcPr>
            <w:tcW w:w="3618" w:type="dxa"/>
            <w:shd w:val="clear" w:color="auto" w:fill="auto"/>
          </w:tcPr>
          <w:p w14:paraId="29511563" w14:textId="70D9D859" w:rsidR="006F6043" w:rsidRPr="00801AFD" w:rsidRDefault="006F6043" w:rsidP="00801AFD">
            <w:pPr>
              <w:pStyle w:val="C-TableText"/>
              <w:widowControl w:val="0"/>
              <w:jc w:val="both"/>
              <w:rPr>
                <w:sz w:val="22"/>
                <w:szCs w:val="22"/>
              </w:rPr>
            </w:pPr>
            <w:r w:rsidRPr="00801AFD">
              <w:rPr>
                <w:sz w:val="22"/>
                <w:szCs w:val="22"/>
              </w:rPr>
              <w:t>Promjena CKD stadijuma u odnosu na početak, 183</w:t>
            </w:r>
            <w:r w:rsidR="0032553B" w:rsidRPr="00801AFD">
              <w:rPr>
                <w:sz w:val="22"/>
                <w:szCs w:val="22"/>
              </w:rPr>
              <w:t xml:space="preserve"> dan.</w:t>
            </w:r>
          </w:p>
          <w:p w14:paraId="26AE3229" w14:textId="77777777" w:rsidR="006F6043" w:rsidRPr="00801AFD" w:rsidRDefault="006F6043" w:rsidP="00801AFD">
            <w:pPr>
              <w:pStyle w:val="C-TableText"/>
              <w:widowControl w:val="0"/>
              <w:ind w:left="187"/>
              <w:jc w:val="both"/>
              <w:rPr>
                <w:sz w:val="22"/>
                <w:szCs w:val="22"/>
              </w:rPr>
            </w:pPr>
            <w:r w:rsidRPr="00801AFD">
              <w:rPr>
                <w:sz w:val="22"/>
                <w:szCs w:val="22"/>
              </w:rPr>
              <w:t>Poboljšanje</w:t>
            </w:r>
            <w:r w:rsidRPr="00801AFD">
              <w:rPr>
                <w:sz w:val="22"/>
                <w:szCs w:val="22"/>
                <w:vertAlign w:val="superscript"/>
              </w:rPr>
              <w:t>a</w:t>
            </w:r>
          </w:p>
          <w:p w14:paraId="03C71568" w14:textId="5DB43307" w:rsidR="006F6043" w:rsidRPr="00801AFD" w:rsidRDefault="0045074A" w:rsidP="00801AFD">
            <w:pPr>
              <w:pStyle w:val="C-TableText"/>
              <w:widowControl w:val="0"/>
              <w:ind w:left="360"/>
              <w:jc w:val="both"/>
              <w:rPr>
                <w:sz w:val="22"/>
                <w:szCs w:val="22"/>
              </w:rPr>
            </w:pPr>
            <w:r w:rsidRPr="00801AFD">
              <w:rPr>
                <w:sz w:val="22"/>
                <w:szCs w:val="22"/>
              </w:rPr>
              <w:t>n/</w:t>
            </w:r>
            <w:r w:rsidR="006F6043" w:rsidRPr="00801AFD">
              <w:rPr>
                <w:sz w:val="22"/>
                <w:szCs w:val="22"/>
              </w:rPr>
              <w:t>m</w:t>
            </w:r>
          </w:p>
          <w:p w14:paraId="078CE757" w14:textId="77777777" w:rsidR="006F6043" w:rsidRPr="00801AFD" w:rsidRDefault="006F6043" w:rsidP="00801AFD">
            <w:pPr>
              <w:pStyle w:val="C-TableText"/>
              <w:widowControl w:val="0"/>
              <w:ind w:left="360"/>
              <w:jc w:val="both"/>
              <w:rPr>
                <w:sz w:val="22"/>
                <w:szCs w:val="22"/>
              </w:rPr>
            </w:pPr>
            <w:r w:rsidRPr="00801AFD">
              <w:rPr>
                <w:sz w:val="22"/>
                <w:szCs w:val="22"/>
              </w:rPr>
              <w:t>Procenat (95% CI)*</w:t>
            </w:r>
          </w:p>
          <w:p w14:paraId="43939CB1" w14:textId="77777777" w:rsidR="006F6043" w:rsidRPr="00801AFD" w:rsidRDefault="006F6043" w:rsidP="00801AFD">
            <w:pPr>
              <w:pStyle w:val="C-TableText"/>
              <w:widowControl w:val="0"/>
              <w:ind w:left="187"/>
              <w:jc w:val="both"/>
              <w:rPr>
                <w:sz w:val="22"/>
                <w:szCs w:val="22"/>
              </w:rPr>
            </w:pPr>
            <w:r w:rsidRPr="00801AFD">
              <w:rPr>
                <w:sz w:val="22"/>
                <w:szCs w:val="22"/>
              </w:rPr>
              <w:t>Pogoršanje</w:t>
            </w:r>
            <w:r w:rsidRPr="00801AFD">
              <w:rPr>
                <w:sz w:val="22"/>
                <w:szCs w:val="22"/>
                <w:vertAlign w:val="superscript"/>
              </w:rPr>
              <w:t>b</w:t>
            </w:r>
          </w:p>
          <w:p w14:paraId="10EF12F6" w14:textId="65168B0D" w:rsidR="006F6043" w:rsidRPr="00801AFD" w:rsidRDefault="0045074A" w:rsidP="00801AFD">
            <w:pPr>
              <w:pStyle w:val="C-TableText"/>
              <w:widowControl w:val="0"/>
              <w:ind w:left="360"/>
              <w:jc w:val="both"/>
              <w:rPr>
                <w:sz w:val="22"/>
                <w:szCs w:val="22"/>
              </w:rPr>
            </w:pPr>
            <w:r w:rsidRPr="00801AFD">
              <w:rPr>
                <w:sz w:val="22"/>
                <w:szCs w:val="22"/>
              </w:rPr>
              <w:t>n/</w:t>
            </w:r>
            <w:r w:rsidR="006F6043" w:rsidRPr="00801AFD">
              <w:rPr>
                <w:sz w:val="22"/>
                <w:szCs w:val="22"/>
              </w:rPr>
              <w:t>m</w:t>
            </w:r>
          </w:p>
          <w:p w14:paraId="3EB726FB" w14:textId="77777777" w:rsidR="006F6043" w:rsidRPr="00801AFD" w:rsidRDefault="006F6043" w:rsidP="00801AFD">
            <w:pPr>
              <w:pStyle w:val="C-TableText"/>
              <w:widowControl w:val="0"/>
              <w:ind w:left="360"/>
              <w:jc w:val="both"/>
              <w:rPr>
                <w:sz w:val="22"/>
                <w:szCs w:val="22"/>
              </w:rPr>
            </w:pPr>
            <w:r w:rsidRPr="00801AFD">
              <w:rPr>
                <w:sz w:val="22"/>
                <w:szCs w:val="22"/>
              </w:rPr>
              <w:t>Procenat (95% CI)*</w:t>
            </w:r>
          </w:p>
        </w:tc>
        <w:tc>
          <w:tcPr>
            <w:tcW w:w="5872" w:type="dxa"/>
            <w:gridSpan w:val="2"/>
            <w:shd w:val="clear" w:color="auto" w:fill="auto"/>
          </w:tcPr>
          <w:p w14:paraId="135F4D31" w14:textId="77777777" w:rsidR="006F6043" w:rsidRPr="00801AFD" w:rsidRDefault="006F6043" w:rsidP="00801AFD">
            <w:pPr>
              <w:pStyle w:val="C-TableText"/>
              <w:widowControl w:val="0"/>
              <w:jc w:val="center"/>
              <w:rPr>
                <w:sz w:val="22"/>
                <w:szCs w:val="22"/>
              </w:rPr>
            </w:pPr>
          </w:p>
          <w:p w14:paraId="4A211AC1" w14:textId="77777777" w:rsidR="006F6043" w:rsidRPr="00801AFD" w:rsidRDefault="006F6043" w:rsidP="00801AFD">
            <w:pPr>
              <w:pStyle w:val="C-TableText"/>
              <w:widowControl w:val="0"/>
              <w:jc w:val="center"/>
              <w:rPr>
                <w:sz w:val="22"/>
                <w:szCs w:val="22"/>
              </w:rPr>
            </w:pPr>
          </w:p>
          <w:p w14:paraId="45E45D16" w14:textId="77777777" w:rsidR="00256931" w:rsidRPr="00801AFD" w:rsidRDefault="00256931" w:rsidP="00801AFD">
            <w:pPr>
              <w:pStyle w:val="C-TableText"/>
              <w:widowControl w:val="0"/>
              <w:jc w:val="center"/>
              <w:rPr>
                <w:sz w:val="22"/>
                <w:szCs w:val="22"/>
              </w:rPr>
            </w:pPr>
          </w:p>
          <w:p w14:paraId="730C42AA" w14:textId="296FED03" w:rsidR="006F6043" w:rsidRPr="00801AFD" w:rsidRDefault="006F6043" w:rsidP="00801AFD">
            <w:pPr>
              <w:pStyle w:val="C-TableText"/>
              <w:widowControl w:val="0"/>
              <w:jc w:val="center"/>
              <w:rPr>
                <w:sz w:val="22"/>
                <w:szCs w:val="22"/>
              </w:rPr>
            </w:pPr>
            <w:r w:rsidRPr="00801AFD">
              <w:rPr>
                <w:sz w:val="22"/>
                <w:szCs w:val="22"/>
              </w:rPr>
              <w:t>32/47</w:t>
            </w:r>
          </w:p>
          <w:p w14:paraId="38666AD2" w14:textId="77777777" w:rsidR="006F6043" w:rsidRPr="00801AFD" w:rsidRDefault="006F6043" w:rsidP="00801AFD">
            <w:pPr>
              <w:pStyle w:val="C-TableText"/>
              <w:widowControl w:val="0"/>
              <w:jc w:val="center"/>
              <w:rPr>
                <w:sz w:val="22"/>
                <w:szCs w:val="22"/>
              </w:rPr>
            </w:pPr>
            <w:r w:rsidRPr="00801AFD">
              <w:rPr>
                <w:sz w:val="22"/>
                <w:szCs w:val="22"/>
              </w:rPr>
              <w:t>0.681 (0.529, 0.809)</w:t>
            </w:r>
          </w:p>
          <w:p w14:paraId="4C1CC5E4" w14:textId="77777777" w:rsidR="006F6043" w:rsidRPr="00801AFD" w:rsidRDefault="006F6043" w:rsidP="00801AFD">
            <w:pPr>
              <w:pStyle w:val="C-TableText"/>
              <w:widowControl w:val="0"/>
              <w:jc w:val="center"/>
              <w:rPr>
                <w:sz w:val="22"/>
                <w:szCs w:val="22"/>
              </w:rPr>
            </w:pPr>
          </w:p>
          <w:p w14:paraId="06E0A03C" w14:textId="77777777" w:rsidR="006F6043" w:rsidRPr="00801AFD" w:rsidRDefault="006F6043" w:rsidP="00801AFD">
            <w:pPr>
              <w:pStyle w:val="C-TableText"/>
              <w:widowControl w:val="0"/>
              <w:jc w:val="center"/>
              <w:rPr>
                <w:sz w:val="22"/>
                <w:szCs w:val="22"/>
              </w:rPr>
            </w:pPr>
            <w:r w:rsidRPr="00801AFD">
              <w:rPr>
                <w:sz w:val="22"/>
                <w:szCs w:val="22"/>
              </w:rPr>
              <w:t>2/13</w:t>
            </w:r>
          </w:p>
          <w:p w14:paraId="726FE08E" w14:textId="77777777" w:rsidR="006F6043" w:rsidRPr="00801AFD" w:rsidRDefault="006F6043" w:rsidP="00801AFD">
            <w:pPr>
              <w:pStyle w:val="C-TableText"/>
              <w:widowControl w:val="0"/>
              <w:jc w:val="center"/>
              <w:rPr>
                <w:sz w:val="22"/>
                <w:szCs w:val="22"/>
              </w:rPr>
            </w:pPr>
            <w:r w:rsidRPr="00801AFD">
              <w:rPr>
                <w:sz w:val="22"/>
                <w:szCs w:val="22"/>
              </w:rPr>
              <w:t>0.154 (0.019, 0.454)</w:t>
            </w:r>
          </w:p>
        </w:tc>
      </w:tr>
      <w:tr w:rsidR="006F6043" w:rsidRPr="00801AFD" w14:paraId="7651B407" w14:textId="77777777" w:rsidTr="006F6043">
        <w:trPr>
          <w:cantSplit/>
        </w:trPr>
        <w:tc>
          <w:tcPr>
            <w:tcW w:w="3618" w:type="dxa"/>
            <w:shd w:val="clear" w:color="auto" w:fill="auto"/>
          </w:tcPr>
          <w:p w14:paraId="1E76ECAF" w14:textId="71D9E808" w:rsidR="006F6043" w:rsidRPr="00801AFD" w:rsidRDefault="006F6043" w:rsidP="00801AFD">
            <w:pPr>
              <w:pStyle w:val="C-TableText"/>
              <w:widowControl w:val="0"/>
              <w:jc w:val="both"/>
              <w:rPr>
                <w:sz w:val="22"/>
                <w:szCs w:val="22"/>
              </w:rPr>
            </w:pPr>
            <w:r w:rsidRPr="00801AFD">
              <w:rPr>
                <w:sz w:val="22"/>
                <w:szCs w:val="22"/>
              </w:rPr>
              <w:t>eGFR (m</w:t>
            </w:r>
            <w:r w:rsidR="00D4193A" w:rsidRPr="00801AFD">
              <w:rPr>
                <w:sz w:val="22"/>
                <w:szCs w:val="22"/>
              </w:rPr>
              <w:t>l</w:t>
            </w:r>
            <w:r w:rsidRPr="00801AFD">
              <w:rPr>
                <w:sz w:val="22"/>
                <w:szCs w:val="22"/>
              </w:rPr>
              <w:t>/min/1.73 m</w:t>
            </w:r>
            <w:r w:rsidRPr="00801AFD">
              <w:rPr>
                <w:sz w:val="22"/>
                <w:szCs w:val="22"/>
                <w:vertAlign w:val="superscript"/>
              </w:rPr>
              <w:t>2</w:t>
            </w:r>
            <w:r w:rsidRPr="00801AFD">
              <w:rPr>
                <w:sz w:val="22"/>
                <w:szCs w:val="22"/>
              </w:rPr>
              <w:t>), 183</w:t>
            </w:r>
            <w:r w:rsidR="0032553B" w:rsidRPr="00801AFD">
              <w:rPr>
                <w:sz w:val="22"/>
                <w:szCs w:val="22"/>
              </w:rPr>
              <w:t xml:space="preserve"> dan</w:t>
            </w:r>
          </w:p>
          <w:p w14:paraId="2C65B0CE" w14:textId="77777777" w:rsidR="00256931" w:rsidRPr="00801AFD" w:rsidRDefault="00256931" w:rsidP="00801AFD">
            <w:pPr>
              <w:pStyle w:val="C-TableText"/>
              <w:widowControl w:val="0"/>
              <w:ind w:left="187"/>
              <w:jc w:val="both"/>
              <w:rPr>
                <w:sz w:val="22"/>
                <w:szCs w:val="22"/>
              </w:rPr>
            </w:pPr>
          </w:p>
          <w:p w14:paraId="5362AB12" w14:textId="63937E6B" w:rsidR="006F6043" w:rsidRPr="00801AFD" w:rsidRDefault="006F6043" w:rsidP="00801AFD">
            <w:pPr>
              <w:pStyle w:val="C-TableText"/>
              <w:widowControl w:val="0"/>
              <w:ind w:left="187"/>
              <w:jc w:val="both"/>
              <w:rPr>
                <w:sz w:val="22"/>
                <w:szCs w:val="22"/>
              </w:rPr>
            </w:pPr>
            <w:r w:rsidRPr="00801AFD">
              <w:rPr>
                <w:sz w:val="22"/>
                <w:szCs w:val="22"/>
              </w:rPr>
              <w:t>Srednja vr</w:t>
            </w:r>
            <w:r w:rsidR="00256931" w:rsidRPr="00801AFD">
              <w:rPr>
                <w:sz w:val="22"/>
                <w:szCs w:val="22"/>
              </w:rPr>
              <w:t>ij</w:t>
            </w:r>
            <w:r w:rsidRPr="00801AFD">
              <w:rPr>
                <w:sz w:val="22"/>
                <w:szCs w:val="22"/>
              </w:rPr>
              <w:t>ednost (SD)</w:t>
            </w:r>
          </w:p>
          <w:p w14:paraId="0B49C5E8" w14:textId="77777777" w:rsidR="006F6043" w:rsidRPr="00801AFD" w:rsidRDefault="006F6043" w:rsidP="00801AFD">
            <w:pPr>
              <w:pStyle w:val="C-TableText"/>
              <w:widowControl w:val="0"/>
              <w:ind w:left="187"/>
              <w:jc w:val="both"/>
              <w:rPr>
                <w:sz w:val="22"/>
                <w:szCs w:val="22"/>
              </w:rPr>
            </w:pPr>
            <w:r w:rsidRPr="00801AFD">
              <w:rPr>
                <w:sz w:val="22"/>
                <w:szCs w:val="22"/>
              </w:rPr>
              <w:t>Medijana</w:t>
            </w:r>
          </w:p>
        </w:tc>
        <w:tc>
          <w:tcPr>
            <w:tcW w:w="2610" w:type="dxa"/>
            <w:shd w:val="clear" w:color="auto" w:fill="auto"/>
          </w:tcPr>
          <w:p w14:paraId="283A0C21" w14:textId="16925846" w:rsidR="006F6043" w:rsidRPr="00801AFD" w:rsidRDefault="006F6043" w:rsidP="00801AFD">
            <w:pPr>
              <w:pStyle w:val="C-TableText"/>
              <w:widowControl w:val="0"/>
              <w:jc w:val="center"/>
              <w:rPr>
                <w:sz w:val="22"/>
                <w:szCs w:val="22"/>
              </w:rPr>
            </w:pPr>
            <w:r w:rsidRPr="00801AFD">
              <w:rPr>
                <w:sz w:val="22"/>
                <w:szCs w:val="22"/>
              </w:rPr>
              <w:t>Prim</w:t>
            </w:r>
            <w:r w:rsidR="00941D30" w:rsidRPr="00801AFD">
              <w:rPr>
                <w:sz w:val="22"/>
                <w:szCs w:val="22"/>
              </w:rPr>
              <w:t>i</w:t>
            </w:r>
            <w:r w:rsidRPr="00801AFD">
              <w:rPr>
                <w:sz w:val="22"/>
                <w:szCs w:val="22"/>
              </w:rPr>
              <w:t>jećena vrijednost (n=48)</w:t>
            </w:r>
          </w:p>
          <w:p w14:paraId="55F02654" w14:textId="77777777" w:rsidR="006F6043" w:rsidRPr="00801AFD" w:rsidRDefault="006F6043" w:rsidP="00801AFD">
            <w:pPr>
              <w:pStyle w:val="C-TableText"/>
              <w:widowControl w:val="0"/>
              <w:jc w:val="center"/>
              <w:rPr>
                <w:sz w:val="22"/>
                <w:szCs w:val="22"/>
              </w:rPr>
            </w:pPr>
            <w:r w:rsidRPr="00801AFD">
              <w:rPr>
                <w:sz w:val="22"/>
                <w:szCs w:val="22"/>
              </w:rPr>
              <w:t>51.83 (39.162)</w:t>
            </w:r>
          </w:p>
          <w:p w14:paraId="78FB4445" w14:textId="77777777" w:rsidR="006F6043" w:rsidRPr="00801AFD" w:rsidRDefault="006F6043" w:rsidP="00801AFD">
            <w:pPr>
              <w:pStyle w:val="C-TableText"/>
              <w:widowControl w:val="0"/>
              <w:jc w:val="center"/>
              <w:rPr>
                <w:sz w:val="22"/>
                <w:szCs w:val="22"/>
              </w:rPr>
            </w:pPr>
            <w:r w:rsidRPr="00801AFD">
              <w:rPr>
                <w:sz w:val="22"/>
                <w:szCs w:val="22"/>
              </w:rPr>
              <w:t>40.00</w:t>
            </w:r>
          </w:p>
        </w:tc>
        <w:tc>
          <w:tcPr>
            <w:tcW w:w="3262" w:type="dxa"/>
            <w:shd w:val="clear" w:color="auto" w:fill="auto"/>
          </w:tcPr>
          <w:p w14:paraId="5A771083" w14:textId="77777777" w:rsidR="006F6043" w:rsidRPr="00801AFD" w:rsidRDefault="006F6043" w:rsidP="00801AFD">
            <w:pPr>
              <w:pStyle w:val="C-TableText"/>
              <w:widowControl w:val="0"/>
              <w:jc w:val="center"/>
              <w:rPr>
                <w:sz w:val="22"/>
                <w:szCs w:val="22"/>
              </w:rPr>
            </w:pPr>
            <w:r w:rsidRPr="00801AFD">
              <w:rPr>
                <w:sz w:val="22"/>
                <w:szCs w:val="22"/>
              </w:rPr>
              <w:t>Promjena u odnosu na početak (n=47)</w:t>
            </w:r>
          </w:p>
          <w:p w14:paraId="24C15EC3" w14:textId="77777777" w:rsidR="006F6043" w:rsidRPr="00801AFD" w:rsidRDefault="006F6043" w:rsidP="00801AFD">
            <w:pPr>
              <w:pStyle w:val="C-TableText"/>
              <w:widowControl w:val="0"/>
              <w:jc w:val="center"/>
              <w:rPr>
                <w:sz w:val="22"/>
                <w:szCs w:val="22"/>
              </w:rPr>
            </w:pPr>
            <w:r w:rsidRPr="00801AFD">
              <w:rPr>
                <w:sz w:val="22"/>
                <w:szCs w:val="22"/>
              </w:rPr>
              <w:t>34.80 (35.454)</w:t>
            </w:r>
          </w:p>
          <w:p w14:paraId="295D2B45" w14:textId="77777777" w:rsidR="006F6043" w:rsidRPr="00801AFD" w:rsidRDefault="006F6043" w:rsidP="00801AFD">
            <w:pPr>
              <w:pStyle w:val="C-TableText"/>
              <w:widowControl w:val="0"/>
              <w:jc w:val="center"/>
              <w:rPr>
                <w:sz w:val="22"/>
                <w:szCs w:val="22"/>
              </w:rPr>
            </w:pPr>
            <w:r w:rsidRPr="00801AFD">
              <w:rPr>
                <w:sz w:val="22"/>
                <w:szCs w:val="22"/>
              </w:rPr>
              <w:t>29.00</w:t>
            </w:r>
          </w:p>
        </w:tc>
      </w:tr>
    </w:tbl>
    <w:p w14:paraId="0A5532DB" w14:textId="5F70B8FB" w:rsidR="006F6043" w:rsidRPr="00961C31" w:rsidRDefault="006F6043" w:rsidP="00801AFD">
      <w:pPr>
        <w:pStyle w:val="Default"/>
        <w:widowControl w:val="0"/>
        <w:jc w:val="both"/>
        <w:rPr>
          <w:sz w:val="20"/>
          <w:szCs w:val="22"/>
          <w:lang w:val="sr-Latn-ME"/>
        </w:rPr>
      </w:pPr>
      <w:r w:rsidRPr="00961C31">
        <w:rPr>
          <w:sz w:val="20"/>
          <w:szCs w:val="22"/>
          <w:lang w:val="sr-Latn-ME"/>
        </w:rPr>
        <w:t>Napomena: n</w:t>
      </w:r>
      <w:r w:rsidR="00256931" w:rsidRPr="00961C31">
        <w:rPr>
          <w:sz w:val="20"/>
          <w:szCs w:val="22"/>
          <w:lang w:val="sr-Latn-ME"/>
        </w:rPr>
        <w:t>-</w:t>
      </w:r>
      <w:r w:rsidRPr="00961C31">
        <w:rPr>
          <w:sz w:val="20"/>
          <w:szCs w:val="22"/>
          <w:lang w:val="sr-Latn-ME"/>
        </w:rPr>
        <w:t xml:space="preserve"> broj pacijenata sa dostupnim podacima za određenu procjenu na 183. dan pregleda. </w:t>
      </w:r>
      <w:r w:rsidR="00256931" w:rsidRPr="00961C31">
        <w:rPr>
          <w:sz w:val="20"/>
          <w:szCs w:val="22"/>
          <w:lang w:val="sr-Latn-ME"/>
        </w:rPr>
        <w:t>m-</w:t>
      </w:r>
      <w:r w:rsidRPr="00961C31">
        <w:rPr>
          <w:sz w:val="20"/>
          <w:szCs w:val="22"/>
          <w:lang w:val="sr-Latn-ME"/>
        </w:rPr>
        <w:t xml:space="preserve"> broj pacijenata koji su ispunili određeni kriterijum. Stadijum hronične bolesti bubrega (CKD) klasifikuje se na osnovu stadijuma hronične bolesti bubrega Nacionalne fondacije za hroničnu bolest bubrega. Faza 5 se smatra najgorom, dok se faza 1 smatra najboljom kategorijom. Početna vrijednost je dobijena na osnovu poslj</w:t>
      </w:r>
      <w:r w:rsidR="00256931" w:rsidRPr="00961C31">
        <w:rPr>
          <w:sz w:val="20"/>
          <w:szCs w:val="22"/>
          <w:lang w:val="sr-Latn-ME"/>
        </w:rPr>
        <w:t>e</w:t>
      </w:r>
      <w:r w:rsidRPr="00961C31">
        <w:rPr>
          <w:sz w:val="20"/>
          <w:szCs w:val="22"/>
          <w:lang w:val="sr-Latn-ME"/>
        </w:rPr>
        <w:t xml:space="preserve">dnje dostupne vrijednosti eGFR prije početka liječenja. </w:t>
      </w:r>
    </w:p>
    <w:p w14:paraId="1D7AF8DB" w14:textId="77777777" w:rsidR="00256931" w:rsidRPr="00961C31" w:rsidRDefault="006F6043" w:rsidP="00801AFD">
      <w:pPr>
        <w:pStyle w:val="Default"/>
        <w:widowControl w:val="0"/>
        <w:jc w:val="both"/>
        <w:rPr>
          <w:sz w:val="20"/>
          <w:szCs w:val="22"/>
          <w:lang w:val="sr-Latn-ME"/>
        </w:rPr>
      </w:pPr>
      <w:r w:rsidRPr="00961C31">
        <w:rPr>
          <w:sz w:val="20"/>
          <w:szCs w:val="22"/>
          <w:lang w:val="sr-Latn-ME"/>
        </w:rPr>
        <w:t xml:space="preserve">Poboljšanje / pogoršanje: u poređenju sa stadijumom CKD na početku studije. * Interval pouzdanosti od 95% (95% CI) zasnovan je na tačnim granicama pouzdanosti utvrđenim Clopper-Pearson metodom. </w:t>
      </w:r>
      <w:r w:rsidRPr="00961C31">
        <w:rPr>
          <w:sz w:val="20"/>
          <w:szCs w:val="22"/>
          <w:vertAlign w:val="superscript"/>
          <w:lang w:val="sr-Latn-ME"/>
        </w:rPr>
        <w:t>a</w:t>
      </w:r>
      <w:r w:rsidRPr="00961C31">
        <w:rPr>
          <w:sz w:val="20"/>
          <w:szCs w:val="22"/>
          <w:lang w:val="sr-Latn-ME"/>
        </w:rPr>
        <w:t xml:space="preserve">Poboljšanje isključuje one sa stadijumom 1 CKD na početku studije, jer se ne mogu uočiti dalja poboljšanja. </w:t>
      </w:r>
    </w:p>
    <w:p w14:paraId="018CBF73" w14:textId="5975F669" w:rsidR="006F6043" w:rsidRPr="00961C31" w:rsidRDefault="006F6043" w:rsidP="00801AFD">
      <w:pPr>
        <w:pStyle w:val="Default"/>
        <w:widowControl w:val="0"/>
        <w:jc w:val="both"/>
        <w:rPr>
          <w:sz w:val="20"/>
          <w:szCs w:val="22"/>
          <w:lang w:val="sr-Latn-ME"/>
        </w:rPr>
      </w:pPr>
      <w:r w:rsidRPr="00961C31">
        <w:rPr>
          <w:sz w:val="20"/>
          <w:szCs w:val="22"/>
          <w:vertAlign w:val="superscript"/>
          <w:lang w:val="sr-Latn-ME"/>
        </w:rPr>
        <w:t>b</w:t>
      </w:r>
      <w:r w:rsidRPr="00961C31">
        <w:rPr>
          <w:sz w:val="20"/>
          <w:szCs w:val="22"/>
          <w:lang w:val="sr-Latn-ME"/>
        </w:rPr>
        <w:t>Pogoršanje isključuje pacijente sa stadijumom 5 na početku studije, jer se ne može uočiti dalje pogoršanje</w:t>
      </w:r>
    </w:p>
    <w:p w14:paraId="0F99419F" w14:textId="77777777" w:rsidR="006F6043" w:rsidRPr="00961C31" w:rsidRDefault="006F6043" w:rsidP="00801AFD">
      <w:pPr>
        <w:pStyle w:val="Default"/>
        <w:widowControl w:val="0"/>
        <w:jc w:val="both"/>
        <w:rPr>
          <w:sz w:val="20"/>
          <w:szCs w:val="22"/>
          <w:lang w:val="sr-Latn-ME"/>
        </w:rPr>
      </w:pPr>
      <w:r w:rsidRPr="00961C31">
        <w:rPr>
          <w:sz w:val="20"/>
          <w:szCs w:val="22"/>
          <w:lang w:val="sr-Latn-ME"/>
        </w:rPr>
        <w:t>Skraćenice: eGFR = procenjena brzina glomerularne filtracije; LDH = laktat dehidrogenaza; TMA = trombotička mikroangiopatija.</w:t>
      </w:r>
    </w:p>
    <w:p w14:paraId="57D411D8" w14:textId="77777777" w:rsidR="0045074A" w:rsidRPr="00801AFD" w:rsidRDefault="0045074A" w:rsidP="00801AFD">
      <w:pPr>
        <w:pStyle w:val="Default"/>
        <w:widowControl w:val="0"/>
        <w:jc w:val="both"/>
        <w:rPr>
          <w:sz w:val="22"/>
          <w:szCs w:val="22"/>
          <w:lang w:val="sr-Latn-ME"/>
        </w:rPr>
      </w:pPr>
    </w:p>
    <w:p w14:paraId="480332E1" w14:textId="704F3035" w:rsidR="0045074A" w:rsidRPr="00801AFD" w:rsidRDefault="0045074A" w:rsidP="00801AFD">
      <w:pPr>
        <w:pStyle w:val="Default"/>
        <w:widowControl w:val="0"/>
        <w:jc w:val="both"/>
        <w:rPr>
          <w:sz w:val="22"/>
          <w:szCs w:val="22"/>
          <w:lang w:val="sr-Latn-ME"/>
        </w:rPr>
      </w:pPr>
      <w:r w:rsidRPr="00801AFD">
        <w:rPr>
          <w:sz w:val="22"/>
          <w:szCs w:val="22"/>
          <w:lang w:val="sr-Latn-ME"/>
        </w:rPr>
        <w:t xml:space="preserve">Konačna analiza efikasnosti za studiju na svim pacijentima liječenim ravulizumabom tokom srednjeg </w:t>
      </w:r>
      <w:r w:rsidRPr="00801AFD">
        <w:rPr>
          <w:sz w:val="22"/>
          <w:szCs w:val="22"/>
          <w:lang w:val="sr-Latn-ME"/>
        </w:rPr>
        <w:lastRenderedPageBreak/>
        <w:t>trajanja liječenja od 130,36 nedjelja potvrdila je da su odgovori na liječenje ravulizumabom uočeni tokom perioda primarne evaluacije ostali tokom cijelog trajanja studije.</w:t>
      </w:r>
    </w:p>
    <w:p w14:paraId="05773600" w14:textId="756BB7F3" w:rsidR="006F6043" w:rsidRPr="00801AFD" w:rsidRDefault="006F6043" w:rsidP="00801AFD">
      <w:pPr>
        <w:pStyle w:val="Default"/>
        <w:widowControl w:val="0"/>
        <w:jc w:val="both"/>
        <w:rPr>
          <w:sz w:val="22"/>
          <w:szCs w:val="22"/>
          <w:u w:val="single"/>
          <w:lang w:val="sr-Latn-ME"/>
        </w:rPr>
      </w:pPr>
    </w:p>
    <w:p w14:paraId="002845CF" w14:textId="77777777" w:rsidR="003D388F" w:rsidRPr="00801AFD" w:rsidRDefault="003D388F" w:rsidP="00801AFD">
      <w:pPr>
        <w:widowControl w:val="0"/>
        <w:autoSpaceDE w:val="0"/>
        <w:autoSpaceDN w:val="0"/>
        <w:adjustRightInd w:val="0"/>
        <w:jc w:val="both"/>
        <w:rPr>
          <w:i/>
          <w:iCs/>
          <w:color w:val="000000"/>
          <w:sz w:val="22"/>
          <w:szCs w:val="22"/>
          <w:lang w:val="sr-Latn-ME"/>
        </w:rPr>
      </w:pPr>
      <w:r w:rsidRPr="00801AFD">
        <w:rPr>
          <w:i/>
          <w:iCs/>
          <w:color w:val="000000"/>
          <w:sz w:val="22"/>
          <w:szCs w:val="22"/>
          <w:lang w:val="sr-Latn-ME"/>
        </w:rPr>
        <w:t>Generalizovana Mijastenija Gravis (gMG)</w:t>
      </w:r>
    </w:p>
    <w:p w14:paraId="240ABF90" w14:textId="77777777" w:rsidR="003D388F" w:rsidRPr="00801AFD" w:rsidRDefault="003D388F" w:rsidP="00801AFD">
      <w:pPr>
        <w:widowControl w:val="0"/>
        <w:autoSpaceDE w:val="0"/>
        <w:autoSpaceDN w:val="0"/>
        <w:adjustRightInd w:val="0"/>
        <w:jc w:val="both"/>
        <w:rPr>
          <w:i/>
          <w:iCs/>
          <w:color w:val="000000"/>
          <w:sz w:val="22"/>
          <w:szCs w:val="22"/>
          <w:lang w:val="sr-Latn-ME"/>
        </w:rPr>
      </w:pPr>
    </w:p>
    <w:p w14:paraId="4B63B4FB" w14:textId="77777777" w:rsidR="003D388F" w:rsidRPr="00801AFD" w:rsidRDefault="003D388F" w:rsidP="00801AFD">
      <w:pPr>
        <w:widowControl w:val="0"/>
        <w:autoSpaceDE w:val="0"/>
        <w:autoSpaceDN w:val="0"/>
        <w:adjustRightInd w:val="0"/>
        <w:jc w:val="both"/>
        <w:rPr>
          <w:i/>
          <w:iCs/>
          <w:color w:val="000000"/>
          <w:sz w:val="22"/>
          <w:szCs w:val="22"/>
          <w:u w:val="single"/>
          <w:lang w:val="sr-Latn-ME"/>
        </w:rPr>
      </w:pPr>
      <w:r w:rsidRPr="00801AFD">
        <w:rPr>
          <w:i/>
          <w:iCs/>
          <w:color w:val="000000"/>
          <w:sz w:val="22"/>
          <w:szCs w:val="22"/>
          <w:u w:val="single"/>
          <w:lang w:val="sr-Latn-ME"/>
        </w:rPr>
        <w:t>Studije kod odraslih pacijenata sa gMG</w:t>
      </w:r>
    </w:p>
    <w:p w14:paraId="4B22D5DA" w14:textId="77777777" w:rsidR="003D388F" w:rsidRPr="00801AFD" w:rsidRDefault="003D388F" w:rsidP="00801AFD">
      <w:pPr>
        <w:widowControl w:val="0"/>
        <w:autoSpaceDE w:val="0"/>
        <w:autoSpaceDN w:val="0"/>
        <w:adjustRightInd w:val="0"/>
        <w:jc w:val="both"/>
        <w:rPr>
          <w:color w:val="000000"/>
          <w:sz w:val="22"/>
          <w:szCs w:val="22"/>
          <w:u w:val="single"/>
          <w:lang w:val="sr-Latn-ME"/>
        </w:rPr>
      </w:pPr>
    </w:p>
    <w:p w14:paraId="1272EFC7" w14:textId="1BB5F4FA" w:rsidR="003D388F" w:rsidRPr="00801AFD" w:rsidRDefault="003D388F" w:rsidP="00801AFD">
      <w:pPr>
        <w:widowControl w:val="0"/>
        <w:autoSpaceDE w:val="0"/>
        <w:autoSpaceDN w:val="0"/>
        <w:adjustRightInd w:val="0"/>
        <w:jc w:val="both"/>
        <w:rPr>
          <w:color w:val="000000"/>
          <w:sz w:val="22"/>
          <w:szCs w:val="22"/>
          <w:lang w:val="sr-Latn-ME"/>
        </w:rPr>
      </w:pPr>
      <w:r w:rsidRPr="00801AFD">
        <w:rPr>
          <w:color w:val="000000"/>
          <w:sz w:val="22"/>
          <w:szCs w:val="22"/>
          <w:lang w:val="sr-Latn-ME"/>
        </w:rPr>
        <w:t>Efikasnost i bezb</w:t>
      </w:r>
      <w:r w:rsidR="0099493B" w:rsidRPr="00801AFD">
        <w:rPr>
          <w:color w:val="000000"/>
          <w:sz w:val="22"/>
          <w:szCs w:val="22"/>
          <w:lang w:val="sr-Latn-ME"/>
        </w:rPr>
        <w:t>j</w:t>
      </w:r>
      <w:r w:rsidRPr="00801AFD">
        <w:rPr>
          <w:color w:val="000000"/>
          <w:sz w:val="22"/>
          <w:szCs w:val="22"/>
          <w:lang w:val="sr-Latn-ME"/>
        </w:rPr>
        <w:t>ednost ravulizumaba kod odraslih pacijenata sa gMG procenjena je u fazi III, randomizovane, dvostruko sl</w:t>
      </w:r>
      <w:r w:rsidR="0099493B" w:rsidRPr="00801AFD">
        <w:rPr>
          <w:color w:val="000000"/>
          <w:sz w:val="22"/>
          <w:szCs w:val="22"/>
          <w:lang w:val="sr-Latn-ME"/>
        </w:rPr>
        <w:t>ij</w:t>
      </w:r>
      <w:r w:rsidRPr="00801AFD">
        <w:rPr>
          <w:color w:val="000000"/>
          <w:sz w:val="22"/>
          <w:szCs w:val="22"/>
          <w:lang w:val="sr-Latn-ME"/>
        </w:rPr>
        <w:t xml:space="preserve">epe, placebo-kontrolisane, multicentrične studije (ALXN1210-MG-306). Pacijentima koji su učestvovali u ovoj studiji naknadno je dozvoljeno da uđu u </w:t>
      </w:r>
      <w:r w:rsidR="0032553B" w:rsidRPr="00801AFD">
        <w:rPr>
          <w:color w:val="000000"/>
          <w:sz w:val="22"/>
          <w:szCs w:val="22"/>
          <w:lang w:val="sr-Latn-ME"/>
        </w:rPr>
        <w:t>o</w:t>
      </w:r>
      <w:r w:rsidRPr="00801AFD">
        <w:rPr>
          <w:color w:val="000000"/>
          <w:sz w:val="22"/>
          <w:szCs w:val="22"/>
          <w:lang w:val="sr-Latn-ME"/>
        </w:rPr>
        <w:t xml:space="preserve">tvoreni </w:t>
      </w:r>
      <w:r w:rsidR="0032553B" w:rsidRPr="00801AFD">
        <w:rPr>
          <w:color w:val="000000"/>
          <w:sz w:val="22"/>
          <w:szCs w:val="22"/>
          <w:lang w:val="sr-Latn-ME"/>
        </w:rPr>
        <w:t>p</w:t>
      </w:r>
      <w:r w:rsidRPr="00801AFD">
        <w:rPr>
          <w:color w:val="000000"/>
          <w:sz w:val="22"/>
          <w:szCs w:val="22"/>
          <w:lang w:val="sr-Latn-ME"/>
        </w:rPr>
        <w:t xml:space="preserve">roduženi </w:t>
      </w:r>
      <w:r w:rsidR="0032553B" w:rsidRPr="00801AFD">
        <w:rPr>
          <w:color w:val="000000"/>
          <w:sz w:val="22"/>
          <w:szCs w:val="22"/>
          <w:lang w:val="sr-Latn-ME"/>
        </w:rPr>
        <w:t>p</w:t>
      </w:r>
      <w:r w:rsidRPr="00801AFD">
        <w:rPr>
          <w:color w:val="000000"/>
          <w:sz w:val="22"/>
          <w:szCs w:val="22"/>
          <w:lang w:val="sr-Latn-ME"/>
        </w:rPr>
        <w:t xml:space="preserve">eriod tokom kojeg su svi pacijenti primali ravulizumab. </w:t>
      </w:r>
    </w:p>
    <w:p w14:paraId="5E656821" w14:textId="77777777" w:rsidR="003D388F" w:rsidRPr="00801AFD" w:rsidRDefault="003D388F" w:rsidP="00801AFD">
      <w:pPr>
        <w:widowControl w:val="0"/>
        <w:autoSpaceDE w:val="0"/>
        <w:autoSpaceDN w:val="0"/>
        <w:adjustRightInd w:val="0"/>
        <w:jc w:val="both"/>
        <w:rPr>
          <w:color w:val="000000"/>
          <w:sz w:val="22"/>
          <w:szCs w:val="22"/>
          <w:lang w:val="sr-Latn-ME"/>
        </w:rPr>
      </w:pPr>
    </w:p>
    <w:p w14:paraId="46F902ED" w14:textId="7C8DCD64" w:rsidR="003D388F" w:rsidRPr="00801AFD" w:rsidRDefault="003D388F" w:rsidP="00801AFD">
      <w:pPr>
        <w:pStyle w:val="Default"/>
        <w:widowControl w:val="0"/>
        <w:jc w:val="both"/>
        <w:rPr>
          <w:sz w:val="22"/>
          <w:szCs w:val="22"/>
          <w:lang w:val="sr-Latn-ME"/>
        </w:rPr>
      </w:pPr>
      <w:r w:rsidRPr="00801AFD">
        <w:rPr>
          <w:color w:val="auto"/>
          <w:sz w:val="22"/>
          <w:szCs w:val="22"/>
          <w:lang w:val="sr-Latn-ME"/>
        </w:rPr>
        <w:t>Pacijenti sa gMG (dijagnostifikovani najmanje 6 meseci) sa pozitivnim serološkim testom na antit</w:t>
      </w:r>
      <w:r w:rsidR="0099493B" w:rsidRPr="00801AFD">
        <w:rPr>
          <w:color w:val="auto"/>
          <w:sz w:val="22"/>
          <w:szCs w:val="22"/>
          <w:lang w:val="sr-Latn-ME"/>
        </w:rPr>
        <w:t>ij</w:t>
      </w:r>
      <w:r w:rsidRPr="00801AFD">
        <w:rPr>
          <w:color w:val="auto"/>
          <w:sz w:val="22"/>
          <w:szCs w:val="22"/>
          <w:lang w:val="sr-Latn-ME"/>
        </w:rPr>
        <w:t xml:space="preserve">ela na anti-acetilholinske receptore (AChR), MGFA kliničke klasifikacije Klase II do IV i postojećom simptomatologijom što je pokazano </w:t>
      </w:r>
      <w:r w:rsidR="0032553B" w:rsidRPr="00801AFD">
        <w:rPr>
          <w:color w:val="auto"/>
          <w:sz w:val="22"/>
          <w:szCs w:val="22"/>
          <w:lang w:val="sr-Latn-ME"/>
        </w:rPr>
        <w:t>a</w:t>
      </w:r>
      <w:r w:rsidRPr="00801AFD">
        <w:rPr>
          <w:color w:val="auto"/>
          <w:sz w:val="22"/>
          <w:szCs w:val="22"/>
          <w:lang w:val="sr-Latn-ME"/>
        </w:rPr>
        <w:t xml:space="preserve">ktivnošću </w:t>
      </w:r>
      <w:r w:rsidR="0032553B" w:rsidRPr="00801AFD">
        <w:rPr>
          <w:color w:val="auto"/>
          <w:sz w:val="22"/>
          <w:szCs w:val="22"/>
          <w:lang w:val="sr-Latn-ME"/>
        </w:rPr>
        <w:t>s</w:t>
      </w:r>
      <w:r w:rsidRPr="00801AFD">
        <w:rPr>
          <w:color w:val="auto"/>
          <w:sz w:val="22"/>
          <w:szCs w:val="22"/>
          <w:lang w:val="sr-Latn-ME"/>
        </w:rPr>
        <w:t xml:space="preserve">vakodnevnog </w:t>
      </w:r>
      <w:r w:rsidR="0032553B" w:rsidRPr="00801AFD">
        <w:rPr>
          <w:color w:val="auto"/>
          <w:sz w:val="22"/>
          <w:szCs w:val="22"/>
          <w:lang w:val="sr-Latn-ME"/>
        </w:rPr>
        <w:t>ž</w:t>
      </w:r>
      <w:r w:rsidRPr="00801AFD">
        <w:rPr>
          <w:color w:val="auto"/>
          <w:sz w:val="22"/>
          <w:szCs w:val="22"/>
          <w:lang w:val="sr-Latn-ME"/>
        </w:rPr>
        <w:t>ivota sa Maj</w:t>
      </w:r>
      <w:r w:rsidR="0032553B" w:rsidRPr="00801AFD">
        <w:rPr>
          <w:color w:val="auto"/>
          <w:sz w:val="22"/>
          <w:szCs w:val="22"/>
          <w:lang w:val="sr-Latn-ME"/>
        </w:rPr>
        <w:t>a</w:t>
      </w:r>
      <w:r w:rsidRPr="00801AFD">
        <w:rPr>
          <w:color w:val="auto"/>
          <w:sz w:val="22"/>
          <w:szCs w:val="22"/>
          <w:lang w:val="sr-Latn-ME"/>
        </w:rPr>
        <w:t xml:space="preserve">stenijom Gravis (Myasthenia Gravis Activities of Daily Living (MG-ADL)) ukupni skor ≥ 6 su nasumično raspoređeni da primaju ili ravulizumab (N=86) ili placebo (N=89). Pacijentima na imunosupresivnoj terapiji (kortikosteroidi, azatioprin, ciklofosfamid, ciklosporin, metotreksat, mikofenolat mofetil ili takrolimus) je bilo dozvoljeno da nastave sa terapijom tokom trajanja studije. Dodatno, terapija </w:t>
      </w:r>
      <w:r w:rsidRPr="00801AFD">
        <w:rPr>
          <w:sz w:val="22"/>
          <w:szCs w:val="22"/>
          <w:lang w:val="sr-Latn-ME"/>
        </w:rPr>
        <w:t>spasenja (uključujući visoku dozu kortikosteroida, PE/PP ili IVIg) bila je dozvoljena ako su pacijenti doživ</w:t>
      </w:r>
      <w:r w:rsidR="0099493B" w:rsidRPr="00801AFD">
        <w:rPr>
          <w:sz w:val="22"/>
          <w:szCs w:val="22"/>
          <w:lang w:val="sr-Latn-ME"/>
        </w:rPr>
        <w:t>j</w:t>
      </w:r>
      <w:r w:rsidRPr="00801AFD">
        <w:rPr>
          <w:sz w:val="22"/>
          <w:szCs w:val="22"/>
          <w:lang w:val="sr-Latn-ME"/>
        </w:rPr>
        <w:t>eli kliničko pogoršanje, kao što je definisano studijskim protokolom.</w:t>
      </w:r>
    </w:p>
    <w:p w14:paraId="59F221E7" w14:textId="6222A0C4" w:rsidR="003D388F" w:rsidRPr="00801AFD" w:rsidRDefault="003D388F" w:rsidP="00801AFD">
      <w:pPr>
        <w:pStyle w:val="Default"/>
        <w:widowControl w:val="0"/>
        <w:jc w:val="both"/>
        <w:rPr>
          <w:sz w:val="22"/>
          <w:szCs w:val="22"/>
          <w:lang w:val="sr-Latn-ME"/>
        </w:rPr>
      </w:pPr>
      <w:r w:rsidRPr="00801AFD">
        <w:rPr>
          <w:sz w:val="22"/>
          <w:szCs w:val="22"/>
          <w:lang w:val="sr-Latn-ME"/>
        </w:rPr>
        <w:t>Ukupno 162 pacijenta (92.6%) je završilo 26-ned</w:t>
      </w:r>
      <w:r w:rsidR="00F95D80" w:rsidRPr="00801AFD">
        <w:rPr>
          <w:sz w:val="22"/>
          <w:szCs w:val="22"/>
          <w:lang w:val="sr-Latn-ME"/>
        </w:rPr>
        <w:t>j</w:t>
      </w:r>
      <w:r w:rsidRPr="00801AFD">
        <w:rPr>
          <w:sz w:val="22"/>
          <w:szCs w:val="22"/>
          <w:lang w:val="sr-Latn-ME"/>
        </w:rPr>
        <w:t xml:space="preserve">elja </w:t>
      </w:r>
      <w:r w:rsidR="0032553B" w:rsidRPr="00801AFD">
        <w:rPr>
          <w:sz w:val="22"/>
          <w:szCs w:val="22"/>
          <w:lang w:val="sr-Latn-ME"/>
        </w:rPr>
        <w:t>r</w:t>
      </w:r>
      <w:r w:rsidRPr="00801AFD">
        <w:rPr>
          <w:sz w:val="22"/>
          <w:szCs w:val="22"/>
          <w:lang w:val="sr-Latn-ME"/>
        </w:rPr>
        <w:t>andomizovano-</w:t>
      </w:r>
      <w:r w:rsidR="0032553B" w:rsidRPr="00801AFD">
        <w:rPr>
          <w:sz w:val="22"/>
          <w:szCs w:val="22"/>
          <w:lang w:val="sr-Latn-ME"/>
        </w:rPr>
        <w:t>k</w:t>
      </w:r>
      <w:r w:rsidRPr="00801AFD">
        <w:rPr>
          <w:sz w:val="22"/>
          <w:szCs w:val="22"/>
          <w:lang w:val="sr-Latn-ME"/>
        </w:rPr>
        <w:t xml:space="preserve">ontrolisanog </w:t>
      </w:r>
      <w:r w:rsidR="0032553B" w:rsidRPr="00801AFD">
        <w:rPr>
          <w:sz w:val="22"/>
          <w:szCs w:val="22"/>
          <w:lang w:val="sr-Latn-ME"/>
        </w:rPr>
        <w:t>p</w:t>
      </w:r>
      <w:r w:rsidRPr="00801AFD">
        <w:rPr>
          <w:sz w:val="22"/>
          <w:szCs w:val="22"/>
          <w:lang w:val="sr-Latn-ME"/>
        </w:rPr>
        <w:t xml:space="preserve">erioda studije ALXN1210-MG-306. Osnovne karakteristike pacijenata su prikazane u Tabeli </w:t>
      </w:r>
      <w:r w:rsidR="00AE5148" w:rsidRPr="00801AFD">
        <w:rPr>
          <w:sz w:val="22"/>
          <w:szCs w:val="22"/>
          <w:lang w:val="sr-Latn-ME"/>
        </w:rPr>
        <w:t>16</w:t>
      </w:r>
      <w:r w:rsidRPr="00801AFD">
        <w:rPr>
          <w:sz w:val="22"/>
          <w:szCs w:val="22"/>
          <w:lang w:val="sr-Latn-ME"/>
        </w:rPr>
        <w:t>. Većina pacijenata (97%) koji su uključeni u studiju, l</w:t>
      </w:r>
      <w:r w:rsidR="0099493B" w:rsidRPr="00801AFD">
        <w:rPr>
          <w:sz w:val="22"/>
          <w:szCs w:val="22"/>
          <w:lang w:val="sr-Latn-ME"/>
        </w:rPr>
        <w:t>ij</w:t>
      </w:r>
      <w:r w:rsidRPr="00801AFD">
        <w:rPr>
          <w:sz w:val="22"/>
          <w:szCs w:val="22"/>
          <w:lang w:val="sr-Latn-ME"/>
        </w:rPr>
        <w:t>ečeni su najmanje jednom imunomodulatornom terapijom, uključujući imunosupresivne terapije, PE/PP ili IVIg u poslednje 2 godine pr</w:t>
      </w:r>
      <w:r w:rsidR="0032553B" w:rsidRPr="00801AFD">
        <w:rPr>
          <w:sz w:val="22"/>
          <w:szCs w:val="22"/>
          <w:lang w:val="sr-Latn-ME"/>
        </w:rPr>
        <w:t>ij</w:t>
      </w:r>
      <w:r w:rsidRPr="00801AFD">
        <w:rPr>
          <w:sz w:val="22"/>
          <w:szCs w:val="22"/>
          <w:lang w:val="sr-Latn-ME"/>
        </w:rPr>
        <w:t>e uključenja u studiju.</w:t>
      </w:r>
    </w:p>
    <w:p w14:paraId="7A332EED" w14:textId="1312E0C2" w:rsidR="003D388F" w:rsidRPr="00801AFD" w:rsidRDefault="003D388F" w:rsidP="00801AFD">
      <w:pPr>
        <w:pStyle w:val="Default"/>
        <w:widowControl w:val="0"/>
        <w:jc w:val="both"/>
        <w:rPr>
          <w:sz w:val="22"/>
          <w:szCs w:val="22"/>
          <w:lang w:val="sr-Latn-ME"/>
        </w:rPr>
      </w:pPr>
    </w:p>
    <w:p w14:paraId="216EA547" w14:textId="7C412C43" w:rsidR="003D388F" w:rsidRPr="00801AFD" w:rsidRDefault="003D388F" w:rsidP="00801AFD">
      <w:pPr>
        <w:pStyle w:val="Caption"/>
        <w:widowControl w:val="0"/>
        <w:ind w:left="1418" w:hanging="1418"/>
        <w:jc w:val="both"/>
        <w:rPr>
          <w:rFonts w:eastAsia="SimSun"/>
          <w:sz w:val="22"/>
          <w:szCs w:val="22"/>
          <w:lang w:val="sr-Latn-ME" w:eastAsia="ja-JP"/>
        </w:rPr>
      </w:pPr>
      <w:r w:rsidRPr="00801AFD">
        <w:rPr>
          <w:rFonts w:eastAsia="SimSun"/>
          <w:sz w:val="22"/>
          <w:szCs w:val="22"/>
          <w:lang w:val="sr-Latn-ME" w:eastAsia="ja-JP"/>
        </w:rPr>
        <w:t xml:space="preserve">Tabela </w:t>
      </w:r>
      <w:r w:rsidR="00AE5148" w:rsidRPr="00801AFD">
        <w:rPr>
          <w:rFonts w:eastAsia="SimSun"/>
          <w:sz w:val="22"/>
          <w:szCs w:val="22"/>
          <w:lang w:val="sr-Latn-ME" w:eastAsia="ja-JP"/>
        </w:rPr>
        <w:t>16</w:t>
      </w:r>
      <w:r w:rsidRPr="00801AFD">
        <w:rPr>
          <w:rFonts w:eastAsia="SimSun"/>
          <w:sz w:val="22"/>
          <w:szCs w:val="22"/>
          <w:lang w:val="sr-Latn-ME" w:eastAsia="ja-JP"/>
        </w:rPr>
        <w:t>: Osnovne karakteristike bolesti u studiji ALXN1210-MG-306</w:t>
      </w:r>
    </w:p>
    <w:p w14:paraId="56452DBE" w14:textId="77777777" w:rsidR="003D388F" w:rsidRPr="00801AFD" w:rsidRDefault="003D388F" w:rsidP="00801AFD">
      <w:pPr>
        <w:pStyle w:val="Default"/>
        <w:widowControl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2358"/>
        <w:gridCol w:w="1356"/>
        <w:gridCol w:w="1476"/>
      </w:tblGrid>
      <w:tr w:rsidR="003D388F" w:rsidRPr="00801AFD" w14:paraId="0A284837" w14:textId="77777777" w:rsidTr="00961C31">
        <w:tc>
          <w:tcPr>
            <w:tcW w:w="2137" w:type="pct"/>
          </w:tcPr>
          <w:p w14:paraId="1C734CED" w14:textId="77777777" w:rsidR="003D388F" w:rsidRPr="00801AFD" w:rsidRDefault="003D388F" w:rsidP="00801AFD">
            <w:pPr>
              <w:pStyle w:val="C-BodyText"/>
              <w:widowControl w:val="0"/>
              <w:spacing w:before="0" w:after="0" w:line="240" w:lineRule="auto"/>
              <w:jc w:val="both"/>
              <w:rPr>
                <w:rFonts w:eastAsia="SimSun"/>
                <w:b/>
                <w:sz w:val="22"/>
                <w:szCs w:val="22"/>
                <w:lang w:val="sr-Latn-ME"/>
              </w:rPr>
            </w:pPr>
            <w:r w:rsidRPr="00801AFD">
              <w:rPr>
                <w:rFonts w:eastAsia="SimSun"/>
                <w:b/>
                <w:sz w:val="22"/>
                <w:szCs w:val="22"/>
                <w:lang w:val="sr-Latn-ME"/>
              </w:rPr>
              <w:t>Parametar</w:t>
            </w:r>
          </w:p>
        </w:tc>
        <w:tc>
          <w:tcPr>
            <w:tcW w:w="1301" w:type="pct"/>
          </w:tcPr>
          <w:p w14:paraId="0E5AD048" w14:textId="77777777" w:rsidR="003D388F" w:rsidRPr="00801AFD" w:rsidRDefault="003D388F" w:rsidP="00801AFD">
            <w:pPr>
              <w:pStyle w:val="C-BodyText"/>
              <w:widowControl w:val="0"/>
              <w:spacing w:before="0" w:after="0" w:line="240" w:lineRule="auto"/>
              <w:jc w:val="center"/>
              <w:rPr>
                <w:rFonts w:eastAsia="SimSun"/>
                <w:b/>
                <w:sz w:val="22"/>
                <w:szCs w:val="22"/>
                <w:lang w:val="sr-Latn-ME"/>
              </w:rPr>
            </w:pPr>
            <w:r w:rsidRPr="00801AFD">
              <w:rPr>
                <w:rFonts w:eastAsia="SimSun"/>
                <w:b/>
                <w:sz w:val="22"/>
                <w:szCs w:val="22"/>
                <w:lang w:val="sr-Latn-ME"/>
              </w:rPr>
              <w:t>Statistika</w:t>
            </w:r>
          </w:p>
        </w:tc>
        <w:tc>
          <w:tcPr>
            <w:tcW w:w="748" w:type="pct"/>
          </w:tcPr>
          <w:p w14:paraId="4CF505C4" w14:textId="77777777" w:rsidR="003D388F" w:rsidRPr="00801AFD" w:rsidRDefault="003D388F" w:rsidP="00801AFD">
            <w:pPr>
              <w:pStyle w:val="C-BodyText"/>
              <w:widowControl w:val="0"/>
              <w:spacing w:before="0" w:after="0" w:line="240" w:lineRule="auto"/>
              <w:jc w:val="center"/>
              <w:rPr>
                <w:rFonts w:eastAsia="SimSun"/>
                <w:b/>
                <w:sz w:val="22"/>
                <w:szCs w:val="22"/>
                <w:lang w:val="sr-Latn-ME"/>
              </w:rPr>
            </w:pPr>
            <w:r w:rsidRPr="00801AFD">
              <w:rPr>
                <w:rFonts w:eastAsia="SimSun"/>
                <w:b/>
                <w:sz w:val="22"/>
                <w:szCs w:val="22"/>
                <w:lang w:val="sr-Latn-ME"/>
              </w:rPr>
              <w:t>Placebo</w:t>
            </w:r>
          </w:p>
          <w:p w14:paraId="6EEAFF1A" w14:textId="77777777" w:rsidR="003D388F" w:rsidRPr="00801AFD" w:rsidRDefault="003D388F" w:rsidP="00801AFD">
            <w:pPr>
              <w:pStyle w:val="C-BodyText"/>
              <w:widowControl w:val="0"/>
              <w:spacing w:before="0" w:after="0" w:line="240" w:lineRule="auto"/>
              <w:jc w:val="center"/>
              <w:rPr>
                <w:rFonts w:eastAsia="SimSun"/>
                <w:b/>
                <w:sz w:val="22"/>
                <w:szCs w:val="22"/>
                <w:lang w:val="sr-Latn-ME"/>
              </w:rPr>
            </w:pPr>
            <w:r w:rsidRPr="00801AFD">
              <w:rPr>
                <w:rFonts w:eastAsia="SimSun"/>
                <w:b/>
                <w:sz w:val="22"/>
                <w:szCs w:val="22"/>
                <w:lang w:val="sr-Latn-ME"/>
              </w:rPr>
              <w:t>(N = 89)</w:t>
            </w:r>
          </w:p>
        </w:tc>
        <w:tc>
          <w:tcPr>
            <w:tcW w:w="814" w:type="pct"/>
          </w:tcPr>
          <w:p w14:paraId="48496C8D" w14:textId="77777777" w:rsidR="003D388F" w:rsidRPr="00801AFD" w:rsidRDefault="003D388F" w:rsidP="00801AFD">
            <w:pPr>
              <w:pStyle w:val="C-BodyText"/>
              <w:widowControl w:val="0"/>
              <w:spacing w:before="0" w:after="0" w:line="240" w:lineRule="auto"/>
              <w:jc w:val="center"/>
              <w:rPr>
                <w:rFonts w:eastAsia="SimSun"/>
                <w:b/>
                <w:bCs/>
                <w:sz w:val="22"/>
                <w:szCs w:val="22"/>
                <w:lang w:val="sr-Latn-ME"/>
              </w:rPr>
            </w:pPr>
            <w:r w:rsidRPr="00801AFD">
              <w:rPr>
                <w:rFonts w:eastAsia="SimSun"/>
                <w:b/>
                <w:bCs/>
                <w:sz w:val="22"/>
                <w:szCs w:val="22"/>
                <w:lang w:val="sr-Latn-ME"/>
              </w:rPr>
              <w:t>Ravulizumab</w:t>
            </w:r>
          </w:p>
          <w:p w14:paraId="43D62A79" w14:textId="77777777" w:rsidR="003D388F" w:rsidRPr="00801AFD" w:rsidRDefault="003D388F" w:rsidP="00801AFD">
            <w:pPr>
              <w:pStyle w:val="C-BodyText"/>
              <w:widowControl w:val="0"/>
              <w:spacing w:before="0" w:after="0" w:line="240" w:lineRule="auto"/>
              <w:jc w:val="center"/>
              <w:rPr>
                <w:rFonts w:eastAsia="SimSun"/>
                <w:b/>
                <w:sz w:val="22"/>
                <w:szCs w:val="22"/>
                <w:lang w:val="sr-Latn-ME"/>
              </w:rPr>
            </w:pPr>
            <w:r w:rsidRPr="00801AFD">
              <w:rPr>
                <w:rFonts w:eastAsia="SimSun"/>
                <w:b/>
                <w:sz w:val="22"/>
                <w:szCs w:val="22"/>
                <w:lang w:val="sr-Latn-ME"/>
              </w:rPr>
              <w:t>(N = 86)</w:t>
            </w:r>
          </w:p>
        </w:tc>
      </w:tr>
      <w:tr w:rsidR="003D388F" w:rsidRPr="00801AFD" w14:paraId="6E302EBA" w14:textId="77777777" w:rsidTr="00961C31">
        <w:tc>
          <w:tcPr>
            <w:tcW w:w="2137" w:type="pct"/>
          </w:tcPr>
          <w:p w14:paraId="46671ACE" w14:textId="77777777" w:rsidR="003D388F" w:rsidRPr="00801AFD" w:rsidRDefault="003D388F" w:rsidP="00801AFD">
            <w:pPr>
              <w:pStyle w:val="C-BodyText"/>
              <w:widowControl w:val="0"/>
              <w:spacing w:before="0" w:after="0" w:line="240" w:lineRule="auto"/>
              <w:jc w:val="both"/>
              <w:rPr>
                <w:rFonts w:eastAsia="SimSun"/>
                <w:b/>
                <w:sz w:val="22"/>
                <w:szCs w:val="22"/>
                <w:lang w:val="sr-Latn-ME"/>
              </w:rPr>
            </w:pPr>
            <w:r w:rsidRPr="00801AFD">
              <w:rPr>
                <w:rFonts w:eastAsia="SimSun"/>
                <w:b/>
                <w:sz w:val="22"/>
                <w:szCs w:val="22"/>
                <w:lang w:val="sr-Latn-ME"/>
              </w:rPr>
              <w:t>Pol</w:t>
            </w:r>
            <w:r w:rsidRPr="00801AFD">
              <w:rPr>
                <w:rFonts w:eastAsia="SimSun"/>
                <w:b/>
                <w:sz w:val="22"/>
                <w:szCs w:val="22"/>
                <w:lang w:val="sr-Latn-ME"/>
              </w:rPr>
              <w:br/>
            </w:r>
            <w:r w:rsidRPr="00801AFD">
              <w:rPr>
                <w:rFonts w:eastAsia="SimSun"/>
                <w:sz w:val="22"/>
                <w:szCs w:val="22"/>
                <w:lang w:val="sr-Latn-ME"/>
              </w:rPr>
              <w:t xml:space="preserve">  Muški</w:t>
            </w:r>
            <w:r w:rsidRPr="00801AFD">
              <w:rPr>
                <w:rFonts w:eastAsia="SimSun"/>
                <w:sz w:val="22"/>
                <w:szCs w:val="22"/>
                <w:lang w:val="sr-Latn-ME"/>
              </w:rPr>
              <w:br/>
              <w:t xml:space="preserve">  Ženski</w:t>
            </w:r>
          </w:p>
        </w:tc>
        <w:tc>
          <w:tcPr>
            <w:tcW w:w="1301" w:type="pct"/>
          </w:tcPr>
          <w:p w14:paraId="7C7C2CD8"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n (%)</w:t>
            </w:r>
          </w:p>
        </w:tc>
        <w:tc>
          <w:tcPr>
            <w:tcW w:w="748" w:type="pct"/>
          </w:tcPr>
          <w:p w14:paraId="42D15CC5"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br/>
              <w:t>44 (49.4)</w:t>
            </w:r>
            <w:r w:rsidRPr="00801AFD">
              <w:rPr>
                <w:rFonts w:eastAsia="SimSun"/>
                <w:sz w:val="22"/>
                <w:szCs w:val="22"/>
                <w:lang w:val="sr-Latn-ME"/>
              </w:rPr>
              <w:br/>
              <w:t>45 (50.6)</w:t>
            </w:r>
          </w:p>
        </w:tc>
        <w:tc>
          <w:tcPr>
            <w:tcW w:w="814" w:type="pct"/>
          </w:tcPr>
          <w:p w14:paraId="74E0C69B"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br/>
              <w:t>42 (48.8)</w:t>
            </w:r>
            <w:r w:rsidRPr="00801AFD">
              <w:rPr>
                <w:rFonts w:eastAsia="SimSun"/>
                <w:sz w:val="22"/>
                <w:szCs w:val="22"/>
                <w:lang w:val="sr-Latn-ME"/>
              </w:rPr>
              <w:br/>
              <w:t>44 (51.2)</w:t>
            </w:r>
          </w:p>
        </w:tc>
      </w:tr>
      <w:tr w:rsidR="003D388F" w:rsidRPr="00801AFD" w14:paraId="13771A34" w14:textId="77777777" w:rsidTr="00961C31">
        <w:tc>
          <w:tcPr>
            <w:tcW w:w="2137" w:type="pct"/>
          </w:tcPr>
          <w:p w14:paraId="497D90AD" w14:textId="31C5C357" w:rsidR="003D388F" w:rsidRPr="00801AFD" w:rsidRDefault="003D388F" w:rsidP="00801AFD">
            <w:pPr>
              <w:pStyle w:val="C-BodyText"/>
              <w:widowControl w:val="0"/>
              <w:tabs>
                <w:tab w:val="left" w:pos="567"/>
              </w:tabs>
              <w:spacing w:before="0" w:after="0" w:line="240" w:lineRule="auto"/>
              <w:jc w:val="both"/>
              <w:rPr>
                <w:rFonts w:eastAsia="SimSun"/>
                <w:sz w:val="22"/>
                <w:szCs w:val="22"/>
                <w:lang w:val="sr-Latn-ME"/>
              </w:rPr>
            </w:pPr>
            <w:r w:rsidRPr="00801AFD">
              <w:rPr>
                <w:rFonts w:eastAsia="SimSun"/>
                <w:b/>
                <w:sz w:val="22"/>
                <w:szCs w:val="22"/>
                <w:lang w:val="sr-Latn-ME"/>
              </w:rPr>
              <w:t>Starost prilikom prve doze ispitivanog l</w:t>
            </w:r>
            <w:r w:rsidR="0099493B" w:rsidRPr="00801AFD">
              <w:rPr>
                <w:rFonts w:eastAsia="SimSun"/>
                <w:b/>
                <w:sz w:val="22"/>
                <w:szCs w:val="22"/>
                <w:lang w:val="sr-Latn-ME"/>
              </w:rPr>
              <w:t>ij</w:t>
            </w:r>
            <w:r w:rsidRPr="00801AFD">
              <w:rPr>
                <w:rFonts w:eastAsia="SimSun"/>
                <w:b/>
                <w:sz w:val="22"/>
                <w:szCs w:val="22"/>
                <w:lang w:val="sr-Latn-ME"/>
              </w:rPr>
              <w:t>eka (god)</w:t>
            </w:r>
          </w:p>
        </w:tc>
        <w:tc>
          <w:tcPr>
            <w:tcW w:w="1301" w:type="pct"/>
          </w:tcPr>
          <w:p w14:paraId="71242778" w14:textId="061DBC26"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Srednja vr</w:t>
            </w:r>
            <w:r w:rsidR="0099493B" w:rsidRPr="00801AFD">
              <w:rPr>
                <w:rFonts w:eastAsia="SimSun"/>
                <w:sz w:val="22"/>
                <w:szCs w:val="22"/>
                <w:lang w:val="sr-Latn-ME"/>
              </w:rPr>
              <w:t>ij</w:t>
            </w:r>
            <w:r w:rsidRPr="00801AFD">
              <w:rPr>
                <w:rFonts w:eastAsia="SimSun"/>
                <w:sz w:val="22"/>
                <w:szCs w:val="22"/>
                <w:lang w:val="sr-Latn-ME"/>
              </w:rPr>
              <w:t>ednost (SD)</w:t>
            </w:r>
            <w:r w:rsidRPr="00801AFD">
              <w:rPr>
                <w:rFonts w:eastAsia="SimSun"/>
                <w:sz w:val="22"/>
                <w:szCs w:val="22"/>
                <w:lang w:val="sr-Latn-ME"/>
              </w:rPr>
              <w:br/>
              <w:t>(min, max)</w:t>
            </w:r>
          </w:p>
        </w:tc>
        <w:tc>
          <w:tcPr>
            <w:tcW w:w="748" w:type="pct"/>
          </w:tcPr>
          <w:p w14:paraId="130B12A5"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53.3 (16.05)</w:t>
            </w:r>
            <w:r w:rsidRPr="00801AFD">
              <w:rPr>
                <w:rFonts w:eastAsia="SimSun"/>
                <w:sz w:val="22"/>
                <w:szCs w:val="22"/>
                <w:lang w:val="sr-Latn-ME"/>
              </w:rPr>
              <w:br/>
              <w:t>(20, 82)</w:t>
            </w:r>
          </w:p>
        </w:tc>
        <w:tc>
          <w:tcPr>
            <w:tcW w:w="814" w:type="pct"/>
          </w:tcPr>
          <w:p w14:paraId="2AD6F4B9"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58.0 (13.82)</w:t>
            </w:r>
            <w:r w:rsidRPr="00801AFD">
              <w:rPr>
                <w:rFonts w:eastAsia="SimSun"/>
                <w:sz w:val="22"/>
                <w:szCs w:val="22"/>
                <w:lang w:val="sr-Latn-ME"/>
              </w:rPr>
              <w:br/>
              <w:t>(19, 79)</w:t>
            </w:r>
          </w:p>
        </w:tc>
      </w:tr>
      <w:tr w:rsidR="003D388F" w:rsidRPr="00801AFD" w14:paraId="03841C23" w14:textId="77777777" w:rsidTr="00961C31">
        <w:trPr>
          <w:trHeight w:val="340"/>
        </w:trPr>
        <w:tc>
          <w:tcPr>
            <w:tcW w:w="2137" w:type="pct"/>
          </w:tcPr>
          <w:p w14:paraId="5B34EAD2" w14:textId="677BD22B" w:rsidR="003D388F" w:rsidRPr="00801AFD" w:rsidRDefault="003D388F" w:rsidP="00801AFD">
            <w:pPr>
              <w:pStyle w:val="C-BodyText"/>
              <w:widowControl w:val="0"/>
              <w:tabs>
                <w:tab w:val="left" w:pos="567"/>
              </w:tabs>
              <w:spacing w:before="0" w:after="0" w:line="240" w:lineRule="auto"/>
              <w:jc w:val="both"/>
              <w:rPr>
                <w:rFonts w:eastAsia="SimSun"/>
                <w:b/>
                <w:sz w:val="22"/>
                <w:szCs w:val="22"/>
                <w:lang w:val="sr-Latn-ME"/>
              </w:rPr>
            </w:pPr>
            <w:r w:rsidRPr="00801AFD">
              <w:rPr>
                <w:rFonts w:eastAsia="SimSun"/>
                <w:b/>
                <w:sz w:val="22"/>
                <w:szCs w:val="22"/>
                <w:lang w:val="sr-Latn-ME"/>
              </w:rPr>
              <w:t>Starije osobe (</w:t>
            </w:r>
            <w:r w:rsidR="00903D56" w:rsidRPr="00801AFD">
              <w:rPr>
                <w:rFonts w:eastAsia="Arial Unicode MS"/>
                <w:sz w:val="22"/>
                <w:szCs w:val="22"/>
                <w:lang w:val="sr-Latn-ME"/>
              </w:rPr>
              <w:t>≥</w:t>
            </w:r>
            <w:r w:rsidRPr="00801AFD">
              <w:rPr>
                <w:rFonts w:eastAsia="SimSun"/>
                <w:b/>
                <w:sz w:val="22"/>
                <w:szCs w:val="22"/>
                <w:lang w:val="sr-Latn-ME"/>
              </w:rPr>
              <w:t xml:space="preserve"> 65 god) na početku studije</w:t>
            </w:r>
          </w:p>
        </w:tc>
        <w:tc>
          <w:tcPr>
            <w:tcW w:w="1301" w:type="pct"/>
          </w:tcPr>
          <w:p w14:paraId="18216165"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n (%)</w:t>
            </w:r>
          </w:p>
        </w:tc>
        <w:tc>
          <w:tcPr>
            <w:tcW w:w="748" w:type="pct"/>
          </w:tcPr>
          <w:p w14:paraId="53A210C5"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24 (27.0)</w:t>
            </w:r>
          </w:p>
        </w:tc>
        <w:tc>
          <w:tcPr>
            <w:tcW w:w="814" w:type="pct"/>
          </w:tcPr>
          <w:p w14:paraId="0B6A2E6F"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30 (34.9)</w:t>
            </w:r>
          </w:p>
        </w:tc>
      </w:tr>
      <w:tr w:rsidR="003D388F" w:rsidRPr="00801AFD" w14:paraId="3EF6D149" w14:textId="77777777" w:rsidTr="00961C31">
        <w:tc>
          <w:tcPr>
            <w:tcW w:w="2137" w:type="pct"/>
          </w:tcPr>
          <w:p w14:paraId="7E382CF3" w14:textId="77777777" w:rsidR="003D388F" w:rsidRPr="00801AFD" w:rsidRDefault="003D388F" w:rsidP="00801AFD">
            <w:pPr>
              <w:pStyle w:val="C-BodyText"/>
              <w:widowControl w:val="0"/>
              <w:tabs>
                <w:tab w:val="left" w:pos="567"/>
              </w:tabs>
              <w:spacing w:before="0" w:after="0" w:line="240" w:lineRule="auto"/>
              <w:jc w:val="both"/>
              <w:rPr>
                <w:rFonts w:eastAsia="SimSun"/>
                <w:sz w:val="22"/>
                <w:szCs w:val="22"/>
                <w:lang w:val="sr-Latn-ME"/>
              </w:rPr>
            </w:pPr>
            <w:r w:rsidRPr="00801AFD">
              <w:rPr>
                <w:rFonts w:eastAsia="SimSun"/>
                <w:b/>
                <w:sz w:val="22"/>
                <w:szCs w:val="22"/>
                <w:lang w:val="sr-Latn-ME"/>
              </w:rPr>
              <w:t>Trajanje MG od dijagnoze (god)</w:t>
            </w:r>
          </w:p>
        </w:tc>
        <w:tc>
          <w:tcPr>
            <w:tcW w:w="1301" w:type="pct"/>
          </w:tcPr>
          <w:p w14:paraId="4C2155FF" w14:textId="12A851F1" w:rsidR="003D388F" w:rsidRPr="00801AFD" w:rsidRDefault="003D388F" w:rsidP="00801AFD">
            <w:pPr>
              <w:pStyle w:val="C-BodyText"/>
              <w:widowControl w:val="0"/>
              <w:tabs>
                <w:tab w:val="left" w:pos="567"/>
              </w:tabs>
              <w:spacing w:before="0" w:after="0" w:line="240" w:lineRule="auto"/>
              <w:jc w:val="center"/>
              <w:rPr>
                <w:rFonts w:eastAsia="SimSun"/>
                <w:sz w:val="22"/>
                <w:szCs w:val="22"/>
                <w:lang w:val="sr-Latn-ME"/>
              </w:rPr>
            </w:pPr>
            <w:r w:rsidRPr="00801AFD">
              <w:rPr>
                <w:rFonts w:eastAsia="SimSun"/>
                <w:sz w:val="22"/>
                <w:szCs w:val="22"/>
                <w:lang w:val="sr-Latn-ME"/>
              </w:rPr>
              <w:t>Srednja vr</w:t>
            </w:r>
            <w:r w:rsidR="0099493B" w:rsidRPr="00801AFD">
              <w:rPr>
                <w:rFonts w:eastAsia="SimSun"/>
                <w:sz w:val="22"/>
                <w:szCs w:val="22"/>
                <w:lang w:val="sr-Latn-ME"/>
              </w:rPr>
              <w:t>ij</w:t>
            </w:r>
            <w:r w:rsidRPr="00801AFD">
              <w:rPr>
                <w:rFonts w:eastAsia="SimSun"/>
                <w:sz w:val="22"/>
                <w:szCs w:val="22"/>
                <w:lang w:val="sr-Latn-ME"/>
              </w:rPr>
              <w:t xml:space="preserve">ednost (SD) </w:t>
            </w:r>
            <w:r w:rsidRPr="00801AFD">
              <w:rPr>
                <w:rFonts w:eastAsia="SimSun"/>
                <w:sz w:val="22"/>
                <w:szCs w:val="22"/>
                <w:lang w:val="sr-Latn-ME"/>
              </w:rPr>
              <w:br/>
              <w:t>(min, max)</w:t>
            </w:r>
            <w:r w:rsidRPr="00801AFD">
              <w:rPr>
                <w:rFonts w:eastAsia="SimSun"/>
                <w:sz w:val="22"/>
                <w:szCs w:val="22"/>
                <w:lang w:val="sr-Latn-ME"/>
              </w:rPr>
              <w:br/>
              <w:t>Medijana</w:t>
            </w:r>
          </w:p>
        </w:tc>
        <w:tc>
          <w:tcPr>
            <w:tcW w:w="748" w:type="pct"/>
          </w:tcPr>
          <w:p w14:paraId="35ECEAE2"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10.0 (8.90)</w:t>
            </w:r>
            <w:r w:rsidRPr="00801AFD">
              <w:rPr>
                <w:rFonts w:eastAsia="SimSun"/>
                <w:sz w:val="22"/>
                <w:szCs w:val="22"/>
                <w:lang w:val="sr-Latn-ME"/>
              </w:rPr>
              <w:br/>
              <w:t>(0.5, 36.1)</w:t>
            </w:r>
            <w:r w:rsidRPr="00801AFD">
              <w:rPr>
                <w:rFonts w:eastAsia="SimSun"/>
                <w:sz w:val="22"/>
                <w:szCs w:val="22"/>
                <w:lang w:val="sr-Latn-ME"/>
              </w:rPr>
              <w:br/>
              <w:t>7.6</w:t>
            </w:r>
          </w:p>
        </w:tc>
        <w:tc>
          <w:tcPr>
            <w:tcW w:w="814" w:type="pct"/>
          </w:tcPr>
          <w:p w14:paraId="5CFBB25F"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9.8 (9.68)</w:t>
            </w:r>
            <w:r w:rsidRPr="00801AFD">
              <w:rPr>
                <w:rFonts w:eastAsia="SimSun"/>
                <w:sz w:val="22"/>
                <w:szCs w:val="22"/>
                <w:lang w:val="sr-Latn-ME"/>
              </w:rPr>
              <w:br/>
              <w:t>(0.5, 39.5)</w:t>
            </w:r>
            <w:r w:rsidRPr="00801AFD">
              <w:rPr>
                <w:rFonts w:eastAsia="SimSun"/>
                <w:sz w:val="22"/>
                <w:szCs w:val="22"/>
                <w:lang w:val="sr-Latn-ME"/>
              </w:rPr>
              <w:br/>
              <w:t>5.7</w:t>
            </w:r>
          </w:p>
        </w:tc>
      </w:tr>
      <w:tr w:rsidR="003D388F" w:rsidRPr="00801AFD" w14:paraId="5E81312E" w14:textId="77777777" w:rsidTr="00961C31">
        <w:tc>
          <w:tcPr>
            <w:tcW w:w="2137" w:type="pct"/>
          </w:tcPr>
          <w:p w14:paraId="1DC7B124" w14:textId="77777777" w:rsidR="003D388F" w:rsidRPr="00801AFD" w:rsidRDefault="003D388F" w:rsidP="00801AFD">
            <w:pPr>
              <w:pStyle w:val="C-BodyText"/>
              <w:widowControl w:val="0"/>
              <w:spacing w:before="0" w:after="0" w:line="240" w:lineRule="auto"/>
              <w:jc w:val="both"/>
              <w:rPr>
                <w:rFonts w:eastAsia="SimSun"/>
                <w:sz w:val="22"/>
                <w:szCs w:val="22"/>
                <w:lang w:val="sr-Latn-ME"/>
              </w:rPr>
            </w:pPr>
            <w:r w:rsidRPr="00801AFD">
              <w:rPr>
                <w:rFonts w:eastAsia="SimSun"/>
                <w:b/>
                <w:sz w:val="22"/>
                <w:szCs w:val="22"/>
                <w:lang w:val="sr-Latn-ME"/>
              </w:rPr>
              <w:t>Bazalni MG-ADL Skor</w:t>
            </w:r>
          </w:p>
        </w:tc>
        <w:tc>
          <w:tcPr>
            <w:tcW w:w="1301" w:type="pct"/>
          </w:tcPr>
          <w:p w14:paraId="10E380D5" w14:textId="63095B0C" w:rsidR="003D388F" w:rsidRPr="00801AFD" w:rsidRDefault="003D388F" w:rsidP="00801AFD">
            <w:pPr>
              <w:pStyle w:val="C-BodyText"/>
              <w:widowControl w:val="0"/>
              <w:tabs>
                <w:tab w:val="left" w:pos="567"/>
              </w:tabs>
              <w:spacing w:before="0" w:after="0" w:line="240" w:lineRule="auto"/>
              <w:jc w:val="center"/>
              <w:rPr>
                <w:rFonts w:eastAsia="SimSun"/>
                <w:sz w:val="22"/>
                <w:szCs w:val="22"/>
                <w:lang w:val="sr-Latn-ME"/>
              </w:rPr>
            </w:pPr>
            <w:r w:rsidRPr="00801AFD">
              <w:rPr>
                <w:rFonts w:eastAsia="SimSun"/>
                <w:sz w:val="22"/>
                <w:szCs w:val="22"/>
                <w:lang w:val="sr-Latn-ME"/>
              </w:rPr>
              <w:t>Srednja vr</w:t>
            </w:r>
            <w:r w:rsidR="0099493B" w:rsidRPr="00801AFD">
              <w:rPr>
                <w:rFonts w:eastAsia="SimSun"/>
                <w:sz w:val="22"/>
                <w:szCs w:val="22"/>
                <w:lang w:val="sr-Latn-ME"/>
              </w:rPr>
              <w:t>ij</w:t>
            </w:r>
            <w:r w:rsidRPr="00801AFD">
              <w:rPr>
                <w:rFonts w:eastAsia="SimSun"/>
                <w:sz w:val="22"/>
                <w:szCs w:val="22"/>
                <w:lang w:val="sr-Latn-ME"/>
              </w:rPr>
              <w:t>ednost (SD)</w:t>
            </w:r>
            <w:r w:rsidRPr="00801AFD">
              <w:rPr>
                <w:rFonts w:eastAsia="SimSun"/>
                <w:sz w:val="22"/>
                <w:szCs w:val="22"/>
                <w:lang w:val="sr-Latn-ME"/>
              </w:rPr>
              <w:br/>
              <w:t>(min, max)</w:t>
            </w:r>
            <w:r w:rsidRPr="00801AFD">
              <w:rPr>
                <w:rFonts w:eastAsia="SimSun"/>
                <w:sz w:val="22"/>
                <w:szCs w:val="22"/>
                <w:lang w:val="sr-Latn-ME"/>
              </w:rPr>
              <w:br/>
              <w:t>Medijana</w:t>
            </w:r>
          </w:p>
        </w:tc>
        <w:tc>
          <w:tcPr>
            <w:tcW w:w="748" w:type="pct"/>
          </w:tcPr>
          <w:p w14:paraId="02D21B30"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8.9 (2.30)</w:t>
            </w:r>
            <w:r w:rsidRPr="00801AFD">
              <w:rPr>
                <w:rFonts w:eastAsia="SimSun"/>
                <w:sz w:val="22"/>
                <w:szCs w:val="22"/>
                <w:lang w:val="sr-Latn-ME"/>
              </w:rPr>
              <w:br/>
              <w:t>(6.0, 15.0)</w:t>
            </w:r>
            <w:r w:rsidRPr="00801AFD">
              <w:rPr>
                <w:rFonts w:eastAsia="SimSun"/>
                <w:sz w:val="22"/>
                <w:szCs w:val="22"/>
                <w:lang w:val="sr-Latn-ME"/>
              </w:rPr>
              <w:br/>
              <w:t>9.0</w:t>
            </w:r>
          </w:p>
        </w:tc>
        <w:tc>
          <w:tcPr>
            <w:tcW w:w="814" w:type="pct"/>
          </w:tcPr>
          <w:p w14:paraId="5169AF91"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9.1 (2.62)</w:t>
            </w:r>
            <w:r w:rsidRPr="00801AFD">
              <w:rPr>
                <w:rFonts w:eastAsia="SimSun"/>
                <w:sz w:val="22"/>
                <w:szCs w:val="22"/>
                <w:lang w:val="sr-Latn-ME"/>
              </w:rPr>
              <w:br/>
              <w:t>(6.0, 24.0)</w:t>
            </w:r>
            <w:r w:rsidRPr="00801AFD">
              <w:rPr>
                <w:rFonts w:eastAsia="SimSun"/>
                <w:sz w:val="22"/>
                <w:szCs w:val="22"/>
                <w:lang w:val="sr-Latn-ME"/>
              </w:rPr>
              <w:br/>
              <w:t>9.0</w:t>
            </w:r>
          </w:p>
        </w:tc>
      </w:tr>
      <w:tr w:rsidR="003D388F" w:rsidRPr="00801AFD" w14:paraId="5A1C40C1" w14:textId="77777777" w:rsidTr="00961C31">
        <w:tc>
          <w:tcPr>
            <w:tcW w:w="2137" w:type="pct"/>
          </w:tcPr>
          <w:p w14:paraId="1D48AAF3" w14:textId="77777777" w:rsidR="003D388F" w:rsidRPr="00801AFD" w:rsidRDefault="003D388F" w:rsidP="00801AFD">
            <w:pPr>
              <w:pStyle w:val="C-BodyText"/>
              <w:widowControl w:val="0"/>
              <w:spacing w:before="0" w:after="0" w:line="240" w:lineRule="auto"/>
              <w:jc w:val="both"/>
              <w:rPr>
                <w:rFonts w:eastAsia="SimSun"/>
                <w:sz w:val="22"/>
                <w:szCs w:val="22"/>
                <w:lang w:val="sr-Latn-ME"/>
              </w:rPr>
            </w:pPr>
            <w:r w:rsidRPr="00801AFD">
              <w:rPr>
                <w:rFonts w:eastAsia="SimSun"/>
                <w:b/>
                <w:sz w:val="22"/>
                <w:szCs w:val="22"/>
                <w:lang w:val="sr-Latn-ME"/>
              </w:rPr>
              <w:t>Bazalni QMG Skor</w:t>
            </w:r>
          </w:p>
        </w:tc>
        <w:tc>
          <w:tcPr>
            <w:tcW w:w="1301" w:type="pct"/>
          </w:tcPr>
          <w:p w14:paraId="07D2DBB6" w14:textId="2E35ADA3" w:rsidR="003D388F" w:rsidRPr="00801AFD" w:rsidRDefault="003D388F" w:rsidP="00801AFD">
            <w:pPr>
              <w:pStyle w:val="C-BodyText"/>
              <w:widowControl w:val="0"/>
              <w:tabs>
                <w:tab w:val="left" w:pos="567"/>
              </w:tabs>
              <w:spacing w:before="0" w:after="0" w:line="240" w:lineRule="auto"/>
              <w:jc w:val="center"/>
              <w:rPr>
                <w:rFonts w:eastAsia="SimSun"/>
                <w:sz w:val="22"/>
                <w:szCs w:val="22"/>
                <w:lang w:val="sr-Latn-ME"/>
              </w:rPr>
            </w:pPr>
            <w:r w:rsidRPr="00801AFD">
              <w:rPr>
                <w:rFonts w:eastAsia="SimSun"/>
                <w:sz w:val="22"/>
                <w:szCs w:val="22"/>
                <w:lang w:val="sr-Latn-ME"/>
              </w:rPr>
              <w:t>Srednja vr</w:t>
            </w:r>
            <w:r w:rsidR="0099493B" w:rsidRPr="00801AFD">
              <w:rPr>
                <w:rFonts w:eastAsia="SimSun"/>
                <w:sz w:val="22"/>
                <w:szCs w:val="22"/>
                <w:lang w:val="sr-Latn-ME"/>
              </w:rPr>
              <w:t>ij</w:t>
            </w:r>
            <w:r w:rsidRPr="00801AFD">
              <w:rPr>
                <w:rFonts w:eastAsia="SimSun"/>
                <w:sz w:val="22"/>
                <w:szCs w:val="22"/>
                <w:lang w:val="sr-Latn-ME"/>
              </w:rPr>
              <w:t>ednost (SD)</w:t>
            </w:r>
          </w:p>
          <w:p w14:paraId="3F4387C5" w14:textId="77777777" w:rsidR="003D388F" w:rsidRPr="00801AFD" w:rsidRDefault="003D388F" w:rsidP="00801AFD">
            <w:pPr>
              <w:pStyle w:val="C-BodyText"/>
              <w:widowControl w:val="0"/>
              <w:tabs>
                <w:tab w:val="left" w:pos="567"/>
              </w:tabs>
              <w:spacing w:before="0" w:after="0" w:line="240" w:lineRule="auto"/>
              <w:jc w:val="center"/>
              <w:rPr>
                <w:rFonts w:eastAsia="SimSun"/>
                <w:sz w:val="22"/>
                <w:szCs w:val="22"/>
                <w:lang w:val="sr-Latn-ME"/>
              </w:rPr>
            </w:pPr>
            <w:r w:rsidRPr="00801AFD">
              <w:rPr>
                <w:rFonts w:eastAsia="SimSun"/>
                <w:sz w:val="22"/>
                <w:szCs w:val="22"/>
                <w:lang w:val="sr-Latn-ME"/>
              </w:rPr>
              <w:t>(min, max)</w:t>
            </w:r>
            <w:r w:rsidRPr="00801AFD">
              <w:rPr>
                <w:rFonts w:eastAsia="SimSun"/>
                <w:sz w:val="22"/>
                <w:szCs w:val="22"/>
                <w:lang w:val="sr-Latn-ME"/>
              </w:rPr>
              <w:br/>
              <w:t>Medijana</w:t>
            </w:r>
          </w:p>
        </w:tc>
        <w:tc>
          <w:tcPr>
            <w:tcW w:w="748" w:type="pct"/>
          </w:tcPr>
          <w:p w14:paraId="1CBC6251"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14.5 (5.26)</w:t>
            </w:r>
          </w:p>
          <w:p w14:paraId="0214776D"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(2.0, 27.0)</w:t>
            </w:r>
            <w:r w:rsidRPr="00801AFD">
              <w:rPr>
                <w:rFonts w:eastAsia="SimSun"/>
                <w:sz w:val="22"/>
                <w:szCs w:val="22"/>
                <w:lang w:val="sr-Latn-ME"/>
              </w:rPr>
              <w:br/>
              <w:t>14.0</w:t>
            </w:r>
          </w:p>
        </w:tc>
        <w:tc>
          <w:tcPr>
            <w:tcW w:w="814" w:type="pct"/>
          </w:tcPr>
          <w:p w14:paraId="66363456"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14.8 (5.21)</w:t>
            </w:r>
          </w:p>
          <w:p w14:paraId="4882B9BC"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(6.0, 39.0)</w:t>
            </w:r>
            <w:r w:rsidRPr="00801AFD">
              <w:rPr>
                <w:rFonts w:eastAsia="SimSun"/>
                <w:sz w:val="22"/>
                <w:szCs w:val="22"/>
                <w:lang w:val="sr-Latn-ME"/>
              </w:rPr>
              <w:br/>
              <w:t>15.0</w:t>
            </w:r>
          </w:p>
        </w:tc>
      </w:tr>
      <w:tr w:rsidR="003D388F" w:rsidRPr="00801AFD" w14:paraId="1B660B5B" w14:textId="77777777" w:rsidTr="00961C31">
        <w:tc>
          <w:tcPr>
            <w:tcW w:w="2137" w:type="pct"/>
          </w:tcPr>
          <w:p w14:paraId="08ED15B1" w14:textId="493F9EC3" w:rsidR="003D388F" w:rsidRPr="00801AFD" w:rsidRDefault="003D388F" w:rsidP="00801AFD">
            <w:pPr>
              <w:pStyle w:val="C-BodyText"/>
              <w:widowControl w:val="0"/>
              <w:tabs>
                <w:tab w:val="left" w:pos="567"/>
              </w:tabs>
              <w:spacing w:before="0" w:after="0" w:line="240" w:lineRule="auto"/>
              <w:jc w:val="both"/>
              <w:rPr>
                <w:rFonts w:eastAsia="SimSun"/>
                <w:b/>
                <w:sz w:val="22"/>
                <w:szCs w:val="22"/>
                <w:lang w:val="sr-Latn-ME"/>
              </w:rPr>
            </w:pPr>
            <w:r w:rsidRPr="00801AFD">
              <w:rPr>
                <w:rFonts w:eastAsia="SimSun"/>
                <w:b/>
                <w:sz w:val="22"/>
                <w:szCs w:val="22"/>
                <w:lang w:val="sr-Latn-ME"/>
              </w:rPr>
              <w:t>Osnovna MGFA klasifikacija</w:t>
            </w:r>
            <w:r w:rsidRPr="00801AFD">
              <w:rPr>
                <w:rFonts w:eastAsia="SimSun"/>
                <w:sz w:val="22"/>
                <w:szCs w:val="22"/>
                <w:lang w:val="sr-Latn-ME"/>
              </w:rPr>
              <w:br/>
              <w:t xml:space="preserve">  Klasa II (Blaga slabost) </w:t>
            </w:r>
            <w:r w:rsidRPr="00801AFD">
              <w:rPr>
                <w:rFonts w:eastAsia="SimSun"/>
                <w:sz w:val="22"/>
                <w:szCs w:val="22"/>
                <w:lang w:val="sr-Latn-ME"/>
              </w:rPr>
              <w:br/>
              <w:t xml:space="preserve">  Klasa III (Um</w:t>
            </w:r>
            <w:r w:rsidR="0099493B" w:rsidRPr="00801AFD">
              <w:rPr>
                <w:rFonts w:eastAsia="SimSun"/>
                <w:sz w:val="22"/>
                <w:szCs w:val="22"/>
                <w:lang w:val="sr-Latn-ME"/>
              </w:rPr>
              <w:t>j</w:t>
            </w:r>
            <w:r w:rsidRPr="00801AFD">
              <w:rPr>
                <w:rFonts w:eastAsia="SimSun"/>
                <w:sz w:val="22"/>
                <w:szCs w:val="22"/>
                <w:lang w:val="sr-Latn-ME"/>
              </w:rPr>
              <w:t>erena slabost)</w:t>
            </w:r>
            <w:r w:rsidRPr="00801AFD">
              <w:rPr>
                <w:rFonts w:eastAsia="SimSun"/>
                <w:sz w:val="22"/>
                <w:szCs w:val="22"/>
                <w:lang w:val="sr-Latn-ME"/>
              </w:rPr>
              <w:br/>
              <w:t xml:space="preserve">  Klasa IV (Ozbiljna slabost) </w:t>
            </w:r>
          </w:p>
        </w:tc>
        <w:tc>
          <w:tcPr>
            <w:tcW w:w="1301" w:type="pct"/>
          </w:tcPr>
          <w:p w14:paraId="0A65D828"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n (%)</w:t>
            </w:r>
          </w:p>
        </w:tc>
        <w:tc>
          <w:tcPr>
            <w:tcW w:w="748" w:type="pct"/>
          </w:tcPr>
          <w:p w14:paraId="00223A7F"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br/>
              <w:t>39 (44)</w:t>
            </w:r>
          </w:p>
          <w:p w14:paraId="3C2AC3F3"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45 (51)</w:t>
            </w:r>
          </w:p>
          <w:p w14:paraId="4FAC0264"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5 (6)</w:t>
            </w:r>
          </w:p>
        </w:tc>
        <w:tc>
          <w:tcPr>
            <w:tcW w:w="814" w:type="pct"/>
          </w:tcPr>
          <w:p w14:paraId="14E498A3"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br/>
              <w:t>39 (45)</w:t>
            </w:r>
          </w:p>
          <w:p w14:paraId="20C064AE"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41 (48)</w:t>
            </w:r>
          </w:p>
          <w:p w14:paraId="0FE33B49"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6 (7)</w:t>
            </w:r>
          </w:p>
        </w:tc>
      </w:tr>
      <w:tr w:rsidR="003D388F" w:rsidRPr="00801AFD" w14:paraId="0067E65E" w14:textId="77777777" w:rsidTr="00961C31">
        <w:tc>
          <w:tcPr>
            <w:tcW w:w="2137" w:type="pct"/>
          </w:tcPr>
          <w:p w14:paraId="34CE5F80" w14:textId="77777777" w:rsidR="003D388F" w:rsidRPr="00801AFD" w:rsidRDefault="003D388F" w:rsidP="00801AFD">
            <w:pPr>
              <w:pStyle w:val="C-BodyText"/>
              <w:widowControl w:val="0"/>
              <w:tabs>
                <w:tab w:val="left" w:pos="567"/>
              </w:tabs>
              <w:spacing w:before="0" w:after="0" w:line="240" w:lineRule="auto"/>
              <w:jc w:val="both"/>
              <w:rPr>
                <w:rFonts w:eastAsia="SimSun"/>
                <w:b/>
                <w:sz w:val="22"/>
                <w:szCs w:val="22"/>
                <w:lang w:val="sr-Latn-ME"/>
              </w:rPr>
            </w:pPr>
            <w:r w:rsidRPr="00801AFD">
              <w:rPr>
                <w:rFonts w:eastAsia="SimSun"/>
                <w:b/>
                <w:sz w:val="22"/>
                <w:szCs w:val="22"/>
                <w:lang w:val="sr-Latn-ME"/>
              </w:rPr>
              <w:t>Svaka prethodna intubacija od postavljanja dijagnoze (MGFA Klasa V)</w:t>
            </w:r>
          </w:p>
        </w:tc>
        <w:tc>
          <w:tcPr>
            <w:tcW w:w="1301" w:type="pct"/>
          </w:tcPr>
          <w:p w14:paraId="6C32893D"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n (%)</w:t>
            </w:r>
          </w:p>
        </w:tc>
        <w:tc>
          <w:tcPr>
            <w:tcW w:w="748" w:type="pct"/>
          </w:tcPr>
          <w:p w14:paraId="69C7DDE5"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9 (10.1)</w:t>
            </w:r>
          </w:p>
        </w:tc>
        <w:tc>
          <w:tcPr>
            <w:tcW w:w="814" w:type="pct"/>
          </w:tcPr>
          <w:p w14:paraId="33989A65"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8 (9.3)</w:t>
            </w:r>
          </w:p>
        </w:tc>
      </w:tr>
      <w:tr w:rsidR="003D388F" w:rsidRPr="00801AFD" w14:paraId="1A74971E" w14:textId="77777777" w:rsidTr="00961C31">
        <w:tc>
          <w:tcPr>
            <w:tcW w:w="2137" w:type="pct"/>
          </w:tcPr>
          <w:p w14:paraId="2CFD572D" w14:textId="77777777" w:rsidR="003D388F" w:rsidRPr="00801AFD" w:rsidRDefault="003D388F" w:rsidP="00801AFD">
            <w:pPr>
              <w:pStyle w:val="C-BodyText"/>
              <w:widowControl w:val="0"/>
              <w:tabs>
                <w:tab w:val="left" w:pos="567"/>
              </w:tabs>
              <w:spacing w:before="0" w:after="0" w:line="240" w:lineRule="auto"/>
              <w:jc w:val="both"/>
              <w:rPr>
                <w:rFonts w:eastAsia="SimSun"/>
                <w:b/>
                <w:sz w:val="22"/>
                <w:szCs w:val="22"/>
                <w:lang w:val="sr-Latn-ME"/>
              </w:rPr>
            </w:pPr>
            <w:r w:rsidRPr="00801AFD">
              <w:rPr>
                <w:rFonts w:eastAsia="SimSun"/>
                <w:b/>
                <w:sz w:val="22"/>
                <w:szCs w:val="22"/>
                <w:lang w:val="sr-Latn-ME"/>
              </w:rPr>
              <w:t>Broj pacijenata sa prethodnom MG krizom od postavljanja dijagnoze</w:t>
            </w:r>
            <w:r w:rsidRPr="00801AFD">
              <w:rPr>
                <w:rFonts w:eastAsia="SimSun"/>
                <w:b/>
                <w:sz w:val="22"/>
                <w:szCs w:val="22"/>
                <w:vertAlign w:val="superscript"/>
                <w:lang w:val="sr-Latn-ME"/>
              </w:rPr>
              <w:t>a</w:t>
            </w:r>
          </w:p>
        </w:tc>
        <w:tc>
          <w:tcPr>
            <w:tcW w:w="1301" w:type="pct"/>
          </w:tcPr>
          <w:p w14:paraId="0E062794"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n (%)</w:t>
            </w:r>
          </w:p>
        </w:tc>
        <w:tc>
          <w:tcPr>
            <w:tcW w:w="748" w:type="pct"/>
          </w:tcPr>
          <w:p w14:paraId="1D290C8B"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17 (19.1)</w:t>
            </w:r>
          </w:p>
        </w:tc>
        <w:tc>
          <w:tcPr>
            <w:tcW w:w="814" w:type="pct"/>
          </w:tcPr>
          <w:p w14:paraId="4AD2F7AD"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t>21 (24.4)</w:t>
            </w:r>
          </w:p>
        </w:tc>
      </w:tr>
      <w:tr w:rsidR="003D388F" w:rsidRPr="00801AFD" w14:paraId="7CB58E4A" w14:textId="77777777" w:rsidTr="00961C31">
        <w:tc>
          <w:tcPr>
            <w:tcW w:w="2137" w:type="pct"/>
          </w:tcPr>
          <w:p w14:paraId="05D629A0" w14:textId="77777777" w:rsidR="003D388F" w:rsidRPr="00801AFD" w:rsidRDefault="003D388F" w:rsidP="00801AFD">
            <w:pPr>
              <w:pStyle w:val="C-BodyText"/>
              <w:widowControl w:val="0"/>
              <w:tabs>
                <w:tab w:val="left" w:pos="567"/>
              </w:tabs>
              <w:spacing w:before="0" w:after="0" w:line="240" w:lineRule="auto"/>
              <w:jc w:val="both"/>
              <w:rPr>
                <w:rFonts w:eastAsia="SimSun"/>
                <w:b/>
                <w:sz w:val="22"/>
                <w:szCs w:val="22"/>
                <w:lang w:val="sr-Latn-ME"/>
              </w:rPr>
            </w:pPr>
            <w:r w:rsidRPr="00801AFD">
              <w:rPr>
                <w:rFonts w:eastAsia="SimSun"/>
                <w:b/>
                <w:bCs/>
                <w:sz w:val="22"/>
                <w:szCs w:val="22"/>
                <w:lang w:val="sr-Latn-ME"/>
              </w:rPr>
              <w:t>Broj stabilnih imunosupresivnih terapija</w:t>
            </w:r>
            <w:r w:rsidRPr="00801AFD">
              <w:rPr>
                <w:rFonts w:eastAsia="SimSun"/>
                <w:b/>
                <w:bCs/>
                <w:sz w:val="22"/>
                <w:szCs w:val="22"/>
                <w:vertAlign w:val="superscript"/>
                <w:lang w:val="sr-Latn-ME"/>
              </w:rPr>
              <w:t>b</w:t>
            </w:r>
            <w:r w:rsidRPr="00801AFD">
              <w:rPr>
                <w:rFonts w:eastAsia="SimSun"/>
                <w:b/>
                <w:bCs/>
                <w:sz w:val="22"/>
                <w:szCs w:val="22"/>
                <w:lang w:val="sr-Latn-ME"/>
              </w:rPr>
              <w:t xml:space="preserve"> na početku studije </w:t>
            </w:r>
          </w:p>
          <w:p w14:paraId="04079CCC" w14:textId="77777777" w:rsidR="003D388F" w:rsidRPr="00801AFD" w:rsidRDefault="003D388F" w:rsidP="00801AFD">
            <w:pPr>
              <w:pStyle w:val="C-BodyText"/>
              <w:widowControl w:val="0"/>
              <w:spacing w:before="0" w:after="0" w:line="240" w:lineRule="auto"/>
              <w:jc w:val="both"/>
              <w:rPr>
                <w:rFonts w:eastAsia="SimSun"/>
                <w:sz w:val="22"/>
                <w:szCs w:val="22"/>
                <w:lang w:val="sr-Latn-ME"/>
              </w:rPr>
            </w:pPr>
            <w:r w:rsidRPr="00801AFD">
              <w:rPr>
                <w:rFonts w:eastAsia="SimSun"/>
                <w:sz w:val="22"/>
                <w:szCs w:val="22"/>
                <w:lang w:val="sr-Latn-ME"/>
              </w:rPr>
              <w:lastRenderedPageBreak/>
              <w:t>0</w:t>
            </w:r>
          </w:p>
          <w:p w14:paraId="3316DE08" w14:textId="77777777" w:rsidR="003D388F" w:rsidRPr="00801AFD" w:rsidRDefault="003D388F" w:rsidP="00801AFD">
            <w:pPr>
              <w:pStyle w:val="C-BodyText"/>
              <w:widowControl w:val="0"/>
              <w:spacing w:before="0" w:after="0" w:line="240" w:lineRule="auto"/>
              <w:jc w:val="both"/>
              <w:rPr>
                <w:rFonts w:eastAsia="SimSun"/>
                <w:sz w:val="22"/>
                <w:szCs w:val="22"/>
                <w:lang w:val="sr-Latn-ME"/>
              </w:rPr>
            </w:pPr>
            <w:r w:rsidRPr="00801AFD">
              <w:rPr>
                <w:rFonts w:eastAsia="SimSun"/>
                <w:sz w:val="22"/>
                <w:szCs w:val="22"/>
                <w:lang w:val="sr-Latn-ME"/>
              </w:rPr>
              <w:t>1</w:t>
            </w:r>
          </w:p>
          <w:p w14:paraId="0F509AEC" w14:textId="143AB0F6" w:rsidR="003D388F" w:rsidRPr="00801AFD" w:rsidRDefault="00903D56" w:rsidP="00801AFD">
            <w:pPr>
              <w:pStyle w:val="C-BodyText"/>
              <w:widowControl w:val="0"/>
              <w:spacing w:before="0" w:after="0" w:line="240" w:lineRule="auto"/>
              <w:jc w:val="both"/>
              <w:rPr>
                <w:rFonts w:eastAsia="SimSun"/>
                <w:b/>
                <w:sz w:val="22"/>
                <w:szCs w:val="22"/>
                <w:lang w:val="sr-Latn-ME"/>
              </w:rPr>
            </w:pPr>
            <w:r w:rsidRPr="00801AFD">
              <w:rPr>
                <w:rFonts w:eastAsia="SimSun"/>
                <w:sz w:val="22"/>
                <w:szCs w:val="22"/>
                <w:lang w:val="sr-Latn-ME"/>
              </w:rPr>
              <w:t>≥</w:t>
            </w:r>
            <w:r w:rsidR="003D388F" w:rsidRPr="00801AFD">
              <w:rPr>
                <w:rFonts w:eastAsia="SimSun"/>
                <w:sz w:val="22"/>
                <w:szCs w:val="22"/>
                <w:lang w:val="sr-Latn-ME"/>
              </w:rPr>
              <w:t xml:space="preserve"> 2</w:t>
            </w:r>
          </w:p>
        </w:tc>
        <w:tc>
          <w:tcPr>
            <w:tcW w:w="1301" w:type="pct"/>
          </w:tcPr>
          <w:p w14:paraId="22540430"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lastRenderedPageBreak/>
              <w:t>n (%)</w:t>
            </w:r>
          </w:p>
        </w:tc>
        <w:tc>
          <w:tcPr>
            <w:tcW w:w="748" w:type="pct"/>
          </w:tcPr>
          <w:p w14:paraId="0C315E9C"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br/>
            </w:r>
            <w:r w:rsidRPr="00801AFD">
              <w:rPr>
                <w:rFonts w:eastAsia="SimSun"/>
                <w:sz w:val="22"/>
                <w:szCs w:val="22"/>
                <w:lang w:val="sr-Latn-ME"/>
              </w:rPr>
              <w:br/>
            </w:r>
            <w:r w:rsidRPr="00801AFD">
              <w:rPr>
                <w:rFonts w:eastAsia="SimSun"/>
                <w:sz w:val="22"/>
                <w:szCs w:val="22"/>
                <w:lang w:val="sr-Latn-ME"/>
              </w:rPr>
              <w:lastRenderedPageBreak/>
              <w:t>8 (9.0)</w:t>
            </w:r>
            <w:r w:rsidRPr="00801AFD">
              <w:rPr>
                <w:rFonts w:eastAsia="SimSun"/>
                <w:sz w:val="22"/>
                <w:szCs w:val="22"/>
                <w:lang w:val="sr-Latn-ME"/>
              </w:rPr>
              <w:br/>
              <w:t>34 (38.2)</w:t>
            </w:r>
            <w:r w:rsidRPr="00801AFD">
              <w:rPr>
                <w:rFonts w:eastAsia="SimSun"/>
                <w:sz w:val="22"/>
                <w:szCs w:val="22"/>
                <w:lang w:val="sr-Latn-ME"/>
              </w:rPr>
              <w:br/>
              <w:t>47 (52.8)</w:t>
            </w:r>
          </w:p>
        </w:tc>
        <w:tc>
          <w:tcPr>
            <w:tcW w:w="814" w:type="pct"/>
          </w:tcPr>
          <w:p w14:paraId="5D0750D9" w14:textId="77777777" w:rsidR="003D388F" w:rsidRPr="00801AFD" w:rsidRDefault="003D388F" w:rsidP="00801AFD">
            <w:pPr>
              <w:pStyle w:val="C-BodyText"/>
              <w:widowControl w:val="0"/>
              <w:spacing w:before="0" w:after="0" w:line="240" w:lineRule="auto"/>
              <w:jc w:val="center"/>
              <w:rPr>
                <w:rFonts w:eastAsia="SimSun"/>
                <w:sz w:val="22"/>
                <w:szCs w:val="22"/>
                <w:lang w:val="sr-Latn-ME"/>
              </w:rPr>
            </w:pPr>
            <w:r w:rsidRPr="00801AFD">
              <w:rPr>
                <w:rFonts w:eastAsia="SimSun"/>
                <w:sz w:val="22"/>
                <w:szCs w:val="22"/>
                <w:lang w:val="sr-Latn-ME"/>
              </w:rPr>
              <w:lastRenderedPageBreak/>
              <w:br/>
            </w:r>
            <w:r w:rsidRPr="00801AFD">
              <w:rPr>
                <w:rFonts w:eastAsia="SimSun"/>
                <w:sz w:val="22"/>
                <w:szCs w:val="22"/>
                <w:lang w:val="sr-Latn-ME"/>
              </w:rPr>
              <w:br/>
            </w:r>
            <w:r w:rsidRPr="00801AFD">
              <w:rPr>
                <w:rFonts w:eastAsia="SimSun"/>
                <w:sz w:val="22"/>
                <w:szCs w:val="22"/>
                <w:lang w:val="sr-Latn-ME"/>
              </w:rPr>
              <w:lastRenderedPageBreak/>
              <w:t>10 (11.6)</w:t>
            </w:r>
            <w:r w:rsidRPr="00801AFD">
              <w:rPr>
                <w:rFonts w:eastAsia="SimSun"/>
                <w:sz w:val="22"/>
                <w:szCs w:val="22"/>
                <w:lang w:val="sr-Latn-ME"/>
              </w:rPr>
              <w:br/>
              <w:t>40 (46.5)</w:t>
            </w:r>
            <w:r w:rsidRPr="00801AFD">
              <w:rPr>
                <w:rFonts w:eastAsia="SimSun"/>
                <w:sz w:val="22"/>
                <w:szCs w:val="22"/>
                <w:lang w:val="sr-Latn-ME"/>
              </w:rPr>
              <w:br/>
              <w:t>36 (41.9)</w:t>
            </w:r>
          </w:p>
        </w:tc>
      </w:tr>
    </w:tbl>
    <w:p w14:paraId="2FB0FEBC" w14:textId="5AC0D968" w:rsidR="003D388F" w:rsidRPr="00961C31" w:rsidRDefault="003D388F" w:rsidP="00801AFD">
      <w:pPr>
        <w:widowControl w:val="0"/>
        <w:autoSpaceDE w:val="0"/>
        <w:autoSpaceDN w:val="0"/>
        <w:adjustRightInd w:val="0"/>
        <w:jc w:val="both"/>
        <w:rPr>
          <w:color w:val="000000"/>
          <w:sz w:val="20"/>
          <w:szCs w:val="22"/>
          <w:lang w:val="sr-Latn-ME"/>
        </w:rPr>
      </w:pPr>
      <w:r w:rsidRPr="00961C31">
        <w:rPr>
          <w:color w:val="000000"/>
          <w:sz w:val="20"/>
          <w:szCs w:val="22"/>
          <w:vertAlign w:val="superscript"/>
          <w:lang w:val="sr-Latn-ME"/>
        </w:rPr>
        <w:lastRenderedPageBreak/>
        <w:t xml:space="preserve">a </w:t>
      </w:r>
      <w:r w:rsidRPr="00961C31">
        <w:rPr>
          <w:color w:val="000000"/>
          <w:sz w:val="20"/>
          <w:szCs w:val="22"/>
          <w:lang w:val="sr-Latn-ME"/>
        </w:rPr>
        <w:t>Informacije o prethodnoj MG krizi su sakupljene kao d</w:t>
      </w:r>
      <w:r w:rsidR="0099493B" w:rsidRPr="00961C31">
        <w:rPr>
          <w:color w:val="000000"/>
          <w:sz w:val="20"/>
          <w:szCs w:val="22"/>
          <w:lang w:val="sr-Latn-ME"/>
        </w:rPr>
        <w:t>i</w:t>
      </w:r>
      <w:r w:rsidRPr="00961C31">
        <w:rPr>
          <w:color w:val="000000"/>
          <w:sz w:val="20"/>
          <w:szCs w:val="22"/>
          <w:lang w:val="sr-Latn-ME"/>
        </w:rPr>
        <w:t>o medicinske istorije i ni</w:t>
      </w:r>
      <w:r w:rsidR="0032553B" w:rsidRPr="00961C31">
        <w:rPr>
          <w:color w:val="000000"/>
          <w:sz w:val="20"/>
          <w:szCs w:val="22"/>
          <w:lang w:val="sr-Latn-ME"/>
        </w:rPr>
        <w:t>je</w:t>
      </w:r>
      <w:r w:rsidRPr="00961C31">
        <w:rPr>
          <w:color w:val="000000"/>
          <w:sz w:val="20"/>
          <w:szCs w:val="22"/>
          <w:lang w:val="sr-Latn-ME"/>
        </w:rPr>
        <w:t>su evaluirane po kliničkom protokolu.</w:t>
      </w:r>
    </w:p>
    <w:p w14:paraId="342934AF" w14:textId="7B0B1DA8" w:rsidR="003D388F" w:rsidRPr="00961C31" w:rsidRDefault="003D388F" w:rsidP="00801AFD">
      <w:pPr>
        <w:widowControl w:val="0"/>
        <w:tabs>
          <w:tab w:val="left" w:pos="284"/>
        </w:tabs>
        <w:jc w:val="both"/>
        <w:rPr>
          <w:color w:val="000000"/>
          <w:sz w:val="20"/>
          <w:szCs w:val="22"/>
          <w:lang w:val="sr-Latn-ME"/>
        </w:rPr>
      </w:pPr>
      <w:r w:rsidRPr="00961C31">
        <w:rPr>
          <w:sz w:val="20"/>
          <w:szCs w:val="22"/>
          <w:vertAlign w:val="superscript"/>
          <w:lang w:val="sr-Latn-ME"/>
        </w:rPr>
        <w:t xml:space="preserve">b </w:t>
      </w:r>
      <w:r w:rsidRPr="00961C31">
        <w:rPr>
          <w:sz w:val="20"/>
          <w:szCs w:val="22"/>
          <w:lang w:val="sr-Latn-ME"/>
        </w:rPr>
        <w:t xml:space="preserve">Imunosupresivna terapija uključuje kortikosteroide, azatioprin, ciklofosfamid, ciklosporin, metotreksat, mikofenolat mofetil ili takrolimus. Skraćenice: Max = maksimum; min = minimum; MG = mijastenija gravis; MG-ADL = Mijastenija Gravis </w:t>
      </w:r>
      <w:r w:rsidR="0032553B" w:rsidRPr="00961C31">
        <w:rPr>
          <w:sz w:val="20"/>
          <w:szCs w:val="22"/>
          <w:lang w:val="sr-Latn-ME"/>
        </w:rPr>
        <w:t>a</w:t>
      </w:r>
      <w:r w:rsidRPr="00961C31">
        <w:rPr>
          <w:sz w:val="20"/>
          <w:szCs w:val="22"/>
          <w:lang w:val="sr-Latn-ME"/>
        </w:rPr>
        <w:t xml:space="preserve">ktivnosti svakodnevnog života (Myasthenia Gravis Activities of Daily Living); MGFA = Mijastenija gravis </w:t>
      </w:r>
      <w:r w:rsidRPr="00961C31">
        <w:rPr>
          <w:color w:val="000000"/>
          <w:sz w:val="20"/>
          <w:szCs w:val="22"/>
          <w:lang w:val="sr-Latn-ME"/>
        </w:rPr>
        <w:t>američka fondacija (Myasthenia Gravis Foundation of America); QMG = kvantitativna mijastenija gravis; SD = standardna devijacija</w:t>
      </w:r>
    </w:p>
    <w:p w14:paraId="2BD6F4DE" w14:textId="044A220C" w:rsidR="003D388F" w:rsidRPr="00961C31" w:rsidRDefault="003D388F" w:rsidP="00801AFD">
      <w:pPr>
        <w:widowControl w:val="0"/>
        <w:tabs>
          <w:tab w:val="left" w:pos="284"/>
        </w:tabs>
        <w:jc w:val="both"/>
        <w:rPr>
          <w:color w:val="000000"/>
          <w:sz w:val="20"/>
          <w:szCs w:val="22"/>
          <w:lang w:val="sr-Latn-ME"/>
        </w:rPr>
      </w:pPr>
      <w:r w:rsidRPr="00961C31">
        <w:rPr>
          <w:color w:val="000000"/>
          <w:sz w:val="20"/>
          <w:szCs w:val="22"/>
          <w:lang w:val="sr-Latn-ME"/>
        </w:rPr>
        <w:t>M</w:t>
      </w:r>
      <w:r w:rsidR="0099493B" w:rsidRPr="00961C31">
        <w:rPr>
          <w:color w:val="000000"/>
          <w:sz w:val="20"/>
          <w:szCs w:val="22"/>
          <w:lang w:val="sr-Latn-ME"/>
        </w:rPr>
        <w:t>j</w:t>
      </w:r>
      <w:r w:rsidRPr="00961C31">
        <w:rPr>
          <w:color w:val="000000"/>
          <w:sz w:val="20"/>
          <w:szCs w:val="22"/>
          <w:lang w:val="sr-Latn-ME"/>
        </w:rPr>
        <w:t>era primarnog parametra praćenja ishoda bila je prom</w:t>
      </w:r>
      <w:r w:rsidR="0099493B" w:rsidRPr="00961C31">
        <w:rPr>
          <w:color w:val="000000"/>
          <w:sz w:val="20"/>
          <w:szCs w:val="22"/>
          <w:lang w:val="sr-Latn-ME"/>
        </w:rPr>
        <w:t>j</w:t>
      </w:r>
      <w:r w:rsidRPr="00961C31">
        <w:rPr>
          <w:color w:val="000000"/>
          <w:sz w:val="20"/>
          <w:szCs w:val="22"/>
          <w:lang w:val="sr-Latn-ME"/>
        </w:rPr>
        <w:t>ena u MG-ADL ukupnom skoru od početne do 26-e nedelje.</w:t>
      </w:r>
    </w:p>
    <w:p w14:paraId="707CB393" w14:textId="5FD95538" w:rsidR="003D388F" w:rsidRPr="00961C31" w:rsidRDefault="003D388F" w:rsidP="00801AFD">
      <w:pPr>
        <w:widowControl w:val="0"/>
        <w:tabs>
          <w:tab w:val="left" w:pos="284"/>
        </w:tabs>
        <w:jc w:val="both"/>
        <w:rPr>
          <w:color w:val="000000"/>
          <w:sz w:val="20"/>
          <w:szCs w:val="22"/>
          <w:lang w:val="sr-Latn-ME"/>
        </w:rPr>
      </w:pPr>
      <w:r w:rsidRPr="00961C31">
        <w:rPr>
          <w:color w:val="000000"/>
          <w:sz w:val="20"/>
          <w:szCs w:val="22"/>
          <w:lang w:val="sr-Latn-ME"/>
        </w:rPr>
        <w:t>M</w:t>
      </w:r>
      <w:r w:rsidR="0099493B" w:rsidRPr="00961C31">
        <w:rPr>
          <w:color w:val="000000"/>
          <w:sz w:val="20"/>
          <w:szCs w:val="22"/>
          <w:lang w:val="sr-Latn-ME"/>
        </w:rPr>
        <w:t>j</w:t>
      </w:r>
      <w:r w:rsidRPr="00961C31">
        <w:rPr>
          <w:color w:val="000000"/>
          <w:sz w:val="20"/>
          <w:szCs w:val="22"/>
          <w:lang w:val="sr-Latn-ME"/>
        </w:rPr>
        <w:t>era sekundarnog parametra praćenja ishoda takođe su bile prom</w:t>
      </w:r>
      <w:r w:rsidR="0099493B" w:rsidRPr="00961C31">
        <w:rPr>
          <w:color w:val="000000"/>
          <w:sz w:val="20"/>
          <w:szCs w:val="22"/>
          <w:lang w:val="sr-Latn-ME"/>
        </w:rPr>
        <w:t>j</w:t>
      </w:r>
      <w:r w:rsidRPr="00961C31">
        <w:rPr>
          <w:color w:val="000000"/>
          <w:sz w:val="20"/>
          <w:szCs w:val="22"/>
          <w:lang w:val="sr-Latn-ME"/>
        </w:rPr>
        <w:t>ene od početne do 26-e ned</w:t>
      </w:r>
      <w:r w:rsidR="0032553B" w:rsidRPr="00961C31">
        <w:rPr>
          <w:color w:val="000000"/>
          <w:sz w:val="20"/>
          <w:szCs w:val="22"/>
          <w:lang w:val="sr-Latn-ME"/>
        </w:rPr>
        <w:t>j</w:t>
      </w:r>
      <w:r w:rsidRPr="00961C31">
        <w:rPr>
          <w:color w:val="000000"/>
          <w:sz w:val="20"/>
          <w:szCs w:val="22"/>
          <w:lang w:val="sr-Latn-ME"/>
        </w:rPr>
        <w:t>elje, uključujući prom</w:t>
      </w:r>
      <w:r w:rsidR="0099493B" w:rsidRPr="00961C31">
        <w:rPr>
          <w:color w:val="000000"/>
          <w:sz w:val="20"/>
          <w:szCs w:val="22"/>
          <w:lang w:val="sr-Latn-ME"/>
        </w:rPr>
        <w:t>j</w:t>
      </w:r>
      <w:r w:rsidRPr="00961C31">
        <w:rPr>
          <w:color w:val="000000"/>
          <w:sz w:val="20"/>
          <w:szCs w:val="22"/>
          <w:lang w:val="sr-Latn-ME"/>
        </w:rPr>
        <w:t xml:space="preserve">enu u QMG ukupnom skoru, </w:t>
      </w:r>
      <w:r w:rsidR="0099493B" w:rsidRPr="00961C31">
        <w:rPr>
          <w:color w:val="000000"/>
          <w:sz w:val="20"/>
          <w:szCs w:val="22"/>
          <w:lang w:val="sr-Latn-ME"/>
        </w:rPr>
        <w:t xml:space="preserve">udio </w:t>
      </w:r>
      <w:r w:rsidRPr="00961C31">
        <w:rPr>
          <w:color w:val="000000"/>
          <w:sz w:val="20"/>
          <w:szCs w:val="22"/>
          <w:lang w:val="sr-Latn-ME"/>
        </w:rPr>
        <w:t>pacijenata sa poboljšanjem od najmanje 5 i 3 bodova u QMG i MG-ADL ukupnom skoru, redom, kao i prom</w:t>
      </w:r>
      <w:r w:rsidR="0099493B" w:rsidRPr="00961C31">
        <w:rPr>
          <w:color w:val="000000"/>
          <w:sz w:val="20"/>
          <w:szCs w:val="22"/>
          <w:lang w:val="sr-Latn-ME"/>
        </w:rPr>
        <w:t>j</w:t>
      </w:r>
      <w:r w:rsidRPr="00961C31">
        <w:rPr>
          <w:color w:val="000000"/>
          <w:sz w:val="20"/>
          <w:szCs w:val="22"/>
          <w:lang w:val="sr-Latn-ME"/>
        </w:rPr>
        <w:t>ene u proc</w:t>
      </w:r>
      <w:r w:rsidR="0032553B" w:rsidRPr="00961C31">
        <w:rPr>
          <w:color w:val="000000"/>
          <w:sz w:val="20"/>
          <w:szCs w:val="22"/>
          <w:lang w:val="sr-Latn-ME"/>
        </w:rPr>
        <w:t>j</w:t>
      </w:r>
      <w:r w:rsidRPr="00961C31">
        <w:rPr>
          <w:color w:val="000000"/>
          <w:sz w:val="20"/>
          <w:szCs w:val="22"/>
          <w:lang w:val="sr-Latn-ME"/>
        </w:rPr>
        <w:t>eni kvaliteta života.</w:t>
      </w:r>
    </w:p>
    <w:p w14:paraId="7B0200D1" w14:textId="6B4BEE0A" w:rsidR="003D388F" w:rsidRPr="00961C31" w:rsidRDefault="003D388F" w:rsidP="00801AFD">
      <w:pPr>
        <w:widowControl w:val="0"/>
        <w:autoSpaceDE w:val="0"/>
        <w:autoSpaceDN w:val="0"/>
        <w:adjustRightInd w:val="0"/>
        <w:jc w:val="both"/>
        <w:rPr>
          <w:color w:val="000000"/>
          <w:sz w:val="20"/>
          <w:szCs w:val="22"/>
          <w:lang w:val="sr-Latn-ME"/>
        </w:rPr>
      </w:pPr>
      <w:r w:rsidRPr="00961C31">
        <w:rPr>
          <w:color w:val="000000"/>
          <w:sz w:val="20"/>
          <w:szCs w:val="22"/>
          <w:lang w:val="sr-Latn-ME"/>
        </w:rPr>
        <w:t>Ravulizumab je pokazao statistički značajnu prom</w:t>
      </w:r>
      <w:r w:rsidR="0099493B" w:rsidRPr="00961C31">
        <w:rPr>
          <w:color w:val="000000"/>
          <w:sz w:val="20"/>
          <w:szCs w:val="22"/>
          <w:lang w:val="sr-Latn-ME"/>
        </w:rPr>
        <w:t>j</w:t>
      </w:r>
      <w:r w:rsidRPr="00961C31">
        <w:rPr>
          <w:color w:val="000000"/>
          <w:sz w:val="20"/>
          <w:szCs w:val="22"/>
          <w:lang w:val="sr-Latn-ME"/>
        </w:rPr>
        <w:t xml:space="preserve">enu u MG-ADL ukupnom skoru u poređenju sa placebom. Rezultati primarnog i sekundarnog parametra praćenja ishoda predstavljeni su u Tabeli </w:t>
      </w:r>
      <w:r w:rsidR="00AE5148" w:rsidRPr="00961C31">
        <w:rPr>
          <w:color w:val="000000"/>
          <w:sz w:val="20"/>
          <w:szCs w:val="22"/>
          <w:lang w:val="sr-Latn-ME"/>
        </w:rPr>
        <w:t>17</w:t>
      </w:r>
      <w:r w:rsidRPr="00961C31">
        <w:rPr>
          <w:color w:val="000000"/>
          <w:sz w:val="20"/>
          <w:szCs w:val="22"/>
          <w:lang w:val="sr-Latn-ME"/>
        </w:rPr>
        <w:t xml:space="preserve">. </w:t>
      </w:r>
    </w:p>
    <w:p w14:paraId="16E639DB" w14:textId="77777777" w:rsidR="003D388F" w:rsidRPr="00801AFD" w:rsidRDefault="003D388F" w:rsidP="00801AFD">
      <w:pPr>
        <w:widowControl w:val="0"/>
        <w:autoSpaceDE w:val="0"/>
        <w:autoSpaceDN w:val="0"/>
        <w:adjustRightInd w:val="0"/>
        <w:jc w:val="both"/>
        <w:rPr>
          <w:color w:val="000000"/>
          <w:sz w:val="22"/>
          <w:szCs w:val="22"/>
          <w:lang w:val="sr-Latn-ME"/>
        </w:rPr>
      </w:pPr>
    </w:p>
    <w:p w14:paraId="0448073F" w14:textId="5AF7DE75" w:rsidR="003D388F" w:rsidRPr="00801AFD" w:rsidRDefault="003D388F" w:rsidP="00801AFD">
      <w:pPr>
        <w:pStyle w:val="Default"/>
        <w:widowControl w:val="0"/>
        <w:jc w:val="both"/>
        <w:rPr>
          <w:rFonts w:eastAsia="SimSun"/>
          <w:b/>
          <w:color w:val="auto"/>
          <w:sz w:val="22"/>
          <w:szCs w:val="22"/>
          <w:lang w:val="sr-Latn-ME" w:eastAsia="ja-JP"/>
        </w:rPr>
      </w:pPr>
      <w:r w:rsidRPr="00801AFD">
        <w:rPr>
          <w:rFonts w:eastAsia="SimSun"/>
          <w:b/>
          <w:color w:val="auto"/>
          <w:sz w:val="22"/>
          <w:szCs w:val="22"/>
          <w:lang w:val="sr-Latn-ME" w:eastAsia="ja-JP"/>
        </w:rPr>
        <w:t xml:space="preserve">Tabela </w:t>
      </w:r>
      <w:r w:rsidR="00AE5148" w:rsidRPr="00801AFD">
        <w:rPr>
          <w:rFonts w:eastAsia="SimSun"/>
          <w:b/>
          <w:color w:val="auto"/>
          <w:sz w:val="22"/>
          <w:szCs w:val="22"/>
          <w:lang w:val="sr-Latn-ME" w:eastAsia="ja-JP"/>
        </w:rPr>
        <w:t>17</w:t>
      </w:r>
      <w:r w:rsidRPr="00801AFD">
        <w:rPr>
          <w:rFonts w:eastAsia="SimSun"/>
          <w:b/>
          <w:color w:val="auto"/>
          <w:sz w:val="22"/>
          <w:szCs w:val="22"/>
          <w:lang w:val="sr-Latn-ME" w:eastAsia="ja-JP"/>
        </w:rPr>
        <w:t>: Analiza primarnih i sekundarnih parametara praćenja ishoda efikasnosti</w:t>
      </w:r>
    </w:p>
    <w:p w14:paraId="6E0961C1" w14:textId="77777777" w:rsidR="003D388F" w:rsidRPr="00801AFD" w:rsidRDefault="003D388F" w:rsidP="00801AFD">
      <w:pPr>
        <w:pStyle w:val="Default"/>
        <w:widowControl w:val="0"/>
        <w:jc w:val="both"/>
        <w:rPr>
          <w:rFonts w:eastAsia="SimSun"/>
          <w:b/>
          <w:color w:val="auto"/>
          <w:sz w:val="22"/>
          <w:szCs w:val="22"/>
          <w:lang w:val="sr-Latn-ME"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559"/>
        <w:gridCol w:w="1985"/>
        <w:gridCol w:w="1067"/>
        <w:gridCol w:w="1480"/>
      </w:tblGrid>
      <w:tr w:rsidR="00986850" w:rsidRPr="00801AFD" w14:paraId="2856D7E6" w14:textId="77777777" w:rsidTr="00986850">
        <w:tc>
          <w:tcPr>
            <w:tcW w:w="1696" w:type="dxa"/>
          </w:tcPr>
          <w:p w14:paraId="34C97DF0" w14:textId="3DCDCB8E" w:rsidR="003D388F" w:rsidRPr="00801AFD" w:rsidRDefault="003D388F" w:rsidP="00986850">
            <w:pPr>
              <w:widowControl w:val="0"/>
              <w:jc w:val="both"/>
              <w:rPr>
                <w:b/>
                <w:sz w:val="22"/>
                <w:szCs w:val="22"/>
                <w:lang w:val="sr-Latn-ME"/>
              </w:rPr>
            </w:pPr>
            <w:r w:rsidRPr="00801AFD">
              <w:rPr>
                <w:b/>
                <w:sz w:val="22"/>
                <w:szCs w:val="22"/>
                <w:lang w:val="sr-Latn-ME"/>
              </w:rPr>
              <w:t xml:space="preserve">Parametar </w:t>
            </w:r>
            <w:r w:rsidR="00986850">
              <w:rPr>
                <w:b/>
                <w:sz w:val="22"/>
                <w:szCs w:val="22"/>
                <w:lang w:val="sr-Latn-ME"/>
              </w:rPr>
              <w:t>p</w:t>
            </w:r>
            <w:r w:rsidRPr="00801AFD">
              <w:rPr>
                <w:b/>
                <w:sz w:val="22"/>
                <w:szCs w:val="22"/>
                <w:lang w:val="sr-Latn-ME"/>
              </w:rPr>
              <w:t>raćenja ishoda Efikasnosti u 26</w:t>
            </w:r>
            <w:r w:rsidR="00986850">
              <w:rPr>
                <w:b/>
                <w:sz w:val="22"/>
                <w:szCs w:val="22"/>
                <w:lang w:val="sr-Latn-ME"/>
              </w:rPr>
              <w:t>.</w:t>
            </w:r>
            <w:r w:rsidRPr="00801AFD">
              <w:rPr>
                <w:b/>
                <w:sz w:val="22"/>
                <w:szCs w:val="22"/>
                <w:lang w:val="sr-Latn-ME"/>
              </w:rPr>
              <w:t xml:space="preserve"> ned</w:t>
            </w:r>
            <w:r w:rsidR="0032553B" w:rsidRPr="00801AFD">
              <w:rPr>
                <w:b/>
                <w:sz w:val="22"/>
                <w:szCs w:val="22"/>
                <w:lang w:val="sr-Latn-ME"/>
              </w:rPr>
              <w:t>j</w:t>
            </w:r>
            <w:r w:rsidRPr="00801AFD">
              <w:rPr>
                <w:b/>
                <w:sz w:val="22"/>
                <w:szCs w:val="22"/>
                <w:lang w:val="sr-Latn-ME"/>
              </w:rPr>
              <w:t>elji</w:t>
            </w:r>
          </w:p>
        </w:tc>
        <w:tc>
          <w:tcPr>
            <w:tcW w:w="1276" w:type="dxa"/>
          </w:tcPr>
          <w:p w14:paraId="30F13023" w14:textId="77777777" w:rsidR="003D388F" w:rsidRPr="00801AFD" w:rsidRDefault="003D388F" w:rsidP="00801AFD">
            <w:pPr>
              <w:widowControl w:val="0"/>
              <w:jc w:val="both"/>
              <w:rPr>
                <w:b/>
                <w:sz w:val="22"/>
                <w:szCs w:val="22"/>
                <w:lang w:val="sr-Latn-ME"/>
              </w:rPr>
            </w:pPr>
            <w:r w:rsidRPr="00801AFD">
              <w:rPr>
                <w:b/>
                <w:sz w:val="22"/>
                <w:szCs w:val="22"/>
                <w:lang w:val="sr-Latn-ME"/>
              </w:rPr>
              <w:t>Placebo</w:t>
            </w:r>
          </w:p>
          <w:p w14:paraId="2FD0814A" w14:textId="77777777" w:rsidR="003D388F" w:rsidRPr="00801AFD" w:rsidRDefault="003D388F" w:rsidP="00801AFD">
            <w:pPr>
              <w:widowControl w:val="0"/>
              <w:jc w:val="both"/>
              <w:rPr>
                <w:b/>
                <w:sz w:val="22"/>
                <w:szCs w:val="22"/>
                <w:lang w:val="sr-Latn-ME"/>
              </w:rPr>
            </w:pPr>
            <w:r w:rsidRPr="00801AFD">
              <w:rPr>
                <w:b/>
                <w:sz w:val="22"/>
                <w:szCs w:val="22"/>
                <w:lang w:val="sr-Latn-ME"/>
              </w:rPr>
              <w:t>(N = 89)</w:t>
            </w:r>
          </w:p>
          <w:p w14:paraId="6CFCADCD" w14:textId="1C3D7325" w:rsidR="003D388F" w:rsidRPr="00801AFD" w:rsidRDefault="003D388F" w:rsidP="00801AFD">
            <w:pPr>
              <w:widowControl w:val="0"/>
              <w:jc w:val="both"/>
              <w:rPr>
                <w:b/>
                <w:sz w:val="22"/>
                <w:szCs w:val="22"/>
                <w:lang w:val="sr-Latn-ME"/>
              </w:rPr>
            </w:pPr>
            <w:r w:rsidRPr="00801AFD">
              <w:rPr>
                <w:b/>
                <w:sz w:val="22"/>
                <w:szCs w:val="22"/>
                <w:lang w:val="sr-Latn-ME"/>
              </w:rPr>
              <w:t>LS Srednja vr</w:t>
            </w:r>
            <w:r w:rsidR="0032553B" w:rsidRPr="00801AFD">
              <w:rPr>
                <w:b/>
                <w:sz w:val="22"/>
                <w:szCs w:val="22"/>
                <w:lang w:val="sr-Latn-ME"/>
              </w:rPr>
              <w:t>ij</w:t>
            </w:r>
            <w:r w:rsidRPr="00801AFD">
              <w:rPr>
                <w:b/>
                <w:sz w:val="22"/>
                <w:szCs w:val="22"/>
                <w:lang w:val="sr-Latn-ME"/>
              </w:rPr>
              <w:t xml:space="preserve">ednost (SEM) </w:t>
            </w:r>
          </w:p>
        </w:tc>
        <w:tc>
          <w:tcPr>
            <w:tcW w:w="1559" w:type="dxa"/>
          </w:tcPr>
          <w:p w14:paraId="34A47AF9" w14:textId="77777777" w:rsidR="003D388F" w:rsidRPr="00801AFD" w:rsidRDefault="003D388F" w:rsidP="00801AFD">
            <w:pPr>
              <w:widowControl w:val="0"/>
              <w:jc w:val="both"/>
              <w:rPr>
                <w:b/>
                <w:sz w:val="22"/>
                <w:szCs w:val="22"/>
                <w:lang w:val="sr-Latn-ME"/>
              </w:rPr>
            </w:pPr>
            <w:r w:rsidRPr="00801AFD">
              <w:rPr>
                <w:b/>
                <w:sz w:val="22"/>
                <w:szCs w:val="22"/>
                <w:lang w:val="sr-Latn-ME"/>
              </w:rPr>
              <w:t>Ravulizumab</w:t>
            </w:r>
          </w:p>
          <w:p w14:paraId="250E72B5" w14:textId="77777777" w:rsidR="003D388F" w:rsidRPr="00801AFD" w:rsidRDefault="003D388F" w:rsidP="00801AFD">
            <w:pPr>
              <w:widowControl w:val="0"/>
              <w:jc w:val="both"/>
              <w:rPr>
                <w:b/>
                <w:sz w:val="22"/>
                <w:szCs w:val="22"/>
                <w:lang w:val="sr-Latn-ME"/>
              </w:rPr>
            </w:pPr>
            <w:r w:rsidRPr="00801AFD">
              <w:rPr>
                <w:b/>
                <w:sz w:val="22"/>
                <w:szCs w:val="22"/>
                <w:lang w:val="sr-Latn-ME"/>
              </w:rPr>
              <w:t>(N = 86)</w:t>
            </w:r>
          </w:p>
          <w:p w14:paraId="365351D6" w14:textId="3B4D561E" w:rsidR="003D388F" w:rsidRPr="00801AFD" w:rsidRDefault="003D388F" w:rsidP="00801AFD">
            <w:pPr>
              <w:widowControl w:val="0"/>
              <w:jc w:val="both"/>
              <w:rPr>
                <w:b/>
                <w:sz w:val="22"/>
                <w:szCs w:val="22"/>
                <w:lang w:val="sr-Latn-ME"/>
              </w:rPr>
            </w:pPr>
            <w:r w:rsidRPr="00801AFD">
              <w:rPr>
                <w:b/>
                <w:sz w:val="22"/>
                <w:szCs w:val="22"/>
                <w:lang w:val="sr-Latn-ME"/>
              </w:rPr>
              <w:t>LS Srednja vr</w:t>
            </w:r>
            <w:r w:rsidR="0032553B" w:rsidRPr="00801AFD">
              <w:rPr>
                <w:b/>
                <w:sz w:val="22"/>
                <w:szCs w:val="22"/>
                <w:lang w:val="sr-Latn-ME"/>
              </w:rPr>
              <w:t>ij</w:t>
            </w:r>
            <w:r w:rsidRPr="00801AFD">
              <w:rPr>
                <w:b/>
                <w:sz w:val="22"/>
                <w:szCs w:val="22"/>
                <w:lang w:val="sr-Latn-ME"/>
              </w:rPr>
              <w:t>ednost (SEM)</w:t>
            </w:r>
          </w:p>
        </w:tc>
        <w:tc>
          <w:tcPr>
            <w:tcW w:w="1985" w:type="dxa"/>
          </w:tcPr>
          <w:p w14:paraId="35774E8B" w14:textId="77777777" w:rsidR="003D388F" w:rsidRPr="00801AFD" w:rsidRDefault="003D388F" w:rsidP="00801AFD">
            <w:pPr>
              <w:widowControl w:val="0"/>
              <w:jc w:val="both"/>
              <w:rPr>
                <w:b/>
                <w:sz w:val="22"/>
                <w:szCs w:val="22"/>
                <w:lang w:val="sr-Latn-ME"/>
              </w:rPr>
            </w:pPr>
            <w:r w:rsidRPr="00801AFD">
              <w:rPr>
                <w:b/>
                <w:sz w:val="22"/>
                <w:szCs w:val="22"/>
                <w:lang w:val="sr-Latn-ME"/>
              </w:rPr>
              <w:t>Statistika za komparaciju</w:t>
            </w:r>
          </w:p>
        </w:tc>
        <w:tc>
          <w:tcPr>
            <w:tcW w:w="1067" w:type="dxa"/>
          </w:tcPr>
          <w:p w14:paraId="3D0CEF22" w14:textId="5DEDBCCA" w:rsidR="003D388F" w:rsidRPr="00801AFD" w:rsidRDefault="003D388F" w:rsidP="00801AFD">
            <w:pPr>
              <w:widowControl w:val="0"/>
              <w:jc w:val="both"/>
              <w:rPr>
                <w:b/>
                <w:sz w:val="22"/>
                <w:szCs w:val="22"/>
                <w:lang w:val="sr-Latn-ME"/>
              </w:rPr>
            </w:pPr>
            <w:r w:rsidRPr="00801AFD">
              <w:rPr>
                <w:b/>
                <w:sz w:val="22"/>
                <w:szCs w:val="22"/>
                <w:lang w:val="sr-Latn-ME"/>
              </w:rPr>
              <w:t>Efekat l</w:t>
            </w:r>
            <w:r w:rsidR="0099493B" w:rsidRPr="00801AFD">
              <w:rPr>
                <w:b/>
                <w:sz w:val="22"/>
                <w:szCs w:val="22"/>
                <w:lang w:val="sr-Latn-ME"/>
              </w:rPr>
              <w:t>ij</w:t>
            </w:r>
            <w:r w:rsidRPr="00801AFD">
              <w:rPr>
                <w:b/>
                <w:sz w:val="22"/>
                <w:szCs w:val="22"/>
                <w:lang w:val="sr-Latn-ME"/>
              </w:rPr>
              <w:t xml:space="preserve">ečenja </w:t>
            </w:r>
            <w:r w:rsidRPr="00801AFD">
              <w:rPr>
                <w:b/>
                <w:sz w:val="22"/>
                <w:szCs w:val="22"/>
                <w:lang w:val="sr-Latn-ME"/>
              </w:rPr>
              <w:br/>
              <w:t>(95% CI)</w:t>
            </w:r>
          </w:p>
        </w:tc>
        <w:tc>
          <w:tcPr>
            <w:tcW w:w="1480" w:type="dxa"/>
          </w:tcPr>
          <w:p w14:paraId="343EAD84" w14:textId="28128A5C" w:rsidR="003D388F" w:rsidRPr="00801AFD" w:rsidRDefault="003D388F" w:rsidP="00801AFD">
            <w:pPr>
              <w:widowControl w:val="0"/>
              <w:jc w:val="both"/>
              <w:rPr>
                <w:b/>
                <w:sz w:val="22"/>
                <w:szCs w:val="22"/>
                <w:lang w:val="sr-Latn-ME"/>
              </w:rPr>
            </w:pPr>
            <w:r w:rsidRPr="00801AFD">
              <w:rPr>
                <w:b/>
                <w:sz w:val="22"/>
                <w:szCs w:val="22"/>
                <w:lang w:val="sr-Latn-ME"/>
              </w:rPr>
              <w:t>p-vr</w:t>
            </w:r>
            <w:r w:rsidR="0099493B" w:rsidRPr="00801AFD">
              <w:rPr>
                <w:b/>
                <w:sz w:val="22"/>
                <w:szCs w:val="22"/>
                <w:lang w:val="sr-Latn-ME"/>
              </w:rPr>
              <w:t>ij</w:t>
            </w:r>
            <w:r w:rsidRPr="00801AFD">
              <w:rPr>
                <w:b/>
                <w:sz w:val="22"/>
                <w:szCs w:val="22"/>
                <w:lang w:val="sr-Latn-ME"/>
              </w:rPr>
              <w:t>ednost</w:t>
            </w:r>
          </w:p>
          <w:p w14:paraId="63936356" w14:textId="376BE6A0" w:rsidR="003D388F" w:rsidRPr="00801AFD" w:rsidRDefault="003D388F" w:rsidP="00801AFD">
            <w:pPr>
              <w:widowControl w:val="0"/>
              <w:jc w:val="both"/>
              <w:rPr>
                <w:b/>
                <w:sz w:val="22"/>
                <w:szCs w:val="22"/>
                <w:lang w:val="sr-Latn-ME"/>
              </w:rPr>
            </w:pPr>
            <w:r w:rsidRPr="00801AFD">
              <w:rPr>
                <w:b/>
                <w:sz w:val="22"/>
                <w:szCs w:val="22"/>
                <w:lang w:val="sr-Latn-ME"/>
              </w:rPr>
              <w:t>(Korišćenjem m</w:t>
            </w:r>
            <w:r w:rsidR="0032553B" w:rsidRPr="00801AFD">
              <w:rPr>
                <w:b/>
                <w:sz w:val="22"/>
                <w:szCs w:val="22"/>
                <w:lang w:val="sr-Latn-ME"/>
              </w:rPr>
              <w:t>j</w:t>
            </w:r>
            <w:r w:rsidRPr="00801AFD">
              <w:rPr>
                <w:b/>
                <w:sz w:val="22"/>
                <w:szCs w:val="22"/>
                <w:lang w:val="sr-Latn-ME"/>
              </w:rPr>
              <w:t>ešovitog efekta ponovljenih m</w:t>
            </w:r>
            <w:r w:rsidR="0099493B" w:rsidRPr="00801AFD">
              <w:rPr>
                <w:b/>
                <w:sz w:val="22"/>
                <w:szCs w:val="22"/>
                <w:lang w:val="sr-Latn-ME"/>
              </w:rPr>
              <w:t>j</w:t>
            </w:r>
            <w:r w:rsidRPr="00801AFD">
              <w:rPr>
                <w:b/>
                <w:sz w:val="22"/>
                <w:szCs w:val="22"/>
                <w:lang w:val="sr-Latn-ME"/>
              </w:rPr>
              <w:t>erenja)</w:t>
            </w:r>
          </w:p>
        </w:tc>
      </w:tr>
      <w:tr w:rsidR="00986850" w:rsidRPr="00801AFD" w14:paraId="67AAB943" w14:textId="77777777" w:rsidTr="00986850">
        <w:tc>
          <w:tcPr>
            <w:tcW w:w="1696" w:type="dxa"/>
          </w:tcPr>
          <w:p w14:paraId="26A55D7C" w14:textId="77777777" w:rsidR="003D388F" w:rsidRPr="00801AFD" w:rsidRDefault="003D388F" w:rsidP="00801AFD">
            <w:pPr>
              <w:widowControl w:val="0"/>
              <w:jc w:val="both"/>
              <w:rPr>
                <w:sz w:val="22"/>
                <w:szCs w:val="22"/>
                <w:lang w:val="sr-Latn-ME"/>
              </w:rPr>
            </w:pPr>
            <w:r w:rsidRPr="00801AFD">
              <w:rPr>
                <w:sz w:val="22"/>
                <w:szCs w:val="22"/>
                <w:lang w:val="sr-Latn-ME"/>
              </w:rPr>
              <w:t>MG-ADL</w:t>
            </w:r>
          </w:p>
        </w:tc>
        <w:tc>
          <w:tcPr>
            <w:tcW w:w="1276" w:type="dxa"/>
          </w:tcPr>
          <w:p w14:paraId="31002A1A" w14:textId="77777777" w:rsidR="003D388F" w:rsidRPr="00801AFD" w:rsidRDefault="003D388F" w:rsidP="00801AFD">
            <w:pPr>
              <w:widowControl w:val="0"/>
              <w:jc w:val="both"/>
              <w:rPr>
                <w:sz w:val="22"/>
                <w:szCs w:val="22"/>
                <w:lang w:val="sr-Latn-ME"/>
              </w:rPr>
            </w:pPr>
            <w:r w:rsidRPr="00801AFD">
              <w:rPr>
                <w:sz w:val="22"/>
                <w:szCs w:val="22"/>
                <w:lang w:val="sr-Latn-ME"/>
              </w:rPr>
              <w:t>-1.4 (0.37)</w:t>
            </w:r>
          </w:p>
        </w:tc>
        <w:tc>
          <w:tcPr>
            <w:tcW w:w="1559" w:type="dxa"/>
          </w:tcPr>
          <w:p w14:paraId="6E5BE8EE" w14:textId="77777777" w:rsidR="003D388F" w:rsidRPr="00801AFD" w:rsidRDefault="003D388F" w:rsidP="00801AFD">
            <w:pPr>
              <w:widowControl w:val="0"/>
              <w:jc w:val="both"/>
              <w:rPr>
                <w:sz w:val="22"/>
                <w:szCs w:val="22"/>
                <w:lang w:val="sr-Latn-ME"/>
              </w:rPr>
            </w:pPr>
            <w:r w:rsidRPr="00801AFD">
              <w:rPr>
                <w:sz w:val="22"/>
                <w:szCs w:val="22"/>
                <w:lang w:val="sr-Latn-ME"/>
              </w:rPr>
              <w:t>-3.1 (0.38)</w:t>
            </w:r>
          </w:p>
        </w:tc>
        <w:tc>
          <w:tcPr>
            <w:tcW w:w="1985" w:type="dxa"/>
          </w:tcPr>
          <w:p w14:paraId="5703E939" w14:textId="0BCD4C16" w:rsidR="003D388F" w:rsidRPr="00801AFD" w:rsidRDefault="003D388F" w:rsidP="00801AFD">
            <w:pPr>
              <w:widowControl w:val="0"/>
              <w:jc w:val="both"/>
              <w:rPr>
                <w:sz w:val="22"/>
                <w:szCs w:val="22"/>
                <w:lang w:val="sr-Latn-ME"/>
              </w:rPr>
            </w:pPr>
            <w:r w:rsidRPr="00801AFD">
              <w:rPr>
                <w:sz w:val="22"/>
                <w:szCs w:val="22"/>
                <w:lang w:val="sr-Latn-ME"/>
              </w:rPr>
              <w:t>Razlika u prom</w:t>
            </w:r>
            <w:r w:rsidR="0099493B" w:rsidRPr="00801AFD">
              <w:rPr>
                <w:sz w:val="22"/>
                <w:szCs w:val="22"/>
                <w:lang w:val="sr-Latn-ME"/>
              </w:rPr>
              <w:t>j</w:t>
            </w:r>
            <w:r w:rsidRPr="00801AFD">
              <w:rPr>
                <w:sz w:val="22"/>
                <w:szCs w:val="22"/>
                <w:lang w:val="sr-Latn-ME"/>
              </w:rPr>
              <w:t>eni od početka</w:t>
            </w:r>
          </w:p>
        </w:tc>
        <w:tc>
          <w:tcPr>
            <w:tcW w:w="1067" w:type="dxa"/>
          </w:tcPr>
          <w:p w14:paraId="4C1705CD" w14:textId="77777777" w:rsidR="003D388F" w:rsidRPr="00801AFD" w:rsidRDefault="003D388F" w:rsidP="00801AFD">
            <w:pPr>
              <w:widowControl w:val="0"/>
              <w:jc w:val="both"/>
              <w:rPr>
                <w:sz w:val="22"/>
                <w:szCs w:val="22"/>
                <w:lang w:val="sr-Latn-ME"/>
              </w:rPr>
            </w:pPr>
            <w:r w:rsidRPr="00801AFD">
              <w:rPr>
                <w:sz w:val="22"/>
                <w:szCs w:val="22"/>
                <w:lang w:val="sr-Latn-ME"/>
              </w:rPr>
              <w:t>-1.6 (-2.6, -0.7)</w:t>
            </w:r>
          </w:p>
        </w:tc>
        <w:tc>
          <w:tcPr>
            <w:tcW w:w="1480" w:type="dxa"/>
          </w:tcPr>
          <w:p w14:paraId="2A465800" w14:textId="77777777" w:rsidR="003D388F" w:rsidRPr="00801AFD" w:rsidRDefault="003D388F" w:rsidP="00801AFD">
            <w:pPr>
              <w:widowControl w:val="0"/>
              <w:jc w:val="both"/>
              <w:rPr>
                <w:sz w:val="22"/>
                <w:szCs w:val="22"/>
                <w:lang w:val="sr-Latn-ME"/>
              </w:rPr>
            </w:pPr>
            <w:r w:rsidRPr="00801AFD">
              <w:rPr>
                <w:sz w:val="22"/>
                <w:szCs w:val="22"/>
                <w:lang w:val="sr-Latn-ME"/>
              </w:rPr>
              <w:t>0.0009</w:t>
            </w:r>
          </w:p>
        </w:tc>
      </w:tr>
      <w:tr w:rsidR="00986850" w:rsidRPr="00801AFD" w14:paraId="401F2E44" w14:textId="77777777" w:rsidTr="00986850">
        <w:tc>
          <w:tcPr>
            <w:tcW w:w="1696" w:type="dxa"/>
          </w:tcPr>
          <w:p w14:paraId="1B922133" w14:textId="77777777" w:rsidR="003D388F" w:rsidRPr="00801AFD" w:rsidRDefault="003D388F" w:rsidP="00801AFD">
            <w:pPr>
              <w:widowControl w:val="0"/>
              <w:jc w:val="both"/>
              <w:rPr>
                <w:sz w:val="22"/>
                <w:szCs w:val="22"/>
                <w:lang w:val="sr-Latn-ME"/>
              </w:rPr>
            </w:pPr>
            <w:r w:rsidRPr="00801AFD">
              <w:rPr>
                <w:sz w:val="22"/>
                <w:szCs w:val="22"/>
                <w:lang w:val="sr-Latn-ME"/>
              </w:rPr>
              <w:t>QMG</w:t>
            </w:r>
          </w:p>
        </w:tc>
        <w:tc>
          <w:tcPr>
            <w:tcW w:w="1276" w:type="dxa"/>
          </w:tcPr>
          <w:p w14:paraId="50105D8B" w14:textId="77777777" w:rsidR="003D388F" w:rsidRPr="00801AFD" w:rsidRDefault="003D388F" w:rsidP="00801AFD">
            <w:pPr>
              <w:widowControl w:val="0"/>
              <w:jc w:val="both"/>
              <w:rPr>
                <w:sz w:val="22"/>
                <w:szCs w:val="22"/>
                <w:lang w:val="sr-Latn-ME"/>
              </w:rPr>
            </w:pPr>
            <w:r w:rsidRPr="00801AFD">
              <w:rPr>
                <w:sz w:val="22"/>
                <w:szCs w:val="22"/>
                <w:lang w:val="sr-Latn-ME"/>
              </w:rPr>
              <w:t>-0.8 (0.45)</w:t>
            </w:r>
          </w:p>
        </w:tc>
        <w:tc>
          <w:tcPr>
            <w:tcW w:w="1559" w:type="dxa"/>
          </w:tcPr>
          <w:p w14:paraId="1EE18A4B" w14:textId="77777777" w:rsidR="003D388F" w:rsidRPr="00801AFD" w:rsidRDefault="003D388F" w:rsidP="00801AFD">
            <w:pPr>
              <w:widowControl w:val="0"/>
              <w:jc w:val="both"/>
              <w:rPr>
                <w:sz w:val="22"/>
                <w:szCs w:val="22"/>
                <w:lang w:val="sr-Latn-ME"/>
              </w:rPr>
            </w:pPr>
            <w:r w:rsidRPr="00801AFD">
              <w:rPr>
                <w:sz w:val="22"/>
                <w:szCs w:val="22"/>
                <w:lang w:val="sr-Latn-ME"/>
              </w:rPr>
              <w:t>-2.8 (0.46)</w:t>
            </w:r>
          </w:p>
        </w:tc>
        <w:tc>
          <w:tcPr>
            <w:tcW w:w="1985" w:type="dxa"/>
          </w:tcPr>
          <w:p w14:paraId="4D832F32" w14:textId="5BA040BE" w:rsidR="003D388F" w:rsidRPr="00801AFD" w:rsidRDefault="003D388F" w:rsidP="00801AFD">
            <w:pPr>
              <w:widowControl w:val="0"/>
              <w:jc w:val="both"/>
              <w:rPr>
                <w:sz w:val="22"/>
                <w:szCs w:val="22"/>
                <w:lang w:val="sr-Latn-ME"/>
              </w:rPr>
            </w:pPr>
            <w:r w:rsidRPr="00801AFD">
              <w:rPr>
                <w:sz w:val="22"/>
                <w:szCs w:val="22"/>
                <w:lang w:val="sr-Latn-ME"/>
              </w:rPr>
              <w:t>Razlika u prom</w:t>
            </w:r>
            <w:r w:rsidR="0099493B" w:rsidRPr="00801AFD">
              <w:rPr>
                <w:sz w:val="22"/>
                <w:szCs w:val="22"/>
                <w:lang w:val="sr-Latn-ME"/>
              </w:rPr>
              <w:t>j</w:t>
            </w:r>
            <w:r w:rsidRPr="00801AFD">
              <w:rPr>
                <w:sz w:val="22"/>
                <w:szCs w:val="22"/>
                <w:lang w:val="sr-Latn-ME"/>
              </w:rPr>
              <w:t>eni od početka</w:t>
            </w:r>
          </w:p>
        </w:tc>
        <w:tc>
          <w:tcPr>
            <w:tcW w:w="1067" w:type="dxa"/>
          </w:tcPr>
          <w:p w14:paraId="3CB663BC" w14:textId="77777777" w:rsidR="003D388F" w:rsidRPr="00801AFD" w:rsidRDefault="003D388F" w:rsidP="00801AFD">
            <w:pPr>
              <w:widowControl w:val="0"/>
              <w:jc w:val="both"/>
              <w:rPr>
                <w:sz w:val="22"/>
                <w:szCs w:val="22"/>
                <w:lang w:val="sr-Latn-ME"/>
              </w:rPr>
            </w:pPr>
            <w:r w:rsidRPr="00801AFD">
              <w:rPr>
                <w:sz w:val="22"/>
                <w:szCs w:val="22"/>
                <w:lang w:val="sr-Latn-ME"/>
              </w:rPr>
              <w:t>-2.0 (-3.2, -0.8)</w:t>
            </w:r>
          </w:p>
        </w:tc>
        <w:tc>
          <w:tcPr>
            <w:tcW w:w="1480" w:type="dxa"/>
          </w:tcPr>
          <w:p w14:paraId="3C1D0395" w14:textId="77777777" w:rsidR="003D388F" w:rsidRPr="00801AFD" w:rsidRDefault="003D388F" w:rsidP="00801AFD">
            <w:pPr>
              <w:widowControl w:val="0"/>
              <w:jc w:val="both"/>
              <w:rPr>
                <w:sz w:val="22"/>
                <w:szCs w:val="22"/>
                <w:lang w:val="sr-Latn-ME"/>
              </w:rPr>
            </w:pPr>
            <w:r w:rsidRPr="00801AFD">
              <w:rPr>
                <w:sz w:val="22"/>
                <w:szCs w:val="22"/>
                <w:lang w:val="sr-Latn-ME"/>
              </w:rPr>
              <w:t>0.0009</w:t>
            </w:r>
          </w:p>
        </w:tc>
      </w:tr>
      <w:tr w:rsidR="00986850" w:rsidRPr="00801AFD" w14:paraId="1F3BB20D" w14:textId="77777777" w:rsidTr="00986850">
        <w:tc>
          <w:tcPr>
            <w:tcW w:w="1696" w:type="dxa"/>
          </w:tcPr>
          <w:p w14:paraId="073EB6F5" w14:textId="77777777" w:rsidR="003D388F" w:rsidRPr="00801AFD" w:rsidRDefault="003D388F" w:rsidP="00801AFD">
            <w:pPr>
              <w:widowControl w:val="0"/>
              <w:jc w:val="both"/>
              <w:rPr>
                <w:sz w:val="22"/>
                <w:szCs w:val="22"/>
                <w:lang w:val="sr-Latn-ME"/>
              </w:rPr>
            </w:pPr>
            <w:r w:rsidRPr="00801AFD">
              <w:rPr>
                <w:sz w:val="22"/>
                <w:szCs w:val="22"/>
                <w:lang w:val="sr-Latn-ME"/>
              </w:rPr>
              <w:t>MG-QoL15r</w:t>
            </w:r>
          </w:p>
        </w:tc>
        <w:tc>
          <w:tcPr>
            <w:tcW w:w="1276" w:type="dxa"/>
          </w:tcPr>
          <w:p w14:paraId="0BFD76BA" w14:textId="77777777" w:rsidR="003D388F" w:rsidRPr="00801AFD" w:rsidRDefault="003D388F" w:rsidP="00801AFD">
            <w:pPr>
              <w:widowControl w:val="0"/>
              <w:jc w:val="both"/>
              <w:rPr>
                <w:sz w:val="22"/>
                <w:szCs w:val="22"/>
                <w:lang w:val="sr-Latn-ME"/>
              </w:rPr>
            </w:pPr>
            <w:r w:rsidRPr="00801AFD">
              <w:rPr>
                <w:sz w:val="22"/>
                <w:szCs w:val="22"/>
                <w:lang w:val="sr-Latn-ME"/>
              </w:rPr>
              <w:t>-1.6 (0.70)</w:t>
            </w:r>
          </w:p>
        </w:tc>
        <w:tc>
          <w:tcPr>
            <w:tcW w:w="1559" w:type="dxa"/>
          </w:tcPr>
          <w:p w14:paraId="15C06702" w14:textId="77777777" w:rsidR="003D388F" w:rsidRPr="00801AFD" w:rsidRDefault="003D388F" w:rsidP="00801AFD">
            <w:pPr>
              <w:widowControl w:val="0"/>
              <w:jc w:val="both"/>
              <w:rPr>
                <w:sz w:val="22"/>
                <w:szCs w:val="22"/>
                <w:lang w:val="sr-Latn-ME"/>
              </w:rPr>
            </w:pPr>
            <w:r w:rsidRPr="00801AFD">
              <w:rPr>
                <w:sz w:val="22"/>
                <w:szCs w:val="22"/>
                <w:lang w:val="sr-Latn-ME"/>
              </w:rPr>
              <w:t>-3.3 (0.71)</w:t>
            </w:r>
          </w:p>
        </w:tc>
        <w:tc>
          <w:tcPr>
            <w:tcW w:w="1985" w:type="dxa"/>
          </w:tcPr>
          <w:p w14:paraId="113C7C5D" w14:textId="04877289" w:rsidR="003D388F" w:rsidRPr="00801AFD" w:rsidRDefault="003D388F" w:rsidP="00801AFD">
            <w:pPr>
              <w:widowControl w:val="0"/>
              <w:jc w:val="both"/>
              <w:rPr>
                <w:sz w:val="22"/>
                <w:szCs w:val="22"/>
                <w:lang w:val="sr-Latn-ME"/>
              </w:rPr>
            </w:pPr>
            <w:r w:rsidRPr="00801AFD">
              <w:rPr>
                <w:sz w:val="22"/>
                <w:szCs w:val="22"/>
                <w:lang w:val="sr-Latn-ME"/>
              </w:rPr>
              <w:t>Razlika u prom</w:t>
            </w:r>
            <w:r w:rsidR="0099493B" w:rsidRPr="00801AFD">
              <w:rPr>
                <w:sz w:val="22"/>
                <w:szCs w:val="22"/>
                <w:lang w:val="sr-Latn-ME"/>
              </w:rPr>
              <w:t>j</w:t>
            </w:r>
            <w:r w:rsidRPr="00801AFD">
              <w:rPr>
                <w:sz w:val="22"/>
                <w:szCs w:val="22"/>
                <w:lang w:val="sr-Latn-ME"/>
              </w:rPr>
              <w:t>eni od početka</w:t>
            </w:r>
          </w:p>
        </w:tc>
        <w:tc>
          <w:tcPr>
            <w:tcW w:w="1067" w:type="dxa"/>
          </w:tcPr>
          <w:p w14:paraId="587BBDF2" w14:textId="77777777" w:rsidR="003D388F" w:rsidRPr="00801AFD" w:rsidRDefault="003D388F" w:rsidP="00801AFD">
            <w:pPr>
              <w:widowControl w:val="0"/>
              <w:jc w:val="both"/>
              <w:rPr>
                <w:sz w:val="22"/>
                <w:szCs w:val="22"/>
                <w:lang w:val="sr-Latn-ME"/>
              </w:rPr>
            </w:pPr>
            <w:r w:rsidRPr="00801AFD">
              <w:rPr>
                <w:sz w:val="22"/>
                <w:szCs w:val="22"/>
                <w:lang w:val="sr-Latn-ME"/>
              </w:rPr>
              <w:t>-1.7 (-3.4, 0.1)</w:t>
            </w:r>
          </w:p>
        </w:tc>
        <w:tc>
          <w:tcPr>
            <w:tcW w:w="1480" w:type="dxa"/>
          </w:tcPr>
          <w:p w14:paraId="1E32D5AB" w14:textId="77777777" w:rsidR="003D388F" w:rsidRPr="00801AFD" w:rsidRDefault="003D388F" w:rsidP="00801AFD">
            <w:pPr>
              <w:widowControl w:val="0"/>
              <w:jc w:val="both"/>
              <w:rPr>
                <w:sz w:val="22"/>
                <w:szCs w:val="22"/>
                <w:lang w:val="sr-Latn-ME"/>
              </w:rPr>
            </w:pPr>
            <w:r w:rsidRPr="00801AFD">
              <w:rPr>
                <w:sz w:val="22"/>
                <w:szCs w:val="22"/>
                <w:lang w:val="sr-Latn-ME"/>
              </w:rPr>
              <w:t>0.0636</w:t>
            </w:r>
          </w:p>
        </w:tc>
      </w:tr>
      <w:tr w:rsidR="00986850" w:rsidRPr="00801AFD" w14:paraId="2BFC3D93" w14:textId="77777777" w:rsidTr="00986850">
        <w:tc>
          <w:tcPr>
            <w:tcW w:w="1696" w:type="dxa"/>
          </w:tcPr>
          <w:p w14:paraId="502A67A6" w14:textId="4574ED0A" w:rsidR="003D388F" w:rsidRPr="00801AFD" w:rsidRDefault="003D388F" w:rsidP="00961C31">
            <w:pPr>
              <w:widowControl w:val="0"/>
              <w:jc w:val="both"/>
              <w:rPr>
                <w:sz w:val="22"/>
                <w:szCs w:val="22"/>
                <w:lang w:val="sr-Latn-ME"/>
              </w:rPr>
            </w:pPr>
            <w:r w:rsidRPr="00801AFD">
              <w:rPr>
                <w:sz w:val="22"/>
                <w:szCs w:val="22"/>
                <w:lang w:val="sr-Latn-ME"/>
              </w:rPr>
              <w:t>Neuro</w:t>
            </w:r>
            <w:r w:rsidRPr="00801AFD">
              <w:rPr>
                <w:sz w:val="22"/>
                <w:szCs w:val="22"/>
                <w:lang w:val="sr-Latn-ME"/>
              </w:rPr>
              <w:noBreakHyphen/>
              <w:t>QoL</w:t>
            </w:r>
            <w:r w:rsidRPr="00801AFD">
              <w:rPr>
                <w:sz w:val="22"/>
                <w:szCs w:val="22"/>
                <w:lang w:val="sr-Latn-ME"/>
              </w:rPr>
              <w:noBreakHyphen/>
              <w:t>fatigue</w:t>
            </w:r>
            <w:r w:rsidR="0032553B" w:rsidRPr="00801AFD">
              <w:rPr>
                <w:sz w:val="22"/>
                <w:szCs w:val="22"/>
                <w:lang w:val="sr-Latn-ME"/>
              </w:rPr>
              <w:t>(umor</w:t>
            </w:r>
            <w:r w:rsidR="00961C31">
              <w:rPr>
                <w:sz w:val="22"/>
                <w:szCs w:val="22"/>
                <w:lang w:val="sr-Latn-ME"/>
              </w:rPr>
              <w:t>)</w:t>
            </w:r>
          </w:p>
        </w:tc>
        <w:tc>
          <w:tcPr>
            <w:tcW w:w="1276" w:type="dxa"/>
          </w:tcPr>
          <w:p w14:paraId="05D73DB9" w14:textId="77777777" w:rsidR="003D388F" w:rsidRPr="00801AFD" w:rsidRDefault="003D388F" w:rsidP="00801AFD">
            <w:pPr>
              <w:widowControl w:val="0"/>
              <w:jc w:val="both"/>
              <w:rPr>
                <w:sz w:val="22"/>
                <w:szCs w:val="22"/>
                <w:lang w:val="sr-Latn-ME"/>
              </w:rPr>
            </w:pPr>
            <w:r w:rsidRPr="00801AFD">
              <w:rPr>
                <w:sz w:val="22"/>
                <w:szCs w:val="22"/>
                <w:lang w:val="sr-Latn-ME"/>
              </w:rPr>
              <w:t>-4.8 (1.87)</w:t>
            </w:r>
          </w:p>
        </w:tc>
        <w:tc>
          <w:tcPr>
            <w:tcW w:w="1559" w:type="dxa"/>
          </w:tcPr>
          <w:p w14:paraId="2D67A3B2" w14:textId="77777777" w:rsidR="003D388F" w:rsidRPr="00801AFD" w:rsidRDefault="003D388F" w:rsidP="00801AFD">
            <w:pPr>
              <w:widowControl w:val="0"/>
              <w:jc w:val="both"/>
              <w:rPr>
                <w:sz w:val="22"/>
                <w:szCs w:val="22"/>
                <w:lang w:val="sr-Latn-ME"/>
              </w:rPr>
            </w:pPr>
            <w:r w:rsidRPr="00801AFD">
              <w:rPr>
                <w:sz w:val="22"/>
                <w:szCs w:val="22"/>
                <w:lang w:val="sr-Latn-ME"/>
              </w:rPr>
              <w:t>-7.0 (1.92)</w:t>
            </w:r>
          </w:p>
        </w:tc>
        <w:tc>
          <w:tcPr>
            <w:tcW w:w="1985" w:type="dxa"/>
          </w:tcPr>
          <w:p w14:paraId="7BFFB40F" w14:textId="5C44CB6A" w:rsidR="003D388F" w:rsidRPr="00801AFD" w:rsidRDefault="003D388F" w:rsidP="00801AFD">
            <w:pPr>
              <w:widowControl w:val="0"/>
              <w:jc w:val="both"/>
              <w:rPr>
                <w:sz w:val="22"/>
                <w:szCs w:val="22"/>
                <w:lang w:val="sr-Latn-ME"/>
              </w:rPr>
            </w:pPr>
            <w:r w:rsidRPr="00801AFD">
              <w:rPr>
                <w:sz w:val="22"/>
                <w:szCs w:val="22"/>
                <w:lang w:val="sr-Latn-ME"/>
              </w:rPr>
              <w:t>Razlika u prom</w:t>
            </w:r>
            <w:r w:rsidR="0099493B" w:rsidRPr="00801AFD">
              <w:rPr>
                <w:sz w:val="22"/>
                <w:szCs w:val="22"/>
                <w:lang w:val="sr-Latn-ME"/>
              </w:rPr>
              <w:t>j</w:t>
            </w:r>
            <w:r w:rsidRPr="00801AFD">
              <w:rPr>
                <w:sz w:val="22"/>
                <w:szCs w:val="22"/>
                <w:lang w:val="sr-Latn-ME"/>
              </w:rPr>
              <w:t>eni od početka</w:t>
            </w:r>
          </w:p>
        </w:tc>
        <w:tc>
          <w:tcPr>
            <w:tcW w:w="1067" w:type="dxa"/>
          </w:tcPr>
          <w:p w14:paraId="1BAB9FD5" w14:textId="77777777" w:rsidR="003D388F" w:rsidRPr="00801AFD" w:rsidRDefault="003D388F" w:rsidP="00801AFD">
            <w:pPr>
              <w:widowControl w:val="0"/>
              <w:jc w:val="both"/>
              <w:rPr>
                <w:sz w:val="22"/>
                <w:szCs w:val="22"/>
                <w:lang w:val="sr-Latn-ME"/>
              </w:rPr>
            </w:pPr>
            <w:r w:rsidRPr="00801AFD">
              <w:rPr>
                <w:sz w:val="22"/>
                <w:szCs w:val="22"/>
                <w:lang w:val="sr-Latn-ME"/>
              </w:rPr>
              <w:t>-2.2 (-6.9, 2.6)</w:t>
            </w:r>
          </w:p>
        </w:tc>
        <w:tc>
          <w:tcPr>
            <w:tcW w:w="1480" w:type="dxa"/>
          </w:tcPr>
          <w:p w14:paraId="221F75F0" w14:textId="77777777" w:rsidR="003D388F" w:rsidRPr="00801AFD" w:rsidRDefault="003D388F" w:rsidP="00801AFD">
            <w:pPr>
              <w:widowControl w:val="0"/>
              <w:jc w:val="both"/>
              <w:rPr>
                <w:sz w:val="22"/>
                <w:szCs w:val="22"/>
                <w:lang w:val="sr-Latn-ME"/>
              </w:rPr>
            </w:pPr>
            <w:r w:rsidRPr="00801AFD">
              <w:rPr>
                <w:sz w:val="22"/>
                <w:szCs w:val="22"/>
                <w:lang w:val="sr-Latn-ME"/>
              </w:rPr>
              <w:t>0.3734</w:t>
            </w:r>
            <w:r w:rsidRPr="00801AFD">
              <w:rPr>
                <w:sz w:val="22"/>
                <w:szCs w:val="22"/>
                <w:vertAlign w:val="superscript"/>
                <w:lang w:val="sr-Latn-ME"/>
              </w:rPr>
              <w:t xml:space="preserve"> a</w:t>
            </w:r>
          </w:p>
        </w:tc>
      </w:tr>
    </w:tbl>
    <w:p w14:paraId="30C99941" w14:textId="126F3408" w:rsidR="003D388F" w:rsidRPr="00986850" w:rsidRDefault="003D388F" w:rsidP="00801AFD">
      <w:pPr>
        <w:pStyle w:val="C-TableFootnote"/>
        <w:widowControl w:val="0"/>
        <w:jc w:val="both"/>
        <w:rPr>
          <w:szCs w:val="22"/>
          <w:lang w:val="sr-Latn-ME"/>
        </w:rPr>
      </w:pPr>
      <w:r w:rsidRPr="00986850">
        <w:rPr>
          <w:rFonts w:eastAsia="SimSun"/>
          <w:b/>
          <w:szCs w:val="22"/>
          <w:vertAlign w:val="superscript"/>
          <w:lang w:val="sr-Latn-ME" w:eastAsia="ja-JP"/>
        </w:rPr>
        <w:t xml:space="preserve">a </w:t>
      </w:r>
      <w:r w:rsidRPr="00986850">
        <w:rPr>
          <w:szCs w:val="22"/>
          <w:lang w:val="sr-Latn-ME"/>
        </w:rPr>
        <w:t>M</w:t>
      </w:r>
      <w:r w:rsidR="0099493B" w:rsidRPr="00986850">
        <w:rPr>
          <w:szCs w:val="22"/>
          <w:lang w:val="sr-Latn-ME"/>
        </w:rPr>
        <w:t>j</w:t>
      </w:r>
      <w:r w:rsidRPr="00986850">
        <w:rPr>
          <w:szCs w:val="22"/>
          <w:lang w:val="sr-Latn-ME"/>
        </w:rPr>
        <w:t>era parametra praćenja ishoda nije formalno testirana na statističku značajnost. Prijavljena je nominalna p-vr</w:t>
      </w:r>
      <w:r w:rsidR="0099493B" w:rsidRPr="00986850">
        <w:rPr>
          <w:szCs w:val="22"/>
          <w:lang w:val="sr-Latn-ME"/>
        </w:rPr>
        <w:t>ij</w:t>
      </w:r>
      <w:r w:rsidRPr="00986850">
        <w:rPr>
          <w:szCs w:val="22"/>
          <w:lang w:val="sr-Latn-ME"/>
        </w:rPr>
        <w:t xml:space="preserve">ednost. Skraćenice: CI = Interval pouzdanosti; LS = najmanjih kvadrat (least squares); MG-ADL = Mijastenija Gravis </w:t>
      </w:r>
      <w:r w:rsidR="0032553B" w:rsidRPr="00986850">
        <w:rPr>
          <w:szCs w:val="22"/>
          <w:lang w:val="sr-Latn-ME"/>
        </w:rPr>
        <w:t>a</w:t>
      </w:r>
      <w:r w:rsidRPr="00986850">
        <w:rPr>
          <w:szCs w:val="22"/>
          <w:lang w:val="sr-Latn-ME"/>
        </w:rPr>
        <w:t>ktivnosti svakodnevnog života (Myasthenia Gravis Activities of Daily Living); MG-QoL15r = Revidirana skala kvaliteta života sa mijastenijom gravis sa 15 stavki; Neuro-QoL-fatigue = Neurološki kvalitet umaranja u životu; QMG = Kvantitativna mijastenija gravis; SEM = standardna greška srednje vr</w:t>
      </w:r>
      <w:r w:rsidR="007B354B" w:rsidRPr="00986850">
        <w:rPr>
          <w:szCs w:val="22"/>
          <w:lang w:val="sr-Latn-ME"/>
        </w:rPr>
        <w:t>ij</w:t>
      </w:r>
      <w:r w:rsidRPr="00986850">
        <w:rPr>
          <w:szCs w:val="22"/>
          <w:lang w:val="sr-Latn-ME"/>
        </w:rPr>
        <w:t xml:space="preserve">ednosti </w:t>
      </w:r>
    </w:p>
    <w:p w14:paraId="4109184C" w14:textId="77777777" w:rsidR="003D388F" w:rsidRPr="00801AFD" w:rsidRDefault="003D388F" w:rsidP="00801AFD">
      <w:pPr>
        <w:widowControl w:val="0"/>
        <w:jc w:val="both"/>
        <w:rPr>
          <w:sz w:val="22"/>
          <w:szCs w:val="22"/>
          <w:lang w:val="sr-Latn-ME"/>
        </w:rPr>
      </w:pPr>
    </w:p>
    <w:p w14:paraId="14F5F29B" w14:textId="4F2BD446" w:rsidR="003D388F" w:rsidRPr="00801AFD" w:rsidRDefault="003D388F" w:rsidP="00801AFD">
      <w:pPr>
        <w:widowControl w:val="0"/>
        <w:jc w:val="both"/>
        <w:rPr>
          <w:sz w:val="22"/>
          <w:szCs w:val="22"/>
          <w:lang w:val="sr-Latn-ME"/>
        </w:rPr>
      </w:pPr>
      <w:r w:rsidRPr="00801AFD">
        <w:rPr>
          <w:sz w:val="22"/>
          <w:szCs w:val="22"/>
          <w:lang w:val="sr-Latn-ME"/>
        </w:rPr>
        <w:t>U studiji ALXN1210-MG-306, pacijent sa kliničkim odgovorom u MG-ADL ukupnom skoru je definisan kao pacijent koji ima poboljšanje od najmanje 3 boda. Ud</w:t>
      </w:r>
      <w:r w:rsidR="007B354B" w:rsidRPr="00801AFD">
        <w:rPr>
          <w:sz w:val="22"/>
          <w:szCs w:val="22"/>
          <w:lang w:val="sr-Latn-ME"/>
        </w:rPr>
        <w:t>i</w:t>
      </w:r>
      <w:r w:rsidRPr="00801AFD">
        <w:rPr>
          <w:sz w:val="22"/>
          <w:szCs w:val="22"/>
          <w:lang w:val="sr-Latn-ME"/>
        </w:rPr>
        <w:t>o pacijenata sa kliničkim odgovorom u 26-oj ned</w:t>
      </w:r>
      <w:r w:rsidR="0032553B" w:rsidRPr="00801AFD">
        <w:rPr>
          <w:sz w:val="22"/>
          <w:szCs w:val="22"/>
          <w:lang w:val="sr-Latn-ME"/>
        </w:rPr>
        <w:t>j</w:t>
      </w:r>
      <w:r w:rsidRPr="00801AFD">
        <w:rPr>
          <w:sz w:val="22"/>
          <w:szCs w:val="22"/>
          <w:lang w:val="sr-Latn-ME"/>
        </w:rPr>
        <w:t>elji bio je 56,7% pacijenata na ravulizumabu u odnosu na 34,1% pacijenata na placebu (nominalna p=0,0049). Pacijent sa kliničkim odgovorom u QMG ukupnom skoru definisan je kao pacijent koji ima poboljšanje od najmanje 5 bodova. Ud</w:t>
      </w:r>
      <w:r w:rsidR="0032553B" w:rsidRPr="00801AFD">
        <w:rPr>
          <w:sz w:val="22"/>
          <w:szCs w:val="22"/>
          <w:lang w:val="sr-Latn-ME"/>
        </w:rPr>
        <w:t>io</w:t>
      </w:r>
      <w:r w:rsidRPr="00801AFD">
        <w:rPr>
          <w:sz w:val="22"/>
          <w:szCs w:val="22"/>
          <w:lang w:val="sr-Latn-ME"/>
        </w:rPr>
        <w:t xml:space="preserve"> pacijenata sa kliničkim odgovorom u 26-oj ned</w:t>
      </w:r>
      <w:r w:rsidR="0032553B" w:rsidRPr="00801AFD">
        <w:rPr>
          <w:sz w:val="22"/>
          <w:szCs w:val="22"/>
          <w:lang w:val="sr-Latn-ME"/>
        </w:rPr>
        <w:t>j</w:t>
      </w:r>
      <w:r w:rsidRPr="00801AFD">
        <w:rPr>
          <w:sz w:val="22"/>
          <w:szCs w:val="22"/>
          <w:lang w:val="sr-Latn-ME"/>
        </w:rPr>
        <w:t xml:space="preserve">elji bio je 30,0% pacijenata na ravulizumabu u odnosu na 11,3% pacijenata na placebu (p=0,0052). </w:t>
      </w:r>
    </w:p>
    <w:p w14:paraId="3A68D35D" w14:textId="670D7F45" w:rsidR="003D388F" w:rsidRPr="00801AFD" w:rsidRDefault="003D388F" w:rsidP="00801AFD">
      <w:pPr>
        <w:widowControl w:val="0"/>
        <w:jc w:val="both"/>
        <w:rPr>
          <w:sz w:val="22"/>
          <w:szCs w:val="22"/>
          <w:lang w:val="sr-Latn-ME"/>
        </w:rPr>
      </w:pPr>
      <w:r w:rsidRPr="00801AFD">
        <w:rPr>
          <w:sz w:val="22"/>
          <w:szCs w:val="22"/>
          <w:lang w:val="sr-Latn-ME"/>
        </w:rPr>
        <w:t xml:space="preserve">Tabela </w:t>
      </w:r>
      <w:r w:rsidR="00AE5148" w:rsidRPr="00801AFD">
        <w:rPr>
          <w:sz w:val="22"/>
          <w:szCs w:val="22"/>
          <w:lang w:val="sr-Latn-ME"/>
        </w:rPr>
        <w:t xml:space="preserve">18 </w:t>
      </w:r>
      <w:r w:rsidRPr="00801AFD">
        <w:rPr>
          <w:sz w:val="22"/>
          <w:szCs w:val="22"/>
          <w:lang w:val="sr-Latn-ME"/>
        </w:rPr>
        <w:t xml:space="preserve">predstavlja </w:t>
      </w:r>
      <w:r w:rsidR="0032553B" w:rsidRPr="00801AFD">
        <w:rPr>
          <w:sz w:val="22"/>
          <w:szCs w:val="22"/>
          <w:lang w:val="sr-Latn-ME"/>
        </w:rPr>
        <w:t xml:space="preserve">udio </w:t>
      </w:r>
      <w:r w:rsidRPr="00801AFD">
        <w:rPr>
          <w:sz w:val="22"/>
          <w:szCs w:val="22"/>
          <w:lang w:val="sr-Latn-ME"/>
        </w:rPr>
        <w:t xml:space="preserve">pacijenata sa kliničkim pogoršanjem i pacijenata kojima je </w:t>
      </w:r>
      <w:r w:rsidR="0032553B" w:rsidRPr="00801AFD">
        <w:rPr>
          <w:sz w:val="22"/>
          <w:szCs w:val="22"/>
          <w:lang w:val="sr-Latn-ME"/>
        </w:rPr>
        <w:t xml:space="preserve">bila </w:t>
      </w:r>
      <w:r w:rsidRPr="00801AFD">
        <w:rPr>
          <w:sz w:val="22"/>
          <w:szCs w:val="22"/>
          <w:lang w:val="sr-Latn-ME"/>
        </w:rPr>
        <w:t>potrebna</w:t>
      </w:r>
      <w:r w:rsidR="0032553B" w:rsidRPr="00801AFD">
        <w:rPr>
          <w:sz w:val="22"/>
          <w:szCs w:val="22"/>
          <w:lang w:val="sr-Latn-ME"/>
        </w:rPr>
        <w:t xml:space="preserve"> hitna simptomatska </w:t>
      </w:r>
      <w:r w:rsidRPr="00801AFD">
        <w:rPr>
          <w:sz w:val="22"/>
          <w:szCs w:val="22"/>
          <w:lang w:val="sr-Latn-ME"/>
        </w:rPr>
        <w:t>terapija tokom 26-o ned</w:t>
      </w:r>
      <w:r w:rsidR="0032553B" w:rsidRPr="00801AFD">
        <w:rPr>
          <w:sz w:val="22"/>
          <w:szCs w:val="22"/>
          <w:lang w:val="sr-Latn-ME"/>
        </w:rPr>
        <w:t>j</w:t>
      </w:r>
      <w:r w:rsidRPr="00801AFD">
        <w:rPr>
          <w:sz w:val="22"/>
          <w:szCs w:val="22"/>
          <w:lang w:val="sr-Latn-ME"/>
        </w:rPr>
        <w:t xml:space="preserve">eljnog </w:t>
      </w:r>
      <w:r w:rsidR="0032553B" w:rsidRPr="00801AFD">
        <w:rPr>
          <w:sz w:val="22"/>
          <w:szCs w:val="22"/>
          <w:lang w:val="sr-Latn-ME"/>
        </w:rPr>
        <w:t>r</w:t>
      </w:r>
      <w:r w:rsidRPr="00801AFD">
        <w:rPr>
          <w:sz w:val="22"/>
          <w:szCs w:val="22"/>
          <w:lang w:val="sr-Latn-ME"/>
        </w:rPr>
        <w:t>andomizovanog-</w:t>
      </w:r>
      <w:r w:rsidR="0032553B" w:rsidRPr="00801AFD">
        <w:rPr>
          <w:sz w:val="22"/>
          <w:szCs w:val="22"/>
          <w:lang w:val="sr-Latn-ME"/>
        </w:rPr>
        <w:t>k</w:t>
      </w:r>
      <w:r w:rsidRPr="00801AFD">
        <w:rPr>
          <w:sz w:val="22"/>
          <w:szCs w:val="22"/>
          <w:lang w:val="sr-Latn-ME"/>
        </w:rPr>
        <w:t>ontrolisanog perioda.</w:t>
      </w:r>
    </w:p>
    <w:p w14:paraId="62817352" w14:textId="77777777" w:rsidR="003D388F" w:rsidRPr="00801AFD" w:rsidRDefault="003D388F" w:rsidP="00801AFD">
      <w:pPr>
        <w:widowControl w:val="0"/>
        <w:jc w:val="both"/>
        <w:rPr>
          <w:sz w:val="22"/>
          <w:szCs w:val="22"/>
          <w:lang w:val="sr-Latn-ME"/>
        </w:rPr>
      </w:pPr>
    </w:p>
    <w:p w14:paraId="049A5DD6" w14:textId="2F7CECF0" w:rsidR="00F95D80" w:rsidRPr="00801AFD" w:rsidRDefault="003D388F" w:rsidP="00801AFD">
      <w:pPr>
        <w:widowControl w:val="0"/>
        <w:jc w:val="both"/>
        <w:rPr>
          <w:b/>
          <w:sz w:val="22"/>
          <w:szCs w:val="22"/>
          <w:lang w:val="sr-Latn-ME"/>
        </w:rPr>
      </w:pPr>
      <w:r w:rsidRPr="00801AFD">
        <w:rPr>
          <w:sz w:val="22"/>
          <w:szCs w:val="22"/>
          <w:lang w:val="sr-Latn-ME"/>
        </w:rPr>
        <w:t>T</w:t>
      </w:r>
      <w:r w:rsidRPr="00801AFD">
        <w:rPr>
          <w:b/>
          <w:sz w:val="22"/>
          <w:szCs w:val="22"/>
          <w:lang w:val="sr-Latn-ME"/>
        </w:rPr>
        <w:t xml:space="preserve">abela </w:t>
      </w:r>
      <w:r w:rsidR="00AE5148" w:rsidRPr="00801AFD">
        <w:rPr>
          <w:b/>
          <w:sz w:val="22"/>
          <w:szCs w:val="22"/>
          <w:lang w:val="sr-Latn-ME"/>
        </w:rPr>
        <w:t>18</w:t>
      </w:r>
      <w:r w:rsidRPr="00801AFD">
        <w:rPr>
          <w:b/>
          <w:sz w:val="22"/>
          <w:szCs w:val="22"/>
          <w:lang w:val="sr-Latn-ME"/>
        </w:rPr>
        <w:t>: Kliničko pogoršanje i</w:t>
      </w:r>
      <w:r w:rsidR="0032553B" w:rsidRPr="00801AFD">
        <w:rPr>
          <w:b/>
          <w:sz w:val="22"/>
          <w:szCs w:val="22"/>
          <w:lang w:val="sr-Latn-ME"/>
        </w:rPr>
        <w:t xml:space="preserve"> hitna simptomatska </w:t>
      </w:r>
      <w:r w:rsidRPr="00801AFD">
        <w:rPr>
          <w:b/>
          <w:sz w:val="22"/>
          <w:szCs w:val="22"/>
          <w:lang w:val="sr-Latn-ME"/>
        </w:rPr>
        <w:t>terapija</w:t>
      </w:r>
    </w:p>
    <w:p w14:paraId="1B31F725" w14:textId="7BE468EE" w:rsidR="003D388F" w:rsidRPr="00801AFD" w:rsidRDefault="003D388F" w:rsidP="00801AFD">
      <w:pPr>
        <w:widowControl w:val="0"/>
        <w:jc w:val="both"/>
        <w:rPr>
          <w:sz w:val="22"/>
          <w:szCs w:val="22"/>
          <w:lang w:val="sr-Latn-ME"/>
        </w:rPr>
      </w:pPr>
      <w:r w:rsidRPr="00801AFD">
        <w:rPr>
          <w:b/>
          <w:sz w:val="22"/>
          <w:szCs w:val="22"/>
          <w:lang w:val="sr-Latn-M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113"/>
        <w:gridCol w:w="1392"/>
        <w:gridCol w:w="1481"/>
      </w:tblGrid>
      <w:tr w:rsidR="003D388F" w:rsidRPr="00801AFD" w14:paraId="48040D95" w14:textId="77777777" w:rsidTr="00986850">
        <w:tc>
          <w:tcPr>
            <w:tcW w:w="2801" w:type="pct"/>
          </w:tcPr>
          <w:p w14:paraId="66E2FE90" w14:textId="77777777" w:rsidR="003D388F" w:rsidRPr="00801AFD" w:rsidRDefault="003D388F" w:rsidP="00801AFD">
            <w:pPr>
              <w:pStyle w:val="C-BodyText"/>
              <w:widowControl w:val="0"/>
              <w:spacing w:before="0" w:after="0"/>
              <w:jc w:val="both"/>
              <w:rPr>
                <w:rFonts w:eastAsia="SimSun"/>
                <w:b/>
                <w:sz w:val="22"/>
                <w:szCs w:val="22"/>
                <w:lang w:val="sr-Latn-ME"/>
              </w:rPr>
            </w:pPr>
            <w:r w:rsidRPr="00801AFD">
              <w:rPr>
                <w:rFonts w:eastAsia="SimSun"/>
                <w:b/>
                <w:sz w:val="22"/>
                <w:szCs w:val="22"/>
                <w:lang w:val="sr-Latn-ME"/>
              </w:rPr>
              <w:t>Varijabla</w:t>
            </w:r>
          </w:p>
        </w:tc>
        <w:tc>
          <w:tcPr>
            <w:tcW w:w="614" w:type="pct"/>
          </w:tcPr>
          <w:p w14:paraId="2D4CB607" w14:textId="77777777" w:rsidR="003D388F" w:rsidRPr="00801AFD" w:rsidRDefault="003D388F" w:rsidP="00801AFD">
            <w:pPr>
              <w:pStyle w:val="C-BodyText"/>
              <w:widowControl w:val="0"/>
              <w:spacing w:before="0" w:after="0"/>
              <w:jc w:val="both"/>
              <w:rPr>
                <w:rFonts w:eastAsia="SimSun"/>
                <w:b/>
                <w:sz w:val="22"/>
                <w:szCs w:val="22"/>
                <w:lang w:val="sr-Latn-ME"/>
              </w:rPr>
            </w:pPr>
            <w:r w:rsidRPr="00801AFD">
              <w:rPr>
                <w:rFonts w:eastAsia="SimSun"/>
                <w:b/>
                <w:sz w:val="22"/>
                <w:szCs w:val="22"/>
                <w:lang w:val="sr-Latn-ME"/>
              </w:rPr>
              <w:t>Statistika</w:t>
            </w:r>
          </w:p>
        </w:tc>
        <w:tc>
          <w:tcPr>
            <w:tcW w:w="768" w:type="pct"/>
          </w:tcPr>
          <w:p w14:paraId="72EFEA9B" w14:textId="77777777" w:rsidR="003D388F" w:rsidRPr="00801AFD" w:rsidRDefault="003D388F" w:rsidP="00801AFD">
            <w:pPr>
              <w:pStyle w:val="C-BodyText"/>
              <w:widowControl w:val="0"/>
              <w:spacing w:before="0" w:after="0"/>
              <w:jc w:val="both"/>
              <w:rPr>
                <w:rFonts w:eastAsia="SimSun"/>
                <w:b/>
                <w:sz w:val="22"/>
                <w:szCs w:val="22"/>
                <w:lang w:val="sr-Latn-ME"/>
              </w:rPr>
            </w:pPr>
            <w:r w:rsidRPr="00801AFD">
              <w:rPr>
                <w:rFonts w:eastAsia="SimSun"/>
                <w:b/>
                <w:sz w:val="22"/>
                <w:szCs w:val="22"/>
                <w:lang w:val="sr-Latn-ME"/>
              </w:rPr>
              <w:t>Placebo</w:t>
            </w:r>
            <w:r w:rsidRPr="00801AFD">
              <w:rPr>
                <w:rFonts w:eastAsia="SimSun"/>
                <w:b/>
                <w:sz w:val="22"/>
                <w:szCs w:val="22"/>
                <w:lang w:val="sr-Latn-ME"/>
              </w:rPr>
              <w:br/>
              <w:t>(N = 89)</w:t>
            </w:r>
          </w:p>
        </w:tc>
        <w:tc>
          <w:tcPr>
            <w:tcW w:w="817" w:type="pct"/>
          </w:tcPr>
          <w:p w14:paraId="790821C2" w14:textId="77777777" w:rsidR="003D388F" w:rsidRPr="00801AFD" w:rsidRDefault="003D388F" w:rsidP="00801AFD">
            <w:pPr>
              <w:pStyle w:val="C-BodyText"/>
              <w:widowControl w:val="0"/>
              <w:spacing w:before="0" w:after="0"/>
              <w:jc w:val="both"/>
              <w:rPr>
                <w:rFonts w:eastAsia="SimSun"/>
                <w:b/>
                <w:sz w:val="22"/>
                <w:szCs w:val="22"/>
                <w:lang w:val="sr-Latn-ME"/>
              </w:rPr>
            </w:pPr>
            <w:r w:rsidRPr="00801AFD">
              <w:rPr>
                <w:rFonts w:eastAsia="SimSun"/>
                <w:b/>
                <w:sz w:val="22"/>
                <w:szCs w:val="22"/>
                <w:lang w:val="sr-Latn-ME"/>
              </w:rPr>
              <w:t>Ravulizumab</w:t>
            </w:r>
            <w:r w:rsidRPr="00801AFD">
              <w:rPr>
                <w:rFonts w:eastAsia="SimSun"/>
                <w:b/>
                <w:sz w:val="22"/>
                <w:szCs w:val="22"/>
                <w:lang w:val="sr-Latn-ME"/>
              </w:rPr>
              <w:br/>
              <w:t>(N = 86)</w:t>
            </w:r>
          </w:p>
        </w:tc>
      </w:tr>
      <w:tr w:rsidR="003D388F" w:rsidRPr="00801AFD" w14:paraId="7657C714" w14:textId="77777777" w:rsidTr="00986850">
        <w:tc>
          <w:tcPr>
            <w:tcW w:w="2801" w:type="pct"/>
          </w:tcPr>
          <w:p w14:paraId="5E89DB94" w14:textId="77777777" w:rsidR="003D388F" w:rsidRPr="00801AFD" w:rsidRDefault="003D388F" w:rsidP="00801AFD">
            <w:pPr>
              <w:pStyle w:val="C-BodyText"/>
              <w:widowControl w:val="0"/>
              <w:tabs>
                <w:tab w:val="left" w:pos="567"/>
              </w:tabs>
              <w:spacing w:before="0" w:after="0"/>
              <w:jc w:val="both"/>
              <w:rPr>
                <w:rFonts w:eastAsia="SimSun"/>
                <w:sz w:val="22"/>
                <w:szCs w:val="22"/>
                <w:lang w:val="sr-Latn-ME"/>
              </w:rPr>
            </w:pPr>
            <w:r w:rsidRPr="00801AFD">
              <w:rPr>
                <w:rFonts w:eastAsia="SimSun"/>
                <w:sz w:val="22"/>
                <w:szCs w:val="22"/>
                <w:lang w:val="sr-Latn-ME"/>
              </w:rPr>
              <w:t xml:space="preserve">Ukupan broj pacijenata sa kliničkim pogoršanjem </w:t>
            </w:r>
          </w:p>
        </w:tc>
        <w:tc>
          <w:tcPr>
            <w:tcW w:w="614" w:type="pct"/>
          </w:tcPr>
          <w:p w14:paraId="69B99D6C" w14:textId="77777777" w:rsidR="003D388F" w:rsidRPr="00801AFD" w:rsidRDefault="003D388F" w:rsidP="00801AFD">
            <w:pPr>
              <w:pStyle w:val="C-BodyText"/>
              <w:widowControl w:val="0"/>
              <w:spacing w:before="0" w:after="0"/>
              <w:jc w:val="both"/>
              <w:rPr>
                <w:rFonts w:eastAsia="SimSun"/>
                <w:sz w:val="22"/>
                <w:szCs w:val="22"/>
                <w:lang w:val="sr-Latn-ME"/>
              </w:rPr>
            </w:pPr>
            <w:r w:rsidRPr="00801AFD">
              <w:rPr>
                <w:rFonts w:eastAsia="SimSun"/>
                <w:sz w:val="22"/>
                <w:szCs w:val="22"/>
                <w:lang w:val="sr-Latn-ME"/>
              </w:rPr>
              <w:t>n (%)</w:t>
            </w:r>
          </w:p>
        </w:tc>
        <w:tc>
          <w:tcPr>
            <w:tcW w:w="768" w:type="pct"/>
          </w:tcPr>
          <w:p w14:paraId="10D91E37" w14:textId="77777777" w:rsidR="003D388F" w:rsidRPr="00801AFD" w:rsidRDefault="003D388F" w:rsidP="00801AFD">
            <w:pPr>
              <w:pStyle w:val="C-BodyText"/>
              <w:widowControl w:val="0"/>
              <w:spacing w:before="0" w:after="0"/>
              <w:jc w:val="both"/>
              <w:rPr>
                <w:rFonts w:eastAsia="SimSun"/>
                <w:sz w:val="22"/>
                <w:szCs w:val="22"/>
                <w:lang w:val="sr-Latn-ME"/>
              </w:rPr>
            </w:pPr>
            <w:r w:rsidRPr="00801AFD">
              <w:rPr>
                <w:rFonts w:eastAsia="SimSun"/>
                <w:sz w:val="22"/>
                <w:szCs w:val="22"/>
                <w:lang w:val="sr-Latn-ME"/>
              </w:rPr>
              <w:t>15 (16.9)</w:t>
            </w:r>
          </w:p>
        </w:tc>
        <w:tc>
          <w:tcPr>
            <w:tcW w:w="817" w:type="pct"/>
          </w:tcPr>
          <w:p w14:paraId="7468DF9F" w14:textId="77777777" w:rsidR="003D388F" w:rsidRPr="00801AFD" w:rsidRDefault="003D388F" w:rsidP="00801AFD">
            <w:pPr>
              <w:pStyle w:val="C-BodyText"/>
              <w:widowControl w:val="0"/>
              <w:spacing w:before="0" w:after="0"/>
              <w:jc w:val="both"/>
              <w:rPr>
                <w:rFonts w:eastAsia="SimSun"/>
                <w:sz w:val="22"/>
                <w:szCs w:val="22"/>
                <w:lang w:val="sr-Latn-ME"/>
              </w:rPr>
            </w:pPr>
            <w:r w:rsidRPr="00801AFD">
              <w:rPr>
                <w:rFonts w:eastAsia="SimSun"/>
                <w:sz w:val="22"/>
                <w:szCs w:val="22"/>
                <w:lang w:val="sr-Latn-ME"/>
              </w:rPr>
              <w:t>8 (9.3)</w:t>
            </w:r>
          </w:p>
        </w:tc>
      </w:tr>
      <w:tr w:rsidR="003D388F" w:rsidRPr="00801AFD" w14:paraId="56B0DAD2" w14:textId="77777777" w:rsidTr="00986850">
        <w:tc>
          <w:tcPr>
            <w:tcW w:w="2801" w:type="pct"/>
          </w:tcPr>
          <w:p w14:paraId="207D2EE6" w14:textId="2F26805B" w:rsidR="003D388F" w:rsidRPr="00801AFD" w:rsidRDefault="003D388F" w:rsidP="00801AFD">
            <w:pPr>
              <w:pStyle w:val="C-BodyText"/>
              <w:widowControl w:val="0"/>
              <w:tabs>
                <w:tab w:val="left" w:pos="567"/>
              </w:tabs>
              <w:spacing w:before="0" w:after="0"/>
              <w:jc w:val="both"/>
              <w:rPr>
                <w:rFonts w:eastAsia="SimSun"/>
                <w:sz w:val="22"/>
                <w:szCs w:val="22"/>
                <w:lang w:val="sr-Latn-ME"/>
              </w:rPr>
            </w:pPr>
            <w:r w:rsidRPr="00801AFD">
              <w:rPr>
                <w:rFonts w:eastAsia="SimSun"/>
                <w:sz w:val="22"/>
                <w:szCs w:val="22"/>
                <w:lang w:val="sr-Latn-ME"/>
              </w:rPr>
              <w:t xml:space="preserve">Ukupan broj pacijenata kojima je potrebna </w:t>
            </w:r>
            <w:r w:rsidR="000B577C" w:rsidRPr="00801AFD">
              <w:rPr>
                <w:rFonts w:eastAsia="SimSun"/>
                <w:sz w:val="22"/>
                <w:szCs w:val="22"/>
                <w:lang w:val="sr-Latn-ME"/>
              </w:rPr>
              <w:t xml:space="preserve">hitna simptomatska </w:t>
            </w:r>
            <w:r w:rsidRPr="00801AFD">
              <w:rPr>
                <w:rFonts w:eastAsia="SimSun"/>
                <w:sz w:val="22"/>
                <w:szCs w:val="22"/>
                <w:lang w:val="sr-Latn-ME"/>
              </w:rPr>
              <w:t xml:space="preserve">terapija </w:t>
            </w:r>
            <w:r w:rsidRPr="00801AFD">
              <w:rPr>
                <w:rFonts w:eastAsia="SimSun"/>
                <w:sz w:val="22"/>
                <w:szCs w:val="22"/>
                <w:vertAlign w:val="superscript"/>
                <w:lang w:val="sr-Latn-ME"/>
              </w:rPr>
              <w:t>a</w:t>
            </w:r>
            <w:r w:rsidRPr="00801AFD">
              <w:rPr>
                <w:rFonts w:eastAsia="SimSun"/>
                <w:sz w:val="22"/>
                <w:szCs w:val="22"/>
                <w:lang w:val="sr-Latn-ME"/>
              </w:rPr>
              <w:t xml:space="preserve"> </w:t>
            </w:r>
          </w:p>
        </w:tc>
        <w:tc>
          <w:tcPr>
            <w:tcW w:w="614" w:type="pct"/>
          </w:tcPr>
          <w:p w14:paraId="7D7CDEEE" w14:textId="77777777" w:rsidR="003D388F" w:rsidRPr="00801AFD" w:rsidRDefault="003D388F" w:rsidP="00801AFD">
            <w:pPr>
              <w:pStyle w:val="C-BodyText"/>
              <w:widowControl w:val="0"/>
              <w:spacing w:before="0" w:after="0"/>
              <w:jc w:val="both"/>
              <w:rPr>
                <w:rFonts w:eastAsia="SimSun"/>
                <w:sz w:val="22"/>
                <w:szCs w:val="22"/>
                <w:lang w:val="sr-Latn-ME"/>
              </w:rPr>
            </w:pPr>
            <w:r w:rsidRPr="00801AFD">
              <w:rPr>
                <w:rFonts w:eastAsia="SimSun"/>
                <w:sz w:val="22"/>
                <w:szCs w:val="22"/>
                <w:lang w:val="sr-Latn-ME"/>
              </w:rPr>
              <w:t>n (%)</w:t>
            </w:r>
          </w:p>
        </w:tc>
        <w:tc>
          <w:tcPr>
            <w:tcW w:w="768" w:type="pct"/>
          </w:tcPr>
          <w:p w14:paraId="3A814533" w14:textId="77777777" w:rsidR="003D388F" w:rsidRPr="00801AFD" w:rsidRDefault="003D388F" w:rsidP="00801AFD">
            <w:pPr>
              <w:pStyle w:val="C-BodyText"/>
              <w:widowControl w:val="0"/>
              <w:spacing w:before="0" w:after="0"/>
              <w:jc w:val="both"/>
              <w:rPr>
                <w:rFonts w:eastAsia="SimSun"/>
                <w:sz w:val="22"/>
                <w:szCs w:val="22"/>
                <w:lang w:val="sr-Latn-ME"/>
              </w:rPr>
            </w:pPr>
            <w:r w:rsidRPr="00801AFD">
              <w:rPr>
                <w:rFonts w:eastAsia="SimSun"/>
                <w:sz w:val="22"/>
                <w:szCs w:val="22"/>
                <w:lang w:val="sr-Latn-ME"/>
              </w:rPr>
              <w:t>14 (15.7)</w:t>
            </w:r>
          </w:p>
        </w:tc>
        <w:tc>
          <w:tcPr>
            <w:tcW w:w="817" w:type="pct"/>
          </w:tcPr>
          <w:p w14:paraId="0C488F5F" w14:textId="77777777" w:rsidR="003D388F" w:rsidRPr="00801AFD" w:rsidRDefault="003D388F" w:rsidP="00801AFD">
            <w:pPr>
              <w:pStyle w:val="C-BodyText"/>
              <w:widowControl w:val="0"/>
              <w:spacing w:before="0" w:after="0"/>
              <w:jc w:val="both"/>
              <w:rPr>
                <w:rFonts w:eastAsia="SimSun"/>
                <w:sz w:val="22"/>
                <w:szCs w:val="22"/>
                <w:lang w:val="sr-Latn-ME"/>
              </w:rPr>
            </w:pPr>
            <w:r w:rsidRPr="00801AFD">
              <w:rPr>
                <w:rFonts w:eastAsia="SimSun"/>
                <w:sz w:val="22"/>
                <w:szCs w:val="22"/>
                <w:lang w:val="sr-Latn-ME"/>
              </w:rPr>
              <w:t>8 (9.3)</w:t>
            </w:r>
          </w:p>
        </w:tc>
      </w:tr>
    </w:tbl>
    <w:p w14:paraId="59C783AD" w14:textId="113C1C8E" w:rsidR="003D388F" w:rsidRPr="00986850" w:rsidRDefault="003D388F" w:rsidP="00801AFD">
      <w:pPr>
        <w:widowControl w:val="0"/>
        <w:jc w:val="both"/>
        <w:rPr>
          <w:sz w:val="20"/>
          <w:szCs w:val="22"/>
          <w:lang w:val="sr-Latn-ME"/>
        </w:rPr>
      </w:pPr>
      <w:r w:rsidRPr="00986850">
        <w:rPr>
          <w:sz w:val="20"/>
          <w:szCs w:val="22"/>
          <w:vertAlign w:val="superscript"/>
          <w:lang w:val="sr-Latn-ME"/>
        </w:rPr>
        <w:lastRenderedPageBreak/>
        <w:t>a</w:t>
      </w:r>
      <w:r w:rsidRPr="00986850">
        <w:rPr>
          <w:sz w:val="20"/>
          <w:szCs w:val="22"/>
          <w:lang w:val="sr-Latn-ME"/>
        </w:rPr>
        <w:t xml:space="preserve"> </w:t>
      </w:r>
      <w:r w:rsidR="000B577C" w:rsidRPr="00986850">
        <w:rPr>
          <w:sz w:val="20"/>
          <w:szCs w:val="22"/>
          <w:lang w:val="sr-Latn-ME"/>
        </w:rPr>
        <w:t xml:space="preserve">Hitna simptomatska </w:t>
      </w:r>
      <w:r w:rsidR="00E26C19" w:rsidRPr="00986850">
        <w:rPr>
          <w:sz w:val="20"/>
          <w:szCs w:val="22"/>
          <w:lang w:val="sr-Latn-ME"/>
        </w:rPr>
        <w:t>t</w:t>
      </w:r>
      <w:r w:rsidRPr="00986850">
        <w:rPr>
          <w:sz w:val="20"/>
          <w:szCs w:val="22"/>
          <w:lang w:val="sr-Latn-ME"/>
        </w:rPr>
        <w:t>erapija je uključivala visoke doze kortikosteroida, razm</w:t>
      </w:r>
      <w:r w:rsidR="000B577C" w:rsidRPr="00986850">
        <w:rPr>
          <w:sz w:val="20"/>
          <w:szCs w:val="22"/>
          <w:lang w:val="sr-Latn-ME"/>
        </w:rPr>
        <w:t>j</w:t>
      </w:r>
      <w:r w:rsidRPr="00986850">
        <w:rPr>
          <w:sz w:val="20"/>
          <w:szCs w:val="22"/>
          <w:lang w:val="sr-Latn-ME"/>
        </w:rPr>
        <w:t>enu plazme /plazmaferezu, intravenski imunoglobulin</w:t>
      </w:r>
    </w:p>
    <w:p w14:paraId="5613786F" w14:textId="77777777" w:rsidR="003D388F" w:rsidRPr="00801AFD" w:rsidRDefault="003D388F" w:rsidP="00801AFD">
      <w:pPr>
        <w:widowControl w:val="0"/>
        <w:jc w:val="both"/>
        <w:rPr>
          <w:sz w:val="22"/>
          <w:szCs w:val="22"/>
          <w:lang w:val="sr-Latn-ME"/>
        </w:rPr>
      </w:pPr>
    </w:p>
    <w:p w14:paraId="44002C71" w14:textId="572E6261" w:rsidR="003D388F" w:rsidRPr="00801AFD" w:rsidRDefault="003D388F" w:rsidP="00801AFD">
      <w:pPr>
        <w:pStyle w:val="Default"/>
        <w:widowControl w:val="0"/>
        <w:jc w:val="both"/>
        <w:rPr>
          <w:color w:val="auto"/>
          <w:sz w:val="22"/>
          <w:szCs w:val="22"/>
          <w:lang w:val="sr-Latn-ME"/>
        </w:rPr>
      </w:pPr>
      <w:r w:rsidRPr="00801AFD">
        <w:rPr>
          <w:color w:val="auto"/>
          <w:sz w:val="22"/>
          <w:szCs w:val="22"/>
          <w:lang w:val="sr-Latn-ME"/>
        </w:rPr>
        <w:t xml:space="preserve">Kod pacijenata koji su prvobitno primili Ultomiris, tokom </w:t>
      </w:r>
      <w:r w:rsidR="000B577C" w:rsidRPr="00801AFD">
        <w:rPr>
          <w:color w:val="auto"/>
          <w:sz w:val="22"/>
          <w:szCs w:val="22"/>
          <w:lang w:val="sr-Latn-ME"/>
        </w:rPr>
        <w:t>r</w:t>
      </w:r>
      <w:r w:rsidRPr="00801AFD">
        <w:rPr>
          <w:color w:val="auto"/>
          <w:sz w:val="22"/>
          <w:szCs w:val="22"/>
          <w:lang w:val="sr-Latn-ME"/>
        </w:rPr>
        <w:t xml:space="preserve">andomizovanog </w:t>
      </w:r>
      <w:r w:rsidR="000B577C" w:rsidRPr="00801AFD">
        <w:rPr>
          <w:color w:val="auto"/>
          <w:sz w:val="22"/>
          <w:szCs w:val="22"/>
          <w:lang w:val="sr-Latn-ME"/>
        </w:rPr>
        <w:t>k</w:t>
      </w:r>
      <w:r w:rsidRPr="00801AFD">
        <w:rPr>
          <w:color w:val="auto"/>
          <w:sz w:val="22"/>
          <w:szCs w:val="22"/>
          <w:lang w:val="sr-Latn-ME"/>
        </w:rPr>
        <w:t xml:space="preserve">ontrolisanog </w:t>
      </w:r>
      <w:r w:rsidR="000B577C" w:rsidRPr="00801AFD">
        <w:rPr>
          <w:color w:val="auto"/>
          <w:sz w:val="22"/>
          <w:szCs w:val="22"/>
          <w:lang w:val="sr-Latn-ME"/>
        </w:rPr>
        <w:t>p</w:t>
      </w:r>
      <w:r w:rsidRPr="00801AFD">
        <w:rPr>
          <w:color w:val="auto"/>
          <w:sz w:val="22"/>
          <w:szCs w:val="22"/>
          <w:lang w:val="sr-Latn-ME"/>
        </w:rPr>
        <w:t xml:space="preserve">erioda i nastavili da primaju Ultomiris </w:t>
      </w:r>
      <w:r w:rsidR="000C3265" w:rsidRPr="00801AFD">
        <w:rPr>
          <w:color w:val="auto"/>
          <w:sz w:val="22"/>
          <w:szCs w:val="22"/>
          <w:lang w:val="sr-Latn-ME"/>
        </w:rPr>
        <w:t>do</w:t>
      </w:r>
      <w:r w:rsidR="00DC6C02" w:rsidRPr="00801AFD">
        <w:rPr>
          <w:color w:val="auto"/>
          <w:sz w:val="22"/>
          <w:szCs w:val="22"/>
          <w:lang w:val="sr-Latn-ME"/>
        </w:rPr>
        <w:t xml:space="preserve"> </w:t>
      </w:r>
      <w:r w:rsidR="000C3265" w:rsidRPr="00801AFD">
        <w:rPr>
          <w:color w:val="auto"/>
          <w:sz w:val="22"/>
          <w:szCs w:val="22"/>
          <w:lang w:val="sr-Latn-ME"/>
        </w:rPr>
        <w:t xml:space="preserve">164 </w:t>
      </w:r>
      <w:r w:rsidR="00E26C19" w:rsidRPr="00801AFD">
        <w:rPr>
          <w:color w:val="auto"/>
          <w:sz w:val="22"/>
          <w:szCs w:val="22"/>
          <w:lang w:val="sr-Latn-ME"/>
        </w:rPr>
        <w:t>ned</w:t>
      </w:r>
      <w:r w:rsidR="00DC6C02" w:rsidRPr="00801AFD">
        <w:rPr>
          <w:color w:val="auto"/>
          <w:sz w:val="22"/>
          <w:szCs w:val="22"/>
          <w:lang w:val="sr-Latn-ME"/>
        </w:rPr>
        <w:t>j</w:t>
      </w:r>
      <w:r w:rsidR="00E26C19" w:rsidRPr="00801AFD">
        <w:rPr>
          <w:color w:val="auto"/>
          <w:sz w:val="22"/>
          <w:szCs w:val="22"/>
          <w:lang w:val="sr-Latn-ME"/>
        </w:rPr>
        <w:t xml:space="preserve">elje </w:t>
      </w:r>
      <w:r w:rsidR="000B577C" w:rsidRPr="00801AFD">
        <w:rPr>
          <w:color w:val="auto"/>
          <w:sz w:val="22"/>
          <w:szCs w:val="22"/>
          <w:lang w:val="sr-Latn-ME"/>
        </w:rPr>
        <w:t>o</w:t>
      </w:r>
      <w:r w:rsidRPr="00801AFD">
        <w:rPr>
          <w:color w:val="auto"/>
          <w:sz w:val="22"/>
          <w:szCs w:val="22"/>
          <w:lang w:val="sr-Latn-ME"/>
        </w:rPr>
        <w:t xml:space="preserve">tvorenog </w:t>
      </w:r>
      <w:r w:rsidR="000B577C" w:rsidRPr="00801AFD">
        <w:rPr>
          <w:color w:val="auto"/>
          <w:sz w:val="22"/>
          <w:szCs w:val="22"/>
          <w:lang w:val="sr-Latn-ME"/>
        </w:rPr>
        <w:t>p</w:t>
      </w:r>
      <w:r w:rsidRPr="00801AFD">
        <w:rPr>
          <w:color w:val="auto"/>
          <w:sz w:val="22"/>
          <w:szCs w:val="22"/>
          <w:lang w:val="sr-Latn-ME"/>
        </w:rPr>
        <w:t xml:space="preserve">roduženog </w:t>
      </w:r>
      <w:r w:rsidR="000B577C" w:rsidRPr="00801AFD">
        <w:rPr>
          <w:color w:val="auto"/>
          <w:sz w:val="22"/>
          <w:szCs w:val="22"/>
          <w:lang w:val="sr-Latn-ME"/>
        </w:rPr>
        <w:t>p</w:t>
      </w:r>
      <w:r w:rsidRPr="00801AFD">
        <w:rPr>
          <w:color w:val="auto"/>
          <w:sz w:val="22"/>
          <w:szCs w:val="22"/>
          <w:lang w:val="sr-Latn-ME"/>
        </w:rPr>
        <w:t>erioda, efekat l</w:t>
      </w:r>
      <w:r w:rsidR="007B354B" w:rsidRPr="00801AFD">
        <w:rPr>
          <w:color w:val="auto"/>
          <w:sz w:val="22"/>
          <w:szCs w:val="22"/>
          <w:lang w:val="sr-Latn-ME"/>
        </w:rPr>
        <w:t>ij</w:t>
      </w:r>
      <w:r w:rsidRPr="00801AFD">
        <w:rPr>
          <w:color w:val="auto"/>
          <w:sz w:val="22"/>
          <w:szCs w:val="22"/>
          <w:lang w:val="sr-Latn-ME"/>
        </w:rPr>
        <w:t xml:space="preserve">ečenja je </w:t>
      </w:r>
      <w:r w:rsidR="000C3265" w:rsidRPr="00801AFD">
        <w:rPr>
          <w:color w:val="auto"/>
          <w:sz w:val="22"/>
          <w:szCs w:val="22"/>
          <w:lang w:val="sr-Latn-ME"/>
        </w:rPr>
        <w:t xml:space="preserve">nastavio da se održava </w:t>
      </w:r>
      <w:r w:rsidRPr="00801AFD">
        <w:rPr>
          <w:color w:val="auto"/>
          <w:sz w:val="22"/>
          <w:szCs w:val="22"/>
          <w:lang w:val="sr-Latn-ME"/>
        </w:rPr>
        <w:t xml:space="preserve">(Slika 3). </w:t>
      </w:r>
    </w:p>
    <w:p w14:paraId="55B5B707" w14:textId="7F3766C2" w:rsidR="003D388F" w:rsidRPr="00801AFD" w:rsidRDefault="003D388F" w:rsidP="00801AFD">
      <w:pPr>
        <w:pStyle w:val="Default"/>
        <w:widowControl w:val="0"/>
        <w:jc w:val="both"/>
        <w:rPr>
          <w:color w:val="auto"/>
          <w:sz w:val="22"/>
          <w:szCs w:val="22"/>
          <w:lang w:val="sr-Latn-ME"/>
        </w:rPr>
      </w:pPr>
      <w:r w:rsidRPr="00801AFD">
        <w:rPr>
          <w:color w:val="auto"/>
          <w:sz w:val="22"/>
          <w:szCs w:val="22"/>
          <w:lang w:val="sr-Latn-ME"/>
        </w:rPr>
        <w:t>Kod pacijenata koji su prvobitno primali placebo tokom 26-ned</w:t>
      </w:r>
      <w:r w:rsidR="00DC6C02" w:rsidRPr="00801AFD">
        <w:rPr>
          <w:color w:val="auto"/>
          <w:sz w:val="22"/>
          <w:szCs w:val="22"/>
          <w:lang w:val="sr-Latn-ME"/>
        </w:rPr>
        <w:t>j</w:t>
      </w:r>
      <w:r w:rsidRPr="00801AFD">
        <w:rPr>
          <w:color w:val="auto"/>
          <w:sz w:val="22"/>
          <w:szCs w:val="22"/>
          <w:lang w:val="sr-Latn-ME"/>
        </w:rPr>
        <w:t>eljnog Randomizovanog Kontrolisanog Perioda i započeli terapiju l</w:t>
      </w:r>
      <w:r w:rsidR="007B354B" w:rsidRPr="00801AFD">
        <w:rPr>
          <w:color w:val="auto"/>
          <w:sz w:val="22"/>
          <w:szCs w:val="22"/>
          <w:lang w:val="sr-Latn-ME"/>
        </w:rPr>
        <w:t>ij</w:t>
      </w:r>
      <w:r w:rsidRPr="00801AFD">
        <w:rPr>
          <w:color w:val="auto"/>
          <w:sz w:val="22"/>
          <w:szCs w:val="22"/>
          <w:lang w:val="sr-Latn-ME"/>
        </w:rPr>
        <w:t>ekom ULTOMIRIS tokom Otvorenog Produženog Perioda, prim</w:t>
      </w:r>
      <w:r w:rsidR="007B354B" w:rsidRPr="00801AFD">
        <w:rPr>
          <w:color w:val="auto"/>
          <w:sz w:val="22"/>
          <w:szCs w:val="22"/>
          <w:lang w:val="sr-Latn-ME"/>
        </w:rPr>
        <w:t>ij</w:t>
      </w:r>
      <w:r w:rsidRPr="00801AFD">
        <w:rPr>
          <w:color w:val="auto"/>
          <w:sz w:val="22"/>
          <w:szCs w:val="22"/>
          <w:lang w:val="sr-Latn-ME"/>
        </w:rPr>
        <w:t xml:space="preserve">ećen je brz i održiv odgovor na terapiju </w:t>
      </w:r>
      <w:r w:rsidR="000C3265" w:rsidRPr="00801AFD">
        <w:rPr>
          <w:color w:val="auto"/>
          <w:sz w:val="22"/>
          <w:szCs w:val="22"/>
          <w:lang w:val="sr-Latn-ME"/>
        </w:rPr>
        <w:t xml:space="preserve">na svim krajnjim tačkama uključujući MG-ADL i KMG </w:t>
      </w:r>
      <w:r w:rsidRPr="00801AFD">
        <w:rPr>
          <w:color w:val="auto"/>
          <w:sz w:val="22"/>
          <w:szCs w:val="22"/>
          <w:lang w:val="sr-Latn-ME"/>
        </w:rPr>
        <w:t>(Slika 3)</w:t>
      </w:r>
      <w:r w:rsidR="000C3265" w:rsidRPr="00801AFD">
        <w:rPr>
          <w:color w:val="auto"/>
          <w:sz w:val="22"/>
          <w:szCs w:val="22"/>
          <w:lang w:val="sr-Latn-ME"/>
        </w:rPr>
        <w:t>, tokom medijane trajanja liječenja od približno 2 godine.</w:t>
      </w:r>
    </w:p>
    <w:p w14:paraId="373B686D" w14:textId="16A626A7" w:rsidR="003D388F" w:rsidRPr="00801AFD" w:rsidRDefault="003D388F" w:rsidP="00801AFD">
      <w:pPr>
        <w:pStyle w:val="Default"/>
        <w:widowControl w:val="0"/>
        <w:jc w:val="both"/>
        <w:rPr>
          <w:color w:val="auto"/>
          <w:sz w:val="22"/>
          <w:szCs w:val="22"/>
          <w:lang w:val="sr-Latn-ME"/>
        </w:rPr>
      </w:pPr>
    </w:p>
    <w:p w14:paraId="03117CEF" w14:textId="61486FA6" w:rsidR="00E17FB4" w:rsidRPr="00801AFD" w:rsidRDefault="003D388F" w:rsidP="00801AFD">
      <w:pPr>
        <w:pStyle w:val="Default"/>
        <w:widowControl w:val="0"/>
        <w:jc w:val="both"/>
        <w:rPr>
          <w:b/>
          <w:color w:val="auto"/>
          <w:sz w:val="22"/>
          <w:szCs w:val="22"/>
          <w:lang w:val="sr-Latn-ME"/>
        </w:rPr>
      </w:pPr>
      <w:r w:rsidRPr="00801AFD">
        <w:rPr>
          <w:b/>
          <w:color w:val="auto"/>
          <w:sz w:val="22"/>
          <w:szCs w:val="22"/>
          <w:lang w:val="sr-Latn-ME"/>
        </w:rPr>
        <w:t>Slika 3: Prom</w:t>
      </w:r>
      <w:r w:rsidR="007B354B" w:rsidRPr="00801AFD">
        <w:rPr>
          <w:b/>
          <w:color w:val="auto"/>
          <w:sz w:val="22"/>
          <w:szCs w:val="22"/>
          <w:lang w:val="sr-Latn-ME"/>
        </w:rPr>
        <w:t>j</w:t>
      </w:r>
      <w:r w:rsidRPr="00801AFD">
        <w:rPr>
          <w:b/>
          <w:color w:val="auto"/>
          <w:sz w:val="22"/>
          <w:szCs w:val="22"/>
          <w:lang w:val="sr-Latn-ME"/>
        </w:rPr>
        <w:t>ena od početka ra</w:t>
      </w:r>
      <w:r w:rsidR="000B577C" w:rsidRPr="00801AFD">
        <w:rPr>
          <w:b/>
          <w:color w:val="auto"/>
          <w:sz w:val="22"/>
          <w:szCs w:val="22"/>
          <w:lang w:val="sr-Latn-ME"/>
        </w:rPr>
        <w:t>n</w:t>
      </w:r>
      <w:r w:rsidRPr="00801AFD">
        <w:rPr>
          <w:b/>
          <w:color w:val="auto"/>
          <w:sz w:val="22"/>
          <w:szCs w:val="22"/>
          <w:lang w:val="sr-Latn-ME"/>
        </w:rPr>
        <w:t xml:space="preserve">domizovano kontrolisanog perioda u MG-ADL ukupnom skoru (A) i QMG ukupnom skoru (B) do </w:t>
      </w:r>
      <w:r w:rsidR="000C3265" w:rsidRPr="00801AFD">
        <w:rPr>
          <w:b/>
          <w:color w:val="auto"/>
          <w:sz w:val="22"/>
          <w:szCs w:val="22"/>
          <w:lang w:val="sr-Latn-ME"/>
        </w:rPr>
        <w:t>164</w:t>
      </w:r>
      <w:r w:rsidRPr="00801AFD">
        <w:rPr>
          <w:b/>
          <w:color w:val="auto"/>
          <w:sz w:val="22"/>
          <w:szCs w:val="22"/>
          <w:lang w:val="sr-Latn-ME"/>
        </w:rPr>
        <w:t>-e ned</w:t>
      </w:r>
      <w:r w:rsidR="00842573" w:rsidRPr="00801AFD">
        <w:rPr>
          <w:b/>
          <w:color w:val="auto"/>
          <w:sz w:val="22"/>
          <w:szCs w:val="22"/>
          <w:lang w:val="sr-Latn-ME"/>
        </w:rPr>
        <w:t>j</w:t>
      </w:r>
      <w:r w:rsidRPr="00801AFD">
        <w:rPr>
          <w:b/>
          <w:color w:val="auto"/>
          <w:sz w:val="22"/>
          <w:szCs w:val="22"/>
          <w:lang w:val="sr-Latn-ME"/>
        </w:rPr>
        <w:t>elje (srednja vr</w:t>
      </w:r>
      <w:r w:rsidR="007B354B" w:rsidRPr="00801AFD">
        <w:rPr>
          <w:b/>
          <w:color w:val="auto"/>
          <w:sz w:val="22"/>
          <w:szCs w:val="22"/>
          <w:lang w:val="sr-Latn-ME"/>
        </w:rPr>
        <w:t>ij</w:t>
      </w:r>
      <w:r w:rsidRPr="00801AFD">
        <w:rPr>
          <w:b/>
          <w:color w:val="auto"/>
          <w:sz w:val="22"/>
          <w:szCs w:val="22"/>
          <w:lang w:val="sr-Latn-ME"/>
        </w:rPr>
        <w:t xml:space="preserve">ednost i 95% </w:t>
      </w:r>
      <w:r w:rsidR="000C3265" w:rsidRPr="00801AFD">
        <w:rPr>
          <w:b/>
          <w:color w:val="auto"/>
          <w:sz w:val="22"/>
          <w:szCs w:val="22"/>
          <w:lang w:val="sr-Latn-ME"/>
        </w:rPr>
        <w:t>CI)</w:t>
      </w:r>
    </w:p>
    <w:p w14:paraId="4ABCA1AD" w14:textId="684D57C5" w:rsidR="00E17FB4" w:rsidRPr="00801AFD" w:rsidRDefault="00E17FB4" w:rsidP="00801AFD">
      <w:pPr>
        <w:pStyle w:val="Default"/>
        <w:widowControl w:val="0"/>
        <w:jc w:val="both"/>
        <w:rPr>
          <w:b/>
          <w:color w:val="auto"/>
          <w:sz w:val="22"/>
          <w:szCs w:val="22"/>
          <w:lang w:val="sr-Latn-ME"/>
        </w:rPr>
      </w:pPr>
      <w:r w:rsidRPr="00801AFD">
        <w:rPr>
          <w:b/>
          <w:sz w:val="22"/>
          <w:szCs w:val="22"/>
          <w:lang w:val="sr-Latn-ME"/>
        </w:rPr>
        <mc:AlternateContent>
          <mc:Choice Requires="wps">
            <w:drawing>
              <wp:anchor distT="0" distB="0" distL="114300" distR="114300" simplePos="0" relativeHeight="251662336" behindDoc="0" locked="0" layoutInCell="1" allowOverlap="1" wp14:anchorId="61FC56A8" wp14:editId="46F4B423">
                <wp:simplePos x="0" y="0"/>
                <wp:positionH relativeFrom="column">
                  <wp:posOffset>2966402</wp:posOffset>
                </wp:positionH>
                <wp:positionV relativeFrom="paragraph">
                  <wp:posOffset>2909570</wp:posOffset>
                </wp:positionV>
                <wp:extent cx="819808" cy="251872"/>
                <wp:effectExtent l="0" t="0" r="0" b="0"/>
                <wp:wrapNone/>
                <wp:docPr id="9" name="TextBox 8">
                  <a:extLst xmlns:a="http://schemas.openxmlformats.org/drawingml/2006/main">
                    <a:ext uri="{FF2B5EF4-FFF2-40B4-BE49-F238E27FC236}">
                      <a16:creationId xmlns:a16="http://schemas.microsoft.com/office/drawing/2014/main" id="{55D5C843-79B3-7644-CA63-7CCC48A377E3}"/>
                    </a:ext>
                  </a:extLst>
                </wp:docPr>
                <wp:cNvGraphicFramePr/>
                <a:graphic xmlns:a="http://schemas.openxmlformats.org/drawingml/2006/main">
                  <a:graphicData uri="http://schemas.microsoft.com/office/word/2010/wordprocessingShape">
                    <wps:wsp>
                      <wps:cNvSpPr txBox="1"/>
                      <wps:spPr>
                        <a:xfrm>
                          <a:off x="0" y="0"/>
                          <a:ext cx="819808" cy="251872"/>
                        </a:xfrm>
                        <a:prstGeom prst="rect">
                          <a:avLst/>
                        </a:prstGeom>
                        <a:noFill/>
                      </wps:spPr>
                      <wps:txbx>
                        <w:txbxContent>
                          <w:p w14:paraId="07221B06" w14:textId="77777777" w:rsidR="00801AFD" w:rsidRDefault="00801AFD" w:rsidP="00E17FB4">
                            <w:pPr>
                              <w:rPr>
                                <w:rFonts w:ascii="Calibri" w:eastAsia="+mn-ea" w:hAnsi="Calibri" w:cs="+mn-cs"/>
                                <w:color w:val="000000"/>
                                <w:kern w:val="24"/>
                                <w:sz w:val="20"/>
                                <w:szCs w:val="20"/>
                                <w:lang w:val="sr-Latn-RS"/>
                              </w:rPr>
                            </w:pPr>
                            <w:r>
                              <w:rPr>
                                <w:rFonts w:ascii="Calibri" w:eastAsia="+mn-ea" w:hAnsi="Calibri" w:cs="+mn-cs"/>
                                <w:color w:val="000000"/>
                                <w:kern w:val="24"/>
                                <w:sz w:val="20"/>
                                <w:szCs w:val="20"/>
                                <w:lang w:val="sr-Latn-RS"/>
                              </w:rPr>
                              <w:t>Nedelje</w:t>
                            </w:r>
                          </w:p>
                        </w:txbxContent>
                      </wps:txbx>
                      <wps:bodyPr wrap="square" rtlCol="0">
                        <a:spAutoFit/>
                      </wps:bodyPr>
                    </wps:wsp>
                  </a:graphicData>
                </a:graphic>
              </wp:anchor>
            </w:drawing>
          </mc:Choice>
          <mc:Fallback>
            <w:pict>
              <v:shapetype w14:anchorId="61FC56A8" id="_x0000_t202" coordsize="21600,21600" o:spt="202" path="m,l,21600r21600,l21600,xe">
                <v:stroke joinstyle="miter"/>
                <v:path gradientshapeok="t" o:connecttype="rect"/>
              </v:shapetype>
              <v:shape id="TextBox 8" o:spid="_x0000_s1026" type="#_x0000_t202" style="position:absolute;left:0;text-align:left;margin-left:233.55pt;margin-top:229.1pt;width:64.55pt;height:19.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" filled="f" stroked="f">
                <v:textbox style="mso-fit-shape-to-text:t">
                  <w:txbxContent>
                    <w:p w14:paraId="07221B06" w14:textId="77777777" w:rsidR="00801AFD" w:rsidRDefault="00801AFD" w:rsidP="00E17FB4">
                      <w:pPr>
                        <w:rPr>
                          <w:rFonts w:ascii="Calibri" w:eastAsia="+mn-ea" w:hAnsi="Calibri" w:cs="+mn-cs"/>
                          <w:color w:val="000000"/>
                          <w:kern w:val="24"/>
                          <w:sz w:val="20"/>
                          <w:szCs w:val="20"/>
                          <w:lang w:val="sr-Latn-RS"/>
                        </w:rPr>
                      </w:pPr>
                      <w:r>
                        <w:rPr>
                          <w:rFonts w:ascii="Calibri" w:eastAsia="+mn-ea" w:hAnsi="Calibri" w:cs="+mn-cs"/>
                          <w:color w:val="000000"/>
                          <w:kern w:val="24"/>
                          <w:sz w:val="20"/>
                          <w:szCs w:val="20"/>
                          <w:lang w:val="sr-Latn-RS"/>
                        </w:rPr>
                        <w:t>Nedelje</w:t>
                      </w:r>
                    </w:p>
                  </w:txbxContent>
                </v:textbox>
              </v:shape>
            </w:pict>
          </mc:Fallback>
        </mc:AlternateContent>
      </w:r>
    </w:p>
    <w:p w14:paraId="12D7F0F2" w14:textId="045BD656" w:rsidR="003D388F" w:rsidRPr="00801AFD" w:rsidRDefault="000C3265" w:rsidP="00801AFD">
      <w:pPr>
        <w:pStyle w:val="Default"/>
        <w:widowControl w:val="0"/>
        <w:jc w:val="both"/>
        <w:rPr>
          <w:sz w:val="22"/>
          <w:szCs w:val="22"/>
          <w:u w:val="single"/>
          <w:lang w:val="sr-Latn-ME"/>
        </w:rPr>
      </w:pPr>
      <w:r w:rsidRPr="00801AFD">
        <w:rPr>
          <w:rFonts w:eastAsia="SimSun"/>
          <w:sz w:val="20"/>
          <w:szCs w:val="20"/>
          <w:vertAlign w:val="superscript"/>
          <w:lang w:val="sr-Latn-ME"/>
        </w:rPr>
        <w:drawing>
          <wp:inline distT="0" distB="0" distL="0" distR="0" wp14:anchorId="7693FDB5" wp14:editId="26790DE7">
            <wp:extent cx="5732780" cy="4409440"/>
            <wp:effectExtent l="0" t="0" r="1270" b="0"/>
            <wp:docPr id="891977016" name="Picture 891977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90415" name=""/>
                    <pic:cNvPicPr/>
                  </pic:nvPicPr>
                  <pic:blipFill>
                    <a:blip r:embed="rId14"/>
                    <a:stretch>
                      <a:fillRect/>
                    </a:stretch>
                  </pic:blipFill>
                  <pic:spPr>
                    <a:xfrm>
                      <a:off x="0" y="0"/>
                      <a:ext cx="5732780" cy="4409440"/>
                    </a:xfrm>
                    <a:prstGeom prst="rect">
                      <a:avLst/>
                    </a:prstGeom>
                  </pic:spPr>
                </pic:pic>
              </a:graphicData>
            </a:graphic>
          </wp:inline>
        </w:drawing>
      </w:r>
    </w:p>
    <w:p w14:paraId="092D293D" w14:textId="41DD51E4" w:rsidR="000C3265" w:rsidRPr="00801AFD" w:rsidRDefault="000C3265" w:rsidP="00801AFD">
      <w:pPr>
        <w:pStyle w:val="C-TableFootnote"/>
        <w:widowControl w:val="0"/>
        <w:tabs>
          <w:tab w:val="clear" w:pos="144"/>
          <w:tab w:val="left" w:pos="0"/>
        </w:tabs>
        <w:ind w:left="0" w:firstLine="0"/>
        <w:jc w:val="both"/>
        <w:rPr>
          <w:lang w:val="sr-Latn-ME"/>
        </w:rPr>
      </w:pPr>
      <w:r w:rsidRPr="00801AFD">
        <w:rPr>
          <w:lang w:val="sr-Latn-ME"/>
        </w:rPr>
        <w:t>Napomena: Podaci o nasumičnom kontrolisanom periodu su zasnovani na podacima od 175 pacijenata. Brojke Open Label produženog perioda zasnovane su na podacima od 161 pacijenta.</w:t>
      </w:r>
    </w:p>
    <w:p w14:paraId="4792C6CE" w14:textId="6BFAA231" w:rsidR="003D388F" w:rsidRPr="00801AFD" w:rsidRDefault="003D388F" w:rsidP="00801AFD">
      <w:pPr>
        <w:pStyle w:val="C-TableFootnote"/>
        <w:widowControl w:val="0"/>
        <w:tabs>
          <w:tab w:val="clear" w:pos="144"/>
          <w:tab w:val="left" w:pos="0"/>
        </w:tabs>
        <w:ind w:left="0" w:firstLine="0"/>
        <w:jc w:val="both"/>
        <w:rPr>
          <w:lang w:val="sr-Latn-ME"/>
        </w:rPr>
      </w:pPr>
      <w:r w:rsidRPr="00801AFD">
        <w:rPr>
          <w:lang w:val="sr-Latn-ME"/>
        </w:rPr>
        <w:t xml:space="preserve">Skraćenice: CI = interval pouzdanosti; MG-ADL = Mijastenija Gravis Aktivnosti svakodnevnog života; QMG = Kvantitativna mijastenija gravis </w:t>
      </w:r>
    </w:p>
    <w:p w14:paraId="586CF38F" w14:textId="77777777" w:rsidR="000C3265" w:rsidRPr="00801AFD" w:rsidRDefault="000C3265" w:rsidP="00801AFD">
      <w:pPr>
        <w:widowControl w:val="0"/>
        <w:rPr>
          <w:lang w:val="sr-Latn-ME"/>
        </w:rPr>
      </w:pPr>
    </w:p>
    <w:p w14:paraId="64E195D0" w14:textId="7D7996D4" w:rsidR="003D388F" w:rsidRPr="00801AFD" w:rsidRDefault="003D388F" w:rsidP="00801AFD">
      <w:pPr>
        <w:widowControl w:val="0"/>
        <w:jc w:val="both"/>
        <w:rPr>
          <w:sz w:val="22"/>
          <w:szCs w:val="22"/>
          <w:lang w:val="sr-Latn-ME"/>
        </w:rPr>
      </w:pPr>
      <w:r w:rsidRPr="00801AFD">
        <w:rPr>
          <w:sz w:val="22"/>
          <w:szCs w:val="22"/>
          <w:lang w:val="sr-Latn-ME"/>
        </w:rPr>
        <w:t xml:space="preserve">Tokom </w:t>
      </w:r>
      <w:r w:rsidR="000B577C" w:rsidRPr="00801AFD">
        <w:rPr>
          <w:sz w:val="22"/>
          <w:szCs w:val="22"/>
          <w:lang w:val="sr-Latn-ME"/>
        </w:rPr>
        <w:t>o</w:t>
      </w:r>
      <w:r w:rsidRPr="00801AFD">
        <w:rPr>
          <w:sz w:val="22"/>
          <w:szCs w:val="22"/>
          <w:lang w:val="sr-Latn-ME"/>
        </w:rPr>
        <w:t xml:space="preserve">tvorenog </w:t>
      </w:r>
      <w:r w:rsidR="000B577C" w:rsidRPr="00801AFD">
        <w:rPr>
          <w:sz w:val="22"/>
          <w:szCs w:val="22"/>
          <w:lang w:val="sr-Latn-ME"/>
        </w:rPr>
        <w:t>p</w:t>
      </w:r>
      <w:r w:rsidRPr="00801AFD">
        <w:rPr>
          <w:sz w:val="22"/>
          <w:szCs w:val="22"/>
          <w:lang w:val="sr-Latn-ME"/>
        </w:rPr>
        <w:t xml:space="preserve">roduženog </w:t>
      </w:r>
      <w:r w:rsidR="000B577C" w:rsidRPr="00801AFD">
        <w:rPr>
          <w:sz w:val="22"/>
          <w:szCs w:val="22"/>
          <w:lang w:val="sr-Latn-ME"/>
        </w:rPr>
        <w:t>p</w:t>
      </w:r>
      <w:r w:rsidRPr="00801AFD">
        <w:rPr>
          <w:sz w:val="22"/>
          <w:szCs w:val="22"/>
          <w:lang w:val="sr-Latn-ME"/>
        </w:rPr>
        <w:t xml:space="preserve">erioda studije, kliničari su imali mogućnost da prilagode imunosupresivnu terapiju. </w:t>
      </w:r>
      <w:r w:rsidR="000C3265" w:rsidRPr="00801AFD">
        <w:rPr>
          <w:sz w:val="22"/>
          <w:szCs w:val="22"/>
          <w:lang w:val="sr-Latn-ME"/>
        </w:rPr>
        <w:t>Na kraju</w:t>
      </w:r>
      <w:r w:rsidRPr="00801AFD">
        <w:rPr>
          <w:sz w:val="22"/>
          <w:szCs w:val="22"/>
          <w:lang w:val="sr-Latn-ME"/>
        </w:rPr>
        <w:t xml:space="preserve"> </w:t>
      </w:r>
      <w:r w:rsidR="000B577C" w:rsidRPr="00801AFD">
        <w:rPr>
          <w:sz w:val="22"/>
          <w:szCs w:val="22"/>
          <w:lang w:val="sr-Latn-ME"/>
        </w:rPr>
        <w:t>o</w:t>
      </w:r>
      <w:r w:rsidRPr="00801AFD">
        <w:rPr>
          <w:sz w:val="22"/>
          <w:szCs w:val="22"/>
          <w:lang w:val="sr-Latn-ME"/>
        </w:rPr>
        <w:t>tvoreno</w:t>
      </w:r>
      <w:r w:rsidR="000C3265" w:rsidRPr="00801AFD">
        <w:rPr>
          <w:sz w:val="22"/>
          <w:szCs w:val="22"/>
          <w:lang w:val="sr-Latn-ME"/>
        </w:rPr>
        <w:t>g</w:t>
      </w:r>
      <w:r w:rsidRPr="00801AFD">
        <w:rPr>
          <w:sz w:val="22"/>
          <w:szCs w:val="22"/>
          <w:lang w:val="sr-Latn-ME"/>
        </w:rPr>
        <w:t xml:space="preserve"> </w:t>
      </w:r>
      <w:r w:rsidR="000B577C" w:rsidRPr="00801AFD">
        <w:rPr>
          <w:sz w:val="22"/>
          <w:szCs w:val="22"/>
          <w:lang w:val="sr-Latn-ME"/>
        </w:rPr>
        <w:t>p</w:t>
      </w:r>
      <w:r w:rsidRPr="00801AFD">
        <w:rPr>
          <w:sz w:val="22"/>
          <w:szCs w:val="22"/>
          <w:lang w:val="sr-Latn-ME"/>
        </w:rPr>
        <w:t>roduženo</w:t>
      </w:r>
      <w:r w:rsidR="000C3265" w:rsidRPr="00801AFD">
        <w:rPr>
          <w:sz w:val="22"/>
          <w:szCs w:val="22"/>
          <w:lang w:val="sr-Latn-ME"/>
        </w:rPr>
        <w:t>g</w:t>
      </w:r>
      <w:r w:rsidRPr="00801AFD">
        <w:rPr>
          <w:sz w:val="22"/>
          <w:szCs w:val="22"/>
          <w:lang w:val="sr-Latn-ME"/>
        </w:rPr>
        <w:t xml:space="preserve"> </w:t>
      </w:r>
      <w:r w:rsidR="000B577C" w:rsidRPr="00801AFD">
        <w:rPr>
          <w:sz w:val="22"/>
          <w:szCs w:val="22"/>
          <w:lang w:val="sr-Latn-ME"/>
        </w:rPr>
        <w:t>p</w:t>
      </w:r>
      <w:r w:rsidRPr="00801AFD">
        <w:rPr>
          <w:sz w:val="22"/>
          <w:szCs w:val="22"/>
          <w:lang w:val="sr-Latn-ME"/>
        </w:rPr>
        <w:t>eriod</w:t>
      </w:r>
      <w:r w:rsidR="000C3265" w:rsidRPr="00801AFD">
        <w:rPr>
          <w:sz w:val="22"/>
          <w:szCs w:val="22"/>
          <w:lang w:val="sr-Latn-ME"/>
        </w:rPr>
        <w:t>a (medijana trajanja terapije ULTOMIRIS-om i tokom randomizovanog kontrolnog perioda i otvorenog produženja je bilo 759 dana)</w:t>
      </w:r>
      <w:r w:rsidRPr="00801AFD">
        <w:rPr>
          <w:sz w:val="22"/>
          <w:szCs w:val="22"/>
          <w:lang w:val="sr-Latn-ME"/>
        </w:rPr>
        <w:t xml:space="preserve">, </w:t>
      </w:r>
      <w:r w:rsidR="000C3265" w:rsidRPr="00801AFD">
        <w:rPr>
          <w:sz w:val="22"/>
          <w:szCs w:val="22"/>
          <w:lang w:val="sr-Latn-ME"/>
        </w:rPr>
        <w:t>30</w:t>
      </w:r>
      <w:r w:rsidRPr="00801AFD">
        <w:rPr>
          <w:sz w:val="22"/>
          <w:szCs w:val="22"/>
          <w:lang w:val="sr-Latn-ME"/>
        </w:rPr>
        <w:t>,</w:t>
      </w:r>
      <w:r w:rsidR="000C3265" w:rsidRPr="00801AFD">
        <w:rPr>
          <w:sz w:val="22"/>
          <w:szCs w:val="22"/>
          <w:lang w:val="sr-Latn-ME"/>
        </w:rPr>
        <w:t>1</w:t>
      </w:r>
      <w:r w:rsidRPr="00801AFD">
        <w:rPr>
          <w:sz w:val="22"/>
          <w:szCs w:val="22"/>
          <w:lang w:val="sr-Latn-ME"/>
        </w:rPr>
        <w:t xml:space="preserve">% pacijenata je smanjilo dnevnu dozu terapije kortikosteroidima, a </w:t>
      </w:r>
      <w:r w:rsidR="000C3265" w:rsidRPr="00801AFD">
        <w:rPr>
          <w:sz w:val="22"/>
          <w:szCs w:val="22"/>
          <w:lang w:val="sr-Latn-ME"/>
        </w:rPr>
        <w:t>12</w:t>
      </w:r>
      <w:r w:rsidRPr="00801AFD">
        <w:rPr>
          <w:sz w:val="22"/>
          <w:szCs w:val="22"/>
          <w:lang w:val="sr-Latn-ME"/>
        </w:rPr>
        <w:t>,</w:t>
      </w:r>
      <w:r w:rsidR="000C3265" w:rsidRPr="00801AFD">
        <w:rPr>
          <w:sz w:val="22"/>
          <w:szCs w:val="22"/>
          <w:lang w:val="sr-Latn-ME"/>
        </w:rPr>
        <w:t>4</w:t>
      </w:r>
      <w:r w:rsidRPr="00801AFD">
        <w:rPr>
          <w:sz w:val="22"/>
          <w:szCs w:val="22"/>
          <w:lang w:val="sr-Latn-ME"/>
        </w:rPr>
        <w:t>% pacijenata je prekinulo  terapiju kortikosteroidima. Najčešći razlog za prom</w:t>
      </w:r>
      <w:r w:rsidR="007B354B" w:rsidRPr="00801AFD">
        <w:rPr>
          <w:sz w:val="22"/>
          <w:szCs w:val="22"/>
          <w:lang w:val="sr-Latn-ME"/>
        </w:rPr>
        <w:t>j</w:t>
      </w:r>
      <w:r w:rsidRPr="00801AFD">
        <w:rPr>
          <w:sz w:val="22"/>
          <w:szCs w:val="22"/>
          <w:lang w:val="sr-Latn-ME"/>
        </w:rPr>
        <w:t>enu terapije kortikosteroidima bilo je poboljšanje simptoma MG tokom terapije ravulizumabom.</w:t>
      </w:r>
    </w:p>
    <w:p w14:paraId="40E3991A" w14:textId="25DE4E1D" w:rsidR="002D5FEA" w:rsidRPr="00801AFD" w:rsidRDefault="002D5FEA" w:rsidP="00801AFD">
      <w:pPr>
        <w:widowControl w:val="0"/>
        <w:jc w:val="both"/>
        <w:rPr>
          <w:sz w:val="22"/>
          <w:szCs w:val="22"/>
          <w:lang w:val="sr-Latn-ME"/>
        </w:rPr>
      </w:pPr>
    </w:p>
    <w:p w14:paraId="0197D78A" w14:textId="77777777" w:rsidR="002D5FEA" w:rsidRPr="00801AFD" w:rsidRDefault="002D5FEA" w:rsidP="00801AFD">
      <w:pPr>
        <w:widowControl w:val="0"/>
        <w:autoSpaceDE w:val="0"/>
        <w:autoSpaceDN w:val="0"/>
        <w:adjustRightInd w:val="0"/>
        <w:jc w:val="both"/>
        <w:rPr>
          <w:i/>
          <w:iCs/>
          <w:color w:val="000000"/>
          <w:sz w:val="22"/>
          <w:szCs w:val="22"/>
          <w:lang w:val="sr-Latn-ME"/>
        </w:rPr>
      </w:pPr>
      <w:r w:rsidRPr="00801AFD">
        <w:rPr>
          <w:i/>
          <w:iCs/>
          <w:color w:val="000000"/>
          <w:sz w:val="22"/>
          <w:szCs w:val="22"/>
          <w:lang w:val="sr-Latn-ME"/>
        </w:rPr>
        <w:t>Spektar poremećaja optičkog neuromijelitisa (NMOSD)</w:t>
      </w:r>
    </w:p>
    <w:p w14:paraId="39346F1F" w14:textId="77777777" w:rsidR="002D5FEA" w:rsidRPr="00801AFD" w:rsidRDefault="002D5FEA" w:rsidP="00801AFD">
      <w:pPr>
        <w:widowControl w:val="0"/>
        <w:autoSpaceDE w:val="0"/>
        <w:autoSpaceDN w:val="0"/>
        <w:adjustRightInd w:val="0"/>
        <w:jc w:val="both"/>
        <w:rPr>
          <w:color w:val="000000"/>
          <w:sz w:val="22"/>
          <w:szCs w:val="22"/>
          <w:lang w:val="sr-Latn-ME"/>
        </w:rPr>
      </w:pPr>
    </w:p>
    <w:p w14:paraId="2B97D5A0" w14:textId="77777777" w:rsidR="002D5FEA" w:rsidRPr="00801AFD" w:rsidRDefault="002D5FEA" w:rsidP="00801AFD">
      <w:pPr>
        <w:widowControl w:val="0"/>
        <w:autoSpaceDE w:val="0"/>
        <w:autoSpaceDN w:val="0"/>
        <w:adjustRightInd w:val="0"/>
        <w:jc w:val="both"/>
        <w:rPr>
          <w:i/>
          <w:iCs/>
          <w:color w:val="000000"/>
          <w:sz w:val="22"/>
          <w:szCs w:val="22"/>
          <w:u w:val="single"/>
          <w:lang w:val="sr-Latn-ME"/>
        </w:rPr>
      </w:pPr>
      <w:r w:rsidRPr="00801AFD">
        <w:rPr>
          <w:i/>
          <w:iCs/>
          <w:color w:val="000000"/>
          <w:sz w:val="22"/>
          <w:szCs w:val="22"/>
          <w:u w:val="single"/>
          <w:lang w:val="sr-Latn-ME"/>
        </w:rPr>
        <w:t>Studija na odraslim pacijentima sa NMOSD</w:t>
      </w:r>
    </w:p>
    <w:p w14:paraId="7AEB2680" w14:textId="77777777" w:rsidR="002D5FEA" w:rsidRPr="00801AFD" w:rsidRDefault="002D5FEA" w:rsidP="00801AFD">
      <w:pPr>
        <w:widowControl w:val="0"/>
        <w:autoSpaceDE w:val="0"/>
        <w:autoSpaceDN w:val="0"/>
        <w:adjustRightInd w:val="0"/>
        <w:jc w:val="both"/>
        <w:rPr>
          <w:i/>
          <w:iCs/>
          <w:color w:val="000000"/>
          <w:sz w:val="22"/>
          <w:szCs w:val="22"/>
          <w:u w:val="single"/>
          <w:lang w:val="sr-Latn-ME"/>
        </w:rPr>
      </w:pPr>
    </w:p>
    <w:p w14:paraId="2A30F25D" w14:textId="2D198489" w:rsidR="002D5FEA" w:rsidRPr="00801AFD" w:rsidRDefault="002D5FEA" w:rsidP="00801AFD">
      <w:pPr>
        <w:widowControl w:val="0"/>
        <w:autoSpaceDE w:val="0"/>
        <w:autoSpaceDN w:val="0"/>
        <w:adjustRightInd w:val="0"/>
        <w:jc w:val="both"/>
        <w:rPr>
          <w:color w:val="000000"/>
          <w:sz w:val="22"/>
          <w:szCs w:val="22"/>
          <w:lang w:val="sr-Latn-ME"/>
        </w:rPr>
      </w:pPr>
      <w:r w:rsidRPr="00801AFD">
        <w:rPr>
          <w:color w:val="000000"/>
          <w:sz w:val="22"/>
          <w:szCs w:val="22"/>
          <w:lang w:val="sr-Latn-ME"/>
        </w:rPr>
        <w:lastRenderedPageBreak/>
        <w:t>Efikasnost ravulizumaba kod odraslih pacijenata sa NMOSD pozitivnim na anti-AKP4 antit</w:t>
      </w:r>
      <w:r w:rsidR="00471BA3" w:rsidRPr="00801AFD">
        <w:rPr>
          <w:color w:val="000000"/>
          <w:sz w:val="22"/>
          <w:szCs w:val="22"/>
          <w:lang w:val="sr-Latn-ME"/>
        </w:rPr>
        <w:t>ij</w:t>
      </w:r>
      <w:r w:rsidRPr="00801AFD">
        <w:rPr>
          <w:color w:val="000000"/>
          <w:sz w:val="22"/>
          <w:szCs w:val="22"/>
          <w:lang w:val="sr-Latn-ME"/>
        </w:rPr>
        <w:t>elo proc</w:t>
      </w:r>
      <w:r w:rsidR="00471BA3" w:rsidRPr="00801AFD">
        <w:rPr>
          <w:color w:val="000000"/>
          <w:sz w:val="22"/>
          <w:szCs w:val="22"/>
          <w:lang w:val="sr-Latn-ME"/>
        </w:rPr>
        <w:t>ij</w:t>
      </w:r>
      <w:r w:rsidRPr="00801AFD">
        <w:rPr>
          <w:color w:val="000000"/>
          <w:sz w:val="22"/>
          <w:szCs w:val="22"/>
          <w:lang w:val="sr-Latn-ME"/>
        </w:rPr>
        <w:t>enjena je u globalnoj, otvorenoj kliničkoj studiji (</w:t>
      </w:r>
      <w:r w:rsidR="00D87475" w:rsidRPr="00801AFD">
        <w:rPr>
          <w:color w:val="000000"/>
          <w:sz w:val="22"/>
          <w:szCs w:val="22"/>
          <w:lang w:val="sr-Latn-ME"/>
        </w:rPr>
        <w:t>ALXN1210</w:t>
      </w:r>
      <w:r w:rsidRPr="00801AFD">
        <w:rPr>
          <w:color w:val="000000"/>
          <w:sz w:val="22"/>
          <w:szCs w:val="22"/>
          <w:lang w:val="sr-Latn-ME"/>
        </w:rPr>
        <w:t>-NMO-307).</w:t>
      </w:r>
    </w:p>
    <w:p w14:paraId="32CEA8FC" w14:textId="77777777" w:rsidR="002D5FEA" w:rsidRPr="00801AFD" w:rsidRDefault="002D5FEA" w:rsidP="00801AFD">
      <w:pPr>
        <w:widowControl w:val="0"/>
        <w:autoSpaceDE w:val="0"/>
        <w:autoSpaceDN w:val="0"/>
        <w:adjustRightInd w:val="0"/>
        <w:jc w:val="both"/>
        <w:rPr>
          <w:color w:val="000000"/>
          <w:sz w:val="22"/>
          <w:szCs w:val="22"/>
          <w:lang w:val="sr-Latn-ME"/>
        </w:rPr>
      </w:pPr>
    </w:p>
    <w:p w14:paraId="3D35A529" w14:textId="346D14E1" w:rsidR="002D5FEA" w:rsidRPr="00801AFD" w:rsidRDefault="002D5FEA" w:rsidP="00801AFD">
      <w:pPr>
        <w:widowControl w:val="0"/>
        <w:autoSpaceDE w:val="0"/>
        <w:autoSpaceDN w:val="0"/>
        <w:adjustRightInd w:val="0"/>
        <w:jc w:val="both"/>
        <w:rPr>
          <w:color w:val="000000"/>
          <w:sz w:val="22"/>
          <w:szCs w:val="22"/>
          <w:lang w:val="sr-Latn-ME"/>
        </w:rPr>
      </w:pPr>
      <w:r w:rsidRPr="00801AFD">
        <w:rPr>
          <w:color w:val="000000"/>
          <w:sz w:val="22"/>
          <w:szCs w:val="22"/>
          <w:lang w:val="sr-Latn-ME"/>
        </w:rPr>
        <w:t xml:space="preserve">Studija </w:t>
      </w:r>
      <w:r w:rsidR="00D87475" w:rsidRPr="00801AFD">
        <w:rPr>
          <w:color w:val="000000"/>
          <w:sz w:val="22"/>
          <w:szCs w:val="22"/>
          <w:lang w:val="sr-Latn-ME"/>
        </w:rPr>
        <w:t>ALXN1210</w:t>
      </w:r>
      <w:r w:rsidRPr="00801AFD">
        <w:rPr>
          <w:color w:val="000000"/>
          <w:sz w:val="22"/>
          <w:szCs w:val="22"/>
          <w:lang w:val="sr-Latn-ME"/>
        </w:rPr>
        <w:t>-NMO-307 je uključila 58 odraslih pacijenata sa NMOSD koji su imali pozitivan serološki test na anti-AKP4 antitela, najmanje 1 relaps u poslednjih 12 m</w:t>
      </w:r>
      <w:r w:rsidR="00471BA3" w:rsidRPr="00801AFD">
        <w:rPr>
          <w:color w:val="000000"/>
          <w:sz w:val="22"/>
          <w:szCs w:val="22"/>
          <w:lang w:val="sr-Latn-ME"/>
        </w:rPr>
        <w:t>j</w:t>
      </w:r>
      <w:r w:rsidRPr="00801AFD">
        <w:rPr>
          <w:color w:val="000000"/>
          <w:sz w:val="22"/>
          <w:szCs w:val="22"/>
          <w:lang w:val="sr-Latn-ME"/>
        </w:rPr>
        <w:t>eseci pr</w:t>
      </w:r>
      <w:r w:rsidR="00471BA3" w:rsidRPr="00801AFD">
        <w:rPr>
          <w:color w:val="000000"/>
          <w:sz w:val="22"/>
          <w:szCs w:val="22"/>
          <w:lang w:val="sr-Latn-ME"/>
        </w:rPr>
        <w:t>ij</w:t>
      </w:r>
      <w:r w:rsidRPr="00801AFD">
        <w:rPr>
          <w:color w:val="000000"/>
          <w:sz w:val="22"/>
          <w:szCs w:val="22"/>
          <w:lang w:val="sr-Latn-ME"/>
        </w:rPr>
        <w:t>e perioda skrininga i proširenu skalu statusa invaliditeta (EDSS) rezultata ≤ 7. Prethodno l</w:t>
      </w:r>
      <w:r w:rsidR="00471BA3" w:rsidRPr="00801AFD">
        <w:rPr>
          <w:color w:val="000000"/>
          <w:sz w:val="22"/>
          <w:szCs w:val="22"/>
          <w:lang w:val="sr-Latn-ME"/>
        </w:rPr>
        <w:t>ij</w:t>
      </w:r>
      <w:r w:rsidRPr="00801AFD">
        <w:rPr>
          <w:color w:val="000000"/>
          <w:sz w:val="22"/>
          <w:szCs w:val="22"/>
          <w:lang w:val="sr-Latn-ME"/>
        </w:rPr>
        <w:t>ečenje imunosupresivnim terapijama (IST) nije bilo potrebno zab</w:t>
      </w:r>
      <w:r w:rsidR="00471BA3" w:rsidRPr="00801AFD">
        <w:rPr>
          <w:color w:val="000000"/>
          <w:sz w:val="22"/>
          <w:szCs w:val="22"/>
          <w:lang w:val="sr-Latn-ME"/>
        </w:rPr>
        <w:t>j</w:t>
      </w:r>
      <w:r w:rsidRPr="00801AFD">
        <w:rPr>
          <w:color w:val="000000"/>
          <w:sz w:val="22"/>
          <w:szCs w:val="22"/>
          <w:lang w:val="sr-Latn-ME"/>
        </w:rPr>
        <w:t>eležiti i 51,7% pacijenata je bilo na monoterapiji ravulizumabom. Pacijentima na odabranim IST (tj. kortikosteroidi, azatioprin, mikofenolat mofetil, takrolimus) je bilo dozvoljeno da nastave sa terapijom u kombinaciji sa ravulizumabom, sa zaht</w:t>
      </w:r>
      <w:r w:rsidR="00F95D80" w:rsidRPr="00801AFD">
        <w:rPr>
          <w:color w:val="000000"/>
          <w:sz w:val="22"/>
          <w:szCs w:val="22"/>
          <w:lang w:val="sr-Latn-ME"/>
        </w:rPr>
        <w:t>j</w:t>
      </w:r>
      <w:r w:rsidRPr="00801AFD">
        <w:rPr>
          <w:color w:val="000000"/>
          <w:sz w:val="22"/>
          <w:szCs w:val="22"/>
          <w:lang w:val="sr-Latn-ME"/>
        </w:rPr>
        <w:t>evom za stabilnom dozom sve dok ne dostignu 106. ned</w:t>
      </w:r>
      <w:r w:rsidR="00F95D80" w:rsidRPr="00801AFD">
        <w:rPr>
          <w:color w:val="000000"/>
          <w:sz w:val="22"/>
          <w:szCs w:val="22"/>
          <w:lang w:val="sr-Latn-ME"/>
        </w:rPr>
        <w:t>j</w:t>
      </w:r>
      <w:r w:rsidRPr="00801AFD">
        <w:rPr>
          <w:color w:val="000000"/>
          <w:sz w:val="22"/>
          <w:szCs w:val="22"/>
          <w:lang w:val="sr-Latn-ME"/>
        </w:rPr>
        <w:t>elju studije. Pored toga, dozvoljena je akutna terapija za l</w:t>
      </w:r>
      <w:r w:rsidR="00471BA3" w:rsidRPr="00801AFD">
        <w:rPr>
          <w:color w:val="000000"/>
          <w:sz w:val="22"/>
          <w:szCs w:val="22"/>
          <w:lang w:val="sr-Latn-ME"/>
        </w:rPr>
        <w:t>ij</w:t>
      </w:r>
      <w:r w:rsidRPr="00801AFD">
        <w:rPr>
          <w:color w:val="000000"/>
          <w:sz w:val="22"/>
          <w:szCs w:val="22"/>
          <w:lang w:val="sr-Latn-ME"/>
        </w:rPr>
        <w:t>ečenje relapsa (uključujući visoke doze kortikosteroida, PE/PP i IVIg) ako je pacijent doživeo relaps tokom studije.</w:t>
      </w:r>
    </w:p>
    <w:p w14:paraId="4E0DF906" w14:textId="77777777" w:rsidR="002D5FEA" w:rsidRPr="00801AFD" w:rsidRDefault="002D5FEA" w:rsidP="00801AFD">
      <w:pPr>
        <w:widowControl w:val="0"/>
        <w:autoSpaceDE w:val="0"/>
        <w:autoSpaceDN w:val="0"/>
        <w:adjustRightInd w:val="0"/>
        <w:jc w:val="both"/>
        <w:rPr>
          <w:color w:val="000000"/>
          <w:sz w:val="22"/>
          <w:szCs w:val="22"/>
          <w:lang w:val="sr-Latn-ME"/>
        </w:rPr>
      </w:pPr>
    </w:p>
    <w:p w14:paraId="091740F0" w14:textId="4DB8B13A" w:rsidR="002D5FEA" w:rsidRPr="00801AFD" w:rsidRDefault="002D5FEA" w:rsidP="00801AFD">
      <w:pPr>
        <w:widowControl w:val="0"/>
        <w:autoSpaceDE w:val="0"/>
        <w:autoSpaceDN w:val="0"/>
        <w:adjustRightInd w:val="0"/>
        <w:jc w:val="both"/>
        <w:rPr>
          <w:color w:val="000000"/>
          <w:sz w:val="22"/>
          <w:szCs w:val="22"/>
          <w:lang w:val="sr-Latn-ME"/>
        </w:rPr>
      </w:pPr>
      <w:r w:rsidRPr="00801AFD">
        <w:rPr>
          <w:color w:val="000000"/>
          <w:sz w:val="22"/>
          <w:szCs w:val="22"/>
          <w:lang w:val="sr-Latn-ME"/>
        </w:rPr>
        <w:t>Pacijenti uključeni u studiju bili su pros</w:t>
      </w:r>
      <w:r w:rsidR="00471BA3" w:rsidRPr="00801AFD">
        <w:rPr>
          <w:color w:val="000000"/>
          <w:sz w:val="22"/>
          <w:szCs w:val="22"/>
          <w:lang w:val="sr-Latn-ME"/>
        </w:rPr>
        <w:t>j</w:t>
      </w:r>
      <w:r w:rsidRPr="00801AFD">
        <w:rPr>
          <w:color w:val="000000"/>
          <w:sz w:val="22"/>
          <w:szCs w:val="22"/>
          <w:lang w:val="sr-Latn-ME"/>
        </w:rPr>
        <w:t xml:space="preserve">ečne starosti od 47,4 godine (u rasponu od 18 do 74 godine) i većina njih su bile žene (90%). Medijana starosti na početku kliničke slike NMOSD bila je 42,5 godine, u rasponu od 16 do 73 godine. Osnovne karakteristike bolesti su prikazane u tabeli </w:t>
      </w:r>
      <w:r w:rsidR="00AE5148" w:rsidRPr="00801AFD">
        <w:rPr>
          <w:color w:val="000000"/>
          <w:sz w:val="22"/>
          <w:szCs w:val="22"/>
          <w:lang w:val="sr-Latn-ME"/>
        </w:rPr>
        <w:t>19</w:t>
      </w:r>
      <w:r w:rsidRPr="00801AFD">
        <w:rPr>
          <w:color w:val="000000"/>
          <w:sz w:val="22"/>
          <w:szCs w:val="22"/>
          <w:lang w:val="sr-Latn-ME"/>
        </w:rPr>
        <w:t>.</w:t>
      </w:r>
    </w:p>
    <w:p w14:paraId="1A6A24FF" w14:textId="77777777" w:rsidR="00E26587" w:rsidRPr="00801AFD" w:rsidRDefault="00E26587" w:rsidP="00801AFD">
      <w:pPr>
        <w:widowControl w:val="0"/>
        <w:autoSpaceDE w:val="0"/>
        <w:autoSpaceDN w:val="0"/>
        <w:adjustRightInd w:val="0"/>
        <w:jc w:val="both"/>
        <w:rPr>
          <w:color w:val="000000"/>
          <w:sz w:val="22"/>
          <w:szCs w:val="22"/>
          <w:u w:val="single"/>
          <w:lang w:val="sr-Latn-ME"/>
        </w:rPr>
      </w:pPr>
    </w:p>
    <w:p w14:paraId="40A8A36A" w14:textId="4173D476" w:rsidR="002D5FEA" w:rsidRPr="00801AFD" w:rsidRDefault="002D5FEA" w:rsidP="00801AFD">
      <w:pPr>
        <w:widowControl w:val="0"/>
        <w:autoSpaceDE w:val="0"/>
        <w:autoSpaceDN w:val="0"/>
        <w:adjustRightInd w:val="0"/>
        <w:jc w:val="both"/>
        <w:rPr>
          <w:color w:val="000000"/>
          <w:sz w:val="22"/>
          <w:szCs w:val="22"/>
          <w:u w:val="single"/>
          <w:lang w:val="sr-Latn-ME"/>
        </w:rPr>
      </w:pPr>
      <w:r w:rsidRPr="00801AFD">
        <w:rPr>
          <w:b/>
          <w:color w:val="000000"/>
          <w:sz w:val="22"/>
          <w:szCs w:val="22"/>
          <w:u w:val="single"/>
          <w:lang w:val="sr-Latn-ME"/>
        </w:rPr>
        <w:t>Tabela </w:t>
      </w:r>
      <w:r w:rsidR="00AE5148" w:rsidRPr="00801AFD">
        <w:rPr>
          <w:b/>
          <w:color w:val="000000"/>
          <w:sz w:val="22"/>
          <w:szCs w:val="22"/>
          <w:u w:val="single"/>
          <w:lang w:val="sr-Latn-ME"/>
        </w:rPr>
        <w:t>19</w:t>
      </w:r>
      <w:r w:rsidRPr="00801AFD">
        <w:rPr>
          <w:b/>
          <w:color w:val="000000"/>
          <w:sz w:val="22"/>
          <w:szCs w:val="22"/>
          <w:u w:val="single"/>
          <w:lang w:val="sr-Latn-ME"/>
        </w:rPr>
        <w:t xml:space="preserve">: Istorija bolesti i karakteristike na početku studije </w:t>
      </w:r>
      <w:r w:rsidRPr="00801AFD">
        <w:rPr>
          <w:b/>
          <w:bCs/>
          <w:sz w:val="22"/>
          <w:szCs w:val="22"/>
          <w:u w:val="single"/>
          <w:lang w:val="sr-Latn-ME"/>
        </w:rPr>
        <w:t>ALXN1210-NMO-307</w:t>
      </w:r>
    </w:p>
    <w:p w14:paraId="2091FCF1" w14:textId="77777777" w:rsidR="002D5FEA" w:rsidRPr="00801AFD" w:rsidRDefault="002D5FEA" w:rsidP="00801AFD">
      <w:pPr>
        <w:widowControl w:val="0"/>
        <w:autoSpaceDE w:val="0"/>
        <w:autoSpaceDN w:val="0"/>
        <w:adjustRightInd w:val="0"/>
        <w:jc w:val="both"/>
        <w:rPr>
          <w:i/>
          <w:iCs/>
          <w:color w:val="000000"/>
          <w:sz w:val="22"/>
          <w:szCs w:val="22"/>
          <w:u w:val="single"/>
          <w:lang w:val="sr-Latn-M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7"/>
        <w:gridCol w:w="1563"/>
        <w:gridCol w:w="3217"/>
      </w:tblGrid>
      <w:tr w:rsidR="002D5FEA" w:rsidRPr="00801AFD" w14:paraId="65CF0E6C" w14:textId="77777777" w:rsidTr="00374D90">
        <w:tc>
          <w:tcPr>
            <w:tcW w:w="4571" w:type="dxa"/>
            <w:tcBorders>
              <w:top w:val="single" w:sz="6" w:space="0" w:color="auto"/>
              <w:left w:val="single" w:sz="6" w:space="0" w:color="auto"/>
              <w:bottom w:val="single" w:sz="6" w:space="0" w:color="auto"/>
              <w:right w:val="single" w:sz="6" w:space="0" w:color="auto"/>
            </w:tcBorders>
            <w:vAlign w:val="center"/>
            <w:hideMark/>
          </w:tcPr>
          <w:p w14:paraId="1BA15E74" w14:textId="77777777" w:rsidR="002D5FEA" w:rsidRPr="00801AFD" w:rsidRDefault="002D5FEA" w:rsidP="00801AFD">
            <w:pPr>
              <w:widowControl w:val="0"/>
              <w:tabs>
                <w:tab w:val="left" w:pos="567"/>
              </w:tabs>
              <w:spacing w:line="260" w:lineRule="exact"/>
              <w:jc w:val="both"/>
              <w:rPr>
                <w:rFonts w:eastAsia="SimSun"/>
                <w:sz w:val="22"/>
                <w:szCs w:val="22"/>
                <w:lang w:val="sr-Latn-ME"/>
              </w:rPr>
            </w:pPr>
            <w:r w:rsidRPr="00801AFD">
              <w:rPr>
                <w:rFonts w:eastAsia="SimSun"/>
                <w:b/>
                <w:bCs/>
                <w:sz w:val="22"/>
                <w:szCs w:val="22"/>
                <w:lang w:val="sr-Latn-ME"/>
              </w:rPr>
              <w:t>Varijabla</w:t>
            </w:r>
          </w:p>
        </w:tc>
        <w:tc>
          <w:tcPr>
            <w:tcW w:w="1633" w:type="dxa"/>
            <w:tcBorders>
              <w:top w:val="single" w:sz="6" w:space="0" w:color="auto"/>
              <w:left w:val="single" w:sz="6" w:space="0" w:color="auto"/>
              <w:bottom w:val="single" w:sz="6" w:space="0" w:color="auto"/>
              <w:right w:val="single" w:sz="6" w:space="0" w:color="auto"/>
            </w:tcBorders>
            <w:hideMark/>
          </w:tcPr>
          <w:p w14:paraId="18B144C3"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b/>
                <w:bCs/>
                <w:sz w:val="22"/>
                <w:szCs w:val="22"/>
                <w:lang w:val="sr-Latn-ME"/>
              </w:rPr>
              <w:t>Statistic</w:t>
            </w:r>
          </w:p>
        </w:tc>
        <w:tc>
          <w:tcPr>
            <w:tcW w:w="3419" w:type="dxa"/>
            <w:tcBorders>
              <w:top w:val="single" w:sz="6" w:space="0" w:color="auto"/>
              <w:left w:val="single" w:sz="6" w:space="0" w:color="auto"/>
              <w:bottom w:val="single" w:sz="6" w:space="0" w:color="auto"/>
              <w:right w:val="single" w:sz="6" w:space="0" w:color="auto"/>
            </w:tcBorders>
            <w:hideMark/>
          </w:tcPr>
          <w:p w14:paraId="63A79E4A" w14:textId="7E4CB2B1" w:rsidR="002D5FEA" w:rsidRPr="00801AFD" w:rsidRDefault="002D5FEA" w:rsidP="00801AFD">
            <w:pPr>
              <w:widowControl w:val="0"/>
              <w:tabs>
                <w:tab w:val="left" w:pos="567"/>
              </w:tabs>
              <w:spacing w:line="260" w:lineRule="exact"/>
              <w:jc w:val="center"/>
              <w:rPr>
                <w:rFonts w:eastAsia="SimSun"/>
                <w:b/>
                <w:bCs/>
                <w:sz w:val="22"/>
                <w:szCs w:val="22"/>
                <w:lang w:val="sr-Latn-ME"/>
              </w:rPr>
            </w:pPr>
            <w:r w:rsidRPr="00801AFD">
              <w:rPr>
                <w:rFonts w:eastAsia="SimSun"/>
                <w:b/>
                <w:bCs/>
                <w:sz w:val="22"/>
                <w:szCs w:val="22"/>
                <w:lang w:val="sr-Latn-ME"/>
              </w:rPr>
              <w:t>ALXN1210-NMO-307</w:t>
            </w:r>
          </w:p>
          <w:p w14:paraId="30707897"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b/>
                <w:bCs/>
                <w:sz w:val="22"/>
                <w:szCs w:val="22"/>
                <w:lang w:val="sr-Latn-ME"/>
              </w:rPr>
              <w:t>Ravulizumab</w:t>
            </w:r>
            <w:r w:rsidRPr="00801AFD">
              <w:rPr>
                <w:rFonts w:eastAsia="SimSun"/>
                <w:b/>
                <w:bCs/>
                <w:sz w:val="22"/>
                <w:szCs w:val="22"/>
                <w:lang w:val="sr-Latn-ME"/>
              </w:rPr>
              <w:br/>
              <w:t>(N = 58)</w:t>
            </w:r>
          </w:p>
        </w:tc>
      </w:tr>
      <w:tr w:rsidR="002D5FEA" w:rsidRPr="00801AFD" w14:paraId="74583BFC" w14:textId="77777777" w:rsidTr="00374D90">
        <w:tc>
          <w:tcPr>
            <w:tcW w:w="4571" w:type="dxa"/>
            <w:vMerge w:val="restart"/>
            <w:tcBorders>
              <w:top w:val="single" w:sz="6" w:space="0" w:color="auto"/>
              <w:left w:val="single" w:sz="6" w:space="0" w:color="auto"/>
              <w:bottom w:val="single" w:sz="6" w:space="0" w:color="auto"/>
              <w:right w:val="single" w:sz="6" w:space="0" w:color="auto"/>
            </w:tcBorders>
            <w:hideMark/>
          </w:tcPr>
          <w:p w14:paraId="53692FB5" w14:textId="5C9A70D9" w:rsidR="002D5FEA" w:rsidRPr="00801AFD" w:rsidRDefault="002D5FEA" w:rsidP="00801AFD">
            <w:pPr>
              <w:widowControl w:val="0"/>
              <w:tabs>
                <w:tab w:val="left" w:pos="567"/>
              </w:tabs>
              <w:spacing w:line="260" w:lineRule="exact"/>
              <w:jc w:val="both"/>
              <w:rPr>
                <w:rFonts w:eastAsia="SimSun"/>
                <w:sz w:val="22"/>
                <w:szCs w:val="22"/>
                <w:lang w:val="sr-Latn-ME"/>
              </w:rPr>
            </w:pPr>
            <w:r w:rsidRPr="00801AFD">
              <w:rPr>
                <w:rFonts w:eastAsia="SimSun"/>
                <w:sz w:val="22"/>
                <w:szCs w:val="22"/>
                <w:lang w:val="sr-Latn-ME"/>
              </w:rPr>
              <w:t>Vr</w:t>
            </w:r>
            <w:r w:rsidR="00471BA3" w:rsidRPr="00801AFD">
              <w:rPr>
                <w:rFonts w:eastAsia="SimSun"/>
                <w:sz w:val="22"/>
                <w:szCs w:val="22"/>
                <w:lang w:val="sr-Latn-ME"/>
              </w:rPr>
              <w:t>ij</w:t>
            </w:r>
            <w:r w:rsidRPr="00801AFD">
              <w:rPr>
                <w:rFonts w:eastAsia="SimSun"/>
                <w:sz w:val="22"/>
                <w:szCs w:val="22"/>
                <w:lang w:val="sr-Latn-ME"/>
              </w:rPr>
              <w:t>eme od inicijalne kliničke slike NMOSD do prve doze ispitivanog l</w:t>
            </w:r>
            <w:r w:rsidR="00471BA3" w:rsidRPr="00801AFD">
              <w:rPr>
                <w:rFonts w:eastAsia="SimSun"/>
                <w:sz w:val="22"/>
                <w:szCs w:val="22"/>
                <w:lang w:val="sr-Latn-ME"/>
              </w:rPr>
              <w:t>ij</w:t>
            </w:r>
            <w:r w:rsidRPr="00801AFD">
              <w:rPr>
                <w:rFonts w:eastAsia="SimSun"/>
                <w:sz w:val="22"/>
                <w:szCs w:val="22"/>
                <w:lang w:val="sr-Latn-ME"/>
              </w:rPr>
              <w:t>eka (godine) </w:t>
            </w:r>
          </w:p>
        </w:tc>
        <w:tc>
          <w:tcPr>
            <w:tcW w:w="1633" w:type="dxa"/>
            <w:tcBorders>
              <w:top w:val="single" w:sz="6" w:space="0" w:color="auto"/>
              <w:left w:val="single" w:sz="6" w:space="0" w:color="auto"/>
              <w:bottom w:val="single" w:sz="6" w:space="0" w:color="auto"/>
              <w:right w:val="single" w:sz="6" w:space="0" w:color="auto"/>
            </w:tcBorders>
            <w:hideMark/>
          </w:tcPr>
          <w:p w14:paraId="055810DE" w14:textId="4520B48F"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Srednja vr</w:t>
            </w:r>
            <w:r w:rsidR="00471BA3" w:rsidRPr="00801AFD">
              <w:rPr>
                <w:rFonts w:eastAsia="SimSun"/>
                <w:sz w:val="22"/>
                <w:szCs w:val="22"/>
                <w:lang w:val="sr-Latn-ME"/>
              </w:rPr>
              <w:t>ij</w:t>
            </w:r>
            <w:r w:rsidRPr="00801AFD">
              <w:rPr>
                <w:rFonts w:eastAsia="SimSun"/>
                <w:sz w:val="22"/>
                <w:szCs w:val="22"/>
                <w:lang w:val="sr-Latn-ME"/>
              </w:rPr>
              <w:t>ednost (SD)</w:t>
            </w:r>
          </w:p>
        </w:tc>
        <w:tc>
          <w:tcPr>
            <w:tcW w:w="3419" w:type="dxa"/>
            <w:tcBorders>
              <w:top w:val="single" w:sz="6" w:space="0" w:color="auto"/>
              <w:left w:val="single" w:sz="6" w:space="0" w:color="auto"/>
              <w:bottom w:val="single" w:sz="6" w:space="0" w:color="auto"/>
              <w:right w:val="single" w:sz="6" w:space="0" w:color="auto"/>
            </w:tcBorders>
            <w:hideMark/>
          </w:tcPr>
          <w:p w14:paraId="1E8BCD85"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5.2 (6.38)</w:t>
            </w:r>
          </w:p>
        </w:tc>
      </w:tr>
      <w:tr w:rsidR="002D5FEA" w:rsidRPr="00801AFD" w14:paraId="3C87D5A8" w14:textId="77777777" w:rsidTr="00374D90">
        <w:tc>
          <w:tcPr>
            <w:tcW w:w="0" w:type="auto"/>
            <w:vMerge/>
            <w:tcBorders>
              <w:top w:val="single" w:sz="6" w:space="0" w:color="auto"/>
              <w:left w:val="single" w:sz="6" w:space="0" w:color="auto"/>
              <w:bottom w:val="single" w:sz="6" w:space="0" w:color="auto"/>
              <w:right w:val="single" w:sz="6" w:space="0" w:color="auto"/>
            </w:tcBorders>
            <w:vAlign w:val="center"/>
            <w:hideMark/>
          </w:tcPr>
          <w:p w14:paraId="78021620" w14:textId="77777777" w:rsidR="002D5FEA" w:rsidRPr="00801AFD" w:rsidRDefault="002D5FEA" w:rsidP="00801AFD">
            <w:pPr>
              <w:widowControl w:val="0"/>
              <w:jc w:val="both"/>
              <w:rPr>
                <w:rFonts w:eastAsia="SimSun"/>
                <w:sz w:val="22"/>
                <w:szCs w:val="22"/>
                <w:lang w:val="sr-Latn-ME"/>
              </w:rPr>
            </w:pPr>
          </w:p>
        </w:tc>
        <w:tc>
          <w:tcPr>
            <w:tcW w:w="1633" w:type="dxa"/>
            <w:tcBorders>
              <w:top w:val="single" w:sz="6" w:space="0" w:color="auto"/>
              <w:left w:val="single" w:sz="6" w:space="0" w:color="auto"/>
              <w:bottom w:val="single" w:sz="6" w:space="0" w:color="auto"/>
              <w:right w:val="single" w:sz="6" w:space="0" w:color="auto"/>
            </w:tcBorders>
            <w:hideMark/>
          </w:tcPr>
          <w:p w14:paraId="0317B2E7"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Medijana</w:t>
            </w:r>
          </w:p>
        </w:tc>
        <w:tc>
          <w:tcPr>
            <w:tcW w:w="3419" w:type="dxa"/>
            <w:tcBorders>
              <w:top w:val="single" w:sz="6" w:space="0" w:color="auto"/>
              <w:left w:val="single" w:sz="6" w:space="0" w:color="auto"/>
              <w:bottom w:val="single" w:sz="6" w:space="0" w:color="auto"/>
              <w:right w:val="single" w:sz="6" w:space="0" w:color="auto"/>
            </w:tcBorders>
            <w:hideMark/>
          </w:tcPr>
          <w:p w14:paraId="3F370356"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2.0</w:t>
            </w:r>
          </w:p>
        </w:tc>
      </w:tr>
      <w:tr w:rsidR="002D5FEA" w:rsidRPr="00801AFD" w14:paraId="3662BFD7" w14:textId="77777777" w:rsidTr="00374D90">
        <w:tc>
          <w:tcPr>
            <w:tcW w:w="0" w:type="auto"/>
            <w:vMerge/>
            <w:tcBorders>
              <w:top w:val="single" w:sz="6" w:space="0" w:color="auto"/>
              <w:left w:val="single" w:sz="6" w:space="0" w:color="auto"/>
              <w:bottom w:val="single" w:sz="6" w:space="0" w:color="auto"/>
              <w:right w:val="single" w:sz="6" w:space="0" w:color="auto"/>
            </w:tcBorders>
            <w:vAlign w:val="center"/>
            <w:hideMark/>
          </w:tcPr>
          <w:p w14:paraId="421C6F97" w14:textId="77777777" w:rsidR="002D5FEA" w:rsidRPr="00801AFD" w:rsidRDefault="002D5FEA" w:rsidP="00801AFD">
            <w:pPr>
              <w:widowControl w:val="0"/>
              <w:jc w:val="both"/>
              <w:rPr>
                <w:rFonts w:eastAsia="SimSun"/>
                <w:sz w:val="22"/>
                <w:szCs w:val="22"/>
                <w:lang w:val="sr-Latn-ME"/>
              </w:rPr>
            </w:pPr>
          </w:p>
        </w:tc>
        <w:tc>
          <w:tcPr>
            <w:tcW w:w="1633" w:type="dxa"/>
            <w:tcBorders>
              <w:top w:val="single" w:sz="6" w:space="0" w:color="auto"/>
              <w:left w:val="single" w:sz="6" w:space="0" w:color="auto"/>
              <w:bottom w:val="single" w:sz="6" w:space="0" w:color="auto"/>
              <w:right w:val="single" w:sz="6" w:space="0" w:color="auto"/>
            </w:tcBorders>
            <w:hideMark/>
          </w:tcPr>
          <w:p w14:paraId="57F1BA5D"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Min, maks</w:t>
            </w:r>
          </w:p>
        </w:tc>
        <w:tc>
          <w:tcPr>
            <w:tcW w:w="3419" w:type="dxa"/>
            <w:tcBorders>
              <w:top w:val="single" w:sz="6" w:space="0" w:color="auto"/>
              <w:left w:val="single" w:sz="6" w:space="0" w:color="auto"/>
              <w:bottom w:val="single" w:sz="6" w:space="0" w:color="auto"/>
              <w:right w:val="single" w:sz="6" w:space="0" w:color="auto"/>
            </w:tcBorders>
            <w:hideMark/>
          </w:tcPr>
          <w:p w14:paraId="6F8758B3"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0.19, 24.49</w:t>
            </w:r>
          </w:p>
        </w:tc>
      </w:tr>
      <w:tr w:rsidR="002D5FEA" w:rsidRPr="00801AFD" w14:paraId="676D66FB" w14:textId="77777777" w:rsidTr="00374D90">
        <w:tc>
          <w:tcPr>
            <w:tcW w:w="4571" w:type="dxa"/>
            <w:vMerge w:val="restart"/>
            <w:tcBorders>
              <w:top w:val="single" w:sz="6" w:space="0" w:color="auto"/>
              <w:left w:val="single" w:sz="6" w:space="0" w:color="auto"/>
              <w:bottom w:val="single" w:sz="6" w:space="0" w:color="auto"/>
              <w:right w:val="single" w:sz="6" w:space="0" w:color="auto"/>
            </w:tcBorders>
            <w:hideMark/>
          </w:tcPr>
          <w:p w14:paraId="05667BD7" w14:textId="463AD398" w:rsidR="002D5FEA" w:rsidRPr="00801AFD" w:rsidRDefault="002D5FEA" w:rsidP="00801AFD">
            <w:pPr>
              <w:widowControl w:val="0"/>
              <w:tabs>
                <w:tab w:val="left" w:pos="567"/>
              </w:tabs>
              <w:spacing w:line="260" w:lineRule="exact"/>
              <w:jc w:val="both"/>
              <w:rPr>
                <w:rFonts w:eastAsia="SimSun"/>
                <w:sz w:val="22"/>
                <w:szCs w:val="22"/>
                <w:lang w:val="sr-Latn-ME"/>
              </w:rPr>
            </w:pPr>
            <w:r w:rsidRPr="00801AFD">
              <w:rPr>
                <w:rFonts w:eastAsia="SimSun"/>
                <w:sz w:val="22"/>
                <w:szCs w:val="22"/>
                <w:lang w:val="sr-Latn-ME"/>
              </w:rPr>
              <w:t>Istorija ARR-a 24 m</w:t>
            </w:r>
            <w:r w:rsidR="00471BA3" w:rsidRPr="00801AFD">
              <w:rPr>
                <w:rFonts w:eastAsia="SimSun"/>
                <w:sz w:val="22"/>
                <w:szCs w:val="22"/>
                <w:lang w:val="sr-Latn-ME"/>
              </w:rPr>
              <w:t>j</w:t>
            </w:r>
            <w:r w:rsidRPr="00801AFD">
              <w:rPr>
                <w:rFonts w:eastAsia="SimSun"/>
                <w:sz w:val="22"/>
                <w:szCs w:val="22"/>
                <w:lang w:val="sr-Latn-ME"/>
              </w:rPr>
              <w:t>eseci pr</w:t>
            </w:r>
            <w:r w:rsidR="00471BA3" w:rsidRPr="00801AFD">
              <w:rPr>
                <w:rFonts w:eastAsia="SimSun"/>
                <w:sz w:val="22"/>
                <w:szCs w:val="22"/>
                <w:lang w:val="sr-Latn-ME"/>
              </w:rPr>
              <w:t>ij</w:t>
            </w:r>
            <w:r w:rsidRPr="00801AFD">
              <w:rPr>
                <w:rFonts w:eastAsia="SimSun"/>
                <w:sz w:val="22"/>
                <w:szCs w:val="22"/>
                <w:lang w:val="sr-Latn-ME"/>
              </w:rPr>
              <w:t>e skrininga </w:t>
            </w:r>
          </w:p>
        </w:tc>
        <w:tc>
          <w:tcPr>
            <w:tcW w:w="1633" w:type="dxa"/>
            <w:tcBorders>
              <w:top w:val="single" w:sz="6" w:space="0" w:color="auto"/>
              <w:left w:val="single" w:sz="6" w:space="0" w:color="auto"/>
              <w:bottom w:val="single" w:sz="6" w:space="0" w:color="auto"/>
              <w:right w:val="single" w:sz="6" w:space="0" w:color="auto"/>
            </w:tcBorders>
            <w:hideMark/>
          </w:tcPr>
          <w:p w14:paraId="47A9ADB0" w14:textId="6896052E"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Srednja vr</w:t>
            </w:r>
            <w:r w:rsidR="00471BA3" w:rsidRPr="00801AFD">
              <w:rPr>
                <w:rFonts w:eastAsia="SimSun"/>
                <w:sz w:val="22"/>
                <w:szCs w:val="22"/>
                <w:lang w:val="sr-Latn-ME"/>
              </w:rPr>
              <w:t>ij</w:t>
            </w:r>
            <w:r w:rsidRPr="00801AFD">
              <w:rPr>
                <w:rFonts w:eastAsia="SimSun"/>
                <w:sz w:val="22"/>
                <w:szCs w:val="22"/>
                <w:lang w:val="sr-Latn-ME"/>
              </w:rPr>
              <w:t>ednost (SD)</w:t>
            </w:r>
          </w:p>
        </w:tc>
        <w:tc>
          <w:tcPr>
            <w:tcW w:w="3419" w:type="dxa"/>
            <w:tcBorders>
              <w:top w:val="single" w:sz="6" w:space="0" w:color="auto"/>
              <w:left w:val="single" w:sz="6" w:space="0" w:color="auto"/>
              <w:bottom w:val="single" w:sz="6" w:space="0" w:color="auto"/>
              <w:right w:val="single" w:sz="6" w:space="0" w:color="auto"/>
            </w:tcBorders>
            <w:hideMark/>
          </w:tcPr>
          <w:p w14:paraId="537916D2"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1.87 (1.59)</w:t>
            </w:r>
          </w:p>
        </w:tc>
      </w:tr>
      <w:tr w:rsidR="002D5FEA" w:rsidRPr="00801AFD" w14:paraId="1E1657ED" w14:textId="77777777" w:rsidTr="00374D90">
        <w:tc>
          <w:tcPr>
            <w:tcW w:w="0" w:type="auto"/>
            <w:vMerge/>
            <w:tcBorders>
              <w:top w:val="single" w:sz="6" w:space="0" w:color="auto"/>
              <w:left w:val="single" w:sz="6" w:space="0" w:color="auto"/>
              <w:bottom w:val="single" w:sz="6" w:space="0" w:color="auto"/>
              <w:right w:val="single" w:sz="6" w:space="0" w:color="auto"/>
            </w:tcBorders>
            <w:vAlign w:val="center"/>
            <w:hideMark/>
          </w:tcPr>
          <w:p w14:paraId="6B148C37" w14:textId="77777777" w:rsidR="002D5FEA" w:rsidRPr="00801AFD" w:rsidRDefault="002D5FEA" w:rsidP="00801AFD">
            <w:pPr>
              <w:widowControl w:val="0"/>
              <w:jc w:val="both"/>
              <w:rPr>
                <w:rFonts w:eastAsia="SimSun"/>
                <w:sz w:val="22"/>
                <w:szCs w:val="22"/>
                <w:lang w:val="sr-Latn-ME"/>
              </w:rPr>
            </w:pPr>
          </w:p>
        </w:tc>
        <w:tc>
          <w:tcPr>
            <w:tcW w:w="1633" w:type="dxa"/>
            <w:tcBorders>
              <w:top w:val="single" w:sz="6" w:space="0" w:color="auto"/>
              <w:left w:val="single" w:sz="6" w:space="0" w:color="auto"/>
              <w:bottom w:val="single" w:sz="6" w:space="0" w:color="auto"/>
              <w:right w:val="single" w:sz="6" w:space="0" w:color="auto"/>
            </w:tcBorders>
            <w:hideMark/>
          </w:tcPr>
          <w:p w14:paraId="0E53FC71"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Medijana</w:t>
            </w:r>
          </w:p>
        </w:tc>
        <w:tc>
          <w:tcPr>
            <w:tcW w:w="3419" w:type="dxa"/>
            <w:tcBorders>
              <w:top w:val="single" w:sz="6" w:space="0" w:color="auto"/>
              <w:left w:val="single" w:sz="6" w:space="0" w:color="auto"/>
              <w:bottom w:val="single" w:sz="6" w:space="0" w:color="auto"/>
              <w:right w:val="single" w:sz="6" w:space="0" w:color="auto"/>
            </w:tcBorders>
            <w:hideMark/>
          </w:tcPr>
          <w:p w14:paraId="4708223D"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1.44</w:t>
            </w:r>
          </w:p>
        </w:tc>
      </w:tr>
      <w:tr w:rsidR="002D5FEA" w:rsidRPr="00801AFD" w14:paraId="27594F55" w14:textId="77777777" w:rsidTr="00374D90">
        <w:tc>
          <w:tcPr>
            <w:tcW w:w="0" w:type="auto"/>
            <w:vMerge/>
            <w:tcBorders>
              <w:top w:val="single" w:sz="6" w:space="0" w:color="auto"/>
              <w:left w:val="single" w:sz="6" w:space="0" w:color="auto"/>
              <w:bottom w:val="single" w:sz="6" w:space="0" w:color="auto"/>
              <w:right w:val="single" w:sz="6" w:space="0" w:color="auto"/>
            </w:tcBorders>
            <w:vAlign w:val="center"/>
            <w:hideMark/>
          </w:tcPr>
          <w:p w14:paraId="5A37E9CD" w14:textId="77777777" w:rsidR="002D5FEA" w:rsidRPr="00801AFD" w:rsidRDefault="002D5FEA" w:rsidP="00801AFD">
            <w:pPr>
              <w:widowControl w:val="0"/>
              <w:jc w:val="both"/>
              <w:rPr>
                <w:rFonts w:eastAsia="SimSun"/>
                <w:sz w:val="22"/>
                <w:szCs w:val="22"/>
                <w:lang w:val="sr-Latn-ME"/>
              </w:rPr>
            </w:pPr>
          </w:p>
        </w:tc>
        <w:tc>
          <w:tcPr>
            <w:tcW w:w="1633" w:type="dxa"/>
            <w:tcBorders>
              <w:top w:val="single" w:sz="6" w:space="0" w:color="auto"/>
              <w:left w:val="single" w:sz="6" w:space="0" w:color="auto"/>
              <w:bottom w:val="single" w:sz="6" w:space="0" w:color="auto"/>
              <w:right w:val="single" w:sz="6" w:space="0" w:color="auto"/>
            </w:tcBorders>
            <w:hideMark/>
          </w:tcPr>
          <w:p w14:paraId="2E113AFC"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Min, maks</w:t>
            </w:r>
          </w:p>
        </w:tc>
        <w:tc>
          <w:tcPr>
            <w:tcW w:w="3419" w:type="dxa"/>
            <w:tcBorders>
              <w:top w:val="single" w:sz="6" w:space="0" w:color="auto"/>
              <w:left w:val="single" w:sz="6" w:space="0" w:color="auto"/>
              <w:bottom w:val="single" w:sz="6" w:space="0" w:color="auto"/>
              <w:right w:val="single" w:sz="6" w:space="0" w:color="auto"/>
            </w:tcBorders>
            <w:hideMark/>
          </w:tcPr>
          <w:p w14:paraId="6610A365"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0.5, 6.9</w:t>
            </w:r>
          </w:p>
        </w:tc>
      </w:tr>
      <w:tr w:rsidR="002D5FEA" w:rsidRPr="00801AFD" w14:paraId="33FB36A1" w14:textId="77777777" w:rsidTr="00374D90">
        <w:tc>
          <w:tcPr>
            <w:tcW w:w="4571" w:type="dxa"/>
            <w:vMerge w:val="restart"/>
            <w:tcBorders>
              <w:top w:val="single" w:sz="6" w:space="0" w:color="auto"/>
              <w:left w:val="single" w:sz="6" w:space="0" w:color="auto"/>
              <w:bottom w:val="single" w:sz="6" w:space="0" w:color="auto"/>
              <w:right w:val="single" w:sz="6" w:space="0" w:color="auto"/>
            </w:tcBorders>
            <w:hideMark/>
          </w:tcPr>
          <w:p w14:paraId="28452A1A" w14:textId="77777777" w:rsidR="002D5FEA" w:rsidRPr="00801AFD" w:rsidRDefault="002D5FEA" w:rsidP="00801AFD">
            <w:pPr>
              <w:widowControl w:val="0"/>
              <w:tabs>
                <w:tab w:val="left" w:pos="567"/>
              </w:tabs>
              <w:spacing w:line="260" w:lineRule="exact"/>
              <w:jc w:val="both"/>
              <w:rPr>
                <w:rFonts w:eastAsia="SimSun"/>
                <w:sz w:val="22"/>
                <w:szCs w:val="22"/>
                <w:lang w:val="sr-Latn-ME"/>
              </w:rPr>
            </w:pPr>
            <w:r w:rsidRPr="00801AFD">
              <w:rPr>
                <w:rFonts w:eastAsia="SimSun"/>
                <w:sz w:val="22"/>
                <w:szCs w:val="22"/>
                <w:lang w:val="sr-Latn-ME"/>
              </w:rPr>
              <w:t>Početni HAI skor </w:t>
            </w:r>
          </w:p>
        </w:tc>
        <w:tc>
          <w:tcPr>
            <w:tcW w:w="1633" w:type="dxa"/>
            <w:tcBorders>
              <w:top w:val="single" w:sz="6" w:space="0" w:color="auto"/>
              <w:left w:val="single" w:sz="6" w:space="0" w:color="auto"/>
              <w:bottom w:val="single" w:sz="6" w:space="0" w:color="auto"/>
              <w:right w:val="single" w:sz="6" w:space="0" w:color="auto"/>
            </w:tcBorders>
            <w:hideMark/>
          </w:tcPr>
          <w:p w14:paraId="006CE018" w14:textId="31C05E40"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Srednja vr</w:t>
            </w:r>
            <w:r w:rsidR="00471BA3" w:rsidRPr="00801AFD">
              <w:rPr>
                <w:rFonts w:eastAsia="SimSun"/>
                <w:sz w:val="22"/>
                <w:szCs w:val="22"/>
                <w:lang w:val="sr-Latn-ME"/>
              </w:rPr>
              <w:t>ij</w:t>
            </w:r>
            <w:r w:rsidRPr="00801AFD">
              <w:rPr>
                <w:rFonts w:eastAsia="SimSun"/>
                <w:sz w:val="22"/>
                <w:szCs w:val="22"/>
                <w:lang w:val="sr-Latn-ME"/>
              </w:rPr>
              <w:t>ednost (SD)</w:t>
            </w:r>
          </w:p>
        </w:tc>
        <w:tc>
          <w:tcPr>
            <w:tcW w:w="3419" w:type="dxa"/>
            <w:tcBorders>
              <w:top w:val="single" w:sz="6" w:space="0" w:color="auto"/>
              <w:left w:val="single" w:sz="6" w:space="0" w:color="auto"/>
              <w:bottom w:val="single" w:sz="6" w:space="0" w:color="auto"/>
              <w:right w:val="single" w:sz="6" w:space="0" w:color="auto"/>
            </w:tcBorders>
            <w:hideMark/>
          </w:tcPr>
          <w:p w14:paraId="6BDDB87B"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1.2 (1.42)</w:t>
            </w:r>
          </w:p>
        </w:tc>
      </w:tr>
      <w:tr w:rsidR="002D5FEA" w:rsidRPr="00801AFD" w14:paraId="1D70332E" w14:textId="77777777" w:rsidTr="00374D90">
        <w:tc>
          <w:tcPr>
            <w:tcW w:w="0" w:type="auto"/>
            <w:vMerge/>
            <w:tcBorders>
              <w:top w:val="single" w:sz="6" w:space="0" w:color="auto"/>
              <w:left w:val="single" w:sz="6" w:space="0" w:color="auto"/>
              <w:bottom w:val="single" w:sz="6" w:space="0" w:color="auto"/>
              <w:right w:val="single" w:sz="6" w:space="0" w:color="auto"/>
            </w:tcBorders>
            <w:vAlign w:val="center"/>
            <w:hideMark/>
          </w:tcPr>
          <w:p w14:paraId="476B8BBD" w14:textId="77777777" w:rsidR="002D5FEA" w:rsidRPr="00801AFD" w:rsidRDefault="002D5FEA" w:rsidP="00801AFD">
            <w:pPr>
              <w:widowControl w:val="0"/>
              <w:jc w:val="both"/>
              <w:rPr>
                <w:rFonts w:eastAsia="SimSun"/>
                <w:sz w:val="22"/>
                <w:szCs w:val="22"/>
                <w:lang w:val="sr-Latn-ME"/>
              </w:rPr>
            </w:pPr>
          </w:p>
        </w:tc>
        <w:tc>
          <w:tcPr>
            <w:tcW w:w="1633" w:type="dxa"/>
            <w:tcBorders>
              <w:top w:val="single" w:sz="6" w:space="0" w:color="auto"/>
              <w:left w:val="single" w:sz="6" w:space="0" w:color="auto"/>
              <w:bottom w:val="single" w:sz="6" w:space="0" w:color="auto"/>
              <w:right w:val="single" w:sz="6" w:space="0" w:color="auto"/>
            </w:tcBorders>
            <w:hideMark/>
          </w:tcPr>
          <w:p w14:paraId="03DCB5EB"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Medijana</w:t>
            </w:r>
          </w:p>
        </w:tc>
        <w:tc>
          <w:tcPr>
            <w:tcW w:w="3419" w:type="dxa"/>
            <w:tcBorders>
              <w:top w:val="single" w:sz="6" w:space="0" w:color="auto"/>
              <w:left w:val="single" w:sz="6" w:space="0" w:color="auto"/>
              <w:bottom w:val="single" w:sz="6" w:space="0" w:color="auto"/>
              <w:right w:val="single" w:sz="6" w:space="0" w:color="auto"/>
            </w:tcBorders>
            <w:hideMark/>
          </w:tcPr>
          <w:p w14:paraId="453BAD32"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1.0</w:t>
            </w:r>
          </w:p>
        </w:tc>
      </w:tr>
      <w:tr w:rsidR="002D5FEA" w:rsidRPr="00801AFD" w14:paraId="4581DCF5" w14:textId="77777777" w:rsidTr="00374D90">
        <w:tc>
          <w:tcPr>
            <w:tcW w:w="0" w:type="auto"/>
            <w:vMerge/>
            <w:tcBorders>
              <w:top w:val="single" w:sz="6" w:space="0" w:color="auto"/>
              <w:left w:val="single" w:sz="6" w:space="0" w:color="auto"/>
              <w:bottom w:val="single" w:sz="6" w:space="0" w:color="auto"/>
              <w:right w:val="single" w:sz="6" w:space="0" w:color="auto"/>
            </w:tcBorders>
            <w:vAlign w:val="center"/>
            <w:hideMark/>
          </w:tcPr>
          <w:p w14:paraId="74682148" w14:textId="77777777" w:rsidR="002D5FEA" w:rsidRPr="00801AFD" w:rsidRDefault="002D5FEA" w:rsidP="00801AFD">
            <w:pPr>
              <w:widowControl w:val="0"/>
              <w:jc w:val="both"/>
              <w:rPr>
                <w:rFonts w:eastAsia="SimSun"/>
                <w:sz w:val="22"/>
                <w:szCs w:val="22"/>
                <w:lang w:val="sr-Latn-ME"/>
              </w:rPr>
            </w:pPr>
          </w:p>
        </w:tc>
        <w:tc>
          <w:tcPr>
            <w:tcW w:w="1633" w:type="dxa"/>
            <w:tcBorders>
              <w:top w:val="single" w:sz="6" w:space="0" w:color="auto"/>
              <w:left w:val="single" w:sz="6" w:space="0" w:color="auto"/>
              <w:bottom w:val="single" w:sz="6" w:space="0" w:color="auto"/>
              <w:right w:val="single" w:sz="6" w:space="0" w:color="auto"/>
            </w:tcBorders>
            <w:hideMark/>
          </w:tcPr>
          <w:p w14:paraId="59D1C27D"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Min, maks</w:t>
            </w:r>
          </w:p>
        </w:tc>
        <w:tc>
          <w:tcPr>
            <w:tcW w:w="3419" w:type="dxa"/>
            <w:tcBorders>
              <w:top w:val="single" w:sz="6" w:space="0" w:color="auto"/>
              <w:left w:val="single" w:sz="6" w:space="0" w:color="auto"/>
              <w:bottom w:val="single" w:sz="6" w:space="0" w:color="auto"/>
              <w:right w:val="single" w:sz="6" w:space="0" w:color="auto"/>
            </w:tcBorders>
            <w:hideMark/>
          </w:tcPr>
          <w:p w14:paraId="5F1F0EA6"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0, 7</w:t>
            </w:r>
          </w:p>
        </w:tc>
      </w:tr>
      <w:tr w:rsidR="002D5FEA" w:rsidRPr="00801AFD" w14:paraId="169DFC15" w14:textId="77777777" w:rsidTr="00374D90">
        <w:tc>
          <w:tcPr>
            <w:tcW w:w="4571" w:type="dxa"/>
            <w:vMerge w:val="restart"/>
            <w:tcBorders>
              <w:top w:val="single" w:sz="6" w:space="0" w:color="auto"/>
              <w:left w:val="single" w:sz="6" w:space="0" w:color="auto"/>
              <w:bottom w:val="single" w:sz="6" w:space="0" w:color="auto"/>
              <w:right w:val="single" w:sz="6" w:space="0" w:color="auto"/>
            </w:tcBorders>
            <w:hideMark/>
          </w:tcPr>
          <w:p w14:paraId="22067700" w14:textId="77777777" w:rsidR="002D5FEA" w:rsidRPr="00801AFD" w:rsidRDefault="002D5FEA" w:rsidP="00801AFD">
            <w:pPr>
              <w:widowControl w:val="0"/>
              <w:tabs>
                <w:tab w:val="left" w:pos="567"/>
              </w:tabs>
              <w:spacing w:line="260" w:lineRule="exact"/>
              <w:jc w:val="both"/>
              <w:rPr>
                <w:rFonts w:eastAsia="SimSun"/>
                <w:sz w:val="22"/>
                <w:szCs w:val="22"/>
                <w:lang w:val="sr-Latn-ME"/>
              </w:rPr>
            </w:pPr>
            <w:r w:rsidRPr="00801AFD">
              <w:rPr>
                <w:rFonts w:eastAsia="SimSun"/>
                <w:sz w:val="22"/>
                <w:szCs w:val="22"/>
                <w:lang w:val="sr-Latn-ME"/>
              </w:rPr>
              <w:t>Početni  EDSS skor </w:t>
            </w:r>
          </w:p>
        </w:tc>
        <w:tc>
          <w:tcPr>
            <w:tcW w:w="1633" w:type="dxa"/>
            <w:tcBorders>
              <w:top w:val="single" w:sz="6" w:space="0" w:color="auto"/>
              <w:left w:val="single" w:sz="6" w:space="0" w:color="auto"/>
              <w:bottom w:val="single" w:sz="6" w:space="0" w:color="auto"/>
              <w:right w:val="single" w:sz="6" w:space="0" w:color="auto"/>
            </w:tcBorders>
            <w:hideMark/>
          </w:tcPr>
          <w:p w14:paraId="6D10063A" w14:textId="1D7D0651"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Srednja vr</w:t>
            </w:r>
            <w:r w:rsidR="00471BA3" w:rsidRPr="00801AFD">
              <w:rPr>
                <w:rFonts w:eastAsia="SimSun"/>
                <w:sz w:val="22"/>
                <w:szCs w:val="22"/>
                <w:lang w:val="sr-Latn-ME"/>
              </w:rPr>
              <w:t>ij</w:t>
            </w:r>
            <w:r w:rsidRPr="00801AFD">
              <w:rPr>
                <w:rFonts w:eastAsia="SimSun"/>
                <w:sz w:val="22"/>
                <w:szCs w:val="22"/>
                <w:lang w:val="sr-Latn-ME"/>
              </w:rPr>
              <w:t>ednost (SD)</w:t>
            </w:r>
          </w:p>
        </w:tc>
        <w:tc>
          <w:tcPr>
            <w:tcW w:w="3419" w:type="dxa"/>
            <w:tcBorders>
              <w:top w:val="single" w:sz="6" w:space="0" w:color="auto"/>
              <w:left w:val="single" w:sz="6" w:space="0" w:color="auto"/>
              <w:bottom w:val="single" w:sz="6" w:space="0" w:color="auto"/>
              <w:right w:val="single" w:sz="6" w:space="0" w:color="auto"/>
            </w:tcBorders>
            <w:hideMark/>
          </w:tcPr>
          <w:p w14:paraId="1ACBC700"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3.30 (1.58) </w:t>
            </w:r>
            <w:r w:rsidRPr="00801AFD">
              <w:rPr>
                <w:rFonts w:eastAsia="SimSun"/>
                <w:sz w:val="22"/>
                <w:szCs w:val="22"/>
                <w:lang w:val="sr-Latn-ME"/>
              </w:rPr>
              <w:br/>
            </w:r>
          </w:p>
        </w:tc>
      </w:tr>
      <w:tr w:rsidR="002D5FEA" w:rsidRPr="00801AFD" w14:paraId="50D93A7E" w14:textId="77777777" w:rsidTr="00374D90">
        <w:tc>
          <w:tcPr>
            <w:tcW w:w="0" w:type="auto"/>
            <w:vMerge/>
            <w:tcBorders>
              <w:top w:val="single" w:sz="6" w:space="0" w:color="auto"/>
              <w:left w:val="single" w:sz="6" w:space="0" w:color="auto"/>
              <w:bottom w:val="single" w:sz="6" w:space="0" w:color="auto"/>
              <w:right w:val="single" w:sz="6" w:space="0" w:color="auto"/>
            </w:tcBorders>
            <w:vAlign w:val="center"/>
            <w:hideMark/>
          </w:tcPr>
          <w:p w14:paraId="45DC6421" w14:textId="77777777" w:rsidR="002D5FEA" w:rsidRPr="00801AFD" w:rsidRDefault="002D5FEA" w:rsidP="00801AFD">
            <w:pPr>
              <w:widowControl w:val="0"/>
              <w:jc w:val="both"/>
              <w:rPr>
                <w:rFonts w:eastAsia="SimSun"/>
                <w:sz w:val="22"/>
                <w:szCs w:val="22"/>
                <w:lang w:val="sr-Latn-ME"/>
              </w:rPr>
            </w:pPr>
          </w:p>
        </w:tc>
        <w:tc>
          <w:tcPr>
            <w:tcW w:w="1633" w:type="dxa"/>
            <w:tcBorders>
              <w:top w:val="single" w:sz="6" w:space="0" w:color="auto"/>
              <w:left w:val="single" w:sz="6" w:space="0" w:color="auto"/>
              <w:bottom w:val="single" w:sz="6" w:space="0" w:color="auto"/>
              <w:right w:val="single" w:sz="6" w:space="0" w:color="auto"/>
            </w:tcBorders>
            <w:hideMark/>
          </w:tcPr>
          <w:p w14:paraId="32FA302A"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Medijana</w:t>
            </w:r>
          </w:p>
        </w:tc>
        <w:tc>
          <w:tcPr>
            <w:tcW w:w="3419" w:type="dxa"/>
            <w:tcBorders>
              <w:top w:val="single" w:sz="6" w:space="0" w:color="auto"/>
              <w:left w:val="single" w:sz="6" w:space="0" w:color="auto"/>
              <w:bottom w:val="single" w:sz="6" w:space="0" w:color="auto"/>
              <w:right w:val="single" w:sz="6" w:space="0" w:color="auto"/>
            </w:tcBorders>
            <w:hideMark/>
          </w:tcPr>
          <w:p w14:paraId="43167D7F"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3.25</w:t>
            </w:r>
          </w:p>
        </w:tc>
      </w:tr>
      <w:tr w:rsidR="002D5FEA" w:rsidRPr="00801AFD" w14:paraId="28EC059F" w14:textId="77777777" w:rsidTr="00374D90">
        <w:tc>
          <w:tcPr>
            <w:tcW w:w="0" w:type="auto"/>
            <w:vMerge/>
            <w:tcBorders>
              <w:top w:val="single" w:sz="6" w:space="0" w:color="auto"/>
              <w:left w:val="single" w:sz="6" w:space="0" w:color="auto"/>
              <w:bottom w:val="single" w:sz="6" w:space="0" w:color="auto"/>
              <w:right w:val="single" w:sz="6" w:space="0" w:color="auto"/>
            </w:tcBorders>
            <w:vAlign w:val="center"/>
            <w:hideMark/>
          </w:tcPr>
          <w:p w14:paraId="38A5C6F2" w14:textId="77777777" w:rsidR="002D5FEA" w:rsidRPr="00801AFD" w:rsidRDefault="002D5FEA" w:rsidP="00801AFD">
            <w:pPr>
              <w:widowControl w:val="0"/>
              <w:jc w:val="both"/>
              <w:rPr>
                <w:rFonts w:eastAsia="SimSun"/>
                <w:sz w:val="22"/>
                <w:szCs w:val="22"/>
                <w:lang w:val="sr-Latn-ME"/>
              </w:rPr>
            </w:pPr>
          </w:p>
        </w:tc>
        <w:tc>
          <w:tcPr>
            <w:tcW w:w="1633" w:type="dxa"/>
            <w:tcBorders>
              <w:top w:val="single" w:sz="6" w:space="0" w:color="auto"/>
              <w:left w:val="single" w:sz="6" w:space="0" w:color="auto"/>
              <w:bottom w:val="single" w:sz="6" w:space="0" w:color="auto"/>
              <w:right w:val="single" w:sz="6" w:space="0" w:color="auto"/>
            </w:tcBorders>
            <w:hideMark/>
          </w:tcPr>
          <w:p w14:paraId="4ACDFD37"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Min, maks</w:t>
            </w:r>
          </w:p>
        </w:tc>
        <w:tc>
          <w:tcPr>
            <w:tcW w:w="3419" w:type="dxa"/>
            <w:tcBorders>
              <w:top w:val="single" w:sz="6" w:space="0" w:color="auto"/>
              <w:left w:val="single" w:sz="6" w:space="0" w:color="auto"/>
              <w:bottom w:val="single" w:sz="6" w:space="0" w:color="auto"/>
              <w:right w:val="single" w:sz="6" w:space="0" w:color="auto"/>
            </w:tcBorders>
            <w:hideMark/>
          </w:tcPr>
          <w:p w14:paraId="5B7815DF"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0.0, 7.0</w:t>
            </w:r>
          </w:p>
        </w:tc>
      </w:tr>
      <w:tr w:rsidR="002D5FEA" w:rsidRPr="00801AFD" w14:paraId="050A6BA1" w14:textId="77777777" w:rsidTr="00374D90">
        <w:tc>
          <w:tcPr>
            <w:tcW w:w="4571" w:type="dxa"/>
            <w:tcBorders>
              <w:top w:val="single" w:sz="6" w:space="0" w:color="auto"/>
              <w:left w:val="single" w:sz="6" w:space="0" w:color="auto"/>
              <w:bottom w:val="single" w:sz="6" w:space="0" w:color="auto"/>
              <w:right w:val="single" w:sz="6" w:space="0" w:color="auto"/>
            </w:tcBorders>
            <w:hideMark/>
          </w:tcPr>
          <w:p w14:paraId="01A0770A" w14:textId="77777777" w:rsidR="002D5FEA" w:rsidRPr="00801AFD" w:rsidRDefault="002D5FEA" w:rsidP="00801AFD">
            <w:pPr>
              <w:widowControl w:val="0"/>
              <w:tabs>
                <w:tab w:val="left" w:pos="567"/>
              </w:tabs>
              <w:spacing w:line="260" w:lineRule="exact"/>
              <w:jc w:val="both"/>
              <w:rPr>
                <w:rFonts w:eastAsia="SimSun"/>
                <w:sz w:val="22"/>
                <w:szCs w:val="22"/>
                <w:lang w:val="sr-Latn-ME"/>
              </w:rPr>
            </w:pPr>
            <w:r w:rsidRPr="00801AFD">
              <w:rPr>
                <w:rFonts w:eastAsia="SimSun"/>
                <w:sz w:val="22"/>
                <w:szCs w:val="22"/>
                <w:lang w:val="sr-Latn-ME"/>
              </w:rPr>
              <w:t>Bilo koja ranija upotreba rituksimaba</w:t>
            </w:r>
          </w:p>
        </w:tc>
        <w:tc>
          <w:tcPr>
            <w:tcW w:w="1633" w:type="dxa"/>
            <w:tcBorders>
              <w:top w:val="single" w:sz="6" w:space="0" w:color="auto"/>
              <w:left w:val="single" w:sz="6" w:space="0" w:color="auto"/>
              <w:bottom w:val="single" w:sz="6" w:space="0" w:color="auto"/>
              <w:right w:val="single" w:sz="6" w:space="0" w:color="auto"/>
            </w:tcBorders>
            <w:hideMark/>
          </w:tcPr>
          <w:p w14:paraId="040358AF"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n (%)</w:t>
            </w:r>
          </w:p>
        </w:tc>
        <w:tc>
          <w:tcPr>
            <w:tcW w:w="3419" w:type="dxa"/>
            <w:tcBorders>
              <w:top w:val="single" w:sz="6" w:space="0" w:color="auto"/>
              <w:left w:val="single" w:sz="6" w:space="0" w:color="auto"/>
              <w:bottom w:val="single" w:sz="6" w:space="0" w:color="auto"/>
              <w:right w:val="single" w:sz="6" w:space="0" w:color="auto"/>
            </w:tcBorders>
            <w:hideMark/>
          </w:tcPr>
          <w:p w14:paraId="0F6DDED6"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21 (36.2)</w:t>
            </w:r>
          </w:p>
        </w:tc>
      </w:tr>
      <w:tr w:rsidR="002D5FEA" w:rsidRPr="00801AFD" w14:paraId="0E3C4F57" w14:textId="77777777" w:rsidTr="00374D90">
        <w:tc>
          <w:tcPr>
            <w:tcW w:w="4571" w:type="dxa"/>
            <w:tcBorders>
              <w:top w:val="single" w:sz="6" w:space="0" w:color="auto"/>
              <w:left w:val="single" w:sz="6" w:space="0" w:color="auto"/>
              <w:bottom w:val="single" w:sz="6" w:space="0" w:color="auto"/>
              <w:right w:val="single" w:sz="6" w:space="0" w:color="auto"/>
            </w:tcBorders>
            <w:hideMark/>
          </w:tcPr>
          <w:p w14:paraId="7BCFB650" w14:textId="77777777" w:rsidR="002D5FEA" w:rsidRPr="00801AFD" w:rsidRDefault="002D5FEA" w:rsidP="00801AFD">
            <w:pPr>
              <w:widowControl w:val="0"/>
              <w:tabs>
                <w:tab w:val="left" w:pos="567"/>
              </w:tabs>
              <w:spacing w:line="260" w:lineRule="exact"/>
              <w:jc w:val="both"/>
              <w:rPr>
                <w:rFonts w:eastAsia="SimSun"/>
                <w:sz w:val="22"/>
                <w:szCs w:val="22"/>
                <w:lang w:val="sr-Latn-ME"/>
              </w:rPr>
            </w:pPr>
            <w:r w:rsidRPr="00801AFD">
              <w:rPr>
                <w:rFonts w:eastAsia="SimSun"/>
                <w:sz w:val="22"/>
                <w:szCs w:val="22"/>
                <w:lang w:val="sr-Latn-ME"/>
              </w:rPr>
              <w:t xml:space="preserve">Broj pacijenata, koji su primali stabilnu dozu kortikostereoida samo na početku studije </w:t>
            </w:r>
          </w:p>
        </w:tc>
        <w:tc>
          <w:tcPr>
            <w:tcW w:w="1633" w:type="dxa"/>
            <w:tcBorders>
              <w:top w:val="single" w:sz="6" w:space="0" w:color="auto"/>
              <w:left w:val="single" w:sz="6" w:space="0" w:color="auto"/>
              <w:bottom w:val="single" w:sz="6" w:space="0" w:color="auto"/>
              <w:right w:val="single" w:sz="6" w:space="0" w:color="auto"/>
            </w:tcBorders>
            <w:hideMark/>
          </w:tcPr>
          <w:p w14:paraId="6A92219D"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n (%)</w:t>
            </w:r>
          </w:p>
        </w:tc>
        <w:tc>
          <w:tcPr>
            <w:tcW w:w="3419" w:type="dxa"/>
            <w:tcBorders>
              <w:top w:val="single" w:sz="6" w:space="0" w:color="auto"/>
              <w:left w:val="single" w:sz="6" w:space="0" w:color="auto"/>
              <w:bottom w:val="single" w:sz="6" w:space="0" w:color="auto"/>
              <w:right w:val="single" w:sz="6" w:space="0" w:color="auto"/>
            </w:tcBorders>
            <w:hideMark/>
          </w:tcPr>
          <w:p w14:paraId="03206E83"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12 (20.7)</w:t>
            </w:r>
          </w:p>
        </w:tc>
      </w:tr>
      <w:tr w:rsidR="002D5FEA" w:rsidRPr="00801AFD" w14:paraId="3CA25F0B" w14:textId="77777777" w:rsidTr="00374D90">
        <w:trPr>
          <w:trHeight w:val="322"/>
        </w:trPr>
        <w:tc>
          <w:tcPr>
            <w:tcW w:w="4571" w:type="dxa"/>
            <w:tcBorders>
              <w:top w:val="single" w:sz="6" w:space="0" w:color="auto"/>
              <w:left w:val="single" w:sz="6" w:space="0" w:color="auto"/>
              <w:bottom w:val="single" w:sz="6" w:space="0" w:color="auto"/>
              <w:right w:val="single" w:sz="6" w:space="0" w:color="auto"/>
            </w:tcBorders>
            <w:hideMark/>
          </w:tcPr>
          <w:p w14:paraId="3ABC757B" w14:textId="77777777" w:rsidR="002D5FEA" w:rsidRPr="00801AFD" w:rsidRDefault="002D5FEA" w:rsidP="00801AFD">
            <w:pPr>
              <w:widowControl w:val="0"/>
              <w:tabs>
                <w:tab w:val="left" w:pos="567"/>
              </w:tabs>
              <w:spacing w:line="260" w:lineRule="exact"/>
              <w:jc w:val="both"/>
              <w:rPr>
                <w:rFonts w:eastAsia="SimSun"/>
                <w:sz w:val="22"/>
                <w:szCs w:val="22"/>
                <w:lang w:val="sr-Latn-ME"/>
              </w:rPr>
            </w:pPr>
            <w:r w:rsidRPr="00801AFD">
              <w:rPr>
                <w:rFonts w:eastAsia="SimSun"/>
                <w:sz w:val="22"/>
                <w:szCs w:val="22"/>
                <w:lang w:val="sr-Latn-ME"/>
              </w:rPr>
              <w:t>Broj pacijenata koji ne primaju IST na početku studije </w:t>
            </w:r>
          </w:p>
        </w:tc>
        <w:tc>
          <w:tcPr>
            <w:tcW w:w="1633" w:type="dxa"/>
            <w:tcBorders>
              <w:top w:val="single" w:sz="6" w:space="0" w:color="auto"/>
              <w:left w:val="single" w:sz="6" w:space="0" w:color="auto"/>
              <w:bottom w:val="single" w:sz="6" w:space="0" w:color="auto"/>
              <w:right w:val="single" w:sz="6" w:space="0" w:color="auto"/>
            </w:tcBorders>
            <w:hideMark/>
          </w:tcPr>
          <w:p w14:paraId="6AF3B4FD"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n (%)</w:t>
            </w:r>
          </w:p>
        </w:tc>
        <w:tc>
          <w:tcPr>
            <w:tcW w:w="3419" w:type="dxa"/>
            <w:tcBorders>
              <w:top w:val="single" w:sz="6" w:space="0" w:color="auto"/>
              <w:left w:val="single" w:sz="6" w:space="0" w:color="auto"/>
              <w:bottom w:val="single" w:sz="6" w:space="0" w:color="auto"/>
              <w:right w:val="single" w:sz="6" w:space="0" w:color="auto"/>
            </w:tcBorders>
            <w:hideMark/>
          </w:tcPr>
          <w:p w14:paraId="22734ECA" w14:textId="77777777" w:rsidR="002D5FEA" w:rsidRPr="00801AFD" w:rsidRDefault="002D5FEA" w:rsidP="00801AFD">
            <w:pPr>
              <w:widowControl w:val="0"/>
              <w:tabs>
                <w:tab w:val="left" w:pos="567"/>
              </w:tabs>
              <w:spacing w:line="260" w:lineRule="exact"/>
              <w:jc w:val="center"/>
              <w:rPr>
                <w:rFonts w:eastAsia="SimSun"/>
                <w:sz w:val="22"/>
                <w:szCs w:val="22"/>
                <w:lang w:val="sr-Latn-ME"/>
              </w:rPr>
            </w:pPr>
            <w:r w:rsidRPr="00801AFD">
              <w:rPr>
                <w:rFonts w:eastAsia="SimSun"/>
                <w:sz w:val="22"/>
                <w:szCs w:val="22"/>
                <w:lang w:val="sr-Latn-ME"/>
              </w:rPr>
              <w:t>30 (51.7)</w:t>
            </w:r>
          </w:p>
        </w:tc>
      </w:tr>
    </w:tbl>
    <w:p w14:paraId="3C2503A9" w14:textId="77777777" w:rsidR="002D5FEA" w:rsidRPr="00986850" w:rsidRDefault="002D5FEA" w:rsidP="00801AFD">
      <w:pPr>
        <w:widowControl w:val="0"/>
        <w:autoSpaceDE w:val="0"/>
        <w:autoSpaceDN w:val="0"/>
        <w:adjustRightInd w:val="0"/>
        <w:jc w:val="both"/>
        <w:rPr>
          <w:color w:val="000000"/>
          <w:sz w:val="20"/>
          <w:szCs w:val="22"/>
          <w:lang w:val="sr-Latn-ME"/>
        </w:rPr>
      </w:pPr>
      <w:r w:rsidRPr="00986850">
        <w:rPr>
          <w:color w:val="000000"/>
          <w:sz w:val="20"/>
          <w:szCs w:val="22"/>
          <w:lang w:val="sr-Latn-ME"/>
        </w:rPr>
        <w:t>Skraćenice: ARR = godišnja stopa relapsa; EDSS = proširena skala statusa invalidnosti; HAI = Hauserov indeks ambulacije; IST = imunosupresivna terapija; Maks = maksimum; Min = minimum; NMOSD = spektar</w:t>
      </w:r>
      <w:r w:rsidRPr="00986850">
        <w:rPr>
          <w:i/>
          <w:iCs/>
          <w:color w:val="000000"/>
          <w:sz w:val="20"/>
          <w:szCs w:val="22"/>
          <w:lang w:val="sr-Latn-ME"/>
        </w:rPr>
        <w:t xml:space="preserve"> </w:t>
      </w:r>
      <w:r w:rsidRPr="00986850">
        <w:rPr>
          <w:color w:val="000000"/>
          <w:sz w:val="20"/>
          <w:szCs w:val="22"/>
          <w:lang w:val="sr-Latn-ME"/>
        </w:rPr>
        <w:t>poremećaja</w:t>
      </w:r>
      <w:r w:rsidRPr="00986850">
        <w:rPr>
          <w:i/>
          <w:iCs/>
          <w:color w:val="000000"/>
          <w:sz w:val="20"/>
          <w:szCs w:val="22"/>
          <w:lang w:val="sr-Latn-ME"/>
        </w:rPr>
        <w:t xml:space="preserve"> </w:t>
      </w:r>
      <w:r w:rsidRPr="00986850">
        <w:rPr>
          <w:color w:val="000000"/>
          <w:sz w:val="20"/>
          <w:szCs w:val="22"/>
          <w:lang w:val="sr-Latn-ME"/>
        </w:rPr>
        <w:t>optičkog</w:t>
      </w:r>
      <w:r w:rsidRPr="00986850">
        <w:rPr>
          <w:i/>
          <w:iCs/>
          <w:color w:val="000000"/>
          <w:sz w:val="20"/>
          <w:szCs w:val="22"/>
          <w:lang w:val="sr-Latn-ME"/>
        </w:rPr>
        <w:t xml:space="preserve"> </w:t>
      </w:r>
      <w:r w:rsidRPr="00986850">
        <w:rPr>
          <w:color w:val="000000"/>
          <w:sz w:val="20"/>
          <w:szCs w:val="22"/>
          <w:lang w:val="sr-Latn-ME"/>
        </w:rPr>
        <w:t>neuromijelitisa; SD = standardna devijacija.</w:t>
      </w:r>
    </w:p>
    <w:p w14:paraId="730A3BFD" w14:textId="77777777" w:rsidR="002D5FEA" w:rsidRPr="00801AFD" w:rsidRDefault="002D5FEA" w:rsidP="00801AFD">
      <w:pPr>
        <w:widowControl w:val="0"/>
        <w:autoSpaceDE w:val="0"/>
        <w:autoSpaceDN w:val="0"/>
        <w:adjustRightInd w:val="0"/>
        <w:jc w:val="both"/>
        <w:rPr>
          <w:color w:val="000000"/>
          <w:sz w:val="22"/>
          <w:szCs w:val="22"/>
          <w:lang w:val="sr-Latn-ME"/>
        </w:rPr>
      </w:pPr>
    </w:p>
    <w:p w14:paraId="6AAC51B1" w14:textId="21F6E396" w:rsidR="002D5FEA" w:rsidRPr="00801AFD" w:rsidRDefault="002D5FEA" w:rsidP="00801AFD">
      <w:pPr>
        <w:widowControl w:val="0"/>
        <w:autoSpaceDE w:val="0"/>
        <w:autoSpaceDN w:val="0"/>
        <w:adjustRightInd w:val="0"/>
        <w:jc w:val="both"/>
        <w:rPr>
          <w:color w:val="000000"/>
          <w:sz w:val="22"/>
          <w:szCs w:val="22"/>
          <w:lang w:val="sr-Latn-ME"/>
        </w:rPr>
      </w:pPr>
      <w:r w:rsidRPr="00801AFD">
        <w:rPr>
          <w:color w:val="000000"/>
          <w:sz w:val="22"/>
          <w:szCs w:val="22"/>
          <w:lang w:val="sr-Latn-ME"/>
        </w:rPr>
        <w:t xml:space="preserve">Primarna krajnja tačka studije </w:t>
      </w:r>
      <w:r w:rsidR="009A0E51" w:rsidRPr="00801AFD">
        <w:rPr>
          <w:color w:val="000000"/>
          <w:sz w:val="22"/>
          <w:szCs w:val="22"/>
          <w:lang w:val="sr-Latn-ME"/>
        </w:rPr>
        <w:t>ALXN1210</w:t>
      </w:r>
      <w:r w:rsidRPr="00801AFD">
        <w:rPr>
          <w:color w:val="000000"/>
          <w:sz w:val="22"/>
          <w:szCs w:val="22"/>
          <w:lang w:val="sr-Latn-ME"/>
        </w:rPr>
        <w:t>-NMO-307 bilo je vr</w:t>
      </w:r>
      <w:r w:rsidR="00471BA3" w:rsidRPr="00801AFD">
        <w:rPr>
          <w:color w:val="000000"/>
          <w:sz w:val="22"/>
          <w:szCs w:val="22"/>
          <w:lang w:val="sr-Latn-ME"/>
        </w:rPr>
        <w:t>ij</w:t>
      </w:r>
      <w:r w:rsidRPr="00801AFD">
        <w:rPr>
          <w:color w:val="000000"/>
          <w:sz w:val="22"/>
          <w:szCs w:val="22"/>
          <w:lang w:val="sr-Latn-ME"/>
        </w:rPr>
        <w:t>eme u toku studije u kome je prvi put identifikovan relaps, što je određeno od nezavisna komisija za odlučivanje. Nije prim</w:t>
      </w:r>
      <w:r w:rsidR="00471BA3" w:rsidRPr="00801AFD">
        <w:rPr>
          <w:color w:val="000000"/>
          <w:sz w:val="22"/>
          <w:szCs w:val="22"/>
          <w:lang w:val="sr-Latn-ME"/>
        </w:rPr>
        <w:t>ij</w:t>
      </w:r>
      <w:r w:rsidRPr="00801AFD">
        <w:rPr>
          <w:color w:val="000000"/>
          <w:sz w:val="22"/>
          <w:szCs w:val="22"/>
          <w:lang w:val="sr-Latn-ME"/>
        </w:rPr>
        <w:t>ćen relaps tokom studije kod pacijenata l</w:t>
      </w:r>
      <w:r w:rsidR="00471BA3" w:rsidRPr="00801AFD">
        <w:rPr>
          <w:color w:val="000000"/>
          <w:sz w:val="22"/>
          <w:szCs w:val="22"/>
          <w:lang w:val="sr-Latn-ME"/>
        </w:rPr>
        <w:t>ij</w:t>
      </w:r>
      <w:r w:rsidRPr="00801AFD">
        <w:rPr>
          <w:color w:val="000000"/>
          <w:sz w:val="22"/>
          <w:szCs w:val="22"/>
          <w:lang w:val="sr-Latn-ME"/>
        </w:rPr>
        <w:t>ečenih ravulizumabom tokom perioda primarnog l</w:t>
      </w:r>
      <w:r w:rsidR="00471BA3" w:rsidRPr="00801AFD">
        <w:rPr>
          <w:color w:val="000000"/>
          <w:sz w:val="22"/>
          <w:szCs w:val="22"/>
          <w:lang w:val="sr-Latn-ME"/>
        </w:rPr>
        <w:t>ij</w:t>
      </w:r>
      <w:r w:rsidRPr="00801AFD">
        <w:rPr>
          <w:color w:val="000000"/>
          <w:sz w:val="22"/>
          <w:szCs w:val="22"/>
          <w:lang w:val="sr-Latn-ME"/>
        </w:rPr>
        <w:t>ečenja. Svi pacijenti l</w:t>
      </w:r>
      <w:r w:rsidR="00471BA3" w:rsidRPr="00801AFD">
        <w:rPr>
          <w:color w:val="000000"/>
          <w:sz w:val="22"/>
          <w:szCs w:val="22"/>
          <w:lang w:val="sr-Latn-ME"/>
        </w:rPr>
        <w:t>ij</w:t>
      </w:r>
      <w:r w:rsidRPr="00801AFD">
        <w:rPr>
          <w:color w:val="000000"/>
          <w:sz w:val="22"/>
          <w:szCs w:val="22"/>
          <w:lang w:val="sr-Latn-ME"/>
        </w:rPr>
        <w:t>ečeni ravulizumabom bili su bez relapsa tokom medijane praćenja od 90,93 nedelje. Pacijenti koji su primali ravulizumab imali su konzistentnu primarnu krajnju tačku bez relapsa sa ili bez istovremene terapije IST.</w:t>
      </w:r>
    </w:p>
    <w:p w14:paraId="6FC6EC02" w14:textId="77777777" w:rsidR="002D5FEA" w:rsidRPr="00801AFD" w:rsidRDefault="002D5FEA" w:rsidP="00801AFD">
      <w:pPr>
        <w:widowControl w:val="0"/>
        <w:autoSpaceDE w:val="0"/>
        <w:autoSpaceDN w:val="0"/>
        <w:adjustRightInd w:val="0"/>
        <w:jc w:val="both"/>
        <w:rPr>
          <w:color w:val="000000"/>
          <w:sz w:val="22"/>
          <w:szCs w:val="22"/>
          <w:u w:val="single"/>
          <w:lang w:val="sr-Latn-ME"/>
        </w:rPr>
      </w:pPr>
    </w:p>
    <w:p w14:paraId="3D58FA78" w14:textId="77777777" w:rsidR="002D5FEA" w:rsidRPr="00801AFD" w:rsidRDefault="002D5FEA" w:rsidP="00801AFD">
      <w:pPr>
        <w:widowControl w:val="0"/>
        <w:autoSpaceDE w:val="0"/>
        <w:autoSpaceDN w:val="0"/>
        <w:adjustRightInd w:val="0"/>
        <w:jc w:val="both"/>
        <w:rPr>
          <w:color w:val="000000"/>
          <w:sz w:val="22"/>
          <w:szCs w:val="22"/>
          <w:u w:val="single"/>
          <w:lang w:val="sr-Latn-ME"/>
        </w:rPr>
      </w:pPr>
      <w:r w:rsidRPr="00801AFD">
        <w:rPr>
          <w:color w:val="000000"/>
          <w:sz w:val="22"/>
          <w:szCs w:val="22"/>
          <w:u w:val="single"/>
          <w:lang w:val="sr-Latn-ME"/>
        </w:rPr>
        <w:t>Ravulizumab nije proučavan za akutni tretman relapsa kod pacijenata sa NMOSD.</w:t>
      </w:r>
    </w:p>
    <w:p w14:paraId="65DABEAD" w14:textId="77777777" w:rsidR="002D5FEA" w:rsidRPr="00801AFD" w:rsidRDefault="002D5FEA" w:rsidP="00801AFD">
      <w:pPr>
        <w:widowControl w:val="0"/>
        <w:jc w:val="both"/>
        <w:rPr>
          <w:sz w:val="22"/>
          <w:szCs w:val="22"/>
          <w:lang w:val="sr-Latn-ME"/>
        </w:rPr>
      </w:pPr>
    </w:p>
    <w:p w14:paraId="495F56AF" w14:textId="65D7720D" w:rsidR="006F6043" w:rsidRPr="00801AFD" w:rsidRDefault="006F6043" w:rsidP="00801AFD">
      <w:pPr>
        <w:pStyle w:val="Default"/>
        <w:widowControl w:val="0"/>
        <w:jc w:val="both"/>
        <w:rPr>
          <w:sz w:val="22"/>
          <w:szCs w:val="22"/>
          <w:u w:val="single"/>
          <w:lang w:val="sr-Latn-ME"/>
        </w:rPr>
      </w:pPr>
      <w:r w:rsidRPr="00801AFD">
        <w:rPr>
          <w:sz w:val="22"/>
          <w:szCs w:val="22"/>
          <w:u w:val="single"/>
          <w:lang w:val="sr-Latn-ME"/>
        </w:rPr>
        <w:lastRenderedPageBreak/>
        <w:t>Pedijatrijska populacija</w:t>
      </w:r>
    </w:p>
    <w:p w14:paraId="698D4E00" w14:textId="77777777" w:rsidR="006F6043" w:rsidRPr="00801AFD" w:rsidRDefault="006F6043" w:rsidP="00801AFD">
      <w:pPr>
        <w:pStyle w:val="Default"/>
        <w:widowControl w:val="0"/>
        <w:jc w:val="both"/>
        <w:rPr>
          <w:i/>
          <w:sz w:val="22"/>
          <w:szCs w:val="22"/>
          <w:u w:val="single"/>
          <w:lang w:val="sr-Latn-ME"/>
        </w:rPr>
      </w:pPr>
    </w:p>
    <w:p w14:paraId="6CF65706" w14:textId="4400D0D5" w:rsidR="006F6043" w:rsidRPr="00801AFD" w:rsidRDefault="006F6043" w:rsidP="00801AFD">
      <w:pPr>
        <w:pStyle w:val="Default"/>
        <w:widowControl w:val="0"/>
        <w:jc w:val="both"/>
        <w:rPr>
          <w:i/>
          <w:iCs/>
          <w:sz w:val="22"/>
          <w:szCs w:val="22"/>
          <w:lang w:val="sr-Latn-ME"/>
        </w:rPr>
      </w:pPr>
      <w:r w:rsidRPr="00801AFD">
        <w:rPr>
          <w:i/>
          <w:iCs/>
          <w:sz w:val="22"/>
          <w:szCs w:val="22"/>
          <w:lang w:val="sr-Latn-ME"/>
        </w:rPr>
        <w:t>Paroksizmalna noćna hemoglobinurija</w:t>
      </w:r>
      <w:r w:rsidR="00EF0C21" w:rsidRPr="00801AFD">
        <w:rPr>
          <w:i/>
          <w:iCs/>
          <w:sz w:val="22"/>
          <w:szCs w:val="22"/>
          <w:lang w:val="sr-Latn-ME"/>
        </w:rPr>
        <w:t xml:space="preserve"> (PNH</w:t>
      </w:r>
      <w:r w:rsidR="00EF0C21" w:rsidRPr="00801AFD">
        <w:rPr>
          <w:i/>
          <w:sz w:val="22"/>
          <w:szCs w:val="22"/>
          <w:lang w:val="sr-Latn-ME"/>
        </w:rPr>
        <w:t>)</w:t>
      </w:r>
      <w:r w:rsidR="00AE5148" w:rsidRPr="00801AFD">
        <w:rPr>
          <w:i/>
          <w:sz w:val="22"/>
          <w:szCs w:val="22"/>
          <w:lang w:val="sr-Latn-ME"/>
        </w:rPr>
        <w:t xml:space="preserve"> (ALXN1210-PNH-304)</w:t>
      </w:r>
    </w:p>
    <w:p w14:paraId="0B7BDCB8" w14:textId="032869A8" w:rsidR="006F6043" w:rsidRPr="00801AFD" w:rsidRDefault="006F6043" w:rsidP="00801AFD">
      <w:pPr>
        <w:pStyle w:val="Default"/>
        <w:widowControl w:val="0"/>
        <w:jc w:val="both"/>
        <w:rPr>
          <w:sz w:val="22"/>
          <w:szCs w:val="22"/>
          <w:lang w:val="sr-Latn-ME"/>
        </w:rPr>
      </w:pPr>
    </w:p>
    <w:p w14:paraId="287E297D" w14:textId="0291F15B" w:rsidR="00EF0C21" w:rsidRPr="00801AFD" w:rsidRDefault="00EF0C21" w:rsidP="00801AFD">
      <w:pPr>
        <w:pStyle w:val="Default"/>
        <w:widowControl w:val="0"/>
        <w:jc w:val="both"/>
        <w:rPr>
          <w:i/>
          <w:iCs/>
          <w:sz w:val="22"/>
          <w:szCs w:val="22"/>
          <w:u w:val="single"/>
          <w:lang w:val="sr-Latn-ME"/>
        </w:rPr>
      </w:pPr>
      <w:r w:rsidRPr="00801AFD">
        <w:rPr>
          <w:i/>
          <w:iCs/>
          <w:sz w:val="22"/>
          <w:szCs w:val="22"/>
          <w:u w:val="single"/>
          <w:lang w:val="sr-Latn-ME"/>
        </w:rPr>
        <w:t>Studija na pedijatrijskim pacijentima sa PNH</w:t>
      </w:r>
      <w:r w:rsidR="00256931" w:rsidRPr="00801AFD">
        <w:rPr>
          <w:i/>
          <w:iCs/>
          <w:sz w:val="22"/>
          <w:szCs w:val="22"/>
          <w:u w:val="single"/>
          <w:lang w:val="sr-Latn-ME"/>
        </w:rPr>
        <w:t>-om</w:t>
      </w:r>
    </w:p>
    <w:p w14:paraId="0B0A5BFB" w14:textId="7A4D05A9" w:rsidR="00EF0C21" w:rsidRPr="00801AFD" w:rsidRDefault="00EF0C21" w:rsidP="00801AFD">
      <w:pPr>
        <w:pStyle w:val="Default"/>
        <w:widowControl w:val="0"/>
        <w:jc w:val="both"/>
        <w:rPr>
          <w:sz w:val="22"/>
          <w:szCs w:val="22"/>
          <w:lang w:val="sr-Latn-ME"/>
        </w:rPr>
      </w:pPr>
      <w:r w:rsidRPr="00801AFD">
        <w:rPr>
          <w:sz w:val="22"/>
          <w:szCs w:val="22"/>
          <w:lang w:val="sr-Latn-ME"/>
        </w:rPr>
        <w:t>Pedijatrijska studija (ALXN1210-PNH-304) je multicentrična, otvorena studija faze III sprovedena kod pedijatrijskih pacijenata sa PNH</w:t>
      </w:r>
      <w:r w:rsidR="00256931" w:rsidRPr="00801AFD">
        <w:rPr>
          <w:sz w:val="22"/>
          <w:szCs w:val="22"/>
          <w:lang w:val="sr-Latn-ME"/>
        </w:rPr>
        <w:t>-om</w:t>
      </w:r>
      <w:r w:rsidRPr="00801AFD">
        <w:rPr>
          <w:sz w:val="22"/>
          <w:szCs w:val="22"/>
          <w:lang w:val="sr-Latn-ME"/>
        </w:rPr>
        <w:t xml:space="preserve"> koji su prethodno primali ekulizumab i kod onih koji prethodno ni</w:t>
      </w:r>
      <w:r w:rsidR="00256931" w:rsidRPr="00801AFD">
        <w:rPr>
          <w:sz w:val="22"/>
          <w:szCs w:val="22"/>
          <w:lang w:val="sr-Latn-ME"/>
        </w:rPr>
        <w:t>je</w:t>
      </w:r>
      <w:r w:rsidRPr="00801AFD">
        <w:rPr>
          <w:sz w:val="22"/>
          <w:szCs w:val="22"/>
          <w:lang w:val="sr-Latn-ME"/>
        </w:rPr>
        <w:t>su primali inhibitor sistema komplementa.</w:t>
      </w:r>
    </w:p>
    <w:p w14:paraId="27776F2C" w14:textId="422D0D12" w:rsidR="00EF0C21" w:rsidRPr="00801AFD" w:rsidRDefault="00EF0C21" w:rsidP="00801AFD">
      <w:pPr>
        <w:pStyle w:val="Default"/>
        <w:widowControl w:val="0"/>
        <w:jc w:val="both"/>
        <w:rPr>
          <w:sz w:val="22"/>
          <w:szCs w:val="22"/>
          <w:lang w:val="sr-Latn-ME"/>
        </w:rPr>
      </w:pPr>
      <w:r w:rsidRPr="00801AFD">
        <w:rPr>
          <w:sz w:val="22"/>
          <w:szCs w:val="22"/>
          <w:lang w:val="sr-Latn-ME"/>
        </w:rPr>
        <w:t>Prema privremenim rezultatima, ukupno 13 pedijatrijskih pacijenata sa PNH</w:t>
      </w:r>
      <w:r w:rsidR="00863774" w:rsidRPr="00801AFD">
        <w:rPr>
          <w:sz w:val="22"/>
          <w:szCs w:val="22"/>
          <w:lang w:val="sr-Latn-ME"/>
        </w:rPr>
        <w:t>-om</w:t>
      </w:r>
      <w:r w:rsidRPr="00801AFD">
        <w:rPr>
          <w:sz w:val="22"/>
          <w:szCs w:val="22"/>
          <w:lang w:val="sr-Latn-ME"/>
        </w:rPr>
        <w:t xml:space="preserve"> je završilo liječenje ravulizumabom tokom perioda primarne evaluacije (26 ned</w:t>
      </w:r>
      <w:r w:rsidR="00863774" w:rsidRPr="00801AFD">
        <w:rPr>
          <w:sz w:val="22"/>
          <w:szCs w:val="22"/>
          <w:lang w:val="sr-Latn-ME"/>
        </w:rPr>
        <w:t>j</w:t>
      </w:r>
      <w:r w:rsidRPr="00801AFD">
        <w:rPr>
          <w:sz w:val="22"/>
          <w:szCs w:val="22"/>
          <w:lang w:val="sr-Latn-ME"/>
        </w:rPr>
        <w:t>elja) studije ALXN1210-PNH-304. Pet od 13 pacijenata prethodno nikada nije liječeno inhibitorom sistema komplementa, a 8 pacijenata je primilo ekulizumab pr</w:t>
      </w:r>
      <w:r w:rsidR="00863774" w:rsidRPr="00801AFD">
        <w:rPr>
          <w:sz w:val="22"/>
          <w:szCs w:val="22"/>
          <w:lang w:val="sr-Latn-ME"/>
        </w:rPr>
        <w:t>ij</w:t>
      </w:r>
      <w:r w:rsidRPr="00801AFD">
        <w:rPr>
          <w:sz w:val="22"/>
          <w:szCs w:val="22"/>
          <w:lang w:val="sr-Latn-ME"/>
        </w:rPr>
        <w:t xml:space="preserve">e ulaska u studiju. </w:t>
      </w:r>
    </w:p>
    <w:p w14:paraId="6A053919" w14:textId="677311D2" w:rsidR="00EF0C21" w:rsidRPr="00801AFD" w:rsidRDefault="00EF0C21" w:rsidP="00986850">
      <w:pPr>
        <w:pStyle w:val="Default"/>
        <w:widowControl w:val="0"/>
        <w:jc w:val="both"/>
        <w:rPr>
          <w:sz w:val="22"/>
          <w:szCs w:val="22"/>
          <w:lang w:val="sr-Latn-ME"/>
        </w:rPr>
      </w:pPr>
      <w:r w:rsidRPr="00801AFD">
        <w:rPr>
          <w:sz w:val="22"/>
          <w:szCs w:val="22"/>
          <w:lang w:val="sr-Latn-ME"/>
        </w:rPr>
        <w:t>Većina pacijenata je imala između 12 i 17 godina tokom davanja prve infuzije (pros</w:t>
      </w:r>
      <w:r w:rsidR="00863774" w:rsidRPr="00801AFD">
        <w:rPr>
          <w:sz w:val="22"/>
          <w:szCs w:val="22"/>
          <w:lang w:val="sr-Latn-ME"/>
        </w:rPr>
        <w:t>j</w:t>
      </w:r>
      <w:r w:rsidRPr="00801AFD">
        <w:rPr>
          <w:sz w:val="22"/>
          <w:szCs w:val="22"/>
          <w:lang w:val="sr-Latn-ME"/>
        </w:rPr>
        <w:t>ečno 14,4 godine), a 2 pacijenta su bila mlađa od 12 godina (11 i 9 godina). Osam od 13 pacijenata su bile ženskog pola. Srednja t</w:t>
      </w:r>
      <w:r w:rsidR="00863774" w:rsidRPr="00801AFD">
        <w:rPr>
          <w:sz w:val="22"/>
          <w:szCs w:val="22"/>
          <w:lang w:val="sr-Latn-ME"/>
        </w:rPr>
        <w:t>j</w:t>
      </w:r>
      <w:r w:rsidRPr="00801AFD">
        <w:rPr>
          <w:sz w:val="22"/>
          <w:szCs w:val="22"/>
          <w:lang w:val="sr-Latn-ME"/>
        </w:rPr>
        <w:t xml:space="preserve">elesna </w:t>
      </w:r>
      <w:r w:rsidR="000B577C" w:rsidRPr="00801AFD">
        <w:rPr>
          <w:sz w:val="22"/>
          <w:szCs w:val="22"/>
          <w:lang w:val="sr-Latn-ME"/>
        </w:rPr>
        <w:t xml:space="preserve">težina </w:t>
      </w:r>
      <w:r w:rsidRPr="00801AFD">
        <w:rPr>
          <w:sz w:val="22"/>
          <w:szCs w:val="22"/>
          <w:lang w:val="sr-Latn-ME"/>
        </w:rPr>
        <w:t xml:space="preserve">na početku studije je bila 56 kg, u rasponu od 37 do 72 kg. Tabela </w:t>
      </w:r>
      <w:r w:rsidR="00AE5148" w:rsidRPr="00801AFD">
        <w:rPr>
          <w:sz w:val="22"/>
          <w:szCs w:val="22"/>
          <w:lang w:val="sr-Latn-ME"/>
        </w:rPr>
        <w:t xml:space="preserve">20 </w:t>
      </w:r>
      <w:r w:rsidRPr="00801AFD">
        <w:rPr>
          <w:sz w:val="22"/>
          <w:szCs w:val="22"/>
          <w:lang w:val="sr-Latn-ME"/>
        </w:rPr>
        <w:t>prikazuje osnovnu istoriju bolesti i karakteristike pedijatrijskih pacijenata uključenih u studiju ALXN1210-PNH-304.</w:t>
      </w:r>
    </w:p>
    <w:p w14:paraId="4EF1B89B" w14:textId="2A43EA6D" w:rsidR="00EF0C21" w:rsidRPr="00801AFD" w:rsidRDefault="00EF0C21" w:rsidP="00801AFD">
      <w:pPr>
        <w:pStyle w:val="Default"/>
        <w:widowControl w:val="0"/>
        <w:jc w:val="both"/>
        <w:rPr>
          <w:sz w:val="22"/>
          <w:szCs w:val="22"/>
          <w:lang w:val="sr-Latn-ME"/>
        </w:rPr>
      </w:pPr>
    </w:p>
    <w:p w14:paraId="0A852274" w14:textId="6F27EE03" w:rsidR="00EF0C21" w:rsidRPr="00801AFD" w:rsidRDefault="00EF0C21" w:rsidP="00986850">
      <w:pPr>
        <w:pStyle w:val="Default"/>
        <w:widowControl w:val="0"/>
        <w:jc w:val="both"/>
        <w:rPr>
          <w:b/>
          <w:bCs/>
          <w:sz w:val="22"/>
          <w:szCs w:val="22"/>
          <w:lang w:val="sr-Latn-ME"/>
        </w:rPr>
      </w:pPr>
      <w:r w:rsidRPr="00801AFD">
        <w:rPr>
          <w:b/>
          <w:bCs/>
          <w:sz w:val="22"/>
          <w:szCs w:val="22"/>
          <w:lang w:val="sr-Latn-ME"/>
        </w:rPr>
        <w:t xml:space="preserve">Tabela </w:t>
      </w:r>
      <w:r w:rsidR="00AE5148" w:rsidRPr="00801AFD">
        <w:rPr>
          <w:b/>
          <w:bCs/>
          <w:sz w:val="22"/>
          <w:szCs w:val="22"/>
          <w:lang w:val="sr-Latn-ME"/>
        </w:rPr>
        <w:t>20</w:t>
      </w:r>
      <w:r w:rsidRPr="00801AFD">
        <w:rPr>
          <w:b/>
          <w:bCs/>
          <w:sz w:val="22"/>
          <w:szCs w:val="22"/>
          <w:lang w:val="sr-Latn-ME"/>
        </w:rPr>
        <w:t>: Istorija bolesti i karakteristike na početku studije (kompletan set podataka podataka za analizu)</w:t>
      </w:r>
    </w:p>
    <w:p w14:paraId="64338F53" w14:textId="290E3EA4" w:rsidR="00EF0C21" w:rsidRPr="00801AFD" w:rsidRDefault="00EF0C21" w:rsidP="00801AFD">
      <w:pPr>
        <w:pStyle w:val="Default"/>
        <w:widowControl w:val="0"/>
        <w:jc w:val="both"/>
        <w:rPr>
          <w:b/>
          <w:bCs/>
          <w:sz w:val="22"/>
          <w:szCs w:val="22"/>
          <w:lang w:val="sr-Latn-M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390"/>
        <w:gridCol w:w="2694"/>
        <w:gridCol w:w="1979"/>
      </w:tblGrid>
      <w:tr w:rsidR="00EF0C21" w:rsidRPr="00801AFD" w14:paraId="3AD4429D" w14:textId="77777777" w:rsidTr="00986850">
        <w:trPr>
          <w:jc w:val="center"/>
        </w:trPr>
        <w:tc>
          <w:tcPr>
            <w:tcW w:w="2422" w:type="pct"/>
            <w:tcBorders>
              <w:top w:val="single" w:sz="4" w:space="0" w:color="auto"/>
              <w:left w:val="single" w:sz="4" w:space="0" w:color="auto"/>
              <w:bottom w:val="nil"/>
              <w:right w:val="single" w:sz="4" w:space="0" w:color="auto"/>
            </w:tcBorders>
          </w:tcPr>
          <w:p w14:paraId="6B83E072" w14:textId="77777777" w:rsidR="00EF0C21" w:rsidRPr="00801AFD" w:rsidRDefault="00EF0C21" w:rsidP="00801AFD">
            <w:pPr>
              <w:widowControl w:val="0"/>
              <w:tabs>
                <w:tab w:val="left" w:pos="86"/>
              </w:tabs>
              <w:jc w:val="both"/>
              <w:rPr>
                <w:rFonts w:eastAsia="SimSun"/>
                <w:b/>
                <w:bCs/>
                <w:sz w:val="22"/>
                <w:szCs w:val="22"/>
                <w:lang w:val="sr-Latn-ME" w:eastAsia="en-IE"/>
              </w:rPr>
            </w:pPr>
            <w:r w:rsidRPr="00801AFD">
              <w:rPr>
                <w:rFonts w:eastAsia="SimSun"/>
                <w:b/>
                <w:bCs/>
                <w:sz w:val="22"/>
                <w:szCs w:val="22"/>
                <w:lang w:val="sr-Latn-ME" w:eastAsia="en-IE"/>
              </w:rPr>
              <w:t>Varijabla</w:t>
            </w:r>
          </w:p>
        </w:tc>
        <w:tc>
          <w:tcPr>
            <w:tcW w:w="1486" w:type="pct"/>
            <w:tcBorders>
              <w:top w:val="single" w:sz="4" w:space="0" w:color="auto"/>
              <w:left w:val="single" w:sz="4" w:space="0" w:color="auto"/>
              <w:bottom w:val="nil"/>
              <w:right w:val="single" w:sz="4" w:space="0" w:color="auto"/>
            </w:tcBorders>
          </w:tcPr>
          <w:p w14:paraId="3D466CA0" w14:textId="38DB9292" w:rsidR="00EF0C21" w:rsidRPr="00801AFD" w:rsidRDefault="00EF0C21" w:rsidP="00801AFD">
            <w:pPr>
              <w:widowControl w:val="0"/>
              <w:tabs>
                <w:tab w:val="left" w:pos="144"/>
              </w:tabs>
              <w:jc w:val="center"/>
              <w:rPr>
                <w:rFonts w:eastAsia="SimSun"/>
                <w:b/>
                <w:sz w:val="22"/>
                <w:szCs w:val="22"/>
                <w:lang w:val="sr-Latn-ME"/>
              </w:rPr>
            </w:pPr>
            <w:r w:rsidRPr="00801AFD">
              <w:rPr>
                <w:rFonts w:eastAsia="SimSun"/>
                <w:b/>
                <w:sz w:val="22"/>
                <w:szCs w:val="22"/>
                <w:lang w:val="sr-Latn-ME"/>
              </w:rPr>
              <w:t>Pacijenti koji prethodno ni</w:t>
            </w:r>
            <w:r w:rsidR="00863774" w:rsidRPr="00801AFD">
              <w:rPr>
                <w:rFonts w:eastAsia="SimSun"/>
                <w:b/>
                <w:sz w:val="22"/>
                <w:szCs w:val="22"/>
                <w:lang w:val="sr-Latn-ME"/>
              </w:rPr>
              <w:t>je</w:t>
            </w:r>
            <w:r w:rsidRPr="00801AFD">
              <w:rPr>
                <w:rFonts w:eastAsia="SimSun"/>
                <w:b/>
                <w:sz w:val="22"/>
                <w:szCs w:val="22"/>
                <w:lang w:val="sr-Latn-ME"/>
              </w:rPr>
              <w:t>su primali inhibitor sistema komplementa</w:t>
            </w:r>
          </w:p>
          <w:p w14:paraId="51C20FAA"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(N = 5)</w:t>
            </w:r>
          </w:p>
        </w:tc>
        <w:tc>
          <w:tcPr>
            <w:tcW w:w="1092" w:type="pct"/>
            <w:tcBorders>
              <w:top w:val="single" w:sz="4" w:space="0" w:color="auto"/>
              <w:left w:val="single" w:sz="4" w:space="0" w:color="auto"/>
              <w:bottom w:val="nil"/>
              <w:right w:val="single" w:sz="4" w:space="0" w:color="auto"/>
            </w:tcBorders>
          </w:tcPr>
          <w:p w14:paraId="1CDFC8EC" w14:textId="45032F6F" w:rsidR="00EF0C21" w:rsidRPr="00801AFD" w:rsidRDefault="00EF0C21" w:rsidP="00801AFD">
            <w:pPr>
              <w:widowControl w:val="0"/>
              <w:jc w:val="center"/>
              <w:rPr>
                <w:rFonts w:eastAsia="SimSun"/>
                <w:b/>
                <w:sz w:val="22"/>
                <w:szCs w:val="22"/>
                <w:lang w:val="sr-Latn-ME"/>
              </w:rPr>
            </w:pPr>
            <w:r w:rsidRPr="00801AFD">
              <w:rPr>
                <w:rFonts w:eastAsia="SimSun"/>
                <w:b/>
                <w:sz w:val="22"/>
                <w:szCs w:val="22"/>
                <w:lang w:val="sr-Latn-ME"/>
              </w:rPr>
              <w:t>Pacijenti koji su prethodno primali ekulizumab</w:t>
            </w:r>
          </w:p>
          <w:p w14:paraId="502BC93E"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(N = 8)</w:t>
            </w:r>
          </w:p>
        </w:tc>
      </w:tr>
      <w:tr w:rsidR="00EF0C21" w:rsidRPr="00801AFD" w14:paraId="500FC1B8" w14:textId="77777777" w:rsidTr="00986850">
        <w:trPr>
          <w:jc w:val="center"/>
        </w:trPr>
        <w:tc>
          <w:tcPr>
            <w:tcW w:w="2422" w:type="pct"/>
            <w:tcBorders>
              <w:top w:val="single" w:sz="4" w:space="0" w:color="auto"/>
              <w:left w:val="single" w:sz="4" w:space="0" w:color="auto"/>
              <w:bottom w:val="nil"/>
              <w:right w:val="single" w:sz="4" w:space="0" w:color="auto"/>
            </w:tcBorders>
          </w:tcPr>
          <w:p w14:paraId="7C0C5ADF" w14:textId="77777777"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Ukupni broj klonalnih eritrocita PNH (%)</w:t>
            </w:r>
          </w:p>
        </w:tc>
        <w:tc>
          <w:tcPr>
            <w:tcW w:w="1486" w:type="pct"/>
            <w:tcBorders>
              <w:top w:val="single" w:sz="4" w:space="0" w:color="auto"/>
              <w:left w:val="single" w:sz="4" w:space="0" w:color="auto"/>
              <w:bottom w:val="nil"/>
              <w:right w:val="single" w:sz="4" w:space="0" w:color="auto"/>
            </w:tcBorders>
          </w:tcPr>
          <w:p w14:paraId="0107150D"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(N = 4)</w:t>
            </w:r>
          </w:p>
        </w:tc>
        <w:tc>
          <w:tcPr>
            <w:tcW w:w="1092" w:type="pct"/>
            <w:tcBorders>
              <w:top w:val="single" w:sz="4" w:space="0" w:color="auto"/>
              <w:left w:val="single" w:sz="4" w:space="0" w:color="auto"/>
              <w:bottom w:val="nil"/>
              <w:right w:val="single" w:sz="4" w:space="0" w:color="auto"/>
            </w:tcBorders>
          </w:tcPr>
          <w:p w14:paraId="07BF46E7"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(N = 6)</w:t>
            </w:r>
          </w:p>
        </w:tc>
      </w:tr>
      <w:tr w:rsidR="00EF0C21" w:rsidRPr="00801AFD" w14:paraId="293093BE" w14:textId="77777777" w:rsidTr="00986850">
        <w:trPr>
          <w:jc w:val="center"/>
        </w:trPr>
        <w:tc>
          <w:tcPr>
            <w:tcW w:w="2422" w:type="pct"/>
            <w:tcBorders>
              <w:top w:val="nil"/>
              <w:left w:val="single" w:sz="4" w:space="0" w:color="auto"/>
              <w:bottom w:val="single" w:sz="4" w:space="0" w:color="auto"/>
              <w:right w:val="single" w:sz="4" w:space="0" w:color="auto"/>
            </w:tcBorders>
          </w:tcPr>
          <w:p w14:paraId="07877EDC" w14:textId="022C2DF0"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Medijan</w:t>
            </w:r>
            <w:r w:rsidR="00863774" w:rsidRPr="00801AFD">
              <w:rPr>
                <w:rFonts w:eastAsia="SimSun"/>
                <w:sz w:val="22"/>
                <w:szCs w:val="22"/>
                <w:lang w:val="sr-Latn-ME" w:eastAsia="en-IE"/>
              </w:rPr>
              <w:t>a</w:t>
            </w:r>
            <w:r w:rsidRPr="00801AFD">
              <w:rPr>
                <w:rFonts w:eastAsia="SimSun"/>
                <w:sz w:val="22"/>
                <w:szCs w:val="22"/>
                <w:lang w:val="sr-Latn-ME" w:eastAsia="en-IE"/>
              </w:rPr>
              <w:t xml:space="preserve"> (min, maks)</w:t>
            </w:r>
          </w:p>
        </w:tc>
        <w:tc>
          <w:tcPr>
            <w:tcW w:w="1486" w:type="pct"/>
            <w:tcBorders>
              <w:top w:val="nil"/>
              <w:left w:val="single" w:sz="4" w:space="0" w:color="auto"/>
              <w:bottom w:val="single" w:sz="4" w:space="0" w:color="auto"/>
              <w:right w:val="single" w:sz="4" w:space="0" w:color="auto"/>
            </w:tcBorders>
          </w:tcPr>
          <w:p w14:paraId="741A72F8"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40,05 (6,9; 68,1)</w:t>
            </w:r>
          </w:p>
        </w:tc>
        <w:tc>
          <w:tcPr>
            <w:tcW w:w="1092" w:type="pct"/>
            <w:tcBorders>
              <w:top w:val="nil"/>
              <w:left w:val="single" w:sz="4" w:space="0" w:color="auto"/>
              <w:bottom w:val="single" w:sz="4" w:space="0" w:color="auto"/>
              <w:right w:val="single" w:sz="4" w:space="0" w:color="auto"/>
            </w:tcBorders>
          </w:tcPr>
          <w:p w14:paraId="35B98503"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71,15 (21,2; 85,4)</w:t>
            </w:r>
          </w:p>
        </w:tc>
      </w:tr>
      <w:tr w:rsidR="00EF0C21" w:rsidRPr="00801AFD" w14:paraId="4FDD95D2" w14:textId="77777777" w:rsidTr="00986850">
        <w:trPr>
          <w:jc w:val="center"/>
        </w:trPr>
        <w:tc>
          <w:tcPr>
            <w:tcW w:w="2422" w:type="pct"/>
            <w:tcBorders>
              <w:top w:val="single" w:sz="4" w:space="0" w:color="auto"/>
              <w:left w:val="single" w:sz="4" w:space="0" w:color="auto"/>
              <w:bottom w:val="nil"/>
              <w:right w:val="single" w:sz="4" w:space="0" w:color="auto"/>
            </w:tcBorders>
          </w:tcPr>
          <w:p w14:paraId="47A096B9" w14:textId="77777777"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Ukupni broj klonalnih granulocita PNH (%)</w:t>
            </w:r>
          </w:p>
        </w:tc>
        <w:tc>
          <w:tcPr>
            <w:tcW w:w="1486" w:type="pct"/>
            <w:tcBorders>
              <w:top w:val="single" w:sz="4" w:space="0" w:color="auto"/>
              <w:left w:val="single" w:sz="4" w:space="0" w:color="auto"/>
              <w:bottom w:val="nil"/>
              <w:right w:val="single" w:sz="4" w:space="0" w:color="auto"/>
            </w:tcBorders>
          </w:tcPr>
          <w:p w14:paraId="76C3019C" w14:textId="77777777" w:rsidR="00EF0C21" w:rsidRPr="00801AFD" w:rsidRDefault="00EF0C21" w:rsidP="00801AFD">
            <w:pPr>
              <w:widowControl w:val="0"/>
              <w:tabs>
                <w:tab w:val="left" w:pos="86"/>
              </w:tabs>
              <w:jc w:val="center"/>
              <w:rPr>
                <w:rFonts w:eastAsia="SimSun"/>
                <w:sz w:val="22"/>
                <w:szCs w:val="22"/>
                <w:lang w:val="sr-Latn-ME" w:eastAsia="en-IE"/>
              </w:rPr>
            </w:pPr>
          </w:p>
        </w:tc>
        <w:tc>
          <w:tcPr>
            <w:tcW w:w="1092" w:type="pct"/>
            <w:tcBorders>
              <w:top w:val="single" w:sz="4" w:space="0" w:color="auto"/>
              <w:left w:val="single" w:sz="4" w:space="0" w:color="auto"/>
              <w:bottom w:val="nil"/>
              <w:right w:val="single" w:sz="4" w:space="0" w:color="auto"/>
            </w:tcBorders>
          </w:tcPr>
          <w:p w14:paraId="3221A5AC" w14:textId="77777777" w:rsidR="00EF0C21" w:rsidRPr="00801AFD" w:rsidRDefault="00EF0C21" w:rsidP="00801AFD">
            <w:pPr>
              <w:widowControl w:val="0"/>
              <w:tabs>
                <w:tab w:val="left" w:pos="86"/>
              </w:tabs>
              <w:jc w:val="center"/>
              <w:rPr>
                <w:rFonts w:eastAsia="SimSun"/>
                <w:sz w:val="22"/>
                <w:szCs w:val="22"/>
                <w:lang w:val="sr-Latn-ME" w:eastAsia="en-IE"/>
              </w:rPr>
            </w:pPr>
          </w:p>
        </w:tc>
      </w:tr>
      <w:tr w:rsidR="00EF0C21" w:rsidRPr="00801AFD" w14:paraId="2342E998" w14:textId="77777777" w:rsidTr="00986850">
        <w:trPr>
          <w:jc w:val="center"/>
        </w:trPr>
        <w:tc>
          <w:tcPr>
            <w:tcW w:w="2422" w:type="pct"/>
            <w:tcBorders>
              <w:top w:val="nil"/>
              <w:left w:val="single" w:sz="4" w:space="0" w:color="auto"/>
              <w:bottom w:val="single" w:sz="4" w:space="0" w:color="auto"/>
              <w:right w:val="single" w:sz="4" w:space="0" w:color="auto"/>
            </w:tcBorders>
          </w:tcPr>
          <w:p w14:paraId="02C96712" w14:textId="70701BD9"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Medijana (min, maks)</w:t>
            </w:r>
          </w:p>
        </w:tc>
        <w:tc>
          <w:tcPr>
            <w:tcW w:w="1486" w:type="pct"/>
            <w:tcBorders>
              <w:top w:val="nil"/>
              <w:left w:val="single" w:sz="4" w:space="0" w:color="auto"/>
              <w:bottom w:val="single" w:sz="4" w:space="0" w:color="auto"/>
              <w:right w:val="single" w:sz="4" w:space="0" w:color="auto"/>
            </w:tcBorders>
          </w:tcPr>
          <w:p w14:paraId="0383BF7C"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78,30 (36,8; 99,0)</w:t>
            </w:r>
          </w:p>
        </w:tc>
        <w:tc>
          <w:tcPr>
            <w:tcW w:w="1092" w:type="pct"/>
            <w:tcBorders>
              <w:top w:val="nil"/>
              <w:left w:val="single" w:sz="4" w:space="0" w:color="auto"/>
              <w:bottom w:val="single" w:sz="4" w:space="0" w:color="auto"/>
              <w:right w:val="single" w:sz="4" w:space="0" w:color="auto"/>
            </w:tcBorders>
          </w:tcPr>
          <w:p w14:paraId="7055B663"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91,60 (20,3; 97,6)</w:t>
            </w:r>
          </w:p>
        </w:tc>
      </w:tr>
      <w:tr w:rsidR="00EF0C21" w:rsidRPr="00801AFD" w14:paraId="0B0C3B30" w14:textId="77777777" w:rsidTr="00986850">
        <w:trPr>
          <w:jc w:val="center"/>
        </w:trPr>
        <w:tc>
          <w:tcPr>
            <w:tcW w:w="2422" w:type="pct"/>
            <w:tcBorders>
              <w:top w:val="single" w:sz="4" w:space="0" w:color="auto"/>
              <w:left w:val="single" w:sz="4" w:space="0" w:color="auto"/>
              <w:bottom w:val="single" w:sz="4" w:space="0" w:color="auto"/>
              <w:right w:val="single" w:sz="4" w:space="0" w:color="auto"/>
            </w:tcBorders>
          </w:tcPr>
          <w:p w14:paraId="59083DAA" w14:textId="1C609495"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Broj pacijenata sa transfuzijom koncentrovanih eritrocita / pune krvi primljenom u 12 m</w:t>
            </w:r>
            <w:r w:rsidR="00863774" w:rsidRPr="00801AFD">
              <w:rPr>
                <w:rFonts w:eastAsia="SimSun"/>
                <w:sz w:val="22"/>
                <w:szCs w:val="22"/>
                <w:lang w:val="sr-Latn-ME" w:eastAsia="en-IE"/>
              </w:rPr>
              <w:t>j</w:t>
            </w:r>
            <w:r w:rsidRPr="00801AFD">
              <w:rPr>
                <w:rFonts w:eastAsia="SimSun"/>
                <w:sz w:val="22"/>
                <w:szCs w:val="22"/>
                <w:lang w:val="sr-Latn-ME" w:eastAsia="en-IE"/>
              </w:rPr>
              <w:t>eseci pr</w:t>
            </w:r>
            <w:r w:rsidR="00863774" w:rsidRPr="00801AFD">
              <w:rPr>
                <w:rFonts w:eastAsia="SimSun"/>
                <w:sz w:val="22"/>
                <w:szCs w:val="22"/>
                <w:lang w:val="sr-Latn-ME" w:eastAsia="en-IE"/>
              </w:rPr>
              <w:t>ij</w:t>
            </w:r>
            <w:r w:rsidRPr="00801AFD">
              <w:rPr>
                <w:rFonts w:eastAsia="SimSun"/>
                <w:sz w:val="22"/>
                <w:szCs w:val="22"/>
                <w:lang w:val="sr-Latn-ME" w:eastAsia="en-IE"/>
              </w:rPr>
              <w:t>e prve doze, n (%)</w:t>
            </w:r>
          </w:p>
        </w:tc>
        <w:tc>
          <w:tcPr>
            <w:tcW w:w="1486" w:type="pct"/>
            <w:tcBorders>
              <w:top w:val="single" w:sz="4" w:space="0" w:color="auto"/>
              <w:left w:val="single" w:sz="4" w:space="0" w:color="auto"/>
              <w:bottom w:val="single" w:sz="4" w:space="0" w:color="auto"/>
              <w:right w:val="single" w:sz="4" w:space="0" w:color="auto"/>
            </w:tcBorders>
            <w:vAlign w:val="center"/>
          </w:tcPr>
          <w:p w14:paraId="2C328D9B"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2 (40,0)</w:t>
            </w:r>
          </w:p>
        </w:tc>
        <w:tc>
          <w:tcPr>
            <w:tcW w:w="1092" w:type="pct"/>
            <w:tcBorders>
              <w:top w:val="single" w:sz="4" w:space="0" w:color="auto"/>
              <w:left w:val="single" w:sz="4" w:space="0" w:color="auto"/>
              <w:bottom w:val="single" w:sz="4" w:space="0" w:color="auto"/>
              <w:right w:val="single" w:sz="4" w:space="0" w:color="auto"/>
            </w:tcBorders>
            <w:vAlign w:val="center"/>
          </w:tcPr>
          <w:p w14:paraId="2A6F4DE6"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2 (25,0)</w:t>
            </w:r>
          </w:p>
        </w:tc>
      </w:tr>
      <w:tr w:rsidR="00EF0C21" w:rsidRPr="00801AFD" w14:paraId="4CE6A5FD" w14:textId="77777777" w:rsidTr="00986850">
        <w:trPr>
          <w:jc w:val="center"/>
        </w:trPr>
        <w:tc>
          <w:tcPr>
            <w:tcW w:w="2422" w:type="pct"/>
            <w:tcBorders>
              <w:top w:val="single" w:sz="4" w:space="0" w:color="auto"/>
              <w:left w:val="single" w:sz="4" w:space="0" w:color="auto"/>
              <w:bottom w:val="nil"/>
              <w:right w:val="single" w:sz="4" w:space="0" w:color="auto"/>
            </w:tcBorders>
          </w:tcPr>
          <w:p w14:paraId="6F47509D" w14:textId="4EB40FE0"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Broj transfuzija koncentrovanih eritrocita / pune krvi primljenih u 12 m</w:t>
            </w:r>
            <w:r w:rsidR="00863774" w:rsidRPr="00801AFD">
              <w:rPr>
                <w:rFonts w:eastAsia="SimSun"/>
                <w:sz w:val="22"/>
                <w:szCs w:val="22"/>
                <w:lang w:val="sr-Latn-ME" w:eastAsia="en-IE"/>
              </w:rPr>
              <w:t>j</w:t>
            </w:r>
            <w:r w:rsidRPr="00801AFD">
              <w:rPr>
                <w:rFonts w:eastAsia="SimSun"/>
                <w:sz w:val="22"/>
                <w:szCs w:val="22"/>
                <w:lang w:val="sr-Latn-ME" w:eastAsia="en-IE"/>
              </w:rPr>
              <w:t>eseci pr</w:t>
            </w:r>
            <w:r w:rsidR="00863774" w:rsidRPr="00801AFD">
              <w:rPr>
                <w:rFonts w:eastAsia="SimSun"/>
                <w:sz w:val="22"/>
                <w:szCs w:val="22"/>
                <w:lang w:val="sr-Latn-ME" w:eastAsia="en-IE"/>
              </w:rPr>
              <w:t>ij</w:t>
            </w:r>
            <w:r w:rsidRPr="00801AFD">
              <w:rPr>
                <w:rFonts w:eastAsia="SimSun"/>
                <w:sz w:val="22"/>
                <w:szCs w:val="22"/>
                <w:lang w:val="sr-Latn-ME" w:eastAsia="en-IE"/>
              </w:rPr>
              <w:t>e prve doze</w:t>
            </w:r>
          </w:p>
        </w:tc>
        <w:tc>
          <w:tcPr>
            <w:tcW w:w="1486" w:type="pct"/>
            <w:tcBorders>
              <w:top w:val="single" w:sz="4" w:space="0" w:color="auto"/>
              <w:left w:val="single" w:sz="4" w:space="0" w:color="auto"/>
              <w:bottom w:val="nil"/>
              <w:right w:val="single" w:sz="4" w:space="0" w:color="auto"/>
            </w:tcBorders>
          </w:tcPr>
          <w:p w14:paraId="1DEC8F5F" w14:textId="77777777" w:rsidR="00EF0C21" w:rsidRPr="00801AFD" w:rsidRDefault="00EF0C21" w:rsidP="00801AFD">
            <w:pPr>
              <w:widowControl w:val="0"/>
              <w:tabs>
                <w:tab w:val="left" w:pos="86"/>
              </w:tabs>
              <w:jc w:val="center"/>
              <w:rPr>
                <w:rFonts w:eastAsia="SimSun"/>
                <w:sz w:val="22"/>
                <w:szCs w:val="22"/>
                <w:lang w:val="sr-Latn-ME" w:eastAsia="en-IE"/>
              </w:rPr>
            </w:pPr>
          </w:p>
        </w:tc>
        <w:tc>
          <w:tcPr>
            <w:tcW w:w="1092" w:type="pct"/>
            <w:tcBorders>
              <w:top w:val="single" w:sz="4" w:space="0" w:color="auto"/>
              <w:left w:val="single" w:sz="4" w:space="0" w:color="auto"/>
              <w:bottom w:val="nil"/>
              <w:right w:val="single" w:sz="4" w:space="0" w:color="auto"/>
            </w:tcBorders>
          </w:tcPr>
          <w:p w14:paraId="1744FE90" w14:textId="77777777" w:rsidR="00EF0C21" w:rsidRPr="00801AFD" w:rsidRDefault="00EF0C21" w:rsidP="00801AFD">
            <w:pPr>
              <w:widowControl w:val="0"/>
              <w:tabs>
                <w:tab w:val="left" w:pos="86"/>
              </w:tabs>
              <w:jc w:val="center"/>
              <w:rPr>
                <w:rFonts w:eastAsia="SimSun"/>
                <w:sz w:val="22"/>
                <w:szCs w:val="22"/>
                <w:lang w:val="sr-Latn-ME" w:eastAsia="en-IE"/>
              </w:rPr>
            </w:pPr>
          </w:p>
        </w:tc>
      </w:tr>
      <w:tr w:rsidR="00EF0C21" w:rsidRPr="00801AFD" w14:paraId="16CA12CD" w14:textId="77777777" w:rsidTr="00986850">
        <w:trPr>
          <w:jc w:val="center"/>
        </w:trPr>
        <w:tc>
          <w:tcPr>
            <w:tcW w:w="2422" w:type="pct"/>
            <w:tcBorders>
              <w:top w:val="nil"/>
              <w:left w:val="single" w:sz="4" w:space="0" w:color="auto"/>
              <w:bottom w:val="nil"/>
              <w:right w:val="single" w:sz="4" w:space="0" w:color="auto"/>
            </w:tcBorders>
          </w:tcPr>
          <w:p w14:paraId="477AC648" w14:textId="17E95131"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Ukupno</w:t>
            </w:r>
          </w:p>
        </w:tc>
        <w:tc>
          <w:tcPr>
            <w:tcW w:w="1486" w:type="pct"/>
            <w:tcBorders>
              <w:top w:val="nil"/>
              <w:left w:val="single" w:sz="4" w:space="0" w:color="auto"/>
              <w:bottom w:val="nil"/>
              <w:right w:val="single" w:sz="4" w:space="0" w:color="auto"/>
            </w:tcBorders>
          </w:tcPr>
          <w:p w14:paraId="4C159D29"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10</w:t>
            </w:r>
          </w:p>
        </w:tc>
        <w:tc>
          <w:tcPr>
            <w:tcW w:w="1092" w:type="pct"/>
            <w:tcBorders>
              <w:top w:val="nil"/>
              <w:left w:val="single" w:sz="4" w:space="0" w:color="auto"/>
              <w:bottom w:val="nil"/>
              <w:right w:val="single" w:sz="4" w:space="0" w:color="auto"/>
            </w:tcBorders>
          </w:tcPr>
          <w:p w14:paraId="743B0209"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2</w:t>
            </w:r>
          </w:p>
        </w:tc>
      </w:tr>
      <w:tr w:rsidR="00EF0C21" w:rsidRPr="00801AFD" w14:paraId="57B4F1A4" w14:textId="77777777" w:rsidTr="00986850">
        <w:trPr>
          <w:jc w:val="center"/>
        </w:trPr>
        <w:tc>
          <w:tcPr>
            <w:tcW w:w="2422" w:type="pct"/>
            <w:tcBorders>
              <w:top w:val="nil"/>
              <w:left w:val="single" w:sz="4" w:space="0" w:color="auto"/>
              <w:bottom w:val="single" w:sz="4" w:space="0" w:color="auto"/>
              <w:right w:val="single" w:sz="4" w:space="0" w:color="auto"/>
            </w:tcBorders>
          </w:tcPr>
          <w:p w14:paraId="613FFBF1" w14:textId="6CDC73EE"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Medijana (min, maks)</w:t>
            </w:r>
          </w:p>
        </w:tc>
        <w:tc>
          <w:tcPr>
            <w:tcW w:w="1486" w:type="pct"/>
            <w:tcBorders>
              <w:top w:val="nil"/>
              <w:left w:val="single" w:sz="4" w:space="0" w:color="auto"/>
              <w:bottom w:val="single" w:sz="4" w:space="0" w:color="auto"/>
              <w:right w:val="single" w:sz="4" w:space="0" w:color="auto"/>
            </w:tcBorders>
          </w:tcPr>
          <w:p w14:paraId="6EB1329A"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5,0 (4; 6)</w:t>
            </w:r>
          </w:p>
        </w:tc>
        <w:tc>
          <w:tcPr>
            <w:tcW w:w="1092" w:type="pct"/>
            <w:tcBorders>
              <w:top w:val="nil"/>
              <w:left w:val="single" w:sz="4" w:space="0" w:color="auto"/>
              <w:bottom w:val="single" w:sz="4" w:space="0" w:color="auto"/>
              <w:right w:val="single" w:sz="4" w:space="0" w:color="auto"/>
            </w:tcBorders>
          </w:tcPr>
          <w:p w14:paraId="1EEF26EC"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1,0 (1; 1)</w:t>
            </w:r>
          </w:p>
        </w:tc>
      </w:tr>
      <w:tr w:rsidR="00EF0C21" w:rsidRPr="00801AFD" w14:paraId="711C388E" w14:textId="77777777" w:rsidTr="00986850">
        <w:trPr>
          <w:jc w:val="center"/>
        </w:trPr>
        <w:tc>
          <w:tcPr>
            <w:tcW w:w="2422" w:type="pct"/>
            <w:tcBorders>
              <w:top w:val="single" w:sz="4" w:space="0" w:color="auto"/>
              <w:left w:val="single" w:sz="4" w:space="0" w:color="auto"/>
              <w:bottom w:val="nil"/>
              <w:right w:val="single" w:sz="4" w:space="0" w:color="auto"/>
            </w:tcBorders>
          </w:tcPr>
          <w:p w14:paraId="53A70C79" w14:textId="3EB6E06D"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Broj jedinica koncentrovanih eritrocita / pune krvi primljenih transfuzijom u 12 m</w:t>
            </w:r>
            <w:r w:rsidR="00863774" w:rsidRPr="00801AFD">
              <w:rPr>
                <w:rFonts w:eastAsia="SimSun"/>
                <w:sz w:val="22"/>
                <w:szCs w:val="22"/>
                <w:lang w:val="sr-Latn-ME" w:eastAsia="en-IE"/>
              </w:rPr>
              <w:t>j</w:t>
            </w:r>
            <w:r w:rsidRPr="00801AFD">
              <w:rPr>
                <w:rFonts w:eastAsia="SimSun"/>
                <w:sz w:val="22"/>
                <w:szCs w:val="22"/>
                <w:lang w:val="sr-Latn-ME" w:eastAsia="en-IE"/>
              </w:rPr>
              <w:t>eseci pr</w:t>
            </w:r>
            <w:r w:rsidR="00863774" w:rsidRPr="00801AFD">
              <w:rPr>
                <w:rFonts w:eastAsia="SimSun"/>
                <w:sz w:val="22"/>
                <w:szCs w:val="22"/>
                <w:lang w:val="sr-Latn-ME" w:eastAsia="en-IE"/>
              </w:rPr>
              <w:t>ij</w:t>
            </w:r>
            <w:r w:rsidRPr="00801AFD">
              <w:rPr>
                <w:rFonts w:eastAsia="SimSun"/>
                <w:sz w:val="22"/>
                <w:szCs w:val="22"/>
                <w:lang w:val="sr-Latn-ME" w:eastAsia="en-IE"/>
              </w:rPr>
              <w:t>e prve doze</w:t>
            </w:r>
          </w:p>
        </w:tc>
        <w:tc>
          <w:tcPr>
            <w:tcW w:w="1486" w:type="pct"/>
            <w:tcBorders>
              <w:top w:val="single" w:sz="4" w:space="0" w:color="auto"/>
              <w:left w:val="single" w:sz="4" w:space="0" w:color="auto"/>
              <w:bottom w:val="nil"/>
              <w:right w:val="single" w:sz="4" w:space="0" w:color="auto"/>
            </w:tcBorders>
          </w:tcPr>
          <w:p w14:paraId="4A966D60" w14:textId="77777777" w:rsidR="00EF0C21" w:rsidRPr="00801AFD" w:rsidRDefault="00EF0C21" w:rsidP="00801AFD">
            <w:pPr>
              <w:widowControl w:val="0"/>
              <w:tabs>
                <w:tab w:val="left" w:pos="86"/>
              </w:tabs>
              <w:jc w:val="center"/>
              <w:rPr>
                <w:rFonts w:eastAsia="SimSun"/>
                <w:sz w:val="22"/>
                <w:szCs w:val="22"/>
                <w:lang w:val="sr-Latn-ME" w:eastAsia="en-IE"/>
              </w:rPr>
            </w:pPr>
          </w:p>
        </w:tc>
        <w:tc>
          <w:tcPr>
            <w:tcW w:w="1092" w:type="pct"/>
            <w:tcBorders>
              <w:top w:val="single" w:sz="4" w:space="0" w:color="auto"/>
              <w:left w:val="single" w:sz="4" w:space="0" w:color="auto"/>
              <w:bottom w:val="nil"/>
              <w:right w:val="single" w:sz="4" w:space="0" w:color="auto"/>
            </w:tcBorders>
          </w:tcPr>
          <w:p w14:paraId="07EED98A" w14:textId="77777777" w:rsidR="00EF0C21" w:rsidRPr="00801AFD" w:rsidRDefault="00EF0C21" w:rsidP="00801AFD">
            <w:pPr>
              <w:widowControl w:val="0"/>
              <w:tabs>
                <w:tab w:val="left" w:pos="86"/>
              </w:tabs>
              <w:jc w:val="center"/>
              <w:rPr>
                <w:rFonts w:eastAsia="SimSun"/>
                <w:sz w:val="22"/>
                <w:szCs w:val="22"/>
                <w:lang w:val="sr-Latn-ME" w:eastAsia="en-IE"/>
              </w:rPr>
            </w:pPr>
          </w:p>
        </w:tc>
      </w:tr>
      <w:tr w:rsidR="00EF0C21" w:rsidRPr="00801AFD" w14:paraId="402B87CD" w14:textId="77777777" w:rsidTr="00986850">
        <w:trPr>
          <w:jc w:val="center"/>
        </w:trPr>
        <w:tc>
          <w:tcPr>
            <w:tcW w:w="2422" w:type="pct"/>
            <w:tcBorders>
              <w:top w:val="nil"/>
              <w:left w:val="single" w:sz="4" w:space="0" w:color="auto"/>
              <w:bottom w:val="nil"/>
              <w:right w:val="single" w:sz="4" w:space="0" w:color="auto"/>
            </w:tcBorders>
          </w:tcPr>
          <w:p w14:paraId="62B28CFB" w14:textId="605854F7"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Ukupno</w:t>
            </w:r>
          </w:p>
        </w:tc>
        <w:tc>
          <w:tcPr>
            <w:tcW w:w="1486" w:type="pct"/>
            <w:tcBorders>
              <w:top w:val="nil"/>
              <w:left w:val="single" w:sz="4" w:space="0" w:color="auto"/>
              <w:bottom w:val="nil"/>
              <w:right w:val="single" w:sz="4" w:space="0" w:color="auto"/>
            </w:tcBorders>
          </w:tcPr>
          <w:p w14:paraId="76D75A83"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14</w:t>
            </w:r>
          </w:p>
        </w:tc>
        <w:tc>
          <w:tcPr>
            <w:tcW w:w="1092" w:type="pct"/>
            <w:tcBorders>
              <w:top w:val="nil"/>
              <w:left w:val="single" w:sz="4" w:space="0" w:color="auto"/>
              <w:bottom w:val="nil"/>
              <w:right w:val="single" w:sz="4" w:space="0" w:color="auto"/>
            </w:tcBorders>
          </w:tcPr>
          <w:p w14:paraId="3EB851EB"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2</w:t>
            </w:r>
          </w:p>
        </w:tc>
      </w:tr>
      <w:tr w:rsidR="00EF0C21" w:rsidRPr="00801AFD" w14:paraId="45C9C204" w14:textId="77777777" w:rsidTr="00986850">
        <w:trPr>
          <w:jc w:val="center"/>
        </w:trPr>
        <w:tc>
          <w:tcPr>
            <w:tcW w:w="2422" w:type="pct"/>
            <w:tcBorders>
              <w:top w:val="nil"/>
              <w:left w:val="single" w:sz="4" w:space="0" w:color="auto"/>
              <w:bottom w:val="single" w:sz="4" w:space="0" w:color="auto"/>
              <w:right w:val="single" w:sz="4" w:space="0" w:color="auto"/>
            </w:tcBorders>
          </w:tcPr>
          <w:p w14:paraId="61059EBC" w14:textId="37C069F6"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Medijana (min, maks)</w:t>
            </w:r>
          </w:p>
        </w:tc>
        <w:tc>
          <w:tcPr>
            <w:tcW w:w="1486" w:type="pct"/>
            <w:tcBorders>
              <w:top w:val="nil"/>
              <w:left w:val="single" w:sz="4" w:space="0" w:color="auto"/>
              <w:bottom w:val="single" w:sz="4" w:space="0" w:color="auto"/>
              <w:right w:val="single" w:sz="4" w:space="0" w:color="auto"/>
            </w:tcBorders>
          </w:tcPr>
          <w:p w14:paraId="2FA77547"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7,0 (3; 11)</w:t>
            </w:r>
          </w:p>
        </w:tc>
        <w:tc>
          <w:tcPr>
            <w:tcW w:w="1092" w:type="pct"/>
            <w:tcBorders>
              <w:top w:val="nil"/>
              <w:left w:val="single" w:sz="4" w:space="0" w:color="auto"/>
              <w:bottom w:val="single" w:sz="4" w:space="0" w:color="auto"/>
              <w:right w:val="single" w:sz="4" w:space="0" w:color="auto"/>
            </w:tcBorders>
          </w:tcPr>
          <w:p w14:paraId="464AFC9C"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2,0 (2; 2)</w:t>
            </w:r>
          </w:p>
        </w:tc>
      </w:tr>
      <w:tr w:rsidR="00EF0C21" w:rsidRPr="00801AFD" w14:paraId="151B9A83" w14:textId="77777777" w:rsidTr="00986850">
        <w:trPr>
          <w:jc w:val="center"/>
        </w:trPr>
        <w:tc>
          <w:tcPr>
            <w:tcW w:w="2422" w:type="pct"/>
            <w:tcBorders>
              <w:top w:val="single" w:sz="4" w:space="0" w:color="auto"/>
              <w:left w:val="single" w:sz="4" w:space="0" w:color="auto"/>
              <w:bottom w:val="nil"/>
              <w:right w:val="single" w:sz="4" w:space="0" w:color="auto"/>
            </w:tcBorders>
          </w:tcPr>
          <w:p w14:paraId="6824E905" w14:textId="7EDE1990"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Pacijenti sa bilo kojim stanjem povezanim sa PNH</w:t>
            </w:r>
            <w:r w:rsidR="00863774" w:rsidRPr="00801AFD">
              <w:rPr>
                <w:rFonts w:eastAsia="SimSun"/>
                <w:sz w:val="22"/>
                <w:szCs w:val="22"/>
                <w:lang w:val="sr-Latn-ME" w:eastAsia="en-IE"/>
              </w:rPr>
              <w:t>-om</w:t>
            </w:r>
            <w:r w:rsidRPr="00801AFD">
              <w:rPr>
                <w:rFonts w:eastAsia="SimSun"/>
                <w:sz w:val="22"/>
                <w:szCs w:val="22"/>
                <w:lang w:val="sr-Latn-ME" w:eastAsia="en-IE"/>
              </w:rPr>
              <w:t xml:space="preserve"> pr</w:t>
            </w:r>
            <w:r w:rsidR="00863774" w:rsidRPr="00801AFD">
              <w:rPr>
                <w:rFonts w:eastAsia="SimSun"/>
                <w:sz w:val="22"/>
                <w:szCs w:val="22"/>
                <w:lang w:val="sr-Latn-ME" w:eastAsia="en-IE"/>
              </w:rPr>
              <w:t>ij</w:t>
            </w:r>
            <w:r w:rsidRPr="00801AFD">
              <w:rPr>
                <w:rFonts w:eastAsia="SimSun"/>
                <w:sz w:val="22"/>
                <w:szCs w:val="22"/>
                <w:lang w:val="sr-Latn-ME" w:eastAsia="en-IE"/>
              </w:rPr>
              <w:t>e davanja informisanog pristanka, n (%)</w:t>
            </w:r>
          </w:p>
        </w:tc>
        <w:tc>
          <w:tcPr>
            <w:tcW w:w="1486" w:type="pct"/>
            <w:tcBorders>
              <w:top w:val="single" w:sz="4" w:space="0" w:color="auto"/>
              <w:left w:val="single" w:sz="4" w:space="0" w:color="auto"/>
              <w:bottom w:val="nil"/>
              <w:right w:val="single" w:sz="4" w:space="0" w:color="auto"/>
            </w:tcBorders>
          </w:tcPr>
          <w:p w14:paraId="6B0C4F4A"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5 (100)</w:t>
            </w:r>
          </w:p>
        </w:tc>
        <w:tc>
          <w:tcPr>
            <w:tcW w:w="1092" w:type="pct"/>
            <w:tcBorders>
              <w:top w:val="single" w:sz="4" w:space="0" w:color="auto"/>
              <w:left w:val="single" w:sz="4" w:space="0" w:color="auto"/>
              <w:bottom w:val="nil"/>
              <w:right w:val="single" w:sz="4" w:space="0" w:color="auto"/>
            </w:tcBorders>
          </w:tcPr>
          <w:p w14:paraId="524AA7FE"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8 (100)</w:t>
            </w:r>
          </w:p>
        </w:tc>
      </w:tr>
      <w:tr w:rsidR="00EF0C21" w:rsidRPr="00801AFD" w14:paraId="3C3448F1" w14:textId="77777777" w:rsidTr="00986850">
        <w:trPr>
          <w:jc w:val="center"/>
        </w:trPr>
        <w:tc>
          <w:tcPr>
            <w:tcW w:w="2422" w:type="pct"/>
            <w:tcBorders>
              <w:top w:val="nil"/>
              <w:left w:val="single" w:sz="4" w:space="0" w:color="auto"/>
              <w:bottom w:val="nil"/>
              <w:right w:val="single" w:sz="4" w:space="0" w:color="auto"/>
            </w:tcBorders>
          </w:tcPr>
          <w:p w14:paraId="5F0341E5" w14:textId="6BADE139"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anemija</w:t>
            </w:r>
          </w:p>
        </w:tc>
        <w:tc>
          <w:tcPr>
            <w:tcW w:w="1486" w:type="pct"/>
            <w:tcBorders>
              <w:top w:val="nil"/>
              <w:left w:val="single" w:sz="4" w:space="0" w:color="auto"/>
              <w:bottom w:val="nil"/>
              <w:right w:val="single" w:sz="4" w:space="0" w:color="auto"/>
            </w:tcBorders>
          </w:tcPr>
          <w:p w14:paraId="1B03D1C6"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2 (40,0)</w:t>
            </w:r>
          </w:p>
        </w:tc>
        <w:tc>
          <w:tcPr>
            <w:tcW w:w="1092" w:type="pct"/>
            <w:tcBorders>
              <w:top w:val="nil"/>
              <w:left w:val="single" w:sz="4" w:space="0" w:color="auto"/>
              <w:bottom w:val="nil"/>
              <w:right w:val="single" w:sz="4" w:space="0" w:color="auto"/>
            </w:tcBorders>
          </w:tcPr>
          <w:p w14:paraId="7C935BC3"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5 (62,5)</w:t>
            </w:r>
          </w:p>
        </w:tc>
      </w:tr>
      <w:tr w:rsidR="00EF0C21" w:rsidRPr="00801AFD" w14:paraId="31B5F54F" w14:textId="77777777" w:rsidTr="00986850">
        <w:trPr>
          <w:jc w:val="center"/>
        </w:trPr>
        <w:tc>
          <w:tcPr>
            <w:tcW w:w="2422" w:type="pct"/>
            <w:tcBorders>
              <w:top w:val="nil"/>
              <w:left w:val="single" w:sz="4" w:space="0" w:color="auto"/>
              <w:bottom w:val="nil"/>
              <w:right w:val="single" w:sz="4" w:space="0" w:color="auto"/>
            </w:tcBorders>
          </w:tcPr>
          <w:p w14:paraId="3CDF1E31" w14:textId="08A64644"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hematurija ili hemoglobinurija</w:t>
            </w:r>
          </w:p>
        </w:tc>
        <w:tc>
          <w:tcPr>
            <w:tcW w:w="1486" w:type="pct"/>
            <w:tcBorders>
              <w:top w:val="nil"/>
              <w:left w:val="single" w:sz="4" w:space="0" w:color="auto"/>
              <w:bottom w:val="nil"/>
              <w:right w:val="single" w:sz="4" w:space="0" w:color="auto"/>
            </w:tcBorders>
          </w:tcPr>
          <w:p w14:paraId="56961311"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2 (40,0)</w:t>
            </w:r>
          </w:p>
        </w:tc>
        <w:tc>
          <w:tcPr>
            <w:tcW w:w="1092" w:type="pct"/>
            <w:tcBorders>
              <w:top w:val="nil"/>
              <w:left w:val="single" w:sz="4" w:space="0" w:color="auto"/>
              <w:bottom w:val="nil"/>
              <w:right w:val="single" w:sz="4" w:space="0" w:color="auto"/>
            </w:tcBorders>
          </w:tcPr>
          <w:p w14:paraId="56666823"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5 (62,5)</w:t>
            </w:r>
          </w:p>
        </w:tc>
      </w:tr>
      <w:tr w:rsidR="00EF0C21" w:rsidRPr="00801AFD" w14:paraId="37F2CDD7" w14:textId="77777777" w:rsidTr="00986850">
        <w:trPr>
          <w:jc w:val="center"/>
        </w:trPr>
        <w:tc>
          <w:tcPr>
            <w:tcW w:w="2422" w:type="pct"/>
            <w:tcBorders>
              <w:top w:val="nil"/>
              <w:left w:val="single" w:sz="4" w:space="0" w:color="auto"/>
              <w:bottom w:val="nil"/>
              <w:right w:val="single" w:sz="4" w:space="0" w:color="auto"/>
            </w:tcBorders>
          </w:tcPr>
          <w:p w14:paraId="2C90B570" w14:textId="6DE24A3C"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aplastična anemija</w:t>
            </w:r>
          </w:p>
        </w:tc>
        <w:tc>
          <w:tcPr>
            <w:tcW w:w="1486" w:type="pct"/>
            <w:tcBorders>
              <w:top w:val="nil"/>
              <w:left w:val="single" w:sz="4" w:space="0" w:color="auto"/>
              <w:bottom w:val="nil"/>
              <w:right w:val="single" w:sz="4" w:space="0" w:color="auto"/>
            </w:tcBorders>
          </w:tcPr>
          <w:p w14:paraId="468D4614"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3 (60,0)</w:t>
            </w:r>
          </w:p>
        </w:tc>
        <w:tc>
          <w:tcPr>
            <w:tcW w:w="1092" w:type="pct"/>
            <w:tcBorders>
              <w:top w:val="nil"/>
              <w:left w:val="single" w:sz="4" w:space="0" w:color="auto"/>
              <w:bottom w:val="nil"/>
              <w:right w:val="single" w:sz="4" w:space="0" w:color="auto"/>
            </w:tcBorders>
          </w:tcPr>
          <w:p w14:paraId="34C6568A"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1 (12,5)</w:t>
            </w:r>
          </w:p>
        </w:tc>
      </w:tr>
      <w:tr w:rsidR="00EF0C21" w:rsidRPr="00801AFD" w14:paraId="46CD3378" w14:textId="77777777" w:rsidTr="00986850">
        <w:trPr>
          <w:jc w:val="center"/>
        </w:trPr>
        <w:tc>
          <w:tcPr>
            <w:tcW w:w="2422" w:type="pct"/>
            <w:tcBorders>
              <w:top w:val="nil"/>
              <w:left w:val="single" w:sz="4" w:space="0" w:color="auto"/>
              <w:bottom w:val="nil"/>
              <w:right w:val="single" w:sz="4" w:space="0" w:color="auto"/>
            </w:tcBorders>
          </w:tcPr>
          <w:p w14:paraId="78CF858C" w14:textId="1D46CE18"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insuficijencija bubrega</w:t>
            </w:r>
          </w:p>
        </w:tc>
        <w:tc>
          <w:tcPr>
            <w:tcW w:w="1486" w:type="pct"/>
            <w:tcBorders>
              <w:top w:val="nil"/>
              <w:left w:val="single" w:sz="4" w:space="0" w:color="auto"/>
              <w:bottom w:val="nil"/>
              <w:right w:val="single" w:sz="4" w:space="0" w:color="auto"/>
            </w:tcBorders>
          </w:tcPr>
          <w:p w14:paraId="4C4340E6"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2 (40,0)</w:t>
            </w:r>
          </w:p>
        </w:tc>
        <w:tc>
          <w:tcPr>
            <w:tcW w:w="1092" w:type="pct"/>
            <w:tcBorders>
              <w:top w:val="nil"/>
              <w:left w:val="single" w:sz="4" w:space="0" w:color="auto"/>
              <w:bottom w:val="nil"/>
              <w:right w:val="single" w:sz="4" w:space="0" w:color="auto"/>
            </w:tcBorders>
          </w:tcPr>
          <w:p w14:paraId="4B1D86E7"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2 (25,0)</w:t>
            </w:r>
          </w:p>
        </w:tc>
      </w:tr>
      <w:tr w:rsidR="00EF0C21" w:rsidRPr="00801AFD" w14:paraId="7E3B249A" w14:textId="77777777" w:rsidTr="00986850">
        <w:trPr>
          <w:jc w:val="center"/>
        </w:trPr>
        <w:tc>
          <w:tcPr>
            <w:tcW w:w="2422" w:type="pct"/>
            <w:tcBorders>
              <w:top w:val="nil"/>
              <w:left w:val="single" w:sz="4" w:space="0" w:color="auto"/>
              <w:bottom w:val="single" w:sz="4" w:space="0" w:color="auto"/>
              <w:right w:val="single" w:sz="4" w:space="0" w:color="auto"/>
            </w:tcBorders>
          </w:tcPr>
          <w:p w14:paraId="493C5D7B" w14:textId="405D3095"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ostalo</w:t>
            </w:r>
            <w:r w:rsidRPr="00801AFD">
              <w:rPr>
                <w:rFonts w:eastAsia="SimSun"/>
                <w:sz w:val="22"/>
                <w:szCs w:val="22"/>
                <w:vertAlign w:val="superscript"/>
                <w:lang w:val="sr-Latn-ME" w:eastAsia="en-IE"/>
              </w:rPr>
              <w:t>a</w:t>
            </w:r>
          </w:p>
        </w:tc>
        <w:tc>
          <w:tcPr>
            <w:tcW w:w="1486" w:type="pct"/>
            <w:tcBorders>
              <w:top w:val="nil"/>
              <w:left w:val="single" w:sz="4" w:space="0" w:color="auto"/>
              <w:bottom w:val="single" w:sz="4" w:space="0" w:color="auto"/>
              <w:right w:val="single" w:sz="4" w:space="0" w:color="auto"/>
            </w:tcBorders>
          </w:tcPr>
          <w:p w14:paraId="2BDB1E30"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0</w:t>
            </w:r>
          </w:p>
        </w:tc>
        <w:tc>
          <w:tcPr>
            <w:tcW w:w="1092" w:type="pct"/>
            <w:tcBorders>
              <w:top w:val="nil"/>
              <w:left w:val="single" w:sz="4" w:space="0" w:color="auto"/>
              <w:bottom w:val="single" w:sz="4" w:space="0" w:color="auto"/>
              <w:right w:val="single" w:sz="4" w:space="0" w:color="auto"/>
            </w:tcBorders>
          </w:tcPr>
          <w:p w14:paraId="1021DD80" w14:textId="77777777" w:rsidR="00EF0C21" w:rsidRPr="00801AFD" w:rsidRDefault="00EF0C21" w:rsidP="00801AFD">
            <w:pPr>
              <w:widowControl w:val="0"/>
              <w:tabs>
                <w:tab w:val="left" w:pos="86"/>
              </w:tabs>
              <w:jc w:val="center"/>
              <w:rPr>
                <w:rFonts w:eastAsia="SimSun"/>
                <w:sz w:val="22"/>
                <w:szCs w:val="22"/>
                <w:lang w:val="sr-Latn-ME" w:eastAsia="en-IE"/>
              </w:rPr>
            </w:pPr>
            <w:r w:rsidRPr="00801AFD">
              <w:rPr>
                <w:rFonts w:eastAsia="SimSun"/>
                <w:sz w:val="22"/>
                <w:szCs w:val="22"/>
                <w:lang w:val="sr-Latn-ME" w:eastAsia="en-IE"/>
              </w:rPr>
              <w:t>1 (12,5)</w:t>
            </w:r>
          </w:p>
        </w:tc>
      </w:tr>
      <w:tr w:rsidR="00EF0C21" w:rsidRPr="00801AFD" w14:paraId="040BE254" w14:textId="77777777" w:rsidTr="00986850">
        <w:trPr>
          <w:jc w:val="center"/>
        </w:trPr>
        <w:tc>
          <w:tcPr>
            <w:tcW w:w="2422" w:type="pct"/>
            <w:tcBorders>
              <w:top w:val="single" w:sz="4" w:space="0" w:color="auto"/>
              <w:bottom w:val="nil"/>
            </w:tcBorders>
          </w:tcPr>
          <w:p w14:paraId="3DF8357C" w14:textId="6863F203"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Vr</w:t>
            </w:r>
            <w:r w:rsidR="00863774" w:rsidRPr="00801AFD">
              <w:rPr>
                <w:rFonts w:eastAsia="SimSun"/>
                <w:sz w:val="22"/>
                <w:szCs w:val="22"/>
                <w:lang w:val="sr-Latn-ME" w:eastAsia="en-IE"/>
              </w:rPr>
              <w:t>ij</w:t>
            </w:r>
            <w:r w:rsidRPr="00801AFD">
              <w:rPr>
                <w:rFonts w:eastAsia="SimSun"/>
                <w:sz w:val="22"/>
                <w:szCs w:val="22"/>
                <w:lang w:val="sr-Latn-ME" w:eastAsia="en-IE"/>
              </w:rPr>
              <w:t>ednosti LDH pr</w:t>
            </w:r>
            <w:r w:rsidR="00863774" w:rsidRPr="00801AFD">
              <w:rPr>
                <w:rFonts w:eastAsia="SimSun"/>
                <w:sz w:val="22"/>
                <w:szCs w:val="22"/>
                <w:lang w:val="sr-Latn-ME" w:eastAsia="en-IE"/>
              </w:rPr>
              <w:t>ij</w:t>
            </w:r>
            <w:r w:rsidRPr="00801AFD">
              <w:rPr>
                <w:rFonts w:eastAsia="SimSun"/>
                <w:sz w:val="22"/>
                <w:szCs w:val="22"/>
                <w:lang w:val="sr-Latn-ME" w:eastAsia="en-IE"/>
              </w:rPr>
              <w:t>e l</w:t>
            </w:r>
            <w:r w:rsidR="00863774" w:rsidRPr="00801AFD">
              <w:rPr>
                <w:rFonts w:eastAsia="SimSun"/>
                <w:sz w:val="22"/>
                <w:szCs w:val="22"/>
                <w:lang w:val="sr-Latn-ME" w:eastAsia="en-IE"/>
              </w:rPr>
              <w:t>ij</w:t>
            </w:r>
            <w:r w:rsidRPr="00801AFD">
              <w:rPr>
                <w:rFonts w:eastAsia="SimSun"/>
                <w:sz w:val="22"/>
                <w:szCs w:val="22"/>
                <w:lang w:val="sr-Latn-ME" w:eastAsia="en-IE"/>
              </w:rPr>
              <w:t>ečenja (U/L)</w:t>
            </w:r>
          </w:p>
        </w:tc>
        <w:tc>
          <w:tcPr>
            <w:tcW w:w="1486" w:type="pct"/>
            <w:tcBorders>
              <w:top w:val="single" w:sz="4" w:space="0" w:color="auto"/>
              <w:bottom w:val="nil"/>
            </w:tcBorders>
          </w:tcPr>
          <w:p w14:paraId="7628B487" w14:textId="77777777" w:rsidR="00EF0C21" w:rsidRPr="00801AFD" w:rsidRDefault="00EF0C21" w:rsidP="00801AFD">
            <w:pPr>
              <w:widowControl w:val="0"/>
              <w:tabs>
                <w:tab w:val="left" w:pos="86"/>
              </w:tabs>
              <w:jc w:val="center"/>
              <w:rPr>
                <w:rFonts w:eastAsia="SimSun"/>
                <w:sz w:val="22"/>
                <w:szCs w:val="22"/>
                <w:lang w:val="sr-Latn-ME" w:eastAsia="en-IE"/>
              </w:rPr>
            </w:pPr>
          </w:p>
        </w:tc>
        <w:tc>
          <w:tcPr>
            <w:tcW w:w="1092" w:type="pct"/>
            <w:tcBorders>
              <w:top w:val="single" w:sz="4" w:space="0" w:color="auto"/>
              <w:bottom w:val="nil"/>
            </w:tcBorders>
          </w:tcPr>
          <w:p w14:paraId="12A2A11F" w14:textId="77777777" w:rsidR="00EF0C21" w:rsidRPr="00801AFD" w:rsidRDefault="00EF0C21" w:rsidP="00801AFD">
            <w:pPr>
              <w:widowControl w:val="0"/>
              <w:tabs>
                <w:tab w:val="left" w:pos="86"/>
              </w:tabs>
              <w:jc w:val="center"/>
              <w:rPr>
                <w:rFonts w:eastAsia="SimSun"/>
                <w:sz w:val="22"/>
                <w:szCs w:val="22"/>
                <w:lang w:val="sr-Latn-ME" w:eastAsia="en-IE"/>
              </w:rPr>
            </w:pPr>
          </w:p>
        </w:tc>
      </w:tr>
      <w:tr w:rsidR="00EF0C21" w:rsidRPr="00801AFD" w14:paraId="58AA2EFD" w14:textId="77777777" w:rsidTr="00986850">
        <w:trPr>
          <w:jc w:val="center"/>
        </w:trPr>
        <w:tc>
          <w:tcPr>
            <w:tcW w:w="2422" w:type="pct"/>
            <w:tcBorders>
              <w:top w:val="nil"/>
              <w:bottom w:val="single" w:sz="4" w:space="0" w:color="auto"/>
            </w:tcBorders>
          </w:tcPr>
          <w:p w14:paraId="56F66F9B" w14:textId="521D9101" w:rsidR="00EF0C21" w:rsidRPr="00801AFD" w:rsidRDefault="00EF0C21" w:rsidP="00801AFD">
            <w:pPr>
              <w:widowControl w:val="0"/>
              <w:tabs>
                <w:tab w:val="left" w:pos="86"/>
              </w:tabs>
              <w:jc w:val="both"/>
              <w:rPr>
                <w:rFonts w:eastAsia="SimSun"/>
                <w:sz w:val="22"/>
                <w:szCs w:val="22"/>
                <w:lang w:val="sr-Latn-ME" w:eastAsia="en-IE"/>
              </w:rPr>
            </w:pPr>
            <w:r w:rsidRPr="00801AFD">
              <w:rPr>
                <w:rFonts w:eastAsia="SimSun"/>
                <w:sz w:val="22"/>
                <w:szCs w:val="22"/>
                <w:lang w:val="sr-Latn-ME" w:eastAsia="en-IE"/>
              </w:rPr>
              <w:t>Medijana (min, maks)</w:t>
            </w:r>
          </w:p>
        </w:tc>
        <w:tc>
          <w:tcPr>
            <w:tcW w:w="1486" w:type="pct"/>
            <w:tcBorders>
              <w:top w:val="nil"/>
              <w:bottom w:val="single" w:sz="4" w:space="0" w:color="auto"/>
            </w:tcBorders>
          </w:tcPr>
          <w:p w14:paraId="472464E6" w14:textId="77777777" w:rsidR="00EF0C21" w:rsidRPr="00801AFD" w:rsidRDefault="00EF0C21" w:rsidP="00801AFD">
            <w:pPr>
              <w:widowControl w:val="0"/>
              <w:jc w:val="center"/>
              <w:rPr>
                <w:rFonts w:eastAsia="SimSun"/>
                <w:sz w:val="22"/>
                <w:szCs w:val="22"/>
                <w:lang w:val="sr-Latn-ME" w:eastAsia="en-IE"/>
              </w:rPr>
            </w:pPr>
            <w:r w:rsidRPr="00801AFD">
              <w:rPr>
                <w:rFonts w:eastAsia="SimSun"/>
                <w:sz w:val="22"/>
                <w:szCs w:val="22"/>
                <w:lang w:val="sr-Latn-ME" w:eastAsia="en-IE"/>
              </w:rPr>
              <w:t>588,50 (444; 2269,7)</w:t>
            </w:r>
          </w:p>
        </w:tc>
        <w:tc>
          <w:tcPr>
            <w:tcW w:w="1092" w:type="pct"/>
            <w:tcBorders>
              <w:top w:val="nil"/>
              <w:bottom w:val="single" w:sz="4" w:space="0" w:color="auto"/>
            </w:tcBorders>
          </w:tcPr>
          <w:p w14:paraId="5A3FB25B" w14:textId="77777777" w:rsidR="00EF0C21" w:rsidRPr="00801AFD" w:rsidRDefault="00EF0C21" w:rsidP="00801AFD">
            <w:pPr>
              <w:widowControl w:val="0"/>
              <w:jc w:val="center"/>
              <w:rPr>
                <w:rFonts w:eastAsia="SimSun"/>
                <w:sz w:val="22"/>
                <w:szCs w:val="22"/>
                <w:lang w:val="sr-Latn-ME" w:eastAsia="en-IE"/>
              </w:rPr>
            </w:pPr>
            <w:r w:rsidRPr="00801AFD">
              <w:rPr>
                <w:rFonts w:eastAsia="SimSun"/>
                <w:sz w:val="22"/>
                <w:szCs w:val="22"/>
                <w:lang w:val="sr-Latn-ME" w:eastAsia="en-IE"/>
              </w:rPr>
              <w:t>251,50 (140,5; 487)</w:t>
            </w:r>
          </w:p>
        </w:tc>
      </w:tr>
    </w:tbl>
    <w:p w14:paraId="768D9A7D" w14:textId="5D3B01E7" w:rsidR="00EF0C21" w:rsidRPr="00986850" w:rsidRDefault="00EF0C21" w:rsidP="00801AFD">
      <w:pPr>
        <w:widowControl w:val="0"/>
        <w:tabs>
          <w:tab w:val="left" w:pos="144"/>
        </w:tabs>
        <w:ind w:left="113" w:hanging="113"/>
        <w:jc w:val="both"/>
        <w:rPr>
          <w:sz w:val="20"/>
          <w:szCs w:val="22"/>
          <w:lang w:val="sr-Latn-ME"/>
        </w:rPr>
      </w:pPr>
      <w:r w:rsidRPr="00986850">
        <w:rPr>
          <w:sz w:val="20"/>
          <w:szCs w:val="22"/>
          <w:vertAlign w:val="superscript"/>
          <w:lang w:val="sr-Latn-ME"/>
        </w:rPr>
        <w:t>a</w:t>
      </w:r>
      <w:r w:rsidRPr="00986850">
        <w:rPr>
          <w:sz w:val="20"/>
          <w:szCs w:val="22"/>
          <w:lang w:val="sr-Latn-ME"/>
        </w:rPr>
        <w:t xml:space="preserve"> Ostala stanja povezana sa PNH</w:t>
      </w:r>
      <w:r w:rsidR="00863774" w:rsidRPr="00986850">
        <w:rPr>
          <w:sz w:val="20"/>
          <w:szCs w:val="22"/>
          <w:lang w:val="sr-Latn-ME"/>
        </w:rPr>
        <w:t>-om</w:t>
      </w:r>
      <w:r w:rsidRPr="00986850">
        <w:rPr>
          <w:sz w:val="20"/>
          <w:szCs w:val="22"/>
          <w:lang w:val="sr-Latn-ME"/>
        </w:rPr>
        <w:t xml:space="preserve"> prijavljena su kao „infarkt bubrega i slezene“ i „višestruke lezije koje mogu upućivati na emboliju”.</w:t>
      </w:r>
    </w:p>
    <w:p w14:paraId="316C9EEE" w14:textId="77777777" w:rsidR="00EF0C21" w:rsidRPr="00986850" w:rsidRDefault="00EF0C21" w:rsidP="00801AFD">
      <w:pPr>
        <w:widowControl w:val="0"/>
        <w:tabs>
          <w:tab w:val="left" w:pos="144"/>
        </w:tabs>
        <w:ind w:left="144" w:hanging="144"/>
        <w:jc w:val="both"/>
        <w:rPr>
          <w:sz w:val="20"/>
          <w:szCs w:val="22"/>
          <w:lang w:val="sr-Latn-ME"/>
        </w:rPr>
      </w:pPr>
      <w:r w:rsidRPr="00986850">
        <w:rPr>
          <w:sz w:val="20"/>
          <w:szCs w:val="22"/>
          <w:lang w:val="sr-Latn-ME"/>
        </w:rPr>
        <w:t>Napomena: Procenti se odnose na ukupan broj pacijenata u svakoj kohorti.</w:t>
      </w:r>
    </w:p>
    <w:p w14:paraId="2F19CB22" w14:textId="77777777" w:rsidR="00EF0C21" w:rsidRPr="00986850" w:rsidRDefault="00EF0C21" w:rsidP="00801AFD">
      <w:pPr>
        <w:widowControl w:val="0"/>
        <w:tabs>
          <w:tab w:val="left" w:pos="0"/>
        </w:tabs>
        <w:jc w:val="both"/>
        <w:rPr>
          <w:sz w:val="20"/>
          <w:szCs w:val="22"/>
          <w:lang w:val="sr-Latn-ME"/>
        </w:rPr>
      </w:pPr>
      <w:r w:rsidRPr="00986850">
        <w:rPr>
          <w:sz w:val="20"/>
          <w:szCs w:val="22"/>
          <w:lang w:val="sr-Latn-ME"/>
        </w:rPr>
        <w:t>Skraćenice: LDH = laktat dehidrogenaza; maks = maksimum; min = minimum; PNH = paroksizmalna noćna hemoglobinurija.</w:t>
      </w:r>
    </w:p>
    <w:p w14:paraId="7F002E52" w14:textId="77777777" w:rsidR="00EF0C21" w:rsidRPr="00801AFD" w:rsidRDefault="00EF0C21" w:rsidP="00801AFD">
      <w:pPr>
        <w:widowControl w:val="0"/>
        <w:tabs>
          <w:tab w:val="left" w:pos="567"/>
        </w:tabs>
        <w:autoSpaceDE w:val="0"/>
        <w:autoSpaceDN w:val="0"/>
        <w:adjustRightInd w:val="0"/>
        <w:jc w:val="both"/>
        <w:rPr>
          <w:rFonts w:eastAsia="SimSun"/>
          <w:sz w:val="22"/>
          <w:szCs w:val="22"/>
          <w:lang w:val="sr-Latn-ME"/>
        </w:rPr>
      </w:pPr>
    </w:p>
    <w:p w14:paraId="590253CF" w14:textId="6027D265" w:rsidR="00EF0C21" w:rsidRPr="00801AFD" w:rsidRDefault="00EF0C21" w:rsidP="00801AFD">
      <w:pPr>
        <w:widowControl w:val="0"/>
        <w:tabs>
          <w:tab w:val="left" w:pos="567"/>
        </w:tabs>
        <w:autoSpaceDE w:val="0"/>
        <w:autoSpaceDN w:val="0"/>
        <w:adjustRightInd w:val="0"/>
        <w:jc w:val="both"/>
        <w:rPr>
          <w:rFonts w:eastAsia="SimSun"/>
          <w:sz w:val="22"/>
          <w:szCs w:val="22"/>
          <w:lang w:val="sr-Latn-ME"/>
        </w:rPr>
      </w:pPr>
      <w:r w:rsidRPr="00801AFD">
        <w:rPr>
          <w:rFonts w:eastAsia="SimSun"/>
          <w:sz w:val="22"/>
          <w:szCs w:val="22"/>
          <w:lang w:val="sr-Latn-ME"/>
        </w:rPr>
        <w:t xml:space="preserve">Pacijenti su na osnovu tjelesne </w:t>
      </w:r>
      <w:r w:rsidR="000B577C" w:rsidRPr="00801AFD">
        <w:rPr>
          <w:rFonts w:eastAsia="SimSun"/>
          <w:sz w:val="22"/>
          <w:szCs w:val="22"/>
          <w:lang w:val="sr-Latn-ME"/>
        </w:rPr>
        <w:t xml:space="preserve">težine </w:t>
      </w:r>
      <w:r w:rsidRPr="00801AFD">
        <w:rPr>
          <w:rFonts w:eastAsia="SimSun"/>
          <w:sz w:val="22"/>
          <w:szCs w:val="22"/>
          <w:lang w:val="sr-Latn-ME"/>
        </w:rPr>
        <w:t xml:space="preserve">primili udarnu dozu ravulizumaba 1. dana i terapiju održavanja 15. dana, a nakon toga su pacijenti tjelesne mase </w:t>
      </w:r>
      <w:r w:rsidR="00903D56" w:rsidRPr="00801AFD">
        <w:rPr>
          <w:rFonts w:eastAsia="SimSun"/>
          <w:sz w:val="22"/>
          <w:szCs w:val="22"/>
          <w:lang w:val="sr-Latn-ME"/>
        </w:rPr>
        <w:t>≥</w:t>
      </w:r>
      <w:r w:rsidRPr="00801AFD">
        <w:rPr>
          <w:rFonts w:eastAsia="SimSun"/>
          <w:sz w:val="22"/>
          <w:szCs w:val="22"/>
          <w:lang w:val="sr-Latn-ME"/>
        </w:rPr>
        <w:t> 20 kg primali terapiju održavanja jednom svake 8. ned</w:t>
      </w:r>
      <w:r w:rsidR="00B37173" w:rsidRPr="00801AFD">
        <w:rPr>
          <w:rFonts w:eastAsia="SimSun"/>
          <w:sz w:val="22"/>
          <w:szCs w:val="22"/>
          <w:lang w:val="sr-Latn-ME"/>
        </w:rPr>
        <w:t>j</w:t>
      </w:r>
      <w:r w:rsidRPr="00801AFD">
        <w:rPr>
          <w:rFonts w:eastAsia="SimSun"/>
          <w:sz w:val="22"/>
          <w:szCs w:val="22"/>
          <w:lang w:val="sr-Latn-ME"/>
        </w:rPr>
        <w:t>elje, a pacijenti tjelesne mase &lt; 20 kg svake 4. ned</w:t>
      </w:r>
      <w:r w:rsidR="00B37173" w:rsidRPr="00801AFD">
        <w:rPr>
          <w:rFonts w:eastAsia="SimSun"/>
          <w:sz w:val="22"/>
          <w:szCs w:val="22"/>
          <w:lang w:val="sr-Latn-ME"/>
        </w:rPr>
        <w:t>j</w:t>
      </w:r>
      <w:r w:rsidRPr="00801AFD">
        <w:rPr>
          <w:rFonts w:eastAsia="SimSun"/>
          <w:sz w:val="22"/>
          <w:szCs w:val="22"/>
          <w:lang w:val="sr-Latn-ME"/>
        </w:rPr>
        <w:t>elje. Za pacijente koji su pr</w:t>
      </w:r>
      <w:r w:rsidR="00B37173" w:rsidRPr="00801AFD">
        <w:rPr>
          <w:rFonts w:eastAsia="SimSun"/>
          <w:sz w:val="22"/>
          <w:szCs w:val="22"/>
          <w:lang w:val="sr-Latn-ME"/>
        </w:rPr>
        <w:t>ij</w:t>
      </w:r>
      <w:r w:rsidRPr="00801AFD">
        <w:rPr>
          <w:rFonts w:eastAsia="SimSun"/>
          <w:sz w:val="22"/>
          <w:szCs w:val="22"/>
          <w:lang w:val="sr-Latn-ME"/>
        </w:rPr>
        <w:t>e uključivanja u studiju već primali ekulizumab, 1. dan prim</w:t>
      </w:r>
      <w:r w:rsidR="00B37173" w:rsidRPr="00801AFD">
        <w:rPr>
          <w:rFonts w:eastAsia="SimSun"/>
          <w:sz w:val="22"/>
          <w:szCs w:val="22"/>
          <w:lang w:val="sr-Latn-ME"/>
        </w:rPr>
        <w:t>j</w:t>
      </w:r>
      <w:r w:rsidRPr="00801AFD">
        <w:rPr>
          <w:rFonts w:eastAsia="SimSun"/>
          <w:sz w:val="22"/>
          <w:szCs w:val="22"/>
          <w:lang w:val="sr-Latn-ME"/>
        </w:rPr>
        <w:t>ene ispitivanog l</w:t>
      </w:r>
      <w:r w:rsidR="00B37173" w:rsidRPr="00801AFD">
        <w:rPr>
          <w:rFonts w:eastAsia="SimSun"/>
          <w:sz w:val="22"/>
          <w:szCs w:val="22"/>
          <w:lang w:val="sr-Latn-ME"/>
        </w:rPr>
        <w:t>ij</w:t>
      </w:r>
      <w:r w:rsidRPr="00801AFD">
        <w:rPr>
          <w:rFonts w:eastAsia="SimSun"/>
          <w:sz w:val="22"/>
          <w:szCs w:val="22"/>
          <w:lang w:val="sr-Latn-ME"/>
        </w:rPr>
        <w:t>eka planiran je 2 ned</w:t>
      </w:r>
      <w:r w:rsidR="00B37173" w:rsidRPr="00801AFD">
        <w:rPr>
          <w:rFonts w:eastAsia="SimSun"/>
          <w:sz w:val="22"/>
          <w:szCs w:val="22"/>
          <w:lang w:val="sr-Latn-ME"/>
        </w:rPr>
        <w:t>j</w:t>
      </w:r>
      <w:r w:rsidRPr="00801AFD">
        <w:rPr>
          <w:rFonts w:eastAsia="SimSun"/>
          <w:sz w:val="22"/>
          <w:szCs w:val="22"/>
          <w:lang w:val="sr-Latn-ME"/>
        </w:rPr>
        <w:t>elje nakon posl</w:t>
      </w:r>
      <w:r w:rsidR="00B37173" w:rsidRPr="00801AFD">
        <w:rPr>
          <w:rFonts w:eastAsia="SimSun"/>
          <w:sz w:val="22"/>
          <w:szCs w:val="22"/>
          <w:lang w:val="sr-Latn-ME"/>
        </w:rPr>
        <w:t>j</w:t>
      </w:r>
      <w:r w:rsidRPr="00801AFD">
        <w:rPr>
          <w:rFonts w:eastAsia="SimSun"/>
          <w:sz w:val="22"/>
          <w:szCs w:val="22"/>
          <w:lang w:val="sr-Latn-ME"/>
        </w:rPr>
        <w:t>ednje doze ekulizumaba.</w:t>
      </w:r>
    </w:p>
    <w:p w14:paraId="4956128D" w14:textId="77777777" w:rsidR="00EF0C21" w:rsidRPr="00801AFD" w:rsidRDefault="00EF0C21" w:rsidP="00801AFD">
      <w:pPr>
        <w:widowControl w:val="0"/>
        <w:tabs>
          <w:tab w:val="left" w:pos="567"/>
        </w:tabs>
        <w:jc w:val="both"/>
        <w:rPr>
          <w:rFonts w:eastAsia="SimSun"/>
          <w:sz w:val="22"/>
          <w:szCs w:val="22"/>
          <w:lang w:val="sr-Latn-ME"/>
        </w:rPr>
      </w:pPr>
    </w:p>
    <w:p w14:paraId="62AB9C5C" w14:textId="77777777" w:rsidR="00AE01FC" w:rsidRPr="00801AFD" w:rsidRDefault="00EF0C21" w:rsidP="00801AFD">
      <w:pPr>
        <w:widowControl w:val="0"/>
        <w:tabs>
          <w:tab w:val="left" w:pos="567"/>
        </w:tabs>
        <w:autoSpaceDE w:val="0"/>
        <w:autoSpaceDN w:val="0"/>
        <w:adjustRightInd w:val="0"/>
        <w:jc w:val="both"/>
        <w:rPr>
          <w:rFonts w:eastAsia="SimSun"/>
          <w:sz w:val="22"/>
          <w:szCs w:val="22"/>
          <w:lang w:val="sr-Latn-ME"/>
        </w:rPr>
      </w:pPr>
      <w:r w:rsidRPr="00801AFD">
        <w:rPr>
          <w:rFonts w:eastAsia="SimSun"/>
          <w:sz w:val="22"/>
          <w:szCs w:val="22"/>
          <w:lang w:val="sr-Latn-ME"/>
        </w:rPr>
        <w:t xml:space="preserve">Režimom doziranja ravulizumaba zasnovanom na tjelesnoj </w:t>
      </w:r>
      <w:r w:rsidR="000B577C" w:rsidRPr="00801AFD">
        <w:rPr>
          <w:rFonts w:eastAsia="SimSun"/>
          <w:sz w:val="22"/>
          <w:szCs w:val="22"/>
          <w:lang w:val="sr-Latn-ME"/>
        </w:rPr>
        <w:t xml:space="preserve">težini </w:t>
      </w:r>
      <w:r w:rsidRPr="00801AFD">
        <w:rPr>
          <w:rFonts w:eastAsia="SimSun"/>
          <w:sz w:val="22"/>
          <w:szCs w:val="22"/>
          <w:lang w:val="sr-Latn-ME"/>
        </w:rPr>
        <w:t>postignuta je brza, potpuna i održiva inhibicija završnog puta sistema komplementa tokom 26</w:t>
      </w:r>
      <w:r w:rsidRPr="00801AFD">
        <w:rPr>
          <w:rFonts w:eastAsia="SimSun"/>
          <w:sz w:val="22"/>
          <w:szCs w:val="22"/>
          <w:lang w:val="sr-Latn-ME"/>
        </w:rPr>
        <w:noBreakHyphen/>
        <w:t>ned</w:t>
      </w:r>
      <w:r w:rsidR="00B37173" w:rsidRPr="00801AFD">
        <w:rPr>
          <w:rFonts w:eastAsia="SimSun"/>
          <w:sz w:val="22"/>
          <w:szCs w:val="22"/>
          <w:lang w:val="sr-Latn-ME"/>
        </w:rPr>
        <w:t>j</w:t>
      </w:r>
      <w:r w:rsidRPr="00801AFD">
        <w:rPr>
          <w:rFonts w:eastAsia="SimSun"/>
          <w:sz w:val="22"/>
          <w:szCs w:val="22"/>
          <w:lang w:val="sr-Latn-ME"/>
        </w:rPr>
        <w:t>eljnog perioda primarne evaluacije bez obzira na prethodno iskustvo sa ekulizumabom. Nakon započetog l</w:t>
      </w:r>
      <w:r w:rsidR="00B37173" w:rsidRPr="00801AFD">
        <w:rPr>
          <w:rFonts w:eastAsia="SimSun"/>
          <w:sz w:val="22"/>
          <w:szCs w:val="22"/>
          <w:lang w:val="sr-Latn-ME"/>
        </w:rPr>
        <w:t>ij</w:t>
      </w:r>
      <w:r w:rsidRPr="00801AFD">
        <w:rPr>
          <w:rFonts w:eastAsia="SimSun"/>
          <w:sz w:val="22"/>
          <w:szCs w:val="22"/>
          <w:lang w:val="sr-Latn-ME"/>
        </w:rPr>
        <w:t>ečenja ravulizumabom, terapijske koncentracije ravulizumaba u serumu u stanju dinamičke ravnoteže postignute su odmah nakon prim</w:t>
      </w:r>
      <w:r w:rsidR="00B37173" w:rsidRPr="00801AFD">
        <w:rPr>
          <w:rFonts w:eastAsia="SimSun"/>
          <w:sz w:val="22"/>
          <w:szCs w:val="22"/>
          <w:lang w:val="sr-Latn-ME"/>
        </w:rPr>
        <w:t>j</w:t>
      </w:r>
      <w:r w:rsidRPr="00801AFD">
        <w:rPr>
          <w:rFonts w:eastAsia="SimSun"/>
          <w:sz w:val="22"/>
          <w:szCs w:val="22"/>
          <w:lang w:val="sr-Latn-ME"/>
        </w:rPr>
        <w:t>ene prve doze i održale su se tokom c</w:t>
      </w:r>
      <w:r w:rsidR="00B37173" w:rsidRPr="00801AFD">
        <w:rPr>
          <w:rFonts w:eastAsia="SimSun"/>
          <w:sz w:val="22"/>
          <w:szCs w:val="22"/>
          <w:lang w:val="sr-Latn-ME"/>
        </w:rPr>
        <w:t>ij</w:t>
      </w:r>
      <w:r w:rsidRPr="00801AFD">
        <w:rPr>
          <w:rFonts w:eastAsia="SimSun"/>
          <w:sz w:val="22"/>
          <w:szCs w:val="22"/>
          <w:lang w:val="sr-Latn-ME"/>
        </w:rPr>
        <w:t>elog 26</w:t>
      </w:r>
      <w:r w:rsidRPr="00801AFD">
        <w:rPr>
          <w:rFonts w:eastAsia="SimSun"/>
          <w:sz w:val="22"/>
          <w:szCs w:val="22"/>
          <w:lang w:val="sr-Latn-ME"/>
        </w:rPr>
        <w:noBreakHyphen/>
        <w:t>ned</w:t>
      </w:r>
      <w:r w:rsidR="00B37173" w:rsidRPr="00801AFD">
        <w:rPr>
          <w:rFonts w:eastAsia="SimSun"/>
          <w:sz w:val="22"/>
          <w:szCs w:val="22"/>
          <w:lang w:val="sr-Latn-ME"/>
        </w:rPr>
        <w:t>j</w:t>
      </w:r>
      <w:r w:rsidRPr="00801AFD">
        <w:rPr>
          <w:rFonts w:eastAsia="SimSun"/>
          <w:sz w:val="22"/>
          <w:szCs w:val="22"/>
          <w:lang w:val="sr-Latn-ME"/>
        </w:rPr>
        <w:t>eljnog perioda primarne evaluacije u ob</w:t>
      </w:r>
      <w:r w:rsidR="00B37173" w:rsidRPr="00801AFD">
        <w:rPr>
          <w:rFonts w:eastAsia="SimSun"/>
          <w:sz w:val="22"/>
          <w:szCs w:val="22"/>
          <w:lang w:val="sr-Latn-ME"/>
        </w:rPr>
        <w:t>ij</w:t>
      </w:r>
      <w:r w:rsidRPr="00801AFD">
        <w:rPr>
          <w:rFonts w:eastAsia="SimSun"/>
          <w:sz w:val="22"/>
          <w:szCs w:val="22"/>
          <w:lang w:val="sr-Latn-ME"/>
        </w:rPr>
        <w:t>e kohorte. U studiji ni</w:t>
      </w:r>
      <w:r w:rsidR="00B37173" w:rsidRPr="00801AFD">
        <w:rPr>
          <w:rFonts w:eastAsia="SimSun"/>
          <w:sz w:val="22"/>
          <w:szCs w:val="22"/>
          <w:lang w:val="sr-Latn-ME"/>
        </w:rPr>
        <w:t>je</w:t>
      </w:r>
      <w:r w:rsidRPr="00801AFD">
        <w:rPr>
          <w:rFonts w:eastAsia="SimSun"/>
          <w:sz w:val="22"/>
          <w:szCs w:val="22"/>
          <w:lang w:val="sr-Latn-ME"/>
        </w:rPr>
        <w:t>su zab</w:t>
      </w:r>
      <w:r w:rsidR="00B37173" w:rsidRPr="00801AFD">
        <w:rPr>
          <w:rFonts w:eastAsia="SimSun"/>
          <w:sz w:val="22"/>
          <w:szCs w:val="22"/>
          <w:lang w:val="sr-Latn-ME"/>
        </w:rPr>
        <w:t>ilj</w:t>
      </w:r>
      <w:r w:rsidRPr="00801AFD">
        <w:rPr>
          <w:rFonts w:eastAsia="SimSun"/>
          <w:sz w:val="22"/>
          <w:szCs w:val="22"/>
          <w:lang w:val="sr-Latn-ME"/>
        </w:rPr>
        <w:t>eženi događaji probojne hemolize, a nakon početka studije ni kod jednog pacijenta koncentracije slobodnog C5 ni</w:t>
      </w:r>
      <w:r w:rsidR="00B37173" w:rsidRPr="00801AFD">
        <w:rPr>
          <w:rFonts w:eastAsia="SimSun"/>
          <w:sz w:val="22"/>
          <w:szCs w:val="22"/>
          <w:lang w:val="sr-Latn-ME"/>
        </w:rPr>
        <w:t>je</w:t>
      </w:r>
      <w:r w:rsidRPr="00801AFD">
        <w:rPr>
          <w:rFonts w:eastAsia="SimSun"/>
          <w:sz w:val="22"/>
          <w:szCs w:val="22"/>
          <w:lang w:val="sr-Latn-ME"/>
        </w:rPr>
        <w:t>su bile iznad 0,5 µg/m</w:t>
      </w:r>
      <w:r w:rsidR="00B37173" w:rsidRPr="00801AFD">
        <w:rPr>
          <w:rFonts w:eastAsia="SimSun"/>
          <w:sz w:val="22"/>
          <w:szCs w:val="22"/>
          <w:lang w:val="sr-Latn-ME"/>
        </w:rPr>
        <w:t>l</w:t>
      </w:r>
      <w:r w:rsidRPr="00801AFD">
        <w:rPr>
          <w:rFonts w:eastAsia="SimSun"/>
          <w:sz w:val="22"/>
          <w:szCs w:val="22"/>
          <w:lang w:val="sr-Latn-ME"/>
        </w:rPr>
        <w:t xml:space="preserve">. </w:t>
      </w:r>
    </w:p>
    <w:p w14:paraId="212C4EF8" w14:textId="77777777" w:rsidR="00AE01FC" w:rsidRPr="00801AFD" w:rsidRDefault="00AE01FC" w:rsidP="00801AFD">
      <w:pPr>
        <w:widowControl w:val="0"/>
        <w:tabs>
          <w:tab w:val="left" w:pos="567"/>
        </w:tabs>
        <w:autoSpaceDE w:val="0"/>
        <w:autoSpaceDN w:val="0"/>
        <w:adjustRightInd w:val="0"/>
        <w:jc w:val="both"/>
        <w:rPr>
          <w:rFonts w:eastAsia="SimSun"/>
          <w:sz w:val="22"/>
          <w:szCs w:val="22"/>
          <w:lang w:val="sr-Latn-ME"/>
        </w:rPr>
      </w:pPr>
    </w:p>
    <w:p w14:paraId="061289B6" w14:textId="49AD874C" w:rsidR="00EF0C21" w:rsidRPr="00801AFD" w:rsidRDefault="00EF0C21" w:rsidP="00801AFD">
      <w:pPr>
        <w:widowControl w:val="0"/>
        <w:tabs>
          <w:tab w:val="left" w:pos="567"/>
        </w:tabs>
        <w:autoSpaceDE w:val="0"/>
        <w:autoSpaceDN w:val="0"/>
        <w:adjustRightInd w:val="0"/>
        <w:jc w:val="both"/>
        <w:rPr>
          <w:rFonts w:eastAsia="SimSun"/>
          <w:sz w:val="22"/>
          <w:szCs w:val="22"/>
          <w:lang w:val="sr-Latn-ME"/>
        </w:rPr>
      </w:pPr>
      <w:r w:rsidRPr="00801AFD">
        <w:rPr>
          <w:rFonts w:eastAsia="SimSun"/>
          <w:sz w:val="22"/>
          <w:szCs w:val="22"/>
          <w:lang w:val="sr-Latn-ME"/>
        </w:rPr>
        <w:t>Srednja vr</w:t>
      </w:r>
      <w:r w:rsidR="00B37173" w:rsidRPr="00801AFD">
        <w:rPr>
          <w:rFonts w:eastAsia="SimSun"/>
          <w:sz w:val="22"/>
          <w:szCs w:val="22"/>
          <w:lang w:val="sr-Latn-ME"/>
        </w:rPr>
        <w:t>ij</w:t>
      </w:r>
      <w:r w:rsidRPr="00801AFD">
        <w:rPr>
          <w:rFonts w:eastAsia="SimSun"/>
          <w:sz w:val="22"/>
          <w:szCs w:val="22"/>
          <w:lang w:val="sr-Latn-ME"/>
        </w:rPr>
        <w:t>ednost procentualne prom</w:t>
      </w:r>
      <w:r w:rsidR="00B37173" w:rsidRPr="00801AFD">
        <w:rPr>
          <w:rFonts w:eastAsia="SimSun"/>
          <w:sz w:val="22"/>
          <w:szCs w:val="22"/>
          <w:lang w:val="sr-Latn-ME"/>
        </w:rPr>
        <w:t>j</w:t>
      </w:r>
      <w:r w:rsidRPr="00801AFD">
        <w:rPr>
          <w:rFonts w:eastAsia="SimSun"/>
          <w:sz w:val="22"/>
          <w:szCs w:val="22"/>
          <w:lang w:val="sr-Latn-ME"/>
        </w:rPr>
        <w:t>ene LDH u odnosu na početnu iznosila je -47,91 % 183. dana u kohorti koja prethodno nije primala inhibitor sastava komplementa i ostala je stabilna u kohorti koja je prethodno primala ekulizumab tokom  26</w:t>
      </w:r>
      <w:r w:rsidRPr="00801AFD">
        <w:rPr>
          <w:rFonts w:eastAsia="SimSun"/>
          <w:sz w:val="22"/>
          <w:szCs w:val="22"/>
          <w:lang w:val="sr-Latn-ME"/>
        </w:rPr>
        <w:noBreakHyphen/>
        <w:t>ned</w:t>
      </w:r>
      <w:r w:rsidR="00B37173" w:rsidRPr="00801AFD">
        <w:rPr>
          <w:rFonts w:eastAsia="SimSun"/>
          <w:sz w:val="22"/>
          <w:szCs w:val="22"/>
          <w:lang w:val="sr-Latn-ME"/>
        </w:rPr>
        <w:t>j</w:t>
      </w:r>
      <w:r w:rsidRPr="00801AFD">
        <w:rPr>
          <w:rFonts w:eastAsia="SimSun"/>
          <w:sz w:val="22"/>
          <w:szCs w:val="22"/>
          <w:lang w:val="sr-Latn-ME"/>
        </w:rPr>
        <w:t>eljnog perioda primarne evaluacije. Do 26. ned</w:t>
      </w:r>
      <w:r w:rsidR="00B37173" w:rsidRPr="00801AFD">
        <w:rPr>
          <w:rFonts w:eastAsia="SimSun"/>
          <w:sz w:val="22"/>
          <w:szCs w:val="22"/>
          <w:lang w:val="sr-Latn-ME"/>
        </w:rPr>
        <w:t>j</w:t>
      </w:r>
      <w:r w:rsidRPr="00801AFD">
        <w:rPr>
          <w:rFonts w:eastAsia="SimSun"/>
          <w:sz w:val="22"/>
          <w:szCs w:val="22"/>
          <w:lang w:val="sr-Latn-ME"/>
        </w:rPr>
        <w:t>elje stabilizaciju hemoglobina postiglo je 60 % (3/5) pacijenata koji prethodno ni</w:t>
      </w:r>
      <w:r w:rsidR="00B37173" w:rsidRPr="00801AFD">
        <w:rPr>
          <w:rFonts w:eastAsia="SimSun"/>
          <w:sz w:val="22"/>
          <w:szCs w:val="22"/>
          <w:lang w:val="sr-Latn-ME"/>
        </w:rPr>
        <w:t>je</w:t>
      </w:r>
      <w:r w:rsidRPr="00801AFD">
        <w:rPr>
          <w:rFonts w:eastAsia="SimSun"/>
          <w:sz w:val="22"/>
          <w:szCs w:val="22"/>
          <w:lang w:val="sr-Latn-ME"/>
        </w:rPr>
        <w:t>su primali inhibitor komplementa i 75 % (6/8) pacijenata koji su prethodno primali ekulizumab. Tokom 26</w:t>
      </w:r>
      <w:r w:rsidRPr="00801AFD">
        <w:rPr>
          <w:rFonts w:eastAsia="SimSun"/>
          <w:sz w:val="22"/>
          <w:szCs w:val="22"/>
          <w:lang w:val="sr-Latn-ME"/>
        </w:rPr>
        <w:noBreakHyphen/>
        <w:t>ned</w:t>
      </w:r>
      <w:r w:rsidR="00B37173" w:rsidRPr="00801AFD">
        <w:rPr>
          <w:rFonts w:eastAsia="SimSun"/>
          <w:sz w:val="22"/>
          <w:szCs w:val="22"/>
          <w:lang w:val="sr-Latn-ME"/>
        </w:rPr>
        <w:t>j</w:t>
      </w:r>
      <w:r w:rsidRPr="00801AFD">
        <w:rPr>
          <w:rFonts w:eastAsia="SimSun"/>
          <w:sz w:val="22"/>
          <w:szCs w:val="22"/>
          <w:lang w:val="sr-Latn-ME"/>
        </w:rPr>
        <w:t>eljnog perioda primarne evaluacije, transfuzija je izb</w:t>
      </w:r>
      <w:r w:rsidR="00B37173" w:rsidRPr="00801AFD">
        <w:rPr>
          <w:rFonts w:eastAsia="SimSun"/>
          <w:sz w:val="22"/>
          <w:szCs w:val="22"/>
          <w:lang w:val="sr-Latn-ME"/>
        </w:rPr>
        <w:t>j</w:t>
      </w:r>
      <w:r w:rsidRPr="00801AFD">
        <w:rPr>
          <w:rFonts w:eastAsia="SimSun"/>
          <w:sz w:val="22"/>
          <w:szCs w:val="22"/>
          <w:lang w:val="sr-Latn-ME"/>
        </w:rPr>
        <w:t xml:space="preserve">egnuta u 84,6 % (11/13) pacijenata. </w:t>
      </w:r>
    </w:p>
    <w:p w14:paraId="1039C078" w14:textId="3C64BB21" w:rsidR="00EF0C21" w:rsidRPr="00801AFD" w:rsidRDefault="00EF0C21" w:rsidP="00801AFD">
      <w:pPr>
        <w:widowControl w:val="0"/>
        <w:tabs>
          <w:tab w:val="left" w:pos="567"/>
        </w:tabs>
        <w:autoSpaceDE w:val="0"/>
        <w:autoSpaceDN w:val="0"/>
        <w:adjustRightInd w:val="0"/>
        <w:jc w:val="both"/>
        <w:rPr>
          <w:rFonts w:eastAsia="SimSun"/>
          <w:sz w:val="22"/>
          <w:szCs w:val="22"/>
          <w:lang w:val="sr-Latn-ME"/>
        </w:rPr>
      </w:pPr>
      <w:r w:rsidRPr="00801AFD">
        <w:rPr>
          <w:rFonts w:eastAsia="SimSun"/>
          <w:sz w:val="22"/>
          <w:szCs w:val="22"/>
          <w:lang w:val="sr-Latn-ME"/>
        </w:rPr>
        <w:t xml:space="preserve">Privremeni rezultati efikasnosti prikazani su u </w:t>
      </w:r>
      <w:r w:rsidR="00B37173" w:rsidRPr="00801AFD">
        <w:rPr>
          <w:rFonts w:eastAsia="SimSun"/>
          <w:sz w:val="22"/>
          <w:szCs w:val="22"/>
          <w:lang w:val="sr-Latn-ME"/>
        </w:rPr>
        <w:t>T</w:t>
      </w:r>
      <w:r w:rsidRPr="00801AFD">
        <w:rPr>
          <w:rFonts w:eastAsia="SimSun"/>
          <w:sz w:val="22"/>
          <w:szCs w:val="22"/>
          <w:lang w:val="sr-Latn-ME"/>
        </w:rPr>
        <w:t>abeli </w:t>
      </w:r>
      <w:r w:rsidR="00D0032C" w:rsidRPr="00801AFD">
        <w:rPr>
          <w:rFonts w:eastAsia="SimSun"/>
          <w:sz w:val="22"/>
          <w:szCs w:val="22"/>
          <w:lang w:val="sr-Latn-ME"/>
        </w:rPr>
        <w:t xml:space="preserve">21 </w:t>
      </w:r>
      <w:r w:rsidRPr="00801AFD">
        <w:rPr>
          <w:rFonts w:eastAsia="SimSun"/>
          <w:sz w:val="22"/>
          <w:szCs w:val="22"/>
          <w:lang w:val="sr-Latn-ME"/>
        </w:rPr>
        <w:t>u nastavku.</w:t>
      </w:r>
    </w:p>
    <w:p w14:paraId="12997BA9" w14:textId="77777777" w:rsidR="00EF0C21" w:rsidRPr="00801AFD" w:rsidRDefault="00EF0C21" w:rsidP="00801AFD">
      <w:pPr>
        <w:widowControl w:val="0"/>
        <w:tabs>
          <w:tab w:val="left" w:pos="567"/>
        </w:tabs>
        <w:autoSpaceDE w:val="0"/>
        <w:autoSpaceDN w:val="0"/>
        <w:adjustRightInd w:val="0"/>
        <w:jc w:val="both"/>
        <w:rPr>
          <w:rFonts w:eastAsia="SimSun"/>
          <w:sz w:val="22"/>
          <w:szCs w:val="22"/>
          <w:lang w:val="sr-Latn-ME"/>
        </w:rPr>
      </w:pPr>
    </w:p>
    <w:p w14:paraId="2285EB1A" w14:textId="72BF5151" w:rsidR="00EF0C21" w:rsidRPr="00801AFD" w:rsidRDefault="00EF0C21" w:rsidP="00801AFD">
      <w:pPr>
        <w:pStyle w:val="Default"/>
        <w:widowControl w:val="0"/>
        <w:jc w:val="both"/>
        <w:rPr>
          <w:b/>
          <w:bCs/>
          <w:sz w:val="22"/>
          <w:szCs w:val="22"/>
          <w:lang w:val="sr-Latn-ME"/>
        </w:rPr>
      </w:pPr>
      <w:r w:rsidRPr="00801AFD">
        <w:rPr>
          <w:b/>
          <w:bCs/>
          <w:sz w:val="22"/>
          <w:szCs w:val="22"/>
          <w:lang w:val="sr-Latn-ME"/>
        </w:rPr>
        <w:t xml:space="preserve">Tabela </w:t>
      </w:r>
      <w:r w:rsidR="00D0032C" w:rsidRPr="00801AFD">
        <w:rPr>
          <w:b/>
          <w:bCs/>
          <w:sz w:val="22"/>
          <w:szCs w:val="22"/>
          <w:lang w:val="sr-Latn-ME"/>
        </w:rPr>
        <w:t>21</w:t>
      </w:r>
      <w:r w:rsidRPr="00801AFD">
        <w:rPr>
          <w:b/>
          <w:bCs/>
          <w:sz w:val="22"/>
          <w:szCs w:val="22"/>
          <w:lang w:val="sr-Latn-ME"/>
        </w:rPr>
        <w:t>:</w:t>
      </w:r>
      <w:r w:rsidR="00AF1502" w:rsidRPr="00801AFD">
        <w:rPr>
          <w:b/>
          <w:bCs/>
          <w:sz w:val="22"/>
          <w:szCs w:val="22"/>
          <w:lang w:val="sr-Latn-ME"/>
        </w:rPr>
        <w:t xml:space="preserve"> </w:t>
      </w:r>
      <w:r w:rsidR="00903D56" w:rsidRPr="00801AFD">
        <w:rPr>
          <w:b/>
          <w:bCs/>
          <w:sz w:val="22"/>
          <w:szCs w:val="22"/>
          <w:lang w:val="sr-Latn-ME"/>
        </w:rPr>
        <w:t>R</w:t>
      </w:r>
      <w:r w:rsidRPr="00801AFD">
        <w:rPr>
          <w:b/>
          <w:bCs/>
          <w:sz w:val="22"/>
          <w:szCs w:val="22"/>
          <w:lang w:val="sr-Latn-ME"/>
        </w:rPr>
        <w:t>ezultati efikasnosti u pedijatrijskoj studiji PNH a (ALXN1210 PNH 304) - 26 ned</w:t>
      </w:r>
      <w:r w:rsidR="0044628F" w:rsidRPr="00801AFD">
        <w:rPr>
          <w:b/>
          <w:bCs/>
          <w:sz w:val="22"/>
          <w:szCs w:val="22"/>
          <w:lang w:val="sr-Latn-ME"/>
        </w:rPr>
        <w:t>j</w:t>
      </w:r>
      <w:r w:rsidRPr="00801AFD">
        <w:rPr>
          <w:b/>
          <w:bCs/>
          <w:sz w:val="22"/>
          <w:szCs w:val="22"/>
          <w:lang w:val="sr-Latn-ME"/>
        </w:rPr>
        <w:t>eljni period primarne evaluacije</w:t>
      </w:r>
    </w:p>
    <w:p w14:paraId="3633FD62" w14:textId="77777777" w:rsidR="00EF0C21" w:rsidRPr="00801AFD" w:rsidRDefault="00EF0C21" w:rsidP="00801AFD">
      <w:pPr>
        <w:pStyle w:val="Default"/>
        <w:widowControl w:val="0"/>
        <w:jc w:val="both"/>
        <w:rPr>
          <w:b/>
          <w:bCs/>
          <w:sz w:val="22"/>
          <w:szCs w:val="22"/>
          <w:lang w:val="sr-Latn-ME"/>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021"/>
        <w:gridCol w:w="2159"/>
        <w:gridCol w:w="2877"/>
      </w:tblGrid>
      <w:tr w:rsidR="00EF0C21" w:rsidRPr="00801AFD" w14:paraId="33371E86" w14:textId="77777777" w:rsidTr="00986850">
        <w:trPr>
          <w:trHeight w:val="283"/>
          <w:tblHeader/>
        </w:trPr>
        <w:tc>
          <w:tcPr>
            <w:tcW w:w="2220" w:type="pct"/>
          </w:tcPr>
          <w:p w14:paraId="4D965789" w14:textId="2D51F65E" w:rsidR="00EF0C21" w:rsidRPr="00801AFD" w:rsidRDefault="00EF0C21" w:rsidP="00801AFD">
            <w:pPr>
              <w:widowControl w:val="0"/>
              <w:jc w:val="both"/>
              <w:rPr>
                <w:rFonts w:eastAsia="SimSun"/>
                <w:b/>
                <w:sz w:val="22"/>
                <w:szCs w:val="22"/>
                <w:lang w:val="sr-Latn-ME"/>
              </w:rPr>
            </w:pPr>
            <w:r w:rsidRPr="00801AFD">
              <w:rPr>
                <w:rFonts w:eastAsia="SimSun"/>
                <w:b/>
                <w:sz w:val="22"/>
                <w:szCs w:val="22"/>
                <w:lang w:val="sr-Latn-ME"/>
              </w:rPr>
              <w:t>M</w:t>
            </w:r>
            <w:r w:rsidR="0044628F" w:rsidRPr="00801AFD">
              <w:rPr>
                <w:rFonts w:eastAsia="SimSun"/>
                <w:b/>
                <w:sz w:val="22"/>
                <w:szCs w:val="22"/>
                <w:lang w:val="sr-Latn-ME"/>
              </w:rPr>
              <w:t>j</w:t>
            </w:r>
            <w:r w:rsidRPr="00801AFD">
              <w:rPr>
                <w:rFonts w:eastAsia="SimSun"/>
                <w:b/>
                <w:sz w:val="22"/>
                <w:szCs w:val="22"/>
                <w:lang w:val="sr-Latn-ME"/>
              </w:rPr>
              <w:t>era ishoda</w:t>
            </w:r>
          </w:p>
        </w:tc>
        <w:tc>
          <w:tcPr>
            <w:tcW w:w="1192" w:type="pct"/>
          </w:tcPr>
          <w:p w14:paraId="1BA8F0D9" w14:textId="114926A5" w:rsidR="00EF0C21" w:rsidRPr="00801AFD" w:rsidRDefault="00EF0C21" w:rsidP="00801AFD">
            <w:pPr>
              <w:widowControl w:val="0"/>
              <w:jc w:val="center"/>
              <w:rPr>
                <w:rFonts w:eastAsia="SimSun"/>
                <w:b/>
                <w:sz w:val="22"/>
                <w:szCs w:val="22"/>
                <w:lang w:val="sr-Latn-ME"/>
              </w:rPr>
            </w:pPr>
            <w:r w:rsidRPr="00801AFD">
              <w:rPr>
                <w:rFonts w:eastAsia="SimSun"/>
                <w:b/>
                <w:sz w:val="22"/>
                <w:szCs w:val="22"/>
                <w:lang w:val="sr-Latn-ME"/>
              </w:rPr>
              <w:t>Ravulizumab</w:t>
            </w:r>
            <w:r w:rsidRPr="00801AFD">
              <w:rPr>
                <w:rFonts w:eastAsia="SimSun"/>
                <w:b/>
                <w:sz w:val="22"/>
                <w:szCs w:val="22"/>
                <w:lang w:val="sr-Latn-ME"/>
              </w:rPr>
              <w:br/>
              <w:t>(prethodno ni</w:t>
            </w:r>
            <w:r w:rsidR="0044628F" w:rsidRPr="00801AFD">
              <w:rPr>
                <w:rFonts w:eastAsia="SimSun"/>
                <w:b/>
                <w:sz w:val="22"/>
                <w:szCs w:val="22"/>
                <w:lang w:val="sr-Latn-ME"/>
              </w:rPr>
              <w:t>je</w:t>
            </w:r>
            <w:r w:rsidRPr="00801AFD">
              <w:rPr>
                <w:rFonts w:eastAsia="SimSun"/>
                <w:b/>
                <w:sz w:val="22"/>
                <w:szCs w:val="22"/>
                <w:lang w:val="sr-Latn-ME"/>
              </w:rPr>
              <w:t>su primali, N = 5)</w:t>
            </w:r>
          </w:p>
        </w:tc>
        <w:tc>
          <w:tcPr>
            <w:tcW w:w="1588" w:type="pct"/>
          </w:tcPr>
          <w:p w14:paraId="3B2C72A6" w14:textId="77777777" w:rsidR="00EF0C21" w:rsidRPr="00801AFD" w:rsidRDefault="00EF0C21" w:rsidP="00801AFD">
            <w:pPr>
              <w:widowControl w:val="0"/>
              <w:jc w:val="center"/>
              <w:rPr>
                <w:rFonts w:eastAsia="SimSun"/>
                <w:b/>
                <w:sz w:val="22"/>
                <w:szCs w:val="22"/>
                <w:lang w:val="sr-Latn-ME"/>
              </w:rPr>
            </w:pPr>
            <w:r w:rsidRPr="00801AFD">
              <w:rPr>
                <w:rFonts w:eastAsia="SimSun"/>
                <w:b/>
                <w:sz w:val="22"/>
                <w:szCs w:val="22"/>
                <w:lang w:val="sr-Latn-ME"/>
              </w:rPr>
              <w:t>Ravulizumab</w:t>
            </w:r>
            <w:r w:rsidRPr="00801AFD">
              <w:rPr>
                <w:rFonts w:eastAsia="SimSun"/>
                <w:b/>
                <w:sz w:val="22"/>
                <w:szCs w:val="22"/>
                <w:lang w:val="sr-Latn-ME"/>
              </w:rPr>
              <w:br/>
              <w:t>(prelaz, N = 8)</w:t>
            </w:r>
          </w:p>
        </w:tc>
      </w:tr>
      <w:tr w:rsidR="00EF0C21" w:rsidRPr="00801AFD" w14:paraId="52730B16" w14:textId="77777777" w:rsidTr="00986850">
        <w:trPr>
          <w:trHeight w:val="283"/>
        </w:trPr>
        <w:tc>
          <w:tcPr>
            <w:tcW w:w="2220" w:type="pct"/>
          </w:tcPr>
          <w:p w14:paraId="649ADAD0" w14:textId="045401A4" w:rsidR="00EF0C21" w:rsidRPr="00801AFD" w:rsidRDefault="00EF0C21" w:rsidP="00801AFD">
            <w:pPr>
              <w:widowControl w:val="0"/>
              <w:jc w:val="both"/>
              <w:rPr>
                <w:rFonts w:eastAsia="SimSun"/>
                <w:sz w:val="22"/>
                <w:szCs w:val="22"/>
                <w:lang w:val="sr-Latn-ME" w:eastAsia="en-IE"/>
              </w:rPr>
            </w:pPr>
            <w:r w:rsidRPr="00801AFD">
              <w:rPr>
                <w:rFonts w:eastAsia="SimSun"/>
                <w:sz w:val="22"/>
                <w:szCs w:val="22"/>
                <w:lang w:val="sr-Latn-ME" w:eastAsia="en-IE"/>
              </w:rPr>
              <w:t>LDH- procentualna prom</w:t>
            </w:r>
            <w:r w:rsidR="0044628F" w:rsidRPr="00801AFD">
              <w:rPr>
                <w:rFonts w:eastAsia="SimSun"/>
                <w:sz w:val="22"/>
                <w:szCs w:val="22"/>
                <w:lang w:val="sr-Latn-ME" w:eastAsia="en-IE"/>
              </w:rPr>
              <w:t>j</w:t>
            </w:r>
            <w:r w:rsidRPr="00801AFD">
              <w:rPr>
                <w:rFonts w:eastAsia="SimSun"/>
                <w:sz w:val="22"/>
                <w:szCs w:val="22"/>
                <w:lang w:val="sr-Latn-ME" w:eastAsia="en-IE"/>
              </w:rPr>
              <w:t>ena u odnosu na početak</w:t>
            </w:r>
          </w:p>
          <w:p w14:paraId="23C93920" w14:textId="46C4BBE1" w:rsidR="00EF0C21" w:rsidRPr="00801AFD" w:rsidRDefault="00EF0C21" w:rsidP="00801AFD">
            <w:pPr>
              <w:widowControl w:val="0"/>
              <w:ind w:firstLine="142"/>
              <w:jc w:val="both"/>
              <w:rPr>
                <w:rFonts w:eastAsia="SimSun"/>
                <w:sz w:val="22"/>
                <w:szCs w:val="22"/>
                <w:lang w:val="sr-Latn-ME" w:eastAsia="en-IE"/>
              </w:rPr>
            </w:pPr>
            <w:r w:rsidRPr="00801AFD">
              <w:rPr>
                <w:rFonts w:eastAsia="SimSun"/>
                <w:sz w:val="22"/>
                <w:szCs w:val="22"/>
                <w:lang w:val="sr-Latn-ME" w:eastAsia="en-IE"/>
              </w:rPr>
              <w:t>Srednja vr</w:t>
            </w:r>
            <w:r w:rsidR="0044628F" w:rsidRPr="00801AFD">
              <w:rPr>
                <w:rFonts w:eastAsia="SimSun"/>
                <w:sz w:val="22"/>
                <w:szCs w:val="22"/>
                <w:lang w:val="sr-Latn-ME" w:eastAsia="en-IE"/>
              </w:rPr>
              <w:t>ij</w:t>
            </w:r>
            <w:r w:rsidRPr="00801AFD">
              <w:rPr>
                <w:rFonts w:eastAsia="SimSun"/>
                <w:sz w:val="22"/>
                <w:szCs w:val="22"/>
                <w:lang w:val="sr-Latn-ME" w:eastAsia="en-IE"/>
              </w:rPr>
              <w:t>ednost (SD)</w:t>
            </w:r>
          </w:p>
        </w:tc>
        <w:tc>
          <w:tcPr>
            <w:tcW w:w="1192" w:type="pct"/>
          </w:tcPr>
          <w:p w14:paraId="79A1591D" w14:textId="77777777" w:rsidR="00EF0C21" w:rsidRPr="00801AFD" w:rsidRDefault="00EF0C21" w:rsidP="00801AFD">
            <w:pPr>
              <w:widowControl w:val="0"/>
              <w:jc w:val="center"/>
              <w:rPr>
                <w:rFonts w:eastAsia="SimSun"/>
                <w:sz w:val="22"/>
                <w:szCs w:val="22"/>
                <w:lang w:val="sr-Latn-ME" w:eastAsia="en-IE"/>
              </w:rPr>
            </w:pPr>
          </w:p>
          <w:p w14:paraId="3DE49B3B" w14:textId="77777777" w:rsidR="00EF0C21" w:rsidRPr="00801AFD" w:rsidRDefault="00EF0C21" w:rsidP="00801AFD">
            <w:pPr>
              <w:widowControl w:val="0"/>
              <w:jc w:val="center"/>
              <w:rPr>
                <w:rFonts w:eastAsia="SimSun"/>
                <w:sz w:val="22"/>
                <w:szCs w:val="22"/>
                <w:lang w:val="sr-Latn-ME" w:eastAsia="en-IE"/>
              </w:rPr>
            </w:pPr>
          </w:p>
          <w:p w14:paraId="0623FD48" w14:textId="5D92FC89" w:rsidR="00EF0C21" w:rsidRPr="00801AFD" w:rsidRDefault="00EF0C21" w:rsidP="00801AFD">
            <w:pPr>
              <w:widowControl w:val="0"/>
              <w:jc w:val="center"/>
              <w:rPr>
                <w:rFonts w:eastAsia="SimSun"/>
                <w:sz w:val="22"/>
                <w:szCs w:val="22"/>
                <w:lang w:val="sr-Latn-ME" w:eastAsia="en-IE"/>
              </w:rPr>
            </w:pPr>
            <w:r w:rsidRPr="00801AFD">
              <w:rPr>
                <w:rFonts w:eastAsia="SimSun"/>
                <w:sz w:val="22"/>
                <w:szCs w:val="22"/>
                <w:lang w:val="sr-Latn-ME" w:eastAsia="en-IE"/>
              </w:rPr>
              <w:t>-47,91 (52,716)</w:t>
            </w:r>
          </w:p>
        </w:tc>
        <w:tc>
          <w:tcPr>
            <w:tcW w:w="1588" w:type="pct"/>
          </w:tcPr>
          <w:p w14:paraId="2DB85447" w14:textId="77777777" w:rsidR="00EF0C21" w:rsidRPr="00801AFD" w:rsidRDefault="00EF0C21" w:rsidP="00801AFD">
            <w:pPr>
              <w:widowControl w:val="0"/>
              <w:jc w:val="center"/>
              <w:rPr>
                <w:rFonts w:eastAsia="SimSun"/>
                <w:sz w:val="22"/>
                <w:szCs w:val="22"/>
                <w:lang w:val="sr-Latn-ME" w:eastAsia="en-IE"/>
              </w:rPr>
            </w:pPr>
          </w:p>
          <w:p w14:paraId="1385E636" w14:textId="77777777" w:rsidR="00EF0C21" w:rsidRPr="00801AFD" w:rsidRDefault="00EF0C21" w:rsidP="00801AFD">
            <w:pPr>
              <w:widowControl w:val="0"/>
              <w:jc w:val="center"/>
              <w:rPr>
                <w:rFonts w:eastAsia="SimSun"/>
                <w:sz w:val="22"/>
                <w:szCs w:val="22"/>
                <w:lang w:val="sr-Latn-ME" w:eastAsia="en-IE"/>
              </w:rPr>
            </w:pPr>
          </w:p>
          <w:p w14:paraId="12DD64DC" w14:textId="77777777" w:rsidR="00EF0C21" w:rsidRPr="00801AFD" w:rsidRDefault="00EF0C21" w:rsidP="00801AFD">
            <w:pPr>
              <w:widowControl w:val="0"/>
              <w:jc w:val="center"/>
              <w:rPr>
                <w:rFonts w:eastAsia="SimSun"/>
                <w:sz w:val="22"/>
                <w:szCs w:val="22"/>
                <w:lang w:val="sr-Latn-ME" w:eastAsia="en-IE"/>
              </w:rPr>
            </w:pPr>
            <w:r w:rsidRPr="00801AFD">
              <w:rPr>
                <w:rFonts w:eastAsia="SimSun"/>
                <w:sz w:val="22"/>
                <w:szCs w:val="22"/>
                <w:lang w:val="sr-Latn-ME" w:eastAsia="en-IE"/>
              </w:rPr>
              <w:t>4,65 (44,702)</w:t>
            </w:r>
          </w:p>
        </w:tc>
      </w:tr>
      <w:tr w:rsidR="00EF0C21" w:rsidRPr="00801AFD" w14:paraId="60C2BA84" w14:textId="77777777" w:rsidTr="00986850">
        <w:trPr>
          <w:trHeight w:val="283"/>
        </w:trPr>
        <w:tc>
          <w:tcPr>
            <w:tcW w:w="2220" w:type="pct"/>
          </w:tcPr>
          <w:p w14:paraId="227D298E" w14:textId="412A162B" w:rsidR="00EF0C21" w:rsidRPr="00801AFD" w:rsidRDefault="00EF0C21" w:rsidP="00801AFD">
            <w:pPr>
              <w:widowControl w:val="0"/>
              <w:jc w:val="both"/>
              <w:rPr>
                <w:rFonts w:eastAsia="SimSun"/>
                <w:sz w:val="22"/>
                <w:szCs w:val="22"/>
                <w:lang w:val="sr-Latn-ME" w:eastAsia="en-IE"/>
              </w:rPr>
            </w:pPr>
            <w:r w:rsidRPr="00801AFD">
              <w:rPr>
                <w:rFonts w:eastAsia="SimSun"/>
                <w:sz w:val="22"/>
                <w:szCs w:val="22"/>
                <w:lang w:val="sr-Latn-ME" w:eastAsia="en-IE"/>
              </w:rPr>
              <w:t>Izb</w:t>
            </w:r>
            <w:r w:rsidR="0044628F" w:rsidRPr="00801AFD">
              <w:rPr>
                <w:rFonts w:eastAsia="SimSun"/>
                <w:sz w:val="22"/>
                <w:szCs w:val="22"/>
                <w:lang w:val="sr-Latn-ME" w:eastAsia="en-IE"/>
              </w:rPr>
              <w:t>j</w:t>
            </w:r>
            <w:r w:rsidRPr="00801AFD">
              <w:rPr>
                <w:rFonts w:eastAsia="SimSun"/>
                <w:sz w:val="22"/>
                <w:szCs w:val="22"/>
                <w:lang w:val="sr-Latn-ME" w:eastAsia="en-IE"/>
              </w:rPr>
              <w:t>egavanje transfuzije</w:t>
            </w:r>
          </w:p>
          <w:p w14:paraId="36AFE8E7" w14:textId="77777777" w:rsidR="00EF0C21" w:rsidRPr="00801AFD" w:rsidRDefault="00EF0C21" w:rsidP="00801AFD">
            <w:pPr>
              <w:widowControl w:val="0"/>
              <w:ind w:firstLine="142"/>
              <w:jc w:val="both"/>
              <w:rPr>
                <w:rFonts w:eastAsia="SimSun"/>
                <w:sz w:val="22"/>
                <w:szCs w:val="22"/>
                <w:lang w:val="sr-Latn-ME" w:eastAsia="en-IE"/>
              </w:rPr>
            </w:pPr>
            <w:r w:rsidRPr="00801AFD">
              <w:rPr>
                <w:rFonts w:eastAsia="SimSun"/>
                <w:sz w:val="22"/>
                <w:szCs w:val="22"/>
                <w:lang w:val="sr-Latn-ME" w:eastAsia="en-IE"/>
              </w:rPr>
              <w:t>Procenat (95 % CI)</w:t>
            </w:r>
          </w:p>
        </w:tc>
        <w:tc>
          <w:tcPr>
            <w:tcW w:w="1192" w:type="pct"/>
          </w:tcPr>
          <w:p w14:paraId="1586C83A" w14:textId="77777777" w:rsidR="00EF0C21" w:rsidRPr="00801AFD" w:rsidRDefault="00EF0C21" w:rsidP="00801AFD">
            <w:pPr>
              <w:widowControl w:val="0"/>
              <w:jc w:val="center"/>
              <w:rPr>
                <w:rFonts w:eastAsia="SimSun"/>
                <w:sz w:val="22"/>
                <w:szCs w:val="22"/>
                <w:lang w:val="sr-Latn-ME" w:eastAsia="en-IE"/>
              </w:rPr>
            </w:pPr>
          </w:p>
          <w:p w14:paraId="6EBC1888" w14:textId="77777777" w:rsidR="00EF0C21" w:rsidRPr="00801AFD" w:rsidRDefault="00EF0C21" w:rsidP="00801AFD">
            <w:pPr>
              <w:widowControl w:val="0"/>
              <w:jc w:val="center"/>
              <w:rPr>
                <w:rFonts w:eastAsia="SimSun"/>
                <w:sz w:val="22"/>
                <w:szCs w:val="22"/>
                <w:lang w:val="sr-Latn-ME" w:eastAsia="en-IE"/>
              </w:rPr>
            </w:pPr>
            <w:r w:rsidRPr="00801AFD">
              <w:rPr>
                <w:rFonts w:eastAsia="SimSun"/>
                <w:sz w:val="22"/>
                <w:szCs w:val="22"/>
                <w:lang w:val="sr-Latn-ME" w:eastAsia="en-IE"/>
              </w:rPr>
              <w:t>60,0 (14,66; 94,73)</w:t>
            </w:r>
          </w:p>
        </w:tc>
        <w:tc>
          <w:tcPr>
            <w:tcW w:w="1588" w:type="pct"/>
          </w:tcPr>
          <w:p w14:paraId="410613D7" w14:textId="77777777" w:rsidR="00EF0C21" w:rsidRPr="00801AFD" w:rsidRDefault="00EF0C21" w:rsidP="00801AFD">
            <w:pPr>
              <w:widowControl w:val="0"/>
              <w:jc w:val="center"/>
              <w:rPr>
                <w:rFonts w:eastAsia="SimSun"/>
                <w:sz w:val="22"/>
                <w:szCs w:val="22"/>
                <w:lang w:val="sr-Latn-ME" w:eastAsia="en-IE"/>
              </w:rPr>
            </w:pPr>
          </w:p>
          <w:p w14:paraId="2133F174" w14:textId="77777777" w:rsidR="00EF0C21" w:rsidRPr="00801AFD" w:rsidRDefault="00EF0C21" w:rsidP="00801AFD">
            <w:pPr>
              <w:widowControl w:val="0"/>
              <w:jc w:val="center"/>
              <w:rPr>
                <w:rFonts w:eastAsia="SimSun"/>
                <w:sz w:val="22"/>
                <w:szCs w:val="22"/>
                <w:lang w:val="sr-Latn-ME" w:eastAsia="en-IE"/>
              </w:rPr>
            </w:pPr>
            <w:r w:rsidRPr="00801AFD">
              <w:rPr>
                <w:rFonts w:eastAsia="SimSun"/>
                <w:sz w:val="22"/>
                <w:szCs w:val="22"/>
                <w:lang w:val="sr-Latn-ME" w:eastAsia="en-IE"/>
              </w:rPr>
              <w:t>100,0 (63,06; 100,00)</w:t>
            </w:r>
          </w:p>
        </w:tc>
      </w:tr>
      <w:tr w:rsidR="00EF0C21" w:rsidRPr="00801AFD" w14:paraId="7F9EC0D5" w14:textId="77777777" w:rsidTr="00986850">
        <w:trPr>
          <w:trHeight w:val="283"/>
        </w:trPr>
        <w:tc>
          <w:tcPr>
            <w:tcW w:w="2220" w:type="pct"/>
          </w:tcPr>
          <w:p w14:paraId="297A4FD1" w14:textId="77777777" w:rsidR="00EF0C21" w:rsidRPr="00801AFD" w:rsidRDefault="00EF0C21" w:rsidP="00801AFD">
            <w:pPr>
              <w:widowControl w:val="0"/>
              <w:jc w:val="both"/>
              <w:rPr>
                <w:rFonts w:eastAsia="SimSun"/>
                <w:sz w:val="22"/>
                <w:szCs w:val="22"/>
                <w:lang w:val="sr-Latn-ME" w:eastAsia="en-IE"/>
              </w:rPr>
            </w:pPr>
            <w:r w:rsidRPr="00801AFD">
              <w:rPr>
                <w:rFonts w:eastAsia="SimSun"/>
                <w:sz w:val="22"/>
                <w:szCs w:val="22"/>
                <w:lang w:val="sr-Latn-ME" w:eastAsia="en-IE"/>
              </w:rPr>
              <w:t>Stabilizacija hemoglobina </w:t>
            </w:r>
          </w:p>
          <w:p w14:paraId="5454D40D" w14:textId="77777777" w:rsidR="00EF0C21" w:rsidRPr="00801AFD" w:rsidRDefault="00EF0C21" w:rsidP="00801AFD">
            <w:pPr>
              <w:widowControl w:val="0"/>
              <w:ind w:firstLine="142"/>
              <w:jc w:val="both"/>
              <w:rPr>
                <w:rFonts w:eastAsia="SimSun"/>
                <w:sz w:val="22"/>
                <w:szCs w:val="22"/>
                <w:lang w:val="sr-Latn-ME" w:eastAsia="en-IE"/>
              </w:rPr>
            </w:pPr>
            <w:r w:rsidRPr="00801AFD">
              <w:rPr>
                <w:rFonts w:eastAsia="SimSun"/>
                <w:sz w:val="22"/>
                <w:szCs w:val="22"/>
                <w:lang w:val="sr-Latn-ME" w:eastAsia="en-IE"/>
              </w:rPr>
              <w:t>Procenat (95 % CI)</w:t>
            </w:r>
          </w:p>
        </w:tc>
        <w:tc>
          <w:tcPr>
            <w:tcW w:w="1192" w:type="pct"/>
          </w:tcPr>
          <w:p w14:paraId="5557C95E" w14:textId="77777777" w:rsidR="00EF0C21" w:rsidRPr="00801AFD" w:rsidRDefault="00EF0C21" w:rsidP="00801AFD">
            <w:pPr>
              <w:widowControl w:val="0"/>
              <w:jc w:val="center"/>
              <w:rPr>
                <w:rFonts w:eastAsia="SimSun"/>
                <w:sz w:val="22"/>
                <w:szCs w:val="22"/>
                <w:lang w:val="sr-Latn-ME" w:eastAsia="en-IE"/>
              </w:rPr>
            </w:pPr>
          </w:p>
          <w:p w14:paraId="23D50267" w14:textId="77777777" w:rsidR="00EF0C21" w:rsidRPr="00801AFD" w:rsidRDefault="00EF0C21" w:rsidP="00801AFD">
            <w:pPr>
              <w:widowControl w:val="0"/>
              <w:jc w:val="center"/>
              <w:rPr>
                <w:rFonts w:eastAsia="SimSun"/>
                <w:sz w:val="22"/>
                <w:szCs w:val="22"/>
                <w:lang w:val="sr-Latn-ME" w:eastAsia="en-IE"/>
              </w:rPr>
            </w:pPr>
            <w:r w:rsidRPr="00801AFD">
              <w:rPr>
                <w:rFonts w:eastAsia="SimSun"/>
                <w:sz w:val="22"/>
                <w:szCs w:val="22"/>
                <w:lang w:val="sr-Latn-ME" w:eastAsia="en-IE"/>
              </w:rPr>
              <w:t>60,0 (14,66; 94,73)</w:t>
            </w:r>
          </w:p>
        </w:tc>
        <w:tc>
          <w:tcPr>
            <w:tcW w:w="1588" w:type="pct"/>
          </w:tcPr>
          <w:p w14:paraId="3DC9E86F" w14:textId="77777777" w:rsidR="00EF0C21" w:rsidRPr="00801AFD" w:rsidRDefault="00EF0C21" w:rsidP="00801AFD">
            <w:pPr>
              <w:widowControl w:val="0"/>
              <w:jc w:val="center"/>
              <w:rPr>
                <w:rFonts w:eastAsia="SimSun"/>
                <w:sz w:val="22"/>
                <w:szCs w:val="22"/>
                <w:lang w:val="sr-Latn-ME" w:eastAsia="en-IE"/>
              </w:rPr>
            </w:pPr>
          </w:p>
          <w:p w14:paraId="05E6BAF3" w14:textId="77777777" w:rsidR="00EF0C21" w:rsidRPr="00801AFD" w:rsidRDefault="00EF0C21" w:rsidP="00801AFD">
            <w:pPr>
              <w:widowControl w:val="0"/>
              <w:jc w:val="center"/>
              <w:rPr>
                <w:rFonts w:eastAsia="SimSun"/>
                <w:sz w:val="22"/>
                <w:szCs w:val="22"/>
                <w:lang w:val="sr-Latn-ME" w:eastAsia="en-IE"/>
              </w:rPr>
            </w:pPr>
            <w:r w:rsidRPr="00801AFD">
              <w:rPr>
                <w:rFonts w:eastAsia="SimSun"/>
                <w:sz w:val="22"/>
                <w:szCs w:val="22"/>
                <w:lang w:val="sr-Latn-ME" w:eastAsia="en-IE"/>
              </w:rPr>
              <w:t>75 (34,91; 96,81)</w:t>
            </w:r>
          </w:p>
        </w:tc>
      </w:tr>
      <w:tr w:rsidR="00EF0C21" w:rsidRPr="00801AFD" w14:paraId="5E05162D" w14:textId="77777777" w:rsidTr="00986850">
        <w:trPr>
          <w:trHeight w:val="283"/>
        </w:trPr>
        <w:tc>
          <w:tcPr>
            <w:tcW w:w="2220" w:type="pct"/>
          </w:tcPr>
          <w:p w14:paraId="0858B34D" w14:textId="77777777" w:rsidR="00EF0C21" w:rsidRPr="00801AFD" w:rsidRDefault="00EF0C21" w:rsidP="00801AFD">
            <w:pPr>
              <w:widowControl w:val="0"/>
              <w:jc w:val="both"/>
              <w:rPr>
                <w:rFonts w:eastAsia="SimSun"/>
                <w:sz w:val="22"/>
                <w:szCs w:val="22"/>
                <w:lang w:val="sr-Latn-ME" w:eastAsia="en-IE"/>
              </w:rPr>
            </w:pPr>
            <w:r w:rsidRPr="00801AFD">
              <w:rPr>
                <w:rFonts w:eastAsia="SimSun"/>
                <w:sz w:val="22"/>
                <w:szCs w:val="22"/>
                <w:lang w:val="sr-Latn-ME" w:eastAsia="en-IE"/>
              </w:rPr>
              <w:t>Probojna hemoliza (%)</w:t>
            </w:r>
          </w:p>
        </w:tc>
        <w:tc>
          <w:tcPr>
            <w:tcW w:w="1192" w:type="pct"/>
          </w:tcPr>
          <w:p w14:paraId="4DE357A1" w14:textId="77777777" w:rsidR="00EF0C21" w:rsidRPr="00801AFD" w:rsidRDefault="00EF0C21" w:rsidP="00801AFD">
            <w:pPr>
              <w:widowControl w:val="0"/>
              <w:jc w:val="center"/>
              <w:rPr>
                <w:rFonts w:eastAsia="SimSun"/>
                <w:sz w:val="22"/>
                <w:szCs w:val="22"/>
                <w:lang w:val="sr-Latn-ME" w:eastAsia="en-IE"/>
              </w:rPr>
            </w:pPr>
            <w:r w:rsidRPr="00801AFD">
              <w:rPr>
                <w:rFonts w:eastAsia="SimSun"/>
                <w:sz w:val="22"/>
                <w:szCs w:val="22"/>
                <w:lang w:val="sr-Latn-ME" w:eastAsia="en-IE"/>
              </w:rPr>
              <w:t>0</w:t>
            </w:r>
          </w:p>
        </w:tc>
        <w:tc>
          <w:tcPr>
            <w:tcW w:w="1588" w:type="pct"/>
          </w:tcPr>
          <w:p w14:paraId="25A5A058" w14:textId="77777777" w:rsidR="00EF0C21" w:rsidRPr="00801AFD" w:rsidRDefault="00EF0C21" w:rsidP="00801AFD">
            <w:pPr>
              <w:widowControl w:val="0"/>
              <w:jc w:val="center"/>
              <w:rPr>
                <w:rFonts w:eastAsia="SimSun"/>
                <w:sz w:val="22"/>
                <w:szCs w:val="22"/>
                <w:lang w:val="sr-Latn-ME" w:eastAsia="en-IE"/>
              </w:rPr>
            </w:pPr>
            <w:r w:rsidRPr="00801AFD">
              <w:rPr>
                <w:rFonts w:eastAsia="SimSun"/>
                <w:sz w:val="22"/>
                <w:szCs w:val="22"/>
                <w:lang w:val="sr-Latn-ME" w:eastAsia="en-IE"/>
              </w:rPr>
              <w:t>0</w:t>
            </w:r>
          </w:p>
        </w:tc>
      </w:tr>
    </w:tbl>
    <w:p w14:paraId="73D02AFF" w14:textId="77777777" w:rsidR="00EF0C21" w:rsidRPr="00986850" w:rsidRDefault="00EF0C21" w:rsidP="00801AFD">
      <w:pPr>
        <w:widowControl w:val="0"/>
        <w:tabs>
          <w:tab w:val="left" w:pos="144"/>
        </w:tabs>
        <w:ind w:left="144" w:hanging="144"/>
        <w:jc w:val="both"/>
        <w:rPr>
          <w:sz w:val="20"/>
          <w:szCs w:val="22"/>
          <w:lang w:val="sr-Latn-ME"/>
        </w:rPr>
      </w:pPr>
      <w:r w:rsidRPr="00986850">
        <w:rPr>
          <w:sz w:val="20"/>
          <w:szCs w:val="22"/>
          <w:lang w:val="sr-Latn-ME"/>
        </w:rPr>
        <w:t xml:space="preserve">Skraćenice: </w:t>
      </w:r>
      <w:r w:rsidRPr="00986850">
        <w:rPr>
          <w:color w:val="000000"/>
          <w:sz w:val="20"/>
          <w:szCs w:val="22"/>
          <w:lang w:val="sr-Latn-ME"/>
        </w:rPr>
        <w:t>LDH = laktat dehidrogenaza</w:t>
      </w:r>
    </w:p>
    <w:p w14:paraId="140E5B65" w14:textId="77777777" w:rsidR="00EF0C21" w:rsidRPr="00801AFD" w:rsidRDefault="00EF0C21" w:rsidP="00801AFD">
      <w:pPr>
        <w:widowControl w:val="0"/>
        <w:tabs>
          <w:tab w:val="left" w:pos="567"/>
        </w:tabs>
        <w:autoSpaceDE w:val="0"/>
        <w:autoSpaceDN w:val="0"/>
        <w:adjustRightInd w:val="0"/>
        <w:jc w:val="both"/>
        <w:rPr>
          <w:rFonts w:eastAsia="SimSun"/>
          <w:sz w:val="22"/>
          <w:szCs w:val="22"/>
          <w:lang w:val="sr-Latn-ME"/>
        </w:rPr>
      </w:pPr>
    </w:p>
    <w:p w14:paraId="20244C27" w14:textId="3FD32585" w:rsidR="00903D56" w:rsidRPr="00801AFD" w:rsidRDefault="00903D56" w:rsidP="00801AFD">
      <w:pPr>
        <w:widowControl w:val="0"/>
        <w:tabs>
          <w:tab w:val="left" w:pos="567"/>
        </w:tabs>
        <w:autoSpaceDE w:val="0"/>
        <w:autoSpaceDN w:val="0"/>
        <w:adjustRightInd w:val="0"/>
        <w:jc w:val="both"/>
        <w:rPr>
          <w:rFonts w:eastAsia="SimSun"/>
          <w:sz w:val="22"/>
          <w:szCs w:val="22"/>
          <w:lang w:val="sr-Latn-ME"/>
        </w:rPr>
      </w:pPr>
      <w:r w:rsidRPr="00801AFD">
        <w:rPr>
          <w:rFonts w:eastAsia="SimSun"/>
          <w:sz w:val="22"/>
          <w:szCs w:val="22"/>
          <w:lang w:val="sr-Latn-ME"/>
        </w:rPr>
        <w:t>Dugoročni rezultati efikasnosti do kraja ispitivanja, u toku medijane trajanja liječenja od 915 dana, pokazali su održan terapijski odgovor kod pedijatrijskih bolesnika s PNH-om.</w:t>
      </w:r>
    </w:p>
    <w:p w14:paraId="0F9ED4D7" w14:textId="77777777" w:rsidR="00903D56" w:rsidRPr="00801AFD" w:rsidRDefault="00903D56" w:rsidP="00801AFD">
      <w:pPr>
        <w:widowControl w:val="0"/>
        <w:tabs>
          <w:tab w:val="left" w:pos="567"/>
        </w:tabs>
        <w:autoSpaceDE w:val="0"/>
        <w:autoSpaceDN w:val="0"/>
        <w:adjustRightInd w:val="0"/>
        <w:jc w:val="both"/>
        <w:rPr>
          <w:rFonts w:eastAsia="SimSun"/>
          <w:sz w:val="22"/>
          <w:szCs w:val="22"/>
          <w:lang w:val="sr-Latn-ME"/>
        </w:rPr>
      </w:pPr>
    </w:p>
    <w:p w14:paraId="05D4F4C2" w14:textId="5B560F89" w:rsidR="00EF0C21" w:rsidRPr="00801AFD" w:rsidRDefault="00EF0C21" w:rsidP="00801AFD">
      <w:pPr>
        <w:widowControl w:val="0"/>
        <w:tabs>
          <w:tab w:val="left" w:pos="567"/>
        </w:tabs>
        <w:autoSpaceDE w:val="0"/>
        <w:autoSpaceDN w:val="0"/>
        <w:adjustRightInd w:val="0"/>
        <w:jc w:val="both"/>
        <w:rPr>
          <w:rFonts w:eastAsia="SimSun"/>
          <w:sz w:val="22"/>
          <w:szCs w:val="22"/>
          <w:lang w:val="sr-Latn-ME"/>
        </w:rPr>
      </w:pPr>
      <w:r w:rsidRPr="00801AFD">
        <w:rPr>
          <w:rFonts w:eastAsia="SimSun"/>
          <w:sz w:val="22"/>
          <w:szCs w:val="22"/>
          <w:lang w:val="sr-Latn-ME"/>
        </w:rPr>
        <w:t>Na osnovu ovih privremenih rezultata, d</w:t>
      </w:r>
      <w:r w:rsidR="0044628F" w:rsidRPr="00801AFD">
        <w:rPr>
          <w:rFonts w:eastAsia="SimSun"/>
          <w:sz w:val="22"/>
          <w:szCs w:val="22"/>
          <w:lang w:val="sr-Latn-ME"/>
        </w:rPr>
        <w:t>j</w:t>
      </w:r>
      <w:r w:rsidRPr="00801AFD">
        <w:rPr>
          <w:rFonts w:eastAsia="SimSun"/>
          <w:sz w:val="22"/>
          <w:szCs w:val="22"/>
          <w:lang w:val="sr-Latn-ME"/>
        </w:rPr>
        <w:t>eluje da je efikasnost ravulizumaba kod pedijatrijskih pacijenata sa PNH</w:t>
      </w:r>
      <w:r w:rsidR="0044628F" w:rsidRPr="00801AFD">
        <w:rPr>
          <w:rFonts w:eastAsia="SimSun"/>
          <w:sz w:val="22"/>
          <w:szCs w:val="22"/>
          <w:lang w:val="sr-Latn-ME"/>
        </w:rPr>
        <w:t>-om</w:t>
      </w:r>
      <w:r w:rsidRPr="00801AFD">
        <w:rPr>
          <w:rFonts w:eastAsia="SimSun"/>
          <w:sz w:val="22"/>
          <w:szCs w:val="22"/>
          <w:lang w:val="sr-Latn-ME"/>
        </w:rPr>
        <w:t xml:space="preserve"> slična onoj prim</w:t>
      </w:r>
      <w:r w:rsidR="0044628F" w:rsidRPr="00801AFD">
        <w:rPr>
          <w:rFonts w:eastAsia="SimSun"/>
          <w:sz w:val="22"/>
          <w:szCs w:val="22"/>
          <w:lang w:val="sr-Latn-ME"/>
        </w:rPr>
        <w:t>ij</w:t>
      </w:r>
      <w:r w:rsidRPr="00801AFD">
        <w:rPr>
          <w:rFonts w:eastAsia="SimSun"/>
          <w:sz w:val="22"/>
          <w:szCs w:val="22"/>
          <w:lang w:val="sr-Latn-ME"/>
        </w:rPr>
        <w:t>ećenoj kod odraslih pacijenata sa PNH</w:t>
      </w:r>
      <w:r w:rsidR="0044628F" w:rsidRPr="00801AFD">
        <w:rPr>
          <w:rFonts w:eastAsia="SimSun"/>
          <w:sz w:val="22"/>
          <w:szCs w:val="22"/>
          <w:lang w:val="sr-Latn-ME"/>
        </w:rPr>
        <w:t>-om</w:t>
      </w:r>
      <w:r w:rsidRPr="00801AFD">
        <w:rPr>
          <w:rFonts w:eastAsia="SimSun"/>
          <w:sz w:val="22"/>
          <w:szCs w:val="22"/>
          <w:lang w:val="sr-Latn-ME"/>
        </w:rPr>
        <w:t>.</w:t>
      </w:r>
    </w:p>
    <w:p w14:paraId="1396F2DB" w14:textId="77777777" w:rsidR="00EF0C21" w:rsidRPr="00801AFD" w:rsidRDefault="00EF0C21" w:rsidP="00801AFD">
      <w:pPr>
        <w:pStyle w:val="Default"/>
        <w:widowControl w:val="0"/>
        <w:jc w:val="both"/>
        <w:rPr>
          <w:b/>
          <w:bCs/>
          <w:sz w:val="22"/>
          <w:szCs w:val="22"/>
          <w:lang w:val="sr-Latn-ME"/>
        </w:rPr>
      </w:pPr>
    </w:p>
    <w:p w14:paraId="29CF461A" w14:textId="6AF05938" w:rsidR="006F6043" w:rsidRPr="00801AFD" w:rsidRDefault="006F6043" w:rsidP="00801AFD">
      <w:pPr>
        <w:widowControl w:val="0"/>
        <w:jc w:val="both"/>
        <w:rPr>
          <w:i/>
          <w:iCs/>
          <w:color w:val="000000"/>
          <w:sz w:val="22"/>
          <w:szCs w:val="22"/>
          <w:lang w:val="sr-Latn-ME"/>
        </w:rPr>
      </w:pPr>
      <w:r w:rsidRPr="00801AFD">
        <w:rPr>
          <w:i/>
          <w:iCs/>
          <w:color w:val="000000"/>
          <w:sz w:val="22"/>
          <w:szCs w:val="22"/>
          <w:lang w:val="sr-Latn-ME"/>
        </w:rPr>
        <w:t>Atipični hemolitičko-uremijski sindrom (aHUS)</w:t>
      </w:r>
    </w:p>
    <w:p w14:paraId="219BB833" w14:textId="77777777" w:rsidR="00AF1502" w:rsidRPr="00801AFD" w:rsidRDefault="00AF1502" w:rsidP="00801AFD">
      <w:pPr>
        <w:widowControl w:val="0"/>
        <w:jc w:val="both"/>
        <w:rPr>
          <w:i/>
          <w:iCs/>
          <w:color w:val="000000"/>
          <w:sz w:val="22"/>
          <w:szCs w:val="22"/>
          <w:lang w:val="sr-Latn-ME"/>
        </w:rPr>
      </w:pPr>
    </w:p>
    <w:p w14:paraId="0FC12352" w14:textId="6E2AB391" w:rsidR="006F6043" w:rsidRPr="00801AFD" w:rsidRDefault="006F6043" w:rsidP="00801AFD">
      <w:pPr>
        <w:widowControl w:val="0"/>
        <w:jc w:val="both"/>
        <w:rPr>
          <w:color w:val="000000"/>
          <w:sz w:val="22"/>
          <w:szCs w:val="22"/>
          <w:lang w:val="sr-Latn-ME"/>
        </w:rPr>
      </w:pPr>
      <w:r w:rsidRPr="00801AFD">
        <w:rPr>
          <w:color w:val="000000"/>
          <w:sz w:val="22"/>
          <w:szCs w:val="22"/>
          <w:lang w:val="sr-Latn-ME"/>
        </w:rPr>
        <w:t>Upotreba lijeka Ultomiris kod pedijatrijskih pacijenata za liječenje aHUS</w:t>
      </w:r>
      <w:r w:rsidR="0044628F" w:rsidRPr="00801AFD">
        <w:rPr>
          <w:color w:val="000000"/>
          <w:sz w:val="22"/>
          <w:szCs w:val="22"/>
          <w:lang w:val="sr-Latn-ME"/>
        </w:rPr>
        <w:t>-a</w:t>
      </w:r>
      <w:r w:rsidRPr="00801AFD">
        <w:rPr>
          <w:color w:val="000000"/>
          <w:sz w:val="22"/>
          <w:szCs w:val="22"/>
          <w:lang w:val="sr-Latn-ME"/>
        </w:rPr>
        <w:t xml:space="preserve"> potkr</w:t>
      </w:r>
      <w:r w:rsidR="0044628F" w:rsidRPr="00801AFD">
        <w:rPr>
          <w:color w:val="000000"/>
          <w:sz w:val="22"/>
          <w:szCs w:val="22"/>
          <w:lang w:val="sr-Latn-ME"/>
        </w:rPr>
        <w:t>ij</w:t>
      </w:r>
      <w:r w:rsidRPr="00801AFD">
        <w:rPr>
          <w:color w:val="000000"/>
          <w:sz w:val="22"/>
          <w:szCs w:val="22"/>
          <w:lang w:val="sr-Latn-ME"/>
        </w:rPr>
        <w:t>epljena je dokazima iz jednog pedijatrijskog kliničkog ispitivanja (obuhvaćen je ukupno 31 pacijent sa dokumentovanim aHUS</w:t>
      </w:r>
      <w:r w:rsidR="0044628F" w:rsidRPr="00801AFD">
        <w:rPr>
          <w:color w:val="000000"/>
          <w:sz w:val="22"/>
          <w:szCs w:val="22"/>
          <w:lang w:val="sr-Latn-ME"/>
        </w:rPr>
        <w:t>-om</w:t>
      </w:r>
      <w:r w:rsidRPr="00801AFD">
        <w:rPr>
          <w:color w:val="000000"/>
          <w:sz w:val="22"/>
          <w:szCs w:val="22"/>
          <w:lang w:val="sr-Latn-ME"/>
        </w:rPr>
        <w:t>). Kompletni skup podataka za analizu obuhvatio je 28 pacijenata uzrasta od 10 mjeseci do 17 godina).</w:t>
      </w:r>
    </w:p>
    <w:p w14:paraId="7F74CC63" w14:textId="77777777" w:rsidR="006F6043" w:rsidRPr="00801AFD" w:rsidRDefault="006F6043" w:rsidP="00801AFD">
      <w:pPr>
        <w:widowControl w:val="0"/>
        <w:jc w:val="both"/>
        <w:rPr>
          <w:color w:val="000000"/>
          <w:sz w:val="22"/>
          <w:szCs w:val="22"/>
          <w:lang w:val="sr-Latn-ME"/>
        </w:rPr>
      </w:pPr>
    </w:p>
    <w:p w14:paraId="3ED1FCBC" w14:textId="4A3891DC" w:rsidR="006F6043" w:rsidRPr="00801AFD" w:rsidRDefault="006F6043" w:rsidP="00801AFD">
      <w:pPr>
        <w:widowControl w:val="0"/>
        <w:jc w:val="both"/>
        <w:rPr>
          <w:i/>
          <w:iCs/>
          <w:color w:val="000000"/>
          <w:sz w:val="22"/>
          <w:szCs w:val="22"/>
          <w:lang w:val="sr-Latn-ME"/>
        </w:rPr>
      </w:pPr>
      <w:r w:rsidRPr="00801AFD">
        <w:rPr>
          <w:i/>
          <w:iCs/>
          <w:color w:val="000000"/>
          <w:sz w:val="22"/>
          <w:szCs w:val="22"/>
          <w:lang w:val="sr-Latn-ME"/>
        </w:rPr>
        <w:t>Studija sa pedijatrijskim pacijentima sa aHUS</w:t>
      </w:r>
      <w:r w:rsidR="0044628F" w:rsidRPr="00801AFD">
        <w:rPr>
          <w:i/>
          <w:iCs/>
          <w:color w:val="000000"/>
          <w:sz w:val="22"/>
          <w:szCs w:val="22"/>
          <w:lang w:val="sr-Latn-ME"/>
        </w:rPr>
        <w:t>-om</w:t>
      </w:r>
      <w:r w:rsidR="00D0032C" w:rsidRPr="00801AFD">
        <w:rPr>
          <w:i/>
          <w:iCs/>
          <w:color w:val="000000"/>
          <w:sz w:val="22"/>
          <w:szCs w:val="22"/>
          <w:lang w:val="sr-Latn-ME"/>
        </w:rPr>
        <w:t xml:space="preserve"> (ALXN1210 aHUS 312)</w:t>
      </w:r>
    </w:p>
    <w:p w14:paraId="77407278" w14:textId="77777777" w:rsidR="00AF1502" w:rsidRPr="00801AFD" w:rsidRDefault="00AF1502" w:rsidP="00801AFD">
      <w:pPr>
        <w:widowControl w:val="0"/>
        <w:jc w:val="both"/>
        <w:rPr>
          <w:i/>
          <w:iCs/>
          <w:color w:val="000000"/>
          <w:sz w:val="22"/>
          <w:szCs w:val="22"/>
          <w:lang w:val="sr-Latn-ME"/>
        </w:rPr>
      </w:pPr>
    </w:p>
    <w:p w14:paraId="18D97B10" w14:textId="1BF0F910" w:rsidR="006F6043" w:rsidRPr="00801AFD" w:rsidRDefault="000C3265" w:rsidP="00801AFD">
      <w:pPr>
        <w:widowControl w:val="0"/>
        <w:jc w:val="both"/>
        <w:rPr>
          <w:color w:val="000000"/>
          <w:sz w:val="22"/>
          <w:szCs w:val="22"/>
          <w:lang w:val="sr-Latn-ME"/>
        </w:rPr>
      </w:pPr>
      <w:r w:rsidRPr="00801AFD">
        <w:rPr>
          <w:color w:val="000000"/>
          <w:sz w:val="22"/>
          <w:szCs w:val="22"/>
          <w:lang w:val="sr-Latn-ME"/>
        </w:rPr>
        <w:t>P</w:t>
      </w:r>
      <w:r w:rsidR="006F6043" w:rsidRPr="00801AFD">
        <w:rPr>
          <w:color w:val="000000"/>
          <w:sz w:val="22"/>
          <w:szCs w:val="22"/>
          <w:lang w:val="sr-Latn-ME"/>
        </w:rPr>
        <w:t xml:space="preserve">edijatrijska studija je </w:t>
      </w:r>
      <w:r w:rsidRPr="00801AFD">
        <w:rPr>
          <w:color w:val="000000"/>
          <w:sz w:val="22"/>
          <w:szCs w:val="22"/>
          <w:lang w:val="sr-Latn-ME"/>
        </w:rPr>
        <w:t>bila 26-ned</w:t>
      </w:r>
      <w:r w:rsidR="00842573" w:rsidRPr="00801AFD">
        <w:rPr>
          <w:color w:val="000000"/>
          <w:sz w:val="22"/>
          <w:szCs w:val="22"/>
          <w:lang w:val="sr-Latn-ME"/>
        </w:rPr>
        <w:t>j</w:t>
      </w:r>
      <w:r w:rsidRPr="00801AFD">
        <w:rPr>
          <w:color w:val="000000"/>
          <w:sz w:val="22"/>
          <w:szCs w:val="22"/>
          <w:lang w:val="sr-Latn-ME"/>
        </w:rPr>
        <w:t xml:space="preserve">eljna, </w:t>
      </w:r>
      <w:r w:rsidR="006F6043" w:rsidRPr="00801AFD">
        <w:rPr>
          <w:color w:val="000000"/>
          <w:sz w:val="22"/>
          <w:szCs w:val="22"/>
          <w:lang w:val="sr-Latn-ME"/>
        </w:rPr>
        <w:t>multicentrična</w:t>
      </w:r>
      <w:r w:rsidRPr="00801AFD">
        <w:rPr>
          <w:color w:val="000000"/>
          <w:sz w:val="22"/>
          <w:szCs w:val="22"/>
          <w:lang w:val="sr-Latn-ME"/>
        </w:rPr>
        <w:t>,</w:t>
      </w:r>
      <w:r w:rsidR="006F6043" w:rsidRPr="00801AFD">
        <w:rPr>
          <w:color w:val="000000"/>
          <w:sz w:val="22"/>
          <w:szCs w:val="22"/>
          <w:lang w:val="sr-Latn-ME"/>
        </w:rPr>
        <w:t xml:space="preserve"> studija faze III </w:t>
      </w:r>
      <w:r w:rsidR="003A29AF" w:rsidRPr="00801AFD">
        <w:rPr>
          <w:color w:val="000000"/>
          <w:sz w:val="22"/>
          <w:szCs w:val="22"/>
          <w:lang w:val="sr-Latn-ME"/>
        </w:rPr>
        <w:t xml:space="preserve">koja je sprovedena na </w:t>
      </w:r>
      <w:r w:rsidR="006F6043" w:rsidRPr="00801AFD">
        <w:rPr>
          <w:color w:val="000000"/>
          <w:sz w:val="22"/>
          <w:szCs w:val="22"/>
          <w:lang w:val="sr-Latn-ME"/>
        </w:rPr>
        <w:t>pedijatrijski</w:t>
      </w:r>
      <w:r w:rsidR="003A29AF" w:rsidRPr="00801AFD">
        <w:rPr>
          <w:color w:val="000000"/>
          <w:sz w:val="22"/>
          <w:szCs w:val="22"/>
          <w:lang w:val="sr-Latn-ME"/>
        </w:rPr>
        <w:t>m</w:t>
      </w:r>
      <w:r w:rsidR="006F6043" w:rsidRPr="00801AFD">
        <w:rPr>
          <w:color w:val="000000"/>
          <w:sz w:val="22"/>
          <w:szCs w:val="22"/>
          <w:lang w:val="sr-Latn-ME"/>
        </w:rPr>
        <w:t xml:space="preserve"> pacijent</w:t>
      </w:r>
      <w:r w:rsidR="003A29AF" w:rsidRPr="00801AFD">
        <w:rPr>
          <w:color w:val="000000"/>
          <w:sz w:val="22"/>
          <w:szCs w:val="22"/>
          <w:lang w:val="sr-Latn-ME"/>
        </w:rPr>
        <w:t>ima i pacijentima je bilo dozvolj</w:t>
      </w:r>
      <w:r w:rsidR="00842573" w:rsidRPr="00801AFD">
        <w:rPr>
          <w:color w:val="000000"/>
          <w:sz w:val="22"/>
          <w:szCs w:val="22"/>
          <w:lang w:val="sr-Latn-ME"/>
        </w:rPr>
        <w:t>en</w:t>
      </w:r>
      <w:r w:rsidR="003A29AF" w:rsidRPr="00801AFD">
        <w:rPr>
          <w:color w:val="000000"/>
          <w:sz w:val="22"/>
          <w:szCs w:val="22"/>
          <w:lang w:val="sr-Latn-ME"/>
        </w:rPr>
        <w:t>o da uđu u produženi period do 4,5 godina.</w:t>
      </w:r>
    </w:p>
    <w:p w14:paraId="24FC1ACB" w14:textId="77777777" w:rsidR="00842573" w:rsidRPr="00801AFD" w:rsidRDefault="00842573" w:rsidP="00801AFD">
      <w:pPr>
        <w:widowControl w:val="0"/>
        <w:jc w:val="both"/>
        <w:rPr>
          <w:color w:val="000000"/>
          <w:sz w:val="22"/>
          <w:szCs w:val="22"/>
          <w:lang w:val="sr-Latn-ME"/>
        </w:rPr>
      </w:pPr>
    </w:p>
    <w:p w14:paraId="6A52C237" w14:textId="068F994E" w:rsidR="006F6043" w:rsidRPr="00801AFD" w:rsidRDefault="006F6043" w:rsidP="00801AFD">
      <w:pPr>
        <w:widowControl w:val="0"/>
        <w:jc w:val="both"/>
        <w:rPr>
          <w:color w:val="000000"/>
          <w:sz w:val="22"/>
          <w:szCs w:val="22"/>
          <w:lang w:val="sr-Latn-ME"/>
        </w:rPr>
      </w:pPr>
      <w:r w:rsidRPr="00801AFD">
        <w:rPr>
          <w:color w:val="000000"/>
          <w:sz w:val="22"/>
          <w:szCs w:val="22"/>
          <w:lang w:val="sr-Latn-ME"/>
        </w:rPr>
        <w:lastRenderedPageBreak/>
        <w:t xml:space="preserve">Od ukupno </w:t>
      </w:r>
      <w:r w:rsidR="003A29AF" w:rsidRPr="00801AFD">
        <w:rPr>
          <w:color w:val="000000"/>
          <w:sz w:val="22"/>
          <w:szCs w:val="22"/>
          <w:lang w:val="sr-Latn-ME"/>
        </w:rPr>
        <w:t xml:space="preserve">24 </w:t>
      </w:r>
      <w:r w:rsidRPr="00801AFD">
        <w:rPr>
          <w:color w:val="000000"/>
          <w:sz w:val="22"/>
          <w:szCs w:val="22"/>
          <w:lang w:val="sr-Latn-ME"/>
        </w:rPr>
        <w:t>pacijenta sa dokumentovanom dijagnozom aHUS</w:t>
      </w:r>
      <w:r w:rsidR="0044628F" w:rsidRPr="00801AFD">
        <w:rPr>
          <w:color w:val="000000"/>
          <w:sz w:val="22"/>
          <w:szCs w:val="22"/>
          <w:lang w:val="sr-Latn-ME"/>
        </w:rPr>
        <w:t>-a</w:t>
      </w:r>
      <w:r w:rsidRPr="00801AFD">
        <w:rPr>
          <w:color w:val="000000"/>
          <w:sz w:val="22"/>
          <w:szCs w:val="22"/>
          <w:lang w:val="sr-Latn-ME"/>
        </w:rPr>
        <w:t xml:space="preserve"> i dokazanom TMA koji prethodno nijesu primali ekulizumab, </w:t>
      </w:r>
      <w:r w:rsidR="003A29AF" w:rsidRPr="00801AFD">
        <w:rPr>
          <w:color w:val="000000"/>
          <w:sz w:val="22"/>
          <w:szCs w:val="22"/>
          <w:lang w:val="sr-Latn-ME"/>
        </w:rPr>
        <w:t xml:space="preserve">20 </w:t>
      </w:r>
      <w:r w:rsidRPr="00801AFD">
        <w:rPr>
          <w:color w:val="000000"/>
          <w:sz w:val="22"/>
          <w:szCs w:val="22"/>
          <w:lang w:val="sr-Latn-ME"/>
        </w:rPr>
        <w:t xml:space="preserve">je bilo uključeno u kompletan skup podataka za analizu. Prema kriterijumima za uključivanje, isključeni su pacijenti sa kliničkom slikom TMA zbog </w:t>
      </w:r>
      <w:r w:rsidR="003A29AF" w:rsidRPr="00801AFD">
        <w:rPr>
          <w:color w:val="000000"/>
          <w:sz w:val="22"/>
          <w:szCs w:val="22"/>
          <w:lang w:val="sr-Latn-ME"/>
        </w:rPr>
        <w:t xml:space="preserve">dezintegrin i metaloproteinaza sa motivom trombospondina tipa 1, nedostatkom člana 13 (ADAMTS13), </w:t>
      </w:r>
      <w:r w:rsidRPr="00801AFD">
        <w:rPr>
          <w:color w:val="000000"/>
          <w:sz w:val="22"/>
          <w:szCs w:val="22"/>
          <w:lang w:val="sr-Latn-ME"/>
        </w:rPr>
        <w:t>STEC-HUS</w:t>
      </w:r>
      <w:r w:rsidR="0044628F" w:rsidRPr="00801AFD">
        <w:rPr>
          <w:color w:val="000000"/>
          <w:sz w:val="22"/>
          <w:szCs w:val="22"/>
          <w:lang w:val="sr-Latn-ME"/>
        </w:rPr>
        <w:t>-a</w:t>
      </w:r>
      <w:r w:rsidR="003A29AF" w:rsidRPr="00801AFD">
        <w:rPr>
          <w:color w:val="000000"/>
          <w:sz w:val="22"/>
          <w:szCs w:val="22"/>
          <w:lang w:val="sr-Latn-ME"/>
        </w:rPr>
        <w:t xml:space="preserve"> i genetskim defektom u metabolizmu kobalamina C</w:t>
      </w:r>
      <w:r w:rsidRPr="00801AFD">
        <w:rPr>
          <w:color w:val="000000"/>
          <w:sz w:val="22"/>
          <w:szCs w:val="22"/>
          <w:lang w:val="sr-Latn-ME"/>
        </w:rPr>
        <w:t xml:space="preserve">. </w:t>
      </w:r>
      <w:r w:rsidR="003A29AF" w:rsidRPr="00801AFD">
        <w:rPr>
          <w:color w:val="000000"/>
          <w:sz w:val="22"/>
          <w:szCs w:val="22"/>
          <w:lang w:val="sr-Latn-ME"/>
        </w:rPr>
        <w:t xml:space="preserve">Četiri </w:t>
      </w:r>
      <w:r w:rsidRPr="00801AFD">
        <w:rPr>
          <w:color w:val="000000"/>
          <w:sz w:val="22"/>
          <w:szCs w:val="22"/>
          <w:lang w:val="sr-Latn-ME"/>
        </w:rPr>
        <w:t xml:space="preserve">pacijenta su primila jednu </w:t>
      </w:r>
      <w:r w:rsidR="003A29AF" w:rsidRPr="00801AFD">
        <w:rPr>
          <w:color w:val="000000"/>
          <w:sz w:val="22"/>
          <w:szCs w:val="22"/>
          <w:lang w:val="sr-Latn-ME"/>
        </w:rPr>
        <w:t xml:space="preserve">ili dvije </w:t>
      </w:r>
      <w:r w:rsidRPr="00801AFD">
        <w:rPr>
          <w:color w:val="000000"/>
          <w:sz w:val="22"/>
          <w:szCs w:val="22"/>
          <w:lang w:val="sr-Latn-ME"/>
        </w:rPr>
        <w:t>doz</w:t>
      </w:r>
      <w:r w:rsidR="00375338" w:rsidRPr="00801AFD">
        <w:rPr>
          <w:color w:val="000000"/>
          <w:sz w:val="22"/>
          <w:szCs w:val="22"/>
          <w:lang w:val="sr-Latn-ME"/>
        </w:rPr>
        <w:t>e</w:t>
      </w:r>
      <w:r w:rsidRPr="00801AFD">
        <w:rPr>
          <w:color w:val="000000"/>
          <w:sz w:val="22"/>
          <w:szCs w:val="22"/>
          <w:lang w:val="sr-Latn-ME"/>
        </w:rPr>
        <w:t xml:space="preserve">, ali su zatim prestali da uzimaju lijek i izuzeti su iz kompletnog skupa podataka za analizu jer aHUS </w:t>
      </w:r>
      <w:r w:rsidR="003A29AF" w:rsidRPr="00801AFD">
        <w:rPr>
          <w:color w:val="000000"/>
          <w:sz w:val="22"/>
          <w:szCs w:val="22"/>
          <w:lang w:val="sr-Latn-ME"/>
        </w:rPr>
        <w:t xml:space="preserve">podobnost </w:t>
      </w:r>
      <w:r w:rsidRPr="00801AFD">
        <w:rPr>
          <w:color w:val="000000"/>
          <w:sz w:val="22"/>
          <w:szCs w:val="22"/>
          <w:lang w:val="sr-Latn-ME"/>
        </w:rPr>
        <w:t>nije potvrđen</w:t>
      </w:r>
      <w:r w:rsidR="003A29AF" w:rsidRPr="00801AFD">
        <w:rPr>
          <w:color w:val="000000"/>
          <w:sz w:val="22"/>
          <w:szCs w:val="22"/>
          <w:lang w:val="sr-Latn-ME"/>
        </w:rPr>
        <w:t>a</w:t>
      </w:r>
      <w:r w:rsidRPr="00801AFD">
        <w:rPr>
          <w:color w:val="000000"/>
          <w:sz w:val="22"/>
          <w:szCs w:val="22"/>
          <w:lang w:val="sr-Latn-ME"/>
        </w:rPr>
        <w:t xml:space="preserve">. Ukupna srednja tjelesna </w:t>
      </w:r>
      <w:r w:rsidR="000B577C" w:rsidRPr="00801AFD">
        <w:rPr>
          <w:color w:val="000000"/>
          <w:sz w:val="22"/>
          <w:szCs w:val="22"/>
          <w:lang w:val="sr-Latn-ME"/>
        </w:rPr>
        <w:t xml:space="preserve">težina </w:t>
      </w:r>
      <w:r w:rsidRPr="00801AFD">
        <w:rPr>
          <w:color w:val="000000"/>
          <w:sz w:val="22"/>
          <w:szCs w:val="22"/>
          <w:lang w:val="sr-Latn-ME"/>
        </w:rPr>
        <w:t xml:space="preserve">na početku bila je </w:t>
      </w:r>
      <w:r w:rsidR="003A29AF" w:rsidRPr="00801AFD">
        <w:rPr>
          <w:color w:val="000000"/>
          <w:sz w:val="22"/>
          <w:szCs w:val="22"/>
          <w:lang w:val="sr-Latn-ME"/>
        </w:rPr>
        <w:t>21</w:t>
      </w:r>
      <w:r w:rsidRPr="00801AFD">
        <w:rPr>
          <w:color w:val="000000"/>
          <w:sz w:val="22"/>
          <w:szCs w:val="22"/>
          <w:lang w:val="sr-Latn-ME"/>
        </w:rPr>
        <w:t xml:space="preserve">,2 kg; većina pacijenata bila je u kategoriji tjelesne </w:t>
      </w:r>
      <w:r w:rsidR="000B577C" w:rsidRPr="00801AFD">
        <w:rPr>
          <w:color w:val="000000"/>
          <w:sz w:val="22"/>
          <w:szCs w:val="22"/>
          <w:lang w:val="sr-Latn-ME"/>
        </w:rPr>
        <w:t>težine</w:t>
      </w:r>
      <w:r w:rsidR="00842573" w:rsidRPr="00801AFD">
        <w:rPr>
          <w:color w:val="000000"/>
          <w:sz w:val="22"/>
          <w:szCs w:val="22"/>
          <w:lang w:val="sr-Latn-ME"/>
        </w:rPr>
        <w:t xml:space="preserve"> </w:t>
      </w:r>
      <w:r w:rsidRPr="00801AFD">
        <w:rPr>
          <w:color w:val="000000"/>
          <w:sz w:val="22"/>
          <w:szCs w:val="22"/>
          <w:lang w:val="sr-Latn-ME"/>
        </w:rPr>
        <w:t>≥ 10 do &lt;20 kg na početku. Većina pacijenata (</w:t>
      </w:r>
      <w:r w:rsidR="003A29AF" w:rsidRPr="00801AFD">
        <w:rPr>
          <w:color w:val="000000"/>
          <w:sz w:val="22"/>
          <w:szCs w:val="22"/>
          <w:lang w:val="sr-Latn-ME"/>
        </w:rPr>
        <w:t>70</w:t>
      </w:r>
      <w:r w:rsidRPr="00801AFD">
        <w:rPr>
          <w:color w:val="000000"/>
          <w:sz w:val="22"/>
          <w:szCs w:val="22"/>
          <w:lang w:val="sr-Latn-ME"/>
        </w:rPr>
        <w:t>,</w:t>
      </w:r>
      <w:r w:rsidR="003A29AF" w:rsidRPr="00801AFD">
        <w:rPr>
          <w:color w:val="000000"/>
          <w:sz w:val="22"/>
          <w:szCs w:val="22"/>
          <w:lang w:val="sr-Latn-ME"/>
        </w:rPr>
        <w:t>0</w:t>
      </w:r>
      <w:r w:rsidRPr="00801AFD">
        <w:rPr>
          <w:color w:val="000000"/>
          <w:sz w:val="22"/>
          <w:szCs w:val="22"/>
          <w:lang w:val="sr-Latn-ME"/>
        </w:rPr>
        <w:t>%) imala je ekstrarenalne znake (kardiovaskularni, plućni, centralni nervni sistem, gastrointestinalni, kožni i mišićno-skeletni sistem) ili simptome aHUS</w:t>
      </w:r>
      <w:r w:rsidR="004A455F" w:rsidRPr="00801AFD">
        <w:rPr>
          <w:color w:val="000000"/>
          <w:sz w:val="22"/>
          <w:szCs w:val="22"/>
          <w:lang w:val="sr-Latn-ME"/>
        </w:rPr>
        <w:t>-a</w:t>
      </w:r>
      <w:r w:rsidRPr="00801AFD">
        <w:rPr>
          <w:color w:val="000000"/>
          <w:sz w:val="22"/>
          <w:szCs w:val="22"/>
          <w:lang w:val="sr-Latn-ME"/>
        </w:rPr>
        <w:t xml:space="preserve">  na početku studije. Na početku studije, </w:t>
      </w:r>
      <w:r w:rsidR="003A29AF" w:rsidRPr="00801AFD">
        <w:rPr>
          <w:color w:val="000000"/>
          <w:sz w:val="22"/>
          <w:szCs w:val="22"/>
          <w:lang w:val="sr-Latn-ME"/>
        </w:rPr>
        <w:t>35</w:t>
      </w:r>
      <w:r w:rsidRPr="00801AFD">
        <w:rPr>
          <w:color w:val="000000"/>
          <w:sz w:val="22"/>
          <w:szCs w:val="22"/>
          <w:lang w:val="sr-Latn-ME"/>
        </w:rPr>
        <w:t>,</w:t>
      </w:r>
      <w:r w:rsidR="003A29AF" w:rsidRPr="00801AFD">
        <w:rPr>
          <w:color w:val="000000"/>
          <w:sz w:val="22"/>
          <w:szCs w:val="22"/>
          <w:lang w:val="sr-Latn-ME"/>
        </w:rPr>
        <w:t>0</w:t>
      </w:r>
      <w:r w:rsidRPr="00801AFD">
        <w:rPr>
          <w:color w:val="000000"/>
          <w:sz w:val="22"/>
          <w:szCs w:val="22"/>
          <w:lang w:val="sr-Latn-ME"/>
        </w:rPr>
        <w:t xml:space="preserve">% (n = </w:t>
      </w:r>
      <w:r w:rsidR="003A29AF" w:rsidRPr="00801AFD">
        <w:rPr>
          <w:color w:val="000000"/>
          <w:sz w:val="22"/>
          <w:szCs w:val="22"/>
          <w:lang w:val="sr-Latn-ME"/>
        </w:rPr>
        <w:t>7</w:t>
      </w:r>
      <w:r w:rsidRPr="00801AFD">
        <w:rPr>
          <w:color w:val="000000"/>
          <w:sz w:val="22"/>
          <w:szCs w:val="22"/>
          <w:lang w:val="sr-Latn-ME"/>
        </w:rPr>
        <w:t xml:space="preserve">) pacijenata imalo je 5. stepen </w:t>
      </w:r>
      <w:r w:rsidR="000B577C" w:rsidRPr="00801AFD">
        <w:rPr>
          <w:color w:val="000000"/>
          <w:sz w:val="22"/>
          <w:szCs w:val="22"/>
          <w:lang w:val="sr-Latn-ME"/>
        </w:rPr>
        <w:t>HBB</w:t>
      </w:r>
      <w:r w:rsidR="00AF1502" w:rsidRPr="00801AFD">
        <w:rPr>
          <w:color w:val="000000"/>
          <w:sz w:val="22"/>
          <w:szCs w:val="22"/>
          <w:lang w:val="sr-Latn-ME"/>
        </w:rPr>
        <w:t xml:space="preserve"> </w:t>
      </w:r>
      <w:r w:rsidR="000B577C" w:rsidRPr="00801AFD">
        <w:rPr>
          <w:color w:val="000000"/>
          <w:sz w:val="22"/>
          <w:szCs w:val="22"/>
          <w:lang w:val="sr-Latn-ME"/>
        </w:rPr>
        <w:t>(hronična bubrežna bolest)</w:t>
      </w:r>
    </w:p>
    <w:p w14:paraId="03F1BB09" w14:textId="77777777" w:rsidR="006F6043" w:rsidRPr="00801AFD" w:rsidRDefault="006F6043" w:rsidP="00801AFD">
      <w:pPr>
        <w:widowControl w:val="0"/>
        <w:jc w:val="both"/>
        <w:rPr>
          <w:color w:val="000000"/>
          <w:sz w:val="22"/>
          <w:szCs w:val="22"/>
          <w:lang w:val="sr-Latn-ME"/>
        </w:rPr>
      </w:pPr>
    </w:p>
    <w:p w14:paraId="6BA0EFD4" w14:textId="54A78D0A" w:rsidR="006F6043" w:rsidRPr="00801AFD" w:rsidRDefault="006F6043" w:rsidP="00801AFD">
      <w:pPr>
        <w:widowControl w:val="0"/>
        <w:jc w:val="both"/>
        <w:rPr>
          <w:color w:val="000000"/>
          <w:sz w:val="22"/>
          <w:szCs w:val="22"/>
          <w:lang w:val="sr-Latn-ME"/>
        </w:rPr>
      </w:pPr>
      <w:r w:rsidRPr="00801AFD">
        <w:rPr>
          <w:color w:val="000000"/>
          <w:sz w:val="22"/>
          <w:szCs w:val="22"/>
          <w:lang w:val="sr-Latn-ME"/>
        </w:rPr>
        <w:t>Uključeno je ukupno 10 pacijenata, koji su prešli sa ekulizumaba na ravulizumab, koji su imali dokumentovanu dijagnozu aHUS</w:t>
      </w:r>
      <w:r w:rsidR="004A455F" w:rsidRPr="00801AFD">
        <w:rPr>
          <w:color w:val="000000"/>
          <w:sz w:val="22"/>
          <w:szCs w:val="22"/>
          <w:lang w:val="sr-Latn-ME"/>
        </w:rPr>
        <w:t>-a</w:t>
      </w:r>
      <w:r w:rsidRPr="00801AFD">
        <w:rPr>
          <w:color w:val="000000"/>
          <w:sz w:val="22"/>
          <w:szCs w:val="22"/>
          <w:lang w:val="sr-Latn-ME"/>
        </w:rPr>
        <w:t xml:space="preserve"> i dokazanu TMA. Pacijenti su morali da imaju klinički odgovor na ekulizumab prije uključivanja (tj. LDH &lt;1,5 x GGN i broj trombocita ≥ 150 000/µ</w:t>
      </w:r>
      <w:r w:rsidR="00D4193A" w:rsidRPr="00801AFD">
        <w:rPr>
          <w:color w:val="000000"/>
          <w:sz w:val="22"/>
          <w:szCs w:val="22"/>
          <w:lang w:val="sr-Latn-ME"/>
        </w:rPr>
        <w:t>l</w:t>
      </w:r>
      <w:r w:rsidRPr="00801AFD">
        <w:rPr>
          <w:color w:val="000000"/>
          <w:sz w:val="22"/>
          <w:szCs w:val="22"/>
          <w:lang w:val="sr-Latn-ME"/>
        </w:rPr>
        <w:t xml:space="preserve"> i eGFR&gt; 30 m</w:t>
      </w:r>
      <w:r w:rsidR="00D4193A" w:rsidRPr="00801AFD">
        <w:rPr>
          <w:color w:val="000000"/>
          <w:sz w:val="22"/>
          <w:szCs w:val="22"/>
          <w:lang w:val="sr-Latn-ME"/>
        </w:rPr>
        <w:t>l</w:t>
      </w:r>
      <w:r w:rsidRPr="00801AFD">
        <w:rPr>
          <w:color w:val="000000"/>
          <w:sz w:val="22"/>
          <w:szCs w:val="22"/>
          <w:lang w:val="sr-Latn-ME"/>
        </w:rPr>
        <w:t>/min/1,73 m</w:t>
      </w:r>
      <w:r w:rsidRPr="00801AFD">
        <w:rPr>
          <w:color w:val="000000"/>
          <w:sz w:val="22"/>
          <w:szCs w:val="22"/>
          <w:vertAlign w:val="superscript"/>
          <w:lang w:val="sr-Latn-ME"/>
        </w:rPr>
        <w:t>2</w:t>
      </w:r>
      <w:r w:rsidRPr="00801AFD">
        <w:rPr>
          <w:color w:val="000000"/>
          <w:sz w:val="22"/>
          <w:szCs w:val="22"/>
          <w:lang w:val="sr-Latn-ME"/>
        </w:rPr>
        <w:t>). Shodno tome, nema podataka o upotrebi ravulizumaba kod pacijenata otpornih na ekulizumab.</w:t>
      </w:r>
    </w:p>
    <w:p w14:paraId="181D94A0" w14:textId="77777777" w:rsidR="006F6043" w:rsidRPr="00801AFD" w:rsidRDefault="006F6043" w:rsidP="00801AFD">
      <w:pPr>
        <w:widowControl w:val="0"/>
        <w:jc w:val="both"/>
        <w:rPr>
          <w:color w:val="000000"/>
          <w:sz w:val="22"/>
          <w:szCs w:val="22"/>
          <w:lang w:val="sr-Latn-ME"/>
        </w:rPr>
      </w:pPr>
    </w:p>
    <w:p w14:paraId="41DB744C" w14:textId="3E4DFE89" w:rsidR="006F6043" w:rsidRPr="00801AFD" w:rsidRDefault="006F6043" w:rsidP="00801AFD">
      <w:pPr>
        <w:widowControl w:val="0"/>
        <w:jc w:val="both"/>
        <w:rPr>
          <w:color w:val="000000"/>
          <w:sz w:val="22"/>
          <w:szCs w:val="22"/>
          <w:lang w:val="sr-Latn-ME"/>
        </w:rPr>
      </w:pPr>
      <w:r w:rsidRPr="00801AFD">
        <w:rPr>
          <w:color w:val="000000"/>
          <w:sz w:val="22"/>
          <w:szCs w:val="22"/>
          <w:lang w:val="sr-Latn-ME"/>
        </w:rPr>
        <w:t xml:space="preserve">Tabela </w:t>
      </w:r>
      <w:r w:rsidR="00D0032C" w:rsidRPr="00801AFD">
        <w:rPr>
          <w:color w:val="000000"/>
          <w:sz w:val="22"/>
          <w:szCs w:val="22"/>
          <w:lang w:val="sr-Latn-ME"/>
        </w:rPr>
        <w:t xml:space="preserve">22 </w:t>
      </w:r>
      <w:r w:rsidRPr="00801AFD">
        <w:rPr>
          <w:color w:val="000000"/>
          <w:sz w:val="22"/>
          <w:szCs w:val="22"/>
          <w:lang w:val="sr-Latn-ME"/>
        </w:rPr>
        <w:t>prikazuje početne karakteristike pedijatrijskih pacijenata obuhvaćenih ispitivanjem ALXN1210-aHUS-312.</w:t>
      </w:r>
    </w:p>
    <w:p w14:paraId="1B096DF7" w14:textId="77777777" w:rsidR="006F6043" w:rsidRPr="00801AFD" w:rsidRDefault="006F6043" w:rsidP="00801AFD">
      <w:pPr>
        <w:widowControl w:val="0"/>
        <w:jc w:val="both"/>
        <w:rPr>
          <w:sz w:val="22"/>
          <w:szCs w:val="22"/>
          <w:lang w:val="sr-Latn-ME"/>
        </w:rPr>
      </w:pPr>
    </w:p>
    <w:p w14:paraId="53CC54DA" w14:textId="512A982C" w:rsidR="006F6043" w:rsidRPr="00801AFD" w:rsidRDefault="006F6043" w:rsidP="00801AFD">
      <w:pPr>
        <w:widowControl w:val="0"/>
        <w:jc w:val="both"/>
        <w:rPr>
          <w:b/>
          <w:bCs/>
          <w:sz w:val="22"/>
          <w:szCs w:val="22"/>
          <w:lang w:val="sr-Latn-ME"/>
        </w:rPr>
      </w:pPr>
      <w:r w:rsidRPr="00801AFD">
        <w:rPr>
          <w:b/>
          <w:bCs/>
          <w:sz w:val="22"/>
          <w:szCs w:val="22"/>
          <w:lang w:val="sr-Latn-ME"/>
        </w:rPr>
        <w:t xml:space="preserve">Tabela </w:t>
      </w:r>
      <w:r w:rsidR="00D0032C" w:rsidRPr="00801AFD">
        <w:rPr>
          <w:b/>
          <w:bCs/>
          <w:sz w:val="22"/>
          <w:szCs w:val="22"/>
          <w:lang w:val="sr-Latn-ME"/>
        </w:rPr>
        <w:t>22</w:t>
      </w:r>
      <w:r w:rsidRPr="00801AFD">
        <w:rPr>
          <w:b/>
          <w:bCs/>
          <w:sz w:val="22"/>
          <w:szCs w:val="22"/>
          <w:lang w:val="sr-Latn-ME"/>
        </w:rPr>
        <w:t>: Demografske i početne karakteristike u studiji ALXN1210-aHUS-312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1767"/>
        <w:gridCol w:w="2053"/>
        <w:gridCol w:w="1777"/>
      </w:tblGrid>
      <w:tr w:rsidR="006F6043" w:rsidRPr="00801AFD" w14:paraId="7E335658" w14:textId="77777777" w:rsidTr="00986850">
        <w:trPr>
          <w:jc w:val="center"/>
        </w:trPr>
        <w:tc>
          <w:tcPr>
            <w:tcW w:w="0" w:type="auto"/>
            <w:vAlign w:val="center"/>
            <w:hideMark/>
          </w:tcPr>
          <w:p w14:paraId="60E00AE8" w14:textId="77777777" w:rsidR="006F6043" w:rsidRPr="00801AFD" w:rsidRDefault="006F6043" w:rsidP="00801AFD">
            <w:pPr>
              <w:pStyle w:val="C-TableHeader"/>
              <w:keepNext w:val="0"/>
              <w:widowControl w:val="0"/>
              <w:jc w:val="both"/>
              <w:rPr>
                <w:rFonts w:ascii="Times New Roman" w:hAnsi="Times New Roman"/>
                <w:sz w:val="22"/>
                <w:szCs w:val="22"/>
                <w:lang w:val="sr-Latn-ME"/>
              </w:rPr>
            </w:pPr>
            <w:bookmarkStart w:id="1" w:name="_Hlk30434271"/>
            <w:r w:rsidRPr="00801AFD">
              <w:rPr>
                <w:rFonts w:ascii="Times New Roman" w:hAnsi="Times New Roman"/>
                <w:sz w:val="22"/>
                <w:szCs w:val="22"/>
                <w:lang w:val="sr-Latn-ME"/>
              </w:rPr>
              <w:t>Parametar</w:t>
            </w:r>
          </w:p>
        </w:tc>
        <w:tc>
          <w:tcPr>
            <w:tcW w:w="0" w:type="auto"/>
            <w:vAlign w:val="center"/>
            <w:hideMark/>
          </w:tcPr>
          <w:p w14:paraId="0E0F4CB6" w14:textId="77777777" w:rsidR="006F6043" w:rsidRPr="00801AFD" w:rsidRDefault="006F6043"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Statistika</w:t>
            </w:r>
          </w:p>
        </w:tc>
        <w:tc>
          <w:tcPr>
            <w:tcW w:w="0" w:type="auto"/>
            <w:hideMark/>
          </w:tcPr>
          <w:p w14:paraId="7BFEA134" w14:textId="76C36D0F" w:rsidR="006F6043" w:rsidRPr="00801AFD" w:rsidRDefault="006F6043"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Ravulizumab</w:t>
            </w:r>
            <w:r w:rsidRPr="00801AFD">
              <w:rPr>
                <w:rFonts w:ascii="Times New Roman" w:hAnsi="Times New Roman"/>
                <w:sz w:val="22"/>
                <w:szCs w:val="22"/>
                <w:lang w:val="sr-Latn-ME"/>
              </w:rPr>
              <w:br/>
              <w:t>(nijesu primali, N = </w:t>
            </w:r>
            <w:r w:rsidR="003A29AF" w:rsidRPr="00801AFD">
              <w:rPr>
                <w:rFonts w:ascii="Times New Roman" w:hAnsi="Times New Roman"/>
                <w:sz w:val="22"/>
                <w:szCs w:val="22"/>
                <w:lang w:val="sr-Latn-ME"/>
              </w:rPr>
              <w:t>20</w:t>
            </w:r>
            <w:r w:rsidRPr="00801AFD">
              <w:rPr>
                <w:rFonts w:ascii="Times New Roman" w:hAnsi="Times New Roman"/>
                <w:sz w:val="22"/>
                <w:szCs w:val="22"/>
                <w:lang w:val="sr-Latn-ME"/>
              </w:rPr>
              <w:t>)</w:t>
            </w:r>
          </w:p>
        </w:tc>
        <w:tc>
          <w:tcPr>
            <w:tcW w:w="0" w:type="auto"/>
          </w:tcPr>
          <w:p w14:paraId="727B45D8" w14:textId="77777777" w:rsidR="006F6043" w:rsidRPr="00801AFD" w:rsidRDefault="006F6043"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Ravulizumab</w:t>
            </w:r>
            <w:r w:rsidRPr="00801AFD">
              <w:rPr>
                <w:rFonts w:ascii="Times New Roman" w:hAnsi="Times New Roman"/>
                <w:sz w:val="22"/>
                <w:szCs w:val="22"/>
                <w:lang w:val="sr-Latn-ME"/>
              </w:rPr>
              <w:br/>
              <w:t>(prelazak, N = 10)</w:t>
            </w:r>
          </w:p>
        </w:tc>
      </w:tr>
      <w:tr w:rsidR="006F6043" w:rsidRPr="00801AFD" w14:paraId="2BAE37F3" w14:textId="77777777" w:rsidTr="00986850">
        <w:trPr>
          <w:jc w:val="center"/>
        </w:trPr>
        <w:tc>
          <w:tcPr>
            <w:tcW w:w="0" w:type="auto"/>
          </w:tcPr>
          <w:p w14:paraId="128456F2" w14:textId="77777777" w:rsidR="006F6043" w:rsidRPr="00801AFD" w:rsidRDefault="006F6043" w:rsidP="00801AFD">
            <w:pPr>
              <w:pStyle w:val="C-TableText"/>
              <w:widowControl w:val="0"/>
              <w:jc w:val="both"/>
              <w:rPr>
                <w:sz w:val="22"/>
                <w:szCs w:val="22"/>
              </w:rPr>
            </w:pPr>
            <w:r w:rsidRPr="00801AFD">
              <w:rPr>
                <w:sz w:val="22"/>
                <w:szCs w:val="22"/>
              </w:rPr>
              <w:t>Starost u vrijeme prve infuzije (godine) kategorija</w:t>
            </w:r>
          </w:p>
          <w:p w14:paraId="7A0847D2" w14:textId="77777777" w:rsidR="006F6043" w:rsidRPr="00801AFD" w:rsidRDefault="006F6043" w:rsidP="00801AFD">
            <w:pPr>
              <w:pStyle w:val="C-TableText"/>
              <w:widowControl w:val="0"/>
              <w:ind w:left="216"/>
              <w:jc w:val="both"/>
              <w:rPr>
                <w:sz w:val="22"/>
                <w:szCs w:val="22"/>
              </w:rPr>
            </w:pPr>
            <w:r w:rsidRPr="00801AFD">
              <w:rPr>
                <w:sz w:val="22"/>
                <w:szCs w:val="22"/>
              </w:rPr>
              <w:t>Od rođenja do &lt; 2 godine</w:t>
            </w:r>
          </w:p>
          <w:p w14:paraId="2AB82F30" w14:textId="77777777" w:rsidR="006F6043" w:rsidRPr="00801AFD" w:rsidRDefault="006F6043" w:rsidP="00801AFD">
            <w:pPr>
              <w:pStyle w:val="C-TableText"/>
              <w:widowControl w:val="0"/>
              <w:ind w:left="216"/>
              <w:jc w:val="both"/>
              <w:rPr>
                <w:sz w:val="22"/>
                <w:szCs w:val="22"/>
              </w:rPr>
            </w:pPr>
            <w:r w:rsidRPr="00801AFD">
              <w:rPr>
                <w:sz w:val="22"/>
                <w:szCs w:val="22"/>
              </w:rPr>
              <w:t>2 do &lt; 6 godina</w:t>
            </w:r>
          </w:p>
          <w:p w14:paraId="76F70D7D" w14:textId="77777777" w:rsidR="006F6043" w:rsidRPr="00801AFD" w:rsidRDefault="006F6043" w:rsidP="00801AFD">
            <w:pPr>
              <w:pStyle w:val="C-TableText"/>
              <w:widowControl w:val="0"/>
              <w:ind w:left="216"/>
              <w:jc w:val="both"/>
              <w:rPr>
                <w:sz w:val="22"/>
                <w:szCs w:val="22"/>
              </w:rPr>
            </w:pPr>
            <w:r w:rsidRPr="00801AFD">
              <w:rPr>
                <w:sz w:val="22"/>
                <w:szCs w:val="22"/>
              </w:rPr>
              <w:t>6 do &lt; 12 godina</w:t>
            </w:r>
          </w:p>
          <w:p w14:paraId="7ECD786E" w14:textId="77777777" w:rsidR="006F6043" w:rsidRPr="00801AFD" w:rsidRDefault="006F6043" w:rsidP="00801AFD">
            <w:pPr>
              <w:pStyle w:val="C-TableText"/>
              <w:widowControl w:val="0"/>
              <w:ind w:left="216"/>
              <w:jc w:val="both"/>
              <w:rPr>
                <w:sz w:val="22"/>
                <w:szCs w:val="22"/>
              </w:rPr>
            </w:pPr>
            <w:r w:rsidRPr="00801AFD">
              <w:rPr>
                <w:sz w:val="22"/>
                <w:szCs w:val="22"/>
              </w:rPr>
              <w:t>12 do &lt; 18 godina</w:t>
            </w:r>
          </w:p>
        </w:tc>
        <w:tc>
          <w:tcPr>
            <w:tcW w:w="0" w:type="auto"/>
          </w:tcPr>
          <w:p w14:paraId="2B921643" w14:textId="77777777" w:rsidR="006F6043" w:rsidRPr="00801AFD" w:rsidRDefault="006F6043" w:rsidP="00801AFD">
            <w:pPr>
              <w:pStyle w:val="C-TableText"/>
              <w:widowControl w:val="0"/>
              <w:jc w:val="center"/>
              <w:rPr>
                <w:sz w:val="22"/>
                <w:szCs w:val="22"/>
              </w:rPr>
            </w:pPr>
            <w:r w:rsidRPr="00801AFD">
              <w:rPr>
                <w:sz w:val="22"/>
                <w:szCs w:val="22"/>
              </w:rPr>
              <w:t>n (%)</w:t>
            </w:r>
          </w:p>
        </w:tc>
        <w:tc>
          <w:tcPr>
            <w:tcW w:w="0" w:type="auto"/>
          </w:tcPr>
          <w:p w14:paraId="1E6CDD63" w14:textId="77777777" w:rsidR="006F6043" w:rsidRPr="00801AFD" w:rsidRDefault="006F6043" w:rsidP="00801AFD">
            <w:pPr>
              <w:pStyle w:val="C-TableText"/>
              <w:widowControl w:val="0"/>
              <w:jc w:val="center"/>
              <w:rPr>
                <w:sz w:val="22"/>
                <w:szCs w:val="22"/>
              </w:rPr>
            </w:pPr>
          </w:p>
          <w:p w14:paraId="343B5876" w14:textId="77777777" w:rsidR="004A455F" w:rsidRPr="00801AFD" w:rsidRDefault="004A455F" w:rsidP="00801AFD">
            <w:pPr>
              <w:pStyle w:val="C-TableText"/>
              <w:widowControl w:val="0"/>
              <w:jc w:val="center"/>
              <w:rPr>
                <w:sz w:val="22"/>
                <w:szCs w:val="22"/>
              </w:rPr>
            </w:pPr>
          </w:p>
          <w:p w14:paraId="5175D8A9" w14:textId="26F6EEDC" w:rsidR="006F6043" w:rsidRPr="00801AFD" w:rsidRDefault="003A29AF" w:rsidP="00801AFD">
            <w:pPr>
              <w:pStyle w:val="C-TableText"/>
              <w:widowControl w:val="0"/>
              <w:jc w:val="center"/>
              <w:rPr>
                <w:sz w:val="22"/>
                <w:szCs w:val="22"/>
              </w:rPr>
            </w:pPr>
            <w:r w:rsidRPr="00801AFD">
              <w:rPr>
                <w:sz w:val="22"/>
                <w:szCs w:val="22"/>
              </w:rPr>
              <w:t xml:space="preserve">4 </w:t>
            </w:r>
            <w:r w:rsidR="006F6043" w:rsidRPr="00801AFD">
              <w:rPr>
                <w:sz w:val="22"/>
                <w:szCs w:val="22"/>
              </w:rPr>
              <w:t>(</w:t>
            </w:r>
            <w:r w:rsidRPr="00801AFD">
              <w:rPr>
                <w:sz w:val="22"/>
                <w:szCs w:val="22"/>
              </w:rPr>
              <w:t>20</w:t>
            </w:r>
            <w:r w:rsidR="006F6043" w:rsidRPr="00801AFD">
              <w:rPr>
                <w:sz w:val="22"/>
                <w:szCs w:val="22"/>
              </w:rPr>
              <w:t>.</w:t>
            </w:r>
            <w:r w:rsidRPr="00801AFD">
              <w:rPr>
                <w:sz w:val="22"/>
                <w:szCs w:val="22"/>
              </w:rPr>
              <w:t>0</w:t>
            </w:r>
            <w:r w:rsidR="006F6043" w:rsidRPr="00801AFD">
              <w:rPr>
                <w:sz w:val="22"/>
                <w:szCs w:val="22"/>
              </w:rPr>
              <w:t>)</w:t>
            </w:r>
          </w:p>
          <w:p w14:paraId="31059FFD" w14:textId="6A3624D8" w:rsidR="006F6043" w:rsidRPr="00801AFD" w:rsidRDefault="006F6043" w:rsidP="00801AFD">
            <w:pPr>
              <w:pStyle w:val="C-TableText"/>
              <w:widowControl w:val="0"/>
              <w:jc w:val="center"/>
              <w:rPr>
                <w:sz w:val="22"/>
                <w:szCs w:val="22"/>
              </w:rPr>
            </w:pPr>
            <w:r w:rsidRPr="00801AFD">
              <w:rPr>
                <w:sz w:val="22"/>
                <w:szCs w:val="22"/>
              </w:rPr>
              <w:t>9 (</w:t>
            </w:r>
            <w:r w:rsidR="003A29AF" w:rsidRPr="00801AFD">
              <w:rPr>
                <w:sz w:val="22"/>
                <w:szCs w:val="22"/>
              </w:rPr>
              <w:t>45</w:t>
            </w:r>
            <w:r w:rsidRPr="00801AFD">
              <w:rPr>
                <w:sz w:val="22"/>
                <w:szCs w:val="22"/>
              </w:rPr>
              <w:t>.0)</w:t>
            </w:r>
          </w:p>
          <w:p w14:paraId="3FD78986" w14:textId="6ABE1AEE" w:rsidR="006F6043" w:rsidRPr="00801AFD" w:rsidRDefault="006F6043" w:rsidP="00801AFD">
            <w:pPr>
              <w:pStyle w:val="C-TableText"/>
              <w:widowControl w:val="0"/>
              <w:jc w:val="center"/>
              <w:rPr>
                <w:sz w:val="22"/>
                <w:szCs w:val="22"/>
              </w:rPr>
            </w:pPr>
            <w:r w:rsidRPr="00801AFD">
              <w:rPr>
                <w:sz w:val="22"/>
                <w:szCs w:val="22"/>
              </w:rPr>
              <w:t>5 (</w:t>
            </w:r>
            <w:r w:rsidR="003A29AF" w:rsidRPr="00801AFD">
              <w:rPr>
                <w:sz w:val="22"/>
                <w:szCs w:val="22"/>
              </w:rPr>
              <w:t>25</w:t>
            </w:r>
            <w:r w:rsidRPr="00801AFD">
              <w:rPr>
                <w:sz w:val="22"/>
                <w:szCs w:val="22"/>
              </w:rPr>
              <w:t>.</w:t>
            </w:r>
            <w:r w:rsidR="003A29AF" w:rsidRPr="00801AFD">
              <w:rPr>
                <w:sz w:val="22"/>
                <w:szCs w:val="22"/>
              </w:rPr>
              <w:t>0</w:t>
            </w:r>
            <w:r w:rsidRPr="00801AFD">
              <w:rPr>
                <w:sz w:val="22"/>
                <w:szCs w:val="22"/>
              </w:rPr>
              <w:t>)</w:t>
            </w:r>
          </w:p>
          <w:p w14:paraId="4AC3A0A3" w14:textId="3E9C4FF2" w:rsidR="006F6043" w:rsidRPr="00801AFD" w:rsidRDefault="006F6043" w:rsidP="00801AFD">
            <w:pPr>
              <w:pStyle w:val="C-TableText"/>
              <w:widowControl w:val="0"/>
              <w:jc w:val="center"/>
              <w:rPr>
                <w:sz w:val="22"/>
                <w:szCs w:val="22"/>
              </w:rPr>
            </w:pPr>
            <w:r w:rsidRPr="00801AFD">
              <w:rPr>
                <w:sz w:val="22"/>
                <w:szCs w:val="22"/>
              </w:rPr>
              <w:t>2 (</w:t>
            </w:r>
            <w:r w:rsidR="003A29AF" w:rsidRPr="00801AFD">
              <w:rPr>
                <w:sz w:val="22"/>
                <w:szCs w:val="22"/>
              </w:rPr>
              <w:t>10</w:t>
            </w:r>
            <w:r w:rsidRPr="00801AFD">
              <w:rPr>
                <w:sz w:val="22"/>
                <w:szCs w:val="22"/>
              </w:rPr>
              <w:t>.</w:t>
            </w:r>
            <w:r w:rsidR="003A29AF" w:rsidRPr="00801AFD">
              <w:rPr>
                <w:sz w:val="22"/>
                <w:szCs w:val="22"/>
              </w:rPr>
              <w:t>0</w:t>
            </w:r>
            <w:r w:rsidRPr="00801AFD">
              <w:rPr>
                <w:sz w:val="22"/>
                <w:szCs w:val="22"/>
              </w:rPr>
              <w:t>)</w:t>
            </w:r>
          </w:p>
        </w:tc>
        <w:tc>
          <w:tcPr>
            <w:tcW w:w="0" w:type="auto"/>
          </w:tcPr>
          <w:p w14:paraId="4DF66794" w14:textId="77777777" w:rsidR="006F6043" w:rsidRPr="00801AFD" w:rsidRDefault="006F6043" w:rsidP="00801AFD">
            <w:pPr>
              <w:pStyle w:val="C-TableText"/>
              <w:widowControl w:val="0"/>
              <w:jc w:val="center"/>
              <w:rPr>
                <w:sz w:val="22"/>
                <w:szCs w:val="22"/>
              </w:rPr>
            </w:pPr>
          </w:p>
          <w:p w14:paraId="28AA7246" w14:textId="77777777" w:rsidR="004A455F" w:rsidRPr="00801AFD" w:rsidRDefault="004A455F" w:rsidP="00801AFD">
            <w:pPr>
              <w:pStyle w:val="C-TableText"/>
              <w:widowControl w:val="0"/>
              <w:jc w:val="center"/>
              <w:rPr>
                <w:sz w:val="22"/>
                <w:szCs w:val="22"/>
              </w:rPr>
            </w:pPr>
          </w:p>
          <w:p w14:paraId="00F074DB" w14:textId="3530B55D" w:rsidR="006F6043" w:rsidRPr="00801AFD" w:rsidRDefault="006F6043" w:rsidP="00801AFD">
            <w:pPr>
              <w:pStyle w:val="C-TableText"/>
              <w:widowControl w:val="0"/>
              <w:jc w:val="center"/>
              <w:rPr>
                <w:sz w:val="22"/>
                <w:szCs w:val="22"/>
              </w:rPr>
            </w:pPr>
            <w:r w:rsidRPr="00801AFD">
              <w:rPr>
                <w:sz w:val="22"/>
                <w:szCs w:val="22"/>
              </w:rPr>
              <w:t>1 (10.0)</w:t>
            </w:r>
          </w:p>
          <w:p w14:paraId="23BFB21A" w14:textId="77777777" w:rsidR="006F6043" w:rsidRPr="00801AFD" w:rsidRDefault="006F6043" w:rsidP="00801AFD">
            <w:pPr>
              <w:pStyle w:val="C-TableText"/>
              <w:widowControl w:val="0"/>
              <w:jc w:val="center"/>
              <w:rPr>
                <w:sz w:val="22"/>
                <w:szCs w:val="22"/>
              </w:rPr>
            </w:pPr>
            <w:r w:rsidRPr="00801AFD">
              <w:rPr>
                <w:sz w:val="22"/>
                <w:szCs w:val="22"/>
              </w:rPr>
              <w:t>1 (10.0)</w:t>
            </w:r>
          </w:p>
          <w:p w14:paraId="0C20604C" w14:textId="77777777" w:rsidR="006F6043" w:rsidRPr="00801AFD" w:rsidRDefault="006F6043" w:rsidP="00801AFD">
            <w:pPr>
              <w:pStyle w:val="C-TableText"/>
              <w:widowControl w:val="0"/>
              <w:jc w:val="center"/>
              <w:rPr>
                <w:sz w:val="22"/>
                <w:szCs w:val="22"/>
              </w:rPr>
            </w:pPr>
            <w:r w:rsidRPr="00801AFD">
              <w:rPr>
                <w:sz w:val="22"/>
                <w:szCs w:val="22"/>
              </w:rPr>
              <w:t>1 (10.0)</w:t>
            </w:r>
          </w:p>
          <w:p w14:paraId="511B0236" w14:textId="77777777" w:rsidR="006F6043" w:rsidRPr="00801AFD" w:rsidRDefault="006F6043" w:rsidP="00801AFD">
            <w:pPr>
              <w:pStyle w:val="C-TableText"/>
              <w:widowControl w:val="0"/>
              <w:jc w:val="center"/>
              <w:rPr>
                <w:sz w:val="22"/>
                <w:szCs w:val="22"/>
              </w:rPr>
            </w:pPr>
            <w:r w:rsidRPr="00801AFD">
              <w:rPr>
                <w:sz w:val="22"/>
                <w:szCs w:val="22"/>
              </w:rPr>
              <w:t>7 (70.0)</w:t>
            </w:r>
          </w:p>
          <w:p w14:paraId="1430B576" w14:textId="77777777" w:rsidR="006F6043" w:rsidRPr="00801AFD" w:rsidRDefault="006F6043" w:rsidP="00801AFD">
            <w:pPr>
              <w:pStyle w:val="C-TableText"/>
              <w:widowControl w:val="0"/>
              <w:jc w:val="center"/>
              <w:rPr>
                <w:sz w:val="22"/>
                <w:szCs w:val="22"/>
              </w:rPr>
            </w:pPr>
          </w:p>
        </w:tc>
      </w:tr>
      <w:tr w:rsidR="006F6043" w:rsidRPr="00801AFD" w14:paraId="71C4192B" w14:textId="77777777" w:rsidTr="00986850">
        <w:trPr>
          <w:jc w:val="center"/>
        </w:trPr>
        <w:tc>
          <w:tcPr>
            <w:tcW w:w="0" w:type="auto"/>
          </w:tcPr>
          <w:p w14:paraId="55A53513" w14:textId="77777777" w:rsidR="006F6043" w:rsidRPr="00801AFD" w:rsidRDefault="006F6043" w:rsidP="00801AFD">
            <w:pPr>
              <w:pStyle w:val="C-TableText"/>
              <w:widowControl w:val="0"/>
              <w:jc w:val="both"/>
              <w:rPr>
                <w:sz w:val="22"/>
                <w:szCs w:val="22"/>
              </w:rPr>
            </w:pPr>
            <w:r w:rsidRPr="00801AFD">
              <w:rPr>
                <w:sz w:val="22"/>
                <w:szCs w:val="22"/>
              </w:rPr>
              <w:t>Pol</w:t>
            </w:r>
          </w:p>
          <w:p w14:paraId="3DF204E7" w14:textId="77777777" w:rsidR="006F6043" w:rsidRPr="00801AFD" w:rsidRDefault="006F6043" w:rsidP="00801AFD">
            <w:pPr>
              <w:pStyle w:val="C-TableText"/>
              <w:widowControl w:val="0"/>
              <w:ind w:left="216"/>
              <w:jc w:val="both"/>
              <w:rPr>
                <w:sz w:val="22"/>
                <w:szCs w:val="22"/>
              </w:rPr>
            </w:pPr>
            <w:r w:rsidRPr="00801AFD">
              <w:rPr>
                <w:sz w:val="22"/>
                <w:szCs w:val="22"/>
              </w:rPr>
              <w:t>Muški</w:t>
            </w:r>
          </w:p>
        </w:tc>
        <w:tc>
          <w:tcPr>
            <w:tcW w:w="0" w:type="auto"/>
          </w:tcPr>
          <w:p w14:paraId="08B2D415" w14:textId="77777777" w:rsidR="006F6043" w:rsidRPr="00801AFD" w:rsidRDefault="006F6043" w:rsidP="00801AFD">
            <w:pPr>
              <w:pStyle w:val="C-TableText"/>
              <w:widowControl w:val="0"/>
              <w:jc w:val="center"/>
              <w:rPr>
                <w:sz w:val="22"/>
                <w:szCs w:val="22"/>
              </w:rPr>
            </w:pPr>
            <w:r w:rsidRPr="00801AFD">
              <w:rPr>
                <w:sz w:val="22"/>
                <w:szCs w:val="22"/>
              </w:rPr>
              <w:t>n (%)</w:t>
            </w:r>
          </w:p>
        </w:tc>
        <w:tc>
          <w:tcPr>
            <w:tcW w:w="0" w:type="auto"/>
          </w:tcPr>
          <w:p w14:paraId="4F7EEC04" w14:textId="77777777" w:rsidR="006F6043" w:rsidRPr="00801AFD" w:rsidRDefault="006F6043" w:rsidP="00801AFD">
            <w:pPr>
              <w:pStyle w:val="C-TableText"/>
              <w:widowControl w:val="0"/>
              <w:jc w:val="center"/>
              <w:rPr>
                <w:sz w:val="22"/>
                <w:szCs w:val="22"/>
              </w:rPr>
            </w:pPr>
          </w:p>
          <w:p w14:paraId="53312CBE" w14:textId="45F7B250" w:rsidR="006F6043" w:rsidRPr="00801AFD" w:rsidRDefault="006F6043" w:rsidP="00801AFD">
            <w:pPr>
              <w:pStyle w:val="C-TableText"/>
              <w:widowControl w:val="0"/>
              <w:jc w:val="center"/>
              <w:rPr>
                <w:sz w:val="22"/>
                <w:szCs w:val="22"/>
              </w:rPr>
            </w:pPr>
            <w:r w:rsidRPr="00801AFD">
              <w:rPr>
                <w:sz w:val="22"/>
                <w:szCs w:val="22"/>
              </w:rPr>
              <w:t>8 (</w:t>
            </w:r>
            <w:r w:rsidR="003A29AF" w:rsidRPr="00801AFD">
              <w:rPr>
                <w:sz w:val="22"/>
                <w:szCs w:val="22"/>
              </w:rPr>
              <w:t>40</w:t>
            </w:r>
            <w:r w:rsidRPr="00801AFD">
              <w:rPr>
                <w:sz w:val="22"/>
                <w:szCs w:val="22"/>
              </w:rPr>
              <w:t>.</w:t>
            </w:r>
            <w:r w:rsidR="003A29AF" w:rsidRPr="00801AFD">
              <w:rPr>
                <w:sz w:val="22"/>
                <w:szCs w:val="22"/>
              </w:rPr>
              <w:t>0</w:t>
            </w:r>
            <w:r w:rsidRPr="00801AFD">
              <w:rPr>
                <w:sz w:val="22"/>
                <w:szCs w:val="22"/>
              </w:rPr>
              <w:t>)</w:t>
            </w:r>
          </w:p>
        </w:tc>
        <w:tc>
          <w:tcPr>
            <w:tcW w:w="0" w:type="auto"/>
          </w:tcPr>
          <w:p w14:paraId="208E6651" w14:textId="77777777" w:rsidR="006F6043" w:rsidRPr="00801AFD" w:rsidRDefault="006F6043" w:rsidP="00801AFD">
            <w:pPr>
              <w:pStyle w:val="C-TableText"/>
              <w:widowControl w:val="0"/>
              <w:jc w:val="center"/>
              <w:rPr>
                <w:sz w:val="22"/>
                <w:szCs w:val="22"/>
              </w:rPr>
            </w:pPr>
          </w:p>
          <w:p w14:paraId="11F7FD7B" w14:textId="77777777" w:rsidR="006F6043" w:rsidRPr="00801AFD" w:rsidRDefault="006F6043" w:rsidP="00801AFD">
            <w:pPr>
              <w:pStyle w:val="C-TableText"/>
              <w:widowControl w:val="0"/>
              <w:jc w:val="center"/>
              <w:rPr>
                <w:sz w:val="22"/>
                <w:szCs w:val="22"/>
              </w:rPr>
            </w:pPr>
            <w:r w:rsidRPr="00801AFD">
              <w:rPr>
                <w:sz w:val="22"/>
                <w:szCs w:val="22"/>
              </w:rPr>
              <w:t>9 (90.0)</w:t>
            </w:r>
          </w:p>
        </w:tc>
      </w:tr>
      <w:tr w:rsidR="006F6043" w:rsidRPr="00801AFD" w14:paraId="438F2D77" w14:textId="77777777" w:rsidTr="00986850">
        <w:trPr>
          <w:jc w:val="center"/>
        </w:trPr>
        <w:tc>
          <w:tcPr>
            <w:tcW w:w="0" w:type="auto"/>
            <w:vAlign w:val="center"/>
          </w:tcPr>
          <w:p w14:paraId="0B067D63" w14:textId="77777777" w:rsidR="006F6043" w:rsidRPr="00801AFD" w:rsidRDefault="006F6043" w:rsidP="00801AFD">
            <w:pPr>
              <w:pStyle w:val="C-TableText"/>
              <w:widowControl w:val="0"/>
              <w:jc w:val="both"/>
              <w:rPr>
                <w:sz w:val="22"/>
                <w:szCs w:val="22"/>
              </w:rPr>
            </w:pPr>
            <w:r w:rsidRPr="00801AFD">
              <w:rPr>
                <w:sz w:val="22"/>
                <w:szCs w:val="22"/>
              </w:rPr>
              <w:t>Rasa</w:t>
            </w:r>
            <w:r w:rsidRPr="00801AFD">
              <w:rPr>
                <w:sz w:val="22"/>
                <w:szCs w:val="22"/>
                <w:vertAlign w:val="superscript"/>
              </w:rPr>
              <w:t>a</w:t>
            </w:r>
          </w:p>
          <w:p w14:paraId="1304EEB2" w14:textId="77777777" w:rsidR="006F6043" w:rsidRPr="00801AFD" w:rsidRDefault="006F6043" w:rsidP="00801AFD">
            <w:pPr>
              <w:pStyle w:val="C-TableText"/>
              <w:widowControl w:val="0"/>
              <w:ind w:left="216"/>
              <w:jc w:val="both"/>
              <w:rPr>
                <w:sz w:val="22"/>
                <w:szCs w:val="22"/>
              </w:rPr>
            </w:pPr>
            <w:r w:rsidRPr="00801AFD">
              <w:rPr>
                <w:sz w:val="22"/>
                <w:szCs w:val="22"/>
              </w:rPr>
              <w:t>Američki Indijanci ili stanovništvo Aljaske</w:t>
            </w:r>
          </w:p>
          <w:p w14:paraId="3F45F130" w14:textId="77777777" w:rsidR="006F6043" w:rsidRPr="00801AFD" w:rsidRDefault="006F6043" w:rsidP="00801AFD">
            <w:pPr>
              <w:pStyle w:val="C-TableText"/>
              <w:widowControl w:val="0"/>
              <w:ind w:left="216"/>
              <w:jc w:val="both"/>
              <w:rPr>
                <w:sz w:val="22"/>
                <w:szCs w:val="22"/>
              </w:rPr>
            </w:pPr>
            <w:r w:rsidRPr="00801AFD">
              <w:rPr>
                <w:sz w:val="22"/>
                <w:szCs w:val="22"/>
              </w:rPr>
              <w:t>Azijska</w:t>
            </w:r>
          </w:p>
          <w:p w14:paraId="7942A60F" w14:textId="77777777" w:rsidR="006F6043" w:rsidRPr="00801AFD" w:rsidRDefault="006F6043" w:rsidP="00801AFD">
            <w:pPr>
              <w:pStyle w:val="C-TableText"/>
              <w:widowControl w:val="0"/>
              <w:ind w:left="216"/>
              <w:jc w:val="both"/>
              <w:rPr>
                <w:sz w:val="22"/>
                <w:szCs w:val="22"/>
              </w:rPr>
            </w:pPr>
            <w:r w:rsidRPr="00801AFD">
              <w:rPr>
                <w:sz w:val="22"/>
                <w:szCs w:val="22"/>
              </w:rPr>
              <w:t>Crna ili Afričko-američka</w:t>
            </w:r>
          </w:p>
          <w:p w14:paraId="0CE995AC" w14:textId="77777777" w:rsidR="006F6043" w:rsidRPr="00801AFD" w:rsidRDefault="006F6043" w:rsidP="00801AFD">
            <w:pPr>
              <w:pStyle w:val="C-TableText"/>
              <w:widowControl w:val="0"/>
              <w:ind w:left="216"/>
              <w:jc w:val="both"/>
              <w:rPr>
                <w:sz w:val="22"/>
                <w:szCs w:val="22"/>
              </w:rPr>
            </w:pPr>
            <w:r w:rsidRPr="00801AFD">
              <w:rPr>
                <w:sz w:val="22"/>
                <w:szCs w:val="22"/>
              </w:rPr>
              <w:t>Bijela</w:t>
            </w:r>
          </w:p>
          <w:p w14:paraId="781FA3A6" w14:textId="77777777" w:rsidR="006F6043" w:rsidRPr="00801AFD" w:rsidRDefault="006F6043" w:rsidP="00801AFD">
            <w:pPr>
              <w:pStyle w:val="C-TableText"/>
              <w:widowControl w:val="0"/>
              <w:ind w:left="216"/>
              <w:jc w:val="both"/>
              <w:rPr>
                <w:sz w:val="22"/>
                <w:szCs w:val="22"/>
              </w:rPr>
            </w:pPr>
            <w:r w:rsidRPr="00801AFD">
              <w:rPr>
                <w:sz w:val="22"/>
                <w:szCs w:val="22"/>
              </w:rPr>
              <w:t>Nepoznata</w:t>
            </w:r>
          </w:p>
        </w:tc>
        <w:tc>
          <w:tcPr>
            <w:tcW w:w="0" w:type="auto"/>
          </w:tcPr>
          <w:p w14:paraId="70D61209" w14:textId="77777777" w:rsidR="006F6043" w:rsidRPr="00801AFD" w:rsidRDefault="006F6043" w:rsidP="00801AFD">
            <w:pPr>
              <w:pStyle w:val="C-TableText"/>
              <w:widowControl w:val="0"/>
              <w:jc w:val="center"/>
              <w:rPr>
                <w:sz w:val="22"/>
                <w:szCs w:val="22"/>
              </w:rPr>
            </w:pPr>
            <w:r w:rsidRPr="00801AFD">
              <w:rPr>
                <w:sz w:val="22"/>
                <w:szCs w:val="22"/>
              </w:rPr>
              <w:t>n (%)</w:t>
            </w:r>
          </w:p>
        </w:tc>
        <w:tc>
          <w:tcPr>
            <w:tcW w:w="0" w:type="auto"/>
          </w:tcPr>
          <w:p w14:paraId="5F7ED17D" w14:textId="77777777" w:rsidR="006F6043" w:rsidRPr="00801AFD" w:rsidRDefault="006F6043" w:rsidP="00801AFD">
            <w:pPr>
              <w:pStyle w:val="C-TableText"/>
              <w:widowControl w:val="0"/>
              <w:jc w:val="center"/>
              <w:rPr>
                <w:sz w:val="22"/>
                <w:szCs w:val="22"/>
              </w:rPr>
            </w:pPr>
          </w:p>
          <w:p w14:paraId="066DB391" w14:textId="77777777" w:rsidR="004A455F" w:rsidRPr="00801AFD" w:rsidRDefault="004A455F" w:rsidP="00801AFD">
            <w:pPr>
              <w:pStyle w:val="C-TableText"/>
              <w:widowControl w:val="0"/>
              <w:jc w:val="center"/>
              <w:rPr>
                <w:sz w:val="22"/>
                <w:szCs w:val="22"/>
              </w:rPr>
            </w:pPr>
          </w:p>
          <w:p w14:paraId="1F3789BF" w14:textId="4A80773C" w:rsidR="006F6043" w:rsidRPr="00801AFD" w:rsidRDefault="006F6043" w:rsidP="00801AFD">
            <w:pPr>
              <w:pStyle w:val="C-TableText"/>
              <w:widowControl w:val="0"/>
              <w:jc w:val="center"/>
              <w:rPr>
                <w:sz w:val="22"/>
                <w:szCs w:val="22"/>
              </w:rPr>
            </w:pPr>
            <w:r w:rsidRPr="00801AFD">
              <w:rPr>
                <w:sz w:val="22"/>
                <w:szCs w:val="22"/>
              </w:rPr>
              <w:t>1 (5.</w:t>
            </w:r>
            <w:r w:rsidR="003A29AF" w:rsidRPr="00801AFD">
              <w:rPr>
                <w:sz w:val="22"/>
                <w:szCs w:val="22"/>
              </w:rPr>
              <w:t>0</w:t>
            </w:r>
            <w:r w:rsidRPr="00801AFD">
              <w:rPr>
                <w:sz w:val="22"/>
                <w:szCs w:val="22"/>
              </w:rPr>
              <w:t>)</w:t>
            </w:r>
          </w:p>
          <w:p w14:paraId="30AC15FE" w14:textId="51C1F159" w:rsidR="006F6043" w:rsidRPr="00801AFD" w:rsidRDefault="006F6043" w:rsidP="00801AFD">
            <w:pPr>
              <w:pStyle w:val="C-TableText"/>
              <w:widowControl w:val="0"/>
              <w:jc w:val="center"/>
              <w:rPr>
                <w:sz w:val="22"/>
                <w:szCs w:val="22"/>
              </w:rPr>
            </w:pPr>
            <w:r w:rsidRPr="00801AFD">
              <w:rPr>
                <w:sz w:val="22"/>
                <w:szCs w:val="22"/>
              </w:rPr>
              <w:t>5 (</w:t>
            </w:r>
            <w:r w:rsidR="003A29AF" w:rsidRPr="00801AFD">
              <w:rPr>
                <w:sz w:val="22"/>
                <w:szCs w:val="22"/>
              </w:rPr>
              <w:t>25</w:t>
            </w:r>
            <w:r w:rsidRPr="00801AFD">
              <w:rPr>
                <w:sz w:val="22"/>
                <w:szCs w:val="22"/>
              </w:rPr>
              <w:t>.</w:t>
            </w:r>
            <w:r w:rsidR="003A29AF" w:rsidRPr="00801AFD">
              <w:rPr>
                <w:sz w:val="22"/>
                <w:szCs w:val="22"/>
              </w:rPr>
              <w:t>0</w:t>
            </w:r>
            <w:r w:rsidRPr="00801AFD">
              <w:rPr>
                <w:sz w:val="22"/>
                <w:szCs w:val="22"/>
              </w:rPr>
              <w:t>)</w:t>
            </w:r>
          </w:p>
          <w:p w14:paraId="54D46E30" w14:textId="086DF5B1" w:rsidR="006F6043" w:rsidRPr="00801AFD" w:rsidRDefault="006F6043" w:rsidP="00801AFD">
            <w:pPr>
              <w:pStyle w:val="C-TableText"/>
              <w:widowControl w:val="0"/>
              <w:jc w:val="center"/>
              <w:rPr>
                <w:sz w:val="22"/>
                <w:szCs w:val="22"/>
              </w:rPr>
            </w:pPr>
            <w:r w:rsidRPr="00801AFD">
              <w:rPr>
                <w:sz w:val="22"/>
                <w:szCs w:val="22"/>
              </w:rPr>
              <w:t>3 (</w:t>
            </w:r>
            <w:r w:rsidR="003A29AF" w:rsidRPr="00801AFD">
              <w:rPr>
                <w:sz w:val="22"/>
                <w:szCs w:val="22"/>
              </w:rPr>
              <w:t>15</w:t>
            </w:r>
            <w:r w:rsidRPr="00801AFD">
              <w:rPr>
                <w:sz w:val="22"/>
                <w:szCs w:val="22"/>
              </w:rPr>
              <w:t>.</w:t>
            </w:r>
            <w:r w:rsidR="003A29AF" w:rsidRPr="00801AFD">
              <w:rPr>
                <w:sz w:val="22"/>
                <w:szCs w:val="22"/>
              </w:rPr>
              <w:t>0</w:t>
            </w:r>
            <w:r w:rsidRPr="00801AFD">
              <w:rPr>
                <w:sz w:val="22"/>
                <w:szCs w:val="22"/>
              </w:rPr>
              <w:t>)</w:t>
            </w:r>
          </w:p>
          <w:p w14:paraId="74941B20" w14:textId="61A97AE1" w:rsidR="006F6043" w:rsidRPr="00801AFD" w:rsidRDefault="003A29AF" w:rsidP="00801AFD">
            <w:pPr>
              <w:pStyle w:val="C-TableText"/>
              <w:widowControl w:val="0"/>
              <w:jc w:val="center"/>
              <w:rPr>
                <w:sz w:val="22"/>
                <w:szCs w:val="22"/>
              </w:rPr>
            </w:pPr>
            <w:r w:rsidRPr="00801AFD">
              <w:rPr>
                <w:sz w:val="22"/>
                <w:szCs w:val="22"/>
              </w:rPr>
              <w:t xml:space="preserve">11 </w:t>
            </w:r>
            <w:r w:rsidR="006F6043" w:rsidRPr="00801AFD">
              <w:rPr>
                <w:sz w:val="22"/>
                <w:szCs w:val="22"/>
              </w:rPr>
              <w:t>(</w:t>
            </w:r>
            <w:r w:rsidRPr="00801AFD">
              <w:rPr>
                <w:sz w:val="22"/>
                <w:szCs w:val="22"/>
              </w:rPr>
              <w:t>55</w:t>
            </w:r>
            <w:r w:rsidR="006F6043" w:rsidRPr="00801AFD">
              <w:rPr>
                <w:sz w:val="22"/>
                <w:szCs w:val="22"/>
              </w:rPr>
              <w:t>.0)</w:t>
            </w:r>
          </w:p>
          <w:p w14:paraId="70E185D8" w14:textId="3DDBE646" w:rsidR="006F6043" w:rsidRPr="00801AFD" w:rsidRDefault="006F6043" w:rsidP="00801AFD">
            <w:pPr>
              <w:pStyle w:val="C-TableText"/>
              <w:widowControl w:val="0"/>
              <w:jc w:val="center"/>
              <w:rPr>
                <w:sz w:val="22"/>
                <w:szCs w:val="22"/>
              </w:rPr>
            </w:pPr>
            <w:r w:rsidRPr="00801AFD">
              <w:rPr>
                <w:sz w:val="22"/>
                <w:szCs w:val="22"/>
              </w:rPr>
              <w:t>1 (5.</w:t>
            </w:r>
            <w:r w:rsidR="003A29AF" w:rsidRPr="00801AFD">
              <w:rPr>
                <w:sz w:val="22"/>
                <w:szCs w:val="22"/>
              </w:rPr>
              <w:t>0</w:t>
            </w:r>
            <w:r w:rsidRPr="00801AFD">
              <w:rPr>
                <w:sz w:val="22"/>
                <w:szCs w:val="22"/>
              </w:rPr>
              <w:t>)</w:t>
            </w:r>
          </w:p>
        </w:tc>
        <w:tc>
          <w:tcPr>
            <w:tcW w:w="0" w:type="auto"/>
          </w:tcPr>
          <w:p w14:paraId="16D8ACFA" w14:textId="77777777" w:rsidR="006F6043" w:rsidRPr="00801AFD" w:rsidRDefault="006F6043" w:rsidP="00801AFD">
            <w:pPr>
              <w:pStyle w:val="C-TableText"/>
              <w:widowControl w:val="0"/>
              <w:jc w:val="center"/>
              <w:rPr>
                <w:sz w:val="22"/>
                <w:szCs w:val="22"/>
              </w:rPr>
            </w:pPr>
          </w:p>
          <w:p w14:paraId="45302827" w14:textId="77777777" w:rsidR="004A455F" w:rsidRPr="00801AFD" w:rsidRDefault="004A455F" w:rsidP="00801AFD">
            <w:pPr>
              <w:pStyle w:val="C-TableText"/>
              <w:widowControl w:val="0"/>
              <w:jc w:val="center"/>
              <w:rPr>
                <w:sz w:val="22"/>
                <w:szCs w:val="22"/>
              </w:rPr>
            </w:pPr>
          </w:p>
          <w:p w14:paraId="1170AFE4" w14:textId="236DC520" w:rsidR="006F6043" w:rsidRPr="00801AFD" w:rsidRDefault="006F6043" w:rsidP="00801AFD">
            <w:pPr>
              <w:pStyle w:val="C-TableText"/>
              <w:widowControl w:val="0"/>
              <w:jc w:val="center"/>
              <w:rPr>
                <w:sz w:val="22"/>
                <w:szCs w:val="22"/>
              </w:rPr>
            </w:pPr>
            <w:r w:rsidRPr="00801AFD">
              <w:rPr>
                <w:sz w:val="22"/>
                <w:szCs w:val="22"/>
              </w:rPr>
              <w:t>0 (0.0)</w:t>
            </w:r>
          </w:p>
          <w:p w14:paraId="2B1872BB" w14:textId="77777777" w:rsidR="006F6043" w:rsidRPr="00801AFD" w:rsidRDefault="006F6043" w:rsidP="00801AFD">
            <w:pPr>
              <w:pStyle w:val="C-TableText"/>
              <w:widowControl w:val="0"/>
              <w:jc w:val="center"/>
              <w:rPr>
                <w:sz w:val="22"/>
                <w:szCs w:val="22"/>
              </w:rPr>
            </w:pPr>
            <w:r w:rsidRPr="00801AFD">
              <w:rPr>
                <w:sz w:val="22"/>
                <w:szCs w:val="22"/>
              </w:rPr>
              <w:t>4 (40.0)</w:t>
            </w:r>
          </w:p>
          <w:p w14:paraId="63F62C8C" w14:textId="77777777" w:rsidR="006F6043" w:rsidRPr="00801AFD" w:rsidRDefault="006F6043" w:rsidP="00801AFD">
            <w:pPr>
              <w:pStyle w:val="C-TableText"/>
              <w:widowControl w:val="0"/>
              <w:jc w:val="center"/>
              <w:rPr>
                <w:sz w:val="22"/>
                <w:szCs w:val="22"/>
              </w:rPr>
            </w:pPr>
            <w:r w:rsidRPr="00801AFD">
              <w:rPr>
                <w:sz w:val="22"/>
                <w:szCs w:val="22"/>
              </w:rPr>
              <w:t>1 (10.0)</w:t>
            </w:r>
          </w:p>
          <w:p w14:paraId="7617F509" w14:textId="77777777" w:rsidR="006F6043" w:rsidRPr="00801AFD" w:rsidRDefault="006F6043" w:rsidP="00801AFD">
            <w:pPr>
              <w:pStyle w:val="C-TableText"/>
              <w:widowControl w:val="0"/>
              <w:jc w:val="center"/>
              <w:rPr>
                <w:sz w:val="22"/>
                <w:szCs w:val="22"/>
              </w:rPr>
            </w:pPr>
            <w:r w:rsidRPr="00801AFD">
              <w:rPr>
                <w:sz w:val="22"/>
                <w:szCs w:val="22"/>
              </w:rPr>
              <w:t>5 (50.0)</w:t>
            </w:r>
          </w:p>
          <w:p w14:paraId="102055FB" w14:textId="77777777" w:rsidR="006F6043" w:rsidRPr="00801AFD" w:rsidRDefault="006F6043" w:rsidP="00801AFD">
            <w:pPr>
              <w:pStyle w:val="C-TableText"/>
              <w:widowControl w:val="0"/>
              <w:jc w:val="center"/>
              <w:rPr>
                <w:sz w:val="22"/>
                <w:szCs w:val="22"/>
              </w:rPr>
            </w:pPr>
            <w:r w:rsidRPr="00801AFD">
              <w:rPr>
                <w:sz w:val="22"/>
                <w:szCs w:val="22"/>
              </w:rPr>
              <w:t>0 (0.0)</w:t>
            </w:r>
          </w:p>
        </w:tc>
      </w:tr>
      <w:tr w:rsidR="006F6043" w:rsidRPr="00801AFD" w14:paraId="64E467B3" w14:textId="77777777" w:rsidTr="00986850">
        <w:trPr>
          <w:jc w:val="center"/>
        </w:trPr>
        <w:tc>
          <w:tcPr>
            <w:tcW w:w="0" w:type="auto"/>
          </w:tcPr>
          <w:p w14:paraId="66CFF94E" w14:textId="77777777" w:rsidR="006F6043" w:rsidRPr="00801AFD" w:rsidRDefault="006F6043" w:rsidP="00801AFD">
            <w:pPr>
              <w:pStyle w:val="C-TableText"/>
              <w:widowControl w:val="0"/>
              <w:jc w:val="both"/>
              <w:rPr>
                <w:sz w:val="22"/>
                <w:szCs w:val="22"/>
              </w:rPr>
            </w:pPr>
            <w:r w:rsidRPr="00801AFD">
              <w:rPr>
                <w:sz w:val="22"/>
                <w:szCs w:val="22"/>
              </w:rPr>
              <w:t>Prethodna transplantacija</w:t>
            </w:r>
          </w:p>
        </w:tc>
        <w:tc>
          <w:tcPr>
            <w:tcW w:w="0" w:type="auto"/>
          </w:tcPr>
          <w:p w14:paraId="539C25B0" w14:textId="77777777" w:rsidR="006F6043" w:rsidRPr="00801AFD" w:rsidRDefault="006F6043" w:rsidP="00801AFD">
            <w:pPr>
              <w:pStyle w:val="C-TableText"/>
              <w:widowControl w:val="0"/>
              <w:jc w:val="center"/>
              <w:rPr>
                <w:sz w:val="22"/>
                <w:szCs w:val="22"/>
              </w:rPr>
            </w:pPr>
            <w:r w:rsidRPr="00801AFD">
              <w:rPr>
                <w:sz w:val="22"/>
                <w:szCs w:val="22"/>
              </w:rPr>
              <w:t>n (%)</w:t>
            </w:r>
          </w:p>
        </w:tc>
        <w:tc>
          <w:tcPr>
            <w:tcW w:w="0" w:type="auto"/>
          </w:tcPr>
          <w:p w14:paraId="285EB08C" w14:textId="77777777" w:rsidR="006F6043" w:rsidRPr="00801AFD" w:rsidRDefault="006F6043" w:rsidP="00801AFD">
            <w:pPr>
              <w:pStyle w:val="C-TableText"/>
              <w:widowControl w:val="0"/>
              <w:jc w:val="center"/>
              <w:rPr>
                <w:sz w:val="22"/>
                <w:szCs w:val="22"/>
              </w:rPr>
            </w:pPr>
            <w:r w:rsidRPr="00801AFD">
              <w:rPr>
                <w:sz w:val="22"/>
                <w:szCs w:val="22"/>
              </w:rPr>
              <w:t>1 (5.6)</w:t>
            </w:r>
          </w:p>
        </w:tc>
        <w:tc>
          <w:tcPr>
            <w:tcW w:w="0" w:type="auto"/>
          </w:tcPr>
          <w:p w14:paraId="53A7BC01" w14:textId="77777777" w:rsidR="006F6043" w:rsidRPr="00801AFD" w:rsidRDefault="006F6043" w:rsidP="00801AFD">
            <w:pPr>
              <w:pStyle w:val="C-TableText"/>
              <w:widowControl w:val="0"/>
              <w:jc w:val="center"/>
              <w:rPr>
                <w:sz w:val="22"/>
                <w:szCs w:val="22"/>
              </w:rPr>
            </w:pPr>
            <w:r w:rsidRPr="00801AFD">
              <w:rPr>
                <w:sz w:val="22"/>
                <w:szCs w:val="22"/>
              </w:rPr>
              <w:t>1 (10.0)</w:t>
            </w:r>
          </w:p>
        </w:tc>
      </w:tr>
      <w:tr w:rsidR="006F6043" w:rsidRPr="00801AFD" w14:paraId="369E9BCF" w14:textId="77777777" w:rsidTr="00986850">
        <w:trPr>
          <w:jc w:val="center"/>
        </w:trPr>
        <w:tc>
          <w:tcPr>
            <w:tcW w:w="0" w:type="auto"/>
          </w:tcPr>
          <w:p w14:paraId="296B291A" w14:textId="1394C30B" w:rsidR="006F6043" w:rsidRPr="00801AFD" w:rsidRDefault="006F6043" w:rsidP="00801AFD">
            <w:pPr>
              <w:pStyle w:val="C-TableText"/>
              <w:widowControl w:val="0"/>
              <w:jc w:val="both"/>
              <w:rPr>
                <w:sz w:val="22"/>
                <w:szCs w:val="22"/>
              </w:rPr>
            </w:pPr>
            <w:r w:rsidRPr="00801AFD">
              <w:rPr>
                <w:sz w:val="22"/>
                <w:szCs w:val="22"/>
              </w:rPr>
              <w:t>Trombociti (10</w:t>
            </w:r>
            <w:r w:rsidRPr="00801AFD">
              <w:rPr>
                <w:sz w:val="22"/>
                <w:szCs w:val="22"/>
                <w:vertAlign w:val="superscript"/>
              </w:rPr>
              <w:t>9</w:t>
            </w:r>
            <w:r w:rsidRPr="00801AFD">
              <w:rPr>
                <w:sz w:val="22"/>
                <w:szCs w:val="22"/>
              </w:rPr>
              <w:t>/</w:t>
            </w:r>
            <w:r w:rsidR="00D4193A" w:rsidRPr="00801AFD">
              <w:rPr>
                <w:sz w:val="22"/>
                <w:szCs w:val="22"/>
              </w:rPr>
              <w:t>l</w:t>
            </w:r>
            <w:r w:rsidRPr="00801AFD">
              <w:rPr>
                <w:sz w:val="22"/>
                <w:szCs w:val="22"/>
              </w:rPr>
              <w:t>) krv</w:t>
            </w:r>
          </w:p>
        </w:tc>
        <w:tc>
          <w:tcPr>
            <w:tcW w:w="0" w:type="auto"/>
          </w:tcPr>
          <w:p w14:paraId="0F149394" w14:textId="77777777" w:rsidR="006F6043" w:rsidRPr="00801AFD" w:rsidRDefault="006F6043" w:rsidP="00801AFD">
            <w:pPr>
              <w:pStyle w:val="C-TableText"/>
              <w:widowControl w:val="0"/>
              <w:jc w:val="center"/>
              <w:rPr>
                <w:sz w:val="22"/>
                <w:szCs w:val="22"/>
              </w:rPr>
            </w:pPr>
            <w:r w:rsidRPr="00801AFD">
              <w:rPr>
                <w:sz w:val="22"/>
                <w:szCs w:val="22"/>
              </w:rPr>
              <w:t>Medijana (min, maks)</w:t>
            </w:r>
          </w:p>
        </w:tc>
        <w:tc>
          <w:tcPr>
            <w:tcW w:w="0" w:type="auto"/>
          </w:tcPr>
          <w:p w14:paraId="236E5308" w14:textId="77777777" w:rsidR="006F6043" w:rsidRPr="00801AFD" w:rsidRDefault="006F6043" w:rsidP="00801AFD">
            <w:pPr>
              <w:pStyle w:val="C-TableText"/>
              <w:widowControl w:val="0"/>
              <w:jc w:val="center"/>
              <w:rPr>
                <w:sz w:val="22"/>
                <w:szCs w:val="22"/>
              </w:rPr>
            </w:pPr>
            <w:r w:rsidRPr="00801AFD">
              <w:rPr>
                <w:sz w:val="22"/>
                <w:szCs w:val="22"/>
              </w:rPr>
              <w:t>51.25 (14, 125)</w:t>
            </w:r>
          </w:p>
        </w:tc>
        <w:tc>
          <w:tcPr>
            <w:tcW w:w="0" w:type="auto"/>
          </w:tcPr>
          <w:p w14:paraId="5A743192" w14:textId="77777777" w:rsidR="006F6043" w:rsidRPr="00801AFD" w:rsidRDefault="006F6043" w:rsidP="00801AFD">
            <w:pPr>
              <w:pStyle w:val="C-TableText"/>
              <w:widowControl w:val="0"/>
              <w:jc w:val="center"/>
              <w:rPr>
                <w:sz w:val="22"/>
                <w:szCs w:val="22"/>
              </w:rPr>
            </w:pPr>
            <w:r w:rsidRPr="00801AFD">
              <w:rPr>
                <w:sz w:val="22"/>
                <w:szCs w:val="22"/>
              </w:rPr>
              <w:t>281.75 (207, 415.5)</w:t>
            </w:r>
          </w:p>
        </w:tc>
      </w:tr>
      <w:tr w:rsidR="006F6043" w:rsidRPr="00801AFD" w14:paraId="7E5EEB4E" w14:textId="77777777" w:rsidTr="00986850">
        <w:trPr>
          <w:jc w:val="center"/>
        </w:trPr>
        <w:tc>
          <w:tcPr>
            <w:tcW w:w="0" w:type="auto"/>
          </w:tcPr>
          <w:p w14:paraId="7DCC3202" w14:textId="54F52176" w:rsidR="006F6043" w:rsidRPr="00801AFD" w:rsidRDefault="006F6043" w:rsidP="00801AFD">
            <w:pPr>
              <w:pStyle w:val="C-TableText"/>
              <w:widowControl w:val="0"/>
              <w:jc w:val="both"/>
              <w:rPr>
                <w:sz w:val="22"/>
                <w:szCs w:val="22"/>
              </w:rPr>
            </w:pPr>
            <w:r w:rsidRPr="00801AFD">
              <w:rPr>
                <w:sz w:val="22"/>
                <w:szCs w:val="22"/>
              </w:rPr>
              <w:t>Hemoglobin (g/</w:t>
            </w:r>
            <w:r w:rsidR="00D4193A" w:rsidRPr="00801AFD">
              <w:rPr>
                <w:sz w:val="22"/>
                <w:szCs w:val="22"/>
              </w:rPr>
              <w:t>l</w:t>
            </w:r>
            <w:r w:rsidRPr="00801AFD">
              <w:rPr>
                <w:sz w:val="22"/>
                <w:szCs w:val="22"/>
              </w:rPr>
              <w:t>)</w:t>
            </w:r>
          </w:p>
        </w:tc>
        <w:tc>
          <w:tcPr>
            <w:tcW w:w="0" w:type="auto"/>
          </w:tcPr>
          <w:p w14:paraId="1DA76074" w14:textId="77777777" w:rsidR="006F6043" w:rsidRPr="00801AFD" w:rsidRDefault="006F6043" w:rsidP="00801AFD">
            <w:pPr>
              <w:pStyle w:val="C-TableText"/>
              <w:widowControl w:val="0"/>
              <w:jc w:val="center"/>
              <w:rPr>
                <w:sz w:val="22"/>
                <w:szCs w:val="22"/>
              </w:rPr>
            </w:pPr>
            <w:r w:rsidRPr="00801AFD">
              <w:rPr>
                <w:sz w:val="22"/>
                <w:szCs w:val="22"/>
              </w:rPr>
              <w:t>Medijana (min, maks)</w:t>
            </w:r>
          </w:p>
        </w:tc>
        <w:tc>
          <w:tcPr>
            <w:tcW w:w="0" w:type="auto"/>
          </w:tcPr>
          <w:p w14:paraId="392C0102" w14:textId="77777777" w:rsidR="006F6043" w:rsidRPr="00801AFD" w:rsidRDefault="006F6043" w:rsidP="00801AFD">
            <w:pPr>
              <w:pStyle w:val="C-TableText"/>
              <w:widowControl w:val="0"/>
              <w:jc w:val="center"/>
              <w:rPr>
                <w:bCs/>
                <w:sz w:val="22"/>
                <w:szCs w:val="22"/>
              </w:rPr>
            </w:pPr>
            <w:r w:rsidRPr="00801AFD">
              <w:rPr>
                <w:bCs/>
                <w:sz w:val="22"/>
                <w:szCs w:val="22"/>
              </w:rPr>
              <w:t>74.25 (32, 106)</w:t>
            </w:r>
          </w:p>
        </w:tc>
        <w:tc>
          <w:tcPr>
            <w:tcW w:w="0" w:type="auto"/>
          </w:tcPr>
          <w:p w14:paraId="682F6C69" w14:textId="77777777" w:rsidR="006F6043" w:rsidRPr="00801AFD" w:rsidRDefault="006F6043" w:rsidP="00801AFD">
            <w:pPr>
              <w:pStyle w:val="C-TableText"/>
              <w:widowControl w:val="0"/>
              <w:jc w:val="center"/>
              <w:rPr>
                <w:sz w:val="22"/>
                <w:szCs w:val="22"/>
              </w:rPr>
            </w:pPr>
            <w:r w:rsidRPr="00801AFD">
              <w:rPr>
                <w:sz w:val="22"/>
                <w:szCs w:val="22"/>
              </w:rPr>
              <w:t>132.0 (114.5, 148)</w:t>
            </w:r>
          </w:p>
        </w:tc>
      </w:tr>
      <w:tr w:rsidR="006F6043" w:rsidRPr="00801AFD" w14:paraId="49A5C1AE" w14:textId="77777777" w:rsidTr="00986850">
        <w:trPr>
          <w:jc w:val="center"/>
        </w:trPr>
        <w:tc>
          <w:tcPr>
            <w:tcW w:w="0" w:type="auto"/>
          </w:tcPr>
          <w:p w14:paraId="1A761682" w14:textId="5B119331" w:rsidR="006F6043" w:rsidRPr="00801AFD" w:rsidRDefault="006F6043" w:rsidP="00801AFD">
            <w:pPr>
              <w:pStyle w:val="C-TableText"/>
              <w:widowControl w:val="0"/>
              <w:jc w:val="both"/>
              <w:rPr>
                <w:sz w:val="22"/>
                <w:szCs w:val="22"/>
              </w:rPr>
            </w:pPr>
            <w:r w:rsidRPr="00801AFD">
              <w:rPr>
                <w:sz w:val="22"/>
                <w:szCs w:val="22"/>
              </w:rPr>
              <w:t>LDH (U/</w:t>
            </w:r>
            <w:r w:rsidR="00D4193A" w:rsidRPr="00801AFD">
              <w:rPr>
                <w:sz w:val="22"/>
                <w:szCs w:val="22"/>
              </w:rPr>
              <w:t>l</w:t>
            </w:r>
            <w:r w:rsidRPr="00801AFD">
              <w:rPr>
                <w:sz w:val="22"/>
                <w:szCs w:val="22"/>
              </w:rPr>
              <w:t>)</w:t>
            </w:r>
          </w:p>
        </w:tc>
        <w:tc>
          <w:tcPr>
            <w:tcW w:w="0" w:type="auto"/>
          </w:tcPr>
          <w:p w14:paraId="3F4A46C7" w14:textId="77777777" w:rsidR="006F6043" w:rsidRPr="00801AFD" w:rsidRDefault="006F6043" w:rsidP="00801AFD">
            <w:pPr>
              <w:pStyle w:val="C-TableText"/>
              <w:widowControl w:val="0"/>
              <w:jc w:val="center"/>
              <w:rPr>
                <w:sz w:val="22"/>
                <w:szCs w:val="22"/>
              </w:rPr>
            </w:pPr>
            <w:r w:rsidRPr="00801AFD">
              <w:rPr>
                <w:sz w:val="22"/>
                <w:szCs w:val="22"/>
              </w:rPr>
              <w:t>Medijana (min, maks)</w:t>
            </w:r>
          </w:p>
        </w:tc>
        <w:tc>
          <w:tcPr>
            <w:tcW w:w="0" w:type="auto"/>
            <w:tcBorders>
              <w:bottom w:val="single" w:sz="4" w:space="0" w:color="auto"/>
            </w:tcBorders>
          </w:tcPr>
          <w:p w14:paraId="1F8A1A0F" w14:textId="77777777" w:rsidR="006F6043" w:rsidRPr="00801AFD" w:rsidRDefault="006F6043" w:rsidP="00801AFD">
            <w:pPr>
              <w:pStyle w:val="C-TableText"/>
              <w:widowControl w:val="0"/>
              <w:jc w:val="center"/>
              <w:rPr>
                <w:bCs/>
                <w:sz w:val="22"/>
                <w:szCs w:val="22"/>
              </w:rPr>
            </w:pPr>
            <w:r w:rsidRPr="00801AFD">
              <w:rPr>
                <w:bCs/>
                <w:sz w:val="22"/>
                <w:szCs w:val="22"/>
              </w:rPr>
              <w:t>1963.0 (772, 4985)</w:t>
            </w:r>
          </w:p>
        </w:tc>
        <w:tc>
          <w:tcPr>
            <w:tcW w:w="0" w:type="auto"/>
            <w:tcBorders>
              <w:bottom w:val="single" w:sz="4" w:space="0" w:color="auto"/>
            </w:tcBorders>
          </w:tcPr>
          <w:p w14:paraId="10167C28" w14:textId="77777777" w:rsidR="006F6043" w:rsidRPr="00801AFD" w:rsidRDefault="006F6043" w:rsidP="00801AFD">
            <w:pPr>
              <w:pStyle w:val="C-TableText"/>
              <w:widowControl w:val="0"/>
              <w:jc w:val="center"/>
              <w:rPr>
                <w:sz w:val="22"/>
                <w:szCs w:val="22"/>
              </w:rPr>
            </w:pPr>
            <w:r w:rsidRPr="00801AFD">
              <w:rPr>
                <w:sz w:val="22"/>
                <w:szCs w:val="22"/>
              </w:rPr>
              <w:t>206.5 (138.5, 356)</w:t>
            </w:r>
          </w:p>
        </w:tc>
      </w:tr>
      <w:tr w:rsidR="006F6043" w:rsidRPr="00801AFD" w14:paraId="22D4D6ED" w14:textId="77777777" w:rsidTr="00986850">
        <w:trPr>
          <w:jc w:val="center"/>
        </w:trPr>
        <w:tc>
          <w:tcPr>
            <w:tcW w:w="0" w:type="auto"/>
          </w:tcPr>
          <w:p w14:paraId="7703FE0F" w14:textId="4C48AB26" w:rsidR="006F6043" w:rsidRPr="00801AFD" w:rsidRDefault="006F6043" w:rsidP="00801AFD">
            <w:pPr>
              <w:pStyle w:val="C-TableText"/>
              <w:widowControl w:val="0"/>
              <w:jc w:val="both"/>
              <w:rPr>
                <w:sz w:val="22"/>
                <w:szCs w:val="22"/>
              </w:rPr>
            </w:pPr>
            <w:r w:rsidRPr="00801AFD">
              <w:rPr>
                <w:sz w:val="22"/>
                <w:szCs w:val="22"/>
              </w:rPr>
              <w:t>eGFR (m</w:t>
            </w:r>
            <w:r w:rsidR="00D4193A" w:rsidRPr="00801AFD">
              <w:rPr>
                <w:sz w:val="22"/>
                <w:szCs w:val="22"/>
              </w:rPr>
              <w:t>l</w:t>
            </w:r>
            <w:r w:rsidRPr="00801AFD">
              <w:rPr>
                <w:sz w:val="22"/>
                <w:szCs w:val="22"/>
              </w:rPr>
              <w:t>/min/1.73 m</w:t>
            </w:r>
            <w:r w:rsidRPr="00801AFD">
              <w:rPr>
                <w:sz w:val="22"/>
                <w:szCs w:val="22"/>
                <w:vertAlign w:val="superscript"/>
              </w:rPr>
              <w:t>2</w:t>
            </w:r>
            <w:r w:rsidRPr="00801AFD">
              <w:rPr>
                <w:sz w:val="22"/>
                <w:szCs w:val="22"/>
              </w:rPr>
              <w:t>)</w:t>
            </w:r>
          </w:p>
        </w:tc>
        <w:tc>
          <w:tcPr>
            <w:tcW w:w="0" w:type="auto"/>
          </w:tcPr>
          <w:p w14:paraId="6F367B16" w14:textId="77777777" w:rsidR="006F6043" w:rsidRPr="00801AFD" w:rsidRDefault="006F6043" w:rsidP="00801AFD">
            <w:pPr>
              <w:pStyle w:val="C-TableText"/>
              <w:widowControl w:val="0"/>
              <w:jc w:val="center"/>
              <w:rPr>
                <w:sz w:val="22"/>
                <w:szCs w:val="22"/>
              </w:rPr>
            </w:pPr>
            <w:r w:rsidRPr="00801AFD">
              <w:rPr>
                <w:sz w:val="22"/>
                <w:szCs w:val="22"/>
              </w:rPr>
              <w:t>Medijana (min, maks)</w:t>
            </w:r>
          </w:p>
        </w:tc>
        <w:tc>
          <w:tcPr>
            <w:tcW w:w="0" w:type="auto"/>
          </w:tcPr>
          <w:p w14:paraId="181CDBBA" w14:textId="77777777" w:rsidR="006F6043" w:rsidRPr="00801AFD" w:rsidRDefault="006F6043" w:rsidP="00801AFD">
            <w:pPr>
              <w:pStyle w:val="C-TableText"/>
              <w:widowControl w:val="0"/>
              <w:jc w:val="center"/>
              <w:rPr>
                <w:b/>
                <w:bCs/>
                <w:sz w:val="22"/>
                <w:szCs w:val="22"/>
              </w:rPr>
            </w:pPr>
            <w:r w:rsidRPr="00801AFD">
              <w:rPr>
                <w:sz w:val="22"/>
                <w:szCs w:val="22"/>
              </w:rPr>
              <w:t>22.0 (10, 84)</w:t>
            </w:r>
          </w:p>
        </w:tc>
        <w:tc>
          <w:tcPr>
            <w:tcW w:w="0" w:type="auto"/>
          </w:tcPr>
          <w:p w14:paraId="2626353B" w14:textId="77777777" w:rsidR="006F6043" w:rsidRPr="00801AFD" w:rsidRDefault="006F6043" w:rsidP="00801AFD">
            <w:pPr>
              <w:pStyle w:val="C-TableText"/>
              <w:widowControl w:val="0"/>
              <w:jc w:val="center"/>
              <w:rPr>
                <w:sz w:val="22"/>
                <w:szCs w:val="22"/>
              </w:rPr>
            </w:pPr>
            <w:r w:rsidRPr="00801AFD">
              <w:rPr>
                <w:sz w:val="22"/>
                <w:szCs w:val="22"/>
              </w:rPr>
              <w:t>99.75 (54, 136.5)</w:t>
            </w:r>
          </w:p>
        </w:tc>
      </w:tr>
      <w:tr w:rsidR="006F6043" w:rsidRPr="00801AFD" w14:paraId="363242F6" w14:textId="77777777" w:rsidTr="00986850">
        <w:trPr>
          <w:jc w:val="center"/>
        </w:trPr>
        <w:tc>
          <w:tcPr>
            <w:tcW w:w="0" w:type="auto"/>
          </w:tcPr>
          <w:p w14:paraId="5A46084E" w14:textId="5C22CFE2" w:rsidR="006F6043" w:rsidRPr="00801AFD" w:rsidRDefault="006F6043" w:rsidP="00801AFD">
            <w:pPr>
              <w:pStyle w:val="C-TableText"/>
              <w:widowControl w:val="0"/>
              <w:jc w:val="both"/>
              <w:rPr>
                <w:sz w:val="22"/>
                <w:szCs w:val="22"/>
              </w:rPr>
            </w:pPr>
            <w:r w:rsidRPr="00801AFD">
              <w:rPr>
                <w:sz w:val="22"/>
                <w:szCs w:val="22"/>
              </w:rPr>
              <w:t>Potrebna dijaliza na početku</w:t>
            </w:r>
            <w:r w:rsidR="000B577C" w:rsidRPr="00801AFD">
              <w:rPr>
                <w:sz w:val="22"/>
                <w:szCs w:val="22"/>
              </w:rPr>
              <w:t xml:space="preserve"> ispitivanja </w:t>
            </w:r>
          </w:p>
        </w:tc>
        <w:tc>
          <w:tcPr>
            <w:tcW w:w="0" w:type="auto"/>
          </w:tcPr>
          <w:p w14:paraId="4BB979BE" w14:textId="77777777" w:rsidR="006F6043" w:rsidRPr="00801AFD" w:rsidRDefault="006F6043" w:rsidP="00801AFD">
            <w:pPr>
              <w:pStyle w:val="C-TableText"/>
              <w:widowControl w:val="0"/>
              <w:jc w:val="center"/>
              <w:rPr>
                <w:b/>
                <w:bCs/>
                <w:sz w:val="22"/>
                <w:szCs w:val="22"/>
              </w:rPr>
            </w:pPr>
            <w:r w:rsidRPr="00801AFD">
              <w:rPr>
                <w:bCs/>
                <w:sz w:val="22"/>
                <w:szCs w:val="22"/>
              </w:rPr>
              <w:t>n (%)</w:t>
            </w:r>
          </w:p>
        </w:tc>
        <w:tc>
          <w:tcPr>
            <w:tcW w:w="0" w:type="auto"/>
          </w:tcPr>
          <w:p w14:paraId="25804CF6" w14:textId="4EFB94CA" w:rsidR="006F6043" w:rsidRPr="00801AFD" w:rsidRDefault="003A29AF" w:rsidP="00801AFD">
            <w:pPr>
              <w:pStyle w:val="C-TableText"/>
              <w:widowControl w:val="0"/>
              <w:jc w:val="center"/>
              <w:rPr>
                <w:sz w:val="22"/>
                <w:szCs w:val="22"/>
              </w:rPr>
            </w:pPr>
            <w:r w:rsidRPr="00801AFD">
              <w:rPr>
                <w:sz w:val="22"/>
                <w:szCs w:val="22"/>
              </w:rPr>
              <w:t xml:space="preserve">7 </w:t>
            </w:r>
            <w:r w:rsidR="006F6043" w:rsidRPr="00801AFD">
              <w:rPr>
                <w:sz w:val="22"/>
                <w:szCs w:val="22"/>
              </w:rPr>
              <w:t>(</w:t>
            </w:r>
            <w:r w:rsidRPr="00801AFD">
              <w:rPr>
                <w:sz w:val="22"/>
                <w:szCs w:val="22"/>
              </w:rPr>
              <w:t>35</w:t>
            </w:r>
            <w:r w:rsidR="006F6043" w:rsidRPr="00801AFD">
              <w:rPr>
                <w:sz w:val="22"/>
                <w:szCs w:val="22"/>
              </w:rPr>
              <w:t>.</w:t>
            </w:r>
            <w:r w:rsidRPr="00801AFD">
              <w:rPr>
                <w:sz w:val="22"/>
                <w:szCs w:val="22"/>
              </w:rPr>
              <w:t>0</w:t>
            </w:r>
            <w:r w:rsidR="006F6043" w:rsidRPr="00801AFD">
              <w:rPr>
                <w:sz w:val="22"/>
                <w:szCs w:val="22"/>
              </w:rPr>
              <w:t>)</w:t>
            </w:r>
          </w:p>
        </w:tc>
        <w:tc>
          <w:tcPr>
            <w:tcW w:w="0" w:type="auto"/>
          </w:tcPr>
          <w:p w14:paraId="4615322A" w14:textId="77777777" w:rsidR="006F6043" w:rsidRPr="00801AFD" w:rsidRDefault="006F6043" w:rsidP="00801AFD">
            <w:pPr>
              <w:pStyle w:val="C-TableText"/>
              <w:widowControl w:val="0"/>
              <w:jc w:val="center"/>
              <w:rPr>
                <w:sz w:val="22"/>
                <w:szCs w:val="22"/>
              </w:rPr>
            </w:pPr>
            <w:r w:rsidRPr="00801AFD">
              <w:rPr>
                <w:sz w:val="22"/>
                <w:szCs w:val="22"/>
              </w:rPr>
              <w:t>0 (0.0)</w:t>
            </w:r>
          </w:p>
        </w:tc>
      </w:tr>
    </w:tbl>
    <w:bookmarkEnd w:id="1"/>
    <w:p w14:paraId="3FD21A37" w14:textId="77777777" w:rsidR="006F6043" w:rsidRPr="00986850" w:rsidRDefault="006F6043" w:rsidP="00801AFD">
      <w:pPr>
        <w:pStyle w:val="Default"/>
        <w:widowControl w:val="0"/>
        <w:jc w:val="both"/>
        <w:rPr>
          <w:sz w:val="20"/>
          <w:szCs w:val="22"/>
          <w:lang w:val="sr-Latn-ME"/>
        </w:rPr>
      </w:pPr>
      <w:r w:rsidRPr="00986850">
        <w:rPr>
          <w:sz w:val="20"/>
          <w:szCs w:val="22"/>
          <w:lang w:val="sr-Latn-ME"/>
        </w:rPr>
        <w:t>Napomena: Procenti se odnose na ukupan broj pacijenata.</w:t>
      </w:r>
    </w:p>
    <w:p w14:paraId="7A448E3D" w14:textId="77777777" w:rsidR="006F6043" w:rsidRPr="00986850" w:rsidRDefault="006F6043" w:rsidP="00801AFD">
      <w:pPr>
        <w:pStyle w:val="Default"/>
        <w:widowControl w:val="0"/>
        <w:jc w:val="both"/>
        <w:rPr>
          <w:sz w:val="20"/>
          <w:szCs w:val="22"/>
          <w:lang w:val="sr-Latn-ME"/>
        </w:rPr>
      </w:pPr>
      <w:r w:rsidRPr="00986850">
        <w:rPr>
          <w:sz w:val="20"/>
          <w:szCs w:val="22"/>
          <w:vertAlign w:val="superscript"/>
          <w:lang w:val="sr-Latn-ME"/>
        </w:rPr>
        <w:t>a</w:t>
      </w:r>
      <w:r w:rsidRPr="00986850">
        <w:rPr>
          <w:sz w:val="20"/>
          <w:szCs w:val="22"/>
          <w:lang w:val="sr-Latn-ME"/>
        </w:rPr>
        <w:t xml:space="preserve"> Pacijenti su mogli da biraju više rasnih pripadnosti.</w:t>
      </w:r>
    </w:p>
    <w:p w14:paraId="3311A755" w14:textId="09E9D9B0" w:rsidR="006F6043" w:rsidRPr="00986850" w:rsidRDefault="006F6043" w:rsidP="00801AFD">
      <w:pPr>
        <w:pStyle w:val="Default"/>
        <w:widowControl w:val="0"/>
        <w:jc w:val="both"/>
        <w:rPr>
          <w:sz w:val="20"/>
          <w:szCs w:val="22"/>
          <w:lang w:val="sr-Latn-ME"/>
        </w:rPr>
      </w:pPr>
      <w:r w:rsidRPr="00986850">
        <w:rPr>
          <w:sz w:val="20"/>
          <w:szCs w:val="22"/>
          <w:lang w:val="sr-Latn-ME"/>
        </w:rPr>
        <w:t>Skraćenice: aHUS = atipični hemolitičko-uremijski sindrom; eGFR = proc</w:t>
      </w:r>
      <w:r w:rsidR="004A455F" w:rsidRPr="00986850">
        <w:rPr>
          <w:sz w:val="20"/>
          <w:szCs w:val="22"/>
          <w:lang w:val="sr-Latn-ME"/>
        </w:rPr>
        <w:t>ij</w:t>
      </w:r>
      <w:r w:rsidRPr="00986850">
        <w:rPr>
          <w:sz w:val="20"/>
          <w:szCs w:val="22"/>
          <w:lang w:val="sr-Latn-ME"/>
        </w:rPr>
        <w:t>enjena brzina glomerularne filtracije; LDH = laktat dehidrogenaza; maks = maksimum; min = minimum.</w:t>
      </w:r>
    </w:p>
    <w:p w14:paraId="474D3461" w14:textId="77777777" w:rsidR="006F6043" w:rsidRPr="00801AFD" w:rsidRDefault="006F6043" w:rsidP="00801AFD">
      <w:pPr>
        <w:pStyle w:val="Default"/>
        <w:widowControl w:val="0"/>
        <w:jc w:val="both"/>
        <w:rPr>
          <w:sz w:val="22"/>
          <w:szCs w:val="22"/>
          <w:lang w:val="sr-Latn-ME"/>
        </w:rPr>
      </w:pPr>
    </w:p>
    <w:p w14:paraId="77DF5888" w14:textId="3954029C" w:rsidR="006F6043" w:rsidRPr="00801AFD" w:rsidRDefault="006F6043" w:rsidP="00801AFD">
      <w:pPr>
        <w:pStyle w:val="Default"/>
        <w:widowControl w:val="0"/>
        <w:jc w:val="both"/>
        <w:rPr>
          <w:sz w:val="22"/>
          <w:szCs w:val="22"/>
          <w:lang w:val="sr-Latn-ME"/>
        </w:rPr>
      </w:pPr>
      <w:r w:rsidRPr="00801AFD">
        <w:rPr>
          <w:sz w:val="22"/>
          <w:szCs w:val="22"/>
          <w:lang w:val="sr-Latn-ME"/>
        </w:rPr>
        <w:lastRenderedPageBreak/>
        <w:t>Primarni ishod bio je potpuni TMA odgovor tokom 26-nedjeljnog perioda početne procjene, pokazan na osnovu normalizacije hematoloških parametara (broj trombocita ≥ 150 x 10</w:t>
      </w:r>
      <w:r w:rsidRPr="00801AFD">
        <w:rPr>
          <w:sz w:val="22"/>
          <w:szCs w:val="22"/>
          <w:vertAlign w:val="superscript"/>
          <w:lang w:val="sr-Latn-ME"/>
        </w:rPr>
        <w:t>9</w:t>
      </w:r>
      <w:r w:rsidRPr="00801AFD">
        <w:rPr>
          <w:sz w:val="22"/>
          <w:szCs w:val="22"/>
          <w:lang w:val="sr-Latn-ME"/>
        </w:rPr>
        <w:t>/</w:t>
      </w:r>
      <w:r w:rsidR="00D4193A" w:rsidRPr="00801AFD">
        <w:rPr>
          <w:sz w:val="22"/>
          <w:szCs w:val="22"/>
          <w:lang w:val="sr-Latn-ME"/>
        </w:rPr>
        <w:t>l</w:t>
      </w:r>
      <w:r w:rsidRPr="00801AFD">
        <w:rPr>
          <w:sz w:val="22"/>
          <w:szCs w:val="22"/>
          <w:lang w:val="sr-Latn-ME"/>
        </w:rPr>
        <w:t xml:space="preserve"> i LDH ≤ 246 U/</w:t>
      </w:r>
      <w:r w:rsidR="00D4193A" w:rsidRPr="00801AFD">
        <w:rPr>
          <w:sz w:val="22"/>
          <w:szCs w:val="22"/>
          <w:lang w:val="sr-Latn-ME"/>
        </w:rPr>
        <w:t>l</w:t>
      </w:r>
      <w:r w:rsidRPr="00801AFD">
        <w:rPr>
          <w:sz w:val="22"/>
          <w:szCs w:val="22"/>
          <w:lang w:val="sr-Latn-ME"/>
        </w:rPr>
        <w:t>) i ≥ 25%</w:t>
      </w:r>
      <w:r w:rsidR="004A455F" w:rsidRPr="00801AFD">
        <w:rPr>
          <w:sz w:val="22"/>
          <w:szCs w:val="22"/>
          <w:lang w:val="sr-Latn-ME"/>
        </w:rPr>
        <w:t>-tnog</w:t>
      </w:r>
      <w:r w:rsidRPr="00801AFD">
        <w:rPr>
          <w:sz w:val="22"/>
          <w:szCs w:val="22"/>
          <w:lang w:val="sr-Latn-ME"/>
        </w:rPr>
        <w:t xml:space="preserve"> poboljšanja serumskog kreatinina u odnosu na početnu vrijednost</w:t>
      </w:r>
      <w:r w:rsidR="003A29AF" w:rsidRPr="00801AFD">
        <w:rPr>
          <w:lang w:val="sr-Latn-ME"/>
        </w:rPr>
        <w:t xml:space="preserve"> </w:t>
      </w:r>
      <w:r w:rsidR="003A29AF" w:rsidRPr="00801AFD">
        <w:rPr>
          <w:sz w:val="22"/>
          <w:szCs w:val="22"/>
          <w:lang w:val="sr-Latn-ME"/>
        </w:rPr>
        <w:t>kod pacijenata koji ni</w:t>
      </w:r>
      <w:r w:rsidR="00375338" w:rsidRPr="00801AFD">
        <w:rPr>
          <w:sz w:val="22"/>
          <w:szCs w:val="22"/>
          <w:lang w:val="sr-Latn-ME"/>
        </w:rPr>
        <w:t>je</w:t>
      </w:r>
      <w:r w:rsidR="003A29AF" w:rsidRPr="00801AFD">
        <w:rPr>
          <w:sz w:val="22"/>
          <w:szCs w:val="22"/>
          <w:lang w:val="sr-Latn-ME"/>
        </w:rPr>
        <w:t>su uzimali ekulizumab</w:t>
      </w:r>
      <w:r w:rsidRPr="00801AFD">
        <w:rPr>
          <w:sz w:val="22"/>
          <w:szCs w:val="22"/>
          <w:lang w:val="sr-Latn-ME"/>
        </w:rPr>
        <w:t>. Pacijenti su morali da ispune sve kriterijume za potpuni TMA odgovor na 2 odvojene procjene u razmaku od najmanje 4 nedjelje (28 dana) i na svim mjerenjima tokom tog perioda.</w:t>
      </w:r>
    </w:p>
    <w:p w14:paraId="4E545DCE" w14:textId="77777777" w:rsidR="006F6043" w:rsidRPr="00801AFD" w:rsidRDefault="006F6043" w:rsidP="00801AFD">
      <w:pPr>
        <w:pStyle w:val="Default"/>
        <w:widowControl w:val="0"/>
        <w:jc w:val="both"/>
        <w:rPr>
          <w:sz w:val="22"/>
          <w:szCs w:val="22"/>
          <w:lang w:val="sr-Latn-ME"/>
        </w:rPr>
      </w:pPr>
    </w:p>
    <w:p w14:paraId="159F802E" w14:textId="47FDE32A" w:rsidR="006F6043" w:rsidRPr="00801AFD" w:rsidRDefault="006F6043" w:rsidP="00801AFD">
      <w:pPr>
        <w:pStyle w:val="Default"/>
        <w:widowControl w:val="0"/>
        <w:jc w:val="both"/>
        <w:rPr>
          <w:sz w:val="22"/>
          <w:szCs w:val="22"/>
          <w:lang w:val="sr-Latn-ME"/>
        </w:rPr>
      </w:pPr>
      <w:r w:rsidRPr="00801AFD">
        <w:rPr>
          <w:sz w:val="22"/>
          <w:szCs w:val="22"/>
          <w:lang w:val="sr-Latn-ME"/>
        </w:rPr>
        <w:t xml:space="preserve">Tokom 26-nedjeljnog perioda početne procjene, zabilježen je potpun TMA odgovor kod </w:t>
      </w:r>
      <w:r w:rsidR="003A29AF" w:rsidRPr="00801AFD">
        <w:rPr>
          <w:sz w:val="22"/>
          <w:szCs w:val="22"/>
          <w:lang w:val="sr-Latn-ME"/>
        </w:rPr>
        <w:t xml:space="preserve">15 </w:t>
      </w:r>
      <w:r w:rsidRPr="00801AFD">
        <w:rPr>
          <w:sz w:val="22"/>
          <w:szCs w:val="22"/>
          <w:lang w:val="sr-Latn-ME"/>
        </w:rPr>
        <w:t xml:space="preserve">od </w:t>
      </w:r>
      <w:r w:rsidR="003A29AF" w:rsidRPr="00801AFD">
        <w:rPr>
          <w:sz w:val="22"/>
          <w:szCs w:val="22"/>
          <w:lang w:val="sr-Latn-ME"/>
        </w:rPr>
        <w:t xml:space="preserve">20 </w:t>
      </w:r>
      <w:r w:rsidRPr="00801AFD">
        <w:rPr>
          <w:sz w:val="22"/>
          <w:szCs w:val="22"/>
          <w:lang w:val="sr-Latn-ME"/>
        </w:rPr>
        <w:t>prethodno neliječenih pacijenata (</w:t>
      </w:r>
      <w:r w:rsidR="003A29AF" w:rsidRPr="00801AFD">
        <w:rPr>
          <w:sz w:val="22"/>
          <w:szCs w:val="22"/>
          <w:lang w:val="sr-Latn-ME"/>
        </w:rPr>
        <w:t>75</w:t>
      </w:r>
      <w:r w:rsidRPr="00801AFD">
        <w:rPr>
          <w:sz w:val="22"/>
          <w:szCs w:val="22"/>
          <w:lang w:val="sr-Latn-ME"/>
        </w:rPr>
        <w:t>,</w:t>
      </w:r>
      <w:r w:rsidR="003A29AF" w:rsidRPr="00801AFD">
        <w:rPr>
          <w:sz w:val="22"/>
          <w:szCs w:val="22"/>
          <w:lang w:val="sr-Latn-ME"/>
        </w:rPr>
        <w:t>0</w:t>
      </w:r>
      <w:r w:rsidRPr="00801AFD">
        <w:rPr>
          <w:sz w:val="22"/>
          <w:szCs w:val="22"/>
          <w:lang w:val="sr-Latn-ME"/>
        </w:rPr>
        <w:t xml:space="preserve">%), kao što je prikazano u </w:t>
      </w:r>
      <w:r w:rsidR="004A455F" w:rsidRPr="00801AFD">
        <w:rPr>
          <w:sz w:val="22"/>
          <w:szCs w:val="22"/>
          <w:lang w:val="sr-Latn-ME"/>
        </w:rPr>
        <w:t>T</w:t>
      </w:r>
      <w:r w:rsidRPr="00801AFD">
        <w:rPr>
          <w:sz w:val="22"/>
          <w:szCs w:val="22"/>
          <w:lang w:val="sr-Latn-ME"/>
        </w:rPr>
        <w:t xml:space="preserve">abeli </w:t>
      </w:r>
      <w:r w:rsidR="00D0032C" w:rsidRPr="00801AFD">
        <w:rPr>
          <w:sz w:val="22"/>
          <w:szCs w:val="22"/>
          <w:lang w:val="sr-Latn-ME"/>
        </w:rPr>
        <w:t>2</w:t>
      </w:r>
      <w:r w:rsidR="00AF1502" w:rsidRPr="00801AFD">
        <w:rPr>
          <w:sz w:val="22"/>
          <w:szCs w:val="22"/>
          <w:lang w:val="sr-Latn-ME"/>
        </w:rPr>
        <w:t>3</w:t>
      </w:r>
      <w:r w:rsidRPr="00801AFD">
        <w:rPr>
          <w:sz w:val="22"/>
          <w:szCs w:val="22"/>
          <w:lang w:val="sr-Latn-ME"/>
        </w:rPr>
        <w:t>.</w:t>
      </w:r>
    </w:p>
    <w:p w14:paraId="54B3AD4A" w14:textId="77777777" w:rsidR="00986850" w:rsidRDefault="00986850" w:rsidP="00986850">
      <w:pPr>
        <w:widowControl w:val="0"/>
        <w:rPr>
          <w:sz w:val="22"/>
          <w:szCs w:val="22"/>
          <w:lang w:val="sr-Latn-ME"/>
        </w:rPr>
      </w:pPr>
    </w:p>
    <w:p w14:paraId="1660D0E5" w14:textId="3D04E47A" w:rsidR="006F6043" w:rsidRDefault="006F6043" w:rsidP="00986850">
      <w:pPr>
        <w:widowControl w:val="0"/>
        <w:rPr>
          <w:b/>
          <w:bCs/>
          <w:sz w:val="22"/>
          <w:szCs w:val="22"/>
          <w:lang w:val="sr-Latn-ME"/>
        </w:rPr>
      </w:pPr>
      <w:r w:rsidRPr="00801AFD">
        <w:rPr>
          <w:b/>
          <w:bCs/>
          <w:sz w:val="22"/>
          <w:szCs w:val="22"/>
          <w:lang w:val="sr-Latn-ME"/>
        </w:rPr>
        <w:t xml:space="preserve">Tabela </w:t>
      </w:r>
      <w:r w:rsidR="00D0032C" w:rsidRPr="00801AFD">
        <w:rPr>
          <w:b/>
          <w:bCs/>
          <w:sz w:val="22"/>
          <w:szCs w:val="22"/>
          <w:lang w:val="sr-Latn-ME"/>
        </w:rPr>
        <w:t>23</w:t>
      </w:r>
      <w:r w:rsidRPr="00801AFD">
        <w:rPr>
          <w:b/>
          <w:bCs/>
          <w:sz w:val="22"/>
          <w:szCs w:val="22"/>
          <w:lang w:val="sr-Latn-ME"/>
        </w:rPr>
        <w:t>: Kompletni TMA odgovor i analiza komponenata kompletnog TMA odgovora tokom 26-nedjeljnog perioda početne procjene (ALXN1210-aHUS-312)</w:t>
      </w:r>
    </w:p>
    <w:p w14:paraId="7FBDE5F9" w14:textId="77777777" w:rsidR="00986850" w:rsidRPr="00801AFD" w:rsidRDefault="00986850" w:rsidP="00986850">
      <w:pPr>
        <w:widowControl w:val="0"/>
        <w:rPr>
          <w:b/>
          <w:bCs/>
          <w:sz w:val="22"/>
          <w:szCs w:val="22"/>
          <w:lang w:val="sr-Latn-ME"/>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11"/>
        <w:gridCol w:w="980"/>
        <w:gridCol w:w="866"/>
        <w:gridCol w:w="2500"/>
      </w:tblGrid>
      <w:tr w:rsidR="006F6043" w:rsidRPr="00801AFD" w14:paraId="7F053F0C" w14:textId="77777777" w:rsidTr="00986850">
        <w:trPr>
          <w:tblHeader/>
        </w:trPr>
        <w:tc>
          <w:tcPr>
            <w:tcW w:w="2601" w:type="pct"/>
            <w:vMerge w:val="restart"/>
            <w:shd w:val="clear" w:color="auto" w:fill="auto"/>
          </w:tcPr>
          <w:p w14:paraId="1B3AA7ED" w14:textId="77777777" w:rsidR="006F6043" w:rsidRPr="00801AFD" w:rsidRDefault="006F6043" w:rsidP="00801AFD">
            <w:pPr>
              <w:pStyle w:val="C-TableHeader"/>
              <w:keepNext w:val="0"/>
              <w:widowControl w:val="0"/>
              <w:jc w:val="both"/>
              <w:rPr>
                <w:rFonts w:ascii="Times New Roman" w:hAnsi="Times New Roman"/>
                <w:sz w:val="22"/>
                <w:szCs w:val="22"/>
                <w:lang w:val="sr-Latn-ME"/>
              </w:rPr>
            </w:pPr>
          </w:p>
        </w:tc>
        <w:tc>
          <w:tcPr>
            <w:tcW w:w="541" w:type="pct"/>
            <w:vMerge w:val="restart"/>
            <w:shd w:val="clear" w:color="auto" w:fill="auto"/>
          </w:tcPr>
          <w:p w14:paraId="3448F48F" w14:textId="77777777" w:rsidR="006F6043" w:rsidRPr="00801AFD" w:rsidRDefault="006F6043" w:rsidP="00801AFD">
            <w:pPr>
              <w:pStyle w:val="C-Tableheader0"/>
              <w:widowControl w:val="0"/>
              <w:jc w:val="center"/>
              <w:rPr>
                <w:sz w:val="22"/>
                <w:szCs w:val="22"/>
                <w:lang w:val="sr-Latn-ME"/>
              </w:rPr>
            </w:pPr>
            <w:r w:rsidRPr="00801AFD">
              <w:rPr>
                <w:b/>
                <w:sz w:val="22"/>
                <w:szCs w:val="22"/>
                <w:lang w:val="sr-Latn-ME"/>
              </w:rPr>
              <w:t>Ukupno</w:t>
            </w:r>
          </w:p>
        </w:tc>
        <w:tc>
          <w:tcPr>
            <w:tcW w:w="1858" w:type="pct"/>
            <w:gridSpan w:val="2"/>
            <w:shd w:val="clear" w:color="auto" w:fill="auto"/>
          </w:tcPr>
          <w:p w14:paraId="6DDAD409" w14:textId="77777777" w:rsidR="006F6043" w:rsidRPr="00801AFD" w:rsidRDefault="006F6043"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Pacijenti sa odgovorom</w:t>
            </w:r>
          </w:p>
        </w:tc>
      </w:tr>
      <w:tr w:rsidR="006F6043" w:rsidRPr="00801AFD" w14:paraId="5EF565A8" w14:textId="77777777" w:rsidTr="00986850">
        <w:tc>
          <w:tcPr>
            <w:tcW w:w="2601" w:type="pct"/>
            <w:vMerge/>
            <w:shd w:val="clear" w:color="auto" w:fill="auto"/>
          </w:tcPr>
          <w:p w14:paraId="0750B137" w14:textId="77777777" w:rsidR="006F6043" w:rsidRPr="00801AFD" w:rsidRDefault="006F6043" w:rsidP="00801AFD">
            <w:pPr>
              <w:pStyle w:val="C-Tableheader0"/>
              <w:widowControl w:val="0"/>
              <w:jc w:val="both"/>
              <w:rPr>
                <w:b/>
                <w:sz w:val="22"/>
                <w:szCs w:val="22"/>
                <w:lang w:val="sr-Latn-ME"/>
              </w:rPr>
            </w:pPr>
          </w:p>
        </w:tc>
        <w:tc>
          <w:tcPr>
            <w:tcW w:w="541" w:type="pct"/>
            <w:vMerge/>
            <w:shd w:val="clear" w:color="auto" w:fill="auto"/>
          </w:tcPr>
          <w:p w14:paraId="3DAB3637" w14:textId="77777777" w:rsidR="006F6043" w:rsidRPr="00801AFD" w:rsidRDefault="006F6043" w:rsidP="00801AFD">
            <w:pPr>
              <w:pStyle w:val="C-Tableheader0"/>
              <w:widowControl w:val="0"/>
              <w:jc w:val="center"/>
              <w:rPr>
                <w:b/>
                <w:sz w:val="22"/>
                <w:szCs w:val="22"/>
                <w:lang w:val="sr-Latn-ME"/>
              </w:rPr>
            </w:pPr>
          </w:p>
        </w:tc>
        <w:tc>
          <w:tcPr>
            <w:tcW w:w="478" w:type="pct"/>
            <w:shd w:val="clear" w:color="auto" w:fill="auto"/>
          </w:tcPr>
          <w:p w14:paraId="6C4BAE66" w14:textId="77777777" w:rsidR="006F6043" w:rsidRPr="00801AFD" w:rsidRDefault="006F6043" w:rsidP="00801AFD">
            <w:pPr>
              <w:pStyle w:val="C-Tableheader0"/>
              <w:widowControl w:val="0"/>
              <w:jc w:val="center"/>
              <w:rPr>
                <w:b/>
                <w:sz w:val="22"/>
                <w:szCs w:val="22"/>
                <w:lang w:val="sr-Latn-ME"/>
              </w:rPr>
            </w:pPr>
            <w:r w:rsidRPr="00801AFD">
              <w:rPr>
                <w:b/>
                <w:sz w:val="22"/>
                <w:szCs w:val="22"/>
                <w:lang w:val="sr-Latn-ME"/>
              </w:rPr>
              <w:t>n</w:t>
            </w:r>
          </w:p>
        </w:tc>
        <w:tc>
          <w:tcPr>
            <w:tcW w:w="1380" w:type="pct"/>
            <w:shd w:val="clear" w:color="auto" w:fill="auto"/>
          </w:tcPr>
          <w:p w14:paraId="2E6E77C4" w14:textId="77777777" w:rsidR="006F6043" w:rsidRPr="00801AFD" w:rsidRDefault="006F6043" w:rsidP="00801AFD">
            <w:pPr>
              <w:pStyle w:val="C-Tableheader0"/>
              <w:widowControl w:val="0"/>
              <w:jc w:val="center"/>
              <w:rPr>
                <w:b/>
                <w:sz w:val="22"/>
                <w:szCs w:val="22"/>
                <w:lang w:val="sr-Latn-ME"/>
              </w:rPr>
            </w:pPr>
            <w:r w:rsidRPr="00801AFD">
              <w:rPr>
                <w:b/>
                <w:sz w:val="22"/>
                <w:szCs w:val="22"/>
                <w:lang w:val="sr-Latn-ME"/>
              </w:rPr>
              <w:t>Procenat (95% CI)</w:t>
            </w:r>
            <w:r w:rsidRPr="00801AFD">
              <w:rPr>
                <w:b/>
                <w:sz w:val="22"/>
                <w:szCs w:val="22"/>
                <w:vertAlign w:val="superscript"/>
                <w:lang w:val="sr-Latn-ME"/>
              </w:rPr>
              <w:t>a</w:t>
            </w:r>
          </w:p>
        </w:tc>
      </w:tr>
      <w:tr w:rsidR="006F6043" w:rsidRPr="00801AFD" w14:paraId="65984926" w14:textId="77777777" w:rsidTr="00986850">
        <w:tc>
          <w:tcPr>
            <w:tcW w:w="2601" w:type="pct"/>
            <w:tcBorders>
              <w:bottom w:val="single" w:sz="6" w:space="0" w:color="auto"/>
            </w:tcBorders>
            <w:shd w:val="clear" w:color="auto" w:fill="auto"/>
          </w:tcPr>
          <w:p w14:paraId="0749B481" w14:textId="77777777" w:rsidR="006F6043" w:rsidRPr="00801AFD" w:rsidRDefault="006F6043" w:rsidP="00801AFD">
            <w:pPr>
              <w:pStyle w:val="C-Tableheader0"/>
              <w:widowControl w:val="0"/>
              <w:jc w:val="both"/>
              <w:rPr>
                <w:sz w:val="22"/>
                <w:szCs w:val="22"/>
                <w:lang w:val="sr-Latn-ME"/>
              </w:rPr>
            </w:pPr>
            <w:r w:rsidRPr="00801AFD">
              <w:rPr>
                <w:sz w:val="22"/>
                <w:szCs w:val="22"/>
                <w:lang w:val="sr-Latn-ME"/>
              </w:rPr>
              <w:t xml:space="preserve">Kompletan TMA odgovor </w:t>
            </w:r>
          </w:p>
        </w:tc>
        <w:tc>
          <w:tcPr>
            <w:tcW w:w="541" w:type="pct"/>
            <w:tcBorders>
              <w:bottom w:val="single" w:sz="6" w:space="0" w:color="auto"/>
            </w:tcBorders>
            <w:shd w:val="clear" w:color="auto" w:fill="auto"/>
          </w:tcPr>
          <w:p w14:paraId="319E5D81" w14:textId="7200914E" w:rsidR="006F6043" w:rsidRPr="00801AFD" w:rsidRDefault="003A29AF" w:rsidP="00801AFD">
            <w:pPr>
              <w:pStyle w:val="C-Tableheader0"/>
              <w:widowControl w:val="0"/>
              <w:jc w:val="center"/>
              <w:rPr>
                <w:sz w:val="22"/>
                <w:szCs w:val="22"/>
                <w:lang w:val="sr-Latn-ME"/>
              </w:rPr>
            </w:pPr>
            <w:r w:rsidRPr="00801AFD">
              <w:rPr>
                <w:sz w:val="22"/>
                <w:szCs w:val="22"/>
                <w:lang w:val="sr-Latn-ME"/>
              </w:rPr>
              <w:t>20</w:t>
            </w:r>
          </w:p>
        </w:tc>
        <w:tc>
          <w:tcPr>
            <w:tcW w:w="478" w:type="pct"/>
            <w:tcBorders>
              <w:bottom w:val="single" w:sz="6" w:space="0" w:color="auto"/>
            </w:tcBorders>
            <w:shd w:val="clear" w:color="auto" w:fill="auto"/>
          </w:tcPr>
          <w:p w14:paraId="2375F0E3" w14:textId="1AD34F61" w:rsidR="006F6043" w:rsidRPr="00801AFD" w:rsidRDefault="003A29AF" w:rsidP="00801AFD">
            <w:pPr>
              <w:pStyle w:val="C-Tableheader0"/>
              <w:widowControl w:val="0"/>
              <w:jc w:val="center"/>
              <w:rPr>
                <w:sz w:val="22"/>
                <w:szCs w:val="22"/>
                <w:lang w:val="sr-Latn-ME"/>
              </w:rPr>
            </w:pPr>
            <w:r w:rsidRPr="00801AFD">
              <w:rPr>
                <w:sz w:val="22"/>
                <w:szCs w:val="22"/>
                <w:lang w:val="sr-Latn-ME"/>
              </w:rPr>
              <w:t>15</w:t>
            </w:r>
          </w:p>
        </w:tc>
        <w:tc>
          <w:tcPr>
            <w:tcW w:w="1380" w:type="pct"/>
            <w:tcBorders>
              <w:bottom w:val="single" w:sz="6" w:space="0" w:color="auto"/>
            </w:tcBorders>
            <w:shd w:val="clear" w:color="auto" w:fill="auto"/>
          </w:tcPr>
          <w:p w14:paraId="7EA6F1D4" w14:textId="7B557CC0" w:rsidR="006F6043" w:rsidRPr="00801AFD" w:rsidRDefault="006F6043" w:rsidP="00801AFD">
            <w:pPr>
              <w:pStyle w:val="C-Tableheader0"/>
              <w:widowControl w:val="0"/>
              <w:jc w:val="center"/>
              <w:rPr>
                <w:sz w:val="22"/>
                <w:szCs w:val="22"/>
                <w:lang w:val="sr-Latn-ME"/>
              </w:rPr>
            </w:pPr>
            <w:r w:rsidRPr="00801AFD">
              <w:rPr>
                <w:sz w:val="22"/>
                <w:szCs w:val="22"/>
                <w:lang w:val="sr-Latn-ME"/>
              </w:rPr>
              <w:t>0.</w:t>
            </w:r>
            <w:r w:rsidR="003A29AF" w:rsidRPr="00801AFD">
              <w:rPr>
                <w:sz w:val="22"/>
                <w:szCs w:val="22"/>
                <w:lang w:val="sr-Latn-ME"/>
              </w:rPr>
              <w:t xml:space="preserve">750 </w:t>
            </w:r>
            <w:r w:rsidRPr="00801AFD">
              <w:rPr>
                <w:sz w:val="22"/>
                <w:szCs w:val="22"/>
                <w:lang w:val="sr-Latn-ME"/>
              </w:rPr>
              <w:t>(0.</w:t>
            </w:r>
            <w:r w:rsidR="003A29AF" w:rsidRPr="00801AFD">
              <w:rPr>
                <w:sz w:val="22"/>
                <w:szCs w:val="22"/>
                <w:lang w:val="sr-Latn-ME"/>
              </w:rPr>
              <w:t>509</w:t>
            </w:r>
            <w:r w:rsidRPr="00801AFD">
              <w:rPr>
                <w:sz w:val="22"/>
                <w:szCs w:val="22"/>
                <w:lang w:val="sr-Latn-ME"/>
              </w:rPr>
              <w:t>, 0.</w:t>
            </w:r>
            <w:r w:rsidR="003A29AF" w:rsidRPr="00801AFD">
              <w:rPr>
                <w:sz w:val="22"/>
                <w:szCs w:val="22"/>
                <w:lang w:val="sr-Latn-ME"/>
              </w:rPr>
              <w:t>913</w:t>
            </w:r>
            <w:r w:rsidRPr="00801AFD">
              <w:rPr>
                <w:sz w:val="22"/>
                <w:szCs w:val="22"/>
                <w:lang w:val="sr-Latn-ME"/>
              </w:rPr>
              <w:t>)</w:t>
            </w:r>
          </w:p>
        </w:tc>
      </w:tr>
      <w:tr w:rsidR="006F6043" w:rsidRPr="00801AFD" w14:paraId="36BD41E8" w14:textId="77777777" w:rsidTr="00986850">
        <w:tc>
          <w:tcPr>
            <w:tcW w:w="2601" w:type="pct"/>
            <w:tcBorders>
              <w:bottom w:val="nil"/>
            </w:tcBorders>
            <w:shd w:val="clear" w:color="auto" w:fill="auto"/>
          </w:tcPr>
          <w:p w14:paraId="1E3B2FD1" w14:textId="77777777" w:rsidR="006F6043" w:rsidRPr="00801AFD" w:rsidRDefault="006F6043" w:rsidP="00801AFD">
            <w:pPr>
              <w:pStyle w:val="C-Tableheader0"/>
              <w:widowControl w:val="0"/>
              <w:jc w:val="both"/>
              <w:rPr>
                <w:sz w:val="22"/>
                <w:szCs w:val="22"/>
                <w:lang w:val="sr-Latn-ME"/>
              </w:rPr>
            </w:pPr>
            <w:r w:rsidRPr="00801AFD">
              <w:rPr>
                <w:sz w:val="22"/>
                <w:szCs w:val="22"/>
                <w:lang w:val="sr-Latn-ME"/>
              </w:rPr>
              <w:t>Komponente kompletnog TMA odgovora</w:t>
            </w:r>
          </w:p>
        </w:tc>
        <w:tc>
          <w:tcPr>
            <w:tcW w:w="541" w:type="pct"/>
            <w:tcBorders>
              <w:bottom w:val="nil"/>
            </w:tcBorders>
            <w:shd w:val="clear" w:color="auto" w:fill="auto"/>
          </w:tcPr>
          <w:p w14:paraId="5FA625D0" w14:textId="77777777" w:rsidR="006F6043" w:rsidRPr="00801AFD" w:rsidRDefault="006F6043" w:rsidP="00801AFD">
            <w:pPr>
              <w:pStyle w:val="C-Tableheader0"/>
              <w:widowControl w:val="0"/>
              <w:jc w:val="center"/>
              <w:rPr>
                <w:sz w:val="22"/>
                <w:szCs w:val="22"/>
                <w:lang w:val="sr-Latn-ME"/>
              </w:rPr>
            </w:pPr>
          </w:p>
        </w:tc>
        <w:tc>
          <w:tcPr>
            <w:tcW w:w="478" w:type="pct"/>
            <w:tcBorders>
              <w:bottom w:val="nil"/>
            </w:tcBorders>
            <w:shd w:val="clear" w:color="auto" w:fill="auto"/>
          </w:tcPr>
          <w:p w14:paraId="040581F2" w14:textId="77777777" w:rsidR="006F6043" w:rsidRPr="00801AFD" w:rsidRDefault="006F6043" w:rsidP="00801AFD">
            <w:pPr>
              <w:pStyle w:val="C-Tableheader0"/>
              <w:widowControl w:val="0"/>
              <w:jc w:val="center"/>
              <w:rPr>
                <w:sz w:val="22"/>
                <w:szCs w:val="22"/>
                <w:lang w:val="sr-Latn-ME"/>
              </w:rPr>
            </w:pPr>
          </w:p>
        </w:tc>
        <w:tc>
          <w:tcPr>
            <w:tcW w:w="1380" w:type="pct"/>
            <w:tcBorders>
              <w:bottom w:val="nil"/>
            </w:tcBorders>
            <w:shd w:val="clear" w:color="auto" w:fill="auto"/>
          </w:tcPr>
          <w:p w14:paraId="6256CB2C" w14:textId="77777777" w:rsidR="006F6043" w:rsidRPr="00801AFD" w:rsidRDefault="006F6043" w:rsidP="00801AFD">
            <w:pPr>
              <w:pStyle w:val="C-Tableheader0"/>
              <w:widowControl w:val="0"/>
              <w:jc w:val="center"/>
              <w:rPr>
                <w:sz w:val="22"/>
                <w:szCs w:val="22"/>
                <w:lang w:val="sr-Latn-ME"/>
              </w:rPr>
            </w:pPr>
          </w:p>
        </w:tc>
      </w:tr>
      <w:tr w:rsidR="006F6043" w:rsidRPr="00801AFD" w14:paraId="37DAB304" w14:textId="77777777" w:rsidTr="00986850">
        <w:tc>
          <w:tcPr>
            <w:tcW w:w="2601" w:type="pct"/>
            <w:tcBorders>
              <w:top w:val="nil"/>
              <w:bottom w:val="nil"/>
            </w:tcBorders>
            <w:shd w:val="clear" w:color="auto" w:fill="auto"/>
          </w:tcPr>
          <w:p w14:paraId="159642D7" w14:textId="77777777" w:rsidR="006F6043" w:rsidRPr="00801AFD" w:rsidRDefault="006F6043" w:rsidP="00801AFD">
            <w:pPr>
              <w:pStyle w:val="C-Tableheader0"/>
              <w:widowControl w:val="0"/>
              <w:jc w:val="both"/>
              <w:rPr>
                <w:sz w:val="22"/>
                <w:szCs w:val="22"/>
                <w:lang w:val="sr-Latn-ME"/>
              </w:rPr>
            </w:pPr>
            <w:r w:rsidRPr="00801AFD">
              <w:rPr>
                <w:sz w:val="22"/>
                <w:szCs w:val="22"/>
                <w:lang w:val="sr-Latn-ME"/>
              </w:rPr>
              <w:t>Normalizacija broja trombocita</w:t>
            </w:r>
          </w:p>
        </w:tc>
        <w:tc>
          <w:tcPr>
            <w:tcW w:w="541" w:type="pct"/>
            <w:tcBorders>
              <w:top w:val="nil"/>
              <w:bottom w:val="nil"/>
            </w:tcBorders>
            <w:shd w:val="clear" w:color="auto" w:fill="auto"/>
          </w:tcPr>
          <w:p w14:paraId="408EF89D" w14:textId="199FD208" w:rsidR="006F6043" w:rsidRPr="00801AFD" w:rsidRDefault="003A29AF" w:rsidP="00801AFD">
            <w:pPr>
              <w:pStyle w:val="C-Tableheader0"/>
              <w:widowControl w:val="0"/>
              <w:jc w:val="center"/>
              <w:rPr>
                <w:sz w:val="22"/>
                <w:szCs w:val="22"/>
                <w:lang w:val="sr-Latn-ME"/>
              </w:rPr>
            </w:pPr>
            <w:r w:rsidRPr="00801AFD">
              <w:rPr>
                <w:sz w:val="22"/>
                <w:szCs w:val="22"/>
                <w:lang w:val="sr-Latn-ME"/>
              </w:rPr>
              <w:t>20</w:t>
            </w:r>
          </w:p>
        </w:tc>
        <w:tc>
          <w:tcPr>
            <w:tcW w:w="478" w:type="pct"/>
            <w:tcBorders>
              <w:top w:val="nil"/>
              <w:bottom w:val="nil"/>
            </w:tcBorders>
            <w:shd w:val="clear" w:color="auto" w:fill="auto"/>
          </w:tcPr>
          <w:p w14:paraId="47E475F4" w14:textId="23492F2F" w:rsidR="006F6043" w:rsidRPr="00801AFD" w:rsidRDefault="003A29AF" w:rsidP="00801AFD">
            <w:pPr>
              <w:pStyle w:val="C-Tableheader0"/>
              <w:widowControl w:val="0"/>
              <w:jc w:val="center"/>
              <w:rPr>
                <w:sz w:val="22"/>
                <w:szCs w:val="22"/>
                <w:lang w:val="sr-Latn-ME"/>
              </w:rPr>
            </w:pPr>
            <w:r w:rsidRPr="00801AFD">
              <w:rPr>
                <w:sz w:val="22"/>
                <w:szCs w:val="22"/>
                <w:lang w:val="sr-Latn-ME"/>
              </w:rPr>
              <w:t>19</w:t>
            </w:r>
          </w:p>
        </w:tc>
        <w:tc>
          <w:tcPr>
            <w:tcW w:w="1380" w:type="pct"/>
            <w:tcBorders>
              <w:top w:val="nil"/>
              <w:bottom w:val="nil"/>
            </w:tcBorders>
            <w:shd w:val="clear" w:color="auto" w:fill="auto"/>
          </w:tcPr>
          <w:p w14:paraId="228DE018" w14:textId="31BB4592" w:rsidR="006F6043" w:rsidRPr="00801AFD" w:rsidRDefault="006F6043" w:rsidP="00801AFD">
            <w:pPr>
              <w:pStyle w:val="C-Tableheader0"/>
              <w:widowControl w:val="0"/>
              <w:jc w:val="center"/>
              <w:rPr>
                <w:sz w:val="22"/>
                <w:szCs w:val="22"/>
                <w:lang w:val="sr-Latn-ME"/>
              </w:rPr>
            </w:pPr>
            <w:r w:rsidRPr="00801AFD">
              <w:rPr>
                <w:sz w:val="22"/>
                <w:szCs w:val="22"/>
                <w:lang w:val="sr-Latn-ME"/>
              </w:rPr>
              <w:t>0.</w:t>
            </w:r>
            <w:r w:rsidR="003A29AF" w:rsidRPr="00801AFD">
              <w:rPr>
                <w:sz w:val="22"/>
                <w:szCs w:val="22"/>
                <w:lang w:val="sr-Latn-ME"/>
              </w:rPr>
              <w:t xml:space="preserve">950 </w:t>
            </w:r>
            <w:r w:rsidRPr="00801AFD">
              <w:rPr>
                <w:sz w:val="22"/>
                <w:szCs w:val="22"/>
                <w:lang w:val="sr-Latn-ME"/>
              </w:rPr>
              <w:t>(0.</w:t>
            </w:r>
            <w:r w:rsidR="003A29AF" w:rsidRPr="00801AFD">
              <w:rPr>
                <w:sz w:val="22"/>
                <w:szCs w:val="22"/>
                <w:lang w:val="sr-Latn-ME"/>
              </w:rPr>
              <w:t>751</w:t>
            </w:r>
            <w:r w:rsidRPr="00801AFD">
              <w:rPr>
                <w:sz w:val="22"/>
                <w:szCs w:val="22"/>
                <w:lang w:val="sr-Latn-ME"/>
              </w:rPr>
              <w:t>, 0.999)</w:t>
            </w:r>
          </w:p>
        </w:tc>
      </w:tr>
      <w:tr w:rsidR="006F6043" w:rsidRPr="00801AFD" w14:paraId="2197DFC8" w14:textId="77777777" w:rsidTr="00986850">
        <w:tc>
          <w:tcPr>
            <w:tcW w:w="2601" w:type="pct"/>
            <w:tcBorders>
              <w:top w:val="nil"/>
              <w:bottom w:val="nil"/>
            </w:tcBorders>
            <w:shd w:val="clear" w:color="auto" w:fill="auto"/>
          </w:tcPr>
          <w:p w14:paraId="5C126011" w14:textId="77777777" w:rsidR="006F6043" w:rsidRPr="00801AFD" w:rsidRDefault="006F6043" w:rsidP="00801AFD">
            <w:pPr>
              <w:pStyle w:val="C-Tableheader0"/>
              <w:widowControl w:val="0"/>
              <w:jc w:val="both"/>
              <w:rPr>
                <w:sz w:val="22"/>
                <w:szCs w:val="22"/>
                <w:lang w:val="sr-Latn-ME"/>
              </w:rPr>
            </w:pPr>
            <w:r w:rsidRPr="00801AFD">
              <w:rPr>
                <w:sz w:val="22"/>
                <w:szCs w:val="22"/>
                <w:lang w:val="sr-Latn-ME"/>
              </w:rPr>
              <w:t>LDH normalizacija</w:t>
            </w:r>
          </w:p>
        </w:tc>
        <w:tc>
          <w:tcPr>
            <w:tcW w:w="541" w:type="pct"/>
            <w:tcBorders>
              <w:top w:val="nil"/>
              <w:bottom w:val="nil"/>
            </w:tcBorders>
            <w:shd w:val="clear" w:color="auto" w:fill="auto"/>
          </w:tcPr>
          <w:p w14:paraId="47FC4E2F" w14:textId="7868BA44" w:rsidR="006F6043" w:rsidRPr="00801AFD" w:rsidRDefault="003A29AF" w:rsidP="00801AFD">
            <w:pPr>
              <w:pStyle w:val="C-Tableheader0"/>
              <w:widowControl w:val="0"/>
              <w:jc w:val="center"/>
              <w:rPr>
                <w:sz w:val="22"/>
                <w:szCs w:val="22"/>
                <w:lang w:val="sr-Latn-ME"/>
              </w:rPr>
            </w:pPr>
            <w:r w:rsidRPr="00801AFD">
              <w:rPr>
                <w:sz w:val="22"/>
                <w:szCs w:val="22"/>
                <w:lang w:val="sr-Latn-ME"/>
              </w:rPr>
              <w:t>20</w:t>
            </w:r>
          </w:p>
        </w:tc>
        <w:tc>
          <w:tcPr>
            <w:tcW w:w="478" w:type="pct"/>
            <w:tcBorders>
              <w:top w:val="nil"/>
              <w:bottom w:val="nil"/>
            </w:tcBorders>
            <w:shd w:val="clear" w:color="auto" w:fill="auto"/>
          </w:tcPr>
          <w:p w14:paraId="35502B08" w14:textId="64BEC6CD" w:rsidR="006F6043" w:rsidRPr="00801AFD" w:rsidRDefault="003A29AF" w:rsidP="00801AFD">
            <w:pPr>
              <w:pStyle w:val="C-Tableheader0"/>
              <w:widowControl w:val="0"/>
              <w:jc w:val="center"/>
              <w:rPr>
                <w:sz w:val="22"/>
                <w:szCs w:val="22"/>
                <w:lang w:val="sr-Latn-ME"/>
              </w:rPr>
            </w:pPr>
            <w:r w:rsidRPr="00801AFD">
              <w:rPr>
                <w:sz w:val="22"/>
                <w:szCs w:val="22"/>
                <w:lang w:val="sr-Latn-ME"/>
              </w:rPr>
              <w:t>18</w:t>
            </w:r>
          </w:p>
        </w:tc>
        <w:tc>
          <w:tcPr>
            <w:tcW w:w="1380" w:type="pct"/>
            <w:tcBorders>
              <w:top w:val="nil"/>
              <w:bottom w:val="nil"/>
            </w:tcBorders>
            <w:shd w:val="clear" w:color="auto" w:fill="auto"/>
          </w:tcPr>
          <w:p w14:paraId="5F8F9018" w14:textId="752AFE90" w:rsidR="006F6043" w:rsidRPr="00801AFD" w:rsidRDefault="006F6043" w:rsidP="00801AFD">
            <w:pPr>
              <w:pStyle w:val="C-Tableheader0"/>
              <w:widowControl w:val="0"/>
              <w:jc w:val="center"/>
              <w:rPr>
                <w:sz w:val="22"/>
                <w:szCs w:val="22"/>
                <w:lang w:val="sr-Latn-ME"/>
              </w:rPr>
            </w:pPr>
            <w:r w:rsidRPr="00801AFD">
              <w:rPr>
                <w:sz w:val="22"/>
                <w:szCs w:val="22"/>
                <w:lang w:val="sr-Latn-ME"/>
              </w:rPr>
              <w:t>0.9</w:t>
            </w:r>
            <w:r w:rsidR="003A29AF" w:rsidRPr="00801AFD">
              <w:rPr>
                <w:sz w:val="22"/>
                <w:szCs w:val="22"/>
                <w:lang w:val="sr-Latn-ME"/>
              </w:rPr>
              <w:t>00</w:t>
            </w:r>
            <w:r w:rsidRPr="00801AFD">
              <w:rPr>
                <w:sz w:val="22"/>
                <w:szCs w:val="22"/>
                <w:lang w:val="sr-Latn-ME"/>
              </w:rPr>
              <w:t xml:space="preserve"> (0.</w:t>
            </w:r>
            <w:r w:rsidR="003A29AF" w:rsidRPr="00801AFD">
              <w:rPr>
                <w:sz w:val="22"/>
                <w:szCs w:val="22"/>
                <w:lang w:val="sr-Latn-ME"/>
              </w:rPr>
              <w:t>683</w:t>
            </w:r>
            <w:r w:rsidRPr="00801AFD">
              <w:rPr>
                <w:sz w:val="22"/>
                <w:szCs w:val="22"/>
                <w:lang w:val="sr-Latn-ME"/>
              </w:rPr>
              <w:t>, 0.</w:t>
            </w:r>
            <w:r w:rsidR="003A29AF" w:rsidRPr="00801AFD">
              <w:rPr>
                <w:sz w:val="22"/>
                <w:szCs w:val="22"/>
                <w:lang w:val="sr-Latn-ME"/>
              </w:rPr>
              <w:t>988</w:t>
            </w:r>
            <w:r w:rsidRPr="00801AFD">
              <w:rPr>
                <w:sz w:val="22"/>
                <w:szCs w:val="22"/>
                <w:lang w:val="sr-Latn-ME"/>
              </w:rPr>
              <w:t>)</w:t>
            </w:r>
          </w:p>
        </w:tc>
      </w:tr>
      <w:tr w:rsidR="006F6043" w:rsidRPr="00801AFD" w14:paraId="41B804E7" w14:textId="77777777" w:rsidTr="00986850">
        <w:tc>
          <w:tcPr>
            <w:tcW w:w="2601" w:type="pct"/>
            <w:tcBorders>
              <w:top w:val="nil"/>
            </w:tcBorders>
            <w:shd w:val="clear" w:color="auto" w:fill="auto"/>
          </w:tcPr>
          <w:p w14:paraId="5A70C72F" w14:textId="2C33F53A" w:rsidR="006F6043" w:rsidRPr="00801AFD" w:rsidRDefault="006F6043" w:rsidP="00801AFD">
            <w:pPr>
              <w:pStyle w:val="C-Tableheader0"/>
              <w:widowControl w:val="0"/>
              <w:jc w:val="both"/>
              <w:rPr>
                <w:sz w:val="22"/>
                <w:szCs w:val="22"/>
                <w:lang w:val="sr-Latn-ME"/>
              </w:rPr>
            </w:pPr>
            <w:r w:rsidRPr="00801AFD">
              <w:rPr>
                <w:rFonts w:eastAsia="Arial Unicode MS"/>
                <w:sz w:val="22"/>
                <w:szCs w:val="22"/>
                <w:lang w:val="sr-Latn-ME"/>
              </w:rPr>
              <w:t>≥</w:t>
            </w:r>
            <w:r w:rsidR="004A455F" w:rsidRPr="00801AFD">
              <w:rPr>
                <w:rFonts w:eastAsia="Arial Unicode MS"/>
                <w:sz w:val="22"/>
                <w:szCs w:val="22"/>
                <w:lang w:val="sr-Latn-ME"/>
              </w:rPr>
              <w:t xml:space="preserve"> </w:t>
            </w:r>
            <w:r w:rsidRPr="00801AFD">
              <w:rPr>
                <w:sz w:val="22"/>
                <w:szCs w:val="22"/>
                <w:lang w:val="sr-Latn-ME"/>
              </w:rPr>
              <w:t>25%</w:t>
            </w:r>
            <w:r w:rsidR="004A455F" w:rsidRPr="00801AFD">
              <w:rPr>
                <w:sz w:val="22"/>
                <w:szCs w:val="22"/>
                <w:lang w:val="sr-Latn-ME"/>
              </w:rPr>
              <w:t>-tno</w:t>
            </w:r>
            <w:r w:rsidRPr="00801AFD">
              <w:rPr>
                <w:sz w:val="22"/>
                <w:szCs w:val="22"/>
                <w:lang w:val="sr-Latn-ME"/>
              </w:rPr>
              <w:t xml:space="preserve"> poboljšanj</w:t>
            </w:r>
            <w:r w:rsidR="004A455F" w:rsidRPr="00801AFD">
              <w:rPr>
                <w:sz w:val="22"/>
                <w:szCs w:val="22"/>
                <w:lang w:val="sr-Latn-ME"/>
              </w:rPr>
              <w:t>e</w:t>
            </w:r>
            <w:r w:rsidRPr="00801AFD">
              <w:rPr>
                <w:sz w:val="22"/>
                <w:szCs w:val="22"/>
                <w:lang w:val="sr-Latn-ME"/>
              </w:rPr>
              <w:t xml:space="preserve"> serumsko</w:t>
            </w:r>
            <w:r w:rsidR="004A455F" w:rsidRPr="00801AFD">
              <w:rPr>
                <w:sz w:val="22"/>
                <w:szCs w:val="22"/>
                <w:lang w:val="sr-Latn-ME"/>
              </w:rPr>
              <w:t>g</w:t>
            </w:r>
            <w:r w:rsidRPr="00801AFD">
              <w:rPr>
                <w:sz w:val="22"/>
                <w:szCs w:val="22"/>
                <w:lang w:val="sr-Latn-ME"/>
              </w:rPr>
              <w:t xml:space="preserve"> kreatinin</w:t>
            </w:r>
            <w:r w:rsidR="004A455F" w:rsidRPr="00801AFD">
              <w:rPr>
                <w:sz w:val="22"/>
                <w:szCs w:val="22"/>
                <w:lang w:val="sr-Latn-ME"/>
              </w:rPr>
              <w:t>a</w:t>
            </w:r>
            <w:r w:rsidRPr="00801AFD">
              <w:rPr>
                <w:sz w:val="22"/>
                <w:szCs w:val="22"/>
                <w:lang w:val="sr-Latn-ME"/>
              </w:rPr>
              <w:t xml:space="preserve"> u odnosu na </w:t>
            </w:r>
            <w:r w:rsidR="000B577C" w:rsidRPr="00801AFD">
              <w:rPr>
                <w:sz w:val="22"/>
                <w:szCs w:val="22"/>
                <w:lang w:val="sr-Latn-ME"/>
              </w:rPr>
              <w:t xml:space="preserve">početnu vrijednost </w:t>
            </w:r>
          </w:p>
        </w:tc>
        <w:tc>
          <w:tcPr>
            <w:tcW w:w="541" w:type="pct"/>
            <w:tcBorders>
              <w:top w:val="nil"/>
            </w:tcBorders>
            <w:shd w:val="clear" w:color="auto" w:fill="auto"/>
          </w:tcPr>
          <w:p w14:paraId="33963383" w14:textId="0D74D57F" w:rsidR="006F6043" w:rsidRPr="00801AFD" w:rsidRDefault="003A29AF" w:rsidP="00801AFD">
            <w:pPr>
              <w:pStyle w:val="C-Tableheader0"/>
              <w:widowControl w:val="0"/>
              <w:jc w:val="center"/>
              <w:rPr>
                <w:sz w:val="22"/>
                <w:szCs w:val="22"/>
                <w:lang w:val="sr-Latn-ME"/>
              </w:rPr>
            </w:pPr>
            <w:r w:rsidRPr="00801AFD">
              <w:rPr>
                <w:sz w:val="22"/>
                <w:szCs w:val="22"/>
                <w:lang w:val="sr-Latn-ME"/>
              </w:rPr>
              <w:t>20</w:t>
            </w:r>
          </w:p>
        </w:tc>
        <w:tc>
          <w:tcPr>
            <w:tcW w:w="478" w:type="pct"/>
            <w:tcBorders>
              <w:top w:val="nil"/>
            </w:tcBorders>
            <w:shd w:val="clear" w:color="auto" w:fill="auto"/>
          </w:tcPr>
          <w:p w14:paraId="2442EF79" w14:textId="562F344A" w:rsidR="006F6043" w:rsidRPr="00801AFD" w:rsidRDefault="003A29AF" w:rsidP="00801AFD">
            <w:pPr>
              <w:pStyle w:val="C-Tableheader0"/>
              <w:widowControl w:val="0"/>
              <w:jc w:val="center"/>
              <w:rPr>
                <w:sz w:val="22"/>
                <w:szCs w:val="22"/>
                <w:lang w:val="sr-Latn-ME"/>
              </w:rPr>
            </w:pPr>
            <w:r w:rsidRPr="00801AFD">
              <w:rPr>
                <w:sz w:val="22"/>
                <w:szCs w:val="22"/>
                <w:lang w:val="sr-Latn-ME"/>
              </w:rPr>
              <w:t>16</w:t>
            </w:r>
          </w:p>
        </w:tc>
        <w:tc>
          <w:tcPr>
            <w:tcW w:w="1380" w:type="pct"/>
            <w:tcBorders>
              <w:top w:val="nil"/>
            </w:tcBorders>
            <w:shd w:val="clear" w:color="auto" w:fill="auto"/>
          </w:tcPr>
          <w:p w14:paraId="36E9C85A" w14:textId="570D72D1" w:rsidR="006F6043" w:rsidRPr="00801AFD" w:rsidRDefault="006F6043" w:rsidP="00801AFD">
            <w:pPr>
              <w:pStyle w:val="C-Tableheader0"/>
              <w:widowControl w:val="0"/>
              <w:jc w:val="center"/>
              <w:rPr>
                <w:sz w:val="22"/>
                <w:szCs w:val="22"/>
                <w:lang w:val="sr-Latn-ME"/>
              </w:rPr>
            </w:pPr>
            <w:r w:rsidRPr="00801AFD">
              <w:rPr>
                <w:sz w:val="22"/>
                <w:szCs w:val="22"/>
                <w:lang w:val="sr-Latn-ME"/>
              </w:rPr>
              <w:t>0.</w:t>
            </w:r>
            <w:r w:rsidR="003A29AF" w:rsidRPr="00801AFD">
              <w:rPr>
                <w:sz w:val="22"/>
                <w:szCs w:val="22"/>
                <w:lang w:val="sr-Latn-ME"/>
              </w:rPr>
              <w:t xml:space="preserve">800 </w:t>
            </w:r>
            <w:r w:rsidRPr="00801AFD">
              <w:rPr>
                <w:sz w:val="22"/>
                <w:szCs w:val="22"/>
                <w:lang w:val="sr-Latn-ME"/>
              </w:rPr>
              <w:t>(0.</w:t>
            </w:r>
            <w:r w:rsidR="003A29AF" w:rsidRPr="00801AFD">
              <w:rPr>
                <w:sz w:val="22"/>
                <w:szCs w:val="22"/>
                <w:lang w:val="sr-Latn-ME"/>
              </w:rPr>
              <w:t>563</w:t>
            </w:r>
            <w:r w:rsidRPr="00801AFD">
              <w:rPr>
                <w:sz w:val="22"/>
                <w:szCs w:val="22"/>
                <w:lang w:val="sr-Latn-ME"/>
              </w:rPr>
              <w:t>, 0.</w:t>
            </w:r>
            <w:r w:rsidR="003A29AF" w:rsidRPr="00801AFD">
              <w:rPr>
                <w:sz w:val="22"/>
                <w:szCs w:val="22"/>
                <w:lang w:val="sr-Latn-ME"/>
              </w:rPr>
              <w:t>943</w:t>
            </w:r>
            <w:r w:rsidRPr="00801AFD">
              <w:rPr>
                <w:sz w:val="22"/>
                <w:szCs w:val="22"/>
                <w:lang w:val="sr-Latn-ME"/>
              </w:rPr>
              <w:t>)</w:t>
            </w:r>
          </w:p>
        </w:tc>
      </w:tr>
      <w:tr w:rsidR="006F6043" w:rsidRPr="00801AFD" w14:paraId="27B44CC2" w14:textId="77777777" w:rsidTr="00986850">
        <w:tc>
          <w:tcPr>
            <w:tcW w:w="2601" w:type="pct"/>
            <w:shd w:val="clear" w:color="auto" w:fill="auto"/>
          </w:tcPr>
          <w:p w14:paraId="4BA0F473" w14:textId="6053731B" w:rsidR="006F6043" w:rsidRPr="00801AFD" w:rsidRDefault="000B577C" w:rsidP="00801AFD">
            <w:pPr>
              <w:pStyle w:val="C-Tableheader0"/>
              <w:widowControl w:val="0"/>
              <w:jc w:val="both"/>
              <w:rPr>
                <w:sz w:val="22"/>
                <w:szCs w:val="22"/>
                <w:lang w:val="sr-Latn-ME"/>
              </w:rPr>
            </w:pPr>
            <w:r w:rsidRPr="00801AFD">
              <w:rPr>
                <w:sz w:val="22"/>
                <w:szCs w:val="22"/>
                <w:lang w:val="sr-Latn-ME"/>
              </w:rPr>
              <w:t>Normalizacija hemolitičkih parametara</w:t>
            </w:r>
          </w:p>
        </w:tc>
        <w:tc>
          <w:tcPr>
            <w:tcW w:w="541" w:type="pct"/>
            <w:shd w:val="clear" w:color="auto" w:fill="auto"/>
          </w:tcPr>
          <w:p w14:paraId="78CEB425" w14:textId="39FA8E59" w:rsidR="006F6043" w:rsidRPr="00801AFD" w:rsidRDefault="003A29AF" w:rsidP="00801AFD">
            <w:pPr>
              <w:pStyle w:val="C-Tableheader0"/>
              <w:widowControl w:val="0"/>
              <w:jc w:val="center"/>
              <w:rPr>
                <w:sz w:val="22"/>
                <w:szCs w:val="22"/>
                <w:lang w:val="sr-Latn-ME"/>
              </w:rPr>
            </w:pPr>
            <w:r w:rsidRPr="00801AFD">
              <w:rPr>
                <w:sz w:val="22"/>
                <w:szCs w:val="22"/>
                <w:lang w:val="sr-Latn-ME"/>
              </w:rPr>
              <w:t>20</w:t>
            </w:r>
          </w:p>
        </w:tc>
        <w:tc>
          <w:tcPr>
            <w:tcW w:w="478" w:type="pct"/>
            <w:shd w:val="clear" w:color="auto" w:fill="auto"/>
          </w:tcPr>
          <w:p w14:paraId="2CE1DD83" w14:textId="5C33BEAD" w:rsidR="006F6043" w:rsidRPr="00801AFD" w:rsidRDefault="003A29AF" w:rsidP="00801AFD">
            <w:pPr>
              <w:pStyle w:val="C-Tableheader0"/>
              <w:widowControl w:val="0"/>
              <w:jc w:val="center"/>
              <w:rPr>
                <w:sz w:val="22"/>
                <w:szCs w:val="22"/>
                <w:lang w:val="sr-Latn-ME"/>
              </w:rPr>
            </w:pPr>
            <w:r w:rsidRPr="00801AFD">
              <w:rPr>
                <w:sz w:val="22"/>
                <w:szCs w:val="22"/>
                <w:lang w:val="sr-Latn-ME"/>
              </w:rPr>
              <w:t>18</w:t>
            </w:r>
          </w:p>
        </w:tc>
        <w:tc>
          <w:tcPr>
            <w:tcW w:w="1380" w:type="pct"/>
            <w:shd w:val="clear" w:color="auto" w:fill="auto"/>
          </w:tcPr>
          <w:p w14:paraId="6FFBBDFC" w14:textId="3277262F" w:rsidR="006F6043" w:rsidRPr="00801AFD" w:rsidRDefault="006F6043" w:rsidP="00801AFD">
            <w:pPr>
              <w:pStyle w:val="C-Tableheader0"/>
              <w:widowControl w:val="0"/>
              <w:jc w:val="center"/>
              <w:rPr>
                <w:sz w:val="22"/>
                <w:szCs w:val="22"/>
                <w:lang w:val="sr-Latn-ME"/>
              </w:rPr>
            </w:pPr>
            <w:r w:rsidRPr="00801AFD">
              <w:rPr>
                <w:sz w:val="22"/>
                <w:szCs w:val="22"/>
                <w:lang w:val="sr-Latn-ME"/>
              </w:rPr>
              <w:t>0.</w:t>
            </w:r>
            <w:r w:rsidR="003A29AF" w:rsidRPr="00801AFD">
              <w:rPr>
                <w:sz w:val="22"/>
                <w:szCs w:val="22"/>
                <w:lang w:val="sr-Latn-ME"/>
              </w:rPr>
              <w:t>900</w:t>
            </w:r>
            <w:r w:rsidRPr="00801AFD">
              <w:rPr>
                <w:sz w:val="22"/>
                <w:szCs w:val="22"/>
                <w:lang w:val="sr-Latn-ME"/>
              </w:rPr>
              <w:t xml:space="preserve"> (0.</w:t>
            </w:r>
            <w:r w:rsidR="003A29AF" w:rsidRPr="00801AFD">
              <w:rPr>
                <w:sz w:val="22"/>
                <w:szCs w:val="22"/>
                <w:lang w:val="sr-Latn-ME"/>
              </w:rPr>
              <w:t>683</w:t>
            </w:r>
            <w:r w:rsidRPr="00801AFD">
              <w:rPr>
                <w:sz w:val="22"/>
                <w:szCs w:val="22"/>
                <w:lang w:val="sr-Latn-ME"/>
              </w:rPr>
              <w:t>, 0.</w:t>
            </w:r>
            <w:r w:rsidR="003A29AF" w:rsidRPr="00801AFD">
              <w:rPr>
                <w:sz w:val="22"/>
                <w:szCs w:val="22"/>
                <w:lang w:val="sr-Latn-ME"/>
              </w:rPr>
              <w:t>988</w:t>
            </w:r>
            <w:r w:rsidRPr="00801AFD">
              <w:rPr>
                <w:sz w:val="22"/>
                <w:szCs w:val="22"/>
                <w:lang w:val="sr-Latn-ME"/>
              </w:rPr>
              <w:t>)</w:t>
            </w:r>
          </w:p>
        </w:tc>
      </w:tr>
    </w:tbl>
    <w:p w14:paraId="339F94C5" w14:textId="5A185323" w:rsidR="006F6043" w:rsidRPr="00986850" w:rsidRDefault="006F6043" w:rsidP="00801AFD">
      <w:pPr>
        <w:widowControl w:val="0"/>
        <w:jc w:val="both"/>
        <w:rPr>
          <w:sz w:val="20"/>
          <w:szCs w:val="22"/>
          <w:lang w:val="sr-Latn-ME"/>
        </w:rPr>
      </w:pPr>
      <w:r w:rsidRPr="00986850">
        <w:rPr>
          <w:sz w:val="20"/>
          <w:szCs w:val="22"/>
          <w:vertAlign w:val="superscript"/>
          <w:lang w:val="sr-Latn-ME"/>
        </w:rPr>
        <w:t>a</w:t>
      </w:r>
      <w:r w:rsidRPr="00986850">
        <w:rPr>
          <w:sz w:val="20"/>
          <w:szCs w:val="22"/>
          <w:lang w:val="sr-Latn-ME"/>
        </w:rPr>
        <w:t xml:space="preserve"> </w:t>
      </w:r>
      <w:r w:rsidR="004A455F" w:rsidRPr="00986850">
        <w:rPr>
          <w:sz w:val="20"/>
          <w:szCs w:val="22"/>
          <w:lang w:val="sr-Latn-ME"/>
        </w:rPr>
        <w:t xml:space="preserve">Vrijednosti </w:t>
      </w:r>
      <w:r w:rsidRPr="00986850">
        <w:rPr>
          <w:sz w:val="20"/>
          <w:szCs w:val="22"/>
          <w:lang w:val="sr-Latn-ME"/>
        </w:rPr>
        <w:t>95% CI za proporciju zasnivale su se na metodi asimptotske Gaussove aproksimacije sa korekcijom kontinuiteta.</w:t>
      </w:r>
    </w:p>
    <w:p w14:paraId="0C1B1CE4" w14:textId="77777777" w:rsidR="006F6043" w:rsidRPr="00986850" w:rsidRDefault="006F6043" w:rsidP="00801AFD">
      <w:pPr>
        <w:pStyle w:val="Default"/>
        <w:widowControl w:val="0"/>
        <w:jc w:val="both"/>
        <w:rPr>
          <w:sz w:val="20"/>
          <w:szCs w:val="22"/>
          <w:lang w:val="sr-Latn-ME"/>
        </w:rPr>
      </w:pPr>
      <w:r w:rsidRPr="00986850">
        <w:rPr>
          <w:sz w:val="20"/>
          <w:szCs w:val="22"/>
          <w:lang w:val="sr-Latn-ME"/>
        </w:rPr>
        <w:t>Skraćenice: CI = interval pouzdanosti; LDH = laktat dehidrogenaza; TMA = trombotička mikroangiopatija.</w:t>
      </w:r>
    </w:p>
    <w:p w14:paraId="073009B5" w14:textId="77777777" w:rsidR="006F6043" w:rsidRPr="00801AFD" w:rsidRDefault="006F6043" w:rsidP="00801AFD">
      <w:pPr>
        <w:pStyle w:val="Default"/>
        <w:widowControl w:val="0"/>
        <w:jc w:val="both"/>
        <w:rPr>
          <w:sz w:val="22"/>
          <w:szCs w:val="22"/>
          <w:lang w:val="sr-Latn-ME"/>
        </w:rPr>
      </w:pPr>
    </w:p>
    <w:p w14:paraId="58F1250B" w14:textId="210C9245" w:rsidR="006F6043" w:rsidRPr="00801AFD" w:rsidRDefault="006F6043" w:rsidP="00801AFD">
      <w:pPr>
        <w:pStyle w:val="Default"/>
        <w:widowControl w:val="0"/>
        <w:jc w:val="both"/>
        <w:rPr>
          <w:sz w:val="22"/>
          <w:szCs w:val="22"/>
          <w:lang w:val="sr-Latn-ME"/>
        </w:rPr>
      </w:pPr>
      <w:r w:rsidRPr="00801AFD">
        <w:rPr>
          <w:sz w:val="22"/>
          <w:szCs w:val="22"/>
          <w:lang w:val="sr-Latn-ME"/>
        </w:rPr>
        <w:t xml:space="preserve">Kompletni TMA odgovor tokom početnog perioda procjene postignut je nakon srednjeg vremena od 30 dana (15 do </w:t>
      </w:r>
      <w:r w:rsidR="002E3105" w:rsidRPr="00801AFD">
        <w:rPr>
          <w:sz w:val="22"/>
          <w:szCs w:val="22"/>
          <w:lang w:val="sr-Latn-ME"/>
        </w:rPr>
        <w:t xml:space="preserve">99 </w:t>
      </w:r>
      <w:r w:rsidRPr="00801AFD">
        <w:rPr>
          <w:sz w:val="22"/>
          <w:szCs w:val="22"/>
          <w:lang w:val="sr-Latn-ME"/>
        </w:rPr>
        <w:t>dana). Ovaj odgovor se zadržao kod svih pacijenata sa potpunim TMA odgovorom tokom početnog perioda procjene uz konstantno poboljšanje bubrežne funkcije. Ubrzo nakon početka primjene ravulizumaba, prim</w:t>
      </w:r>
      <w:r w:rsidR="00D81D62" w:rsidRPr="00801AFD">
        <w:rPr>
          <w:sz w:val="22"/>
          <w:szCs w:val="22"/>
          <w:lang w:val="sr-Latn-ME"/>
        </w:rPr>
        <w:t>i</w:t>
      </w:r>
      <w:r w:rsidRPr="00801AFD">
        <w:rPr>
          <w:sz w:val="22"/>
          <w:szCs w:val="22"/>
          <w:lang w:val="sr-Latn-ME"/>
        </w:rPr>
        <w:t xml:space="preserve">jećen je porast srednjeg broja trombocita, koji se povećao sa </w:t>
      </w:r>
      <w:r w:rsidR="00D81D62" w:rsidRPr="00801AFD">
        <w:rPr>
          <w:sz w:val="22"/>
          <w:szCs w:val="22"/>
          <w:lang w:val="sr-Latn-ME"/>
        </w:rPr>
        <w:t xml:space="preserve"> </w:t>
      </w:r>
      <w:r w:rsidR="002E3105" w:rsidRPr="00801AFD">
        <w:rPr>
          <w:sz w:val="22"/>
          <w:szCs w:val="22"/>
          <w:lang w:val="sr-Latn-ME"/>
        </w:rPr>
        <w:t>71</w:t>
      </w:r>
      <w:r w:rsidRPr="00801AFD">
        <w:rPr>
          <w:sz w:val="22"/>
          <w:szCs w:val="22"/>
          <w:lang w:val="sr-Latn-ME"/>
        </w:rPr>
        <w:t>,</w:t>
      </w:r>
      <w:r w:rsidR="002E3105" w:rsidRPr="00801AFD">
        <w:rPr>
          <w:sz w:val="22"/>
          <w:szCs w:val="22"/>
          <w:lang w:val="sr-Latn-ME"/>
        </w:rPr>
        <w:t xml:space="preserve">70 </w:t>
      </w:r>
      <w:r w:rsidRPr="00801AFD">
        <w:rPr>
          <w:sz w:val="22"/>
          <w:szCs w:val="22"/>
          <w:lang w:val="sr-Latn-ME"/>
        </w:rPr>
        <w:t>× 10</w:t>
      </w:r>
      <w:r w:rsidRPr="00801AFD">
        <w:rPr>
          <w:sz w:val="22"/>
          <w:szCs w:val="22"/>
          <w:vertAlign w:val="superscript"/>
          <w:lang w:val="sr-Latn-ME"/>
        </w:rPr>
        <w:t>9</w:t>
      </w:r>
      <w:r w:rsidRPr="00801AFD">
        <w:rPr>
          <w:sz w:val="22"/>
          <w:szCs w:val="22"/>
          <w:lang w:val="sr-Latn-ME"/>
        </w:rPr>
        <w:t>/</w:t>
      </w:r>
      <w:r w:rsidR="00D4193A" w:rsidRPr="00801AFD">
        <w:rPr>
          <w:sz w:val="22"/>
          <w:szCs w:val="22"/>
          <w:lang w:val="sr-Latn-ME"/>
        </w:rPr>
        <w:t>l</w:t>
      </w:r>
      <w:r w:rsidRPr="00801AFD">
        <w:rPr>
          <w:sz w:val="22"/>
          <w:szCs w:val="22"/>
          <w:lang w:val="sr-Latn-ME"/>
        </w:rPr>
        <w:t xml:space="preserve"> u početku na </w:t>
      </w:r>
      <w:r w:rsidR="002E3105" w:rsidRPr="00801AFD">
        <w:rPr>
          <w:sz w:val="22"/>
          <w:szCs w:val="22"/>
          <w:lang w:val="sr-Latn-ME"/>
        </w:rPr>
        <w:t>302</w:t>
      </w:r>
      <w:r w:rsidRPr="00801AFD">
        <w:rPr>
          <w:sz w:val="22"/>
          <w:szCs w:val="22"/>
          <w:lang w:val="sr-Latn-ME"/>
        </w:rPr>
        <w:t>,</w:t>
      </w:r>
      <w:r w:rsidR="002E3105" w:rsidRPr="00801AFD">
        <w:rPr>
          <w:sz w:val="22"/>
          <w:szCs w:val="22"/>
          <w:lang w:val="sr-Latn-ME"/>
        </w:rPr>
        <w:t xml:space="preserve">41 </w:t>
      </w:r>
      <w:r w:rsidRPr="00801AFD">
        <w:rPr>
          <w:sz w:val="22"/>
          <w:szCs w:val="22"/>
          <w:lang w:val="sr-Latn-ME"/>
        </w:rPr>
        <w:t>× 10</w:t>
      </w:r>
      <w:r w:rsidRPr="00801AFD">
        <w:rPr>
          <w:sz w:val="22"/>
          <w:szCs w:val="22"/>
          <w:vertAlign w:val="superscript"/>
          <w:lang w:val="sr-Latn-ME"/>
        </w:rPr>
        <w:t>9</w:t>
      </w:r>
      <w:r w:rsidRPr="00801AFD">
        <w:rPr>
          <w:sz w:val="22"/>
          <w:szCs w:val="22"/>
          <w:lang w:val="sr-Latn-ME"/>
        </w:rPr>
        <w:t>/</w:t>
      </w:r>
      <w:r w:rsidR="00D4193A" w:rsidRPr="00801AFD">
        <w:rPr>
          <w:sz w:val="22"/>
          <w:szCs w:val="22"/>
          <w:lang w:val="sr-Latn-ME"/>
        </w:rPr>
        <w:t>l</w:t>
      </w:r>
      <w:r w:rsidRPr="00801AFD">
        <w:rPr>
          <w:sz w:val="22"/>
          <w:szCs w:val="22"/>
          <w:lang w:val="sr-Latn-ME"/>
        </w:rPr>
        <w:t xml:space="preserve"> 8. dana i ostao na vrijednosti iznad </w:t>
      </w:r>
      <w:r w:rsidR="002E3105" w:rsidRPr="00801AFD">
        <w:rPr>
          <w:sz w:val="22"/>
          <w:szCs w:val="22"/>
          <w:lang w:val="sr-Latn-ME"/>
        </w:rPr>
        <w:t xml:space="preserve">304 </w:t>
      </w:r>
      <w:r w:rsidRPr="00801AFD">
        <w:rPr>
          <w:sz w:val="22"/>
          <w:szCs w:val="22"/>
          <w:lang w:val="sr-Latn-ME"/>
        </w:rPr>
        <w:t>× 10</w:t>
      </w:r>
      <w:r w:rsidRPr="00801AFD">
        <w:rPr>
          <w:sz w:val="22"/>
          <w:szCs w:val="22"/>
          <w:vertAlign w:val="superscript"/>
          <w:lang w:val="sr-Latn-ME"/>
        </w:rPr>
        <w:t>9</w:t>
      </w:r>
      <w:r w:rsidRPr="00801AFD">
        <w:rPr>
          <w:sz w:val="22"/>
          <w:szCs w:val="22"/>
          <w:lang w:val="sr-Latn-ME"/>
        </w:rPr>
        <w:t>/</w:t>
      </w:r>
      <w:r w:rsidR="00D4193A" w:rsidRPr="00801AFD">
        <w:rPr>
          <w:sz w:val="22"/>
          <w:szCs w:val="22"/>
          <w:lang w:val="sr-Latn-ME"/>
        </w:rPr>
        <w:t>l</w:t>
      </w:r>
      <w:r w:rsidRPr="00801AFD">
        <w:rPr>
          <w:sz w:val="22"/>
          <w:szCs w:val="22"/>
          <w:lang w:val="sr-Latn-ME"/>
        </w:rPr>
        <w:t xml:space="preserve"> na svim narednim pregledima </w:t>
      </w:r>
      <w:r w:rsidR="002E3105" w:rsidRPr="00801AFD">
        <w:rPr>
          <w:sz w:val="22"/>
          <w:szCs w:val="22"/>
          <w:lang w:val="sr-Latn-ME"/>
        </w:rPr>
        <w:t xml:space="preserve">poslije 22. dana </w:t>
      </w:r>
      <w:r w:rsidRPr="00801AFD">
        <w:rPr>
          <w:sz w:val="22"/>
          <w:szCs w:val="22"/>
          <w:lang w:val="sr-Latn-ME"/>
        </w:rPr>
        <w:t>tokom početnog perioda procjene (26 nedjelja).</w:t>
      </w:r>
    </w:p>
    <w:p w14:paraId="3626EAFE" w14:textId="77777777" w:rsidR="006F6043" w:rsidRPr="00801AFD" w:rsidRDefault="006F6043" w:rsidP="00801AFD">
      <w:pPr>
        <w:pStyle w:val="Default"/>
        <w:widowControl w:val="0"/>
        <w:jc w:val="both"/>
        <w:rPr>
          <w:sz w:val="22"/>
          <w:szCs w:val="22"/>
          <w:lang w:val="sr-Latn-ME"/>
        </w:rPr>
      </w:pPr>
    </w:p>
    <w:p w14:paraId="0E11DD81" w14:textId="02C074E5" w:rsidR="006F6043" w:rsidRPr="00801AFD" w:rsidRDefault="002E3105" w:rsidP="00801AFD">
      <w:pPr>
        <w:pStyle w:val="Default"/>
        <w:widowControl w:val="0"/>
        <w:jc w:val="both"/>
        <w:rPr>
          <w:sz w:val="22"/>
          <w:szCs w:val="22"/>
          <w:lang w:val="sr-Latn-ME"/>
        </w:rPr>
      </w:pPr>
      <w:r w:rsidRPr="00801AFD">
        <w:rPr>
          <w:sz w:val="22"/>
          <w:szCs w:val="22"/>
          <w:lang w:val="sr-Latn-ME"/>
        </w:rPr>
        <w:t>P</w:t>
      </w:r>
      <w:r w:rsidR="006F6043" w:rsidRPr="00801AFD">
        <w:rPr>
          <w:sz w:val="22"/>
          <w:szCs w:val="22"/>
          <w:lang w:val="sr-Latn-ME"/>
        </w:rPr>
        <w:t xml:space="preserve">otpun TMA odgovor </w:t>
      </w:r>
      <w:r w:rsidRPr="00801AFD">
        <w:rPr>
          <w:sz w:val="22"/>
          <w:szCs w:val="22"/>
          <w:lang w:val="sr-Latn-ME"/>
        </w:rPr>
        <w:t xml:space="preserve">je primijećen kod tri dodatna pacijenta tokom perioda produženja </w:t>
      </w:r>
      <w:r w:rsidR="006F6043" w:rsidRPr="00801AFD">
        <w:rPr>
          <w:sz w:val="22"/>
          <w:szCs w:val="22"/>
          <w:lang w:val="sr-Latn-ME"/>
        </w:rPr>
        <w:t xml:space="preserve">na dane </w:t>
      </w:r>
      <w:r w:rsidRPr="00801AFD">
        <w:rPr>
          <w:sz w:val="22"/>
          <w:szCs w:val="22"/>
          <w:lang w:val="sr-Latn-ME"/>
        </w:rPr>
        <w:t>295 za 2 pacijenta</w:t>
      </w:r>
      <w:r w:rsidR="006F6043" w:rsidRPr="00801AFD">
        <w:rPr>
          <w:sz w:val="22"/>
          <w:szCs w:val="22"/>
          <w:lang w:val="sr-Latn-ME"/>
        </w:rPr>
        <w:t xml:space="preserve"> i 35</w:t>
      </w:r>
      <w:r w:rsidRPr="00801AFD">
        <w:rPr>
          <w:sz w:val="22"/>
          <w:szCs w:val="22"/>
          <w:lang w:val="sr-Latn-ME"/>
        </w:rPr>
        <w:t>1. dana za 1 pacijenta</w:t>
      </w:r>
      <w:r w:rsidR="006F6043" w:rsidRPr="00801AFD">
        <w:rPr>
          <w:sz w:val="22"/>
          <w:szCs w:val="22"/>
          <w:lang w:val="sr-Latn-ME"/>
        </w:rPr>
        <w:t xml:space="preserve">); tako je </w:t>
      </w:r>
      <w:r w:rsidRPr="00801AFD">
        <w:rPr>
          <w:sz w:val="22"/>
          <w:szCs w:val="22"/>
          <w:lang w:val="sr-Latn-ME"/>
        </w:rPr>
        <w:t xml:space="preserve">18 </w:t>
      </w:r>
      <w:r w:rsidR="006F6043" w:rsidRPr="00801AFD">
        <w:rPr>
          <w:sz w:val="22"/>
          <w:szCs w:val="22"/>
          <w:lang w:val="sr-Latn-ME"/>
        </w:rPr>
        <w:t xml:space="preserve">od </w:t>
      </w:r>
      <w:r w:rsidRPr="00801AFD">
        <w:rPr>
          <w:sz w:val="22"/>
          <w:szCs w:val="22"/>
          <w:lang w:val="sr-Latn-ME"/>
        </w:rPr>
        <w:t xml:space="preserve">20 </w:t>
      </w:r>
      <w:r w:rsidR="006F6043" w:rsidRPr="00801AFD">
        <w:rPr>
          <w:sz w:val="22"/>
          <w:szCs w:val="22"/>
          <w:lang w:val="sr-Latn-ME"/>
        </w:rPr>
        <w:t>pedijatrijskih pacijenata (</w:t>
      </w:r>
      <w:r w:rsidRPr="00801AFD">
        <w:rPr>
          <w:sz w:val="22"/>
          <w:szCs w:val="22"/>
          <w:lang w:val="sr-Latn-ME"/>
        </w:rPr>
        <w:t xml:space="preserve">90%; </w:t>
      </w:r>
      <w:r w:rsidR="006F6043" w:rsidRPr="00801AFD">
        <w:rPr>
          <w:sz w:val="22"/>
          <w:szCs w:val="22"/>
          <w:lang w:val="sr-Latn-ME"/>
        </w:rPr>
        <w:t xml:space="preserve">95% CI: </w:t>
      </w:r>
      <w:r w:rsidRPr="00801AFD">
        <w:rPr>
          <w:sz w:val="22"/>
          <w:szCs w:val="22"/>
          <w:lang w:val="sr-Latn-ME"/>
        </w:rPr>
        <w:t>68</w:t>
      </w:r>
      <w:r w:rsidR="006F6043" w:rsidRPr="00801AFD">
        <w:rPr>
          <w:sz w:val="22"/>
          <w:szCs w:val="22"/>
          <w:lang w:val="sr-Latn-ME"/>
        </w:rPr>
        <w:t>,</w:t>
      </w:r>
      <w:r w:rsidRPr="00801AFD">
        <w:rPr>
          <w:sz w:val="22"/>
          <w:szCs w:val="22"/>
          <w:lang w:val="sr-Latn-ME"/>
        </w:rPr>
        <w:t>3</w:t>
      </w:r>
      <w:r w:rsidR="006F6043" w:rsidRPr="00801AFD">
        <w:rPr>
          <w:sz w:val="22"/>
          <w:szCs w:val="22"/>
          <w:lang w:val="sr-Latn-ME"/>
        </w:rPr>
        <w:t xml:space="preserve">%, </w:t>
      </w:r>
      <w:r w:rsidRPr="00801AFD">
        <w:rPr>
          <w:sz w:val="22"/>
          <w:szCs w:val="22"/>
          <w:lang w:val="sr-Latn-ME"/>
        </w:rPr>
        <w:t>98</w:t>
      </w:r>
      <w:r w:rsidR="006F6043" w:rsidRPr="00801AFD">
        <w:rPr>
          <w:sz w:val="22"/>
          <w:szCs w:val="22"/>
          <w:lang w:val="sr-Latn-ME"/>
        </w:rPr>
        <w:t>,</w:t>
      </w:r>
      <w:r w:rsidRPr="00801AFD">
        <w:rPr>
          <w:sz w:val="22"/>
          <w:szCs w:val="22"/>
          <w:lang w:val="sr-Latn-ME"/>
        </w:rPr>
        <w:t>8</w:t>
      </w:r>
      <w:r w:rsidR="006F6043" w:rsidRPr="00801AFD">
        <w:rPr>
          <w:sz w:val="22"/>
          <w:szCs w:val="22"/>
          <w:lang w:val="sr-Latn-ME"/>
        </w:rPr>
        <w:t xml:space="preserve">%) </w:t>
      </w:r>
      <w:r w:rsidRPr="00801AFD">
        <w:rPr>
          <w:sz w:val="22"/>
          <w:szCs w:val="22"/>
          <w:lang w:val="sr-Latn-ME"/>
        </w:rPr>
        <w:t>do kraja studija</w:t>
      </w:r>
      <w:r w:rsidR="006F6043" w:rsidRPr="00801AFD">
        <w:rPr>
          <w:sz w:val="22"/>
          <w:szCs w:val="22"/>
          <w:lang w:val="sr-Latn-ME"/>
        </w:rPr>
        <w:t xml:space="preserve">. Odgovor pojedinih komponenti povećao se na </w:t>
      </w:r>
      <w:r w:rsidRPr="00801AFD">
        <w:rPr>
          <w:sz w:val="22"/>
          <w:szCs w:val="22"/>
          <w:lang w:val="sr-Latn-ME"/>
        </w:rPr>
        <w:t xml:space="preserve">19 </w:t>
      </w:r>
      <w:r w:rsidR="006F6043" w:rsidRPr="00801AFD">
        <w:rPr>
          <w:sz w:val="22"/>
          <w:szCs w:val="22"/>
          <w:lang w:val="sr-Latn-ME"/>
        </w:rPr>
        <w:t xml:space="preserve">od </w:t>
      </w:r>
      <w:r w:rsidRPr="00801AFD">
        <w:rPr>
          <w:sz w:val="22"/>
          <w:szCs w:val="22"/>
          <w:lang w:val="sr-Latn-ME"/>
        </w:rPr>
        <w:t xml:space="preserve">20 </w:t>
      </w:r>
      <w:r w:rsidR="006F6043" w:rsidRPr="00801AFD">
        <w:rPr>
          <w:sz w:val="22"/>
          <w:szCs w:val="22"/>
          <w:lang w:val="sr-Latn-ME"/>
        </w:rPr>
        <w:t>(</w:t>
      </w:r>
      <w:r w:rsidRPr="00801AFD">
        <w:rPr>
          <w:sz w:val="22"/>
          <w:szCs w:val="22"/>
          <w:lang w:val="sr-Latn-ME"/>
        </w:rPr>
        <w:t>95</w:t>
      </w:r>
      <w:r w:rsidR="006F6043" w:rsidRPr="00801AFD">
        <w:rPr>
          <w:sz w:val="22"/>
          <w:szCs w:val="22"/>
          <w:lang w:val="sr-Latn-ME"/>
        </w:rPr>
        <w:t>,</w:t>
      </w:r>
      <w:r w:rsidRPr="00801AFD">
        <w:rPr>
          <w:sz w:val="22"/>
          <w:szCs w:val="22"/>
          <w:lang w:val="sr-Latn-ME"/>
        </w:rPr>
        <w:t>0</w:t>
      </w:r>
      <w:r w:rsidR="006F6043" w:rsidRPr="00801AFD">
        <w:rPr>
          <w:sz w:val="22"/>
          <w:szCs w:val="22"/>
          <w:lang w:val="sr-Latn-ME"/>
        </w:rPr>
        <w:t xml:space="preserve">%; 95% CI: </w:t>
      </w:r>
      <w:r w:rsidR="00E0088B" w:rsidRPr="00801AFD">
        <w:rPr>
          <w:sz w:val="22"/>
          <w:szCs w:val="22"/>
          <w:lang w:val="sr-Latn-ME"/>
        </w:rPr>
        <w:t>75</w:t>
      </w:r>
      <w:r w:rsidR="006F6043" w:rsidRPr="00801AFD">
        <w:rPr>
          <w:sz w:val="22"/>
          <w:szCs w:val="22"/>
          <w:lang w:val="sr-Latn-ME"/>
        </w:rPr>
        <w:t>,</w:t>
      </w:r>
      <w:r w:rsidR="00E0088B" w:rsidRPr="00801AFD">
        <w:rPr>
          <w:sz w:val="22"/>
          <w:szCs w:val="22"/>
          <w:lang w:val="sr-Latn-ME"/>
        </w:rPr>
        <w:t>1</w:t>
      </w:r>
      <w:r w:rsidR="006F6043" w:rsidRPr="00801AFD">
        <w:rPr>
          <w:sz w:val="22"/>
          <w:szCs w:val="22"/>
          <w:lang w:val="sr-Latn-ME"/>
        </w:rPr>
        <w:t xml:space="preserve">%, 99,9%) pacijenata za normalizaciju broja trombocita, </w:t>
      </w:r>
      <w:r w:rsidR="00E0088B" w:rsidRPr="00801AFD">
        <w:rPr>
          <w:sz w:val="22"/>
          <w:szCs w:val="22"/>
          <w:lang w:val="sr-Latn-ME"/>
        </w:rPr>
        <w:t xml:space="preserve">19 </w:t>
      </w:r>
      <w:r w:rsidR="006F6043" w:rsidRPr="00801AFD">
        <w:rPr>
          <w:sz w:val="22"/>
          <w:szCs w:val="22"/>
          <w:lang w:val="sr-Latn-ME"/>
        </w:rPr>
        <w:t xml:space="preserve">od </w:t>
      </w:r>
      <w:r w:rsidR="00E0088B" w:rsidRPr="00801AFD">
        <w:rPr>
          <w:sz w:val="22"/>
          <w:szCs w:val="22"/>
          <w:lang w:val="sr-Latn-ME"/>
        </w:rPr>
        <w:t xml:space="preserve">20 </w:t>
      </w:r>
      <w:r w:rsidR="006F6043" w:rsidRPr="00801AFD">
        <w:rPr>
          <w:sz w:val="22"/>
          <w:szCs w:val="22"/>
          <w:lang w:val="sr-Latn-ME"/>
        </w:rPr>
        <w:t>(</w:t>
      </w:r>
      <w:r w:rsidR="00E0088B" w:rsidRPr="00801AFD">
        <w:rPr>
          <w:sz w:val="22"/>
          <w:szCs w:val="22"/>
          <w:lang w:val="sr-Latn-ME"/>
        </w:rPr>
        <w:t>95</w:t>
      </w:r>
      <w:r w:rsidR="006F6043" w:rsidRPr="00801AFD">
        <w:rPr>
          <w:sz w:val="22"/>
          <w:szCs w:val="22"/>
          <w:lang w:val="sr-Latn-ME"/>
        </w:rPr>
        <w:t>,</w:t>
      </w:r>
      <w:r w:rsidR="00E0088B" w:rsidRPr="00801AFD">
        <w:rPr>
          <w:sz w:val="22"/>
          <w:szCs w:val="22"/>
          <w:lang w:val="sr-Latn-ME"/>
        </w:rPr>
        <w:t>0</w:t>
      </w:r>
      <w:r w:rsidR="006F6043" w:rsidRPr="00801AFD">
        <w:rPr>
          <w:sz w:val="22"/>
          <w:szCs w:val="22"/>
          <w:lang w:val="sr-Latn-ME"/>
        </w:rPr>
        <w:t xml:space="preserve">%; 95% CI: </w:t>
      </w:r>
      <w:r w:rsidR="00E0088B" w:rsidRPr="00801AFD">
        <w:rPr>
          <w:sz w:val="22"/>
          <w:szCs w:val="22"/>
          <w:lang w:val="sr-Latn-ME"/>
        </w:rPr>
        <w:t>75</w:t>
      </w:r>
      <w:r w:rsidR="006F6043" w:rsidRPr="00801AFD">
        <w:rPr>
          <w:sz w:val="22"/>
          <w:szCs w:val="22"/>
          <w:lang w:val="sr-Latn-ME"/>
        </w:rPr>
        <w:t>.</w:t>
      </w:r>
      <w:r w:rsidR="00E0088B" w:rsidRPr="00801AFD">
        <w:rPr>
          <w:sz w:val="22"/>
          <w:szCs w:val="22"/>
          <w:lang w:val="sr-Latn-ME"/>
        </w:rPr>
        <w:t>1</w:t>
      </w:r>
      <w:r w:rsidR="006F6043" w:rsidRPr="00801AFD">
        <w:rPr>
          <w:sz w:val="22"/>
          <w:szCs w:val="22"/>
          <w:lang w:val="sr-Latn-ME"/>
        </w:rPr>
        <w:t xml:space="preserve">%, 99.9%) pacijenata za normalizaciju LDH i </w:t>
      </w:r>
      <w:r w:rsidR="00E0088B" w:rsidRPr="00801AFD">
        <w:rPr>
          <w:sz w:val="22"/>
          <w:szCs w:val="22"/>
          <w:lang w:val="sr-Latn-ME"/>
        </w:rPr>
        <w:t xml:space="preserve">18 </w:t>
      </w:r>
      <w:r w:rsidR="006F6043" w:rsidRPr="00801AFD">
        <w:rPr>
          <w:sz w:val="22"/>
          <w:szCs w:val="22"/>
          <w:lang w:val="sr-Latn-ME"/>
        </w:rPr>
        <w:t xml:space="preserve">od </w:t>
      </w:r>
      <w:r w:rsidR="00E0088B" w:rsidRPr="00801AFD">
        <w:rPr>
          <w:sz w:val="22"/>
          <w:szCs w:val="22"/>
          <w:lang w:val="sr-Latn-ME"/>
        </w:rPr>
        <w:t xml:space="preserve">20 </w:t>
      </w:r>
      <w:r w:rsidR="006F6043" w:rsidRPr="00801AFD">
        <w:rPr>
          <w:sz w:val="22"/>
          <w:szCs w:val="22"/>
          <w:lang w:val="sr-Latn-ME"/>
        </w:rPr>
        <w:t>(</w:t>
      </w:r>
      <w:r w:rsidR="00E0088B" w:rsidRPr="00801AFD">
        <w:rPr>
          <w:sz w:val="22"/>
          <w:szCs w:val="22"/>
          <w:lang w:val="sr-Latn-ME"/>
        </w:rPr>
        <w:t>90</w:t>
      </w:r>
      <w:r w:rsidR="006F6043" w:rsidRPr="00801AFD">
        <w:rPr>
          <w:sz w:val="22"/>
          <w:szCs w:val="22"/>
          <w:lang w:val="sr-Latn-ME"/>
        </w:rPr>
        <w:t>.</w:t>
      </w:r>
      <w:r w:rsidR="00E0088B" w:rsidRPr="00801AFD">
        <w:rPr>
          <w:sz w:val="22"/>
          <w:szCs w:val="22"/>
          <w:lang w:val="sr-Latn-ME"/>
        </w:rPr>
        <w:t>0</w:t>
      </w:r>
      <w:r w:rsidR="006F6043" w:rsidRPr="00801AFD">
        <w:rPr>
          <w:sz w:val="22"/>
          <w:szCs w:val="22"/>
          <w:lang w:val="sr-Latn-ME"/>
        </w:rPr>
        <w:t xml:space="preserve">%; 95% CI: </w:t>
      </w:r>
      <w:r w:rsidR="00E0088B" w:rsidRPr="00801AFD">
        <w:rPr>
          <w:sz w:val="22"/>
          <w:szCs w:val="22"/>
          <w:lang w:val="sr-Latn-ME"/>
        </w:rPr>
        <w:t>68</w:t>
      </w:r>
      <w:r w:rsidR="006F6043" w:rsidRPr="00801AFD">
        <w:rPr>
          <w:sz w:val="22"/>
          <w:szCs w:val="22"/>
          <w:lang w:val="sr-Latn-ME"/>
        </w:rPr>
        <w:t>.</w:t>
      </w:r>
      <w:r w:rsidR="00E0088B" w:rsidRPr="00801AFD">
        <w:rPr>
          <w:sz w:val="22"/>
          <w:szCs w:val="22"/>
          <w:lang w:val="sr-Latn-ME"/>
        </w:rPr>
        <w:t>3</w:t>
      </w:r>
      <w:r w:rsidR="006F6043" w:rsidRPr="00801AFD">
        <w:rPr>
          <w:sz w:val="22"/>
          <w:szCs w:val="22"/>
          <w:lang w:val="sr-Latn-ME"/>
        </w:rPr>
        <w:t xml:space="preserve">%, </w:t>
      </w:r>
      <w:r w:rsidR="00E0088B" w:rsidRPr="00801AFD">
        <w:rPr>
          <w:sz w:val="22"/>
          <w:szCs w:val="22"/>
          <w:lang w:val="sr-Latn-ME"/>
        </w:rPr>
        <w:t>98</w:t>
      </w:r>
      <w:r w:rsidR="006F6043" w:rsidRPr="00801AFD">
        <w:rPr>
          <w:sz w:val="22"/>
          <w:szCs w:val="22"/>
          <w:lang w:val="sr-Latn-ME"/>
        </w:rPr>
        <w:t>.</w:t>
      </w:r>
      <w:r w:rsidR="00E0088B" w:rsidRPr="00801AFD">
        <w:rPr>
          <w:sz w:val="22"/>
          <w:szCs w:val="22"/>
          <w:lang w:val="sr-Latn-ME"/>
        </w:rPr>
        <w:t>8</w:t>
      </w:r>
      <w:r w:rsidR="006F6043" w:rsidRPr="00801AFD">
        <w:rPr>
          <w:sz w:val="22"/>
          <w:szCs w:val="22"/>
          <w:lang w:val="sr-Latn-ME"/>
        </w:rPr>
        <w:t>%) pacijenata za poboljšanje funkcije bubrega.</w:t>
      </w:r>
    </w:p>
    <w:p w14:paraId="5E6B5F6D" w14:textId="77777777" w:rsidR="006F6043" w:rsidRPr="00801AFD" w:rsidRDefault="006F6043" w:rsidP="00801AFD">
      <w:pPr>
        <w:pStyle w:val="Default"/>
        <w:widowControl w:val="0"/>
        <w:jc w:val="both"/>
        <w:rPr>
          <w:sz w:val="22"/>
          <w:szCs w:val="22"/>
          <w:lang w:val="sr-Latn-ME"/>
        </w:rPr>
      </w:pPr>
    </w:p>
    <w:p w14:paraId="5838AFF7" w14:textId="4DF90B8B" w:rsidR="006F6043" w:rsidRPr="00801AFD" w:rsidRDefault="006F6043" w:rsidP="00801AFD">
      <w:pPr>
        <w:pStyle w:val="Default"/>
        <w:widowControl w:val="0"/>
        <w:jc w:val="both"/>
        <w:rPr>
          <w:sz w:val="22"/>
          <w:szCs w:val="22"/>
          <w:lang w:val="sr-Latn-ME"/>
        </w:rPr>
      </w:pPr>
      <w:r w:rsidRPr="00801AFD">
        <w:rPr>
          <w:sz w:val="22"/>
          <w:szCs w:val="22"/>
          <w:lang w:val="sr-Latn-ME"/>
        </w:rPr>
        <w:t xml:space="preserve">Svih </w:t>
      </w:r>
      <w:r w:rsidR="00E0088B" w:rsidRPr="00801AFD">
        <w:rPr>
          <w:sz w:val="22"/>
          <w:szCs w:val="22"/>
          <w:lang w:val="sr-Latn-ME"/>
        </w:rPr>
        <w:t xml:space="preserve">7 </w:t>
      </w:r>
      <w:r w:rsidRPr="00801AFD">
        <w:rPr>
          <w:sz w:val="22"/>
          <w:szCs w:val="22"/>
          <w:lang w:val="sr-Latn-ME"/>
        </w:rPr>
        <w:t xml:space="preserve">pacijenata kojima je bila potrebna dijaliza u vrijeme uključivanja u studiju mogli su da prekinu dijalizu; </w:t>
      </w:r>
      <w:r w:rsidR="00D575D0" w:rsidRPr="00801AFD">
        <w:rPr>
          <w:sz w:val="22"/>
          <w:szCs w:val="22"/>
          <w:lang w:val="sr-Latn-ME"/>
        </w:rPr>
        <w:t>n</w:t>
      </w:r>
      <w:r w:rsidRPr="00801AFD">
        <w:rPr>
          <w:sz w:val="22"/>
          <w:szCs w:val="22"/>
          <w:lang w:val="sr-Latn-ME"/>
        </w:rPr>
        <w:t xml:space="preserve">jih </w:t>
      </w:r>
      <w:r w:rsidR="00E0088B" w:rsidRPr="00801AFD">
        <w:rPr>
          <w:sz w:val="22"/>
          <w:szCs w:val="22"/>
          <w:lang w:val="sr-Latn-ME"/>
        </w:rPr>
        <w:t xml:space="preserve">6 </w:t>
      </w:r>
      <w:r w:rsidRPr="00801AFD">
        <w:rPr>
          <w:sz w:val="22"/>
          <w:szCs w:val="22"/>
          <w:lang w:val="sr-Latn-ME"/>
        </w:rPr>
        <w:t xml:space="preserve">je to učinilo </w:t>
      </w:r>
      <w:r w:rsidR="00E0088B" w:rsidRPr="00801AFD">
        <w:rPr>
          <w:sz w:val="22"/>
          <w:szCs w:val="22"/>
          <w:lang w:val="sr-Latn-ME"/>
        </w:rPr>
        <w:t>36</w:t>
      </w:r>
      <w:r w:rsidRPr="00801AFD">
        <w:rPr>
          <w:sz w:val="22"/>
          <w:szCs w:val="22"/>
          <w:lang w:val="sr-Latn-ME"/>
        </w:rPr>
        <w:t>. dana. Nijedan pacijent nije započeo</w:t>
      </w:r>
      <w:r w:rsidR="00E0088B" w:rsidRPr="00801AFD">
        <w:rPr>
          <w:sz w:val="22"/>
          <w:szCs w:val="22"/>
          <w:lang w:val="sr-Latn-ME"/>
        </w:rPr>
        <w:t xml:space="preserve"> ili ponovo započeo</w:t>
      </w:r>
      <w:r w:rsidRPr="00801AFD">
        <w:rPr>
          <w:sz w:val="22"/>
          <w:szCs w:val="22"/>
          <w:lang w:val="sr-Latn-ME"/>
        </w:rPr>
        <w:t xml:space="preserve"> dijalizu tokom studije. </w:t>
      </w:r>
      <w:r w:rsidR="00E0088B" w:rsidRPr="00801AFD">
        <w:rPr>
          <w:sz w:val="22"/>
          <w:szCs w:val="22"/>
          <w:lang w:val="sr-Latn-ME"/>
        </w:rPr>
        <w:t>Za 16 pacijenata sa dostupnim osnovnim podacima i podacima iz 52. ned</w:t>
      </w:r>
      <w:r w:rsidR="00D575D0" w:rsidRPr="00801AFD">
        <w:rPr>
          <w:sz w:val="22"/>
          <w:szCs w:val="22"/>
          <w:lang w:val="sr-Latn-ME"/>
        </w:rPr>
        <w:t>j</w:t>
      </w:r>
      <w:r w:rsidR="00E0088B" w:rsidRPr="00801AFD">
        <w:rPr>
          <w:sz w:val="22"/>
          <w:szCs w:val="22"/>
          <w:lang w:val="sr-Latn-ME"/>
        </w:rPr>
        <w:t>elje (351. dan), 16 pacijenata je imalo poboljšanje u stadijumu hronične bubrežne bolesti (CKD) u poređenju sa početnom linijom. Pacijenti sa dostupnim podacima do kraja studije su nastavili da imaju poboljšanja ili ni</w:t>
      </w:r>
      <w:r w:rsidR="00375338" w:rsidRPr="00801AFD">
        <w:rPr>
          <w:sz w:val="22"/>
          <w:szCs w:val="22"/>
          <w:lang w:val="sr-Latn-ME"/>
        </w:rPr>
        <w:t>je</w:t>
      </w:r>
      <w:r w:rsidR="00E0088B" w:rsidRPr="00801AFD">
        <w:rPr>
          <w:sz w:val="22"/>
          <w:szCs w:val="22"/>
          <w:lang w:val="sr-Latn-ME"/>
        </w:rPr>
        <w:t xml:space="preserve">su imali promjene u stadijumu HBB. Poboljšanje bubrežne funkcije mjereno eGFR i dalje je bilo stabilno do kraja studije. </w:t>
      </w:r>
      <w:r w:rsidRPr="00801AFD">
        <w:rPr>
          <w:sz w:val="22"/>
          <w:szCs w:val="22"/>
          <w:lang w:val="sr-Latn-ME"/>
        </w:rPr>
        <w:t xml:space="preserve">Tabela </w:t>
      </w:r>
      <w:r w:rsidR="00D0032C" w:rsidRPr="00801AFD">
        <w:rPr>
          <w:sz w:val="22"/>
          <w:szCs w:val="22"/>
          <w:lang w:val="sr-Latn-ME"/>
        </w:rPr>
        <w:t xml:space="preserve">24 </w:t>
      </w:r>
      <w:r w:rsidRPr="00801AFD">
        <w:rPr>
          <w:sz w:val="22"/>
          <w:szCs w:val="22"/>
          <w:lang w:val="sr-Latn-ME"/>
        </w:rPr>
        <w:t>daje pregled sekundarnih ishoda efikasnosti studije ALXN1210-aHUS-312.</w:t>
      </w:r>
    </w:p>
    <w:p w14:paraId="11C368A1" w14:textId="77777777" w:rsidR="006F6043" w:rsidRPr="00801AFD" w:rsidRDefault="006F6043" w:rsidP="00801AFD">
      <w:pPr>
        <w:pStyle w:val="Default"/>
        <w:widowControl w:val="0"/>
        <w:jc w:val="both"/>
        <w:rPr>
          <w:b/>
          <w:bCs/>
          <w:sz w:val="22"/>
          <w:szCs w:val="22"/>
          <w:lang w:val="sr-Latn-ME"/>
        </w:rPr>
      </w:pPr>
    </w:p>
    <w:p w14:paraId="1091B06C" w14:textId="5B254137" w:rsidR="006F6043" w:rsidRDefault="006F6043" w:rsidP="00801AFD">
      <w:pPr>
        <w:pStyle w:val="Default"/>
        <w:widowControl w:val="0"/>
        <w:jc w:val="both"/>
        <w:rPr>
          <w:b/>
          <w:bCs/>
          <w:sz w:val="22"/>
          <w:szCs w:val="22"/>
          <w:lang w:val="sr-Latn-ME"/>
        </w:rPr>
      </w:pPr>
      <w:r w:rsidRPr="00801AFD">
        <w:rPr>
          <w:b/>
          <w:bCs/>
          <w:sz w:val="22"/>
          <w:szCs w:val="22"/>
          <w:lang w:val="sr-Latn-ME"/>
        </w:rPr>
        <w:t xml:space="preserve">Tabela </w:t>
      </w:r>
      <w:r w:rsidR="00D0032C" w:rsidRPr="00801AFD">
        <w:rPr>
          <w:b/>
          <w:bCs/>
          <w:sz w:val="22"/>
          <w:szCs w:val="22"/>
          <w:lang w:val="sr-Latn-ME"/>
        </w:rPr>
        <w:t>24</w:t>
      </w:r>
      <w:r w:rsidRPr="00801AFD">
        <w:rPr>
          <w:b/>
          <w:bCs/>
          <w:sz w:val="22"/>
          <w:szCs w:val="22"/>
          <w:lang w:val="sr-Latn-ME"/>
        </w:rPr>
        <w:t xml:space="preserve">: Sekundarni ishodi efikasnosti </w:t>
      </w:r>
      <w:r w:rsidR="00337E75" w:rsidRPr="00801AFD">
        <w:rPr>
          <w:b/>
          <w:bCs/>
          <w:sz w:val="22"/>
          <w:szCs w:val="22"/>
          <w:lang w:val="sr-Latn-ME"/>
        </w:rPr>
        <w:t>za 26-ned</w:t>
      </w:r>
      <w:r w:rsidR="00375338" w:rsidRPr="00801AFD">
        <w:rPr>
          <w:b/>
          <w:bCs/>
          <w:sz w:val="22"/>
          <w:szCs w:val="22"/>
          <w:lang w:val="sr-Latn-ME"/>
        </w:rPr>
        <w:t>j</w:t>
      </w:r>
      <w:r w:rsidR="00337E75" w:rsidRPr="00801AFD">
        <w:rPr>
          <w:b/>
          <w:bCs/>
          <w:sz w:val="22"/>
          <w:szCs w:val="22"/>
          <w:lang w:val="sr-Latn-ME"/>
        </w:rPr>
        <w:t xml:space="preserve">eljni početni period evaluacije </w:t>
      </w:r>
      <w:r w:rsidRPr="00801AFD">
        <w:rPr>
          <w:b/>
          <w:bCs/>
          <w:sz w:val="22"/>
          <w:szCs w:val="22"/>
          <w:lang w:val="sr-Latn-ME"/>
        </w:rPr>
        <w:t>u studiji ALXN1210-aHUS-312</w:t>
      </w:r>
    </w:p>
    <w:p w14:paraId="3F43B652" w14:textId="77777777" w:rsidR="00986850" w:rsidRPr="00801AFD" w:rsidRDefault="00986850" w:rsidP="00801AFD">
      <w:pPr>
        <w:pStyle w:val="Default"/>
        <w:widowControl w:val="0"/>
        <w:jc w:val="both"/>
        <w:rPr>
          <w:b/>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2131"/>
        <w:gridCol w:w="2284"/>
      </w:tblGrid>
      <w:tr w:rsidR="006F6043" w:rsidRPr="00801AFD" w14:paraId="70DAB015" w14:textId="77777777" w:rsidTr="00986850">
        <w:tc>
          <w:tcPr>
            <w:tcW w:w="0" w:type="auto"/>
            <w:shd w:val="clear" w:color="auto" w:fill="auto"/>
          </w:tcPr>
          <w:p w14:paraId="4029E119" w14:textId="77777777" w:rsidR="006F6043" w:rsidRPr="00801AFD" w:rsidRDefault="006F6043" w:rsidP="00801AFD">
            <w:pPr>
              <w:pStyle w:val="C-TableHeader"/>
              <w:keepNext w:val="0"/>
              <w:widowControl w:val="0"/>
              <w:jc w:val="both"/>
              <w:rPr>
                <w:rFonts w:ascii="Times New Roman" w:hAnsi="Times New Roman"/>
                <w:sz w:val="22"/>
                <w:szCs w:val="22"/>
                <w:lang w:val="sr-Latn-ME"/>
              </w:rPr>
            </w:pPr>
            <w:r w:rsidRPr="00801AFD">
              <w:rPr>
                <w:rFonts w:ascii="Times New Roman" w:hAnsi="Times New Roman"/>
                <w:sz w:val="22"/>
                <w:szCs w:val="22"/>
                <w:lang w:val="sr-Latn-ME"/>
              </w:rPr>
              <w:t>Parametri</w:t>
            </w:r>
          </w:p>
        </w:tc>
        <w:tc>
          <w:tcPr>
            <w:tcW w:w="0" w:type="auto"/>
            <w:gridSpan w:val="2"/>
            <w:shd w:val="clear" w:color="auto" w:fill="auto"/>
          </w:tcPr>
          <w:p w14:paraId="21AD48F6" w14:textId="77777777" w:rsidR="006F6043" w:rsidRPr="00801AFD" w:rsidRDefault="006F6043"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Studija ALXN1210</w:t>
            </w:r>
            <w:r w:rsidRPr="00801AFD">
              <w:rPr>
                <w:rFonts w:ascii="Times New Roman" w:hAnsi="Times New Roman"/>
                <w:sz w:val="22"/>
                <w:szCs w:val="22"/>
                <w:lang w:val="sr-Latn-ME"/>
              </w:rPr>
              <w:noBreakHyphen/>
              <w:t>aHUS</w:t>
            </w:r>
            <w:r w:rsidRPr="00801AFD">
              <w:rPr>
                <w:rFonts w:ascii="Times New Roman" w:hAnsi="Times New Roman"/>
                <w:sz w:val="22"/>
                <w:szCs w:val="22"/>
                <w:lang w:val="sr-Latn-ME"/>
              </w:rPr>
              <w:noBreakHyphen/>
              <w:t>312</w:t>
            </w:r>
          </w:p>
          <w:p w14:paraId="0FD4C6C8" w14:textId="0D2DE87F" w:rsidR="006F6043" w:rsidRPr="00801AFD" w:rsidRDefault="006F6043"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(N = </w:t>
            </w:r>
            <w:r w:rsidR="00E0088B" w:rsidRPr="00801AFD">
              <w:rPr>
                <w:rFonts w:ascii="Times New Roman" w:hAnsi="Times New Roman"/>
                <w:sz w:val="22"/>
                <w:szCs w:val="22"/>
                <w:lang w:val="sr-Latn-ME"/>
              </w:rPr>
              <w:t>20</w:t>
            </w:r>
            <w:r w:rsidRPr="00801AFD">
              <w:rPr>
                <w:rFonts w:ascii="Times New Roman" w:hAnsi="Times New Roman"/>
                <w:sz w:val="22"/>
                <w:szCs w:val="22"/>
                <w:lang w:val="sr-Latn-ME"/>
              </w:rPr>
              <w:t>)</w:t>
            </w:r>
          </w:p>
        </w:tc>
      </w:tr>
      <w:tr w:rsidR="006F6043" w:rsidRPr="00801AFD" w14:paraId="7A72C75E" w14:textId="77777777" w:rsidTr="00986850">
        <w:tc>
          <w:tcPr>
            <w:tcW w:w="0" w:type="auto"/>
            <w:shd w:val="clear" w:color="auto" w:fill="auto"/>
          </w:tcPr>
          <w:p w14:paraId="10A21622" w14:textId="77777777" w:rsidR="006F6043" w:rsidRPr="00801AFD" w:rsidRDefault="006F6043" w:rsidP="00801AFD">
            <w:pPr>
              <w:pStyle w:val="C-TableText"/>
              <w:widowControl w:val="0"/>
              <w:jc w:val="both"/>
              <w:rPr>
                <w:sz w:val="22"/>
                <w:szCs w:val="22"/>
              </w:rPr>
            </w:pPr>
            <w:r w:rsidRPr="00801AFD">
              <w:rPr>
                <w:sz w:val="22"/>
                <w:szCs w:val="22"/>
              </w:rPr>
              <w:t>Hematološki TMA parametri, Dan 183</w:t>
            </w:r>
          </w:p>
          <w:p w14:paraId="3537DD9C" w14:textId="574E2FF2" w:rsidR="006F6043" w:rsidRPr="00801AFD" w:rsidRDefault="006F6043" w:rsidP="00801AFD">
            <w:pPr>
              <w:pStyle w:val="C-TableText"/>
              <w:widowControl w:val="0"/>
              <w:ind w:left="22"/>
              <w:jc w:val="both"/>
              <w:rPr>
                <w:sz w:val="22"/>
                <w:szCs w:val="22"/>
              </w:rPr>
            </w:pPr>
            <w:r w:rsidRPr="00801AFD">
              <w:rPr>
                <w:sz w:val="22"/>
                <w:szCs w:val="22"/>
              </w:rPr>
              <w:t>Trombociti (10</w:t>
            </w:r>
            <w:r w:rsidRPr="00801AFD">
              <w:rPr>
                <w:sz w:val="22"/>
                <w:szCs w:val="22"/>
                <w:vertAlign w:val="superscript"/>
              </w:rPr>
              <w:t>9</w:t>
            </w:r>
            <w:r w:rsidRPr="00801AFD">
              <w:rPr>
                <w:sz w:val="22"/>
                <w:szCs w:val="22"/>
              </w:rPr>
              <w:t>/</w:t>
            </w:r>
            <w:r w:rsidR="00D4193A" w:rsidRPr="00801AFD">
              <w:rPr>
                <w:sz w:val="22"/>
                <w:szCs w:val="22"/>
              </w:rPr>
              <w:t>l</w:t>
            </w:r>
            <w:r w:rsidRPr="00801AFD">
              <w:rPr>
                <w:sz w:val="22"/>
                <w:szCs w:val="22"/>
              </w:rPr>
              <w:t>) krv</w:t>
            </w:r>
          </w:p>
          <w:p w14:paraId="3B3D798C" w14:textId="77777777" w:rsidR="006F6043" w:rsidRPr="00801AFD" w:rsidRDefault="006F6043" w:rsidP="00801AFD">
            <w:pPr>
              <w:pStyle w:val="C-TableText"/>
              <w:widowControl w:val="0"/>
              <w:ind w:left="22"/>
              <w:jc w:val="both"/>
              <w:rPr>
                <w:sz w:val="22"/>
                <w:szCs w:val="22"/>
              </w:rPr>
            </w:pPr>
            <w:r w:rsidRPr="00801AFD">
              <w:rPr>
                <w:sz w:val="22"/>
                <w:szCs w:val="22"/>
              </w:rPr>
              <w:t>Srednja vrijednost (SD)</w:t>
            </w:r>
          </w:p>
          <w:p w14:paraId="406CBB76" w14:textId="77777777" w:rsidR="006F6043" w:rsidRPr="00801AFD" w:rsidRDefault="006F6043" w:rsidP="00801AFD">
            <w:pPr>
              <w:pStyle w:val="C-TableText"/>
              <w:widowControl w:val="0"/>
              <w:ind w:left="22"/>
              <w:jc w:val="both"/>
              <w:rPr>
                <w:sz w:val="22"/>
                <w:szCs w:val="22"/>
              </w:rPr>
            </w:pPr>
            <w:r w:rsidRPr="00801AFD">
              <w:rPr>
                <w:sz w:val="22"/>
                <w:szCs w:val="22"/>
              </w:rPr>
              <w:t>Medijana</w:t>
            </w:r>
          </w:p>
          <w:p w14:paraId="26608246" w14:textId="1DA71F4E" w:rsidR="006F6043" w:rsidRPr="00801AFD" w:rsidRDefault="006F6043" w:rsidP="00801AFD">
            <w:pPr>
              <w:pStyle w:val="C-TableText"/>
              <w:widowControl w:val="0"/>
              <w:ind w:left="22"/>
              <w:jc w:val="both"/>
              <w:rPr>
                <w:sz w:val="22"/>
                <w:szCs w:val="22"/>
              </w:rPr>
            </w:pPr>
            <w:r w:rsidRPr="00801AFD">
              <w:rPr>
                <w:sz w:val="22"/>
                <w:szCs w:val="22"/>
              </w:rPr>
              <w:t>LDH (U/</w:t>
            </w:r>
            <w:r w:rsidR="00D4193A" w:rsidRPr="00801AFD">
              <w:rPr>
                <w:sz w:val="22"/>
                <w:szCs w:val="22"/>
              </w:rPr>
              <w:t>l</w:t>
            </w:r>
            <w:r w:rsidRPr="00801AFD">
              <w:rPr>
                <w:sz w:val="22"/>
                <w:szCs w:val="22"/>
              </w:rPr>
              <w:t>) serum</w:t>
            </w:r>
          </w:p>
          <w:p w14:paraId="5F727A30" w14:textId="77777777" w:rsidR="006F6043" w:rsidRPr="00801AFD" w:rsidRDefault="006F6043" w:rsidP="00801AFD">
            <w:pPr>
              <w:pStyle w:val="C-TableText"/>
              <w:widowControl w:val="0"/>
              <w:ind w:left="22"/>
              <w:jc w:val="both"/>
              <w:rPr>
                <w:sz w:val="22"/>
                <w:szCs w:val="22"/>
              </w:rPr>
            </w:pPr>
            <w:r w:rsidRPr="00801AFD">
              <w:rPr>
                <w:sz w:val="22"/>
                <w:szCs w:val="22"/>
              </w:rPr>
              <w:lastRenderedPageBreak/>
              <w:t>Srednja vijrednost (SD)</w:t>
            </w:r>
          </w:p>
          <w:p w14:paraId="6ACC26B9" w14:textId="3085DCF6" w:rsidR="006F6043" w:rsidRPr="00801AFD" w:rsidRDefault="006F6043" w:rsidP="00986850">
            <w:pPr>
              <w:pStyle w:val="C-TableText"/>
              <w:widowControl w:val="0"/>
              <w:ind w:left="22"/>
              <w:jc w:val="both"/>
              <w:rPr>
                <w:sz w:val="22"/>
                <w:szCs w:val="22"/>
              </w:rPr>
            </w:pPr>
            <w:r w:rsidRPr="00801AFD">
              <w:rPr>
                <w:sz w:val="22"/>
                <w:szCs w:val="22"/>
              </w:rPr>
              <w:t>Medijana</w:t>
            </w:r>
          </w:p>
        </w:tc>
        <w:tc>
          <w:tcPr>
            <w:tcW w:w="0" w:type="auto"/>
            <w:shd w:val="clear" w:color="auto" w:fill="auto"/>
          </w:tcPr>
          <w:p w14:paraId="34F67B7F" w14:textId="3267C099" w:rsidR="006F6043" w:rsidRPr="00801AFD" w:rsidRDefault="006F6043" w:rsidP="00801AFD">
            <w:pPr>
              <w:pStyle w:val="C-TableText"/>
              <w:widowControl w:val="0"/>
              <w:jc w:val="center"/>
              <w:rPr>
                <w:sz w:val="22"/>
                <w:szCs w:val="22"/>
              </w:rPr>
            </w:pPr>
            <w:r w:rsidRPr="00801AFD">
              <w:rPr>
                <w:sz w:val="22"/>
                <w:szCs w:val="22"/>
              </w:rPr>
              <w:lastRenderedPageBreak/>
              <w:t>Prim</w:t>
            </w:r>
            <w:r w:rsidR="00D81D62" w:rsidRPr="00801AFD">
              <w:rPr>
                <w:sz w:val="22"/>
                <w:szCs w:val="22"/>
              </w:rPr>
              <w:t>ij</w:t>
            </w:r>
            <w:r w:rsidRPr="00801AFD">
              <w:rPr>
                <w:sz w:val="22"/>
                <w:szCs w:val="22"/>
              </w:rPr>
              <w:t>ećena vrijednost (n = 17)</w:t>
            </w:r>
          </w:p>
          <w:p w14:paraId="03F89EB4" w14:textId="77777777" w:rsidR="006F6043" w:rsidRPr="00801AFD" w:rsidRDefault="006F6043" w:rsidP="00801AFD">
            <w:pPr>
              <w:pStyle w:val="C-TableText"/>
              <w:widowControl w:val="0"/>
              <w:jc w:val="center"/>
              <w:rPr>
                <w:sz w:val="22"/>
                <w:szCs w:val="22"/>
              </w:rPr>
            </w:pPr>
            <w:r w:rsidRPr="00801AFD">
              <w:rPr>
                <w:sz w:val="22"/>
                <w:szCs w:val="22"/>
              </w:rPr>
              <w:t>304.94 (75.711)</w:t>
            </w:r>
          </w:p>
          <w:p w14:paraId="73ED188F" w14:textId="77777777" w:rsidR="006F6043" w:rsidRPr="00801AFD" w:rsidRDefault="006F6043" w:rsidP="00801AFD">
            <w:pPr>
              <w:pStyle w:val="C-TableText"/>
              <w:widowControl w:val="0"/>
              <w:jc w:val="center"/>
              <w:rPr>
                <w:sz w:val="22"/>
                <w:szCs w:val="22"/>
              </w:rPr>
            </w:pPr>
            <w:r w:rsidRPr="00801AFD">
              <w:rPr>
                <w:sz w:val="22"/>
                <w:szCs w:val="22"/>
              </w:rPr>
              <w:t>318.00</w:t>
            </w:r>
          </w:p>
          <w:p w14:paraId="69D4167D" w14:textId="77777777" w:rsidR="006F6043" w:rsidRPr="00801AFD" w:rsidRDefault="006F6043" w:rsidP="00801AFD">
            <w:pPr>
              <w:pStyle w:val="C-TableText"/>
              <w:widowControl w:val="0"/>
              <w:jc w:val="center"/>
              <w:rPr>
                <w:sz w:val="22"/>
                <w:szCs w:val="22"/>
              </w:rPr>
            </w:pPr>
          </w:p>
          <w:p w14:paraId="086FB306" w14:textId="77777777" w:rsidR="006F6043" w:rsidRPr="00801AFD" w:rsidRDefault="006F6043" w:rsidP="00801AFD">
            <w:pPr>
              <w:pStyle w:val="C-TableText"/>
              <w:widowControl w:val="0"/>
              <w:jc w:val="center"/>
              <w:rPr>
                <w:sz w:val="22"/>
                <w:szCs w:val="22"/>
              </w:rPr>
            </w:pPr>
            <w:r w:rsidRPr="00801AFD">
              <w:rPr>
                <w:sz w:val="22"/>
                <w:szCs w:val="22"/>
              </w:rPr>
              <w:lastRenderedPageBreak/>
              <w:t>262.41 (59.995)</w:t>
            </w:r>
          </w:p>
          <w:p w14:paraId="40339917" w14:textId="77777777" w:rsidR="006F6043" w:rsidRPr="00801AFD" w:rsidRDefault="006F6043" w:rsidP="00801AFD">
            <w:pPr>
              <w:pStyle w:val="C-TableText"/>
              <w:widowControl w:val="0"/>
              <w:jc w:val="center"/>
              <w:rPr>
                <w:sz w:val="22"/>
                <w:szCs w:val="22"/>
              </w:rPr>
            </w:pPr>
            <w:r w:rsidRPr="00801AFD">
              <w:rPr>
                <w:sz w:val="22"/>
                <w:szCs w:val="22"/>
              </w:rPr>
              <w:t>247.00</w:t>
            </w:r>
          </w:p>
        </w:tc>
        <w:tc>
          <w:tcPr>
            <w:tcW w:w="0" w:type="auto"/>
            <w:shd w:val="clear" w:color="auto" w:fill="auto"/>
          </w:tcPr>
          <w:p w14:paraId="1684CBC5" w14:textId="77777777" w:rsidR="006F6043" w:rsidRPr="00801AFD" w:rsidRDefault="006F6043" w:rsidP="00801AFD">
            <w:pPr>
              <w:pStyle w:val="C-TableText"/>
              <w:widowControl w:val="0"/>
              <w:jc w:val="center"/>
              <w:rPr>
                <w:sz w:val="22"/>
                <w:szCs w:val="22"/>
              </w:rPr>
            </w:pPr>
            <w:r w:rsidRPr="00801AFD">
              <w:rPr>
                <w:sz w:val="22"/>
                <w:szCs w:val="22"/>
              </w:rPr>
              <w:lastRenderedPageBreak/>
              <w:t>Promjena u odnosu na početak (n = 17)</w:t>
            </w:r>
          </w:p>
          <w:p w14:paraId="6A0EFA66" w14:textId="77777777" w:rsidR="006F6043" w:rsidRPr="00801AFD" w:rsidRDefault="006F6043" w:rsidP="00801AFD">
            <w:pPr>
              <w:pStyle w:val="C-TableText"/>
              <w:widowControl w:val="0"/>
              <w:jc w:val="center"/>
              <w:rPr>
                <w:sz w:val="22"/>
                <w:szCs w:val="22"/>
              </w:rPr>
            </w:pPr>
            <w:r w:rsidRPr="00801AFD">
              <w:rPr>
                <w:sz w:val="22"/>
                <w:szCs w:val="22"/>
              </w:rPr>
              <w:t>245.59 (91.827)</w:t>
            </w:r>
          </w:p>
          <w:p w14:paraId="5BA917A9" w14:textId="77777777" w:rsidR="006F6043" w:rsidRPr="00801AFD" w:rsidRDefault="006F6043" w:rsidP="00801AFD">
            <w:pPr>
              <w:pStyle w:val="C-TableText"/>
              <w:widowControl w:val="0"/>
              <w:jc w:val="center"/>
              <w:rPr>
                <w:sz w:val="22"/>
                <w:szCs w:val="22"/>
              </w:rPr>
            </w:pPr>
            <w:r w:rsidRPr="00801AFD">
              <w:rPr>
                <w:sz w:val="22"/>
                <w:szCs w:val="22"/>
              </w:rPr>
              <w:t>247.00</w:t>
            </w:r>
          </w:p>
          <w:p w14:paraId="00FD8ADC" w14:textId="77777777" w:rsidR="006F6043" w:rsidRPr="00801AFD" w:rsidRDefault="006F6043" w:rsidP="00801AFD">
            <w:pPr>
              <w:pStyle w:val="C-TableText"/>
              <w:widowControl w:val="0"/>
              <w:jc w:val="center"/>
              <w:rPr>
                <w:sz w:val="22"/>
                <w:szCs w:val="22"/>
              </w:rPr>
            </w:pPr>
          </w:p>
          <w:p w14:paraId="19C4D2F2" w14:textId="77777777" w:rsidR="006F6043" w:rsidRPr="00801AFD" w:rsidRDefault="006F6043" w:rsidP="00801AFD">
            <w:pPr>
              <w:pStyle w:val="C-TableText"/>
              <w:widowControl w:val="0"/>
              <w:jc w:val="center"/>
              <w:rPr>
                <w:sz w:val="22"/>
                <w:szCs w:val="22"/>
              </w:rPr>
            </w:pPr>
            <w:r w:rsidRPr="00801AFD">
              <w:rPr>
                <w:sz w:val="22"/>
                <w:szCs w:val="22"/>
              </w:rPr>
              <w:lastRenderedPageBreak/>
              <w:t>-2044.13 (1328.059)</w:t>
            </w:r>
          </w:p>
          <w:p w14:paraId="2EDD4A29" w14:textId="77777777" w:rsidR="006F6043" w:rsidRPr="00801AFD" w:rsidRDefault="006F6043" w:rsidP="00801AFD">
            <w:pPr>
              <w:pStyle w:val="C-TableText"/>
              <w:widowControl w:val="0"/>
              <w:jc w:val="center"/>
              <w:rPr>
                <w:sz w:val="22"/>
                <w:szCs w:val="22"/>
              </w:rPr>
            </w:pPr>
            <w:r w:rsidRPr="00801AFD">
              <w:rPr>
                <w:sz w:val="22"/>
                <w:szCs w:val="22"/>
              </w:rPr>
              <w:t>-1851.50</w:t>
            </w:r>
          </w:p>
        </w:tc>
      </w:tr>
      <w:tr w:rsidR="006F6043" w:rsidRPr="00801AFD" w14:paraId="2B800E23" w14:textId="77777777" w:rsidTr="00986850">
        <w:tc>
          <w:tcPr>
            <w:tcW w:w="0" w:type="auto"/>
            <w:shd w:val="clear" w:color="auto" w:fill="auto"/>
          </w:tcPr>
          <w:p w14:paraId="205759BF" w14:textId="5C9ACDD2" w:rsidR="006F6043" w:rsidRPr="00801AFD" w:rsidRDefault="006F6043" w:rsidP="00801AFD">
            <w:pPr>
              <w:pStyle w:val="C-TableText"/>
              <w:widowControl w:val="0"/>
              <w:jc w:val="both"/>
              <w:rPr>
                <w:sz w:val="22"/>
                <w:szCs w:val="22"/>
              </w:rPr>
            </w:pPr>
            <w:r w:rsidRPr="00801AFD">
              <w:rPr>
                <w:sz w:val="22"/>
                <w:szCs w:val="22"/>
              </w:rPr>
              <w:lastRenderedPageBreak/>
              <w:t>Porast hemoglobina od ≥ 20 g/</w:t>
            </w:r>
            <w:r w:rsidR="00D4193A" w:rsidRPr="00801AFD">
              <w:rPr>
                <w:sz w:val="22"/>
                <w:szCs w:val="22"/>
              </w:rPr>
              <w:t>l</w:t>
            </w:r>
            <w:r w:rsidRPr="00801AFD">
              <w:rPr>
                <w:sz w:val="22"/>
                <w:szCs w:val="22"/>
              </w:rPr>
              <w:t xml:space="preserve"> u odnosu na početak sa potvrdnim rezultatom tokom početnog perioda procjene</w:t>
            </w:r>
          </w:p>
          <w:p w14:paraId="521AC888" w14:textId="353CFCCC" w:rsidR="006F6043" w:rsidRPr="00801AFD" w:rsidRDefault="00337E75" w:rsidP="00801AFD">
            <w:pPr>
              <w:pStyle w:val="C-TableText"/>
              <w:widowControl w:val="0"/>
              <w:ind w:left="187"/>
              <w:jc w:val="both"/>
              <w:rPr>
                <w:sz w:val="22"/>
                <w:szCs w:val="22"/>
              </w:rPr>
            </w:pPr>
            <w:r w:rsidRPr="00801AFD">
              <w:rPr>
                <w:sz w:val="22"/>
                <w:szCs w:val="22"/>
              </w:rPr>
              <w:t>n/m</w:t>
            </w:r>
          </w:p>
          <w:p w14:paraId="688BE292" w14:textId="77777777" w:rsidR="006F6043" w:rsidRPr="00801AFD" w:rsidRDefault="006F6043" w:rsidP="00801AFD">
            <w:pPr>
              <w:pStyle w:val="C-TableText"/>
              <w:widowControl w:val="0"/>
              <w:ind w:left="187"/>
              <w:jc w:val="both"/>
              <w:rPr>
                <w:sz w:val="22"/>
                <w:szCs w:val="22"/>
              </w:rPr>
            </w:pPr>
            <w:r w:rsidRPr="00801AFD">
              <w:rPr>
                <w:sz w:val="22"/>
                <w:szCs w:val="22"/>
              </w:rPr>
              <w:t>Procenat (95% CI)*</w:t>
            </w:r>
          </w:p>
        </w:tc>
        <w:tc>
          <w:tcPr>
            <w:tcW w:w="0" w:type="auto"/>
            <w:gridSpan w:val="2"/>
            <w:shd w:val="clear" w:color="auto" w:fill="auto"/>
          </w:tcPr>
          <w:p w14:paraId="597FDAB9" w14:textId="77777777" w:rsidR="006F6043" w:rsidRPr="00801AFD" w:rsidRDefault="006F6043" w:rsidP="00801AFD">
            <w:pPr>
              <w:pStyle w:val="C-TableText"/>
              <w:widowControl w:val="0"/>
              <w:jc w:val="center"/>
              <w:rPr>
                <w:sz w:val="22"/>
                <w:szCs w:val="22"/>
              </w:rPr>
            </w:pPr>
          </w:p>
          <w:p w14:paraId="18F6C353" w14:textId="77777777" w:rsidR="006F6043" w:rsidRPr="00801AFD" w:rsidRDefault="006F6043" w:rsidP="00801AFD">
            <w:pPr>
              <w:pStyle w:val="C-TableText"/>
              <w:widowControl w:val="0"/>
              <w:jc w:val="center"/>
              <w:rPr>
                <w:sz w:val="22"/>
                <w:szCs w:val="22"/>
              </w:rPr>
            </w:pPr>
          </w:p>
          <w:p w14:paraId="76AF9BCF" w14:textId="77777777" w:rsidR="006F6043" w:rsidRPr="00801AFD" w:rsidRDefault="006F6043" w:rsidP="00801AFD">
            <w:pPr>
              <w:pStyle w:val="C-TableText"/>
              <w:widowControl w:val="0"/>
              <w:jc w:val="center"/>
              <w:rPr>
                <w:sz w:val="22"/>
                <w:szCs w:val="22"/>
              </w:rPr>
            </w:pPr>
          </w:p>
          <w:p w14:paraId="49F9402C" w14:textId="3E82A818" w:rsidR="006F6043" w:rsidRPr="00801AFD" w:rsidRDefault="00337E75" w:rsidP="00801AFD">
            <w:pPr>
              <w:pStyle w:val="C-TableText"/>
              <w:widowControl w:val="0"/>
              <w:jc w:val="center"/>
              <w:rPr>
                <w:sz w:val="22"/>
                <w:szCs w:val="22"/>
              </w:rPr>
            </w:pPr>
            <w:r w:rsidRPr="00801AFD">
              <w:rPr>
                <w:sz w:val="22"/>
                <w:szCs w:val="22"/>
              </w:rPr>
              <w:t>17</w:t>
            </w:r>
            <w:r w:rsidR="006F6043" w:rsidRPr="00801AFD">
              <w:rPr>
                <w:sz w:val="22"/>
                <w:szCs w:val="22"/>
              </w:rPr>
              <w:t>/</w:t>
            </w:r>
            <w:r w:rsidRPr="00801AFD">
              <w:rPr>
                <w:sz w:val="22"/>
                <w:szCs w:val="22"/>
              </w:rPr>
              <w:t>20</w:t>
            </w:r>
          </w:p>
          <w:p w14:paraId="7A1FA814" w14:textId="6768A4A5" w:rsidR="006F6043" w:rsidRPr="00801AFD" w:rsidRDefault="006F6043" w:rsidP="00801AFD">
            <w:pPr>
              <w:pStyle w:val="C-TableText"/>
              <w:widowControl w:val="0"/>
              <w:jc w:val="center"/>
              <w:rPr>
                <w:sz w:val="22"/>
                <w:szCs w:val="22"/>
              </w:rPr>
            </w:pPr>
            <w:r w:rsidRPr="00801AFD">
              <w:rPr>
                <w:sz w:val="22"/>
                <w:szCs w:val="22"/>
              </w:rPr>
              <w:t>0.</w:t>
            </w:r>
            <w:r w:rsidR="00337E75" w:rsidRPr="00801AFD">
              <w:rPr>
                <w:sz w:val="22"/>
                <w:szCs w:val="22"/>
              </w:rPr>
              <w:t xml:space="preserve">850 </w:t>
            </w:r>
            <w:r w:rsidRPr="00801AFD">
              <w:rPr>
                <w:sz w:val="22"/>
                <w:szCs w:val="22"/>
              </w:rPr>
              <w:t>(0.</w:t>
            </w:r>
            <w:r w:rsidR="00337E75" w:rsidRPr="00801AFD">
              <w:rPr>
                <w:sz w:val="22"/>
                <w:szCs w:val="22"/>
              </w:rPr>
              <w:t>621</w:t>
            </w:r>
            <w:r w:rsidRPr="00801AFD">
              <w:rPr>
                <w:sz w:val="22"/>
                <w:szCs w:val="22"/>
              </w:rPr>
              <w:t>, 0.</w:t>
            </w:r>
            <w:r w:rsidR="00337E75" w:rsidRPr="00801AFD">
              <w:rPr>
                <w:sz w:val="22"/>
                <w:szCs w:val="22"/>
              </w:rPr>
              <w:t>968</w:t>
            </w:r>
            <w:r w:rsidRPr="00801AFD">
              <w:rPr>
                <w:sz w:val="22"/>
                <w:szCs w:val="22"/>
              </w:rPr>
              <w:t>)</w:t>
            </w:r>
          </w:p>
        </w:tc>
      </w:tr>
      <w:tr w:rsidR="006F6043" w:rsidRPr="00801AFD" w14:paraId="2A6D81E6" w14:textId="77777777" w:rsidTr="00986850">
        <w:tc>
          <w:tcPr>
            <w:tcW w:w="0" w:type="auto"/>
            <w:shd w:val="clear" w:color="auto" w:fill="auto"/>
          </w:tcPr>
          <w:p w14:paraId="6AAB2CC1" w14:textId="77777777" w:rsidR="006F6043" w:rsidRPr="00801AFD" w:rsidRDefault="006F6043" w:rsidP="00801AFD">
            <w:pPr>
              <w:pStyle w:val="C-TableText"/>
              <w:widowControl w:val="0"/>
              <w:jc w:val="both"/>
              <w:rPr>
                <w:sz w:val="22"/>
                <w:szCs w:val="22"/>
              </w:rPr>
            </w:pPr>
            <w:r w:rsidRPr="00801AFD">
              <w:rPr>
                <w:sz w:val="22"/>
                <w:szCs w:val="22"/>
              </w:rPr>
              <w:t>Promjena CKD stadijuma u odnosu na početak, Dan 183</w:t>
            </w:r>
          </w:p>
          <w:p w14:paraId="43E0D25D" w14:textId="77777777" w:rsidR="006F6043" w:rsidRPr="00801AFD" w:rsidRDefault="006F6043" w:rsidP="00801AFD">
            <w:pPr>
              <w:pStyle w:val="C-TableText"/>
              <w:widowControl w:val="0"/>
              <w:ind w:left="187" w:hanging="165"/>
              <w:jc w:val="both"/>
              <w:rPr>
                <w:sz w:val="22"/>
                <w:szCs w:val="22"/>
              </w:rPr>
            </w:pPr>
            <w:r w:rsidRPr="00801AFD">
              <w:rPr>
                <w:sz w:val="22"/>
                <w:szCs w:val="22"/>
              </w:rPr>
              <w:t>Poboljšanje</w:t>
            </w:r>
            <w:r w:rsidRPr="00801AFD">
              <w:rPr>
                <w:sz w:val="22"/>
                <w:szCs w:val="22"/>
                <w:vertAlign w:val="superscript"/>
              </w:rPr>
              <w:t>a</w:t>
            </w:r>
          </w:p>
          <w:p w14:paraId="22F302FE" w14:textId="348144EE" w:rsidR="006F6043" w:rsidRPr="00801AFD" w:rsidRDefault="00337E75" w:rsidP="00801AFD">
            <w:pPr>
              <w:pStyle w:val="C-TableText"/>
              <w:widowControl w:val="0"/>
              <w:ind w:left="187" w:hanging="165"/>
              <w:jc w:val="both"/>
              <w:rPr>
                <w:sz w:val="22"/>
                <w:szCs w:val="22"/>
              </w:rPr>
            </w:pPr>
            <w:r w:rsidRPr="00801AFD">
              <w:rPr>
                <w:sz w:val="22"/>
                <w:szCs w:val="22"/>
              </w:rPr>
              <w:t>n/</w:t>
            </w:r>
            <w:r w:rsidR="006F6043" w:rsidRPr="00801AFD">
              <w:rPr>
                <w:sz w:val="22"/>
                <w:szCs w:val="22"/>
              </w:rPr>
              <w:t>m</w:t>
            </w:r>
          </w:p>
          <w:p w14:paraId="5FC68F81" w14:textId="77777777" w:rsidR="006F6043" w:rsidRPr="00801AFD" w:rsidRDefault="006F6043" w:rsidP="00801AFD">
            <w:pPr>
              <w:pStyle w:val="C-TableText"/>
              <w:widowControl w:val="0"/>
              <w:ind w:left="187" w:hanging="165"/>
              <w:jc w:val="both"/>
              <w:rPr>
                <w:sz w:val="22"/>
                <w:szCs w:val="22"/>
              </w:rPr>
            </w:pPr>
            <w:r w:rsidRPr="00801AFD">
              <w:rPr>
                <w:sz w:val="22"/>
                <w:szCs w:val="22"/>
              </w:rPr>
              <w:t>Procenat (95% CI)*</w:t>
            </w:r>
          </w:p>
          <w:p w14:paraId="5F7C41C5" w14:textId="77777777" w:rsidR="006F6043" w:rsidRPr="00801AFD" w:rsidRDefault="006F6043" w:rsidP="00801AFD">
            <w:pPr>
              <w:pStyle w:val="C-TableText"/>
              <w:widowControl w:val="0"/>
              <w:ind w:left="187" w:hanging="165"/>
              <w:jc w:val="both"/>
              <w:rPr>
                <w:sz w:val="22"/>
                <w:szCs w:val="22"/>
              </w:rPr>
            </w:pPr>
            <w:r w:rsidRPr="00801AFD">
              <w:rPr>
                <w:sz w:val="22"/>
                <w:szCs w:val="22"/>
              </w:rPr>
              <w:t>Pogoršanje</w:t>
            </w:r>
            <w:r w:rsidRPr="00801AFD">
              <w:rPr>
                <w:sz w:val="22"/>
                <w:szCs w:val="22"/>
                <w:vertAlign w:val="superscript"/>
              </w:rPr>
              <w:t>b</w:t>
            </w:r>
          </w:p>
          <w:p w14:paraId="3CF410B6" w14:textId="5E3E2305" w:rsidR="006F6043" w:rsidRPr="00801AFD" w:rsidRDefault="00337E75" w:rsidP="00801AFD">
            <w:pPr>
              <w:pStyle w:val="C-TableText"/>
              <w:widowControl w:val="0"/>
              <w:ind w:left="187" w:hanging="165"/>
              <w:jc w:val="both"/>
              <w:rPr>
                <w:sz w:val="22"/>
                <w:szCs w:val="22"/>
              </w:rPr>
            </w:pPr>
            <w:r w:rsidRPr="00801AFD">
              <w:rPr>
                <w:sz w:val="22"/>
                <w:szCs w:val="22"/>
              </w:rPr>
              <w:t>n/</w:t>
            </w:r>
            <w:r w:rsidR="006F6043" w:rsidRPr="00801AFD">
              <w:rPr>
                <w:sz w:val="22"/>
                <w:szCs w:val="22"/>
              </w:rPr>
              <w:t>m</w:t>
            </w:r>
          </w:p>
          <w:p w14:paraId="7A31F067" w14:textId="77777777" w:rsidR="006F6043" w:rsidRPr="00801AFD" w:rsidRDefault="006F6043" w:rsidP="00801AFD">
            <w:pPr>
              <w:pStyle w:val="C-TableText"/>
              <w:widowControl w:val="0"/>
              <w:ind w:left="187" w:hanging="165"/>
              <w:jc w:val="both"/>
              <w:rPr>
                <w:sz w:val="22"/>
                <w:szCs w:val="22"/>
              </w:rPr>
            </w:pPr>
            <w:r w:rsidRPr="00801AFD">
              <w:rPr>
                <w:sz w:val="22"/>
                <w:szCs w:val="22"/>
              </w:rPr>
              <w:t>Procenat (95% CI)*</w:t>
            </w:r>
          </w:p>
        </w:tc>
        <w:tc>
          <w:tcPr>
            <w:tcW w:w="0" w:type="auto"/>
            <w:gridSpan w:val="2"/>
            <w:shd w:val="clear" w:color="auto" w:fill="auto"/>
          </w:tcPr>
          <w:p w14:paraId="68E09AE6" w14:textId="77777777" w:rsidR="006F6043" w:rsidRPr="00801AFD" w:rsidRDefault="006F6043" w:rsidP="00801AFD">
            <w:pPr>
              <w:pStyle w:val="C-TableText"/>
              <w:widowControl w:val="0"/>
              <w:jc w:val="center"/>
              <w:rPr>
                <w:sz w:val="22"/>
                <w:szCs w:val="22"/>
              </w:rPr>
            </w:pPr>
          </w:p>
          <w:p w14:paraId="0BA35096" w14:textId="77777777" w:rsidR="006F6043" w:rsidRPr="00801AFD" w:rsidRDefault="006F6043" w:rsidP="00801AFD">
            <w:pPr>
              <w:pStyle w:val="C-TableText"/>
              <w:widowControl w:val="0"/>
              <w:jc w:val="center"/>
              <w:rPr>
                <w:sz w:val="22"/>
                <w:szCs w:val="22"/>
              </w:rPr>
            </w:pPr>
          </w:p>
          <w:p w14:paraId="1357349B" w14:textId="77777777" w:rsidR="006F6043" w:rsidRPr="00801AFD" w:rsidRDefault="006F6043" w:rsidP="00801AFD">
            <w:pPr>
              <w:pStyle w:val="C-TableText"/>
              <w:widowControl w:val="0"/>
              <w:jc w:val="center"/>
              <w:rPr>
                <w:sz w:val="22"/>
                <w:szCs w:val="22"/>
              </w:rPr>
            </w:pPr>
          </w:p>
          <w:p w14:paraId="1389D4EF" w14:textId="77777777" w:rsidR="006F6043" w:rsidRPr="00801AFD" w:rsidRDefault="006F6043" w:rsidP="00801AFD">
            <w:pPr>
              <w:pStyle w:val="C-TableText"/>
              <w:widowControl w:val="0"/>
              <w:jc w:val="center"/>
              <w:rPr>
                <w:sz w:val="22"/>
                <w:szCs w:val="22"/>
              </w:rPr>
            </w:pPr>
            <w:r w:rsidRPr="00801AFD">
              <w:rPr>
                <w:sz w:val="22"/>
                <w:szCs w:val="22"/>
              </w:rPr>
              <w:t>15/17</w:t>
            </w:r>
          </w:p>
          <w:p w14:paraId="29BA9843" w14:textId="77777777" w:rsidR="006F6043" w:rsidRPr="00801AFD" w:rsidRDefault="006F6043" w:rsidP="00801AFD">
            <w:pPr>
              <w:pStyle w:val="C-TableText"/>
              <w:widowControl w:val="0"/>
              <w:jc w:val="center"/>
              <w:rPr>
                <w:sz w:val="22"/>
                <w:szCs w:val="22"/>
              </w:rPr>
            </w:pPr>
            <w:r w:rsidRPr="00801AFD">
              <w:rPr>
                <w:sz w:val="22"/>
                <w:szCs w:val="22"/>
              </w:rPr>
              <w:t>0.882 (0.636, 0.985)</w:t>
            </w:r>
          </w:p>
          <w:p w14:paraId="76700818" w14:textId="77777777" w:rsidR="006F6043" w:rsidRPr="00801AFD" w:rsidRDefault="006F6043" w:rsidP="00801AFD">
            <w:pPr>
              <w:pStyle w:val="C-TableText"/>
              <w:widowControl w:val="0"/>
              <w:jc w:val="center"/>
              <w:rPr>
                <w:sz w:val="22"/>
                <w:szCs w:val="22"/>
              </w:rPr>
            </w:pPr>
          </w:p>
          <w:p w14:paraId="42F3850B" w14:textId="77777777" w:rsidR="006F6043" w:rsidRPr="00801AFD" w:rsidRDefault="006F6043" w:rsidP="00801AFD">
            <w:pPr>
              <w:pStyle w:val="C-TableText"/>
              <w:widowControl w:val="0"/>
              <w:jc w:val="center"/>
              <w:rPr>
                <w:sz w:val="22"/>
                <w:szCs w:val="22"/>
              </w:rPr>
            </w:pPr>
            <w:r w:rsidRPr="00801AFD">
              <w:rPr>
                <w:sz w:val="22"/>
                <w:szCs w:val="22"/>
              </w:rPr>
              <w:t>0/11</w:t>
            </w:r>
          </w:p>
          <w:p w14:paraId="1343C872" w14:textId="77777777" w:rsidR="006F6043" w:rsidRPr="00801AFD" w:rsidRDefault="006F6043" w:rsidP="00801AFD">
            <w:pPr>
              <w:pStyle w:val="C-TableText"/>
              <w:widowControl w:val="0"/>
              <w:jc w:val="center"/>
              <w:rPr>
                <w:sz w:val="22"/>
                <w:szCs w:val="22"/>
              </w:rPr>
            </w:pPr>
            <w:r w:rsidRPr="00801AFD">
              <w:rPr>
                <w:sz w:val="22"/>
                <w:szCs w:val="22"/>
              </w:rPr>
              <w:t>0.000 (0.000, 0.285)</w:t>
            </w:r>
          </w:p>
        </w:tc>
      </w:tr>
      <w:tr w:rsidR="006F6043" w:rsidRPr="00801AFD" w14:paraId="6B96F0BE" w14:textId="77777777" w:rsidTr="00986850">
        <w:tc>
          <w:tcPr>
            <w:tcW w:w="0" w:type="auto"/>
            <w:shd w:val="clear" w:color="auto" w:fill="auto"/>
          </w:tcPr>
          <w:p w14:paraId="461D2F25" w14:textId="451BC7AD" w:rsidR="006F6043" w:rsidRPr="00801AFD" w:rsidRDefault="006F6043" w:rsidP="00801AFD">
            <w:pPr>
              <w:pStyle w:val="C-TableText"/>
              <w:widowControl w:val="0"/>
              <w:jc w:val="both"/>
              <w:rPr>
                <w:sz w:val="22"/>
                <w:szCs w:val="22"/>
              </w:rPr>
            </w:pPr>
            <w:r w:rsidRPr="00801AFD">
              <w:rPr>
                <w:sz w:val="22"/>
                <w:szCs w:val="22"/>
              </w:rPr>
              <w:t>eGFR (m</w:t>
            </w:r>
            <w:r w:rsidR="00D81D62" w:rsidRPr="00801AFD">
              <w:rPr>
                <w:sz w:val="22"/>
                <w:szCs w:val="22"/>
              </w:rPr>
              <w:t>l</w:t>
            </w:r>
            <w:r w:rsidRPr="00801AFD">
              <w:rPr>
                <w:sz w:val="22"/>
                <w:szCs w:val="22"/>
              </w:rPr>
              <w:t>/min/1.73 m</w:t>
            </w:r>
            <w:r w:rsidRPr="00801AFD">
              <w:rPr>
                <w:sz w:val="22"/>
                <w:szCs w:val="22"/>
                <w:vertAlign w:val="superscript"/>
              </w:rPr>
              <w:t>2</w:t>
            </w:r>
            <w:r w:rsidRPr="00801AFD">
              <w:rPr>
                <w:sz w:val="22"/>
                <w:szCs w:val="22"/>
              </w:rPr>
              <w:t>), Dan 183</w:t>
            </w:r>
          </w:p>
          <w:p w14:paraId="68A66911" w14:textId="77777777" w:rsidR="006F6043" w:rsidRPr="00801AFD" w:rsidRDefault="006F6043" w:rsidP="00801AFD">
            <w:pPr>
              <w:pStyle w:val="C-TableText"/>
              <w:widowControl w:val="0"/>
              <w:ind w:left="22"/>
              <w:jc w:val="both"/>
              <w:rPr>
                <w:sz w:val="22"/>
                <w:szCs w:val="22"/>
              </w:rPr>
            </w:pPr>
            <w:r w:rsidRPr="00801AFD">
              <w:rPr>
                <w:sz w:val="22"/>
                <w:szCs w:val="22"/>
              </w:rPr>
              <w:t>Srednja vrijednost (SD)</w:t>
            </w:r>
          </w:p>
          <w:p w14:paraId="5319AE15" w14:textId="77777777" w:rsidR="006F6043" w:rsidRPr="00801AFD" w:rsidRDefault="006F6043" w:rsidP="00801AFD">
            <w:pPr>
              <w:pStyle w:val="C-TableText"/>
              <w:widowControl w:val="0"/>
              <w:ind w:left="22"/>
              <w:jc w:val="both"/>
              <w:rPr>
                <w:sz w:val="22"/>
                <w:szCs w:val="22"/>
              </w:rPr>
            </w:pPr>
            <w:r w:rsidRPr="00801AFD">
              <w:rPr>
                <w:sz w:val="22"/>
                <w:szCs w:val="22"/>
              </w:rPr>
              <w:t>Medijana</w:t>
            </w:r>
          </w:p>
        </w:tc>
        <w:tc>
          <w:tcPr>
            <w:tcW w:w="0" w:type="auto"/>
            <w:shd w:val="clear" w:color="auto" w:fill="auto"/>
          </w:tcPr>
          <w:p w14:paraId="1B382D9A" w14:textId="2072E265" w:rsidR="006F6043" w:rsidRPr="00801AFD" w:rsidRDefault="006F6043" w:rsidP="00801AFD">
            <w:pPr>
              <w:pStyle w:val="C-TableText"/>
              <w:widowControl w:val="0"/>
              <w:jc w:val="center"/>
              <w:rPr>
                <w:sz w:val="22"/>
                <w:szCs w:val="22"/>
              </w:rPr>
            </w:pPr>
            <w:r w:rsidRPr="00801AFD">
              <w:rPr>
                <w:sz w:val="22"/>
                <w:szCs w:val="22"/>
              </w:rPr>
              <w:t>Prim</w:t>
            </w:r>
            <w:r w:rsidR="00D81D62" w:rsidRPr="00801AFD">
              <w:rPr>
                <w:sz w:val="22"/>
                <w:szCs w:val="22"/>
              </w:rPr>
              <w:t>i</w:t>
            </w:r>
            <w:r w:rsidRPr="00801AFD">
              <w:rPr>
                <w:sz w:val="22"/>
                <w:szCs w:val="22"/>
              </w:rPr>
              <w:t>jećena vrijednost (n = 17)</w:t>
            </w:r>
          </w:p>
          <w:p w14:paraId="553A3BD8" w14:textId="77777777" w:rsidR="006F6043" w:rsidRPr="00801AFD" w:rsidRDefault="006F6043" w:rsidP="00801AFD">
            <w:pPr>
              <w:pStyle w:val="C-TableText"/>
              <w:widowControl w:val="0"/>
              <w:jc w:val="center"/>
              <w:rPr>
                <w:sz w:val="22"/>
                <w:szCs w:val="22"/>
              </w:rPr>
            </w:pPr>
            <w:r w:rsidRPr="00801AFD">
              <w:rPr>
                <w:sz w:val="22"/>
                <w:szCs w:val="22"/>
              </w:rPr>
              <w:t>108.5 (56.87)</w:t>
            </w:r>
          </w:p>
          <w:p w14:paraId="3616B193" w14:textId="77777777" w:rsidR="006F6043" w:rsidRPr="00801AFD" w:rsidRDefault="006F6043" w:rsidP="00801AFD">
            <w:pPr>
              <w:pStyle w:val="C-TableText"/>
              <w:widowControl w:val="0"/>
              <w:jc w:val="center"/>
              <w:rPr>
                <w:sz w:val="22"/>
                <w:szCs w:val="22"/>
              </w:rPr>
            </w:pPr>
            <w:r w:rsidRPr="00801AFD">
              <w:rPr>
                <w:sz w:val="22"/>
                <w:szCs w:val="22"/>
              </w:rPr>
              <w:t>108.0</w:t>
            </w:r>
          </w:p>
        </w:tc>
        <w:tc>
          <w:tcPr>
            <w:tcW w:w="0" w:type="auto"/>
            <w:shd w:val="clear" w:color="auto" w:fill="auto"/>
          </w:tcPr>
          <w:p w14:paraId="1FA721A8" w14:textId="77777777" w:rsidR="006F6043" w:rsidRPr="00801AFD" w:rsidRDefault="006F6043" w:rsidP="00801AFD">
            <w:pPr>
              <w:pStyle w:val="C-TableText"/>
              <w:widowControl w:val="0"/>
              <w:jc w:val="center"/>
              <w:rPr>
                <w:sz w:val="22"/>
                <w:szCs w:val="22"/>
              </w:rPr>
            </w:pPr>
            <w:r w:rsidRPr="00801AFD">
              <w:rPr>
                <w:sz w:val="22"/>
                <w:szCs w:val="22"/>
              </w:rPr>
              <w:t>Promjena u odnosu na početak (n = 17)</w:t>
            </w:r>
          </w:p>
          <w:p w14:paraId="69C2E7EB" w14:textId="77777777" w:rsidR="006F6043" w:rsidRPr="00801AFD" w:rsidRDefault="006F6043" w:rsidP="00801AFD">
            <w:pPr>
              <w:pStyle w:val="C-TableText"/>
              <w:widowControl w:val="0"/>
              <w:jc w:val="center"/>
              <w:rPr>
                <w:sz w:val="22"/>
                <w:szCs w:val="22"/>
              </w:rPr>
            </w:pPr>
            <w:r w:rsidRPr="00801AFD">
              <w:rPr>
                <w:sz w:val="22"/>
                <w:szCs w:val="22"/>
              </w:rPr>
              <w:t>85.4 (54.33)</w:t>
            </w:r>
          </w:p>
          <w:p w14:paraId="754823EB" w14:textId="77777777" w:rsidR="006F6043" w:rsidRPr="00801AFD" w:rsidRDefault="006F6043" w:rsidP="00801AFD">
            <w:pPr>
              <w:pStyle w:val="C-TableText"/>
              <w:widowControl w:val="0"/>
              <w:jc w:val="center"/>
              <w:rPr>
                <w:sz w:val="22"/>
                <w:szCs w:val="22"/>
              </w:rPr>
            </w:pPr>
            <w:r w:rsidRPr="00801AFD">
              <w:rPr>
                <w:sz w:val="22"/>
                <w:szCs w:val="22"/>
              </w:rPr>
              <w:t>80.0</w:t>
            </w:r>
          </w:p>
        </w:tc>
      </w:tr>
    </w:tbl>
    <w:p w14:paraId="1A1F6433" w14:textId="6725F4FF" w:rsidR="006F6043" w:rsidRPr="00986850" w:rsidRDefault="006F6043" w:rsidP="00801AFD">
      <w:pPr>
        <w:pStyle w:val="Default"/>
        <w:widowControl w:val="0"/>
        <w:jc w:val="both"/>
        <w:rPr>
          <w:sz w:val="20"/>
          <w:szCs w:val="22"/>
          <w:lang w:val="sr-Latn-ME"/>
        </w:rPr>
      </w:pPr>
      <w:r w:rsidRPr="00986850">
        <w:rPr>
          <w:sz w:val="20"/>
          <w:szCs w:val="22"/>
          <w:lang w:val="sr-Latn-ME"/>
        </w:rPr>
        <w:t>Napomena: n</w:t>
      </w:r>
      <w:r w:rsidR="00D81D62" w:rsidRPr="00986850">
        <w:rPr>
          <w:sz w:val="20"/>
          <w:szCs w:val="22"/>
          <w:lang w:val="sr-Latn-ME"/>
        </w:rPr>
        <w:t>-</w:t>
      </w:r>
      <w:r w:rsidRPr="00986850">
        <w:rPr>
          <w:sz w:val="20"/>
          <w:szCs w:val="22"/>
          <w:lang w:val="sr-Latn-ME"/>
        </w:rPr>
        <w:t xml:space="preserve"> broj pacijenata sa dostupnim podacima za određenu procjenu na 183. dan pregleda. </w:t>
      </w:r>
      <w:r w:rsidR="00D81D62" w:rsidRPr="00986850">
        <w:rPr>
          <w:sz w:val="20"/>
          <w:szCs w:val="22"/>
          <w:lang w:val="sr-Latn-ME"/>
        </w:rPr>
        <w:t>M-</w:t>
      </w:r>
      <w:r w:rsidRPr="00986850">
        <w:rPr>
          <w:sz w:val="20"/>
          <w:szCs w:val="22"/>
          <w:lang w:val="sr-Latn-ME"/>
        </w:rPr>
        <w:t xml:space="preserve"> broj pacijenata koji su ispunili određeni kriterijum. Stadijum hronične bolesti bubrega (</w:t>
      </w:r>
      <w:r w:rsidR="00DB1C80" w:rsidRPr="00986850">
        <w:rPr>
          <w:sz w:val="20"/>
          <w:szCs w:val="22"/>
          <w:lang w:val="sr-Latn-ME"/>
        </w:rPr>
        <w:t>HBB</w:t>
      </w:r>
      <w:r w:rsidRPr="00986850">
        <w:rPr>
          <w:sz w:val="20"/>
          <w:szCs w:val="22"/>
          <w:lang w:val="sr-Latn-ME"/>
        </w:rPr>
        <w:t xml:space="preserve">) klasifikuje se na osnovu stadijuma hronične bolesti bubrega Nacionalne fondacije za hroničnu bolest bubrega. Faza 5 se smatra najgorom, dok se faza 1 smatra najboljom kategorijom. Početna vrijednost je dobijena na osnovu posljednje dostupne vrijednosti eGFR prije početka liječenja. </w:t>
      </w:r>
    </w:p>
    <w:p w14:paraId="4153B239" w14:textId="3634DB5D" w:rsidR="006F6043" w:rsidRPr="00986850" w:rsidRDefault="006F6043" w:rsidP="00801AFD">
      <w:pPr>
        <w:pStyle w:val="Default"/>
        <w:widowControl w:val="0"/>
        <w:jc w:val="both"/>
        <w:rPr>
          <w:sz w:val="20"/>
          <w:szCs w:val="22"/>
          <w:lang w:val="sr-Latn-ME"/>
        </w:rPr>
      </w:pPr>
      <w:r w:rsidRPr="00986850">
        <w:rPr>
          <w:sz w:val="20"/>
          <w:szCs w:val="22"/>
          <w:lang w:val="sr-Latn-ME"/>
        </w:rPr>
        <w:t xml:space="preserve">Poboljšanje / pogoršanje: u poređenju sa stadijumom </w:t>
      </w:r>
      <w:r w:rsidR="00DB1C80" w:rsidRPr="00986850">
        <w:rPr>
          <w:sz w:val="20"/>
          <w:szCs w:val="22"/>
          <w:lang w:val="sr-Latn-ME"/>
        </w:rPr>
        <w:t xml:space="preserve">HBB </w:t>
      </w:r>
      <w:r w:rsidRPr="00986850">
        <w:rPr>
          <w:sz w:val="20"/>
          <w:szCs w:val="22"/>
          <w:lang w:val="sr-Latn-ME"/>
        </w:rPr>
        <w:t>na početku studije.</w:t>
      </w:r>
    </w:p>
    <w:p w14:paraId="42E9094D" w14:textId="77777777" w:rsidR="006F6043" w:rsidRPr="00986850" w:rsidRDefault="006F6043" w:rsidP="00801AFD">
      <w:pPr>
        <w:pStyle w:val="Default"/>
        <w:widowControl w:val="0"/>
        <w:jc w:val="both"/>
        <w:rPr>
          <w:sz w:val="20"/>
          <w:szCs w:val="22"/>
          <w:lang w:val="sr-Latn-ME"/>
        </w:rPr>
      </w:pPr>
      <w:r w:rsidRPr="00986850">
        <w:rPr>
          <w:sz w:val="20"/>
          <w:szCs w:val="22"/>
          <w:lang w:val="sr-Latn-ME"/>
        </w:rPr>
        <w:t xml:space="preserve">*Interval pouzdanosti od 95% (95% CI) zasnovan je na tačnim granicama pouzdanosti utvrđenim Clopper-Pearson metodom. </w:t>
      </w:r>
    </w:p>
    <w:p w14:paraId="0116AB97" w14:textId="07A581C7" w:rsidR="006F6043" w:rsidRPr="00986850" w:rsidRDefault="006F6043" w:rsidP="00801AFD">
      <w:pPr>
        <w:pStyle w:val="Default"/>
        <w:widowControl w:val="0"/>
        <w:jc w:val="both"/>
        <w:rPr>
          <w:sz w:val="20"/>
          <w:szCs w:val="22"/>
          <w:lang w:val="sr-Latn-ME"/>
        </w:rPr>
      </w:pPr>
      <w:r w:rsidRPr="00986850">
        <w:rPr>
          <w:sz w:val="20"/>
          <w:szCs w:val="22"/>
          <w:vertAlign w:val="superscript"/>
          <w:lang w:val="sr-Latn-ME"/>
        </w:rPr>
        <w:t>a</w:t>
      </w:r>
      <w:r w:rsidRPr="00986850">
        <w:rPr>
          <w:sz w:val="20"/>
          <w:szCs w:val="22"/>
          <w:lang w:val="sr-Latn-ME"/>
        </w:rPr>
        <w:t xml:space="preserve">Poboljšanje isključuje pacijente sa stadijumom 1 CKD na početku studije, jer se ne mogu uočiti dalja poboljšanja. </w:t>
      </w:r>
      <w:r w:rsidRPr="00986850">
        <w:rPr>
          <w:sz w:val="20"/>
          <w:szCs w:val="22"/>
          <w:vertAlign w:val="superscript"/>
          <w:lang w:val="sr-Latn-ME"/>
        </w:rPr>
        <w:t>b</w:t>
      </w:r>
      <w:r w:rsidRPr="00986850">
        <w:rPr>
          <w:sz w:val="20"/>
          <w:szCs w:val="22"/>
          <w:lang w:val="sr-Latn-ME"/>
        </w:rPr>
        <w:t>Pogoršanje isključuje pacijente sa stadijumom 5 na početku studije, jer se ne može uočiti dalje pogoršanje</w:t>
      </w:r>
      <w:r w:rsidR="00D81D62" w:rsidRPr="00986850">
        <w:rPr>
          <w:sz w:val="20"/>
          <w:szCs w:val="22"/>
          <w:lang w:val="sr-Latn-ME"/>
        </w:rPr>
        <w:t>.</w:t>
      </w:r>
    </w:p>
    <w:p w14:paraId="5DC16073" w14:textId="7484928C" w:rsidR="006F6043" w:rsidRPr="00986850" w:rsidRDefault="006F6043" w:rsidP="00801AFD">
      <w:pPr>
        <w:pStyle w:val="Default"/>
        <w:widowControl w:val="0"/>
        <w:jc w:val="both"/>
        <w:rPr>
          <w:sz w:val="20"/>
          <w:szCs w:val="22"/>
          <w:lang w:val="sr-Latn-ME"/>
        </w:rPr>
      </w:pPr>
      <w:r w:rsidRPr="00986850">
        <w:rPr>
          <w:sz w:val="20"/>
          <w:szCs w:val="22"/>
          <w:lang w:val="sr-Latn-ME"/>
        </w:rPr>
        <w:t>Skraćenice: eGFR = proc</w:t>
      </w:r>
      <w:r w:rsidR="00D81D62" w:rsidRPr="00986850">
        <w:rPr>
          <w:sz w:val="20"/>
          <w:szCs w:val="22"/>
          <w:lang w:val="sr-Latn-ME"/>
        </w:rPr>
        <w:t>i</w:t>
      </w:r>
      <w:r w:rsidRPr="00986850">
        <w:rPr>
          <w:sz w:val="20"/>
          <w:szCs w:val="22"/>
          <w:lang w:val="sr-Latn-ME"/>
        </w:rPr>
        <w:t>jenjena brzina glomerularne filtracije; LDH = laktat dehidrogenaza; TMA = trombotička mikroangiopatija.</w:t>
      </w:r>
    </w:p>
    <w:p w14:paraId="5E9DF624" w14:textId="77777777" w:rsidR="006F6043" w:rsidRPr="00801AFD" w:rsidRDefault="006F6043" w:rsidP="00801AFD">
      <w:pPr>
        <w:pStyle w:val="Default"/>
        <w:widowControl w:val="0"/>
        <w:jc w:val="both"/>
        <w:rPr>
          <w:sz w:val="22"/>
          <w:szCs w:val="22"/>
          <w:lang w:val="sr-Latn-ME"/>
        </w:rPr>
      </w:pPr>
      <w:r w:rsidRPr="00801AFD">
        <w:rPr>
          <w:sz w:val="22"/>
          <w:szCs w:val="22"/>
          <w:lang w:val="sr-Latn-ME"/>
        </w:rPr>
        <w:t xml:space="preserve"> </w:t>
      </w:r>
    </w:p>
    <w:p w14:paraId="6CF8AAA0" w14:textId="77777777" w:rsidR="006F6043" w:rsidRPr="00801AFD" w:rsidRDefault="006F6043" w:rsidP="00801AFD">
      <w:pPr>
        <w:widowControl w:val="0"/>
        <w:jc w:val="both"/>
        <w:rPr>
          <w:color w:val="000000"/>
          <w:sz w:val="22"/>
          <w:szCs w:val="22"/>
          <w:lang w:val="sr-Latn-ME"/>
        </w:rPr>
      </w:pPr>
      <w:r w:rsidRPr="00801AFD">
        <w:rPr>
          <w:color w:val="000000"/>
          <w:sz w:val="22"/>
          <w:szCs w:val="22"/>
          <w:lang w:val="sr-Latn-ME"/>
        </w:rPr>
        <w:t>Kod pacijenata koji su prethodno liječeni ekulizumabom, prelazak na ravulizumab održavao je bolest pod kontrolom, što dokazuju stabilni hematološki i bubrežni parametri, bez očiglednog uticaja na bezbjednost.</w:t>
      </w:r>
    </w:p>
    <w:p w14:paraId="1AB6BD61" w14:textId="77777777" w:rsidR="006F6043" w:rsidRPr="00801AFD" w:rsidRDefault="006F6043" w:rsidP="00801AFD">
      <w:pPr>
        <w:widowControl w:val="0"/>
        <w:jc w:val="both"/>
        <w:rPr>
          <w:color w:val="000000"/>
          <w:sz w:val="22"/>
          <w:szCs w:val="22"/>
          <w:lang w:val="sr-Latn-ME"/>
        </w:rPr>
      </w:pPr>
    </w:p>
    <w:p w14:paraId="2ADDF813" w14:textId="6A62EA5A" w:rsidR="00337E75" w:rsidRPr="00801AFD" w:rsidRDefault="006F6043" w:rsidP="00801AFD">
      <w:pPr>
        <w:widowControl w:val="0"/>
        <w:jc w:val="both"/>
        <w:rPr>
          <w:color w:val="000000"/>
          <w:sz w:val="22"/>
          <w:szCs w:val="22"/>
          <w:lang w:val="sr-Latn-ME"/>
        </w:rPr>
      </w:pPr>
      <w:r w:rsidRPr="00801AFD">
        <w:rPr>
          <w:color w:val="000000"/>
          <w:sz w:val="22"/>
          <w:szCs w:val="22"/>
          <w:lang w:val="sr-Latn-ME"/>
        </w:rPr>
        <w:t>Čini se da je efikasnost ravulizumaba u liječenju aHUS</w:t>
      </w:r>
      <w:r w:rsidR="00D81D62" w:rsidRPr="00801AFD">
        <w:rPr>
          <w:color w:val="000000"/>
          <w:sz w:val="22"/>
          <w:szCs w:val="22"/>
          <w:lang w:val="sr-Latn-ME"/>
        </w:rPr>
        <w:t>-a</w:t>
      </w:r>
      <w:r w:rsidRPr="00801AFD">
        <w:rPr>
          <w:color w:val="000000"/>
          <w:sz w:val="22"/>
          <w:szCs w:val="22"/>
          <w:lang w:val="sr-Latn-ME"/>
        </w:rPr>
        <w:t xml:space="preserve"> slična kod pedijatrijskih i odraslih pacijenata.</w:t>
      </w:r>
      <w:r w:rsidR="00CB4BB6" w:rsidRPr="00801AFD">
        <w:rPr>
          <w:color w:val="000000"/>
          <w:sz w:val="22"/>
          <w:szCs w:val="22"/>
          <w:lang w:val="sr-Latn-ME"/>
        </w:rPr>
        <w:t xml:space="preserve"> </w:t>
      </w:r>
      <w:r w:rsidR="00337E75" w:rsidRPr="00801AFD">
        <w:rPr>
          <w:color w:val="000000"/>
          <w:sz w:val="22"/>
          <w:szCs w:val="22"/>
          <w:lang w:val="sr-Latn-ME"/>
        </w:rPr>
        <w:t>Konačna analiza efikasnosti za studiju na svim pedijatrijskim pacijentima liječenim ravulizumabom</w:t>
      </w:r>
      <w:r w:rsidR="00CB4BB6" w:rsidRPr="00801AFD">
        <w:rPr>
          <w:color w:val="000000"/>
          <w:sz w:val="22"/>
          <w:szCs w:val="22"/>
          <w:lang w:val="sr-Latn-ME"/>
        </w:rPr>
        <w:t xml:space="preserve"> </w:t>
      </w:r>
      <w:r w:rsidR="00337E75" w:rsidRPr="00801AFD">
        <w:rPr>
          <w:color w:val="000000"/>
          <w:sz w:val="22"/>
          <w:szCs w:val="22"/>
          <w:lang w:val="sr-Latn-ME"/>
        </w:rPr>
        <w:t>tokom medijane trajanja liječenja od 130,60 ned</w:t>
      </w:r>
      <w:r w:rsidR="00CB4BB6" w:rsidRPr="00801AFD">
        <w:rPr>
          <w:color w:val="000000"/>
          <w:sz w:val="22"/>
          <w:szCs w:val="22"/>
          <w:lang w:val="sr-Latn-ME"/>
        </w:rPr>
        <w:t>j</w:t>
      </w:r>
      <w:r w:rsidR="00337E75" w:rsidRPr="00801AFD">
        <w:rPr>
          <w:color w:val="000000"/>
          <w:sz w:val="22"/>
          <w:szCs w:val="22"/>
          <w:lang w:val="sr-Latn-ME"/>
        </w:rPr>
        <w:t>elja potvrdila je da su odgovori na liječenje</w:t>
      </w:r>
      <w:r w:rsidR="00CB4BB6" w:rsidRPr="00801AFD">
        <w:rPr>
          <w:color w:val="000000"/>
          <w:sz w:val="22"/>
          <w:szCs w:val="22"/>
          <w:lang w:val="sr-Latn-ME"/>
        </w:rPr>
        <w:t xml:space="preserve"> </w:t>
      </w:r>
      <w:r w:rsidR="00337E75" w:rsidRPr="00801AFD">
        <w:rPr>
          <w:color w:val="000000"/>
          <w:sz w:val="22"/>
          <w:szCs w:val="22"/>
          <w:lang w:val="sr-Latn-ME"/>
        </w:rPr>
        <w:t>ravulizumabom primijećeni tokom perioda primarne evaluacije ostali tokom cijelog trajanja studije.</w:t>
      </w:r>
    </w:p>
    <w:p w14:paraId="2FBCE4ED" w14:textId="77777777" w:rsidR="005F0807" w:rsidRPr="00801AFD" w:rsidRDefault="005F0807" w:rsidP="00801AFD">
      <w:pPr>
        <w:widowControl w:val="0"/>
        <w:jc w:val="both"/>
        <w:rPr>
          <w:i/>
          <w:iCs/>
          <w:color w:val="000000"/>
          <w:sz w:val="22"/>
          <w:szCs w:val="22"/>
          <w:lang w:val="sr-Latn-ME"/>
        </w:rPr>
      </w:pPr>
    </w:p>
    <w:p w14:paraId="62327B16" w14:textId="5FE00216" w:rsidR="00256187" w:rsidRPr="00801AFD" w:rsidRDefault="00256187" w:rsidP="00801AFD">
      <w:pPr>
        <w:widowControl w:val="0"/>
        <w:jc w:val="both"/>
        <w:rPr>
          <w:i/>
          <w:iCs/>
          <w:color w:val="000000"/>
          <w:sz w:val="22"/>
          <w:szCs w:val="22"/>
          <w:lang w:val="sr-Latn-ME"/>
        </w:rPr>
      </w:pPr>
      <w:r w:rsidRPr="00801AFD">
        <w:rPr>
          <w:i/>
          <w:iCs/>
          <w:color w:val="000000"/>
          <w:sz w:val="22"/>
          <w:szCs w:val="22"/>
          <w:lang w:val="sr-Latn-ME"/>
        </w:rPr>
        <w:t>Generalizovana mijastenija gravis (gMG)</w:t>
      </w:r>
    </w:p>
    <w:p w14:paraId="45A8D9B4" w14:textId="77777777" w:rsidR="00256187" w:rsidRPr="00801AFD" w:rsidRDefault="00256187" w:rsidP="00801AFD">
      <w:pPr>
        <w:widowControl w:val="0"/>
        <w:jc w:val="both"/>
        <w:rPr>
          <w:i/>
          <w:iCs/>
          <w:color w:val="000000"/>
          <w:sz w:val="22"/>
          <w:szCs w:val="22"/>
          <w:lang w:val="sr-Latn-ME"/>
        </w:rPr>
      </w:pPr>
    </w:p>
    <w:p w14:paraId="2050CC02" w14:textId="7D69EC03" w:rsidR="00256187" w:rsidRPr="00801AFD" w:rsidRDefault="00256187" w:rsidP="00801AFD">
      <w:pPr>
        <w:widowControl w:val="0"/>
        <w:jc w:val="both"/>
        <w:rPr>
          <w:color w:val="000000"/>
          <w:sz w:val="22"/>
          <w:szCs w:val="22"/>
          <w:lang w:val="sr-Latn-ME"/>
        </w:rPr>
      </w:pPr>
      <w:r w:rsidRPr="00801AFD">
        <w:rPr>
          <w:color w:val="000000"/>
          <w:sz w:val="22"/>
          <w:szCs w:val="22"/>
          <w:lang w:val="sr-Latn-ME"/>
        </w:rPr>
        <w:t>Evropska agencija za l</w:t>
      </w:r>
      <w:r w:rsidR="007B354B" w:rsidRPr="00801AFD">
        <w:rPr>
          <w:color w:val="000000"/>
          <w:sz w:val="22"/>
          <w:szCs w:val="22"/>
          <w:lang w:val="sr-Latn-ME"/>
        </w:rPr>
        <w:t>j</w:t>
      </w:r>
      <w:r w:rsidRPr="00801AFD">
        <w:rPr>
          <w:color w:val="000000"/>
          <w:sz w:val="22"/>
          <w:szCs w:val="22"/>
          <w:lang w:val="sr-Latn-ME"/>
        </w:rPr>
        <w:t>ekove odložila je obavezu dostavljanja rezultata studija sa</w:t>
      </w:r>
      <w:r w:rsidR="005F0807" w:rsidRPr="00801AFD">
        <w:rPr>
          <w:color w:val="000000"/>
          <w:sz w:val="22"/>
          <w:szCs w:val="22"/>
          <w:lang w:val="sr-Latn-ME"/>
        </w:rPr>
        <w:t xml:space="preserve"> </w:t>
      </w:r>
      <w:r w:rsidRPr="00801AFD">
        <w:rPr>
          <w:color w:val="000000"/>
          <w:sz w:val="22"/>
          <w:szCs w:val="22"/>
          <w:lang w:val="sr-Latn-ME"/>
        </w:rPr>
        <w:t>Ultomirisom u jednoj ili više podgrupa pedijatrijske populacije u l</w:t>
      </w:r>
      <w:r w:rsidR="007B354B" w:rsidRPr="00801AFD">
        <w:rPr>
          <w:color w:val="000000"/>
          <w:sz w:val="22"/>
          <w:szCs w:val="22"/>
          <w:lang w:val="sr-Latn-ME"/>
        </w:rPr>
        <w:t>ij</w:t>
      </w:r>
      <w:r w:rsidRPr="00801AFD">
        <w:rPr>
          <w:color w:val="000000"/>
          <w:sz w:val="22"/>
          <w:szCs w:val="22"/>
          <w:lang w:val="sr-Latn-ME"/>
        </w:rPr>
        <w:t>ečenju mijastenije gravis.Vid</w:t>
      </w:r>
      <w:r w:rsidR="007B354B" w:rsidRPr="00801AFD">
        <w:rPr>
          <w:color w:val="000000"/>
          <w:sz w:val="22"/>
          <w:szCs w:val="22"/>
          <w:lang w:val="sr-Latn-ME"/>
        </w:rPr>
        <w:t>j</w:t>
      </w:r>
      <w:r w:rsidRPr="00801AFD">
        <w:rPr>
          <w:color w:val="000000"/>
          <w:sz w:val="22"/>
          <w:szCs w:val="22"/>
          <w:lang w:val="sr-Latn-ME"/>
        </w:rPr>
        <w:t>eti d</w:t>
      </w:r>
      <w:r w:rsidR="007B354B" w:rsidRPr="00801AFD">
        <w:rPr>
          <w:color w:val="000000"/>
          <w:sz w:val="22"/>
          <w:szCs w:val="22"/>
          <w:lang w:val="sr-Latn-ME"/>
        </w:rPr>
        <w:t>i</w:t>
      </w:r>
      <w:r w:rsidRPr="00801AFD">
        <w:rPr>
          <w:color w:val="000000"/>
          <w:sz w:val="22"/>
          <w:szCs w:val="22"/>
          <w:lang w:val="sr-Latn-ME"/>
        </w:rPr>
        <w:t>o 4.2 za informacije o upotrebi u pedijatrijskoj populaciji.</w:t>
      </w:r>
    </w:p>
    <w:p w14:paraId="7840CC37" w14:textId="2355DC83" w:rsidR="00DF24CD" w:rsidRPr="00801AFD" w:rsidRDefault="00DF24CD" w:rsidP="00801AFD">
      <w:pPr>
        <w:widowControl w:val="0"/>
        <w:jc w:val="both"/>
        <w:rPr>
          <w:color w:val="000000"/>
          <w:sz w:val="22"/>
          <w:szCs w:val="22"/>
          <w:lang w:val="sr-Latn-ME"/>
        </w:rPr>
      </w:pPr>
    </w:p>
    <w:p w14:paraId="6CFF4CAC" w14:textId="77777777" w:rsidR="00DF24CD" w:rsidRPr="00801AFD" w:rsidRDefault="00DF24CD" w:rsidP="00801AFD">
      <w:pPr>
        <w:widowControl w:val="0"/>
        <w:jc w:val="both"/>
        <w:rPr>
          <w:color w:val="000000"/>
          <w:sz w:val="22"/>
          <w:szCs w:val="22"/>
          <w:lang w:val="sr-Latn-ME"/>
        </w:rPr>
      </w:pPr>
      <w:r w:rsidRPr="00801AFD">
        <w:rPr>
          <w:i/>
          <w:color w:val="000000"/>
          <w:sz w:val="22"/>
          <w:szCs w:val="22"/>
          <w:u w:val="single"/>
          <w:lang w:val="sr-Latn-ME"/>
        </w:rPr>
        <w:t>Spektar poremećaja optičkog neuromijelitisa (NMOSD</w:t>
      </w:r>
      <w:r w:rsidRPr="00801AFD">
        <w:rPr>
          <w:color w:val="000000"/>
          <w:sz w:val="22"/>
          <w:szCs w:val="22"/>
          <w:lang w:val="sr-Latn-ME"/>
        </w:rPr>
        <w:t>)</w:t>
      </w:r>
    </w:p>
    <w:p w14:paraId="192D4A7D" w14:textId="77777777" w:rsidR="00DF24CD" w:rsidRPr="00801AFD" w:rsidRDefault="00DF24CD" w:rsidP="00801AFD">
      <w:pPr>
        <w:widowControl w:val="0"/>
        <w:jc w:val="both"/>
        <w:rPr>
          <w:color w:val="000000"/>
          <w:sz w:val="22"/>
          <w:szCs w:val="22"/>
          <w:lang w:val="sr-Latn-ME"/>
        </w:rPr>
      </w:pPr>
    </w:p>
    <w:p w14:paraId="2FF9590B" w14:textId="062FF643" w:rsidR="00DF24CD" w:rsidRPr="00801AFD" w:rsidRDefault="00DF24CD" w:rsidP="00801AFD">
      <w:pPr>
        <w:widowControl w:val="0"/>
        <w:jc w:val="both"/>
        <w:rPr>
          <w:color w:val="000000"/>
          <w:sz w:val="22"/>
          <w:szCs w:val="22"/>
          <w:lang w:val="sr-Latn-ME"/>
        </w:rPr>
      </w:pPr>
      <w:r w:rsidRPr="00801AFD">
        <w:rPr>
          <w:color w:val="000000"/>
          <w:sz w:val="22"/>
          <w:szCs w:val="22"/>
          <w:lang w:val="sr-Latn-ME"/>
        </w:rPr>
        <w:t>Evropska agencija za l</w:t>
      </w:r>
      <w:r w:rsidR="00471BA3" w:rsidRPr="00801AFD">
        <w:rPr>
          <w:color w:val="000000"/>
          <w:sz w:val="22"/>
          <w:szCs w:val="22"/>
          <w:lang w:val="sr-Latn-ME"/>
        </w:rPr>
        <w:t>j</w:t>
      </w:r>
      <w:r w:rsidRPr="00801AFD">
        <w:rPr>
          <w:color w:val="000000"/>
          <w:sz w:val="22"/>
          <w:szCs w:val="22"/>
          <w:lang w:val="sr-Latn-ME"/>
        </w:rPr>
        <w:t>ekove odložila je obavezu dostavljanja rezultata studija sa Ultomirisom u jednoj ili više podgrupa pedijatrijske populacije u l</w:t>
      </w:r>
      <w:r w:rsidR="00471BA3" w:rsidRPr="00801AFD">
        <w:rPr>
          <w:color w:val="000000"/>
          <w:sz w:val="22"/>
          <w:szCs w:val="22"/>
          <w:lang w:val="sr-Latn-ME"/>
        </w:rPr>
        <w:t>ij</w:t>
      </w:r>
      <w:r w:rsidRPr="00801AFD">
        <w:rPr>
          <w:color w:val="000000"/>
          <w:sz w:val="22"/>
          <w:szCs w:val="22"/>
          <w:lang w:val="sr-Latn-ME"/>
        </w:rPr>
        <w:t>ečenju NMOSD.Vid</w:t>
      </w:r>
      <w:r w:rsidR="00471BA3" w:rsidRPr="00801AFD">
        <w:rPr>
          <w:color w:val="000000"/>
          <w:sz w:val="22"/>
          <w:szCs w:val="22"/>
          <w:lang w:val="sr-Latn-ME"/>
        </w:rPr>
        <w:t>j</w:t>
      </w:r>
      <w:r w:rsidRPr="00801AFD">
        <w:rPr>
          <w:color w:val="000000"/>
          <w:sz w:val="22"/>
          <w:szCs w:val="22"/>
          <w:lang w:val="sr-Latn-ME"/>
        </w:rPr>
        <w:t>eti d</w:t>
      </w:r>
      <w:r w:rsidR="00471BA3" w:rsidRPr="00801AFD">
        <w:rPr>
          <w:color w:val="000000"/>
          <w:sz w:val="22"/>
          <w:szCs w:val="22"/>
          <w:lang w:val="sr-Latn-ME"/>
        </w:rPr>
        <w:t>i</w:t>
      </w:r>
      <w:r w:rsidRPr="00801AFD">
        <w:rPr>
          <w:color w:val="000000"/>
          <w:sz w:val="22"/>
          <w:szCs w:val="22"/>
          <w:lang w:val="sr-Latn-ME"/>
        </w:rPr>
        <w:t>o 4.2 za informacije o upotrebi u pedijatrijskoj populaciji.</w:t>
      </w:r>
    </w:p>
    <w:p w14:paraId="6CD03CD7" w14:textId="0BBAEE95" w:rsidR="006F6043" w:rsidRPr="00801AFD" w:rsidRDefault="006F6043" w:rsidP="00801AFD">
      <w:pPr>
        <w:widowControl w:val="0"/>
        <w:jc w:val="both"/>
        <w:rPr>
          <w:sz w:val="22"/>
          <w:szCs w:val="22"/>
          <w:lang w:val="sr-Latn-ME"/>
        </w:rPr>
      </w:pPr>
    </w:p>
    <w:p w14:paraId="748B335B" w14:textId="091E0492" w:rsidR="0072020E" w:rsidRPr="00801AFD" w:rsidRDefault="0072020E" w:rsidP="00801AFD">
      <w:pPr>
        <w:widowControl w:val="0"/>
        <w:tabs>
          <w:tab w:val="left" w:pos="540"/>
          <w:tab w:val="left" w:pos="569"/>
        </w:tabs>
        <w:jc w:val="both"/>
        <w:rPr>
          <w:b/>
          <w:bCs/>
          <w:sz w:val="22"/>
          <w:szCs w:val="22"/>
          <w:lang w:val="sr-Latn-ME"/>
        </w:rPr>
      </w:pPr>
      <w:r w:rsidRPr="00801AFD">
        <w:rPr>
          <w:b/>
          <w:bCs/>
          <w:sz w:val="22"/>
          <w:szCs w:val="22"/>
          <w:lang w:val="sr-Latn-ME"/>
        </w:rPr>
        <w:t xml:space="preserve">5.2. </w:t>
      </w:r>
      <w:r w:rsidR="00480FB1" w:rsidRPr="00801AFD">
        <w:rPr>
          <w:b/>
          <w:bCs/>
          <w:sz w:val="22"/>
          <w:szCs w:val="22"/>
          <w:lang w:val="sr-Latn-ME"/>
        </w:rPr>
        <w:tab/>
      </w:r>
      <w:r w:rsidRPr="00801AFD">
        <w:rPr>
          <w:b/>
          <w:bCs/>
          <w:sz w:val="22"/>
          <w:szCs w:val="22"/>
          <w:lang w:val="sr-Latn-ME"/>
        </w:rPr>
        <w:t>Farmakokinetički podaci</w:t>
      </w:r>
      <w:r w:rsidR="003A7059" w:rsidRPr="00801AFD">
        <w:rPr>
          <w:b/>
          <w:bCs/>
          <w:sz w:val="22"/>
          <w:szCs w:val="22"/>
          <w:lang w:val="sr-Latn-ME"/>
        </w:rPr>
        <w:t xml:space="preserve"> </w:t>
      </w:r>
    </w:p>
    <w:p w14:paraId="5FA21387" w14:textId="67D40E9D" w:rsidR="00D4193A" w:rsidRPr="00801AFD" w:rsidRDefault="00D4193A" w:rsidP="00801AFD">
      <w:pPr>
        <w:widowControl w:val="0"/>
        <w:tabs>
          <w:tab w:val="left" w:pos="540"/>
          <w:tab w:val="left" w:pos="569"/>
        </w:tabs>
        <w:jc w:val="both"/>
        <w:rPr>
          <w:b/>
          <w:bCs/>
          <w:sz w:val="22"/>
          <w:szCs w:val="22"/>
          <w:lang w:val="sr-Latn-ME"/>
        </w:rPr>
      </w:pPr>
    </w:p>
    <w:p w14:paraId="649C93FC" w14:textId="63902A6C" w:rsidR="00D4193A" w:rsidRPr="00801AFD" w:rsidRDefault="005F0807" w:rsidP="00801AFD">
      <w:pPr>
        <w:pStyle w:val="Default"/>
        <w:widowControl w:val="0"/>
        <w:jc w:val="both"/>
        <w:rPr>
          <w:b/>
          <w:bCs/>
          <w:sz w:val="22"/>
          <w:szCs w:val="22"/>
          <w:lang w:val="sr-Latn-ME"/>
        </w:rPr>
      </w:pPr>
      <w:r w:rsidRPr="00801AFD">
        <w:rPr>
          <w:b/>
          <w:bCs/>
          <w:sz w:val="22"/>
          <w:szCs w:val="22"/>
          <w:lang w:val="sr-Latn-ME"/>
        </w:rPr>
        <w:t xml:space="preserve">Resorpcija </w:t>
      </w:r>
    </w:p>
    <w:p w14:paraId="65E609B4" w14:textId="309F8E75" w:rsidR="00D4193A" w:rsidRPr="00801AFD" w:rsidRDefault="00D4193A" w:rsidP="00801AFD">
      <w:pPr>
        <w:widowControl w:val="0"/>
        <w:jc w:val="both"/>
        <w:rPr>
          <w:color w:val="000000"/>
          <w:sz w:val="22"/>
          <w:szCs w:val="22"/>
          <w:lang w:val="sr-Latn-ME"/>
        </w:rPr>
      </w:pPr>
      <w:r w:rsidRPr="00801AFD">
        <w:rPr>
          <w:color w:val="000000"/>
          <w:sz w:val="22"/>
          <w:szCs w:val="22"/>
          <w:lang w:val="sr-Latn-ME"/>
        </w:rPr>
        <w:t>Budući da je način primjene intravenska infuzija, a farmaceutski oblik je rastvor, 100% prim</w:t>
      </w:r>
      <w:r w:rsidR="00D81D62" w:rsidRPr="00801AFD">
        <w:rPr>
          <w:color w:val="000000"/>
          <w:sz w:val="22"/>
          <w:szCs w:val="22"/>
          <w:lang w:val="sr-Latn-ME"/>
        </w:rPr>
        <w:t>i</w:t>
      </w:r>
      <w:r w:rsidRPr="00801AFD">
        <w:rPr>
          <w:color w:val="000000"/>
          <w:sz w:val="22"/>
          <w:szCs w:val="22"/>
          <w:lang w:val="sr-Latn-ME"/>
        </w:rPr>
        <w:t xml:space="preserve">jenjene doze </w:t>
      </w:r>
      <w:r w:rsidR="00903D56" w:rsidRPr="00801AFD">
        <w:rPr>
          <w:color w:val="000000"/>
          <w:sz w:val="22"/>
          <w:szCs w:val="22"/>
          <w:lang w:val="sr-Latn-ME"/>
        </w:rPr>
        <w:t xml:space="preserve">ravulizumaba </w:t>
      </w:r>
      <w:r w:rsidRPr="00801AFD">
        <w:rPr>
          <w:color w:val="000000"/>
          <w:sz w:val="22"/>
          <w:szCs w:val="22"/>
          <w:lang w:val="sr-Latn-ME"/>
        </w:rPr>
        <w:t>smatra se bioraspoloživom. Vrijeme do postizanja maksimalne koncentracije (t</w:t>
      </w:r>
      <w:r w:rsidRPr="00801AFD">
        <w:rPr>
          <w:color w:val="000000"/>
          <w:sz w:val="22"/>
          <w:szCs w:val="22"/>
          <w:vertAlign w:val="subscript"/>
          <w:lang w:val="sr-Latn-ME"/>
        </w:rPr>
        <w:t>max</w:t>
      </w:r>
      <w:r w:rsidRPr="00801AFD">
        <w:rPr>
          <w:color w:val="000000"/>
          <w:sz w:val="22"/>
          <w:szCs w:val="22"/>
          <w:lang w:val="sr-Latn-ME"/>
        </w:rPr>
        <w:t xml:space="preserve">) </w:t>
      </w:r>
      <w:r w:rsidRPr="00801AFD">
        <w:rPr>
          <w:color w:val="000000"/>
          <w:sz w:val="22"/>
          <w:szCs w:val="22"/>
          <w:lang w:val="sr-Latn-ME"/>
        </w:rPr>
        <w:lastRenderedPageBreak/>
        <w:t>se očekuje na kraju infuzije ili ubrzo nakon toga. Terapijske koncentracije lijeka u ravnotežnom stanju postižu se nakon prve doze.</w:t>
      </w:r>
    </w:p>
    <w:p w14:paraId="1743D618" w14:textId="77777777" w:rsidR="00986850" w:rsidRDefault="00986850" w:rsidP="00986850">
      <w:pPr>
        <w:widowControl w:val="0"/>
        <w:rPr>
          <w:color w:val="000000"/>
          <w:sz w:val="22"/>
          <w:szCs w:val="22"/>
          <w:lang w:val="sr-Latn-ME"/>
        </w:rPr>
      </w:pPr>
    </w:p>
    <w:p w14:paraId="47B9E044" w14:textId="6E2B896C" w:rsidR="00256187" w:rsidRPr="00801AFD" w:rsidRDefault="00D4193A" w:rsidP="00986850">
      <w:pPr>
        <w:widowControl w:val="0"/>
        <w:rPr>
          <w:b/>
          <w:bCs/>
          <w:color w:val="000000"/>
          <w:sz w:val="22"/>
          <w:szCs w:val="22"/>
          <w:lang w:val="sr-Latn-ME"/>
        </w:rPr>
      </w:pPr>
      <w:r w:rsidRPr="00801AFD">
        <w:rPr>
          <w:b/>
          <w:bCs/>
          <w:color w:val="000000"/>
          <w:sz w:val="22"/>
          <w:szCs w:val="22"/>
          <w:lang w:val="sr-Latn-ME"/>
        </w:rPr>
        <w:t>Distribucija</w:t>
      </w:r>
    </w:p>
    <w:p w14:paraId="530C7F0D" w14:textId="018191D8" w:rsidR="00256187" w:rsidRPr="00801AFD" w:rsidRDefault="00256187" w:rsidP="00801AFD">
      <w:pPr>
        <w:widowControl w:val="0"/>
        <w:jc w:val="both"/>
        <w:rPr>
          <w:color w:val="000000"/>
          <w:sz w:val="22"/>
          <w:szCs w:val="22"/>
          <w:lang w:val="sr-Latn-ME"/>
        </w:rPr>
      </w:pPr>
      <w:r w:rsidRPr="00801AFD">
        <w:rPr>
          <w:color w:val="000000"/>
          <w:sz w:val="22"/>
          <w:szCs w:val="22"/>
          <w:lang w:val="sr-Latn-ME"/>
        </w:rPr>
        <w:t>Srednja vr</w:t>
      </w:r>
      <w:r w:rsidR="007B354B" w:rsidRPr="00801AFD">
        <w:rPr>
          <w:color w:val="000000"/>
          <w:sz w:val="22"/>
          <w:szCs w:val="22"/>
          <w:lang w:val="sr-Latn-ME"/>
        </w:rPr>
        <w:t>ij</w:t>
      </w:r>
      <w:r w:rsidRPr="00801AFD">
        <w:rPr>
          <w:color w:val="000000"/>
          <w:sz w:val="22"/>
          <w:szCs w:val="22"/>
          <w:lang w:val="sr-Latn-ME"/>
        </w:rPr>
        <w:t xml:space="preserve">ednost (standardna devijacija [SD]) </w:t>
      </w:r>
      <w:r w:rsidR="00DB1C80" w:rsidRPr="00801AFD">
        <w:rPr>
          <w:color w:val="000000"/>
          <w:sz w:val="22"/>
          <w:szCs w:val="22"/>
          <w:lang w:val="sr-Latn-ME"/>
        </w:rPr>
        <w:t xml:space="preserve">volumena distribucije u srednjem dijelu </w:t>
      </w:r>
      <w:r w:rsidRPr="00801AFD">
        <w:rPr>
          <w:color w:val="000000"/>
          <w:sz w:val="22"/>
          <w:szCs w:val="22"/>
          <w:lang w:val="sr-Latn-ME"/>
        </w:rPr>
        <w:t>i volumena distribucije u stanju ravnoteže kod odraslih i pedijatrijskih pacijenata sa PNH i aHUS i odraslih pacijenata sa gMG</w:t>
      </w:r>
      <w:r w:rsidR="005F0807" w:rsidRPr="00801AFD">
        <w:rPr>
          <w:color w:val="000000"/>
          <w:sz w:val="22"/>
          <w:szCs w:val="22"/>
          <w:lang w:val="sr-Latn-ME"/>
        </w:rPr>
        <w:t xml:space="preserve"> ili NMOSD</w:t>
      </w:r>
      <w:r w:rsidRPr="00801AFD">
        <w:rPr>
          <w:color w:val="000000"/>
          <w:sz w:val="22"/>
          <w:szCs w:val="22"/>
          <w:lang w:val="sr-Latn-ME"/>
        </w:rPr>
        <w:t xml:space="preserve"> je prikazana u Tabeli </w:t>
      </w:r>
      <w:r w:rsidR="005F0807" w:rsidRPr="00801AFD">
        <w:rPr>
          <w:color w:val="000000"/>
          <w:sz w:val="22"/>
          <w:szCs w:val="22"/>
          <w:lang w:val="sr-Latn-ME"/>
        </w:rPr>
        <w:t>2</w:t>
      </w:r>
      <w:r w:rsidR="00FF52A2" w:rsidRPr="00801AFD">
        <w:rPr>
          <w:color w:val="000000"/>
          <w:sz w:val="22"/>
          <w:szCs w:val="22"/>
          <w:lang w:val="sr-Latn-ME"/>
        </w:rPr>
        <w:t>5</w:t>
      </w:r>
      <w:r w:rsidRPr="00801AFD">
        <w:rPr>
          <w:color w:val="000000"/>
          <w:sz w:val="22"/>
          <w:szCs w:val="22"/>
          <w:lang w:val="sr-Latn-ME"/>
        </w:rPr>
        <w:t xml:space="preserve">. </w:t>
      </w:r>
    </w:p>
    <w:p w14:paraId="6EDA18FC" w14:textId="77777777" w:rsidR="005F0807" w:rsidRPr="00801AFD" w:rsidRDefault="005F0807" w:rsidP="00801AFD">
      <w:pPr>
        <w:widowControl w:val="0"/>
        <w:jc w:val="both"/>
        <w:rPr>
          <w:color w:val="000000"/>
          <w:sz w:val="22"/>
          <w:szCs w:val="22"/>
          <w:lang w:val="sr-Latn-ME"/>
        </w:rPr>
      </w:pPr>
    </w:p>
    <w:p w14:paraId="40E351A4" w14:textId="77777777" w:rsidR="005F0807" w:rsidRPr="00801AFD" w:rsidRDefault="005F0807" w:rsidP="00801AFD">
      <w:pPr>
        <w:widowControl w:val="0"/>
        <w:jc w:val="both"/>
        <w:rPr>
          <w:b/>
          <w:color w:val="000000"/>
          <w:sz w:val="22"/>
          <w:szCs w:val="22"/>
          <w:lang w:val="sr-Latn-ME"/>
        </w:rPr>
      </w:pPr>
      <w:r w:rsidRPr="00801AFD">
        <w:rPr>
          <w:b/>
          <w:color w:val="000000"/>
          <w:sz w:val="22"/>
          <w:szCs w:val="22"/>
          <w:lang w:val="sr-Latn-ME"/>
        </w:rPr>
        <w:t>Biotransformacija i eliminacija</w:t>
      </w:r>
    </w:p>
    <w:p w14:paraId="0EF7529C" w14:textId="32148D9F" w:rsidR="00256187" w:rsidRPr="00801AFD" w:rsidRDefault="005F0807" w:rsidP="00801AFD">
      <w:pPr>
        <w:widowControl w:val="0"/>
        <w:jc w:val="both"/>
        <w:rPr>
          <w:b/>
          <w:bCs/>
          <w:color w:val="000000"/>
          <w:sz w:val="22"/>
          <w:szCs w:val="22"/>
          <w:lang w:val="sr-Latn-ME"/>
        </w:rPr>
      </w:pPr>
      <w:r w:rsidRPr="00801AFD">
        <w:rPr>
          <w:color w:val="000000"/>
          <w:sz w:val="22"/>
          <w:szCs w:val="22"/>
          <w:lang w:val="sr-Latn-ME"/>
        </w:rPr>
        <w:t xml:space="preserve">Kao monoklonsko antitijelo imunoglobulina gama (IgG), očekuje se da se ravulizumab metaboliše na isti način kao i bilo koji drugi endogeni IgG (razgrađuje se na male peptide i aminokiseline kataboličkim putevima) i da podliježe sličnoj eliminaciji. Ravulizumab sadrži samo prirodne aminokiseline i nema poznate aktivne metabolite. Srednje vrijednosti (SD) terminalnog poluvremena eliminacije i klirensa ravulizumaba kod odraslih i pedijatrijskih pacijenata s PNH-om ili aHUS-om, </w:t>
      </w:r>
      <w:r w:rsidR="00D0032C" w:rsidRPr="00801AFD">
        <w:rPr>
          <w:color w:val="000000"/>
          <w:sz w:val="22"/>
          <w:szCs w:val="22"/>
          <w:lang w:val="sr-Latn-ME"/>
        </w:rPr>
        <w:t xml:space="preserve">bili su 49,7 (8,9) dana, odnosno 0,08 (0,022) </w:t>
      </w:r>
      <w:r w:rsidR="00FF52A2" w:rsidRPr="00801AFD">
        <w:rPr>
          <w:color w:val="000000"/>
          <w:sz w:val="22"/>
          <w:szCs w:val="22"/>
          <w:lang w:val="sr-Latn-ME"/>
        </w:rPr>
        <w:t>l</w:t>
      </w:r>
      <w:r w:rsidR="00D0032C" w:rsidRPr="00801AFD">
        <w:rPr>
          <w:color w:val="000000"/>
          <w:sz w:val="22"/>
          <w:szCs w:val="22"/>
          <w:lang w:val="sr-Latn-ME"/>
        </w:rPr>
        <w:t xml:space="preserve">/dan, a kod odraslih i pedijatrijskih pacijenata sa aHUS 51,8 (16,2) dana ili 0,08 (0,04) </w:t>
      </w:r>
      <w:r w:rsidR="00FF52A2" w:rsidRPr="00801AFD">
        <w:rPr>
          <w:color w:val="000000"/>
          <w:sz w:val="22"/>
          <w:szCs w:val="22"/>
          <w:lang w:val="sr-Latn-ME"/>
        </w:rPr>
        <w:t>l</w:t>
      </w:r>
      <w:r w:rsidR="00D0032C" w:rsidRPr="00801AFD">
        <w:rPr>
          <w:color w:val="000000"/>
          <w:sz w:val="22"/>
          <w:szCs w:val="22"/>
          <w:lang w:val="sr-Latn-ME"/>
        </w:rPr>
        <w:t>/dan, respektivno</w:t>
      </w:r>
    </w:p>
    <w:p w14:paraId="7B4C0970" w14:textId="373B9169" w:rsidR="00256187" w:rsidRPr="00801AFD" w:rsidRDefault="00256187" w:rsidP="00801AFD">
      <w:pPr>
        <w:widowControl w:val="0"/>
        <w:jc w:val="both"/>
        <w:rPr>
          <w:color w:val="000000"/>
          <w:sz w:val="22"/>
          <w:szCs w:val="22"/>
          <w:lang w:val="sr-Latn-ME"/>
        </w:rPr>
      </w:pPr>
    </w:p>
    <w:p w14:paraId="0BCEA445" w14:textId="3B91090E" w:rsidR="00256187" w:rsidRPr="00801AFD" w:rsidRDefault="00256187" w:rsidP="00801AFD">
      <w:pPr>
        <w:widowControl w:val="0"/>
        <w:jc w:val="both"/>
        <w:rPr>
          <w:b/>
          <w:color w:val="000000"/>
          <w:sz w:val="22"/>
          <w:szCs w:val="22"/>
          <w:lang w:val="sr-Latn-ME"/>
        </w:rPr>
      </w:pPr>
      <w:r w:rsidRPr="00801AFD">
        <w:rPr>
          <w:b/>
          <w:color w:val="000000"/>
          <w:sz w:val="22"/>
          <w:szCs w:val="22"/>
          <w:lang w:val="sr-Latn-ME"/>
        </w:rPr>
        <w:t xml:space="preserve">Tabela </w:t>
      </w:r>
      <w:r w:rsidR="00D0032C" w:rsidRPr="00801AFD">
        <w:rPr>
          <w:b/>
          <w:color w:val="000000"/>
          <w:sz w:val="22"/>
          <w:szCs w:val="22"/>
          <w:lang w:val="sr-Latn-ME"/>
        </w:rPr>
        <w:t>25</w:t>
      </w:r>
      <w:r w:rsidRPr="00801AFD">
        <w:rPr>
          <w:b/>
          <w:color w:val="000000"/>
          <w:sz w:val="22"/>
          <w:szCs w:val="22"/>
          <w:lang w:val="sr-Latn-ME"/>
        </w:rPr>
        <w:t xml:space="preserve">: Procenjeni </w:t>
      </w:r>
      <w:r w:rsidR="00DB1C80" w:rsidRPr="00801AFD">
        <w:rPr>
          <w:b/>
          <w:color w:val="000000"/>
          <w:sz w:val="22"/>
          <w:szCs w:val="22"/>
          <w:lang w:val="sr-Latn-ME"/>
        </w:rPr>
        <w:t>volumena distribucije u srednjem dijelu</w:t>
      </w:r>
      <w:r w:rsidRPr="00801AFD">
        <w:rPr>
          <w:b/>
          <w:color w:val="000000"/>
          <w:sz w:val="22"/>
          <w:szCs w:val="22"/>
          <w:lang w:val="sr-Latn-ME"/>
        </w:rPr>
        <w:t>, distribucija, parametri biotransformacije i eliminacije nakon prim</w:t>
      </w:r>
      <w:r w:rsidR="007B354B" w:rsidRPr="00801AFD">
        <w:rPr>
          <w:b/>
          <w:color w:val="000000"/>
          <w:sz w:val="22"/>
          <w:szCs w:val="22"/>
          <w:lang w:val="sr-Latn-ME"/>
        </w:rPr>
        <w:t>j</w:t>
      </w:r>
      <w:r w:rsidRPr="00801AFD">
        <w:rPr>
          <w:b/>
          <w:color w:val="000000"/>
          <w:sz w:val="22"/>
          <w:szCs w:val="22"/>
          <w:lang w:val="sr-Latn-ME"/>
        </w:rPr>
        <w:t>ene ravulizumaba</w:t>
      </w:r>
    </w:p>
    <w:p w14:paraId="11809794" w14:textId="77777777" w:rsidR="00256187" w:rsidRPr="00801AFD" w:rsidRDefault="00256187" w:rsidP="00801AFD">
      <w:pPr>
        <w:widowControl w:val="0"/>
        <w:jc w:val="both"/>
        <w:rPr>
          <w:color w:val="000000"/>
          <w:sz w:val="22"/>
          <w:szCs w:val="22"/>
          <w:lang w:val="sr-Latn-M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93"/>
        <w:gridCol w:w="1990"/>
        <w:gridCol w:w="1399"/>
        <w:gridCol w:w="1476"/>
      </w:tblGrid>
      <w:tr w:rsidR="00DF24CD" w:rsidRPr="00801AFD" w14:paraId="18C8495F" w14:textId="72D30131" w:rsidTr="00986850">
        <w:trPr>
          <w:jc w:val="center"/>
        </w:trPr>
        <w:tc>
          <w:tcPr>
            <w:tcW w:w="1327" w:type="pct"/>
            <w:vAlign w:val="center"/>
          </w:tcPr>
          <w:p w14:paraId="1698E9DD" w14:textId="77777777" w:rsidR="00DF24CD" w:rsidRPr="00801AFD" w:rsidRDefault="00DF24CD" w:rsidP="00801AFD">
            <w:pPr>
              <w:widowControl w:val="0"/>
              <w:jc w:val="both"/>
              <w:rPr>
                <w:sz w:val="22"/>
                <w:szCs w:val="22"/>
                <w:lang w:val="sr-Latn-ME"/>
              </w:rPr>
            </w:pPr>
          </w:p>
        </w:tc>
        <w:tc>
          <w:tcPr>
            <w:tcW w:w="989" w:type="pct"/>
            <w:vAlign w:val="center"/>
          </w:tcPr>
          <w:p w14:paraId="035075A4" w14:textId="5756F95C" w:rsidR="00DF24CD" w:rsidRPr="00801AFD" w:rsidRDefault="00DF24CD" w:rsidP="00801AFD">
            <w:pPr>
              <w:widowControl w:val="0"/>
              <w:jc w:val="center"/>
              <w:rPr>
                <w:b/>
                <w:sz w:val="22"/>
                <w:szCs w:val="22"/>
                <w:lang w:val="sr-Latn-ME"/>
              </w:rPr>
            </w:pPr>
            <w:bookmarkStart w:id="2" w:name="_Hlk83744165"/>
            <w:r w:rsidRPr="00801AFD">
              <w:rPr>
                <w:b/>
                <w:sz w:val="22"/>
                <w:szCs w:val="22"/>
                <w:lang w:val="sr-Latn-ME"/>
              </w:rPr>
              <w:t>Odrasli i pedijatrijski pacijenti sa PNH</w:t>
            </w:r>
            <w:bookmarkEnd w:id="2"/>
          </w:p>
        </w:tc>
        <w:tc>
          <w:tcPr>
            <w:tcW w:w="0" w:type="auto"/>
            <w:vAlign w:val="center"/>
          </w:tcPr>
          <w:p w14:paraId="40BDCA74" w14:textId="77777777" w:rsidR="00DF24CD" w:rsidRPr="00801AFD" w:rsidRDefault="00DF24CD" w:rsidP="00801AFD">
            <w:pPr>
              <w:widowControl w:val="0"/>
              <w:jc w:val="center"/>
              <w:rPr>
                <w:b/>
                <w:sz w:val="22"/>
                <w:szCs w:val="22"/>
                <w:lang w:val="sr-Latn-ME"/>
              </w:rPr>
            </w:pPr>
            <w:bookmarkStart w:id="3" w:name="_Hlk83744568"/>
            <w:r w:rsidRPr="00801AFD">
              <w:rPr>
                <w:b/>
                <w:sz w:val="22"/>
                <w:szCs w:val="22"/>
                <w:lang w:val="sr-Latn-ME"/>
              </w:rPr>
              <w:t>Odrasli i pedijatrijski pacijenti sa aHUS</w:t>
            </w:r>
            <w:bookmarkEnd w:id="3"/>
          </w:p>
        </w:tc>
        <w:tc>
          <w:tcPr>
            <w:tcW w:w="0" w:type="auto"/>
            <w:vAlign w:val="center"/>
          </w:tcPr>
          <w:p w14:paraId="4C0C8E9F" w14:textId="77777777" w:rsidR="00DF24CD" w:rsidRPr="00801AFD" w:rsidRDefault="00DF24CD" w:rsidP="00801AFD">
            <w:pPr>
              <w:widowControl w:val="0"/>
              <w:jc w:val="center"/>
              <w:rPr>
                <w:b/>
                <w:sz w:val="22"/>
                <w:szCs w:val="22"/>
                <w:lang w:val="sr-Latn-ME"/>
              </w:rPr>
            </w:pPr>
            <w:bookmarkStart w:id="4" w:name="_Hlk83744144"/>
            <w:r w:rsidRPr="00801AFD">
              <w:rPr>
                <w:b/>
                <w:sz w:val="22"/>
                <w:szCs w:val="22"/>
                <w:lang w:val="sr-Latn-ME"/>
              </w:rPr>
              <w:t>Odrasli pacijenti sa gMG</w:t>
            </w:r>
            <w:bookmarkEnd w:id="4"/>
          </w:p>
        </w:tc>
        <w:tc>
          <w:tcPr>
            <w:tcW w:w="0" w:type="auto"/>
          </w:tcPr>
          <w:p w14:paraId="23E1A5B8" w14:textId="2A6AE781" w:rsidR="00DF24CD" w:rsidRPr="00801AFD" w:rsidRDefault="00DF24CD" w:rsidP="00801AFD">
            <w:pPr>
              <w:widowControl w:val="0"/>
              <w:jc w:val="center"/>
              <w:rPr>
                <w:b/>
                <w:sz w:val="22"/>
                <w:szCs w:val="22"/>
                <w:lang w:val="sr-Latn-ME"/>
              </w:rPr>
            </w:pPr>
            <w:r w:rsidRPr="00801AFD">
              <w:rPr>
                <w:b/>
                <w:sz w:val="22"/>
                <w:szCs w:val="22"/>
                <w:lang w:val="sr-Latn-ME"/>
              </w:rPr>
              <w:t>Odrasli pacijenti sa NMOSD</w:t>
            </w:r>
          </w:p>
        </w:tc>
      </w:tr>
      <w:tr w:rsidR="00DF24CD" w:rsidRPr="00801AFD" w14:paraId="778256B5" w14:textId="229F537F" w:rsidTr="00986850">
        <w:trPr>
          <w:jc w:val="center"/>
        </w:trPr>
        <w:tc>
          <w:tcPr>
            <w:tcW w:w="1327" w:type="pct"/>
          </w:tcPr>
          <w:p w14:paraId="2ABCB4E6" w14:textId="77777777" w:rsidR="00986850" w:rsidRDefault="00DF24CD" w:rsidP="00986850">
            <w:pPr>
              <w:widowControl w:val="0"/>
              <w:jc w:val="both"/>
              <w:rPr>
                <w:sz w:val="22"/>
                <w:szCs w:val="22"/>
                <w:lang w:val="sr-Latn-ME"/>
              </w:rPr>
            </w:pPr>
            <w:bookmarkStart w:id="5" w:name="_Hlk83744500"/>
            <w:r w:rsidRPr="00801AFD">
              <w:rPr>
                <w:sz w:val="22"/>
                <w:szCs w:val="22"/>
                <w:lang w:val="sr-Latn-ME"/>
              </w:rPr>
              <w:t>Procijenjeni volumena distribucije u srednjem dijelu (litri)</w:t>
            </w:r>
          </w:p>
          <w:p w14:paraId="56B392A8" w14:textId="090BF4D8" w:rsidR="00DF24CD" w:rsidRPr="00801AFD" w:rsidRDefault="00DF24CD" w:rsidP="00986850">
            <w:pPr>
              <w:widowControl w:val="0"/>
              <w:jc w:val="both"/>
              <w:rPr>
                <w:sz w:val="22"/>
                <w:szCs w:val="22"/>
                <w:lang w:val="sr-Latn-ME"/>
              </w:rPr>
            </w:pPr>
            <w:r w:rsidRPr="00801AFD">
              <w:rPr>
                <w:sz w:val="22"/>
                <w:szCs w:val="22"/>
                <w:lang w:val="sr-Latn-ME"/>
              </w:rPr>
              <w:t>Srednja vrijednost (SD)</w:t>
            </w:r>
            <w:bookmarkEnd w:id="5"/>
          </w:p>
        </w:tc>
        <w:tc>
          <w:tcPr>
            <w:tcW w:w="989" w:type="pct"/>
            <w:vAlign w:val="center"/>
          </w:tcPr>
          <w:p w14:paraId="420E2C5F" w14:textId="77777777" w:rsidR="00DF24CD" w:rsidRPr="00801AFD" w:rsidRDefault="00DF24CD" w:rsidP="00801AFD">
            <w:pPr>
              <w:widowControl w:val="0"/>
              <w:jc w:val="center"/>
              <w:rPr>
                <w:sz w:val="22"/>
                <w:szCs w:val="22"/>
                <w:lang w:val="sr-Latn-ME"/>
              </w:rPr>
            </w:pPr>
            <w:r w:rsidRPr="00801AFD">
              <w:rPr>
                <w:sz w:val="22"/>
                <w:szCs w:val="22"/>
                <w:lang w:val="sr-Latn-ME"/>
              </w:rPr>
              <w:t>Odrasli pacijenti:</w:t>
            </w:r>
          </w:p>
          <w:p w14:paraId="34C8FD39" w14:textId="2CA39CC5" w:rsidR="00DF24CD" w:rsidRPr="00801AFD" w:rsidRDefault="00DF24CD" w:rsidP="00801AFD">
            <w:pPr>
              <w:widowControl w:val="0"/>
              <w:jc w:val="center"/>
              <w:rPr>
                <w:sz w:val="22"/>
                <w:szCs w:val="22"/>
                <w:lang w:val="sr-Latn-ME"/>
              </w:rPr>
            </w:pPr>
            <w:r w:rsidRPr="00801AFD">
              <w:rPr>
                <w:sz w:val="22"/>
                <w:szCs w:val="22"/>
                <w:lang w:val="sr-Latn-ME"/>
              </w:rPr>
              <w:t>3.44 (0.65)</w:t>
            </w:r>
          </w:p>
          <w:p w14:paraId="1DA73CD7" w14:textId="77777777" w:rsidR="00DF24CD" w:rsidRPr="00801AFD" w:rsidRDefault="00DF24CD" w:rsidP="00801AFD">
            <w:pPr>
              <w:widowControl w:val="0"/>
              <w:jc w:val="center"/>
              <w:rPr>
                <w:sz w:val="22"/>
                <w:szCs w:val="22"/>
                <w:lang w:val="sr-Latn-ME"/>
              </w:rPr>
            </w:pPr>
            <w:r w:rsidRPr="00801AFD">
              <w:rPr>
                <w:sz w:val="22"/>
                <w:szCs w:val="22"/>
                <w:lang w:val="sr-Latn-ME"/>
              </w:rPr>
              <w:t>Pedijatrijski pacijenti: 2.87 (0.60)</w:t>
            </w:r>
          </w:p>
        </w:tc>
        <w:tc>
          <w:tcPr>
            <w:tcW w:w="0" w:type="auto"/>
            <w:vAlign w:val="center"/>
          </w:tcPr>
          <w:p w14:paraId="33D5C25F" w14:textId="77777777" w:rsidR="00DF24CD" w:rsidRPr="00801AFD" w:rsidRDefault="00DF24CD" w:rsidP="00801AFD">
            <w:pPr>
              <w:widowControl w:val="0"/>
              <w:jc w:val="center"/>
              <w:rPr>
                <w:sz w:val="22"/>
                <w:szCs w:val="22"/>
                <w:lang w:val="sr-Latn-ME"/>
              </w:rPr>
            </w:pPr>
            <w:r w:rsidRPr="00801AFD">
              <w:rPr>
                <w:sz w:val="22"/>
                <w:szCs w:val="22"/>
                <w:lang w:val="sr-Latn-ME"/>
              </w:rPr>
              <w:t>Odrasli pacijenti:</w:t>
            </w:r>
          </w:p>
          <w:p w14:paraId="2A8E8E2E" w14:textId="1BC20EDB" w:rsidR="00DF24CD" w:rsidRPr="00801AFD" w:rsidRDefault="00DF24CD" w:rsidP="00801AFD">
            <w:pPr>
              <w:widowControl w:val="0"/>
              <w:jc w:val="center"/>
              <w:rPr>
                <w:sz w:val="22"/>
                <w:szCs w:val="22"/>
                <w:lang w:val="sr-Latn-ME"/>
              </w:rPr>
            </w:pPr>
            <w:r w:rsidRPr="00801AFD">
              <w:rPr>
                <w:sz w:val="22"/>
                <w:szCs w:val="22"/>
                <w:lang w:val="sr-Latn-ME"/>
              </w:rPr>
              <w:t>3.25 (0.61)</w:t>
            </w:r>
            <w:r w:rsidRPr="00801AFD">
              <w:rPr>
                <w:sz w:val="22"/>
                <w:szCs w:val="22"/>
                <w:lang w:val="sr-Latn-ME"/>
              </w:rPr>
              <w:br/>
              <w:t>Pedijatrijski pacijenti: 1.14 (0.51)</w:t>
            </w:r>
          </w:p>
        </w:tc>
        <w:tc>
          <w:tcPr>
            <w:tcW w:w="0" w:type="auto"/>
            <w:vAlign w:val="center"/>
          </w:tcPr>
          <w:p w14:paraId="39F1421E" w14:textId="77777777" w:rsidR="00DF24CD" w:rsidRPr="00801AFD" w:rsidRDefault="00DF24CD" w:rsidP="00801AFD">
            <w:pPr>
              <w:widowControl w:val="0"/>
              <w:jc w:val="center"/>
              <w:rPr>
                <w:sz w:val="22"/>
                <w:szCs w:val="22"/>
                <w:lang w:val="sr-Latn-ME"/>
              </w:rPr>
            </w:pPr>
            <w:r w:rsidRPr="00801AFD">
              <w:rPr>
                <w:sz w:val="22"/>
                <w:szCs w:val="22"/>
                <w:lang w:val="sr-Latn-ME"/>
              </w:rPr>
              <w:t>3.42 (0.756)</w:t>
            </w:r>
          </w:p>
        </w:tc>
        <w:tc>
          <w:tcPr>
            <w:tcW w:w="0" w:type="auto"/>
          </w:tcPr>
          <w:p w14:paraId="482F290B" w14:textId="77777777" w:rsidR="00DF24CD" w:rsidRPr="00801AFD" w:rsidRDefault="00DF24CD" w:rsidP="00801AFD">
            <w:pPr>
              <w:widowControl w:val="0"/>
              <w:jc w:val="center"/>
              <w:rPr>
                <w:sz w:val="22"/>
                <w:szCs w:val="22"/>
                <w:lang w:val="sr-Latn-ME"/>
              </w:rPr>
            </w:pPr>
          </w:p>
          <w:p w14:paraId="2BA876A4" w14:textId="77777777" w:rsidR="00DF24CD" w:rsidRPr="00801AFD" w:rsidRDefault="00DF24CD" w:rsidP="00801AFD">
            <w:pPr>
              <w:widowControl w:val="0"/>
              <w:jc w:val="center"/>
              <w:rPr>
                <w:sz w:val="22"/>
                <w:szCs w:val="22"/>
                <w:lang w:val="sr-Latn-ME"/>
              </w:rPr>
            </w:pPr>
          </w:p>
          <w:p w14:paraId="5552E5D5" w14:textId="0BFD58F2" w:rsidR="00DF24CD" w:rsidRPr="00801AFD" w:rsidRDefault="00DF24CD" w:rsidP="00801AFD">
            <w:pPr>
              <w:widowControl w:val="0"/>
              <w:jc w:val="center"/>
              <w:rPr>
                <w:sz w:val="22"/>
                <w:szCs w:val="22"/>
                <w:lang w:val="sr-Latn-ME"/>
              </w:rPr>
            </w:pPr>
            <w:r w:rsidRPr="00801AFD">
              <w:rPr>
                <w:sz w:val="22"/>
                <w:szCs w:val="22"/>
                <w:lang w:val="sr-Latn-ME"/>
              </w:rPr>
              <w:t>2.91 (0.571)</w:t>
            </w:r>
          </w:p>
        </w:tc>
      </w:tr>
      <w:tr w:rsidR="00DF24CD" w:rsidRPr="00801AFD" w14:paraId="6FB38438" w14:textId="68480D25" w:rsidTr="00986850">
        <w:trPr>
          <w:jc w:val="center"/>
        </w:trPr>
        <w:tc>
          <w:tcPr>
            <w:tcW w:w="1327" w:type="pct"/>
          </w:tcPr>
          <w:p w14:paraId="70F72B61" w14:textId="77777777" w:rsidR="00986850" w:rsidRDefault="00DF24CD" w:rsidP="00986850">
            <w:pPr>
              <w:widowControl w:val="0"/>
              <w:jc w:val="both"/>
              <w:rPr>
                <w:sz w:val="22"/>
                <w:szCs w:val="22"/>
                <w:lang w:val="sr-Latn-ME"/>
              </w:rPr>
            </w:pPr>
            <w:r w:rsidRPr="00801AFD">
              <w:rPr>
                <w:sz w:val="22"/>
                <w:szCs w:val="22"/>
                <w:lang w:val="sr-Latn-ME"/>
              </w:rPr>
              <w:t>Volumen distribucije u stanju ravnoteže (litri)</w:t>
            </w:r>
          </w:p>
          <w:p w14:paraId="5E45477A" w14:textId="6EFCBD4D" w:rsidR="00DF24CD" w:rsidRPr="00801AFD" w:rsidRDefault="00DF24CD" w:rsidP="00986850">
            <w:pPr>
              <w:widowControl w:val="0"/>
              <w:jc w:val="both"/>
              <w:rPr>
                <w:sz w:val="22"/>
                <w:szCs w:val="22"/>
                <w:lang w:val="sr-Latn-ME"/>
              </w:rPr>
            </w:pPr>
            <w:r w:rsidRPr="00801AFD">
              <w:rPr>
                <w:sz w:val="22"/>
                <w:szCs w:val="22"/>
                <w:lang w:val="sr-Latn-ME"/>
              </w:rPr>
              <w:t>Srednja vrijednost (SD)</w:t>
            </w:r>
          </w:p>
        </w:tc>
        <w:tc>
          <w:tcPr>
            <w:tcW w:w="989" w:type="pct"/>
            <w:vAlign w:val="center"/>
          </w:tcPr>
          <w:p w14:paraId="22D3F88D" w14:textId="77777777" w:rsidR="00DF24CD" w:rsidRPr="00801AFD" w:rsidRDefault="00DF24CD" w:rsidP="00801AFD">
            <w:pPr>
              <w:widowControl w:val="0"/>
              <w:jc w:val="center"/>
              <w:rPr>
                <w:sz w:val="22"/>
                <w:szCs w:val="22"/>
                <w:lang w:val="sr-Latn-ME"/>
              </w:rPr>
            </w:pPr>
            <w:r w:rsidRPr="00801AFD">
              <w:rPr>
                <w:sz w:val="22"/>
                <w:szCs w:val="22"/>
                <w:lang w:val="sr-Latn-ME"/>
              </w:rPr>
              <w:t>5.30 (0.9)</w:t>
            </w:r>
          </w:p>
        </w:tc>
        <w:tc>
          <w:tcPr>
            <w:tcW w:w="0" w:type="auto"/>
            <w:vAlign w:val="center"/>
          </w:tcPr>
          <w:p w14:paraId="38F2FBE9" w14:textId="77777777" w:rsidR="00DF24CD" w:rsidRPr="00801AFD" w:rsidRDefault="00DF24CD" w:rsidP="00801AFD">
            <w:pPr>
              <w:widowControl w:val="0"/>
              <w:jc w:val="center"/>
              <w:rPr>
                <w:sz w:val="22"/>
                <w:szCs w:val="22"/>
                <w:lang w:val="sr-Latn-ME"/>
              </w:rPr>
            </w:pPr>
            <w:r w:rsidRPr="00801AFD">
              <w:rPr>
                <w:sz w:val="22"/>
                <w:szCs w:val="22"/>
                <w:lang w:val="sr-Latn-ME"/>
              </w:rPr>
              <w:t>5.22 (1.85)</w:t>
            </w:r>
          </w:p>
        </w:tc>
        <w:tc>
          <w:tcPr>
            <w:tcW w:w="0" w:type="auto"/>
            <w:vAlign w:val="center"/>
          </w:tcPr>
          <w:p w14:paraId="5CB6E672" w14:textId="77777777" w:rsidR="00DF24CD" w:rsidRPr="00801AFD" w:rsidRDefault="00DF24CD" w:rsidP="00801AFD">
            <w:pPr>
              <w:widowControl w:val="0"/>
              <w:jc w:val="center"/>
              <w:rPr>
                <w:sz w:val="22"/>
                <w:szCs w:val="22"/>
                <w:lang w:val="sr-Latn-ME"/>
              </w:rPr>
            </w:pPr>
            <w:r w:rsidRPr="00801AFD">
              <w:rPr>
                <w:sz w:val="22"/>
                <w:szCs w:val="22"/>
                <w:lang w:val="sr-Latn-ME"/>
              </w:rPr>
              <w:t>5.74 (1.16)</w:t>
            </w:r>
          </w:p>
        </w:tc>
        <w:tc>
          <w:tcPr>
            <w:tcW w:w="0" w:type="auto"/>
          </w:tcPr>
          <w:p w14:paraId="2F2D2C71" w14:textId="3DD05348" w:rsidR="00DF24CD" w:rsidRPr="00801AFD" w:rsidRDefault="00DF24CD" w:rsidP="00801AFD">
            <w:pPr>
              <w:widowControl w:val="0"/>
              <w:jc w:val="center"/>
              <w:rPr>
                <w:sz w:val="22"/>
                <w:szCs w:val="22"/>
                <w:lang w:val="sr-Latn-ME"/>
              </w:rPr>
            </w:pPr>
            <w:r w:rsidRPr="00801AFD">
              <w:rPr>
                <w:sz w:val="22"/>
                <w:szCs w:val="22"/>
                <w:lang w:val="sr-Latn-ME"/>
              </w:rPr>
              <w:t>4.77 (0.819)</w:t>
            </w:r>
          </w:p>
        </w:tc>
      </w:tr>
      <w:tr w:rsidR="00DF24CD" w:rsidRPr="00801AFD" w14:paraId="0A2344B0" w14:textId="730EC962" w:rsidTr="00986850">
        <w:trPr>
          <w:jc w:val="center"/>
        </w:trPr>
        <w:tc>
          <w:tcPr>
            <w:tcW w:w="1327" w:type="pct"/>
          </w:tcPr>
          <w:p w14:paraId="08832F5F" w14:textId="77777777" w:rsidR="00986850" w:rsidRDefault="00DF24CD" w:rsidP="00986850">
            <w:pPr>
              <w:widowControl w:val="0"/>
              <w:jc w:val="both"/>
              <w:rPr>
                <w:sz w:val="22"/>
                <w:szCs w:val="22"/>
                <w:lang w:val="sr-Latn-ME"/>
              </w:rPr>
            </w:pPr>
            <w:r w:rsidRPr="00801AFD">
              <w:rPr>
                <w:sz w:val="22"/>
                <w:szCs w:val="22"/>
                <w:lang w:val="sr-Latn-ME"/>
              </w:rPr>
              <w:t>Terminalno poluvrijeme eliminacije (dani)</w:t>
            </w:r>
          </w:p>
          <w:p w14:paraId="54E44C42" w14:textId="2423B27D" w:rsidR="00DF24CD" w:rsidRPr="00801AFD" w:rsidRDefault="00DF24CD" w:rsidP="00986850">
            <w:pPr>
              <w:widowControl w:val="0"/>
              <w:jc w:val="both"/>
              <w:rPr>
                <w:sz w:val="22"/>
                <w:szCs w:val="22"/>
                <w:lang w:val="sr-Latn-ME"/>
              </w:rPr>
            </w:pPr>
            <w:r w:rsidRPr="00801AFD">
              <w:rPr>
                <w:sz w:val="22"/>
                <w:szCs w:val="22"/>
                <w:lang w:val="sr-Latn-ME"/>
              </w:rPr>
              <w:t>Srednja vrijednost (SD)</w:t>
            </w:r>
          </w:p>
        </w:tc>
        <w:tc>
          <w:tcPr>
            <w:tcW w:w="989" w:type="pct"/>
            <w:vAlign w:val="center"/>
          </w:tcPr>
          <w:p w14:paraId="554E59D1" w14:textId="7EC0A080" w:rsidR="00DF24CD" w:rsidRPr="00801AFD" w:rsidRDefault="00DF24CD" w:rsidP="00801AFD">
            <w:pPr>
              <w:widowControl w:val="0"/>
              <w:jc w:val="center"/>
              <w:rPr>
                <w:sz w:val="22"/>
                <w:szCs w:val="22"/>
                <w:lang w:val="sr-Latn-ME"/>
              </w:rPr>
            </w:pPr>
            <w:r w:rsidRPr="00801AFD">
              <w:rPr>
                <w:sz w:val="22"/>
                <w:szCs w:val="22"/>
                <w:lang w:val="sr-Latn-ME"/>
              </w:rPr>
              <w:t>49.6 (9.1)</w:t>
            </w:r>
          </w:p>
        </w:tc>
        <w:tc>
          <w:tcPr>
            <w:tcW w:w="0" w:type="auto"/>
            <w:vAlign w:val="center"/>
          </w:tcPr>
          <w:p w14:paraId="39D87899" w14:textId="77777777" w:rsidR="00DF24CD" w:rsidRPr="00801AFD" w:rsidRDefault="00DF24CD" w:rsidP="00801AFD">
            <w:pPr>
              <w:widowControl w:val="0"/>
              <w:jc w:val="center"/>
              <w:rPr>
                <w:sz w:val="22"/>
                <w:szCs w:val="22"/>
                <w:lang w:val="sr-Latn-ME"/>
              </w:rPr>
            </w:pPr>
            <w:r w:rsidRPr="00801AFD">
              <w:rPr>
                <w:sz w:val="22"/>
                <w:szCs w:val="22"/>
                <w:lang w:val="sr-Latn-ME"/>
              </w:rPr>
              <w:t>51.8 (16.2)</w:t>
            </w:r>
          </w:p>
        </w:tc>
        <w:tc>
          <w:tcPr>
            <w:tcW w:w="0" w:type="auto"/>
            <w:vAlign w:val="center"/>
          </w:tcPr>
          <w:p w14:paraId="40975EF9" w14:textId="77777777" w:rsidR="00DF24CD" w:rsidRPr="00801AFD" w:rsidRDefault="00DF24CD" w:rsidP="00801AFD">
            <w:pPr>
              <w:widowControl w:val="0"/>
              <w:jc w:val="center"/>
              <w:rPr>
                <w:sz w:val="22"/>
                <w:szCs w:val="22"/>
                <w:lang w:val="sr-Latn-ME"/>
              </w:rPr>
            </w:pPr>
            <w:r w:rsidRPr="00801AFD">
              <w:rPr>
                <w:sz w:val="22"/>
                <w:szCs w:val="22"/>
                <w:lang w:val="sr-Latn-ME"/>
              </w:rPr>
              <w:t>56.6 (8.36)</w:t>
            </w:r>
          </w:p>
        </w:tc>
        <w:tc>
          <w:tcPr>
            <w:tcW w:w="0" w:type="auto"/>
          </w:tcPr>
          <w:p w14:paraId="1950A8BE" w14:textId="01273523" w:rsidR="00DF24CD" w:rsidRPr="00801AFD" w:rsidRDefault="00DF24CD" w:rsidP="00801AFD">
            <w:pPr>
              <w:widowControl w:val="0"/>
              <w:jc w:val="center"/>
              <w:rPr>
                <w:sz w:val="22"/>
                <w:szCs w:val="22"/>
                <w:lang w:val="sr-Latn-ME"/>
              </w:rPr>
            </w:pPr>
            <w:r w:rsidRPr="00801AFD">
              <w:rPr>
                <w:sz w:val="22"/>
                <w:szCs w:val="22"/>
                <w:lang w:val="sr-Latn-ME"/>
              </w:rPr>
              <w:t>64.3 (11.0)</w:t>
            </w:r>
          </w:p>
        </w:tc>
      </w:tr>
      <w:tr w:rsidR="00DF24CD" w:rsidRPr="00801AFD" w14:paraId="38C578BD" w14:textId="4666497B" w:rsidTr="00986850">
        <w:trPr>
          <w:jc w:val="center"/>
        </w:trPr>
        <w:tc>
          <w:tcPr>
            <w:tcW w:w="1327" w:type="pct"/>
          </w:tcPr>
          <w:p w14:paraId="00833AEA" w14:textId="77777777" w:rsidR="00986850" w:rsidRDefault="00DF24CD" w:rsidP="00986850">
            <w:pPr>
              <w:widowControl w:val="0"/>
              <w:jc w:val="both"/>
              <w:rPr>
                <w:sz w:val="22"/>
                <w:szCs w:val="22"/>
                <w:lang w:val="sr-Latn-ME"/>
              </w:rPr>
            </w:pPr>
            <w:r w:rsidRPr="00801AFD">
              <w:rPr>
                <w:sz w:val="22"/>
                <w:szCs w:val="22"/>
                <w:lang w:val="sr-Latn-ME"/>
              </w:rPr>
              <w:t>Klirens (litara/dan)</w:t>
            </w:r>
          </w:p>
          <w:p w14:paraId="060EB955" w14:textId="6EA9BB4C" w:rsidR="00DF24CD" w:rsidRPr="00801AFD" w:rsidRDefault="00DF24CD" w:rsidP="00986850">
            <w:pPr>
              <w:widowControl w:val="0"/>
              <w:jc w:val="both"/>
              <w:rPr>
                <w:sz w:val="22"/>
                <w:szCs w:val="22"/>
                <w:lang w:val="sr-Latn-ME"/>
              </w:rPr>
            </w:pPr>
            <w:r w:rsidRPr="00801AFD">
              <w:rPr>
                <w:sz w:val="22"/>
                <w:szCs w:val="22"/>
                <w:lang w:val="sr-Latn-ME"/>
              </w:rPr>
              <w:t>Srednja vrijednost (SD)</w:t>
            </w:r>
          </w:p>
        </w:tc>
        <w:tc>
          <w:tcPr>
            <w:tcW w:w="989" w:type="pct"/>
            <w:vAlign w:val="center"/>
          </w:tcPr>
          <w:p w14:paraId="7DE8977D" w14:textId="77777777" w:rsidR="00DF24CD" w:rsidRPr="00801AFD" w:rsidRDefault="00DF24CD" w:rsidP="00801AFD">
            <w:pPr>
              <w:widowControl w:val="0"/>
              <w:jc w:val="center"/>
              <w:rPr>
                <w:sz w:val="22"/>
                <w:szCs w:val="22"/>
                <w:lang w:val="sr-Latn-ME"/>
              </w:rPr>
            </w:pPr>
            <w:r w:rsidRPr="00801AFD">
              <w:rPr>
                <w:sz w:val="22"/>
                <w:szCs w:val="22"/>
                <w:lang w:val="sr-Latn-ME"/>
              </w:rPr>
              <w:t>0.08 (0.022)</w:t>
            </w:r>
          </w:p>
        </w:tc>
        <w:tc>
          <w:tcPr>
            <w:tcW w:w="0" w:type="auto"/>
            <w:vAlign w:val="center"/>
          </w:tcPr>
          <w:p w14:paraId="5F089DA7" w14:textId="77777777" w:rsidR="00DF24CD" w:rsidRPr="00801AFD" w:rsidRDefault="00DF24CD" w:rsidP="00801AFD">
            <w:pPr>
              <w:widowControl w:val="0"/>
              <w:jc w:val="center"/>
              <w:rPr>
                <w:sz w:val="22"/>
                <w:szCs w:val="22"/>
                <w:lang w:val="sr-Latn-ME"/>
              </w:rPr>
            </w:pPr>
            <w:r w:rsidRPr="00801AFD">
              <w:rPr>
                <w:sz w:val="22"/>
                <w:szCs w:val="22"/>
                <w:lang w:val="sr-Latn-ME"/>
              </w:rPr>
              <w:t>0.08 (0.04)</w:t>
            </w:r>
          </w:p>
        </w:tc>
        <w:tc>
          <w:tcPr>
            <w:tcW w:w="0" w:type="auto"/>
            <w:vAlign w:val="center"/>
          </w:tcPr>
          <w:p w14:paraId="68950AA0" w14:textId="77777777" w:rsidR="00DF24CD" w:rsidRPr="00801AFD" w:rsidRDefault="00DF24CD" w:rsidP="00801AFD">
            <w:pPr>
              <w:widowControl w:val="0"/>
              <w:jc w:val="center"/>
              <w:rPr>
                <w:sz w:val="22"/>
                <w:szCs w:val="22"/>
                <w:lang w:val="sr-Latn-ME"/>
              </w:rPr>
            </w:pPr>
            <w:r w:rsidRPr="00801AFD">
              <w:rPr>
                <w:sz w:val="22"/>
                <w:szCs w:val="22"/>
                <w:lang w:val="sr-Latn-ME"/>
              </w:rPr>
              <w:t>0.08 (0.02)</w:t>
            </w:r>
          </w:p>
        </w:tc>
        <w:tc>
          <w:tcPr>
            <w:tcW w:w="0" w:type="auto"/>
          </w:tcPr>
          <w:p w14:paraId="5D1DBFF6" w14:textId="20B9266B" w:rsidR="00DF24CD" w:rsidRPr="00801AFD" w:rsidRDefault="00DF24CD" w:rsidP="00801AFD">
            <w:pPr>
              <w:widowControl w:val="0"/>
              <w:jc w:val="center"/>
              <w:rPr>
                <w:sz w:val="22"/>
                <w:szCs w:val="22"/>
                <w:lang w:val="sr-Latn-ME"/>
              </w:rPr>
            </w:pPr>
            <w:r w:rsidRPr="00801AFD">
              <w:rPr>
                <w:sz w:val="22"/>
                <w:szCs w:val="22"/>
                <w:lang w:val="sr-Latn-ME"/>
              </w:rPr>
              <w:t>0.05 (0.016)</w:t>
            </w:r>
          </w:p>
        </w:tc>
      </w:tr>
    </w:tbl>
    <w:p w14:paraId="1ED45D52" w14:textId="2C97D533" w:rsidR="00256187" w:rsidRPr="00986850" w:rsidRDefault="00256187" w:rsidP="00801AFD">
      <w:pPr>
        <w:pStyle w:val="C-TableFootnote"/>
        <w:widowControl w:val="0"/>
        <w:tabs>
          <w:tab w:val="clear" w:pos="144"/>
          <w:tab w:val="left" w:pos="0"/>
        </w:tabs>
        <w:ind w:left="0" w:firstLine="0"/>
        <w:jc w:val="both"/>
        <w:rPr>
          <w:szCs w:val="22"/>
          <w:lang w:val="sr-Latn-ME"/>
        </w:rPr>
      </w:pPr>
      <w:r w:rsidRPr="00986850">
        <w:rPr>
          <w:szCs w:val="22"/>
          <w:lang w:val="sr-Latn-ME"/>
        </w:rPr>
        <w:t xml:space="preserve">Skraćenice: aHUS = atipični hemolitički uremijski sindrom; gMG = generalizovana mijastenija gravis; </w:t>
      </w:r>
      <w:r w:rsidR="00DF24CD" w:rsidRPr="00986850">
        <w:rPr>
          <w:szCs w:val="22"/>
          <w:lang w:val="sr-Latn-ME"/>
        </w:rPr>
        <w:t xml:space="preserve">NMOSD=spektar poremećaja optičkog neuromijelitisa; </w:t>
      </w:r>
      <w:r w:rsidRPr="00986850">
        <w:rPr>
          <w:szCs w:val="22"/>
          <w:lang w:val="sr-Latn-ME"/>
        </w:rPr>
        <w:t>PNH = paroksizmalna noćna hemoglobinurija; SD = standardna devijacija</w:t>
      </w:r>
    </w:p>
    <w:p w14:paraId="6336A1B3" w14:textId="77777777" w:rsidR="00D4193A" w:rsidRPr="00801AFD" w:rsidRDefault="00D4193A" w:rsidP="00801AFD">
      <w:pPr>
        <w:widowControl w:val="0"/>
        <w:jc w:val="both"/>
        <w:rPr>
          <w:color w:val="000000"/>
          <w:sz w:val="22"/>
          <w:szCs w:val="22"/>
          <w:lang w:val="sr-Latn-ME"/>
        </w:rPr>
      </w:pPr>
    </w:p>
    <w:p w14:paraId="41E639AD" w14:textId="77777777" w:rsidR="00D4193A" w:rsidRPr="00801AFD" w:rsidRDefault="00D4193A" w:rsidP="00801AFD">
      <w:pPr>
        <w:widowControl w:val="0"/>
        <w:jc w:val="both"/>
        <w:rPr>
          <w:b/>
          <w:bCs/>
          <w:color w:val="000000"/>
          <w:sz w:val="22"/>
          <w:szCs w:val="22"/>
          <w:lang w:val="sr-Latn-ME"/>
        </w:rPr>
      </w:pPr>
      <w:r w:rsidRPr="00801AFD">
        <w:rPr>
          <w:b/>
          <w:bCs/>
          <w:color w:val="000000"/>
          <w:sz w:val="22"/>
          <w:szCs w:val="22"/>
          <w:lang w:val="sr-Latn-ME"/>
        </w:rPr>
        <w:t>Linearnost/nelinearnost</w:t>
      </w:r>
    </w:p>
    <w:p w14:paraId="383F8009" w14:textId="77777777" w:rsidR="00D4193A" w:rsidRPr="00801AFD" w:rsidRDefault="00D4193A" w:rsidP="00801AFD">
      <w:pPr>
        <w:widowControl w:val="0"/>
        <w:jc w:val="both"/>
        <w:rPr>
          <w:color w:val="000000"/>
          <w:sz w:val="22"/>
          <w:szCs w:val="22"/>
          <w:lang w:val="sr-Latn-ME"/>
        </w:rPr>
      </w:pPr>
      <w:r w:rsidRPr="00801AFD">
        <w:rPr>
          <w:color w:val="000000"/>
          <w:sz w:val="22"/>
          <w:szCs w:val="22"/>
          <w:lang w:val="sr-Latn-ME"/>
        </w:rPr>
        <w:t>U opsegu ispitivanih doza i režima doziranja, ravulizumab je pokazao linearnu farmakokinetiku proporcionalnu dozi i vremenu.</w:t>
      </w:r>
    </w:p>
    <w:p w14:paraId="771F991B" w14:textId="77777777" w:rsidR="00D4193A" w:rsidRPr="00801AFD" w:rsidRDefault="00D4193A" w:rsidP="00801AFD">
      <w:pPr>
        <w:widowControl w:val="0"/>
        <w:jc w:val="both"/>
        <w:rPr>
          <w:color w:val="000000"/>
          <w:sz w:val="22"/>
          <w:szCs w:val="22"/>
          <w:lang w:val="sr-Latn-ME"/>
        </w:rPr>
      </w:pPr>
    </w:p>
    <w:p w14:paraId="124197B9" w14:textId="77777777" w:rsidR="00D4193A" w:rsidRPr="00801AFD" w:rsidRDefault="00D4193A" w:rsidP="00801AFD">
      <w:pPr>
        <w:widowControl w:val="0"/>
        <w:jc w:val="both"/>
        <w:rPr>
          <w:color w:val="000000"/>
          <w:sz w:val="22"/>
          <w:szCs w:val="22"/>
          <w:u w:val="single"/>
          <w:lang w:val="sr-Latn-ME"/>
        </w:rPr>
      </w:pPr>
      <w:r w:rsidRPr="00801AFD">
        <w:rPr>
          <w:color w:val="000000"/>
          <w:sz w:val="22"/>
          <w:szCs w:val="22"/>
          <w:u w:val="single"/>
          <w:lang w:val="sr-Latn-ME"/>
        </w:rPr>
        <w:t>Posebne populacije</w:t>
      </w:r>
    </w:p>
    <w:p w14:paraId="796651DF" w14:textId="77777777" w:rsidR="00D4193A" w:rsidRPr="00801AFD" w:rsidRDefault="00D4193A" w:rsidP="00801AFD">
      <w:pPr>
        <w:widowControl w:val="0"/>
        <w:jc w:val="both"/>
        <w:rPr>
          <w:color w:val="000000"/>
          <w:sz w:val="22"/>
          <w:szCs w:val="22"/>
          <w:u w:val="single"/>
          <w:lang w:val="sr-Latn-ME"/>
        </w:rPr>
      </w:pPr>
    </w:p>
    <w:p w14:paraId="655FC4A8" w14:textId="6DEAA9D4" w:rsidR="00D4193A" w:rsidRPr="00801AFD" w:rsidRDefault="00D4193A" w:rsidP="00801AFD">
      <w:pPr>
        <w:widowControl w:val="0"/>
        <w:jc w:val="both"/>
        <w:rPr>
          <w:i/>
          <w:iCs/>
          <w:color w:val="000000"/>
          <w:sz w:val="22"/>
          <w:szCs w:val="22"/>
          <w:lang w:val="sr-Latn-ME"/>
        </w:rPr>
      </w:pPr>
      <w:r w:rsidRPr="00801AFD">
        <w:rPr>
          <w:i/>
          <w:iCs/>
          <w:color w:val="000000"/>
          <w:sz w:val="22"/>
          <w:szCs w:val="22"/>
          <w:lang w:val="sr-Latn-ME"/>
        </w:rPr>
        <w:t xml:space="preserve">Tjelesna </w:t>
      </w:r>
      <w:r w:rsidR="00DB1C80" w:rsidRPr="00801AFD">
        <w:rPr>
          <w:i/>
          <w:iCs/>
          <w:color w:val="000000"/>
          <w:sz w:val="22"/>
          <w:szCs w:val="22"/>
          <w:lang w:val="sr-Latn-ME"/>
        </w:rPr>
        <w:t>težina</w:t>
      </w:r>
    </w:p>
    <w:p w14:paraId="2608498F" w14:textId="37264FBC" w:rsidR="00D4193A" w:rsidRPr="00801AFD" w:rsidRDefault="00D4193A" w:rsidP="00801AFD">
      <w:pPr>
        <w:widowControl w:val="0"/>
        <w:jc w:val="both"/>
        <w:rPr>
          <w:color w:val="000000"/>
          <w:sz w:val="22"/>
          <w:szCs w:val="22"/>
          <w:lang w:val="sr-Latn-ME"/>
        </w:rPr>
      </w:pPr>
      <w:r w:rsidRPr="00801AFD">
        <w:rPr>
          <w:color w:val="000000"/>
          <w:sz w:val="22"/>
          <w:szCs w:val="22"/>
          <w:lang w:val="sr-Latn-ME"/>
        </w:rPr>
        <w:t xml:space="preserve">Tjelesna </w:t>
      </w:r>
      <w:r w:rsidR="00DB1C80" w:rsidRPr="00801AFD">
        <w:rPr>
          <w:color w:val="000000"/>
          <w:sz w:val="22"/>
          <w:szCs w:val="22"/>
          <w:lang w:val="sr-Latn-ME"/>
        </w:rPr>
        <w:t xml:space="preserve">težina </w:t>
      </w:r>
      <w:r w:rsidRPr="00801AFD">
        <w:rPr>
          <w:color w:val="000000"/>
          <w:sz w:val="22"/>
          <w:szCs w:val="22"/>
          <w:lang w:val="sr-Latn-ME"/>
        </w:rPr>
        <w:t>je značajna kovarijanta kod pacijenata sa PNH</w:t>
      </w:r>
      <w:r w:rsidR="00AB07ED" w:rsidRPr="00801AFD">
        <w:rPr>
          <w:color w:val="000000"/>
          <w:sz w:val="22"/>
          <w:szCs w:val="22"/>
          <w:lang w:val="sr-Latn-ME"/>
        </w:rPr>
        <w:t>-om</w:t>
      </w:r>
      <w:r w:rsidR="00256187" w:rsidRPr="00801AFD">
        <w:rPr>
          <w:color w:val="000000"/>
          <w:sz w:val="22"/>
          <w:szCs w:val="22"/>
          <w:lang w:val="sr-Latn-ME"/>
        </w:rPr>
        <w:t>,</w:t>
      </w:r>
      <w:r w:rsidR="005F0807" w:rsidRPr="00801AFD">
        <w:rPr>
          <w:color w:val="000000"/>
          <w:sz w:val="22"/>
          <w:szCs w:val="22"/>
          <w:lang w:val="sr-Latn-ME"/>
        </w:rPr>
        <w:t xml:space="preserve"> </w:t>
      </w:r>
      <w:r w:rsidRPr="00801AFD">
        <w:rPr>
          <w:color w:val="000000"/>
          <w:sz w:val="22"/>
          <w:szCs w:val="22"/>
          <w:lang w:val="sr-Latn-ME"/>
        </w:rPr>
        <w:t>aHUS</w:t>
      </w:r>
      <w:r w:rsidR="00AB07ED" w:rsidRPr="00801AFD">
        <w:rPr>
          <w:color w:val="000000"/>
          <w:sz w:val="22"/>
          <w:szCs w:val="22"/>
          <w:lang w:val="sr-Latn-ME"/>
        </w:rPr>
        <w:t>-om</w:t>
      </w:r>
      <w:r w:rsidR="005F0807" w:rsidRPr="00801AFD">
        <w:rPr>
          <w:color w:val="000000"/>
          <w:sz w:val="22"/>
          <w:szCs w:val="22"/>
          <w:lang w:val="sr-Latn-ME"/>
        </w:rPr>
        <w:t xml:space="preserve">, </w:t>
      </w:r>
      <w:r w:rsidR="00256187" w:rsidRPr="00801AFD">
        <w:rPr>
          <w:color w:val="000000"/>
          <w:sz w:val="22"/>
          <w:szCs w:val="22"/>
          <w:lang w:val="sr-Latn-ME"/>
        </w:rPr>
        <w:t>gMG</w:t>
      </w:r>
      <w:r w:rsidR="00DF24CD" w:rsidRPr="00801AFD">
        <w:rPr>
          <w:color w:val="000000"/>
          <w:sz w:val="22"/>
          <w:szCs w:val="22"/>
          <w:lang w:val="sr-Latn-ME"/>
        </w:rPr>
        <w:t xml:space="preserve"> ili NMOSD</w:t>
      </w:r>
      <w:r w:rsidRPr="00801AFD">
        <w:rPr>
          <w:color w:val="000000"/>
          <w:sz w:val="22"/>
          <w:szCs w:val="22"/>
          <w:lang w:val="sr-Latn-ME"/>
        </w:rPr>
        <w:t xml:space="preserve"> pa je stoga izloženost niža kod pacijenata sa većom tjelesnom masom. Doze zasnovane na tjelesnoj </w:t>
      </w:r>
      <w:r w:rsidR="00DB1C80" w:rsidRPr="00801AFD">
        <w:rPr>
          <w:color w:val="000000"/>
          <w:sz w:val="22"/>
          <w:szCs w:val="22"/>
          <w:lang w:val="sr-Latn-ME"/>
        </w:rPr>
        <w:t xml:space="preserve">težini </w:t>
      </w:r>
      <w:r w:rsidRPr="00801AFD">
        <w:rPr>
          <w:color w:val="000000"/>
          <w:sz w:val="22"/>
          <w:szCs w:val="22"/>
          <w:lang w:val="sr-Latn-ME"/>
        </w:rPr>
        <w:t xml:space="preserve">su predložene u dijelu 4.2, </w:t>
      </w:r>
      <w:r w:rsidR="00AB07ED" w:rsidRPr="00801AFD">
        <w:rPr>
          <w:color w:val="000000"/>
          <w:sz w:val="22"/>
          <w:szCs w:val="22"/>
          <w:lang w:val="sr-Latn-ME"/>
        </w:rPr>
        <w:t>T</w:t>
      </w:r>
      <w:r w:rsidRPr="00801AFD">
        <w:rPr>
          <w:color w:val="000000"/>
          <w:sz w:val="22"/>
          <w:szCs w:val="22"/>
          <w:lang w:val="sr-Latn-ME"/>
        </w:rPr>
        <w:t>abel</w:t>
      </w:r>
      <w:r w:rsidR="00AB07ED" w:rsidRPr="00801AFD">
        <w:rPr>
          <w:color w:val="000000"/>
          <w:sz w:val="22"/>
          <w:szCs w:val="22"/>
          <w:lang w:val="sr-Latn-ME"/>
        </w:rPr>
        <w:t>e</w:t>
      </w:r>
      <w:r w:rsidRPr="00801AFD">
        <w:rPr>
          <w:color w:val="000000"/>
          <w:sz w:val="22"/>
          <w:szCs w:val="22"/>
          <w:lang w:val="sr-Latn-ME"/>
        </w:rPr>
        <w:t xml:space="preserve"> 1</w:t>
      </w:r>
      <w:r w:rsidR="00256187" w:rsidRPr="00801AFD">
        <w:rPr>
          <w:color w:val="000000"/>
          <w:sz w:val="22"/>
          <w:szCs w:val="22"/>
          <w:lang w:val="sr-Latn-ME"/>
        </w:rPr>
        <w:t xml:space="preserve">, Tabela </w:t>
      </w:r>
      <w:r w:rsidR="00D0032C" w:rsidRPr="00801AFD">
        <w:rPr>
          <w:color w:val="000000"/>
          <w:sz w:val="22"/>
          <w:szCs w:val="22"/>
          <w:lang w:val="sr-Latn-ME"/>
        </w:rPr>
        <w:t xml:space="preserve">3 </w:t>
      </w:r>
      <w:r w:rsidR="00256187" w:rsidRPr="00801AFD">
        <w:rPr>
          <w:color w:val="000000"/>
          <w:sz w:val="22"/>
          <w:szCs w:val="22"/>
          <w:lang w:val="sr-Latn-ME"/>
        </w:rPr>
        <w:t xml:space="preserve">i Tabela </w:t>
      </w:r>
      <w:r w:rsidR="00D0032C" w:rsidRPr="00801AFD">
        <w:rPr>
          <w:color w:val="000000"/>
          <w:sz w:val="22"/>
          <w:szCs w:val="22"/>
          <w:lang w:val="sr-Latn-ME"/>
        </w:rPr>
        <w:t>4</w:t>
      </w:r>
      <w:r w:rsidR="00256187" w:rsidRPr="00801AFD">
        <w:rPr>
          <w:color w:val="000000"/>
          <w:sz w:val="22"/>
          <w:szCs w:val="22"/>
          <w:lang w:val="sr-Latn-ME"/>
        </w:rPr>
        <w:t>.</w:t>
      </w:r>
    </w:p>
    <w:p w14:paraId="26FAB556" w14:textId="77777777" w:rsidR="00D4193A" w:rsidRPr="00801AFD" w:rsidRDefault="00D4193A" w:rsidP="00801AFD">
      <w:pPr>
        <w:widowControl w:val="0"/>
        <w:jc w:val="both"/>
        <w:rPr>
          <w:color w:val="000000"/>
          <w:sz w:val="22"/>
          <w:szCs w:val="22"/>
          <w:lang w:val="sr-Latn-ME"/>
        </w:rPr>
      </w:pPr>
    </w:p>
    <w:p w14:paraId="7B0B7B88" w14:textId="32F5BEAD" w:rsidR="00D4193A" w:rsidRPr="00801AFD" w:rsidRDefault="00D4193A" w:rsidP="00801AFD">
      <w:pPr>
        <w:widowControl w:val="0"/>
        <w:jc w:val="both"/>
        <w:rPr>
          <w:color w:val="000000"/>
          <w:sz w:val="22"/>
          <w:szCs w:val="22"/>
          <w:lang w:val="sr-Latn-ME"/>
        </w:rPr>
      </w:pPr>
      <w:r w:rsidRPr="00801AFD">
        <w:rPr>
          <w:color w:val="000000"/>
          <w:sz w:val="22"/>
          <w:szCs w:val="22"/>
          <w:lang w:val="sr-Latn-ME"/>
        </w:rPr>
        <w:t>Nije</w:t>
      </w:r>
      <w:r w:rsidR="00AB07ED" w:rsidRPr="00801AFD">
        <w:rPr>
          <w:color w:val="000000"/>
          <w:sz w:val="22"/>
          <w:szCs w:val="22"/>
          <w:lang w:val="sr-Latn-ME"/>
        </w:rPr>
        <w:t>su</w:t>
      </w:r>
      <w:r w:rsidRPr="00801AFD">
        <w:rPr>
          <w:color w:val="000000"/>
          <w:sz w:val="22"/>
          <w:szCs w:val="22"/>
          <w:lang w:val="sr-Latn-ME"/>
        </w:rPr>
        <w:t xml:space="preserve"> sprovedene formalne studije uticaja pola, rase, starosti (gerijatrija), oštećenja funkcije bubrega ili jetre na farmakokinetiku ravulizumaba. Međutim, na osnovu procjene populacione farmakokinetike kod zdravih ispitanika i pacijenata sa PNH</w:t>
      </w:r>
      <w:r w:rsidR="00AB07ED" w:rsidRPr="00801AFD">
        <w:rPr>
          <w:color w:val="000000"/>
          <w:sz w:val="22"/>
          <w:szCs w:val="22"/>
          <w:lang w:val="sr-Latn-ME"/>
        </w:rPr>
        <w:t>-om</w:t>
      </w:r>
      <w:r w:rsidRPr="00801AFD">
        <w:rPr>
          <w:color w:val="000000"/>
          <w:sz w:val="22"/>
          <w:szCs w:val="22"/>
          <w:lang w:val="sr-Latn-ME"/>
        </w:rPr>
        <w:t xml:space="preserve"> </w:t>
      </w:r>
      <w:r w:rsidR="00DF24CD" w:rsidRPr="00801AFD">
        <w:rPr>
          <w:color w:val="000000"/>
          <w:sz w:val="22"/>
          <w:szCs w:val="22"/>
          <w:lang w:val="sr-Latn-ME"/>
        </w:rPr>
        <w:t>,</w:t>
      </w:r>
      <w:r w:rsidRPr="00801AFD">
        <w:rPr>
          <w:color w:val="000000"/>
          <w:sz w:val="22"/>
          <w:szCs w:val="22"/>
          <w:lang w:val="sr-Latn-ME"/>
        </w:rPr>
        <w:t>aHUS</w:t>
      </w:r>
      <w:r w:rsidR="00AB07ED" w:rsidRPr="00801AFD">
        <w:rPr>
          <w:color w:val="000000"/>
          <w:sz w:val="22"/>
          <w:szCs w:val="22"/>
          <w:lang w:val="sr-Latn-ME"/>
        </w:rPr>
        <w:t>-om</w:t>
      </w:r>
      <w:r w:rsidRPr="00801AFD">
        <w:rPr>
          <w:color w:val="000000"/>
          <w:sz w:val="22"/>
          <w:szCs w:val="22"/>
          <w:lang w:val="sr-Latn-ME"/>
        </w:rPr>
        <w:t xml:space="preserve">, </w:t>
      </w:r>
      <w:r w:rsidR="00DF24CD" w:rsidRPr="00801AFD">
        <w:rPr>
          <w:color w:val="000000"/>
          <w:sz w:val="22"/>
          <w:szCs w:val="22"/>
          <w:lang w:val="sr-Latn-ME"/>
        </w:rPr>
        <w:t xml:space="preserve">gMG ili NMOSD </w:t>
      </w:r>
      <w:r w:rsidRPr="00801AFD">
        <w:rPr>
          <w:color w:val="000000"/>
          <w:sz w:val="22"/>
          <w:szCs w:val="22"/>
          <w:lang w:val="sr-Latn-ME"/>
        </w:rPr>
        <w:t>nije prim</w:t>
      </w:r>
      <w:r w:rsidR="00AB07ED" w:rsidRPr="00801AFD">
        <w:rPr>
          <w:color w:val="000000"/>
          <w:sz w:val="22"/>
          <w:szCs w:val="22"/>
          <w:lang w:val="sr-Latn-ME"/>
        </w:rPr>
        <w:t>i</w:t>
      </w:r>
      <w:r w:rsidRPr="00801AFD">
        <w:rPr>
          <w:color w:val="000000"/>
          <w:sz w:val="22"/>
          <w:szCs w:val="22"/>
          <w:lang w:val="sr-Latn-ME"/>
        </w:rPr>
        <w:t>jećen uticaj pola, starosti, rase i funkcije bubrega ili jetre na farmakokinetiku ravulizumaba, pa se stoga prilagođavanje doze ne smatra neophodnim.</w:t>
      </w:r>
    </w:p>
    <w:p w14:paraId="028F01B4" w14:textId="77777777" w:rsidR="00D4193A" w:rsidRPr="00801AFD" w:rsidRDefault="00D4193A" w:rsidP="00801AFD">
      <w:pPr>
        <w:widowControl w:val="0"/>
        <w:jc w:val="both"/>
        <w:rPr>
          <w:color w:val="000000"/>
          <w:sz w:val="22"/>
          <w:szCs w:val="22"/>
          <w:lang w:val="sr-Latn-ME"/>
        </w:rPr>
      </w:pPr>
    </w:p>
    <w:p w14:paraId="4340FC14" w14:textId="64FD253C" w:rsidR="00D4193A" w:rsidRPr="00801AFD" w:rsidRDefault="00D4193A" w:rsidP="00801AFD">
      <w:pPr>
        <w:widowControl w:val="0"/>
        <w:jc w:val="both"/>
        <w:rPr>
          <w:color w:val="000000"/>
          <w:sz w:val="22"/>
          <w:szCs w:val="22"/>
          <w:lang w:val="sr-Latn-ME"/>
        </w:rPr>
      </w:pPr>
      <w:r w:rsidRPr="00801AFD">
        <w:rPr>
          <w:color w:val="000000"/>
          <w:sz w:val="22"/>
          <w:szCs w:val="22"/>
          <w:lang w:val="sr-Latn-ME"/>
        </w:rPr>
        <w:t>Farmakokinetika ravulizumaba je proučavana kod pacijenata sa aHUS</w:t>
      </w:r>
      <w:r w:rsidR="00AB07ED" w:rsidRPr="00801AFD">
        <w:rPr>
          <w:color w:val="000000"/>
          <w:sz w:val="22"/>
          <w:szCs w:val="22"/>
          <w:lang w:val="sr-Latn-ME"/>
        </w:rPr>
        <w:t>-om</w:t>
      </w:r>
      <w:r w:rsidRPr="00801AFD">
        <w:rPr>
          <w:color w:val="000000"/>
          <w:sz w:val="22"/>
          <w:szCs w:val="22"/>
          <w:lang w:val="sr-Latn-ME"/>
        </w:rPr>
        <w:t xml:space="preserve"> i različitim stepenima oštećenja bubrežne funkcije, uključujući pacijente na dijalizi. Nijesu prim</w:t>
      </w:r>
      <w:r w:rsidR="00AB07ED" w:rsidRPr="00801AFD">
        <w:rPr>
          <w:color w:val="000000"/>
          <w:sz w:val="22"/>
          <w:szCs w:val="22"/>
          <w:lang w:val="sr-Latn-ME"/>
        </w:rPr>
        <w:t>i</w:t>
      </w:r>
      <w:r w:rsidRPr="00801AFD">
        <w:rPr>
          <w:color w:val="000000"/>
          <w:sz w:val="22"/>
          <w:szCs w:val="22"/>
          <w:lang w:val="sr-Latn-ME"/>
        </w:rPr>
        <w:t>jećene razlike u farmakokinetičkim parametrima u ovim podgrupama pacijenata, uključujući pacijente sa proteinurijom.</w:t>
      </w:r>
    </w:p>
    <w:p w14:paraId="2F13731F" w14:textId="77777777" w:rsidR="00D4193A" w:rsidRPr="00801AFD" w:rsidRDefault="00D4193A" w:rsidP="00801AFD">
      <w:pPr>
        <w:widowControl w:val="0"/>
        <w:jc w:val="both"/>
        <w:rPr>
          <w:color w:val="000000"/>
          <w:sz w:val="22"/>
          <w:szCs w:val="22"/>
          <w:lang w:val="sr-Latn-ME"/>
        </w:rPr>
      </w:pPr>
    </w:p>
    <w:p w14:paraId="38477C5A" w14:textId="77777777" w:rsidR="0072020E" w:rsidRPr="00801AFD" w:rsidRDefault="0072020E" w:rsidP="00801AFD">
      <w:pPr>
        <w:widowControl w:val="0"/>
        <w:tabs>
          <w:tab w:val="left" w:pos="540"/>
          <w:tab w:val="left" w:pos="569"/>
        </w:tabs>
        <w:jc w:val="both"/>
        <w:rPr>
          <w:b/>
          <w:bCs/>
          <w:sz w:val="22"/>
          <w:szCs w:val="22"/>
          <w:lang w:val="sr-Latn-ME"/>
        </w:rPr>
      </w:pPr>
      <w:r w:rsidRPr="00801AFD">
        <w:rPr>
          <w:b/>
          <w:bCs/>
          <w:sz w:val="22"/>
          <w:szCs w:val="22"/>
          <w:lang w:val="sr-Latn-ME"/>
        </w:rPr>
        <w:t xml:space="preserve">5.3. </w:t>
      </w:r>
      <w:r w:rsidR="00480FB1" w:rsidRPr="00801AFD">
        <w:rPr>
          <w:b/>
          <w:bCs/>
          <w:sz w:val="22"/>
          <w:szCs w:val="22"/>
          <w:lang w:val="sr-Latn-ME"/>
        </w:rPr>
        <w:tab/>
      </w:r>
      <w:r w:rsidRPr="00801AFD">
        <w:rPr>
          <w:b/>
          <w:bCs/>
          <w:sz w:val="22"/>
          <w:szCs w:val="22"/>
          <w:lang w:val="sr-Latn-ME"/>
        </w:rPr>
        <w:t xml:space="preserve">Pretklinički podaci o bezbjednosti </w:t>
      </w:r>
    </w:p>
    <w:p w14:paraId="7DB0F6CB" w14:textId="395540DD" w:rsidR="0088749A" w:rsidRPr="00801AFD" w:rsidRDefault="0088749A" w:rsidP="00801AFD">
      <w:pPr>
        <w:pStyle w:val="NASLOV123"/>
        <w:widowControl w:val="0"/>
        <w:jc w:val="both"/>
        <w:rPr>
          <w:b w:val="0"/>
          <w:color w:val="000000"/>
          <w:lang w:val="sr-Latn-ME"/>
        </w:rPr>
      </w:pPr>
      <w:r w:rsidRPr="00801AFD">
        <w:rPr>
          <w:b w:val="0"/>
          <w:color w:val="000000"/>
          <w:lang w:val="sr-Latn-ME"/>
        </w:rPr>
        <w:t>Studije reproduktivne toksičnosti kod životinja nijesu rađene sa ravulizumabom, ali su izvedene na miševima sa BB5.1, mišjim surogat antit</w:t>
      </w:r>
      <w:r w:rsidR="00AB07ED" w:rsidRPr="00801AFD">
        <w:rPr>
          <w:b w:val="0"/>
          <w:color w:val="000000"/>
          <w:lang w:val="sr-Latn-ME"/>
        </w:rPr>
        <w:t>i</w:t>
      </w:r>
      <w:r w:rsidRPr="00801AFD">
        <w:rPr>
          <w:b w:val="0"/>
          <w:color w:val="000000"/>
          <w:lang w:val="sr-Latn-ME"/>
        </w:rPr>
        <w:t>jelom koje inhibira komplement. U studijama reproduktivne toksičnosti mišjeg surogata na miševima nijesu prim</w:t>
      </w:r>
      <w:r w:rsidR="00AB07ED" w:rsidRPr="00801AFD">
        <w:rPr>
          <w:b w:val="0"/>
          <w:color w:val="000000"/>
          <w:lang w:val="sr-Latn-ME"/>
        </w:rPr>
        <w:t>i</w:t>
      </w:r>
      <w:r w:rsidRPr="00801AFD">
        <w:rPr>
          <w:b w:val="0"/>
          <w:color w:val="000000"/>
          <w:lang w:val="sr-Latn-ME"/>
        </w:rPr>
        <w:t>jećeni očigledni efekti povezani sa liječenjem ili štetni efekti. Kada je majka izlagana antit</w:t>
      </w:r>
      <w:r w:rsidR="00AB07ED" w:rsidRPr="00801AFD">
        <w:rPr>
          <w:b w:val="0"/>
          <w:color w:val="000000"/>
          <w:lang w:val="sr-Latn-ME"/>
        </w:rPr>
        <w:t>i</w:t>
      </w:r>
      <w:r w:rsidRPr="00801AFD">
        <w:rPr>
          <w:b w:val="0"/>
          <w:color w:val="000000"/>
          <w:lang w:val="sr-Latn-ME"/>
        </w:rPr>
        <w:t>jelima tokom faze organogeneze, prim</w:t>
      </w:r>
      <w:r w:rsidR="00AB07ED" w:rsidRPr="00801AFD">
        <w:rPr>
          <w:b w:val="0"/>
          <w:color w:val="000000"/>
          <w:lang w:val="sr-Latn-ME"/>
        </w:rPr>
        <w:t>i</w:t>
      </w:r>
      <w:r w:rsidRPr="00801AFD">
        <w:rPr>
          <w:b w:val="0"/>
          <w:color w:val="000000"/>
          <w:lang w:val="sr-Latn-ME"/>
        </w:rPr>
        <w:t>jećena su dva slučaja displazije retine i jedan slučaj pupčane kile među 230 mladunaca ženki izloženih većim dozama antit</w:t>
      </w:r>
      <w:r w:rsidR="00AB07ED" w:rsidRPr="00801AFD">
        <w:rPr>
          <w:b w:val="0"/>
          <w:color w:val="000000"/>
          <w:lang w:val="sr-Latn-ME"/>
        </w:rPr>
        <w:t>i</w:t>
      </w:r>
      <w:r w:rsidRPr="00801AFD">
        <w:rPr>
          <w:b w:val="0"/>
          <w:color w:val="000000"/>
          <w:lang w:val="sr-Latn-ME"/>
        </w:rPr>
        <w:t>jela (približno 4 puta većim od maksimalne preporučene doze ravulizumaba kod ljudi, utvrđenim na osnovu poređenja tjelesne</w:t>
      </w:r>
      <w:r w:rsidR="00DB1C80" w:rsidRPr="00801AFD">
        <w:rPr>
          <w:b w:val="0"/>
          <w:color w:val="000000"/>
          <w:lang w:val="sr-Latn-ME"/>
        </w:rPr>
        <w:t xml:space="preserve">težine </w:t>
      </w:r>
      <w:r w:rsidRPr="00801AFD">
        <w:rPr>
          <w:b w:val="0"/>
          <w:color w:val="000000"/>
          <w:lang w:val="sr-Latn-ME"/>
        </w:rPr>
        <w:t>); međutim, izloženost nije povećala gubitak ploda ili smrtnost novorođenčadi.</w:t>
      </w:r>
    </w:p>
    <w:p w14:paraId="08F8C47B" w14:textId="77777777" w:rsidR="0088749A" w:rsidRPr="00801AFD" w:rsidRDefault="0088749A" w:rsidP="00801AFD">
      <w:pPr>
        <w:pStyle w:val="NASLOV123"/>
        <w:widowControl w:val="0"/>
        <w:jc w:val="both"/>
        <w:rPr>
          <w:b w:val="0"/>
          <w:color w:val="000000"/>
          <w:lang w:val="sr-Latn-ME"/>
        </w:rPr>
      </w:pPr>
      <w:r w:rsidRPr="00801AFD">
        <w:rPr>
          <w:b w:val="0"/>
          <w:color w:val="000000"/>
          <w:lang w:val="sr-Latn-ME"/>
        </w:rPr>
        <w:t>Nijesu sprovedene studije na životinjama kojima se procjenjuje genotoksični i kancerogeni potencijal ravulizumaba.</w:t>
      </w:r>
    </w:p>
    <w:p w14:paraId="4A966A8A" w14:textId="77777777" w:rsidR="0088749A" w:rsidRPr="00801AFD" w:rsidRDefault="0088749A" w:rsidP="00801AFD">
      <w:pPr>
        <w:pStyle w:val="NASLOV123"/>
        <w:widowControl w:val="0"/>
        <w:jc w:val="both"/>
        <w:rPr>
          <w:b w:val="0"/>
          <w:color w:val="000000"/>
          <w:lang w:val="sr-Latn-ME"/>
        </w:rPr>
      </w:pPr>
      <w:r w:rsidRPr="00801AFD">
        <w:rPr>
          <w:b w:val="0"/>
          <w:color w:val="000000"/>
          <w:lang w:val="sr-Latn-ME"/>
        </w:rPr>
        <w:t>Neklinički podaci ne ukazuju na posebnu opasnost za ljude na osnovu nekliničkih studija na mišjem surogat molekulu BB5.1.</w:t>
      </w:r>
    </w:p>
    <w:p w14:paraId="5E4FE0CC" w14:textId="77777777" w:rsidR="0088749A" w:rsidRPr="00801AFD" w:rsidRDefault="0088749A" w:rsidP="00801AFD">
      <w:pPr>
        <w:widowControl w:val="0"/>
        <w:tabs>
          <w:tab w:val="left" w:pos="540"/>
          <w:tab w:val="left" w:pos="569"/>
        </w:tabs>
        <w:jc w:val="both"/>
        <w:rPr>
          <w:bCs/>
          <w:sz w:val="22"/>
          <w:szCs w:val="22"/>
          <w:lang w:val="sr-Latn-ME"/>
        </w:rPr>
      </w:pPr>
    </w:p>
    <w:p w14:paraId="073D3842" w14:textId="77777777" w:rsidR="0072020E" w:rsidRPr="00801AFD" w:rsidRDefault="0072020E" w:rsidP="00801AFD">
      <w:pPr>
        <w:widowControl w:val="0"/>
        <w:tabs>
          <w:tab w:val="left" w:pos="540"/>
          <w:tab w:val="left" w:pos="569"/>
        </w:tabs>
        <w:jc w:val="both"/>
        <w:rPr>
          <w:b/>
          <w:bCs/>
          <w:sz w:val="22"/>
          <w:szCs w:val="22"/>
          <w:lang w:val="sr-Latn-ME"/>
        </w:rPr>
      </w:pPr>
      <w:r w:rsidRPr="00801AFD">
        <w:rPr>
          <w:b/>
          <w:bCs/>
          <w:sz w:val="22"/>
          <w:szCs w:val="22"/>
          <w:lang w:val="sr-Latn-ME"/>
        </w:rPr>
        <w:t xml:space="preserve">6. </w:t>
      </w:r>
      <w:r w:rsidR="00480FB1" w:rsidRPr="00801AFD">
        <w:rPr>
          <w:b/>
          <w:bCs/>
          <w:sz w:val="22"/>
          <w:szCs w:val="22"/>
          <w:lang w:val="sr-Latn-ME"/>
        </w:rPr>
        <w:tab/>
      </w:r>
      <w:r w:rsidRPr="00801AFD">
        <w:rPr>
          <w:b/>
          <w:bCs/>
          <w:sz w:val="22"/>
          <w:szCs w:val="22"/>
          <w:lang w:val="sr-Latn-ME"/>
        </w:rPr>
        <w:t>FARMACEUTSKI PODACI</w:t>
      </w:r>
    </w:p>
    <w:p w14:paraId="52A3F84B" w14:textId="77777777" w:rsidR="00836B35" w:rsidRPr="00801AFD" w:rsidRDefault="00836B35" w:rsidP="00801AFD">
      <w:pPr>
        <w:widowControl w:val="0"/>
        <w:tabs>
          <w:tab w:val="left" w:pos="540"/>
          <w:tab w:val="left" w:pos="569"/>
        </w:tabs>
        <w:jc w:val="both"/>
        <w:rPr>
          <w:bCs/>
          <w:sz w:val="22"/>
          <w:szCs w:val="22"/>
          <w:lang w:val="sr-Latn-ME"/>
        </w:rPr>
      </w:pPr>
    </w:p>
    <w:p w14:paraId="7779378D" w14:textId="35BE4756" w:rsidR="0072020E" w:rsidRPr="00801AFD" w:rsidRDefault="0072020E" w:rsidP="00801AFD">
      <w:pPr>
        <w:widowControl w:val="0"/>
        <w:tabs>
          <w:tab w:val="left" w:pos="540"/>
          <w:tab w:val="left" w:pos="569"/>
        </w:tabs>
        <w:jc w:val="both"/>
        <w:rPr>
          <w:b/>
          <w:bCs/>
          <w:sz w:val="22"/>
          <w:szCs w:val="22"/>
          <w:lang w:val="sr-Latn-ME"/>
        </w:rPr>
      </w:pPr>
      <w:r w:rsidRPr="00801AFD">
        <w:rPr>
          <w:b/>
          <w:bCs/>
          <w:sz w:val="22"/>
          <w:szCs w:val="22"/>
          <w:lang w:val="sr-Latn-ME"/>
        </w:rPr>
        <w:t xml:space="preserve">6.1. </w:t>
      </w:r>
      <w:r w:rsidR="00480FB1" w:rsidRPr="00801AFD">
        <w:rPr>
          <w:b/>
          <w:bCs/>
          <w:sz w:val="22"/>
          <w:szCs w:val="22"/>
          <w:lang w:val="sr-Latn-ME"/>
        </w:rPr>
        <w:tab/>
      </w:r>
      <w:r w:rsidRPr="00801AFD">
        <w:rPr>
          <w:b/>
          <w:bCs/>
          <w:sz w:val="22"/>
          <w:szCs w:val="22"/>
          <w:lang w:val="sr-Latn-ME"/>
        </w:rPr>
        <w:t>Lista pomoćnih supstanci</w:t>
      </w:r>
      <w:r w:rsidR="002E0135" w:rsidRPr="00801AFD">
        <w:rPr>
          <w:b/>
          <w:bCs/>
          <w:sz w:val="22"/>
          <w:szCs w:val="22"/>
          <w:lang w:val="sr-Latn-ME"/>
        </w:rPr>
        <w:t xml:space="preserve"> (ekscipijenasa)</w:t>
      </w:r>
    </w:p>
    <w:p w14:paraId="5FC38CCD" w14:textId="6BFD7727" w:rsidR="00574910" w:rsidRPr="00801AFD" w:rsidRDefault="00574910" w:rsidP="00801AFD">
      <w:pPr>
        <w:widowControl w:val="0"/>
        <w:tabs>
          <w:tab w:val="left" w:pos="540"/>
          <w:tab w:val="left" w:pos="569"/>
        </w:tabs>
        <w:jc w:val="both"/>
        <w:rPr>
          <w:b/>
          <w:bCs/>
          <w:sz w:val="22"/>
          <w:szCs w:val="22"/>
          <w:lang w:val="sr-Latn-ME"/>
        </w:rPr>
      </w:pPr>
    </w:p>
    <w:p w14:paraId="6C6608C8" w14:textId="34233F53" w:rsidR="00574910" w:rsidRPr="00801AFD" w:rsidRDefault="00574910" w:rsidP="00801AFD">
      <w:pPr>
        <w:widowControl w:val="0"/>
        <w:jc w:val="both"/>
        <w:rPr>
          <w:sz w:val="22"/>
          <w:szCs w:val="22"/>
          <w:lang w:val="sr-Latn-ME"/>
        </w:rPr>
      </w:pPr>
      <w:r w:rsidRPr="00801AFD">
        <w:rPr>
          <w:sz w:val="22"/>
          <w:szCs w:val="22"/>
          <w:u w:val="single"/>
          <w:lang w:val="sr-Latn-ME"/>
        </w:rPr>
        <w:t>Ultomiris 300 mg/3 ml, 1100 mg/11 ml, koncentrat za rastvor za infuziju</w:t>
      </w:r>
    </w:p>
    <w:p w14:paraId="449ADDD1" w14:textId="48509DCD" w:rsidR="00F61420" w:rsidRPr="00801AFD" w:rsidRDefault="00374D90" w:rsidP="00801AFD">
      <w:pPr>
        <w:pStyle w:val="Default"/>
        <w:widowControl w:val="0"/>
        <w:jc w:val="both"/>
        <w:rPr>
          <w:sz w:val="22"/>
          <w:szCs w:val="22"/>
          <w:lang w:val="sr-Latn-ME"/>
        </w:rPr>
      </w:pPr>
      <w:bookmarkStart w:id="6" w:name="_Hlk59120003"/>
      <w:r w:rsidRPr="00801AFD">
        <w:rPr>
          <w:sz w:val="22"/>
          <w:szCs w:val="22"/>
          <w:lang w:val="sr-Latn-ME"/>
        </w:rPr>
        <w:t>n</w:t>
      </w:r>
      <w:r w:rsidR="00F61420" w:rsidRPr="00801AFD">
        <w:rPr>
          <w:sz w:val="22"/>
          <w:szCs w:val="22"/>
          <w:lang w:val="sr-Latn-ME"/>
        </w:rPr>
        <w:t>atrijum</w:t>
      </w:r>
      <w:r w:rsidR="00B43743" w:rsidRPr="00801AFD">
        <w:rPr>
          <w:sz w:val="22"/>
          <w:szCs w:val="22"/>
          <w:lang w:val="sr-Latn-ME"/>
        </w:rPr>
        <w:t xml:space="preserve"> </w:t>
      </w:r>
      <w:r w:rsidR="00F61420" w:rsidRPr="00801AFD">
        <w:rPr>
          <w:sz w:val="22"/>
          <w:szCs w:val="22"/>
          <w:lang w:val="sr-Latn-ME"/>
        </w:rPr>
        <w:t xml:space="preserve">dihidrogenfosfat, monohidrat </w:t>
      </w:r>
    </w:p>
    <w:p w14:paraId="0C94734F" w14:textId="57C2ACEB" w:rsidR="00F61420" w:rsidRPr="00801AFD" w:rsidRDefault="00374D90" w:rsidP="00801AFD">
      <w:pPr>
        <w:pStyle w:val="Default"/>
        <w:widowControl w:val="0"/>
        <w:jc w:val="both"/>
        <w:rPr>
          <w:sz w:val="22"/>
          <w:szCs w:val="22"/>
          <w:lang w:val="sr-Latn-ME"/>
        </w:rPr>
      </w:pPr>
      <w:r w:rsidRPr="00801AFD">
        <w:rPr>
          <w:sz w:val="22"/>
          <w:szCs w:val="22"/>
          <w:lang w:val="sr-Latn-ME"/>
        </w:rPr>
        <w:t>n</w:t>
      </w:r>
      <w:r w:rsidR="00F61420" w:rsidRPr="00801AFD">
        <w:rPr>
          <w:sz w:val="22"/>
          <w:szCs w:val="22"/>
          <w:lang w:val="sr-Latn-ME"/>
        </w:rPr>
        <w:t>atrijum</w:t>
      </w:r>
      <w:r w:rsidR="00B43743" w:rsidRPr="00801AFD">
        <w:rPr>
          <w:sz w:val="22"/>
          <w:szCs w:val="22"/>
          <w:lang w:val="sr-Latn-ME"/>
        </w:rPr>
        <w:t xml:space="preserve"> </w:t>
      </w:r>
      <w:r w:rsidR="00F61420" w:rsidRPr="00801AFD">
        <w:rPr>
          <w:sz w:val="22"/>
          <w:szCs w:val="22"/>
          <w:lang w:val="sr-Latn-ME"/>
        </w:rPr>
        <w:t>hidrogenfosfat, heptahidrat</w:t>
      </w:r>
    </w:p>
    <w:bookmarkEnd w:id="6"/>
    <w:p w14:paraId="0BC9F5CB" w14:textId="77777777" w:rsidR="00574910" w:rsidRPr="00801AFD" w:rsidRDefault="00574910" w:rsidP="00801AFD">
      <w:pPr>
        <w:pStyle w:val="Default"/>
        <w:widowControl w:val="0"/>
        <w:jc w:val="both"/>
        <w:rPr>
          <w:sz w:val="22"/>
          <w:szCs w:val="22"/>
          <w:lang w:val="sr-Latn-ME"/>
        </w:rPr>
      </w:pPr>
      <w:r w:rsidRPr="00801AFD">
        <w:rPr>
          <w:sz w:val="22"/>
          <w:szCs w:val="22"/>
          <w:lang w:val="sr-Latn-ME"/>
        </w:rPr>
        <w:t xml:space="preserve">polisorbat 80 </w:t>
      </w:r>
    </w:p>
    <w:p w14:paraId="5DE71A60" w14:textId="77777777" w:rsidR="00574910" w:rsidRPr="00801AFD" w:rsidRDefault="00574910" w:rsidP="00801AFD">
      <w:pPr>
        <w:pStyle w:val="Default"/>
        <w:widowControl w:val="0"/>
        <w:jc w:val="both"/>
        <w:rPr>
          <w:sz w:val="22"/>
          <w:szCs w:val="22"/>
          <w:lang w:val="sr-Latn-ME"/>
        </w:rPr>
      </w:pPr>
      <w:r w:rsidRPr="00801AFD">
        <w:rPr>
          <w:sz w:val="22"/>
          <w:szCs w:val="22"/>
          <w:lang w:val="sr-Latn-ME"/>
        </w:rPr>
        <w:t>arginin</w:t>
      </w:r>
    </w:p>
    <w:p w14:paraId="05EBC678" w14:textId="17B14BFE" w:rsidR="00574910" w:rsidRPr="00801AFD" w:rsidRDefault="00F61420" w:rsidP="00801AFD">
      <w:pPr>
        <w:pStyle w:val="Default"/>
        <w:widowControl w:val="0"/>
        <w:jc w:val="both"/>
        <w:rPr>
          <w:sz w:val="22"/>
          <w:szCs w:val="22"/>
          <w:lang w:val="sr-Latn-ME"/>
        </w:rPr>
      </w:pPr>
      <w:r w:rsidRPr="00801AFD">
        <w:rPr>
          <w:sz w:val="22"/>
          <w:szCs w:val="22"/>
          <w:lang w:val="sr-Latn-ME"/>
        </w:rPr>
        <w:t>saharoza</w:t>
      </w:r>
    </w:p>
    <w:p w14:paraId="4129AB28" w14:textId="77777777" w:rsidR="00574910" w:rsidRPr="00801AFD" w:rsidRDefault="00574910" w:rsidP="00801AFD">
      <w:pPr>
        <w:widowControl w:val="0"/>
        <w:jc w:val="both"/>
        <w:rPr>
          <w:sz w:val="22"/>
          <w:szCs w:val="22"/>
          <w:lang w:val="sr-Latn-ME"/>
        </w:rPr>
      </w:pPr>
      <w:r w:rsidRPr="00801AFD">
        <w:rPr>
          <w:sz w:val="22"/>
          <w:szCs w:val="22"/>
          <w:lang w:val="sr-Latn-ME"/>
        </w:rPr>
        <w:t>voda za injekcije</w:t>
      </w:r>
    </w:p>
    <w:p w14:paraId="7697F4E5" w14:textId="77777777" w:rsidR="00574910" w:rsidRPr="00801AFD" w:rsidRDefault="00574910" w:rsidP="00801AFD">
      <w:pPr>
        <w:widowControl w:val="0"/>
        <w:jc w:val="both"/>
        <w:rPr>
          <w:sz w:val="22"/>
          <w:szCs w:val="22"/>
          <w:lang w:val="sr-Latn-ME"/>
        </w:rPr>
      </w:pPr>
    </w:p>
    <w:p w14:paraId="3E9AED74" w14:textId="2A5F3E56" w:rsidR="00574910" w:rsidRPr="00801AFD" w:rsidRDefault="00574910" w:rsidP="00801AFD">
      <w:pPr>
        <w:widowControl w:val="0"/>
        <w:jc w:val="both"/>
        <w:rPr>
          <w:sz w:val="22"/>
          <w:szCs w:val="22"/>
          <w:lang w:val="sr-Latn-ME"/>
        </w:rPr>
      </w:pPr>
      <w:r w:rsidRPr="00801AFD">
        <w:rPr>
          <w:sz w:val="22"/>
          <w:szCs w:val="22"/>
          <w:u w:val="single"/>
          <w:lang w:val="sr-Latn-ME"/>
        </w:rPr>
        <w:t>Ultomiris 300 mg/30 ml,  koncentrat za rastvor za infuziju</w:t>
      </w:r>
    </w:p>
    <w:p w14:paraId="4081A317" w14:textId="3A57FEBA" w:rsidR="00F61420" w:rsidRPr="00801AFD" w:rsidRDefault="00374D90" w:rsidP="00801AFD">
      <w:pPr>
        <w:pStyle w:val="Default"/>
        <w:widowControl w:val="0"/>
        <w:jc w:val="both"/>
        <w:rPr>
          <w:sz w:val="22"/>
          <w:szCs w:val="22"/>
          <w:lang w:val="sr-Latn-ME"/>
        </w:rPr>
      </w:pPr>
      <w:r w:rsidRPr="00801AFD">
        <w:rPr>
          <w:sz w:val="22"/>
          <w:szCs w:val="22"/>
          <w:lang w:val="sr-Latn-ME"/>
        </w:rPr>
        <w:t>n</w:t>
      </w:r>
      <w:r w:rsidR="00F61420" w:rsidRPr="00801AFD">
        <w:rPr>
          <w:sz w:val="22"/>
          <w:szCs w:val="22"/>
          <w:lang w:val="sr-Latn-ME"/>
        </w:rPr>
        <w:t>atrijum</w:t>
      </w:r>
      <w:r w:rsidR="00B43743" w:rsidRPr="00801AFD">
        <w:rPr>
          <w:sz w:val="22"/>
          <w:szCs w:val="22"/>
          <w:lang w:val="sr-Latn-ME"/>
        </w:rPr>
        <w:t xml:space="preserve"> </w:t>
      </w:r>
      <w:r w:rsidR="00F61420" w:rsidRPr="00801AFD">
        <w:rPr>
          <w:sz w:val="22"/>
          <w:szCs w:val="22"/>
          <w:lang w:val="sr-Latn-ME"/>
        </w:rPr>
        <w:t xml:space="preserve">dihidrogenfosfat, monohidrat </w:t>
      </w:r>
    </w:p>
    <w:p w14:paraId="02DC3CD8" w14:textId="5CD3E914" w:rsidR="00F61420" w:rsidRPr="00801AFD" w:rsidRDefault="00374D90" w:rsidP="00801AFD">
      <w:pPr>
        <w:pStyle w:val="Default"/>
        <w:widowControl w:val="0"/>
        <w:jc w:val="both"/>
        <w:rPr>
          <w:sz w:val="22"/>
          <w:szCs w:val="22"/>
          <w:lang w:val="sr-Latn-ME"/>
        </w:rPr>
      </w:pPr>
      <w:r w:rsidRPr="00801AFD">
        <w:rPr>
          <w:sz w:val="22"/>
          <w:szCs w:val="22"/>
          <w:lang w:val="sr-Latn-ME"/>
        </w:rPr>
        <w:t>n</w:t>
      </w:r>
      <w:r w:rsidR="00F61420" w:rsidRPr="00801AFD">
        <w:rPr>
          <w:sz w:val="22"/>
          <w:szCs w:val="22"/>
          <w:lang w:val="sr-Latn-ME"/>
        </w:rPr>
        <w:t>atrijum</w:t>
      </w:r>
      <w:r w:rsidR="00B43743" w:rsidRPr="00801AFD">
        <w:rPr>
          <w:sz w:val="22"/>
          <w:szCs w:val="22"/>
          <w:lang w:val="sr-Latn-ME"/>
        </w:rPr>
        <w:t xml:space="preserve"> </w:t>
      </w:r>
      <w:r w:rsidR="00F61420" w:rsidRPr="00801AFD">
        <w:rPr>
          <w:sz w:val="22"/>
          <w:szCs w:val="22"/>
          <w:lang w:val="sr-Latn-ME"/>
        </w:rPr>
        <w:t xml:space="preserve">hidrogenfosfat, heptahidrat </w:t>
      </w:r>
    </w:p>
    <w:p w14:paraId="2DD722F9" w14:textId="3348B65E" w:rsidR="00574910" w:rsidRPr="00801AFD" w:rsidRDefault="00B530CF" w:rsidP="00801AFD">
      <w:pPr>
        <w:pStyle w:val="Default"/>
        <w:widowControl w:val="0"/>
        <w:jc w:val="both"/>
        <w:rPr>
          <w:sz w:val="22"/>
          <w:szCs w:val="22"/>
          <w:lang w:val="sr-Latn-ME"/>
        </w:rPr>
      </w:pPr>
      <w:r w:rsidRPr="00801AFD">
        <w:rPr>
          <w:sz w:val="22"/>
          <w:szCs w:val="22"/>
          <w:lang w:val="sr-Latn-ME"/>
        </w:rPr>
        <w:t>n</w:t>
      </w:r>
      <w:r w:rsidR="00574910" w:rsidRPr="00801AFD">
        <w:rPr>
          <w:sz w:val="22"/>
          <w:szCs w:val="22"/>
          <w:lang w:val="sr-Latn-ME"/>
        </w:rPr>
        <w:t>atrijum</w:t>
      </w:r>
      <w:r w:rsidRPr="00801AFD">
        <w:rPr>
          <w:sz w:val="22"/>
          <w:szCs w:val="22"/>
          <w:lang w:val="sr-Latn-ME"/>
        </w:rPr>
        <w:t xml:space="preserve"> </w:t>
      </w:r>
      <w:r w:rsidR="00574910" w:rsidRPr="00801AFD">
        <w:rPr>
          <w:sz w:val="22"/>
          <w:szCs w:val="22"/>
          <w:lang w:val="sr-Latn-ME"/>
        </w:rPr>
        <w:t xml:space="preserve">hlorid </w:t>
      </w:r>
    </w:p>
    <w:p w14:paraId="31656C3F" w14:textId="77777777" w:rsidR="00574910" w:rsidRPr="00801AFD" w:rsidRDefault="00574910" w:rsidP="00801AFD">
      <w:pPr>
        <w:pStyle w:val="Default"/>
        <w:widowControl w:val="0"/>
        <w:jc w:val="both"/>
        <w:rPr>
          <w:sz w:val="22"/>
          <w:szCs w:val="22"/>
          <w:lang w:val="sr-Latn-ME"/>
        </w:rPr>
      </w:pPr>
      <w:r w:rsidRPr="00801AFD">
        <w:rPr>
          <w:sz w:val="22"/>
          <w:szCs w:val="22"/>
          <w:lang w:val="sr-Latn-ME"/>
        </w:rPr>
        <w:t xml:space="preserve">polisorbat 80 </w:t>
      </w:r>
    </w:p>
    <w:p w14:paraId="1AF672CC" w14:textId="77777777" w:rsidR="00574910" w:rsidRPr="00801AFD" w:rsidRDefault="00574910" w:rsidP="00801AFD">
      <w:pPr>
        <w:widowControl w:val="0"/>
        <w:jc w:val="both"/>
        <w:rPr>
          <w:sz w:val="22"/>
          <w:szCs w:val="22"/>
          <w:lang w:val="sr-Latn-ME"/>
        </w:rPr>
      </w:pPr>
      <w:r w:rsidRPr="00801AFD">
        <w:rPr>
          <w:sz w:val="22"/>
          <w:szCs w:val="22"/>
          <w:lang w:val="sr-Latn-ME"/>
        </w:rPr>
        <w:t>voda za injekcije</w:t>
      </w:r>
    </w:p>
    <w:p w14:paraId="75D0F579" w14:textId="77777777" w:rsidR="00574910" w:rsidRPr="00801AFD" w:rsidRDefault="00574910" w:rsidP="00801AFD">
      <w:pPr>
        <w:widowControl w:val="0"/>
        <w:tabs>
          <w:tab w:val="left" w:pos="540"/>
          <w:tab w:val="left" w:pos="569"/>
        </w:tabs>
        <w:jc w:val="both"/>
        <w:rPr>
          <w:b/>
          <w:bCs/>
          <w:sz w:val="22"/>
          <w:szCs w:val="22"/>
          <w:lang w:val="sr-Latn-ME"/>
        </w:rPr>
      </w:pPr>
    </w:p>
    <w:p w14:paraId="583C80DE" w14:textId="6081B5F5" w:rsidR="0072020E" w:rsidRPr="00801AFD" w:rsidRDefault="0072020E" w:rsidP="00801AFD">
      <w:pPr>
        <w:widowControl w:val="0"/>
        <w:tabs>
          <w:tab w:val="left" w:pos="540"/>
          <w:tab w:val="left" w:pos="569"/>
        </w:tabs>
        <w:jc w:val="both"/>
        <w:rPr>
          <w:b/>
          <w:bCs/>
          <w:sz w:val="22"/>
          <w:szCs w:val="22"/>
          <w:lang w:val="sr-Latn-ME"/>
        </w:rPr>
      </w:pPr>
      <w:r w:rsidRPr="00801AFD">
        <w:rPr>
          <w:b/>
          <w:bCs/>
          <w:sz w:val="22"/>
          <w:szCs w:val="22"/>
          <w:lang w:val="sr-Latn-ME"/>
        </w:rPr>
        <w:t xml:space="preserve">6.2. </w:t>
      </w:r>
      <w:r w:rsidR="00480FB1" w:rsidRPr="00801AFD">
        <w:rPr>
          <w:b/>
          <w:bCs/>
          <w:sz w:val="22"/>
          <w:szCs w:val="22"/>
          <w:lang w:val="sr-Latn-ME"/>
        </w:rPr>
        <w:tab/>
      </w:r>
      <w:r w:rsidRPr="00801AFD">
        <w:rPr>
          <w:b/>
          <w:bCs/>
          <w:sz w:val="22"/>
          <w:szCs w:val="22"/>
          <w:lang w:val="sr-Latn-ME"/>
        </w:rPr>
        <w:t>Inkompatibilnost</w:t>
      </w:r>
      <w:r w:rsidR="002846DB" w:rsidRPr="00801AFD">
        <w:rPr>
          <w:b/>
          <w:bCs/>
          <w:sz w:val="22"/>
          <w:szCs w:val="22"/>
          <w:lang w:val="sr-Latn-ME"/>
        </w:rPr>
        <w:t>i</w:t>
      </w:r>
    </w:p>
    <w:p w14:paraId="6B2E5B6E" w14:textId="6C768C96" w:rsidR="00574910" w:rsidRPr="00801AFD" w:rsidRDefault="00574910" w:rsidP="00801AFD">
      <w:pPr>
        <w:widowControl w:val="0"/>
        <w:tabs>
          <w:tab w:val="left" w:pos="540"/>
          <w:tab w:val="left" w:pos="569"/>
        </w:tabs>
        <w:jc w:val="both"/>
        <w:rPr>
          <w:b/>
          <w:bCs/>
          <w:sz w:val="22"/>
          <w:szCs w:val="22"/>
          <w:lang w:val="sr-Latn-ME"/>
        </w:rPr>
      </w:pPr>
    </w:p>
    <w:p w14:paraId="593B6E97" w14:textId="795C72F7" w:rsidR="00574910" w:rsidRPr="00801AFD" w:rsidRDefault="00256187" w:rsidP="00801AFD">
      <w:pPr>
        <w:pStyle w:val="Default"/>
        <w:widowControl w:val="0"/>
        <w:jc w:val="both"/>
        <w:rPr>
          <w:sz w:val="22"/>
          <w:szCs w:val="22"/>
          <w:lang w:val="sr-Latn-ME"/>
        </w:rPr>
      </w:pPr>
      <w:r w:rsidRPr="00801AFD">
        <w:rPr>
          <w:sz w:val="22"/>
          <w:szCs w:val="22"/>
          <w:lang w:val="sr-Latn-ME"/>
        </w:rPr>
        <w:t>Ovaj</w:t>
      </w:r>
      <w:r w:rsidR="00B43743" w:rsidRPr="00801AFD">
        <w:rPr>
          <w:sz w:val="22"/>
          <w:szCs w:val="22"/>
          <w:lang w:val="sr-Latn-ME"/>
        </w:rPr>
        <w:t xml:space="preserve"> </w:t>
      </w:r>
      <w:r w:rsidR="00574910" w:rsidRPr="00801AFD">
        <w:rPr>
          <w:sz w:val="22"/>
          <w:szCs w:val="22"/>
          <w:lang w:val="sr-Latn-ME"/>
        </w:rPr>
        <w:t xml:space="preserve">lijek ne smije da se miješa sa drugim ljekovima. </w:t>
      </w:r>
    </w:p>
    <w:p w14:paraId="580E6AED" w14:textId="404EA943" w:rsidR="00574910" w:rsidRPr="00801AFD" w:rsidRDefault="00574910" w:rsidP="00801AFD">
      <w:pPr>
        <w:widowControl w:val="0"/>
        <w:jc w:val="both"/>
        <w:rPr>
          <w:sz w:val="22"/>
          <w:szCs w:val="22"/>
          <w:lang w:val="sr-Latn-ME"/>
        </w:rPr>
      </w:pPr>
      <w:r w:rsidRPr="00801AFD">
        <w:rPr>
          <w:sz w:val="22"/>
          <w:szCs w:val="22"/>
          <w:lang w:val="sr-Latn-ME"/>
        </w:rPr>
        <w:t xml:space="preserve">Za </w:t>
      </w:r>
      <w:r w:rsidR="00B21799" w:rsidRPr="00801AFD">
        <w:rPr>
          <w:sz w:val="22"/>
          <w:szCs w:val="22"/>
          <w:lang w:val="sr-Latn-ME"/>
        </w:rPr>
        <w:t xml:space="preserve">razblaživanje </w:t>
      </w:r>
      <w:r w:rsidRPr="00801AFD">
        <w:rPr>
          <w:sz w:val="22"/>
          <w:szCs w:val="22"/>
          <w:lang w:val="sr-Latn-ME"/>
        </w:rPr>
        <w:t>se kao rastvarač može koristiti samo 0,9% (9 mg/ml) rastvor natrijum hlorida za injekciju.</w:t>
      </w:r>
    </w:p>
    <w:p w14:paraId="1AFC39A0" w14:textId="77777777" w:rsidR="00574910" w:rsidRPr="00801AFD" w:rsidRDefault="00574910" w:rsidP="00801AFD">
      <w:pPr>
        <w:widowControl w:val="0"/>
        <w:tabs>
          <w:tab w:val="left" w:pos="540"/>
          <w:tab w:val="left" w:pos="569"/>
        </w:tabs>
        <w:jc w:val="both"/>
        <w:rPr>
          <w:b/>
          <w:bCs/>
          <w:sz w:val="22"/>
          <w:szCs w:val="22"/>
          <w:lang w:val="sr-Latn-ME"/>
        </w:rPr>
      </w:pPr>
    </w:p>
    <w:p w14:paraId="453B22A2" w14:textId="4CD503B2" w:rsidR="0072020E" w:rsidRPr="00801AFD" w:rsidRDefault="0072020E" w:rsidP="00801AFD">
      <w:pPr>
        <w:widowControl w:val="0"/>
        <w:tabs>
          <w:tab w:val="left" w:pos="540"/>
          <w:tab w:val="left" w:pos="569"/>
        </w:tabs>
        <w:jc w:val="both"/>
        <w:rPr>
          <w:b/>
          <w:bCs/>
          <w:sz w:val="22"/>
          <w:szCs w:val="22"/>
          <w:lang w:val="sr-Latn-ME"/>
        </w:rPr>
      </w:pPr>
      <w:r w:rsidRPr="00801AFD">
        <w:rPr>
          <w:b/>
          <w:bCs/>
          <w:sz w:val="22"/>
          <w:szCs w:val="22"/>
          <w:lang w:val="sr-Latn-ME"/>
        </w:rPr>
        <w:t>6.3.</w:t>
      </w:r>
      <w:r w:rsidR="00C05DF8" w:rsidRPr="00801AFD">
        <w:rPr>
          <w:b/>
          <w:bCs/>
          <w:sz w:val="22"/>
          <w:szCs w:val="22"/>
          <w:lang w:val="sr-Latn-ME"/>
        </w:rPr>
        <w:t xml:space="preserve"> </w:t>
      </w:r>
      <w:r w:rsidR="00480FB1" w:rsidRPr="00801AFD">
        <w:rPr>
          <w:b/>
          <w:bCs/>
          <w:sz w:val="22"/>
          <w:szCs w:val="22"/>
          <w:lang w:val="sr-Latn-ME"/>
        </w:rPr>
        <w:tab/>
      </w:r>
      <w:r w:rsidRPr="00801AFD">
        <w:rPr>
          <w:b/>
          <w:bCs/>
          <w:sz w:val="22"/>
          <w:szCs w:val="22"/>
          <w:lang w:val="sr-Latn-ME"/>
        </w:rPr>
        <w:t>Rok upotrebe</w:t>
      </w:r>
    </w:p>
    <w:p w14:paraId="22FB9B42" w14:textId="297FF36B" w:rsidR="00574910" w:rsidRPr="00801AFD" w:rsidRDefault="00574910" w:rsidP="00801AFD">
      <w:pPr>
        <w:widowControl w:val="0"/>
        <w:tabs>
          <w:tab w:val="left" w:pos="540"/>
          <w:tab w:val="left" w:pos="569"/>
        </w:tabs>
        <w:jc w:val="both"/>
        <w:rPr>
          <w:b/>
          <w:bCs/>
          <w:sz w:val="22"/>
          <w:szCs w:val="22"/>
          <w:lang w:val="sr-Latn-ME"/>
        </w:rPr>
      </w:pPr>
    </w:p>
    <w:p w14:paraId="7BD8A44B" w14:textId="4DE72FD8" w:rsidR="00574910" w:rsidRPr="00801AFD" w:rsidRDefault="00574910" w:rsidP="00801AFD">
      <w:pPr>
        <w:widowControl w:val="0"/>
        <w:jc w:val="both"/>
        <w:rPr>
          <w:sz w:val="22"/>
          <w:szCs w:val="22"/>
          <w:lang w:val="sr-Latn-ME"/>
        </w:rPr>
      </w:pPr>
      <w:r w:rsidRPr="00801AFD">
        <w:rPr>
          <w:sz w:val="22"/>
          <w:szCs w:val="22"/>
          <w:u w:val="single"/>
          <w:lang w:val="sr-Latn-ME"/>
        </w:rPr>
        <w:t>Ultomiris 300 mg/3 ml, 1100 mg/11 ml, koncentrat za rastvor za infuziju</w:t>
      </w:r>
    </w:p>
    <w:p w14:paraId="4123BC9E" w14:textId="77777777" w:rsidR="00574910" w:rsidRPr="00801AFD" w:rsidRDefault="00574910" w:rsidP="00801AFD">
      <w:pPr>
        <w:widowControl w:val="0"/>
        <w:jc w:val="both"/>
        <w:rPr>
          <w:color w:val="000000"/>
          <w:sz w:val="22"/>
          <w:szCs w:val="22"/>
          <w:lang w:val="sr-Latn-ME"/>
        </w:rPr>
      </w:pPr>
      <w:r w:rsidRPr="00801AFD">
        <w:rPr>
          <w:color w:val="000000"/>
          <w:sz w:val="22"/>
          <w:szCs w:val="22"/>
          <w:lang w:val="sr-Latn-ME"/>
        </w:rPr>
        <w:t>18 mjeseci</w:t>
      </w:r>
    </w:p>
    <w:p w14:paraId="1307DE7B" w14:textId="2F557729" w:rsidR="00574910" w:rsidRPr="00801AFD" w:rsidRDefault="00574910" w:rsidP="00801AFD">
      <w:pPr>
        <w:widowControl w:val="0"/>
        <w:jc w:val="both"/>
        <w:rPr>
          <w:color w:val="000000"/>
          <w:sz w:val="22"/>
          <w:szCs w:val="22"/>
          <w:lang w:val="sr-Latn-ME"/>
        </w:rPr>
      </w:pPr>
      <w:r w:rsidRPr="00801AFD">
        <w:rPr>
          <w:color w:val="000000"/>
          <w:sz w:val="22"/>
          <w:szCs w:val="22"/>
          <w:lang w:val="sr-Latn-ME"/>
        </w:rPr>
        <w:t>Lijek treba prim</w:t>
      </w:r>
      <w:r w:rsidR="00B43743" w:rsidRPr="00801AFD">
        <w:rPr>
          <w:color w:val="000000"/>
          <w:sz w:val="22"/>
          <w:szCs w:val="22"/>
          <w:lang w:val="sr-Latn-ME"/>
        </w:rPr>
        <w:t>i</w:t>
      </w:r>
      <w:r w:rsidRPr="00801AFD">
        <w:rPr>
          <w:color w:val="000000"/>
          <w:sz w:val="22"/>
          <w:szCs w:val="22"/>
          <w:lang w:val="sr-Latn-ME"/>
        </w:rPr>
        <w:t xml:space="preserve">jeniti odmah nakon razblaživanja. Međutim, dokazana je hemijska i fizička stabilnost razblaženog lijeka u upotrebi do 24 sata na </w:t>
      </w:r>
      <w:r w:rsidR="00AB4DBD" w:rsidRPr="00801AFD">
        <w:rPr>
          <w:color w:val="000000"/>
          <w:sz w:val="22"/>
          <w:szCs w:val="22"/>
          <w:lang w:val="sr-Latn-ME"/>
        </w:rPr>
        <w:t>2</w:t>
      </w:r>
      <w:r w:rsidRPr="00801AFD">
        <w:rPr>
          <w:color w:val="000000"/>
          <w:sz w:val="22"/>
          <w:szCs w:val="22"/>
          <w:lang w:val="sr-Latn-ME"/>
        </w:rPr>
        <w:t xml:space="preserve">°C - 8°C i do </w:t>
      </w:r>
      <w:r w:rsidR="00B23236" w:rsidRPr="00801AFD">
        <w:rPr>
          <w:color w:val="000000"/>
          <w:sz w:val="22"/>
          <w:szCs w:val="22"/>
          <w:lang w:val="sr-Latn-ME"/>
        </w:rPr>
        <w:t>4</w:t>
      </w:r>
      <w:r w:rsidRPr="00801AFD">
        <w:rPr>
          <w:color w:val="000000"/>
          <w:sz w:val="22"/>
          <w:szCs w:val="22"/>
          <w:lang w:val="sr-Latn-ME"/>
        </w:rPr>
        <w:t xml:space="preserve"> sat</w:t>
      </w:r>
      <w:r w:rsidR="00B23236" w:rsidRPr="00801AFD">
        <w:rPr>
          <w:color w:val="000000"/>
          <w:sz w:val="22"/>
          <w:szCs w:val="22"/>
          <w:lang w:val="sr-Latn-ME"/>
        </w:rPr>
        <w:t>a</w:t>
      </w:r>
      <w:r w:rsidRPr="00801AFD">
        <w:rPr>
          <w:color w:val="000000"/>
          <w:sz w:val="22"/>
          <w:szCs w:val="22"/>
          <w:lang w:val="sr-Latn-ME"/>
        </w:rPr>
        <w:t xml:space="preserve"> na sobnoj temperaturi.</w:t>
      </w:r>
    </w:p>
    <w:p w14:paraId="2FEEC96F" w14:textId="77777777" w:rsidR="00574910" w:rsidRPr="00801AFD" w:rsidRDefault="00574910" w:rsidP="00801AFD">
      <w:pPr>
        <w:widowControl w:val="0"/>
        <w:jc w:val="both"/>
        <w:rPr>
          <w:color w:val="000000"/>
          <w:sz w:val="22"/>
          <w:szCs w:val="22"/>
          <w:lang w:val="sr-Latn-ME"/>
        </w:rPr>
      </w:pPr>
    </w:p>
    <w:p w14:paraId="76B27C5D" w14:textId="199FAC4A" w:rsidR="00574910" w:rsidRPr="00801AFD" w:rsidRDefault="00574910" w:rsidP="00801AFD">
      <w:pPr>
        <w:widowControl w:val="0"/>
        <w:jc w:val="both"/>
        <w:rPr>
          <w:sz w:val="22"/>
          <w:szCs w:val="22"/>
          <w:lang w:val="sr-Latn-ME"/>
        </w:rPr>
      </w:pPr>
      <w:r w:rsidRPr="00801AFD">
        <w:rPr>
          <w:sz w:val="22"/>
          <w:szCs w:val="22"/>
          <w:u w:val="single"/>
          <w:lang w:val="sr-Latn-ME"/>
        </w:rPr>
        <w:t>Ultomiris 300 mg/30 ml, koncentrat za rastvor za infuziju</w:t>
      </w:r>
    </w:p>
    <w:p w14:paraId="385A0235" w14:textId="237EA7F4" w:rsidR="00574910" w:rsidRPr="00801AFD" w:rsidRDefault="00574910" w:rsidP="00801AFD">
      <w:pPr>
        <w:widowControl w:val="0"/>
        <w:jc w:val="both"/>
        <w:rPr>
          <w:color w:val="000000"/>
          <w:sz w:val="22"/>
          <w:szCs w:val="22"/>
          <w:lang w:val="sr-Latn-ME"/>
        </w:rPr>
      </w:pPr>
      <w:r w:rsidRPr="00801AFD">
        <w:rPr>
          <w:color w:val="000000"/>
          <w:sz w:val="22"/>
          <w:szCs w:val="22"/>
          <w:lang w:val="sr-Latn-ME"/>
        </w:rPr>
        <w:t>30 m</w:t>
      </w:r>
      <w:r w:rsidR="00B43743" w:rsidRPr="00801AFD">
        <w:rPr>
          <w:color w:val="000000"/>
          <w:sz w:val="22"/>
          <w:szCs w:val="22"/>
          <w:lang w:val="sr-Latn-ME"/>
        </w:rPr>
        <w:t>j</w:t>
      </w:r>
      <w:r w:rsidRPr="00801AFD">
        <w:rPr>
          <w:color w:val="000000"/>
          <w:sz w:val="22"/>
          <w:szCs w:val="22"/>
          <w:lang w:val="sr-Latn-ME"/>
        </w:rPr>
        <w:t>eseci</w:t>
      </w:r>
    </w:p>
    <w:p w14:paraId="70137FFF" w14:textId="07D07644" w:rsidR="00574910" w:rsidRPr="00801AFD" w:rsidRDefault="00574910" w:rsidP="00801AFD">
      <w:pPr>
        <w:widowControl w:val="0"/>
        <w:jc w:val="both"/>
        <w:rPr>
          <w:color w:val="000000"/>
          <w:sz w:val="22"/>
          <w:szCs w:val="22"/>
          <w:lang w:val="sr-Latn-ME"/>
        </w:rPr>
      </w:pPr>
      <w:r w:rsidRPr="00801AFD">
        <w:rPr>
          <w:color w:val="000000"/>
          <w:sz w:val="22"/>
          <w:szCs w:val="22"/>
          <w:lang w:val="sr-Latn-ME"/>
        </w:rPr>
        <w:t>Lijek treba prim</w:t>
      </w:r>
      <w:r w:rsidR="00B43743" w:rsidRPr="00801AFD">
        <w:rPr>
          <w:color w:val="000000"/>
          <w:sz w:val="22"/>
          <w:szCs w:val="22"/>
          <w:lang w:val="sr-Latn-ME"/>
        </w:rPr>
        <w:t>i</w:t>
      </w:r>
      <w:r w:rsidRPr="00801AFD">
        <w:rPr>
          <w:color w:val="000000"/>
          <w:sz w:val="22"/>
          <w:szCs w:val="22"/>
          <w:lang w:val="sr-Latn-ME"/>
        </w:rPr>
        <w:t xml:space="preserve">jeniti odmah nakon razblaživanja. Međutim, dokazana je hemijska i fizička stabilnost </w:t>
      </w:r>
      <w:r w:rsidRPr="00801AFD">
        <w:rPr>
          <w:color w:val="000000"/>
          <w:sz w:val="22"/>
          <w:szCs w:val="22"/>
          <w:lang w:val="sr-Latn-ME"/>
        </w:rPr>
        <w:lastRenderedPageBreak/>
        <w:t>razblaženog lijeka u upotrebi do 24 sata na 2°C - 8°C i do 6 sati na sobnoj temperaturi.</w:t>
      </w:r>
    </w:p>
    <w:p w14:paraId="2CAA0B71" w14:textId="77777777" w:rsidR="00574910" w:rsidRPr="00801AFD" w:rsidRDefault="00574910" w:rsidP="00801AFD">
      <w:pPr>
        <w:widowControl w:val="0"/>
        <w:tabs>
          <w:tab w:val="left" w:pos="540"/>
          <w:tab w:val="left" w:pos="569"/>
        </w:tabs>
        <w:jc w:val="both"/>
        <w:rPr>
          <w:b/>
          <w:bCs/>
          <w:sz w:val="22"/>
          <w:szCs w:val="22"/>
          <w:lang w:val="sr-Latn-ME"/>
        </w:rPr>
      </w:pPr>
    </w:p>
    <w:p w14:paraId="5AF19539" w14:textId="3C6C0D17" w:rsidR="0072020E" w:rsidRPr="00801AFD" w:rsidRDefault="0072020E" w:rsidP="00801AFD">
      <w:pPr>
        <w:widowControl w:val="0"/>
        <w:tabs>
          <w:tab w:val="left" w:pos="540"/>
          <w:tab w:val="left" w:pos="569"/>
        </w:tabs>
        <w:jc w:val="both"/>
        <w:rPr>
          <w:b/>
          <w:bCs/>
          <w:sz w:val="22"/>
          <w:szCs w:val="22"/>
          <w:lang w:val="sr-Latn-ME"/>
        </w:rPr>
      </w:pPr>
      <w:r w:rsidRPr="00801AFD">
        <w:rPr>
          <w:b/>
          <w:bCs/>
          <w:sz w:val="22"/>
          <w:szCs w:val="22"/>
          <w:lang w:val="sr-Latn-ME"/>
        </w:rPr>
        <w:t xml:space="preserve">6.4. </w:t>
      </w:r>
      <w:r w:rsidR="00480FB1" w:rsidRPr="00801AFD">
        <w:rPr>
          <w:b/>
          <w:bCs/>
          <w:sz w:val="22"/>
          <w:szCs w:val="22"/>
          <w:lang w:val="sr-Latn-ME"/>
        </w:rPr>
        <w:tab/>
      </w:r>
      <w:r w:rsidRPr="00801AFD">
        <w:rPr>
          <w:b/>
          <w:bCs/>
          <w:sz w:val="22"/>
          <w:szCs w:val="22"/>
          <w:lang w:val="sr-Latn-ME"/>
        </w:rPr>
        <w:t>Posebne mjere upozorenja pri čuvanju</w:t>
      </w:r>
      <w:r w:rsidR="00F8570A" w:rsidRPr="00801AFD">
        <w:rPr>
          <w:b/>
          <w:bCs/>
          <w:sz w:val="22"/>
          <w:szCs w:val="22"/>
          <w:lang w:val="sr-Latn-ME"/>
        </w:rPr>
        <w:t xml:space="preserve"> lijeka</w:t>
      </w:r>
    </w:p>
    <w:p w14:paraId="183F10D0" w14:textId="4674ACCA" w:rsidR="00574910" w:rsidRPr="00801AFD" w:rsidRDefault="00574910" w:rsidP="00801AFD">
      <w:pPr>
        <w:widowControl w:val="0"/>
        <w:tabs>
          <w:tab w:val="left" w:pos="540"/>
          <w:tab w:val="left" w:pos="569"/>
        </w:tabs>
        <w:jc w:val="both"/>
        <w:rPr>
          <w:b/>
          <w:bCs/>
          <w:sz w:val="22"/>
          <w:szCs w:val="22"/>
          <w:lang w:val="sr-Latn-ME"/>
        </w:rPr>
      </w:pPr>
    </w:p>
    <w:p w14:paraId="5733BB96" w14:textId="6D2FC2B3" w:rsidR="00574910" w:rsidRPr="00801AFD" w:rsidRDefault="00574910" w:rsidP="00801AFD">
      <w:pPr>
        <w:widowControl w:val="0"/>
        <w:tabs>
          <w:tab w:val="left" w:pos="284"/>
        </w:tabs>
        <w:jc w:val="both"/>
        <w:rPr>
          <w:sz w:val="22"/>
          <w:szCs w:val="22"/>
          <w:lang w:val="sr-Latn-ME"/>
        </w:rPr>
      </w:pPr>
      <w:r w:rsidRPr="00801AFD">
        <w:rPr>
          <w:sz w:val="22"/>
          <w:szCs w:val="22"/>
          <w:lang w:val="sr-Latn-ME"/>
        </w:rPr>
        <w:t>Čuvati u frižideru (2°C - 8°C).</w:t>
      </w:r>
    </w:p>
    <w:p w14:paraId="76B05B88" w14:textId="77777777" w:rsidR="00574910" w:rsidRPr="00801AFD" w:rsidRDefault="00574910" w:rsidP="00801AFD">
      <w:pPr>
        <w:widowControl w:val="0"/>
        <w:tabs>
          <w:tab w:val="left" w:pos="284"/>
        </w:tabs>
        <w:jc w:val="both"/>
        <w:rPr>
          <w:sz w:val="22"/>
          <w:szCs w:val="22"/>
          <w:lang w:val="sr-Latn-ME"/>
        </w:rPr>
      </w:pPr>
      <w:r w:rsidRPr="00801AFD">
        <w:rPr>
          <w:sz w:val="22"/>
          <w:szCs w:val="22"/>
          <w:lang w:val="sr-Latn-ME"/>
        </w:rPr>
        <w:t>Ne zamrzavati.</w:t>
      </w:r>
    </w:p>
    <w:p w14:paraId="66B45BC7" w14:textId="77777777" w:rsidR="00574910" w:rsidRPr="00801AFD" w:rsidRDefault="00574910" w:rsidP="00801AFD">
      <w:pPr>
        <w:widowControl w:val="0"/>
        <w:tabs>
          <w:tab w:val="left" w:pos="284"/>
        </w:tabs>
        <w:jc w:val="both"/>
        <w:rPr>
          <w:sz w:val="22"/>
          <w:szCs w:val="22"/>
          <w:lang w:val="sr-Latn-ME"/>
        </w:rPr>
      </w:pPr>
      <w:r w:rsidRPr="00801AFD">
        <w:rPr>
          <w:sz w:val="22"/>
          <w:szCs w:val="22"/>
          <w:lang w:val="sr-Latn-ME"/>
        </w:rPr>
        <w:t>Držite bočicu u spoljnom pakovanju radi zaštite od svjetlosti.</w:t>
      </w:r>
    </w:p>
    <w:p w14:paraId="3031C65F" w14:textId="48A1975B" w:rsidR="00574910" w:rsidRPr="00801AFD" w:rsidRDefault="00574910" w:rsidP="00801AFD">
      <w:pPr>
        <w:widowControl w:val="0"/>
        <w:tabs>
          <w:tab w:val="left" w:pos="284"/>
        </w:tabs>
        <w:jc w:val="both"/>
        <w:rPr>
          <w:sz w:val="22"/>
          <w:szCs w:val="22"/>
          <w:lang w:val="sr-Latn-ME"/>
        </w:rPr>
      </w:pPr>
      <w:r w:rsidRPr="00801AFD">
        <w:rPr>
          <w:sz w:val="22"/>
          <w:szCs w:val="22"/>
          <w:lang w:val="sr-Latn-ME"/>
        </w:rPr>
        <w:t xml:space="preserve">Za uslove čuvanja nakon razblaživanja lijeka, vidjeti </w:t>
      </w:r>
      <w:r w:rsidR="00D721E6" w:rsidRPr="00801AFD">
        <w:rPr>
          <w:sz w:val="22"/>
          <w:szCs w:val="22"/>
          <w:lang w:val="sr-Latn-ME"/>
        </w:rPr>
        <w:t xml:space="preserve">dio </w:t>
      </w:r>
      <w:r w:rsidRPr="00801AFD">
        <w:rPr>
          <w:sz w:val="22"/>
          <w:szCs w:val="22"/>
          <w:lang w:val="sr-Latn-ME"/>
        </w:rPr>
        <w:t>6.3.</w:t>
      </w:r>
    </w:p>
    <w:p w14:paraId="0515A830" w14:textId="77777777" w:rsidR="00574910" w:rsidRPr="00801AFD" w:rsidRDefault="00574910" w:rsidP="00801AFD">
      <w:pPr>
        <w:widowControl w:val="0"/>
        <w:tabs>
          <w:tab w:val="left" w:pos="540"/>
          <w:tab w:val="left" w:pos="569"/>
        </w:tabs>
        <w:jc w:val="both"/>
        <w:rPr>
          <w:b/>
          <w:bCs/>
          <w:sz w:val="22"/>
          <w:szCs w:val="22"/>
          <w:lang w:val="sr-Latn-ME"/>
        </w:rPr>
      </w:pPr>
    </w:p>
    <w:p w14:paraId="5A6D3685" w14:textId="77777777" w:rsidR="00574910" w:rsidRPr="00801AFD" w:rsidRDefault="0072020E" w:rsidP="00801AFD">
      <w:pPr>
        <w:widowControl w:val="0"/>
        <w:tabs>
          <w:tab w:val="left" w:pos="540"/>
          <w:tab w:val="left" w:pos="569"/>
        </w:tabs>
        <w:jc w:val="both"/>
        <w:rPr>
          <w:b/>
          <w:bCs/>
          <w:sz w:val="22"/>
          <w:szCs w:val="22"/>
          <w:lang w:val="sr-Latn-ME"/>
        </w:rPr>
      </w:pPr>
      <w:r w:rsidRPr="00801AFD">
        <w:rPr>
          <w:b/>
          <w:bCs/>
          <w:sz w:val="22"/>
          <w:szCs w:val="22"/>
          <w:lang w:val="sr-Latn-ME"/>
        </w:rPr>
        <w:t xml:space="preserve">6.5. </w:t>
      </w:r>
      <w:r w:rsidR="00480FB1" w:rsidRPr="00801AFD">
        <w:rPr>
          <w:b/>
          <w:bCs/>
          <w:sz w:val="22"/>
          <w:szCs w:val="22"/>
          <w:lang w:val="sr-Latn-ME"/>
        </w:rPr>
        <w:tab/>
      </w:r>
      <w:r w:rsidR="002846DB" w:rsidRPr="00801AFD">
        <w:rPr>
          <w:b/>
          <w:bCs/>
          <w:sz w:val="22"/>
          <w:szCs w:val="22"/>
          <w:lang w:val="sr-Latn-ME"/>
        </w:rPr>
        <w:t xml:space="preserve">Vrsta i sadržaj </w:t>
      </w:r>
      <w:r w:rsidR="00F8570A" w:rsidRPr="00801AFD">
        <w:rPr>
          <w:b/>
          <w:bCs/>
          <w:sz w:val="22"/>
          <w:szCs w:val="22"/>
          <w:lang w:val="sr-Latn-ME"/>
        </w:rPr>
        <w:t>pakovanja</w:t>
      </w:r>
    </w:p>
    <w:p w14:paraId="3F79907F" w14:textId="77777777" w:rsidR="00574910" w:rsidRPr="00801AFD" w:rsidRDefault="00574910" w:rsidP="00801AFD">
      <w:pPr>
        <w:widowControl w:val="0"/>
        <w:tabs>
          <w:tab w:val="left" w:pos="540"/>
          <w:tab w:val="left" w:pos="569"/>
        </w:tabs>
        <w:jc w:val="both"/>
        <w:rPr>
          <w:b/>
          <w:bCs/>
          <w:sz w:val="22"/>
          <w:szCs w:val="22"/>
          <w:lang w:val="sr-Latn-ME"/>
        </w:rPr>
      </w:pPr>
    </w:p>
    <w:p w14:paraId="35A922B1" w14:textId="1F2587F6" w:rsidR="00574910" w:rsidRPr="00801AFD" w:rsidRDefault="00574910" w:rsidP="00801AFD">
      <w:pPr>
        <w:widowControl w:val="0"/>
        <w:tabs>
          <w:tab w:val="left" w:pos="284"/>
        </w:tabs>
        <w:jc w:val="both"/>
        <w:rPr>
          <w:sz w:val="22"/>
          <w:szCs w:val="22"/>
          <w:lang w:val="sr-Latn-ME"/>
        </w:rPr>
      </w:pPr>
      <w:r w:rsidRPr="00801AFD">
        <w:rPr>
          <w:sz w:val="22"/>
          <w:szCs w:val="22"/>
          <w:lang w:val="sr-Latn-ME"/>
        </w:rPr>
        <w:t>Jedna bočica u pakovanju.</w:t>
      </w:r>
    </w:p>
    <w:p w14:paraId="7DDDB624" w14:textId="77777777" w:rsidR="00B43743" w:rsidRPr="00801AFD" w:rsidRDefault="00B43743" w:rsidP="00801AFD">
      <w:pPr>
        <w:widowControl w:val="0"/>
        <w:tabs>
          <w:tab w:val="left" w:pos="284"/>
        </w:tabs>
        <w:jc w:val="both"/>
        <w:rPr>
          <w:sz w:val="22"/>
          <w:szCs w:val="22"/>
          <w:lang w:val="sr-Latn-ME"/>
        </w:rPr>
      </w:pPr>
    </w:p>
    <w:p w14:paraId="34A4AFE0" w14:textId="6CA7A9A3" w:rsidR="00574910" w:rsidRPr="00801AFD" w:rsidRDefault="00574910" w:rsidP="00801AFD">
      <w:pPr>
        <w:widowControl w:val="0"/>
        <w:tabs>
          <w:tab w:val="left" w:pos="284"/>
        </w:tabs>
        <w:jc w:val="both"/>
        <w:rPr>
          <w:sz w:val="22"/>
          <w:szCs w:val="22"/>
          <w:lang w:val="sr-Latn-ME"/>
        </w:rPr>
      </w:pPr>
      <w:r w:rsidRPr="00801AFD">
        <w:rPr>
          <w:sz w:val="22"/>
          <w:szCs w:val="22"/>
          <w:u w:val="single"/>
          <w:lang w:val="sr-Latn-ME"/>
        </w:rPr>
        <w:t>Ultomiris 300 mg/3 ml, koncentrat za rastvor za infuziju</w:t>
      </w:r>
    </w:p>
    <w:p w14:paraId="2CFBFA78" w14:textId="77777777" w:rsidR="00574910" w:rsidRPr="00801AFD" w:rsidRDefault="00574910" w:rsidP="00801AFD">
      <w:pPr>
        <w:widowControl w:val="0"/>
        <w:tabs>
          <w:tab w:val="left" w:pos="284"/>
        </w:tabs>
        <w:jc w:val="both"/>
        <w:rPr>
          <w:color w:val="000000"/>
          <w:sz w:val="22"/>
          <w:szCs w:val="22"/>
          <w:lang w:val="sr-Latn-ME"/>
        </w:rPr>
      </w:pPr>
    </w:p>
    <w:p w14:paraId="59C49C1E" w14:textId="30EDCB6B" w:rsidR="00574910" w:rsidRPr="00801AFD" w:rsidRDefault="00574910" w:rsidP="00801AFD">
      <w:pPr>
        <w:widowControl w:val="0"/>
        <w:tabs>
          <w:tab w:val="left" w:pos="284"/>
        </w:tabs>
        <w:jc w:val="both"/>
        <w:rPr>
          <w:color w:val="000000"/>
          <w:sz w:val="22"/>
          <w:szCs w:val="22"/>
          <w:lang w:val="sr-Latn-ME"/>
        </w:rPr>
      </w:pPr>
      <w:r w:rsidRPr="00801AFD">
        <w:rPr>
          <w:color w:val="000000"/>
          <w:sz w:val="22"/>
          <w:szCs w:val="22"/>
          <w:lang w:val="sr-Latn-ME"/>
        </w:rPr>
        <w:t>3 ml sterilnog koncentrata u bočici (staklo tip I) sa poklopcem i zatvaračem.</w:t>
      </w:r>
    </w:p>
    <w:p w14:paraId="66A61286" w14:textId="77777777" w:rsidR="00574910" w:rsidRPr="00801AFD" w:rsidRDefault="00574910" w:rsidP="00801AFD">
      <w:pPr>
        <w:widowControl w:val="0"/>
        <w:tabs>
          <w:tab w:val="left" w:pos="284"/>
        </w:tabs>
        <w:jc w:val="both"/>
        <w:rPr>
          <w:color w:val="000000"/>
          <w:sz w:val="22"/>
          <w:szCs w:val="22"/>
          <w:lang w:val="sr-Latn-ME"/>
        </w:rPr>
      </w:pPr>
    </w:p>
    <w:p w14:paraId="0C21808A" w14:textId="29503CA0" w:rsidR="00574910" w:rsidRPr="00801AFD" w:rsidRDefault="00574910" w:rsidP="00801AFD">
      <w:pPr>
        <w:widowControl w:val="0"/>
        <w:tabs>
          <w:tab w:val="left" w:pos="284"/>
        </w:tabs>
        <w:jc w:val="both"/>
        <w:rPr>
          <w:sz w:val="22"/>
          <w:szCs w:val="22"/>
          <w:lang w:val="sr-Latn-ME"/>
        </w:rPr>
      </w:pPr>
      <w:r w:rsidRPr="00801AFD">
        <w:rPr>
          <w:sz w:val="22"/>
          <w:szCs w:val="22"/>
          <w:u w:val="single"/>
          <w:lang w:val="sr-Latn-ME"/>
        </w:rPr>
        <w:t>Ultomiris 1100 mg/11 ml, koncentrat za rastvor za infuziju</w:t>
      </w:r>
    </w:p>
    <w:p w14:paraId="7C4CEA26" w14:textId="77777777" w:rsidR="00574910" w:rsidRPr="00801AFD" w:rsidRDefault="00574910" w:rsidP="00801AFD">
      <w:pPr>
        <w:widowControl w:val="0"/>
        <w:tabs>
          <w:tab w:val="left" w:pos="284"/>
        </w:tabs>
        <w:jc w:val="both"/>
        <w:rPr>
          <w:color w:val="000000"/>
          <w:sz w:val="22"/>
          <w:szCs w:val="22"/>
          <w:lang w:val="sr-Latn-ME"/>
        </w:rPr>
      </w:pPr>
    </w:p>
    <w:p w14:paraId="2DBFA09A" w14:textId="59DD15B4" w:rsidR="00574910" w:rsidRPr="00801AFD" w:rsidRDefault="00574910" w:rsidP="00801AFD">
      <w:pPr>
        <w:widowControl w:val="0"/>
        <w:tabs>
          <w:tab w:val="left" w:pos="284"/>
        </w:tabs>
        <w:jc w:val="both"/>
        <w:rPr>
          <w:color w:val="000000"/>
          <w:sz w:val="22"/>
          <w:szCs w:val="22"/>
          <w:lang w:val="sr-Latn-ME"/>
        </w:rPr>
      </w:pPr>
      <w:r w:rsidRPr="00801AFD">
        <w:rPr>
          <w:color w:val="000000"/>
          <w:sz w:val="22"/>
          <w:szCs w:val="22"/>
          <w:lang w:val="sr-Latn-ME"/>
        </w:rPr>
        <w:t>11 ml sterilnog koncentrata u bočici (staklo tip I) sa poklopcem i zatvaračem.</w:t>
      </w:r>
    </w:p>
    <w:p w14:paraId="2B8103E5" w14:textId="77777777" w:rsidR="00574910" w:rsidRPr="00801AFD" w:rsidRDefault="00574910" w:rsidP="00801AFD">
      <w:pPr>
        <w:widowControl w:val="0"/>
        <w:tabs>
          <w:tab w:val="left" w:pos="284"/>
        </w:tabs>
        <w:jc w:val="both"/>
        <w:rPr>
          <w:color w:val="000000"/>
          <w:sz w:val="22"/>
          <w:szCs w:val="22"/>
          <w:lang w:val="sr-Latn-ME"/>
        </w:rPr>
      </w:pPr>
    </w:p>
    <w:p w14:paraId="0F7F3AC4" w14:textId="536BD350" w:rsidR="00574910" w:rsidRPr="00801AFD" w:rsidRDefault="00574910" w:rsidP="00801AFD">
      <w:pPr>
        <w:widowControl w:val="0"/>
        <w:tabs>
          <w:tab w:val="left" w:pos="284"/>
        </w:tabs>
        <w:jc w:val="both"/>
        <w:rPr>
          <w:sz w:val="22"/>
          <w:szCs w:val="22"/>
          <w:lang w:val="sr-Latn-ME"/>
        </w:rPr>
      </w:pPr>
      <w:r w:rsidRPr="00801AFD">
        <w:rPr>
          <w:sz w:val="22"/>
          <w:szCs w:val="22"/>
          <w:u w:val="single"/>
          <w:lang w:val="sr-Latn-ME"/>
        </w:rPr>
        <w:t>Ultomiris 300 mg/30 ml, koncentrat za rastvor za infuziju</w:t>
      </w:r>
    </w:p>
    <w:p w14:paraId="1EFE2B20" w14:textId="77777777" w:rsidR="00574910" w:rsidRPr="00801AFD" w:rsidRDefault="00574910" w:rsidP="00801AFD">
      <w:pPr>
        <w:widowControl w:val="0"/>
        <w:tabs>
          <w:tab w:val="left" w:pos="284"/>
        </w:tabs>
        <w:jc w:val="both"/>
        <w:rPr>
          <w:color w:val="000000"/>
          <w:sz w:val="22"/>
          <w:szCs w:val="22"/>
          <w:lang w:val="sr-Latn-ME"/>
        </w:rPr>
      </w:pPr>
    </w:p>
    <w:p w14:paraId="17C92DC3" w14:textId="2B3D8F05" w:rsidR="00574910" w:rsidRPr="00801AFD" w:rsidRDefault="00574910" w:rsidP="00801AFD">
      <w:pPr>
        <w:widowControl w:val="0"/>
        <w:tabs>
          <w:tab w:val="left" w:pos="284"/>
        </w:tabs>
        <w:jc w:val="both"/>
        <w:rPr>
          <w:color w:val="000000"/>
          <w:sz w:val="22"/>
          <w:szCs w:val="22"/>
          <w:lang w:val="sr-Latn-ME"/>
        </w:rPr>
      </w:pPr>
      <w:r w:rsidRPr="00801AFD">
        <w:rPr>
          <w:color w:val="000000"/>
          <w:sz w:val="22"/>
          <w:szCs w:val="22"/>
          <w:lang w:val="sr-Latn-ME"/>
        </w:rPr>
        <w:t>30 ml sterilnog koncentrata u bočici (staklo tip I) sa poklopcem i zatvaračem.</w:t>
      </w:r>
    </w:p>
    <w:p w14:paraId="0E59A76B" w14:textId="2AD16E19" w:rsidR="0072020E" w:rsidRPr="00801AFD" w:rsidRDefault="00C06864" w:rsidP="00801AFD">
      <w:pPr>
        <w:widowControl w:val="0"/>
        <w:tabs>
          <w:tab w:val="left" w:pos="540"/>
          <w:tab w:val="left" w:pos="569"/>
        </w:tabs>
        <w:jc w:val="both"/>
        <w:rPr>
          <w:b/>
          <w:bCs/>
          <w:sz w:val="22"/>
          <w:szCs w:val="22"/>
          <w:lang w:val="sr-Latn-ME"/>
        </w:rPr>
      </w:pPr>
      <w:r w:rsidRPr="00801AFD">
        <w:rPr>
          <w:b/>
          <w:bCs/>
          <w:sz w:val="22"/>
          <w:szCs w:val="22"/>
          <w:lang w:val="sr-Latn-ME"/>
        </w:rPr>
        <w:t xml:space="preserve"> </w:t>
      </w:r>
    </w:p>
    <w:p w14:paraId="49B0D582" w14:textId="77777777" w:rsidR="002846DB" w:rsidRPr="00801AFD" w:rsidRDefault="0072020E" w:rsidP="00801AFD">
      <w:pPr>
        <w:widowControl w:val="0"/>
        <w:tabs>
          <w:tab w:val="left" w:pos="540"/>
          <w:tab w:val="left" w:pos="569"/>
        </w:tabs>
        <w:jc w:val="both"/>
        <w:rPr>
          <w:b/>
          <w:bCs/>
          <w:sz w:val="22"/>
          <w:szCs w:val="22"/>
          <w:lang w:val="sr-Latn-ME"/>
        </w:rPr>
      </w:pPr>
      <w:r w:rsidRPr="00801AFD">
        <w:rPr>
          <w:b/>
          <w:bCs/>
          <w:sz w:val="22"/>
          <w:szCs w:val="22"/>
          <w:lang w:val="sr-Latn-ME"/>
        </w:rPr>
        <w:t xml:space="preserve">6.6. </w:t>
      </w:r>
      <w:r w:rsidR="00480FB1" w:rsidRPr="00801AFD">
        <w:rPr>
          <w:b/>
          <w:bCs/>
          <w:sz w:val="22"/>
          <w:szCs w:val="22"/>
          <w:lang w:val="sr-Latn-ME"/>
        </w:rPr>
        <w:tab/>
      </w:r>
      <w:r w:rsidRPr="00801AFD">
        <w:rPr>
          <w:b/>
          <w:bCs/>
          <w:color w:val="000000"/>
          <w:sz w:val="22"/>
          <w:szCs w:val="22"/>
          <w:lang w:val="sr-Latn-ME"/>
        </w:rPr>
        <w:t>Posebne mjere opreza pri odlaganju materijala koji treba odbaciti nakon primjene lijeka</w:t>
      </w:r>
      <w:r w:rsidRPr="00801AFD">
        <w:rPr>
          <w:b/>
          <w:bCs/>
          <w:sz w:val="22"/>
          <w:szCs w:val="22"/>
          <w:lang w:val="sr-Latn-ME"/>
        </w:rPr>
        <w:t xml:space="preserve"> </w:t>
      </w:r>
      <w:r w:rsidR="00310F03" w:rsidRPr="00801AFD">
        <w:rPr>
          <w:b/>
          <w:bCs/>
          <w:sz w:val="22"/>
          <w:szCs w:val="22"/>
          <w:lang w:val="sr-Latn-ME"/>
        </w:rPr>
        <w:t>(i druga uputs</w:t>
      </w:r>
      <w:r w:rsidR="004109FA" w:rsidRPr="00801AFD">
        <w:rPr>
          <w:b/>
          <w:bCs/>
          <w:sz w:val="22"/>
          <w:szCs w:val="22"/>
          <w:lang w:val="sr-Latn-ME"/>
        </w:rPr>
        <w:t>t</w:t>
      </w:r>
      <w:r w:rsidR="00310F03" w:rsidRPr="00801AFD">
        <w:rPr>
          <w:b/>
          <w:bCs/>
          <w:sz w:val="22"/>
          <w:szCs w:val="22"/>
          <w:lang w:val="sr-Latn-ME"/>
        </w:rPr>
        <w:t xml:space="preserve">va za rukovanje lijekom) </w:t>
      </w:r>
    </w:p>
    <w:p w14:paraId="1FFBC23E" w14:textId="598D8B82" w:rsidR="00B66A70" w:rsidRPr="00801AFD" w:rsidRDefault="00B66A70" w:rsidP="00801AFD">
      <w:pPr>
        <w:widowControl w:val="0"/>
        <w:tabs>
          <w:tab w:val="left" w:pos="540"/>
          <w:tab w:val="left" w:pos="569"/>
        </w:tabs>
        <w:jc w:val="both"/>
        <w:rPr>
          <w:b/>
          <w:bCs/>
          <w:sz w:val="22"/>
          <w:szCs w:val="22"/>
          <w:lang w:val="sr-Latn-ME"/>
        </w:rPr>
      </w:pPr>
    </w:p>
    <w:p w14:paraId="6B7820E4" w14:textId="77777777" w:rsidR="00574910" w:rsidRPr="00801AFD" w:rsidRDefault="00574910" w:rsidP="00801AFD">
      <w:pPr>
        <w:widowControl w:val="0"/>
        <w:tabs>
          <w:tab w:val="left" w:pos="284"/>
        </w:tabs>
        <w:jc w:val="both"/>
        <w:rPr>
          <w:sz w:val="22"/>
          <w:szCs w:val="22"/>
          <w:lang w:val="sr-Latn-ME"/>
        </w:rPr>
      </w:pPr>
      <w:r w:rsidRPr="00801AFD">
        <w:rPr>
          <w:sz w:val="22"/>
          <w:szCs w:val="22"/>
          <w:lang w:val="sr-Latn-ME"/>
        </w:rPr>
        <w:t>Jedna bočica je samo za jednokratnu upotrebu.</w:t>
      </w:r>
    </w:p>
    <w:p w14:paraId="7A92A916" w14:textId="77777777" w:rsidR="00574910" w:rsidRPr="00801AFD" w:rsidRDefault="00574910" w:rsidP="00801AFD">
      <w:pPr>
        <w:widowControl w:val="0"/>
        <w:tabs>
          <w:tab w:val="left" w:pos="284"/>
        </w:tabs>
        <w:jc w:val="both"/>
        <w:rPr>
          <w:sz w:val="22"/>
          <w:szCs w:val="22"/>
          <w:lang w:val="sr-Latn-ME"/>
        </w:rPr>
      </w:pPr>
    </w:p>
    <w:p w14:paraId="676D9E4F" w14:textId="51DF03A1" w:rsidR="00574910" w:rsidRPr="00801AFD" w:rsidRDefault="00574910" w:rsidP="00801AFD">
      <w:pPr>
        <w:widowControl w:val="0"/>
        <w:tabs>
          <w:tab w:val="left" w:pos="284"/>
        </w:tabs>
        <w:jc w:val="both"/>
        <w:rPr>
          <w:sz w:val="22"/>
          <w:szCs w:val="22"/>
          <w:lang w:val="sr-Latn-ME"/>
        </w:rPr>
      </w:pPr>
      <w:r w:rsidRPr="00801AFD">
        <w:rPr>
          <w:sz w:val="22"/>
          <w:szCs w:val="22"/>
          <w:u w:val="single"/>
          <w:lang w:val="sr-Latn-ME"/>
        </w:rPr>
        <w:t>Ultomiris 300 mg/3 ml</w:t>
      </w:r>
      <w:r w:rsidR="00385422" w:rsidRPr="00801AFD">
        <w:rPr>
          <w:sz w:val="22"/>
          <w:szCs w:val="22"/>
          <w:u w:val="single"/>
          <w:lang w:val="sr-Latn-ME"/>
        </w:rPr>
        <w:t xml:space="preserve"> i</w:t>
      </w:r>
      <w:r w:rsidRPr="00801AFD">
        <w:rPr>
          <w:sz w:val="22"/>
          <w:szCs w:val="22"/>
          <w:u w:val="single"/>
          <w:lang w:val="sr-Latn-ME"/>
        </w:rPr>
        <w:t xml:space="preserve"> 1100 mg/11 ml, koncentrat za rastvor za infuziju</w:t>
      </w:r>
    </w:p>
    <w:p w14:paraId="735F3D80" w14:textId="6A98160F" w:rsidR="00574910" w:rsidRPr="00801AFD" w:rsidRDefault="00574910" w:rsidP="00801AFD">
      <w:pPr>
        <w:widowControl w:val="0"/>
        <w:tabs>
          <w:tab w:val="left" w:pos="284"/>
        </w:tabs>
        <w:jc w:val="both"/>
        <w:rPr>
          <w:sz w:val="22"/>
          <w:szCs w:val="22"/>
          <w:lang w:val="sr-Latn-ME"/>
        </w:rPr>
      </w:pPr>
      <w:r w:rsidRPr="00801AFD">
        <w:rPr>
          <w:sz w:val="22"/>
          <w:szCs w:val="22"/>
          <w:lang w:val="sr-Latn-ME"/>
        </w:rPr>
        <w:t>Ovaj lijek se mora razblažiti do krajnje koncentracije od 50 mg/ml.</w:t>
      </w:r>
    </w:p>
    <w:p w14:paraId="27C73A8F" w14:textId="77777777" w:rsidR="00574910" w:rsidRPr="00801AFD" w:rsidRDefault="00574910" w:rsidP="00801AFD">
      <w:pPr>
        <w:widowControl w:val="0"/>
        <w:tabs>
          <w:tab w:val="left" w:pos="284"/>
        </w:tabs>
        <w:jc w:val="both"/>
        <w:rPr>
          <w:sz w:val="22"/>
          <w:szCs w:val="22"/>
          <w:lang w:val="sr-Latn-ME"/>
        </w:rPr>
      </w:pPr>
    </w:p>
    <w:p w14:paraId="211E3886" w14:textId="77777777" w:rsidR="00574910" w:rsidRPr="00801AFD" w:rsidRDefault="00574910" w:rsidP="00801AFD">
      <w:pPr>
        <w:widowControl w:val="0"/>
        <w:tabs>
          <w:tab w:val="left" w:pos="284"/>
        </w:tabs>
        <w:jc w:val="both"/>
        <w:rPr>
          <w:sz w:val="22"/>
          <w:szCs w:val="22"/>
          <w:lang w:val="sr-Latn-ME"/>
        </w:rPr>
      </w:pPr>
      <w:r w:rsidRPr="00801AFD">
        <w:rPr>
          <w:sz w:val="22"/>
          <w:szCs w:val="22"/>
          <w:lang w:val="sr-Latn-ME"/>
        </w:rPr>
        <w:t>Mora se primjeniti aseptična tehnika.</w:t>
      </w:r>
    </w:p>
    <w:p w14:paraId="1F6B257A" w14:textId="77777777" w:rsidR="00574910" w:rsidRPr="00801AFD" w:rsidRDefault="00574910" w:rsidP="00801AFD">
      <w:pPr>
        <w:widowControl w:val="0"/>
        <w:tabs>
          <w:tab w:val="left" w:pos="284"/>
        </w:tabs>
        <w:jc w:val="both"/>
        <w:rPr>
          <w:sz w:val="22"/>
          <w:szCs w:val="22"/>
          <w:lang w:val="sr-Latn-ME"/>
        </w:rPr>
      </w:pPr>
      <w:r w:rsidRPr="00801AFD">
        <w:rPr>
          <w:sz w:val="22"/>
          <w:szCs w:val="22"/>
          <w:lang w:val="sr-Latn-ME"/>
        </w:rPr>
        <w:t>Ultomiris koncentrat za rastvor za infuziju se priprema na sljedeći način:</w:t>
      </w:r>
    </w:p>
    <w:p w14:paraId="6C898705" w14:textId="7BD2187C" w:rsidR="00574910" w:rsidRPr="00801AFD" w:rsidRDefault="00574910" w:rsidP="00801AFD">
      <w:pPr>
        <w:widowControl w:val="0"/>
        <w:numPr>
          <w:ilvl w:val="0"/>
          <w:numId w:val="22"/>
        </w:numPr>
        <w:tabs>
          <w:tab w:val="left" w:pos="284"/>
        </w:tabs>
        <w:contextualSpacing/>
        <w:jc w:val="both"/>
        <w:rPr>
          <w:sz w:val="22"/>
          <w:szCs w:val="22"/>
          <w:lang w:val="sr-Latn-ME"/>
        </w:rPr>
      </w:pPr>
      <w:r w:rsidRPr="00801AFD">
        <w:rPr>
          <w:sz w:val="22"/>
          <w:szCs w:val="22"/>
          <w:lang w:val="sr-Latn-ME"/>
        </w:rPr>
        <w:t xml:space="preserve">Broj bočica potrebnih za razblaživanje određuje se na osnovu tjelesne </w:t>
      </w:r>
      <w:r w:rsidR="00476054" w:rsidRPr="00801AFD">
        <w:rPr>
          <w:sz w:val="22"/>
          <w:szCs w:val="22"/>
          <w:lang w:val="sr-Latn-ME"/>
        </w:rPr>
        <w:t xml:space="preserve">težine </w:t>
      </w:r>
      <w:r w:rsidRPr="00801AFD">
        <w:rPr>
          <w:sz w:val="22"/>
          <w:szCs w:val="22"/>
          <w:lang w:val="sr-Latn-ME"/>
        </w:rPr>
        <w:t>pojedinačnog pacijenta i propisane doze, vidjeti dio 4.2.</w:t>
      </w:r>
    </w:p>
    <w:p w14:paraId="730DB284" w14:textId="77777777" w:rsidR="00574910" w:rsidRPr="00801AFD" w:rsidRDefault="00574910" w:rsidP="00801AFD">
      <w:pPr>
        <w:widowControl w:val="0"/>
        <w:numPr>
          <w:ilvl w:val="0"/>
          <w:numId w:val="22"/>
        </w:numPr>
        <w:tabs>
          <w:tab w:val="left" w:pos="284"/>
        </w:tabs>
        <w:contextualSpacing/>
        <w:jc w:val="both"/>
        <w:rPr>
          <w:sz w:val="22"/>
          <w:szCs w:val="22"/>
          <w:lang w:val="sr-Latn-ME"/>
        </w:rPr>
      </w:pPr>
      <w:r w:rsidRPr="00801AFD">
        <w:rPr>
          <w:sz w:val="22"/>
          <w:szCs w:val="22"/>
          <w:lang w:val="sr-Latn-ME"/>
        </w:rPr>
        <w:t>Rastvor bočice treba pregledati vizuelno prije razblaživanja; u rastvoru ne smije biti čestica ili taloga. Ne koristiti ako su vidljive čestice ili talog.</w:t>
      </w:r>
    </w:p>
    <w:p w14:paraId="6F865AC6" w14:textId="739B0E54" w:rsidR="00574910" w:rsidRPr="00801AFD" w:rsidRDefault="00574910" w:rsidP="00801AFD">
      <w:pPr>
        <w:widowControl w:val="0"/>
        <w:numPr>
          <w:ilvl w:val="0"/>
          <w:numId w:val="22"/>
        </w:numPr>
        <w:tabs>
          <w:tab w:val="left" w:pos="284"/>
        </w:tabs>
        <w:contextualSpacing/>
        <w:jc w:val="both"/>
        <w:rPr>
          <w:sz w:val="22"/>
          <w:szCs w:val="22"/>
          <w:lang w:val="sr-Latn-ME"/>
        </w:rPr>
      </w:pPr>
      <w:r w:rsidRPr="00801AFD">
        <w:rPr>
          <w:sz w:val="22"/>
          <w:szCs w:val="22"/>
          <w:lang w:val="sr-Latn-ME"/>
        </w:rPr>
        <w:t>Izračunata zapremina lijeka se izvlači iz odgovarajućeg broja bočica i razblaži u infuzionoj kesi uz pomoć 0,9% (9 mg/ml) rastvora natrijum hlorida za injekcije kao rastvarača. Pogledajte referentne tabele ispod. Lijek se mora pažljivo mješati. Ne smije se mućkati.</w:t>
      </w:r>
    </w:p>
    <w:p w14:paraId="105562A2" w14:textId="110076EC" w:rsidR="00574910" w:rsidRPr="00801AFD" w:rsidRDefault="00574910" w:rsidP="00801AFD">
      <w:pPr>
        <w:widowControl w:val="0"/>
        <w:numPr>
          <w:ilvl w:val="0"/>
          <w:numId w:val="22"/>
        </w:numPr>
        <w:tabs>
          <w:tab w:val="left" w:pos="284"/>
        </w:tabs>
        <w:contextualSpacing/>
        <w:jc w:val="both"/>
        <w:rPr>
          <w:sz w:val="22"/>
          <w:szCs w:val="22"/>
          <w:lang w:val="sr-Latn-ME"/>
        </w:rPr>
      </w:pPr>
      <w:r w:rsidRPr="00801AFD">
        <w:rPr>
          <w:sz w:val="22"/>
          <w:szCs w:val="22"/>
          <w:lang w:val="sr-Latn-ME"/>
        </w:rPr>
        <w:t>Nakon razblaživanja, konačna koncentracija infuzionog rastvora je 50 mg/ml.</w:t>
      </w:r>
    </w:p>
    <w:p w14:paraId="36B58857" w14:textId="53CDBE15" w:rsidR="00574910" w:rsidRPr="00801AFD" w:rsidRDefault="00574910" w:rsidP="00801AFD">
      <w:pPr>
        <w:widowControl w:val="0"/>
        <w:numPr>
          <w:ilvl w:val="0"/>
          <w:numId w:val="22"/>
        </w:numPr>
        <w:tabs>
          <w:tab w:val="left" w:pos="284"/>
        </w:tabs>
        <w:contextualSpacing/>
        <w:jc w:val="both"/>
        <w:rPr>
          <w:sz w:val="22"/>
          <w:szCs w:val="22"/>
          <w:lang w:val="sr-Latn-ME"/>
        </w:rPr>
      </w:pPr>
      <w:r w:rsidRPr="00801AFD">
        <w:rPr>
          <w:sz w:val="22"/>
          <w:szCs w:val="22"/>
          <w:lang w:val="sr-Latn-ME"/>
        </w:rPr>
        <w:t>Pripremljeni rastvor treba upotr</w:t>
      </w:r>
      <w:r w:rsidR="00E262BF" w:rsidRPr="00801AFD">
        <w:rPr>
          <w:sz w:val="22"/>
          <w:szCs w:val="22"/>
          <w:lang w:val="sr-Latn-ME"/>
        </w:rPr>
        <w:t>ij</w:t>
      </w:r>
      <w:r w:rsidRPr="00801AFD">
        <w:rPr>
          <w:sz w:val="22"/>
          <w:szCs w:val="22"/>
          <w:lang w:val="sr-Latn-ME"/>
        </w:rPr>
        <w:t xml:space="preserve">ebiti odmah nakon pripreme, ukoliko nije čuvan na temperaturi od 2°C - 8°C. Ako se čuva na temperaturi od 2°C - 8°C, ostavite da </w:t>
      </w:r>
      <w:r w:rsidR="00B21799" w:rsidRPr="00801AFD">
        <w:rPr>
          <w:sz w:val="22"/>
          <w:szCs w:val="22"/>
          <w:lang w:val="sr-Latn-ME"/>
        </w:rPr>
        <w:t xml:space="preserve">razblaženi </w:t>
      </w:r>
      <w:r w:rsidRPr="00801AFD">
        <w:rPr>
          <w:sz w:val="22"/>
          <w:szCs w:val="22"/>
          <w:lang w:val="sr-Latn-ME"/>
        </w:rPr>
        <w:t xml:space="preserve">rastvor dostigne sobnu temperaturu prije upotrebe. Nemojte davati kao brzu intravensku injekciju ili bolus injekciju. Za minimalno trajanje infuzije pogledajte tabelu </w:t>
      </w:r>
      <w:r w:rsidR="00D0032C" w:rsidRPr="00801AFD">
        <w:rPr>
          <w:sz w:val="22"/>
          <w:szCs w:val="22"/>
          <w:lang w:val="sr-Latn-ME"/>
        </w:rPr>
        <w:t>6 i tabelu 7 za minimalno trajanje infuzije</w:t>
      </w:r>
      <w:r w:rsidRPr="00801AFD">
        <w:rPr>
          <w:sz w:val="22"/>
          <w:szCs w:val="22"/>
          <w:lang w:val="sr-Latn-ME"/>
        </w:rPr>
        <w:t>. Infuzija se mora primjenjivati kroz filter pore veličine 0,2 µm.</w:t>
      </w:r>
    </w:p>
    <w:p w14:paraId="3B91D852" w14:textId="0FC5659A" w:rsidR="00574910" w:rsidRPr="00801AFD" w:rsidRDefault="00574910" w:rsidP="00801AFD">
      <w:pPr>
        <w:widowControl w:val="0"/>
        <w:tabs>
          <w:tab w:val="left" w:pos="284"/>
        </w:tabs>
        <w:jc w:val="both"/>
        <w:rPr>
          <w:b/>
          <w:bCs/>
          <w:sz w:val="22"/>
          <w:szCs w:val="22"/>
          <w:lang w:val="sr-Latn-ME"/>
        </w:rPr>
      </w:pPr>
      <w:r w:rsidRPr="00801AFD">
        <w:rPr>
          <w:sz w:val="22"/>
          <w:szCs w:val="22"/>
          <w:lang w:val="sr-Latn-ME"/>
        </w:rPr>
        <w:t xml:space="preserve">Ako se ne iskoristi odmah nakon razblaživanja, vrijeme čuvanja ne bi trebalo da prelazi 24 sata na temperaturi od 2°C - 8°C ili </w:t>
      </w:r>
      <w:r w:rsidR="00B23236" w:rsidRPr="00801AFD">
        <w:rPr>
          <w:sz w:val="22"/>
          <w:szCs w:val="22"/>
          <w:lang w:val="sr-Latn-ME"/>
        </w:rPr>
        <w:t>4</w:t>
      </w:r>
      <w:r w:rsidRPr="00801AFD">
        <w:rPr>
          <w:sz w:val="22"/>
          <w:szCs w:val="22"/>
          <w:lang w:val="sr-Latn-ME"/>
        </w:rPr>
        <w:t xml:space="preserve"> sat</w:t>
      </w:r>
      <w:r w:rsidR="00B23236" w:rsidRPr="00801AFD">
        <w:rPr>
          <w:sz w:val="22"/>
          <w:szCs w:val="22"/>
          <w:lang w:val="sr-Latn-ME"/>
        </w:rPr>
        <w:t>a</w:t>
      </w:r>
      <w:r w:rsidRPr="00801AFD">
        <w:rPr>
          <w:sz w:val="22"/>
          <w:szCs w:val="22"/>
          <w:lang w:val="sr-Latn-ME"/>
        </w:rPr>
        <w:t xml:space="preserve"> na sobnoj temperaturi, uzimajući u obzir očekivano trajanje infuzije.</w:t>
      </w:r>
    </w:p>
    <w:p w14:paraId="073A7ED2" w14:textId="025ABEA2" w:rsidR="0040436F" w:rsidRPr="00801AFD" w:rsidRDefault="0040436F" w:rsidP="00801AFD">
      <w:pPr>
        <w:widowControl w:val="0"/>
        <w:rPr>
          <w:b/>
          <w:bCs/>
          <w:sz w:val="22"/>
          <w:szCs w:val="22"/>
          <w:lang w:val="sr-Latn-ME"/>
        </w:rPr>
      </w:pPr>
    </w:p>
    <w:p w14:paraId="6524A0DF" w14:textId="3EBDBE35" w:rsidR="00574910" w:rsidRPr="00801AFD" w:rsidRDefault="00574910" w:rsidP="00801AFD">
      <w:pPr>
        <w:widowControl w:val="0"/>
        <w:tabs>
          <w:tab w:val="left" w:pos="284"/>
        </w:tabs>
        <w:jc w:val="both"/>
        <w:rPr>
          <w:b/>
          <w:bCs/>
          <w:sz w:val="22"/>
          <w:szCs w:val="22"/>
          <w:lang w:val="sr-Latn-ME"/>
        </w:rPr>
      </w:pPr>
      <w:r w:rsidRPr="00801AFD">
        <w:rPr>
          <w:b/>
          <w:bCs/>
          <w:sz w:val="22"/>
          <w:szCs w:val="22"/>
          <w:lang w:val="sr-Latn-ME"/>
        </w:rPr>
        <w:t xml:space="preserve">Tabela </w:t>
      </w:r>
      <w:r w:rsidR="00D0032C" w:rsidRPr="00801AFD">
        <w:rPr>
          <w:b/>
          <w:bCs/>
          <w:sz w:val="22"/>
          <w:szCs w:val="22"/>
          <w:lang w:val="sr-Latn-ME"/>
        </w:rPr>
        <w:t>26</w:t>
      </w:r>
      <w:r w:rsidRPr="00801AFD">
        <w:rPr>
          <w:b/>
          <w:bCs/>
          <w:sz w:val="22"/>
          <w:szCs w:val="22"/>
          <w:lang w:val="sr-Latn-ME"/>
        </w:rPr>
        <w:t>: Reference za prim</w:t>
      </w:r>
      <w:r w:rsidR="00476054" w:rsidRPr="00801AFD">
        <w:rPr>
          <w:b/>
          <w:bCs/>
          <w:sz w:val="22"/>
          <w:szCs w:val="22"/>
          <w:lang w:val="sr-Latn-ME"/>
        </w:rPr>
        <w:t>j</w:t>
      </w:r>
      <w:r w:rsidRPr="00801AFD">
        <w:rPr>
          <w:b/>
          <w:bCs/>
          <w:sz w:val="22"/>
          <w:szCs w:val="22"/>
          <w:lang w:val="sr-Latn-ME"/>
        </w:rPr>
        <w:t xml:space="preserve">enu udarne doze za Ultomiris 300 mg/3 ml i 1100 mg/11 ml, koncentrat za rastvor za infuziju </w:t>
      </w:r>
    </w:p>
    <w:p w14:paraId="493C781B" w14:textId="77777777" w:rsidR="00574910" w:rsidRPr="00801AFD" w:rsidRDefault="00574910" w:rsidP="00801AFD">
      <w:pPr>
        <w:widowControl w:val="0"/>
        <w:tabs>
          <w:tab w:val="left" w:pos="284"/>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353"/>
        <w:gridCol w:w="2095"/>
        <w:gridCol w:w="2158"/>
        <w:gridCol w:w="1747"/>
      </w:tblGrid>
      <w:tr w:rsidR="00574910" w:rsidRPr="00801AFD" w14:paraId="11C0E93C" w14:textId="77777777" w:rsidTr="00986850">
        <w:tc>
          <w:tcPr>
            <w:tcW w:w="0" w:type="auto"/>
            <w:tcBorders>
              <w:top w:val="single" w:sz="4" w:space="0" w:color="auto"/>
              <w:left w:val="single" w:sz="4" w:space="0" w:color="auto"/>
              <w:bottom w:val="single" w:sz="4" w:space="0" w:color="auto"/>
              <w:right w:val="single" w:sz="4" w:space="0" w:color="auto"/>
            </w:tcBorders>
            <w:hideMark/>
          </w:tcPr>
          <w:p w14:paraId="2FD88FA2" w14:textId="4602429C" w:rsidR="00574910" w:rsidRPr="00801AFD" w:rsidRDefault="00574910" w:rsidP="00801AFD">
            <w:pPr>
              <w:widowControl w:val="0"/>
              <w:tabs>
                <w:tab w:val="left" w:pos="284"/>
              </w:tabs>
              <w:jc w:val="center"/>
              <w:rPr>
                <w:rFonts w:eastAsia="SimSun"/>
                <w:b/>
                <w:sz w:val="22"/>
                <w:szCs w:val="22"/>
                <w:lang w:val="sr-Latn-ME"/>
              </w:rPr>
            </w:pPr>
            <w:r w:rsidRPr="00801AFD">
              <w:rPr>
                <w:rFonts w:eastAsia="Calibri"/>
                <w:b/>
                <w:sz w:val="22"/>
                <w:szCs w:val="22"/>
                <w:lang w:val="sr-Latn-ME"/>
              </w:rPr>
              <w:t xml:space="preserve">Raspon tjelesne </w:t>
            </w:r>
            <w:r w:rsidR="00DB1C80" w:rsidRPr="00801AFD">
              <w:rPr>
                <w:rFonts w:eastAsia="Calibri"/>
                <w:b/>
                <w:sz w:val="22"/>
                <w:szCs w:val="22"/>
                <w:lang w:val="sr-Latn-ME"/>
              </w:rPr>
              <w:t xml:space="preserve">težine </w:t>
            </w:r>
            <w:r w:rsidRPr="00801AFD">
              <w:rPr>
                <w:rFonts w:eastAsia="Calibri"/>
                <w:b/>
                <w:sz w:val="22"/>
                <w:szCs w:val="22"/>
                <w:lang w:val="sr-Latn-ME"/>
              </w:rPr>
              <w:t>(kg)</w:t>
            </w:r>
            <w:r w:rsidRPr="00801AFD">
              <w:rPr>
                <w:rFonts w:eastAsia="Calibri"/>
                <w:b/>
                <w:sz w:val="22"/>
                <w:szCs w:val="22"/>
                <w:vertAlign w:val="superscript"/>
                <w:lang w:val="sr-Latn-ME"/>
              </w:rPr>
              <w:t>a</w:t>
            </w:r>
          </w:p>
        </w:tc>
        <w:tc>
          <w:tcPr>
            <w:tcW w:w="0" w:type="auto"/>
            <w:tcBorders>
              <w:top w:val="single" w:sz="4" w:space="0" w:color="auto"/>
              <w:left w:val="single" w:sz="4" w:space="0" w:color="auto"/>
              <w:bottom w:val="single" w:sz="4" w:space="0" w:color="auto"/>
              <w:right w:val="single" w:sz="4" w:space="0" w:color="auto"/>
            </w:tcBorders>
            <w:hideMark/>
          </w:tcPr>
          <w:p w14:paraId="220AFBF1" w14:textId="77777777" w:rsidR="00574910" w:rsidRPr="00801AFD" w:rsidRDefault="00574910" w:rsidP="00801AFD">
            <w:pPr>
              <w:widowControl w:val="0"/>
              <w:tabs>
                <w:tab w:val="left" w:pos="284"/>
              </w:tabs>
              <w:jc w:val="center"/>
              <w:rPr>
                <w:rFonts w:eastAsia="SimSun"/>
                <w:b/>
                <w:sz w:val="22"/>
                <w:szCs w:val="22"/>
                <w:lang w:val="sr-Latn-ME"/>
              </w:rPr>
            </w:pPr>
            <w:r w:rsidRPr="00801AFD">
              <w:rPr>
                <w:rFonts w:eastAsia="SimSun"/>
                <w:b/>
                <w:sz w:val="22"/>
                <w:szCs w:val="22"/>
                <w:lang w:val="sr-Latn-ME"/>
              </w:rPr>
              <w:t>Udarna doza (mg)</w:t>
            </w:r>
          </w:p>
        </w:tc>
        <w:tc>
          <w:tcPr>
            <w:tcW w:w="0" w:type="auto"/>
            <w:tcBorders>
              <w:top w:val="single" w:sz="4" w:space="0" w:color="auto"/>
              <w:left w:val="single" w:sz="4" w:space="0" w:color="auto"/>
              <w:bottom w:val="single" w:sz="4" w:space="0" w:color="auto"/>
              <w:right w:val="single" w:sz="4" w:space="0" w:color="auto"/>
            </w:tcBorders>
            <w:hideMark/>
          </w:tcPr>
          <w:p w14:paraId="1A7007F9" w14:textId="1E819A5D" w:rsidR="00574910" w:rsidRPr="00801AFD" w:rsidRDefault="007E5519" w:rsidP="00801AFD">
            <w:pPr>
              <w:widowControl w:val="0"/>
              <w:tabs>
                <w:tab w:val="left" w:pos="284"/>
              </w:tabs>
              <w:jc w:val="center"/>
              <w:rPr>
                <w:rFonts w:eastAsia="SimSun"/>
                <w:b/>
                <w:sz w:val="22"/>
                <w:szCs w:val="22"/>
                <w:lang w:val="sr-Latn-ME"/>
              </w:rPr>
            </w:pPr>
            <w:r w:rsidRPr="00801AFD">
              <w:rPr>
                <w:rFonts w:eastAsia="SimSun"/>
                <w:b/>
                <w:sz w:val="22"/>
                <w:szCs w:val="22"/>
                <w:lang w:val="sr-Latn-ME"/>
              </w:rPr>
              <w:t xml:space="preserve">Zapremina lijeka </w:t>
            </w:r>
            <w:r w:rsidR="00574910" w:rsidRPr="00801AFD">
              <w:rPr>
                <w:rFonts w:eastAsia="SimSun"/>
                <w:b/>
                <w:sz w:val="22"/>
                <w:szCs w:val="22"/>
                <w:lang w:val="sr-Latn-ME"/>
              </w:rPr>
              <w:t>Ultomiris (ml)</w:t>
            </w:r>
          </w:p>
        </w:tc>
        <w:tc>
          <w:tcPr>
            <w:tcW w:w="0" w:type="auto"/>
            <w:tcBorders>
              <w:top w:val="single" w:sz="4" w:space="0" w:color="auto"/>
              <w:left w:val="single" w:sz="4" w:space="0" w:color="auto"/>
              <w:bottom w:val="single" w:sz="4" w:space="0" w:color="auto"/>
              <w:right w:val="single" w:sz="4" w:space="0" w:color="auto"/>
            </w:tcBorders>
            <w:hideMark/>
          </w:tcPr>
          <w:p w14:paraId="56EE9081" w14:textId="210E97A8" w:rsidR="00574910" w:rsidRPr="00801AFD" w:rsidRDefault="00574910" w:rsidP="00801AFD">
            <w:pPr>
              <w:widowControl w:val="0"/>
              <w:tabs>
                <w:tab w:val="left" w:pos="284"/>
              </w:tabs>
              <w:jc w:val="center"/>
              <w:rPr>
                <w:rFonts w:eastAsia="SimSun"/>
                <w:b/>
                <w:sz w:val="22"/>
                <w:szCs w:val="22"/>
                <w:lang w:val="sr-Latn-ME"/>
              </w:rPr>
            </w:pPr>
            <w:r w:rsidRPr="00801AFD">
              <w:rPr>
                <w:rFonts w:eastAsia="SimSun"/>
                <w:b/>
                <w:sz w:val="22"/>
                <w:szCs w:val="22"/>
                <w:lang w:val="sr-Latn-ME"/>
              </w:rPr>
              <w:t>Zapremina rastvarača NaCl</w:t>
            </w:r>
            <w:r w:rsidRPr="00801AFD">
              <w:rPr>
                <w:rFonts w:eastAsia="SimSun"/>
                <w:b/>
                <w:sz w:val="22"/>
                <w:szCs w:val="22"/>
                <w:vertAlign w:val="superscript"/>
                <w:lang w:val="sr-Latn-ME"/>
              </w:rPr>
              <w:t>b</w:t>
            </w:r>
            <w:r w:rsidRPr="00801AFD">
              <w:rPr>
                <w:rFonts w:eastAsia="SimSun"/>
                <w:b/>
                <w:sz w:val="22"/>
                <w:szCs w:val="22"/>
                <w:lang w:val="sr-Latn-ME"/>
              </w:rPr>
              <w:t xml:space="preserve"> (ml)</w:t>
            </w:r>
          </w:p>
        </w:tc>
        <w:tc>
          <w:tcPr>
            <w:tcW w:w="0" w:type="auto"/>
            <w:tcBorders>
              <w:top w:val="single" w:sz="4" w:space="0" w:color="auto"/>
              <w:left w:val="single" w:sz="4" w:space="0" w:color="auto"/>
              <w:bottom w:val="single" w:sz="4" w:space="0" w:color="auto"/>
              <w:right w:val="single" w:sz="4" w:space="0" w:color="auto"/>
            </w:tcBorders>
            <w:hideMark/>
          </w:tcPr>
          <w:p w14:paraId="192A95C8" w14:textId="7B31AEF6" w:rsidR="00574910" w:rsidRPr="00801AFD" w:rsidRDefault="00574910" w:rsidP="00801AFD">
            <w:pPr>
              <w:widowControl w:val="0"/>
              <w:tabs>
                <w:tab w:val="left" w:pos="284"/>
              </w:tabs>
              <w:jc w:val="center"/>
              <w:rPr>
                <w:rFonts w:eastAsia="SimSun"/>
                <w:b/>
                <w:sz w:val="22"/>
                <w:szCs w:val="22"/>
                <w:lang w:val="sr-Latn-ME"/>
              </w:rPr>
            </w:pPr>
            <w:r w:rsidRPr="00801AFD">
              <w:rPr>
                <w:rFonts w:eastAsia="SimSun"/>
                <w:b/>
                <w:sz w:val="22"/>
                <w:szCs w:val="22"/>
                <w:lang w:val="sr-Latn-ME"/>
              </w:rPr>
              <w:t>Ukupna zapremina (ml)</w:t>
            </w:r>
          </w:p>
        </w:tc>
      </w:tr>
      <w:tr w:rsidR="00574910" w:rsidRPr="00801AFD" w14:paraId="04622A7E" w14:textId="77777777" w:rsidTr="00986850">
        <w:tc>
          <w:tcPr>
            <w:tcW w:w="0" w:type="auto"/>
            <w:tcBorders>
              <w:top w:val="single" w:sz="4" w:space="0" w:color="auto"/>
              <w:left w:val="single" w:sz="4" w:space="0" w:color="auto"/>
              <w:bottom w:val="single" w:sz="4" w:space="0" w:color="auto"/>
              <w:right w:val="single" w:sz="4" w:space="0" w:color="auto"/>
            </w:tcBorders>
          </w:tcPr>
          <w:p w14:paraId="30C05287" w14:textId="77777777" w:rsidR="00574910" w:rsidRPr="00801AFD" w:rsidRDefault="00574910" w:rsidP="00801AFD">
            <w:pPr>
              <w:widowControl w:val="0"/>
              <w:tabs>
                <w:tab w:val="left" w:pos="284"/>
              </w:tabs>
              <w:jc w:val="center"/>
              <w:rPr>
                <w:rFonts w:eastAsia="Calibri"/>
                <w:sz w:val="22"/>
                <w:szCs w:val="22"/>
                <w:lang w:val="sr-Latn-ME"/>
              </w:rPr>
            </w:pPr>
            <w:r w:rsidRPr="00801AFD">
              <w:rPr>
                <w:sz w:val="22"/>
                <w:szCs w:val="22"/>
                <w:lang w:val="sr-Latn-ME"/>
              </w:rPr>
              <w:lastRenderedPageBreak/>
              <w:t>≥ 10 do &lt; 20</w:t>
            </w:r>
          </w:p>
        </w:tc>
        <w:tc>
          <w:tcPr>
            <w:tcW w:w="0" w:type="auto"/>
            <w:tcBorders>
              <w:top w:val="single" w:sz="4" w:space="0" w:color="auto"/>
              <w:left w:val="single" w:sz="4" w:space="0" w:color="auto"/>
              <w:bottom w:val="single" w:sz="4" w:space="0" w:color="auto"/>
              <w:right w:val="single" w:sz="4" w:space="0" w:color="auto"/>
            </w:tcBorders>
          </w:tcPr>
          <w:p w14:paraId="5D2AD391"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600</w:t>
            </w:r>
          </w:p>
        </w:tc>
        <w:tc>
          <w:tcPr>
            <w:tcW w:w="0" w:type="auto"/>
            <w:tcBorders>
              <w:top w:val="single" w:sz="4" w:space="0" w:color="auto"/>
              <w:left w:val="single" w:sz="4" w:space="0" w:color="auto"/>
              <w:bottom w:val="single" w:sz="4" w:space="0" w:color="auto"/>
              <w:right w:val="single" w:sz="4" w:space="0" w:color="auto"/>
            </w:tcBorders>
          </w:tcPr>
          <w:p w14:paraId="4F03494D"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6</w:t>
            </w:r>
          </w:p>
        </w:tc>
        <w:tc>
          <w:tcPr>
            <w:tcW w:w="0" w:type="auto"/>
            <w:tcBorders>
              <w:top w:val="single" w:sz="4" w:space="0" w:color="auto"/>
              <w:left w:val="single" w:sz="4" w:space="0" w:color="auto"/>
              <w:bottom w:val="single" w:sz="4" w:space="0" w:color="auto"/>
              <w:right w:val="single" w:sz="4" w:space="0" w:color="auto"/>
            </w:tcBorders>
          </w:tcPr>
          <w:p w14:paraId="4C1FF0D4"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6</w:t>
            </w:r>
          </w:p>
        </w:tc>
        <w:tc>
          <w:tcPr>
            <w:tcW w:w="0" w:type="auto"/>
            <w:tcBorders>
              <w:top w:val="single" w:sz="4" w:space="0" w:color="auto"/>
              <w:left w:val="single" w:sz="4" w:space="0" w:color="auto"/>
              <w:bottom w:val="single" w:sz="4" w:space="0" w:color="auto"/>
              <w:right w:val="single" w:sz="4" w:space="0" w:color="auto"/>
            </w:tcBorders>
          </w:tcPr>
          <w:p w14:paraId="0066D767"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12</w:t>
            </w:r>
          </w:p>
        </w:tc>
      </w:tr>
      <w:tr w:rsidR="00574910" w:rsidRPr="00801AFD" w14:paraId="4A847D29" w14:textId="77777777" w:rsidTr="00986850">
        <w:tc>
          <w:tcPr>
            <w:tcW w:w="0" w:type="auto"/>
            <w:tcBorders>
              <w:top w:val="single" w:sz="4" w:space="0" w:color="auto"/>
              <w:left w:val="single" w:sz="4" w:space="0" w:color="auto"/>
              <w:bottom w:val="single" w:sz="4" w:space="0" w:color="auto"/>
              <w:right w:val="single" w:sz="4" w:space="0" w:color="auto"/>
            </w:tcBorders>
          </w:tcPr>
          <w:p w14:paraId="4504CD5C" w14:textId="77777777" w:rsidR="00574910" w:rsidRPr="00801AFD" w:rsidRDefault="00574910" w:rsidP="00801AFD">
            <w:pPr>
              <w:widowControl w:val="0"/>
              <w:tabs>
                <w:tab w:val="left" w:pos="284"/>
              </w:tabs>
              <w:jc w:val="center"/>
              <w:rPr>
                <w:rFonts w:eastAsia="Calibri"/>
                <w:sz w:val="22"/>
                <w:szCs w:val="22"/>
                <w:lang w:val="sr-Latn-ME"/>
              </w:rPr>
            </w:pPr>
            <w:r w:rsidRPr="00801AFD">
              <w:rPr>
                <w:sz w:val="22"/>
                <w:szCs w:val="22"/>
                <w:lang w:val="sr-Latn-ME"/>
              </w:rPr>
              <w:t>≥ 20 do &lt; 30</w:t>
            </w:r>
          </w:p>
        </w:tc>
        <w:tc>
          <w:tcPr>
            <w:tcW w:w="0" w:type="auto"/>
            <w:tcBorders>
              <w:top w:val="single" w:sz="4" w:space="0" w:color="auto"/>
              <w:left w:val="single" w:sz="4" w:space="0" w:color="auto"/>
              <w:bottom w:val="single" w:sz="4" w:space="0" w:color="auto"/>
              <w:right w:val="single" w:sz="4" w:space="0" w:color="auto"/>
            </w:tcBorders>
          </w:tcPr>
          <w:p w14:paraId="6447235D"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900</w:t>
            </w:r>
          </w:p>
        </w:tc>
        <w:tc>
          <w:tcPr>
            <w:tcW w:w="0" w:type="auto"/>
            <w:tcBorders>
              <w:top w:val="single" w:sz="4" w:space="0" w:color="auto"/>
              <w:left w:val="single" w:sz="4" w:space="0" w:color="auto"/>
              <w:bottom w:val="single" w:sz="4" w:space="0" w:color="auto"/>
              <w:right w:val="single" w:sz="4" w:space="0" w:color="auto"/>
            </w:tcBorders>
          </w:tcPr>
          <w:p w14:paraId="182491C9"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9</w:t>
            </w:r>
          </w:p>
        </w:tc>
        <w:tc>
          <w:tcPr>
            <w:tcW w:w="0" w:type="auto"/>
            <w:tcBorders>
              <w:top w:val="single" w:sz="4" w:space="0" w:color="auto"/>
              <w:left w:val="single" w:sz="4" w:space="0" w:color="auto"/>
              <w:bottom w:val="single" w:sz="4" w:space="0" w:color="auto"/>
              <w:right w:val="single" w:sz="4" w:space="0" w:color="auto"/>
            </w:tcBorders>
          </w:tcPr>
          <w:p w14:paraId="4DF98E2E"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9</w:t>
            </w:r>
          </w:p>
        </w:tc>
        <w:tc>
          <w:tcPr>
            <w:tcW w:w="0" w:type="auto"/>
            <w:tcBorders>
              <w:top w:val="single" w:sz="4" w:space="0" w:color="auto"/>
              <w:left w:val="single" w:sz="4" w:space="0" w:color="auto"/>
              <w:bottom w:val="single" w:sz="4" w:space="0" w:color="auto"/>
              <w:right w:val="single" w:sz="4" w:space="0" w:color="auto"/>
            </w:tcBorders>
          </w:tcPr>
          <w:p w14:paraId="79D06375"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18</w:t>
            </w:r>
          </w:p>
        </w:tc>
      </w:tr>
      <w:tr w:rsidR="00574910" w:rsidRPr="00801AFD" w14:paraId="1F344E94" w14:textId="77777777" w:rsidTr="00986850">
        <w:tc>
          <w:tcPr>
            <w:tcW w:w="0" w:type="auto"/>
            <w:tcBorders>
              <w:top w:val="single" w:sz="4" w:space="0" w:color="auto"/>
              <w:left w:val="single" w:sz="4" w:space="0" w:color="auto"/>
              <w:bottom w:val="single" w:sz="4" w:space="0" w:color="auto"/>
              <w:right w:val="single" w:sz="4" w:space="0" w:color="auto"/>
            </w:tcBorders>
          </w:tcPr>
          <w:p w14:paraId="57C258E6"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 30 do &lt; 40</w:t>
            </w:r>
          </w:p>
        </w:tc>
        <w:tc>
          <w:tcPr>
            <w:tcW w:w="0" w:type="auto"/>
            <w:tcBorders>
              <w:top w:val="single" w:sz="4" w:space="0" w:color="auto"/>
              <w:left w:val="single" w:sz="4" w:space="0" w:color="auto"/>
              <w:bottom w:val="single" w:sz="4" w:space="0" w:color="auto"/>
              <w:right w:val="single" w:sz="4" w:space="0" w:color="auto"/>
            </w:tcBorders>
          </w:tcPr>
          <w:p w14:paraId="55D94293"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1,200</w:t>
            </w:r>
          </w:p>
        </w:tc>
        <w:tc>
          <w:tcPr>
            <w:tcW w:w="0" w:type="auto"/>
            <w:tcBorders>
              <w:top w:val="single" w:sz="4" w:space="0" w:color="auto"/>
              <w:left w:val="single" w:sz="4" w:space="0" w:color="auto"/>
              <w:bottom w:val="single" w:sz="4" w:space="0" w:color="auto"/>
              <w:right w:val="single" w:sz="4" w:space="0" w:color="auto"/>
            </w:tcBorders>
          </w:tcPr>
          <w:p w14:paraId="0ADBE523"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12</w:t>
            </w:r>
          </w:p>
        </w:tc>
        <w:tc>
          <w:tcPr>
            <w:tcW w:w="0" w:type="auto"/>
            <w:tcBorders>
              <w:top w:val="single" w:sz="4" w:space="0" w:color="auto"/>
              <w:left w:val="single" w:sz="4" w:space="0" w:color="auto"/>
              <w:bottom w:val="single" w:sz="4" w:space="0" w:color="auto"/>
              <w:right w:val="single" w:sz="4" w:space="0" w:color="auto"/>
            </w:tcBorders>
          </w:tcPr>
          <w:p w14:paraId="30F21A20"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12</w:t>
            </w:r>
          </w:p>
        </w:tc>
        <w:tc>
          <w:tcPr>
            <w:tcW w:w="0" w:type="auto"/>
            <w:tcBorders>
              <w:top w:val="single" w:sz="4" w:space="0" w:color="auto"/>
              <w:left w:val="single" w:sz="4" w:space="0" w:color="auto"/>
              <w:bottom w:val="single" w:sz="4" w:space="0" w:color="auto"/>
              <w:right w:val="single" w:sz="4" w:space="0" w:color="auto"/>
            </w:tcBorders>
          </w:tcPr>
          <w:p w14:paraId="52E1101F"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24</w:t>
            </w:r>
          </w:p>
        </w:tc>
      </w:tr>
      <w:tr w:rsidR="00574910" w:rsidRPr="00801AFD" w14:paraId="196B0A99" w14:textId="77777777" w:rsidTr="00986850">
        <w:tc>
          <w:tcPr>
            <w:tcW w:w="0" w:type="auto"/>
            <w:tcBorders>
              <w:top w:val="single" w:sz="4" w:space="0" w:color="auto"/>
              <w:left w:val="single" w:sz="4" w:space="0" w:color="auto"/>
              <w:bottom w:val="single" w:sz="4" w:space="0" w:color="auto"/>
              <w:right w:val="single" w:sz="4" w:space="0" w:color="auto"/>
            </w:tcBorders>
            <w:hideMark/>
          </w:tcPr>
          <w:p w14:paraId="34B74B06" w14:textId="77777777" w:rsidR="00574910" w:rsidRPr="00801AFD" w:rsidRDefault="00574910" w:rsidP="00801AFD">
            <w:pPr>
              <w:widowControl w:val="0"/>
              <w:tabs>
                <w:tab w:val="left" w:pos="284"/>
              </w:tabs>
              <w:jc w:val="center"/>
              <w:rPr>
                <w:sz w:val="22"/>
                <w:szCs w:val="22"/>
                <w:lang w:val="sr-Latn-ME"/>
              </w:rPr>
            </w:pPr>
            <w:r w:rsidRPr="00801AFD">
              <w:rPr>
                <w:rFonts w:eastAsia="Calibri"/>
                <w:sz w:val="22"/>
                <w:szCs w:val="22"/>
                <w:lang w:val="sr-Latn-ME"/>
              </w:rPr>
              <w:t>≥ 40 do &lt; 60</w:t>
            </w:r>
          </w:p>
        </w:tc>
        <w:tc>
          <w:tcPr>
            <w:tcW w:w="0" w:type="auto"/>
            <w:tcBorders>
              <w:top w:val="single" w:sz="4" w:space="0" w:color="auto"/>
              <w:left w:val="single" w:sz="4" w:space="0" w:color="auto"/>
              <w:bottom w:val="single" w:sz="4" w:space="0" w:color="auto"/>
              <w:right w:val="single" w:sz="4" w:space="0" w:color="auto"/>
            </w:tcBorders>
            <w:hideMark/>
          </w:tcPr>
          <w:p w14:paraId="76C5F50D"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2,400</w:t>
            </w:r>
          </w:p>
        </w:tc>
        <w:tc>
          <w:tcPr>
            <w:tcW w:w="0" w:type="auto"/>
            <w:tcBorders>
              <w:top w:val="single" w:sz="4" w:space="0" w:color="auto"/>
              <w:left w:val="single" w:sz="4" w:space="0" w:color="auto"/>
              <w:bottom w:val="single" w:sz="4" w:space="0" w:color="auto"/>
              <w:right w:val="single" w:sz="4" w:space="0" w:color="auto"/>
            </w:tcBorders>
            <w:hideMark/>
          </w:tcPr>
          <w:p w14:paraId="2356E5B1"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24</w:t>
            </w:r>
          </w:p>
        </w:tc>
        <w:tc>
          <w:tcPr>
            <w:tcW w:w="0" w:type="auto"/>
            <w:tcBorders>
              <w:top w:val="single" w:sz="4" w:space="0" w:color="auto"/>
              <w:left w:val="single" w:sz="4" w:space="0" w:color="auto"/>
              <w:bottom w:val="single" w:sz="4" w:space="0" w:color="auto"/>
              <w:right w:val="single" w:sz="4" w:space="0" w:color="auto"/>
            </w:tcBorders>
            <w:hideMark/>
          </w:tcPr>
          <w:p w14:paraId="57B6756A"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24</w:t>
            </w:r>
          </w:p>
        </w:tc>
        <w:tc>
          <w:tcPr>
            <w:tcW w:w="0" w:type="auto"/>
            <w:tcBorders>
              <w:top w:val="single" w:sz="4" w:space="0" w:color="auto"/>
              <w:left w:val="single" w:sz="4" w:space="0" w:color="auto"/>
              <w:bottom w:val="single" w:sz="4" w:space="0" w:color="auto"/>
              <w:right w:val="single" w:sz="4" w:space="0" w:color="auto"/>
            </w:tcBorders>
            <w:hideMark/>
          </w:tcPr>
          <w:p w14:paraId="0DC3539B"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48</w:t>
            </w:r>
          </w:p>
        </w:tc>
      </w:tr>
      <w:tr w:rsidR="00574910" w:rsidRPr="00801AFD" w14:paraId="3D924ADE" w14:textId="77777777" w:rsidTr="00986850">
        <w:tc>
          <w:tcPr>
            <w:tcW w:w="0" w:type="auto"/>
            <w:tcBorders>
              <w:top w:val="single" w:sz="4" w:space="0" w:color="auto"/>
              <w:left w:val="single" w:sz="4" w:space="0" w:color="auto"/>
              <w:bottom w:val="single" w:sz="4" w:space="0" w:color="auto"/>
              <w:right w:val="single" w:sz="4" w:space="0" w:color="auto"/>
            </w:tcBorders>
            <w:hideMark/>
          </w:tcPr>
          <w:p w14:paraId="3A824648" w14:textId="77777777" w:rsidR="00574910" w:rsidRPr="00801AFD" w:rsidRDefault="00574910" w:rsidP="00801AFD">
            <w:pPr>
              <w:widowControl w:val="0"/>
              <w:tabs>
                <w:tab w:val="left" w:pos="284"/>
              </w:tabs>
              <w:jc w:val="center"/>
              <w:rPr>
                <w:sz w:val="22"/>
                <w:szCs w:val="22"/>
                <w:lang w:val="sr-Latn-ME"/>
              </w:rPr>
            </w:pPr>
            <w:r w:rsidRPr="00801AFD">
              <w:rPr>
                <w:rFonts w:eastAsia="Calibri"/>
                <w:sz w:val="22"/>
                <w:szCs w:val="22"/>
                <w:lang w:val="sr-Latn-ME"/>
              </w:rPr>
              <w:t>≥ 60 do &lt; 100</w:t>
            </w:r>
          </w:p>
        </w:tc>
        <w:tc>
          <w:tcPr>
            <w:tcW w:w="0" w:type="auto"/>
            <w:tcBorders>
              <w:top w:val="single" w:sz="4" w:space="0" w:color="auto"/>
              <w:left w:val="single" w:sz="4" w:space="0" w:color="auto"/>
              <w:bottom w:val="single" w:sz="4" w:space="0" w:color="auto"/>
              <w:right w:val="single" w:sz="4" w:space="0" w:color="auto"/>
            </w:tcBorders>
            <w:hideMark/>
          </w:tcPr>
          <w:p w14:paraId="32CF0290"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2,700</w:t>
            </w:r>
          </w:p>
        </w:tc>
        <w:tc>
          <w:tcPr>
            <w:tcW w:w="0" w:type="auto"/>
            <w:tcBorders>
              <w:top w:val="single" w:sz="4" w:space="0" w:color="auto"/>
              <w:left w:val="single" w:sz="4" w:space="0" w:color="auto"/>
              <w:bottom w:val="single" w:sz="4" w:space="0" w:color="auto"/>
              <w:right w:val="single" w:sz="4" w:space="0" w:color="auto"/>
            </w:tcBorders>
            <w:hideMark/>
          </w:tcPr>
          <w:p w14:paraId="4AA20FF3"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27</w:t>
            </w:r>
          </w:p>
        </w:tc>
        <w:tc>
          <w:tcPr>
            <w:tcW w:w="0" w:type="auto"/>
            <w:tcBorders>
              <w:top w:val="single" w:sz="4" w:space="0" w:color="auto"/>
              <w:left w:val="single" w:sz="4" w:space="0" w:color="auto"/>
              <w:bottom w:val="single" w:sz="4" w:space="0" w:color="auto"/>
              <w:right w:val="single" w:sz="4" w:space="0" w:color="auto"/>
            </w:tcBorders>
            <w:hideMark/>
          </w:tcPr>
          <w:p w14:paraId="464ABB9D"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27</w:t>
            </w:r>
          </w:p>
        </w:tc>
        <w:tc>
          <w:tcPr>
            <w:tcW w:w="0" w:type="auto"/>
            <w:tcBorders>
              <w:top w:val="single" w:sz="4" w:space="0" w:color="auto"/>
              <w:left w:val="single" w:sz="4" w:space="0" w:color="auto"/>
              <w:bottom w:val="single" w:sz="4" w:space="0" w:color="auto"/>
              <w:right w:val="single" w:sz="4" w:space="0" w:color="auto"/>
            </w:tcBorders>
            <w:hideMark/>
          </w:tcPr>
          <w:p w14:paraId="3C0C43D0"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54</w:t>
            </w:r>
          </w:p>
        </w:tc>
      </w:tr>
      <w:tr w:rsidR="00574910" w:rsidRPr="00801AFD" w14:paraId="2EBD1A2A" w14:textId="77777777" w:rsidTr="00986850">
        <w:tc>
          <w:tcPr>
            <w:tcW w:w="0" w:type="auto"/>
            <w:tcBorders>
              <w:top w:val="single" w:sz="4" w:space="0" w:color="auto"/>
              <w:left w:val="single" w:sz="4" w:space="0" w:color="auto"/>
              <w:bottom w:val="single" w:sz="4" w:space="0" w:color="auto"/>
              <w:right w:val="single" w:sz="4" w:space="0" w:color="auto"/>
            </w:tcBorders>
            <w:hideMark/>
          </w:tcPr>
          <w:p w14:paraId="304F0B5A" w14:textId="77777777" w:rsidR="00574910" w:rsidRPr="00801AFD" w:rsidRDefault="00574910" w:rsidP="00801AFD">
            <w:pPr>
              <w:widowControl w:val="0"/>
              <w:tabs>
                <w:tab w:val="left" w:pos="284"/>
              </w:tabs>
              <w:jc w:val="center"/>
              <w:rPr>
                <w:sz w:val="22"/>
                <w:szCs w:val="22"/>
                <w:lang w:val="sr-Latn-ME"/>
              </w:rPr>
            </w:pPr>
            <w:r w:rsidRPr="00801AFD">
              <w:rPr>
                <w:rFonts w:eastAsia="Calibri"/>
                <w:sz w:val="22"/>
                <w:szCs w:val="22"/>
                <w:lang w:val="sr-Latn-ME"/>
              </w:rPr>
              <w:t>≥ 100</w:t>
            </w:r>
          </w:p>
        </w:tc>
        <w:tc>
          <w:tcPr>
            <w:tcW w:w="0" w:type="auto"/>
            <w:tcBorders>
              <w:top w:val="single" w:sz="4" w:space="0" w:color="auto"/>
              <w:left w:val="single" w:sz="4" w:space="0" w:color="auto"/>
              <w:bottom w:val="single" w:sz="4" w:space="0" w:color="auto"/>
              <w:right w:val="single" w:sz="4" w:space="0" w:color="auto"/>
            </w:tcBorders>
            <w:hideMark/>
          </w:tcPr>
          <w:p w14:paraId="63735A54"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3,000</w:t>
            </w:r>
          </w:p>
        </w:tc>
        <w:tc>
          <w:tcPr>
            <w:tcW w:w="0" w:type="auto"/>
            <w:tcBorders>
              <w:top w:val="single" w:sz="4" w:space="0" w:color="auto"/>
              <w:left w:val="single" w:sz="4" w:space="0" w:color="auto"/>
              <w:bottom w:val="single" w:sz="4" w:space="0" w:color="auto"/>
              <w:right w:val="single" w:sz="4" w:space="0" w:color="auto"/>
            </w:tcBorders>
            <w:hideMark/>
          </w:tcPr>
          <w:p w14:paraId="5B5D322A"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30</w:t>
            </w:r>
          </w:p>
        </w:tc>
        <w:tc>
          <w:tcPr>
            <w:tcW w:w="0" w:type="auto"/>
            <w:tcBorders>
              <w:top w:val="single" w:sz="4" w:space="0" w:color="auto"/>
              <w:left w:val="single" w:sz="4" w:space="0" w:color="auto"/>
              <w:bottom w:val="single" w:sz="4" w:space="0" w:color="auto"/>
              <w:right w:val="single" w:sz="4" w:space="0" w:color="auto"/>
            </w:tcBorders>
            <w:hideMark/>
          </w:tcPr>
          <w:p w14:paraId="215A5372"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30</w:t>
            </w:r>
          </w:p>
        </w:tc>
        <w:tc>
          <w:tcPr>
            <w:tcW w:w="0" w:type="auto"/>
            <w:tcBorders>
              <w:top w:val="single" w:sz="4" w:space="0" w:color="auto"/>
              <w:left w:val="single" w:sz="4" w:space="0" w:color="auto"/>
              <w:bottom w:val="single" w:sz="4" w:space="0" w:color="auto"/>
              <w:right w:val="single" w:sz="4" w:space="0" w:color="auto"/>
            </w:tcBorders>
            <w:hideMark/>
          </w:tcPr>
          <w:p w14:paraId="213FFC41"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60</w:t>
            </w:r>
          </w:p>
        </w:tc>
      </w:tr>
    </w:tbl>
    <w:p w14:paraId="27A17ADA" w14:textId="5FC2345C" w:rsidR="00574910" w:rsidRPr="00986850" w:rsidRDefault="00574910" w:rsidP="00801AFD">
      <w:pPr>
        <w:widowControl w:val="0"/>
        <w:tabs>
          <w:tab w:val="left" w:pos="284"/>
        </w:tabs>
        <w:jc w:val="both"/>
        <w:rPr>
          <w:sz w:val="20"/>
          <w:szCs w:val="22"/>
          <w:lang w:val="sr-Latn-ME"/>
        </w:rPr>
      </w:pPr>
      <w:r w:rsidRPr="00986850">
        <w:rPr>
          <w:sz w:val="20"/>
          <w:szCs w:val="22"/>
          <w:vertAlign w:val="superscript"/>
          <w:lang w:val="sr-Latn-ME"/>
        </w:rPr>
        <w:t xml:space="preserve">a </w:t>
      </w:r>
      <w:r w:rsidRPr="00986850">
        <w:rPr>
          <w:sz w:val="20"/>
          <w:szCs w:val="22"/>
          <w:lang w:val="sr-Latn-ME"/>
        </w:rPr>
        <w:t xml:space="preserve">Tjelesna </w:t>
      </w:r>
      <w:r w:rsidR="00DB1C80" w:rsidRPr="00986850">
        <w:rPr>
          <w:sz w:val="20"/>
          <w:szCs w:val="22"/>
          <w:lang w:val="sr-Latn-ME"/>
        </w:rPr>
        <w:t xml:space="preserve">težina </w:t>
      </w:r>
      <w:r w:rsidRPr="00986850">
        <w:rPr>
          <w:sz w:val="20"/>
          <w:szCs w:val="22"/>
          <w:lang w:val="sr-Latn-ME"/>
        </w:rPr>
        <w:t>u vrijeme liječenja.</w:t>
      </w:r>
    </w:p>
    <w:p w14:paraId="78F2BC82" w14:textId="3523B35E" w:rsidR="00574910" w:rsidRPr="00986850" w:rsidRDefault="00574910" w:rsidP="00801AFD">
      <w:pPr>
        <w:widowControl w:val="0"/>
        <w:tabs>
          <w:tab w:val="left" w:pos="284"/>
        </w:tabs>
        <w:jc w:val="both"/>
        <w:rPr>
          <w:sz w:val="20"/>
          <w:szCs w:val="22"/>
          <w:lang w:val="sr-Latn-ME"/>
        </w:rPr>
      </w:pPr>
      <w:r w:rsidRPr="00986850">
        <w:rPr>
          <w:sz w:val="20"/>
          <w:szCs w:val="22"/>
          <w:vertAlign w:val="superscript"/>
          <w:lang w:val="sr-Latn-ME"/>
        </w:rPr>
        <w:t>b</w:t>
      </w:r>
      <w:r w:rsidRPr="00986850">
        <w:rPr>
          <w:sz w:val="20"/>
          <w:szCs w:val="22"/>
          <w:lang w:val="sr-Latn-ME"/>
        </w:rPr>
        <w:t xml:space="preserve"> </w:t>
      </w:r>
      <w:r w:rsidR="00B42CAC" w:rsidRPr="00986850">
        <w:rPr>
          <w:sz w:val="20"/>
          <w:szCs w:val="22"/>
          <w:lang w:val="sr-Latn-ME"/>
        </w:rPr>
        <w:t xml:space="preserve">Lijek </w:t>
      </w:r>
      <w:r w:rsidRPr="00986850">
        <w:rPr>
          <w:sz w:val="20"/>
          <w:szCs w:val="22"/>
          <w:lang w:val="sr-Latn-ME"/>
        </w:rPr>
        <w:t>Ultomiris treba razblaživati isključivo rastvorom za injekciju natrijum hlorida 9 mg/ml (0,9%)</w:t>
      </w:r>
      <w:r w:rsidR="0064549B" w:rsidRPr="00986850">
        <w:rPr>
          <w:sz w:val="20"/>
          <w:szCs w:val="22"/>
          <w:lang w:val="sr-Latn-ME"/>
        </w:rPr>
        <w:t>.</w:t>
      </w:r>
    </w:p>
    <w:p w14:paraId="1336B3BA" w14:textId="636BFFB2" w:rsidR="00574910" w:rsidRPr="00801AFD" w:rsidRDefault="00574910" w:rsidP="00801AFD">
      <w:pPr>
        <w:widowControl w:val="0"/>
        <w:tabs>
          <w:tab w:val="left" w:pos="284"/>
        </w:tabs>
        <w:jc w:val="both"/>
        <w:rPr>
          <w:sz w:val="22"/>
          <w:szCs w:val="22"/>
          <w:lang w:val="sr-Latn-ME"/>
        </w:rPr>
      </w:pPr>
    </w:p>
    <w:p w14:paraId="34999AA6" w14:textId="24421D66" w:rsidR="00574910" w:rsidRPr="00801AFD" w:rsidRDefault="00574910" w:rsidP="00801AFD">
      <w:pPr>
        <w:widowControl w:val="0"/>
        <w:tabs>
          <w:tab w:val="left" w:pos="284"/>
        </w:tabs>
        <w:jc w:val="both"/>
        <w:rPr>
          <w:b/>
          <w:bCs/>
          <w:sz w:val="22"/>
          <w:szCs w:val="22"/>
          <w:lang w:val="sr-Latn-ME"/>
        </w:rPr>
      </w:pPr>
      <w:r w:rsidRPr="00801AFD">
        <w:rPr>
          <w:b/>
          <w:bCs/>
          <w:sz w:val="22"/>
          <w:szCs w:val="22"/>
          <w:lang w:val="sr-Latn-ME"/>
        </w:rPr>
        <w:t xml:space="preserve">Tabela </w:t>
      </w:r>
      <w:r w:rsidR="00D0032C" w:rsidRPr="00801AFD">
        <w:rPr>
          <w:b/>
          <w:bCs/>
          <w:sz w:val="22"/>
          <w:szCs w:val="22"/>
          <w:lang w:val="sr-Latn-ME"/>
        </w:rPr>
        <w:t>27</w:t>
      </w:r>
      <w:r w:rsidRPr="00801AFD">
        <w:rPr>
          <w:b/>
          <w:bCs/>
          <w:sz w:val="22"/>
          <w:szCs w:val="22"/>
          <w:lang w:val="sr-Latn-ME"/>
        </w:rPr>
        <w:t xml:space="preserve">: Reference za primjenu doze održavanja za Ultomiris 300 mg/3 ml i 1100 mg/11 ml, koncentrat za rastvor za infuziju </w:t>
      </w:r>
    </w:p>
    <w:p w14:paraId="03CE8F00" w14:textId="77777777" w:rsidR="00574910" w:rsidRPr="00801AFD" w:rsidRDefault="00574910" w:rsidP="00801AFD">
      <w:pPr>
        <w:widowControl w:val="0"/>
        <w:tabs>
          <w:tab w:val="left" w:pos="284"/>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492"/>
        <w:gridCol w:w="2057"/>
        <w:gridCol w:w="2117"/>
        <w:gridCol w:w="1722"/>
      </w:tblGrid>
      <w:tr w:rsidR="00574910" w:rsidRPr="00801AFD" w14:paraId="49DA3589" w14:textId="77777777" w:rsidTr="00986850">
        <w:tc>
          <w:tcPr>
            <w:tcW w:w="0" w:type="auto"/>
            <w:tcBorders>
              <w:top w:val="single" w:sz="4" w:space="0" w:color="auto"/>
              <w:left w:val="single" w:sz="4" w:space="0" w:color="auto"/>
              <w:bottom w:val="single" w:sz="4" w:space="0" w:color="auto"/>
              <w:right w:val="single" w:sz="4" w:space="0" w:color="auto"/>
            </w:tcBorders>
            <w:hideMark/>
          </w:tcPr>
          <w:p w14:paraId="2650AB6C" w14:textId="385F9785" w:rsidR="00574910" w:rsidRPr="00801AFD" w:rsidRDefault="00574910" w:rsidP="00801AFD">
            <w:pPr>
              <w:widowControl w:val="0"/>
              <w:tabs>
                <w:tab w:val="left" w:pos="284"/>
              </w:tabs>
              <w:jc w:val="center"/>
              <w:rPr>
                <w:rFonts w:eastAsia="SimSun"/>
                <w:b/>
                <w:sz w:val="22"/>
                <w:szCs w:val="22"/>
                <w:lang w:val="sr-Latn-ME"/>
              </w:rPr>
            </w:pPr>
            <w:r w:rsidRPr="00801AFD">
              <w:rPr>
                <w:rFonts w:eastAsia="Calibri"/>
                <w:b/>
                <w:sz w:val="22"/>
                <w:szCs w:val="22"/>
                <w:lang w:val="sr-Latn-ME"/>
              </w:rPr>
              <w:t xml:space="preserve">Raspon tjelesne </w:t>
            </w:r>
            <w:r w:rsidR="00DB1C80" w:rsidRPr="00801AFD">
              <w:rPr>
                <w:rFonts w:eastAsia="Calibri"/>
                <w:b/>
                <w:sz w:val="22"/>
                <w:szCs w:val="22"/>
                <w:lang w:val="sr-Latn-ME"/>
              </w:rPr>
              <w:t xml:space="preserve">težine </w:t>
            </w:r>
            <w:r w:rsidRPr="00801AFD">
              <w:rPr>
                <w:rFonts w:eastAsia="Calibri"/>
                <w:b/>
                <w:sz w:val="22"/>
                <w:szCs w:val="22"/>
                <w:lang w:val="sr-Latn-ME"/>
              </w:rPr>
              <w:t>(kg)</w:t>
            </w:r>
            <w:r w:rsidRPr="00801AFD">
              <w:rPr>
                <w:rFonts w:eastAsia="Calibri"/>
                <w:b/>
                <w:sz w:val="22"/>
                <w:szCs w:val="22"/>
                <w:vertAlign w:val="superscript"/>
                <w:lang w:val="sr-Latn-ME"/>
              </w:rPr>
              <w:t>a</w:t>
            </w:r>
          </w:p>
        </w:tc>
        <w:tc>
          <w:tcPr>
            <w:tcW w:w="0" w:type="auto"/>
            <w:tcBorders>
              <w:top w:val="single" w:sz="4" w:space="0" w:color="auto"/>
              <w:left w:val="single" w:sz="4" w:space="0" w:color="auto"/>
              <w:bottom w:val="single" w:sz="4" w:space="0" w:color="auto"/>
              <w:right w:val="single" w:sz="4" w:space="0" w:color="auto"/>
            </w:tcBorders>
            <w:hideMark/>
          </w:tcPr>
          <w:p w14:paraId="35D76B07" w14:textId="77777777" w:rsidR="00574910" w:rsidRPr="00801AFD" w:rsidRDefault="00574910" w:rsidP="00801AFD">
            <w:pPr>
              <w:widowControl w:val="0"/>
              <w:tabs>
                <w:tab w:val="left" w:pos="284"/>
              </w:tabs>
              <w:jc w:val="center"/>
              <w:rPr>
                <w:rFonts w:eastAsia="SimSun"/>
                <w:b/>
                <w:sz w:val="22"/>
                <w:szCs w:val="22"/>
                <w:lang w:val="sr-Latn-ME"/>
              </w:rPr>
            </w:pPr>
            <w:r w:rsidRPr="00801AFD">
              <w:rPr>
                <w:rFonts w:eastAsia="SimSun"/>
                <w:b/>
                <w:sz w:val="22"/>
                <w:szCs w:val="22"/>
                <w:lang w:val="sr-Latn-ME"/>
              </w:rPr>
              <w:t>Doza održavanja</w:t>
            </w:r>
          </w:p>
          <w:p w14:paraId="7FCD1F74" w14:textId="28E00974" w:rsidR="00574910" w:rsidRPr="00801AFD" w:rsidRDefault="00574910" w:rsidP="00801AFD">
            <w:pPr>
              <w:widowControl w:val="0"/>
              <w:tabs>
                <w:tab w:val="left" w:pos="284"/>
              </w:tabs>
              <w:jc w:val="center"/>
              <w:rPr>
                <w:rFonts w:eastAsia="SimSun"/>
                <w:b/>
                <w:sz w:val="22"/>
                <w:szCs w:val="22"/>
                <w:lang w:val="sr-Latn-ME"/>
              </w:rPr>
            </w:pPr>
            <w:r w:rsidRPr="00801AFD">
              <w:rPr>
                <w:rFonts w:eastAsia="SimSun"/>
                <w:b/>
                <w:sz w:val="22"/>
                <w:szCs w:val="22"/>
                <w:lang w:val="sr-Latn-ME"/>
              </w:rPr>
              <w:t>(mg)</w:t>
            </w:r>
          </w:p>
        </w:tc>
        <w:tc>
          <w:tcPr>
            <w:tcW w:w="0" w:type="auto"/>
            <w:tcBorders>
              <w:top w:val="single" w:sz="4" w:space="0" w:color="auto"/>
              <w:left w:val="single" w:sz="4" w:space="0" w:color="auto"/>
              <w:bottom w:val="single" w:sz="4" w:space="0" w:color="auto"/>
              <w:right w:val="single" w:sz="4" w:space="0" w:color="auto"/>
            </w:tcBorders>
            <w:hideMark/>
          </w:tcPr>
          <w:p w14:paraId="7B3CA172" w14:textId="6D0BA059" w:rsidR="00574910" w:rsidRPr="00801AFD" w:rsidRDefault="007D1809" w:rsidP="00801AFD">
            <w:pPr>
              <w:widowControl w:val="0"/>
              <w:tabs>
                <w:tab w:val="left" w:pos="284"/>
              </w:tabs>
              <w:jc w:val="center"/>
              <w:rPr>
                <w:rFonts w:eastAsia="SimSun"/>
                <w:b/>
                <w:sz w:val="22"/>
                <w:szCs w:val="22"/>
                <w:lang w:val="sr-Latn-ME"/>
              </w:rPr>
            </w:pPr>
            <w:r w:rsidRPr="00801AFD">
              <w:rPr>
                <w:rFonts w:eastAsia="SimSun"/>
                <w:b/>
                <w:sz w:val="22"/>
                <w:szCs w:val="22"/>
                <w:lang w:val="sr-Latn-ME"/>
              </w:rPr>
              <w:t xml:space="preserve">Zapremina lijeka </w:t>
            </w:r>
            <w:r w:rsidR="00574910" w:rsidRPr="00801AFD">
              <w:rPr>
                <w:rFonts w:eastAsia="SimSun"/>
                <w:b/>
                <w:sz w:val="22"/>
                <w:szCs w:val="22"/>
                <w:lang w:val="sr-Latn-ME"/>
              </w:rPr>
              <w:t>Ultomiris (ml)</w:t>
            </w:r>
          </w:p>
        </w:tc>
        <w:tc>
          <w:tcPr>
            <w:tcW w:w="0" w:type="auto"/>
            <w:tcBorders>
              <w:top w:val="single" w:sz="4" w:space="0" w:color="auto"/>
              <w:left w:val="single" w:sz="4" w:space="0" w:color="auto"/>
              <w:bottom w:val="single" w:sz="4" w:space="0" w:color="auto"/>
              <w:right w:val="single" w:sz="4" w:space="0" w:color="auto"/>
            </w:tcBorders>
            <w:hideMark/>
          </w:tcPr>
          <w:p w14:paraId="600A7970" w14:textId="147842B7" w:rsidR="00574910" w:rsidRPr="00801AFD" w:rsidRDefault="00574910" w:rsidP="00801AFD">
            <w:pPr>
              <w:widowControl w:val="0"/>
              <w:tabs>
                <w:tab w:val="left" w:pos="284"/>
              </w:tabs>
              <w:jc w:val="center"/>
              <w:rPr>
                <w:rFonts w:eastAsia="SimSun"/>
                <w:b/>
                <w:sz w:val="22"/>
                <w:szCs w:val="22"/>
                <w:lang w:val="sr-Latn-ME"/>
              </w:rPr>
            </w:pPr>
            <w:r w:rsidRPr="00801AFD">
              <w:rPr>
                <w:rFonts w:eastAsia="SimSun"/>
                <w:b/>
                <w:sz w:val="22"/>
                <w:szCs w:val="22"/>
                <w:lang w:val="sr-Latn-ME"/>
              </w:rPr>
              <w:t>Zapremina rastvarača NaCl</w:t>
            </w:r>
            <w:r w:rsidRPr="00801AFD">
              <w:rPr>
                <w:rFonts w:eastAsia="SimSun"/>
                <w:b/>
                <w:sz w:val="22"/>
                <w:szCs w:val="22"/>
                <w:vertAlign w:val="superscript"/>
                <w:lang w:val="sr-Latn-ME"/>
              </w:rPr>
              <w:t>b</w:t>
            </w:r>
            <w:r w:rsidRPr="00801AFD">
              <w:rPr>
                <w:rFonts w:eastAsia="SimSun"/>
                <w:b/>
                <w:sz w:val="22"/>
                <w:szCs w:val="22"/>
                <w:lang w:val="sr-Latn-ME"/>
              </w:rPr>
              <w:t xml:space="preserve"> (ml)</w:t>
            </w:r>
          </w:p>
        </w:tc>
        <w:tc>
          <w:tcPr>
            <w:tcW w:w="0" w:type="auto"/>
            <w:tcBorders>
              <w:top w:val="single" w:sz="4" w:space="0" w:color="auto"/>
              <w:left w:val="single" w:sz="4" w:space="0" w:color="auto"/>
              <w:bottom w:val="single" w:sz="4" w:space="0" w:color="auto"/>
              <w:right w:val="single" w:sz="4" w:space="0" w:color="auto"/>
            </w:tcBorders>
            <w:hideMark/>
          </w:tcPr>
          <w:p w14:paraId="0CE1B49A" w14:textId="050EEE7E" w:rsidR="00574910" w:rsidRPr="00801AFD" w:rsidRDefault="00574910" w:rsidP="00801AFD">
            <w:pPr>
              <w:widowControl w:val="0"/>
              <w:tabs>
                <w:tab w:val="left" w:pos="284"/>
              </w:tabs>
              <w:jc w:val="center"/>
              <w:rPr>
                <w:rFonts w:eastAsia="SimSun"/>
                <w:b/>
                <w:sz w:val="22"/>
                <w:szCs w:val="22"/>
                <w:lang w:val="sr-Latn-ME"/>
              </w:rPr>
            </w:pPr>
            <w:r w:rsidRPr="00801AFD">
              <w:rPr>
                <w:rFonts w:eastAsia="SimSun"/>
                <w:b/>
                <w:sz w:val="22"/>
                <w:szCs w:val="22"/>
                <w:lang w:val="sr-Latn-ME"/>
              </w:rPr>
              <w:t>Ukupna zapremina (ml)</w:t>
            </w:r>
          </w:p>
        </w:tc>
      </w:tr>
      <w:tr w:rsidR="00574910" w:rsidRPr="00801AFD" w14:paraId="2C765AB8" w14:textId="77777777" w:rsidTr="00986850">
        <w:tc>
          <w:tcPr>
            <w:tcW w:w="0" w:type="auto"/>
            <w:tcBorders>
              <w:top w:val="single" w:sz="4" w:space="0" w:color="auto"/>
              <w:left w:val="single" w:sz="4" w:space="0" w:color="auto"/>
              <w:bottom w:val="single" w:sz="4" w:space="0" w:color="auto"/>
              <w:right w:val="single" w:sz="4" w:space="0" w:color="auto"/>
            </w:tcBorders>
          </w:tcPr>
          <w:p w14:paraId="5344AE72" w14:textId="77777777" w:rsidR="00574910" w:rsidRPr="00801AFD" w:rsidRDefault="00574910" w:rsidP="00801AFD">
            <w:pPr>
              <w:widowControl w:val="0"/>
              <w:tabs>
                <w:tab w:val="left" w:pos="284"/>
              </w:tabs>
              <w:jc w:val="center"/>
              <w:rPr>
                <w:rFonts w:eastAsia="Calibri"/>
                <w:sz w:val="22"/>
                <w:szCs w:val="22"/>
                <w:lang w:val="sr-Latn-ME"/>
              </w:rPr>
            </w:pPr>
            <w:r w:rsidRPr="00801AFD">
              <w:rPr>
                <w:sz w:val="22"/>
                <w:szCs w:val="22"/>
                <w:lang w:val="sr-Latn-ME"/>
              </w:rPr>
              <w:t>≥ 10 do &lt; 20</w:t>
            </w:r>
          </w:p>
        </w:tc>
        <w:tc>
          <w:tcPr>
            <w:tcW w:w="0" w:type="auto"/>
            <w:tcBorders>
              <w:top w:val="single" w:sz="4" w:space="0" w:color="auto"/>
              <w:left w:val="single" w:sz="4" w:space="0" w:color="auto"/>
              <w:bottom w:val="single" w:sz="4" w:space="0" w:color="auto"/>
              <w:right w:val="single" w:sz="4" w:space="0" w:color="auto"/>
            </w:tcBorders>
          </w:tcPr>
          <w:p w14:paraId="0CE537EA"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600</w:t>
            </w:r>
          </w:p>
        </w:tc>
        <w:tc>
          <w:tcPr>
            <w:tcW w:w="0" w:type="auto"/>
            <w:tcBorders>
              <w:top w:val="single" w:sz="4" w:space="0" w:color="auto"/>
              <w:left w:val="single" w:sz="4" w:space="0" w:color="auto"/>
              <w:bottom w:val="single" w:sz="4" w:space="0" w:color="auto"/>
              <w:right w:val="single" w:sz="4" w:space="0" w:color="auto"/>
            </w:tcBorders>
          </w:tcPr>
          <w:p w14:paraId="509EC015"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6</w:t>
            </w:r>
          </w:p>
        </w:tc>
        <w:tc>
          <w:tcPr>
            <w:tcW w:w="0" w:type="auto"/>
            <w:tcBorders>
              <w:top w:val="single" w:sz="4" w:space="0" w:color="auto"/>
              <w:left w:val="single" w:sz="4" w:space="0" w:color="auto"/>
              <w:bottom w:val="single" w:sz="4" w:space="0" w:color="auto"/>
              <w:right w:val="single" w:sz="4" w:space="0" w:color="auto"/>
            </w:tcBorders>
          </w:tcPr>
          <w:p w14:paraId="753BC8AE"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6</w:t>
            </w:r>
          </w:p>
        </w:tc>
        <w:tc>
          <w:tcPr>
            <w:tcW w:w="0" w:type="auto"/>
            <w:tcBorders>
              <w:top w:val="single" w:sz="4" w:space="0" w:color="auto"/>
              <w:left w:val="single" w:sz="4" w:space="0" w:color="auto"/>
              <w:bottom w:val="single" w:sz="4" w:space="0" w:color="auto"/>
              <w:right w:val="single" w:sz="4" w:space="0" w:color="auto"/>
            </w:tcBorders>
          </w:tcPr>
          <w:p w14:paraId="118EC05D"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12</w:t>
            </w:r>
          </w:p>
        </w:tc>
      </w:tr>
      <w:tr w:rsidR="00574910" w:rsidRPr="00801AFD" w14:paraId="5A9A982E" w14:textId="77777777" w:rsidTr="00986850">
        <w:tc>
          <w:tcPr>
            <w:tcW w:w="0" w:type="auto"/>
            <w:tcBorders>
              <w:top w:val="single" w:sz="4" w:space="0" w:color="auto"/>
              <w:left w:val="single" w:sz="4" w:space="0" w:color="auto"/>
              <w:bottom w:val="single" w:sz="4" w:space="0" w:color="auto"/>
              <w:right w:val="single" w:sz="4" w:space="0" w:color="auto"/>
            </w:tcBorders>
          </w:tcPr>
          <w:p w14:paraId="538321C1" w14:textId="77777777" w:rsidR="00574910" w:rsidRPr="00801AFD" w:rsidRDefault="00574910" w:rsidP="00801AFD">
            <w:pPr>
              <w:widowControl w:val="0"/>
              <w:tabs>
                <w:tab w:val="left" w:pos="284"/>
              </w:tabs>
              <w:jc w:val="center"/>
              <w:rPr>
                <w:rFonts w:eastAsia="Calibri"/>
                <w:sz w:val="22"/>
                <w:szCs w:val="22"/>
                <w:lang w:val="sr-Latn-ME"/>
              </w:rPr>
            </w:pPr>
            <w:r w:rsidRPr="00801AFD">
              <w:rPr>
                <w:sz w:val="22"/>
                <w:szCs w:val="22"/>
                <w:lang w:val="sr-Latn-ME"/>
              </w:rPr>
              <w:t>≥ 20 do &lt; 30</w:t>
            </w:r>
          </w:p>
        </w:tc>
        <w:tc>
          <w:tcPr>
            <w:tcW w:w="0" w:type="auto"/>
            <w:tcBorders>
              <w:top w:val="single" w:sz="4" w:space="0" w:color="auto"/>
              <w:left w:val="single" w:sz="4" w:space="0" w:color="auto"/>
              <w:bottom w:val="single" w:sz="4" w:space="0" w:color="auto"/>
              <w:right w:val="single" w:sz="4" w:space="0" w:color="auto"/>
            </w:tcBorders>
          </w:tcPr>
          <w:p w14:paraId="68B2CBF1"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2,100</w:t>
            </w:r>
          </w:p>
        </w:tc>
        <w:tc>
          <w:tcPr>
            <w:tcW w:w="0" w:type="auto"/>
            <w:tcBorders>
              <w:top w:val="single" w:sz="4" w:space="0" w:color="auto"/>
              <w:left w:val="single" w:sz="4" w:space="0" w:color="auto"/>
              <w:bottom w:val="single" w:sz="4" w:space="0" w:color="auto"/>
              <w:right w:val="single" w:sz="4" w:space="0" w:color="auto"/>
            </w:tcBorders>
          </w:tcPr>
          <w:p w14:paraId="2E46CCCB"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21</w:t>
            </w:r>
          </w:p>
        </w:tc>
        <w:tc>
          <w:tcPr>
            <w:tcW w:w="0" w:type="auto"/>
            <w:tcBorders>
              <w:top w:val="single" w:sz="4" w:space="0" w:color="auto"/>
              <w:left w:val="single" w:sz="4" w:space="0" w:color="auto"/>
              <w:bottom w:val="single" w:sz="4" w:space="0" w:color="auto"/>
              <w:right w:val="single" w:sz="4" w:space="0" w:color="auto"/>
            </w:tcBorders>
          </w:tcPr>
          <w:p w14:paraId="6D2B6554"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21</w:t>
            </w:r>
          </w:p>
        </w:tc>
        <w:tc>
          <w:tcPr>
            <w:tcW w:w="0" w:type="auto"/>
            <w:tcBorders>
              <w:top w:val="single" w:sz="4" w:space="0" w:color="auto"/>
              <w:left w:val="single" w:sz="4" w:space="0" w:color="auto"/>
              <w:bottom w:val="single" w:sz="4" w:space="0" w:color="auto"/>
              <w:right w:val="single" w:sz="4" w:space="0" w:color="auto"/>
            </w:tcBorders>
          </w:tcPr>
          <w:p w14:paraId="34DB42B3"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42</w:t>
            </w:r>
          </w:p>
        </w:tc>
      </w:tr>
      <w:tr w:rsidR="00574910" w:rsidRPr="00801AFD" w14:paraId="0D40E5DC" w14:textId="77777777" w:rsidTr="00986850">
        <w:tc>
          <w:tcPr>
            <w:tcW w:w="0" w:type="auto"/>
            <w:tcBorders>
              <w:top w:val="single" w:sz="4" w:space="0" w:color="auto"/>
              <w:left w:val="single" w:sz="4" w:space="0" w:color="auto"/>
              <w:bottom w:val="single" w:sz="4" w:space="0" w:color="auto"/>
              <w:right w:val="single" w:sz="4" w:space="0" w:color="auto"/>
            </w:tcBorders>
          </w:tcPr>
          <w:p w14:paraId="77CCFDAA"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 30 do &lt; 40</w:t>
            </w:r>
          </w:p>
        </w:tc>
        <w:tc>
          <w:tcPr>
            <w:tcW w:w="0" w:type="auto"/>
            <w:tcBorders>
              <w:top w:val="single" w:sz="4" w:space="0" w:color="auto"/>
              <w:left w:val="single" w:sz="4" w:space="0" w:color="auto"/>
              <w:bottom w:val="single" w:sz="4" w:space="0" w:color="auto"/>
              <w:right w:val="single" w:sz="4" w:space="0" w:color="auto"/>
            </w:tcBorders>
          </w:tcPr>
          <w:p w14:paraId="0E2C649D"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2,700</w:t>
            </w:r>
          </w:p>
        </w:tc>
        <w:tc>
          <w:tcPr>
            <w:tcW w:w="0" w:type="auto"/>
            <w:tcBorders>
              <w:top w:val="single" w:sz="4" w:space="0" w:color="auto"/>
              <w:left w:val="single" w:sz="4" w:space="0" w:color="auto"/>
              <w:bottom w:val="single" w:sz="4" w:space="0" w:color="auto"/>
              <w:right w:val="single" w:sz="4" w:space="0" w:color="auto"/>
            </w:tcBorders>
          </w:tcPr>
          <w:p w14:paraId="581C8645"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27</w:t>
            </w:r>
          </w:p>
        </w:tc>
        <w:tc>
          <w:tcPr>
            <w:tcW w:w="0" w:type="auto"/>
            <w:tcBorders>
              <w:top w:val="single" w:sz="4" w:space="0" w:color="auto"/>
              <w:left w:val="single" w:sz="4" w:space="0" w:color="auto"/>
              <w:bottom w:val="single" w:sz="4" w:space="0" w:color="auto"/>
              <w:right w:val="single" w:sz="4" w:space="0" w:color="auto"/>
            </w:tcBorders>
          </w:tcPr>
          <w:p w14:paraId="5957D77C"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27</w:t>
            </w:r>
          </w:p>
        </w:tc>
        <w:tc>
          <w:tcPr>
            <w:tcW w:w="0" w:type="auto"/>
            <w:tcBorders>
              <w:top w:val="single" w:sz="4" w:space="0" w:color="auto"/>
              <w:left w:val="single" w:sz="4" w:space="0" w:color="auto"/>
              <w:bottom w:val="single" w:sz="4" w:space="0" w:color="auto"/>
              <w:right w:val="single" w:sz="4" w:space="0" w:color="auto"/>
            </w:tcBorders>
          </w:tcPr>
          <w:p w14:paraId="19F2A8C2"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54</w:t>
            </w:r>
          </w:p>
        </w:tc>
      </w:tr>
      <w:tr w:rsidR="00574910" w:rsidRPr="00801AFD" w14:paraId="5B63403C" w14:textId="77777777" w:rsidTr="00986850">
        <w:tc>
          <w:tcPr>
            <w:tcW w:w="0" w:type="auto"/>
            <w:tcBorders>
              <w:top w:val="single" w:sz="4" w:space="0" w:color="auto"/>
              <w:left w:val="single" w:sz="4" w:space="0" w:color="auto"/>
              <w:bottom w:val="single" w:sz="4" w:space="0" w:color="auto"/>
              <w:right w:val="single" w:sz="4" w:space="0" w:color="auto"/>
            </w:tcBorders>
            <w:hideMark/>
          </w:tcPr>
          <w:p w14:paraId="0DBED210" w14:textId="77777777" w:rsidR="00574910" w:rsidRPr="00801AFD" w:rsidRDefault="00574910" w:rsidP="00801AFD">
            <w:pPr>
              <w:widowControl w:val="0"/>
              <w:tabs>
                <w:tab w:val="left" w:pos="284"/>
              </w:tabs>
              <w:jc w:val="center"/>
              <w:rPr>
                <w:sz w:val="22"/>
                <w:szCs w:val="22"/>
                <w:lang w:val="sr-Latn-ME"/>
              </w:rPr>
            </w:pPr>
            <w:r w:rsidRPr="00801AFD">
              <w:rPr>
                <w:rFonts w:eastAsia="Calibri"/>
                <w:sz w:val="22"/>
                <w:szCs w:val="22"/>
                <w:lang w:val="sr-Latn-ME"/>
              </w:rPr>
              <w:t>≥ 40 do &lt; 60</w:t>
            </w:r>
          </w:p>
        </w:tc>
        <w:tc>
          <w:tcPr>
            <w:tcW w:w="0" w:type="auto"/>
            <w:tcBorders>
              <w:top w:val="single" w:sz="4" w:space="0" w:color="auto"/>
              <w:left w:val="single" w:sz="4" w:space="0" w:color="auto"/>
              <w:bottom w:val="single" w:sz="4" w:space="0" w:color="auto"/>
              <w:right w:val="single" w:sz="4" w:space="0" w:color="auto"/>
            </w:tcBorders>
            <w:hideMark/>
          </w:tcPr>
          <w:p w14:paraId="6C8D5892"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3,000</w:t>
            </w:r>
          </w:p>
        </w:tc>
        <w:tc>
          <w:tcPr>
            <w:tcW w:w="0" w:type="auto"/>
            <w:tcBorders>
              <w:top w:val="single" w:sz="4" w:space="0" w:color="auto"/>
              <w:left w:val="single" w:sz="4" w:space="0" w:color="auto"/>
              <w:bottom w:val="single" w:sz="4" w:space="0" w:color="auto"/>
              <w:right w:val="single" w:sz="4" w:space="0" w:color="auto"/>
            </w:tcBorders>
            <w:hideMark/>
          </w:tcPr>
          <w:p w14:paraId="058BD20D"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30</w:t>
            </w:r>
          </w:p>
        </w:tc>
        <w:tc>
          <w:tcPr>
            <w:tcW w:w="0" w:type="auto"/>
            <w:tcBorders>
              <w:top w:val="single" w:sz="4" w:space="0" w:color="auto"/>
              <w:left w:val="single" w:sz="4" w:space="0" w:color="auto"/>
              <w:bottom w:val="single" w:sz="4" w:space="0" w:color="auto"/>
              <w:right w:val="single" w:sz="4" w:space="0" w:color="auto"/>
            </w:tcBorders>
            <w:hideMark/>
          </w:tcPr>
          <w:p w14:paraId="6005FDAF"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30</w:t>
            </w:r>
          </w:p>
        </w:tc>
        <w:tc>
          <w:tcPr>
            <w:tcW w:w="0" w:type="auto"/>
            <w:tcBorders>
              <w:top w:val="single" w:sz="4" w:space="0" w:color="auto"/>
              <w:left w:val="single" w:sz="4" w:space="0" w:color="auto"/>
              <w:bottom w:val="single" w:sz="4" w:space="0" w:color="auto"/>
              <w:right w:val="single" w:sz="4" w:space="0" w:color="auto"/>
            </w:tcBorders>
            <w:hideMark/>
          </w:tcPr>
          <w:p w14:paraId="60E20EEB"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60</w:t>
            </w:r>
          </w:p>
        </w:tc>
      </w:tr>
      <w:tr w:rsidR="00574910" w:rsidRPr="00801AFD" w14:paraId="010B43E5" w14:textId="77777777" w:rsidTr="00986850">
        <w:tc>
          <w:tcPr>
            <w:tcW w:w="0" w:type="auto"/>
            <w:tcBorders>
              <w:top w:val="single" w:sz="4" w:space="0" w:color="auto"/>
              <w:left w:val="single" w:sz="4" w:space="0" w:color="auto"/>
              <w:bottom w:val="single" w:sz="4" w:space="0" w:color="auto"/>
              <w:right w:val="single" w:sz="4" w:space="0" w:color="auto"/>
            </w:tcBorders>
            <w:hideMark/>
          </w:tcPr>
          <w:p w14:paraId="09A42919" w14:textId="77777777" w:rsidR="00574910" w:rsidRPr="00801AFD" w:rsidRDefault="00574910" w:rsidP="00801AFD">
            <w:pPr>
              <w:widowControl w:val="0"/>
              <w:tabs>
                <w:tab w:val="left" w:pos="284"/>
              </w:tabs>
              <w:jc w:val="center"/>
              <w:rPr>
                <w:sz w:val="22"/>
                <w:szCs w:val="22"/>
                <w:lang w:val="sr-Latn-ME"/>
              </w:rPr>
            </w:pPr>
            <w:r w:rsidRPr="00801AFD">
              <w:rPr>
                <w:rFonts w:eastAsia="Calibri"/>
                <w:sz w:val="22"/>
                <w:szCs w:val="22"/>
                <w:lang w:val="sr-Latn-ME"/>
              </w:rPr>
              <w:t>≥ 60 do &lt; 100</w:t>
            </w:r>
          </w:p>
        </w:tc>
        <w:tc>
          <w:tcPr>
            <w:tcW w:w="0" w:type="auto"/>
            <w:tcBorders>
              <w:top w:val="single" w:sz="4" w:space="0" w:color="auto"/>
              <w:left w:val="single" w:sz="4" w:space="0" w:color="auto"/>
              <w:bottom w:val="single" w:sz="4" w:space="0" w:color="auto"/>
              <w:right w:val="single" w:sz="4" w:space="0" w:color="auto"/>
            </w:tcBorders>
            <w:hideMark/>
          </w:tcPr>
          <w:p w14:paraId="79C95BC0"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3,300</w:t>
            </w:r>
          </w:p>
        </w:tc>
        <w:tc>
          <w:tcPr>
            <w:tcW w:w="0" w:type="auto"/>
            <w:tcBorders>
              <w:top w:val="single" w:sz="4" w:space="0" w:color="auto"/>
              <w:left w:val="single" w:sz="4" w:space="0" w:color="auto"/>
              <w:bottom w:val="single" w:sz="4" w:space="0" w:color="auto"/>
              <w:right w:val="single" w:sz="4" w:space="0" w:color="auto"/>
            </w:tcBorders>
            <w:hideMark/>
          </w:tcPr>
          <w:p w14:paraId="3CD1D361"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33</w:t>
            </w:r>
          </w:p>
        </w:tc>
        <w:tc>
          <w:tcPr>
            <w:tcW w:w="0" w:type="auto"/>
            <w:tcBorders>
              <w:top w:val="single" w:sz="4" w:space="0" w:color="auto"/>
              <w:left w:val="single" w:sz="4" w:space="0" w:color="auto"/>
              <w:bottom w:val="single" w:sz="4" w:space="0" w:color="auto"/>
              <w:right w:val="single" w:sz="4" w:space="0" w:color="auto"/>
            </w:tcBorders>
            <w:hideMark/>
          </w:tcPr>
          <w:p w14:paraId="58A7092D"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33</w:t>
            </w:r>
          </w:p>
        </w:tc>
        <w:tc>
          <w:tcPr>
            <w:tcW w:w="0" w:type="auto"/>
            <w:tcBorders>
              <w:top w:val="single" w:sz="4" w:space="0" w:color="auto"/>
              <w:left w:val="single" w:sz="4" w:space="0" w:color="auto"/>
              <w:bottom w:val="single" w:sz="4" w:space="0" w:color="auto"/>
              <w:right w:val="single" w:sz="4" w:space="0" w:color="auto"/>
            </w:tcBorders>
            <w:hideMark/>
          </w:tcPr>
          <w:p w14:paraId="1B17F47E"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66</w:t>
            </w:r>
          </w:p>
        </w:tc>
      </w:tr>
      <w:tr w:rsidR="00574910" w:rsidRPr="00801AFD" w14:paraId="22744C98" w14:textId="77777777" w:rsidTr="00986850">
        <w:tc>
          <w:tcPr>
            <w:tcW w:w="0" w:type="auto"/>
            <w:tcBorders>
              <w:top w:val="single" w:sz="4" w:space="0" w:color="auto"/>
              <w:left w:val="single" w:sz="4" w:space="0" w:color="auto"/>
              <w:bottom w:val="single" w:sz="4" w:space="0" w:color="auto"/>
              <w:right w:val="single" w:sz="4" w:space="0" w:color="auto"/>
            </w:tcBorders>
            <w:hideMark/>
          </w:tcPr>
          <w:p w14:paraId="28384B8F" w14:textId="77777777" w:rsidR="00574910" w:rsidRPr="00801AFD" w:rsidRDefault="00574910" w:rsidP="00801AFD">
            <w:pPr>
              <w:widowControl w:val="0"/>
              <w:tabs>
                <w:tab w:val="left" w:pos="284"/>
              </w:tabs>
              <w:jc w:val="center"/>
              <w:rPr>
                <w:sz w:val="22"/>
                <w:szCs w:val="22"/>
                <w:lang w:val="sr-Latn-ME"/>
              </w:rPr>
            </w:pPr>
            <w:r w:rsidRPr="00801AFD">
              <w:rPr>
                <w:rFonts w:eastAsia="Calibri"/>
                <w:sz w:val="22"/>
                <w:szCs w:val="22"/>
                <w:lang w:val="sr-Latn-ME"/>
              </w:rPr>
              <w:t>≥ 100</w:t>
            </w:r>
          </w:p>
        </w:tc>
        <w:tc>
          <w:tcPr>
            <w:tcW w:w="0" w:type="auto"/>
            <w:tcBorders>
              <w:top w:val="single" w:sz="4" w:space="0" w:color="auto"/>
              <w:left w:val="single" w:sz="4" w:space="0" w:color="auto"/>
              <w:bottom w:val="single" w:sz="4" w:space="0" w:color="auto"/>
              <w:right w:val="single" w:sz="4" w:space="0" w:color="auto"/>
            </w:tcBorders>
            <w:hideMark/>
          </w:tcPr>
          <w:p w14:paraId="12B77C9A"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3,600</w:t>
            </w:r>
          </w:p>
        </w:tc>
        <w:tc>
          <w:tcPr>
            <w:tcW w:w="0" w:type="auto"/>
            <w:tcBorders>
              <w:top w:val="single" w:sz="4" w:space="0" w:color="auto"/>
              <w:left w:val="single" w:sz="4" w:space="0" w:color="auto"/>
              <w:bottom w:val="single" w:sz="4" w:space="0" w:color="auto"/>
              <w:right w:val="single" w:sz="4" w:space="0" w:color="auto"/>
            </w:tcBorders>
            <w:hideMark/>
          </w:tcPr>
          <w:p w14:paraId="2433E225"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36</w:t>
            </w:r>
          </w:p>
        </w:tc>
        <w:tc>
          <w:tcPr>
            <w:tcW w:w="0" w:type="auto"/>
            <w:tcBorders>
              <w:top w:val="single" w:sz="4" w:space="0" w:color="auto"/>
              <w:left w:val="single" w:sz="4" w:space="0" w:color="auto"/>
              <w:bottom w:val="single" w:sz="4" w:space="0" w:color="auto"/>
              <w:right w:val="single" w:sz="4" w:space="0" w:color="auto"/>
            </w:tcBorders>
            <w:hideMark/>
          </w:tcPr>
          <w:p w14:paraId="75777E7E"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36</w:t>
            </w:r>
          </w:p>
        </w:tc>
        <w:tc>
          <w:tcPr>
            <w:tcW w:w="0" w:type="auto"/>
            <w:tcBorders>
              <w:top w:val="single" w:sz="4" w:space="0" w:color="auto"/>
              <w:left w:val="single" w:sz="4" w:space="0" w:color="auto"/>
              <w:bottom w:val="single" w:sz="4" w:space="0" w:color="auto"/>
              <w:right w:val="single" w:sz="4" w:space="0" w:color="auto"/>
            </w:tcBorders>
            <w:hideMark/>
          </w:tcPr>
          <w:p w14:paraId="043C9031"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72</w:t>
            </w:r>
          </w:p>
        </w:tc>
      </w:tr>
    </w:tbl>
    <w:p w14:paraId="62AB1DD0" w14:textId="4644AAF3" w:rsidR="00574910" w:rsidRPr="00986850" w:rsidRDefault="00574910" w:rsidP="00801AFD">
      <w:pPr>
        <w:widowControl w:val="0"/>
        <w:tabs>
          <w:tab w:val="left" w:pos="284"/>
        </w:tabs>
        <w:jc w:val="both"/>
        <w:rPr>
          <w:sz w:val="20"/>
          <w:szCs w:val="22"/>
          <w:lang w:val="sr-Latn-ME"/>
        </w:rPr>
      </w:pPr>
      <w:r w:rsidRPr="00986850">
        <w:rPr>
          <w:sz w:val="20"/>
          <w:szCs w:val="22"/>
          <w:vertAlign w:val="superscript"/>
          <w:lang w:val="sr-Latn-ME"/>
        </w:rPr>
        <w:t xml:space="preserve">a </w:t>
      </w:r>
      <w:r w:rsidRPr="00986850">
        <w:rPr>
          <w:sz w:val="20"/>
          <w:szCs w:val="22"/>
          <w:lang w:val="sr-Latn-ME"/>
        </w:rPr>
        <w:t xml:space="preserve">Tjelesna </w:t>
      </w:r>
      <w:r w:rsidR="00DB1C80" w:rsidRPr="00986850">
        <w:rPr>
          <w:sz w:val="20"/>
          <w:szCs w:val="22"/>
          <w:lang w:val="sr-Latn-ME"/>
        </w:rPr>
        <w:t xml:space="preserve">težina </w:t>
      </w:r>
      <w:r w:rsidRPr="00986850">
        <w:rPr>
          <w:sz w:val="20"/>
          <w:szCs w:val="22"/>
          <w:lang w:val="sr-Latn-ME"/>
        </w:rPr>
        <w:t>u vrijeme liječenja.</w:t>
      </w:r>
    </w:p>
    <w:p w14:paraId="59A3900C" w14:textId="5DCC51A0" w:rsidR="00574910" w:rsidRPr="00986850" w:rsidRDefault="00574910" w:rsidP="00801AFD">
      <w:pPr>
        <w:widowControl w:val="0"/>
        <w:tabs>
          <w:tab w:val="left" w:pos="284"/>
        </w:tabs>
        <w:jc w:val="both"/>
        <w:rPr>
          <w:sz w:val="20"/>
          <w:szCs w:val="22"/>
          <w:lang w:val="sr-Latn-ME"/>
        </w:rPr>
      </w:pPr>
      <w:r w:rsidRPr="00986850">
        <w:rPr>
          <w:sz w:val="20"/>
          <w:szCs w:val="22"/>
          <w:vertAlign w:val="superscript"/>
          <w:lang w:val="sr-Latn-ME"/>
        </w:rPr>
        <w:t>b</w:t>
      </w:r>
      <w:r w:rsidRPr="00986850">
        <w:rPr>
          <w:sz w:val="20"/>
          <w:szCs w:val="22"/>
          <w:lang w:val="sr-Latn-ME"/>
        </w:rPr>
        <w:t xml:space="preserve"> </w:t>
      </w:r>
      <w:r w:rsidR="00B42CAC" w:rsidRPr="00986850">
        <w:rPr>
          <w:sz w:val="20"/>
          <w:szCs w:val="22"/>
          <w:lang w:val="sr-Latn-ME"/>
        </w:rPr>
        <w:t xml:space="preserve">Lijek </w:t>
      </w:r>
      <w:r w:rsidRPr="00986850">
        <w:rPr>
          <w:sz w:val="20"/>
          <w:szCs w:val="22"/>
          <w:lang w:val="sr-Latn-ME"/>
        </w:rPr>
        <w:t>Ultomiris treba razblaživati isključivo rastvorom za injekciju natrijum hlorida 9 mg/ml (0,9%)</w:t>
      </w:r>
      <w:r w:rsidR="0064549B" w:rsidRPr="00986850">
        <w:rPr>
          <w:sz w:val="20"/>
          <w:szCs w:val="22"/>
          <w:lang w:val="sr-Latn-ME"/>
        </w:rPr>
        <w:t>.</w:t>
      </w:r>
    </w:p>
    <w:p w14:paraId="72DA143E" w14:textId="746264CE" w:rsidR="00574910" w:rsidRPr="00801AFD" w:rsidRDefault="00574910" w:rsidP="00801AFD">
      <w:pPr>
        <w:widowControl w:val="0"/>
        <w:tabs>
          <w:tab w:val="left" w:pos="284"/>
        </w:tabs>
        <w:jc w:val="both"/>
        <w:rPr>
          <w:sz w:val="22"/>
          <w:szCs w:val="22"/>
          <w:lang w:val="sr-Latn-ME"/>
        </w:rPr>
      </w:pPr>
    </w:p>
    <w:p w14:paraId="47AFD1D1" w14:textId="084D09D4" w:rsidR="00256187" w:rsidRPr="00801AFD" w:rsidRDefault="00256187" w:rsidP="00801AFD">
      <w:pPr>
        <w:widowControl w:val="0"/>
        <w:jc w:val="both"/>
        <w:rPr>
          <w:b/>
          <w:sz w:val="22"/>
          <w:szCs w:val="22"/>
          <w:lang w:val="sr-Latn-ME"/>
        </w:rPr>
      </w:pPr>
      <w:r w:rsidRPr="00801AFD">
        <w:rPr>
          <w:b/>
          <w:sz w:val="22"/>
          <w:szCs w:val="22"/>
          <w:lang w:val="sr-Latn-ME"/>
        </w:rPr>
        <w:t xml:space="preserve">Tabela </w:t>
      </w:r>
      <w:r w:rsidR="00D0032C" w:rsidRPr="00801AFD">
        <w:rPr>
          <w:b/>
          <w:sz w:val="22"/>
          <w:szCs w:val="22"/>
          <w:lang w:val="sr-Latn-ME"/>
        </w:rPr>
        <w:t>28</w:t>
      </w:r>
      <w:r w:rsidRPr="00801AFD">
        <w:rPr>
          <w:b/>
          <w:sz w:val="22"/>
          <w:szCs w:val="22"/>
          <w:lang w:val="sr-Latn-ME"/>
        </w:rPr>
        <w:t>: Reference za prim</w:t>
      </w:r>
      <w:r w:rsidR="007B354B" w:rsidRPr="00801AFD">
        <w:rPr>
          <w:b/>
          <w:sz w:val="22"/>
          <w:szCs w:val="22"/>
          <w:lang w:val="sr-Latn-ME"/>
        </w:rPr>
        <w:t>j</w:t>
      </w:r>
      <w:r w:rsidRPr="00801AFD">
        <w:rPr>
          <w:b/>
          <w:sz w:val="22"/>
          <w:szCs w:val="22"/>
          <w:lang w:val="sr-Latn-ME"/>
        </w:rPr>
        <w:t>enu dodatne doze l</w:t>
      </w:r>
      <w:r w:rsidR="007B354B" w:rsidRPr="00801AFD">
        <w:rPr>
          <w:b/>
          <w:sz w:val="22"/>
          <w:szCs w:val="22"/>
          <w:lang w:val="sr-Latn-ME"/>
        </w:rPr>
        <w:t>ij</w:t>
      </w:r>
      <w:r w:rsidRPr="00801AFD">
        <w:rPr>
          <w:b/>
          <w:sz w:val="22"/>
          <w:szCs w:val="22"/>
          <w:lang w:val="sr-Latn-ME"/>
        </w:rPr>
        <w:t>eka Ultomiris 300</w:t>
      </w:r>
      <w:r w:rsidR="00BA7E80" w:rsidRPr="00801AFD">
        <w:rPr>
          <w:b/>
          <w:sz w:val="22"/>
          <w:szCs w:val="22"/>
          <w:lang w:val="sr-Latn-ME"/>
        </w:rPr>
        <w:t xml:space="preserve"> </w:t>
      </w:r>
      <w:r w:rsidRPr="00801AFD">
        <w:rPr>
          <w:b/>
          <w:sz w:val="22"/>
          <w:szCs w:val="22"/>
          <w:lang w:val="sr-Latn-ME"/>
        </w:rPr>
        <w:t>mg/3</w:t>
      </w:r>
      <w:r w:rsidR="00BA7E80" w:rsidRPr="00801AFD">
        <w:rPr>
          <w:b/>
          <w:sz w:val="22"/>
          <w:szCs w:val="22"/>
          <w:lang w:val="sr-Latn-ME"/>
        </w:rPr>
        <w:t xml:space="preserve"> </w:t>
      </w:r>
      <w:r w:rsidRPr="00801AFD">
        <w:rPr>
          <w:b/>
          <w:sz w:val="22"/>
          <w:szCs w:val="22"/>
          <w:lang w:val="sr-Latn-ME"/>
        </w:rPr>
        <w:t>m</w:t>
      </w:r>
      <w:r w:rsidR="00476054" w:rsidRPr="00801AFD">
        <w:rPr>
          <w:b/>
          <w:sz w:val="22"/>
          <w:szCs w:val="22"/>
          <w:lang w:val="sr-Latn-ME"/>
        </w:rPr>
        <w:t>l</w:t>
      </w:r>
      <w:r w:rsidRPr="00801AFD">
        <w:rPr>
          <w:b/>
          <w:sz w:val="22"/>
          <w:szCs w:val="22"/>
          <w:lang w:val="sr-Latn-ME"/>
        </w:rPr>
        <w:t xml:space="preserve"> i 1100</w:t>
      </w:r>
      <w:r w:rsidR="00BA7E80" w:rsidRPr="00801AFD">
        <w:rPr>
          <w:b/>
          <w:sz w:val="22"/>
          <w:szCs w:val="22"/>
          <w:lang w:val="sr-Latn-ME"/>
        </w:rPr>
        <w:t xml:space="preserve"> </w:t>
      </w:r>
      <w:r w:rsidRPr="00801AFD">
        <w:rPr>
          <w:b/>
          <w:sz w:val="22"/>
          <w:szCs w:val="22"/>
          <w:lang w:val="sr-Latn-ME"/>
        </w:rPr>
        <w:t>mg/11</w:t>
      </w:r>
      <w:r w:rsidR="00BA7E80" w:rsidRPr="00801AFD">
        <w:rPr>
          <w:b/>
          <w:sz w:val="22"/>
          <w:szCs w:val="22"/>
          <w:lang w:val="sr-Latn-ME"/>
        </w:rPr>
        <w:t xml:space="preserve"> </w:t>
      </w:r>
      <w:r w:rsidRPr="00801AFD">
        <w:rPr>
          <w:b/>
          <w:sz w:val="22"/>
          <w:szCs w:val="22"/>
          <w:lang w:val="sr-Latn-ME"/>
        </w:rPr>
        <w:t>m</w:t>
      </w:r>
      <w:r w:rsidR="00476054" w:rsidRPr="00801AFD">
        <w:rPr>
          <w:b/>
          <w:sz w:val="22"/>
          <w:szCs w:val="22"/>
          <w:lang w:val="sr-Latn-ME"/>
        </w:rPr>
        <w:t>l</w:t>
      </w:r>
      <w:r w:rsidRPr="00801AFD">
        <w:rPr>
          <w:b/>
          <w:sz w:val="22"/>
          <w:szCs w:val="22"/>
          <w:lang w:val="sr-Latn-ME"/>
        </w:rPr>
        <w:t xml:space="preserve"> koncentrat za rastvor za infuziju</w:t>
      </w:r>
    </w:p>
    <w:p w14:paraId="340504D8" w14:textId="77777777" w:rsidR="00476054" w:rsidRPr="00801AFD" w:rsidRDefault="00476054" w:rsidP="00801AFD">
      <w:pPr>
        <w:widowControl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465"/>
        <w:gridCol w:w="2007"/>
        <w:gridCol w:w="2049"/>
        <w:gridCol w:w="1781"/>
      </w:tblGrid>
      <w:tr w:rsidR="00476054" w:rsidRPr="00801AFD" w14:paraId="34E603A1" w14:textId="77777777" w:rsidTr="00986850">
        <w:trPr>
          <w:trHeight w:val="19"/>
        </w:trPr>
        <w:tc>
          <w:tcPr>
            <w:tcW w:w="0" w:type="auto"/>
            <w:vAlign w:val="center"/>
            <w:hideMark/>
          </w:tcPr>
          <w:p w14:paraId="6359BA9C" w14:textId="065A18BC" w:rsidR="00476054" w:rsidRPr="00801AFD" w:rsidRDefault="00476054"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Raspon tjelesne težine (kg)</w:t>
            </w:r>
            <w:r w:rsidRPr="00801AFD">
              <w:rPr>
                <w:rFonts w:ascii="Times New Roman" w:hAnsi="Times New Roman"/>
                <w:sz w:val="22"/>
                <w:szCs w:val="22"/>
                <w:vertAlign w:val="superscript"/>
                <w:lang w:val="sr-Latn-ME"/>
              </w:rPr>
              <w:t>a</w:t>
            </w:r>
          </w:p>
        </w:tc>
        <w:tc>
          <w:tcPr>
            <w:tcW w:w="0" w:type="auto"/>
            <w:vAlign w:val="center"/>
            <w:hideMark/>
          </w:tcPr>
          <w:p w14:paraId="0458D9DA" w14:textId="77777777" w:rsidR="00476054" w:rsidRPr="00801AFD" w:rsidRDefault="00476054"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Dodatna doza (mg)</w:t>
            </w:r>
          </w:p>
        </w:tc>
        <w:tc>
          <w:tcPr>
            <w:tcW w:w="0" w:type="auto"/>
            <w:hideMark/>
          </w:tcPr>
          <w:p w14:paraId="203C7745" w14:textId="464927B1" w:rsidR="00476054" w:rsidRPr="00801AFD" w:rsidRDefault="00476054" w:rsidP="00801AFD">
            <w:pPr>
              <w:pStyle w:val="C-TableHeader"/>
              <w:keepNext w:val="0"/>
              <w:widowControl w:val="0"/>
              <w:jc w:val="center"/>
              <w:rPr>
                <w:rFonts w:ascii="Times New Roman" w:hAnsi="Times New Roman"/>
                <w:sz w:val="22"/>
                <w:szCs w:val="22"/>
                <w:lang w:val="sr-Latn-ME"/>
              </w:rPr>
            </w:pPr>
            <w:r w:rsidRPr="00801AFD">
              <w:rPr>
                <w:rFonts w:ascii="Times New Roman" w:eastAsia="SimSun" w:hAnsi="Times New Roman"/>
                <w:b w:val="0"/>
                <w:sz w:val="22"/>
                <w:szCs w:val="22"/>
                <w:lang w:val="sr-Latn-ME"/>
              </w:rPr>
              <w:t>Zapremina lijeka Ultomiris (ml)</w:t>
            </w:r>
          </w:p>
        </w:tc>
        <w:tc>
          <w:tcPr>
            <w:tcW w:w="0" w:type="auto"/>
            <w:vAlign w:val="center"/>
            <w:hideMark/>
          </w:tcPr>
          <w:p w14:paraId="4AB85640" w14:textId="3A455708" w:rsidR="00476054" w:rsidRPr="00801AFD" w:rsidRDefault="00476054" w:rsidP="00801AFD">
            <w:pPr>
              <w:pStyle w:val="C-TableHeader"/>
              <w:keepNext w:val="0"/>
              <w:widowControl w:val="0"/>
              <w:jc w:val="center"/>
              <w:rPr>
                <w:rFonts w:ascii="Times New Roman" w:hAnsi="Times New Roman"/>
                <w:sz w:val="22"/>
                <w:szCs w:val="22"/>
                <w:lang w:val="sr-Latn-ME"/>
              </w:rPr>
            </w:pPr>
            <w:r w:rsidRPr="00801AFD">
              <w:rPr>
                <w:rFonts w:ascii="Times New Roman" w:eastAsia="SimSun" w:hAnsi="Times New Roman"/>
                <w:b w:val="0"/>
                <w:sz w:val="22"/>
                <w:szCs w:val="22"/>
                <w:lang w:val="sr-Latn-ME"/>
              </w:rPr>
              <w:t>Zapremina rastvarača NaCl</w:t>
            </w:r>
            <w:r w:rsidRPr="00801AFD">
              <w:rPr>
                <w:rFonts w:ascii="Times New Roman" w:eastAsia="SimSun" w:hAnsi="Times New Roman"/>
                <w:b w:val="0"/>
                <w:sz w:val="22"/>
                <w:szCs w:val="22"/>
                <w:vertAlign w:val="superscript"/>
                <w:lang w:val="sr-Latn-ME"/>
              </w:rPr>
              <w:t>b</w:t>
            </w:r>
            <w:r w:rsidRPr="00801AFD">
              <w:rPr>
                <w:rFonts w:ascii="Times New Roman" w:eastAsia="SimSun" w:hAnsi="Times New Roman"/>
                <w:b w:val="0"/>
                <w:sz w:val="22"/>
                <w:szCs w:val="22"/>
                <w:lang w:val="sr-Latn-ME"/>
              </w:rPr>
              <w:t xml:space="preserve"> (ml)</w:t>
            </w:r>
          </w:p>
        </w:tc>
        <w:tc>
          <w:tcPr>
            <w:tcW w:w="0" w:type="auto"/>
            <w:vAlign w:val="center"/>
            <w:hideMark/>
          </w:tcPr>
          <w:p w14:paraId="1CD1BA55" w14:textId="1128A8DF" w:rsidR="00476054" w:rsidRPr="00801AFD" w:rsidRDefault="00476054"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Ukupna zapremina (ml)</w:t>
            </w:r>
          </w:p>
        </w:tc>
      </w:tr>
      <w:tr w:rsidR="00476054" w:rsidRPr="00801AFD" w14:paraId="51E17215" w14:textId="77777777" w:rsidTr="00986850">
        <w:trPr>
          <w:trHeight w:val="19"/>
        </w:trPr>
        <w:tc>
          <w:tcPr>
            <w:tcW w:w="0" w:type="auto"/>
            <w:vMerge w:val="restart"/>
          </w:tcPr>
          <w:p w14:paraId="77260C87" w14:textId="77777777" w:rsidR="00476054" w:rsidRPr="00801AFD" w:rsidRDefault="00476054" w:rsidP="00801AFD">
            <w:pPr>
              <w:pStyle w:val="C-TableText"/>
              <w:widowControl w:val="0"/>
              <w:jc w:val="center"/>
              <w:rPr>
                <w:sz w:val="22"/>
                <w:szCs w:val="22"/>
              </w:rPr>
            </w:pPr>
            <w:r w:rsidRPr="00801AFD">
              <w:rPr>
                <w:sz w:val="22"/>
                <w:szCs w:val="22"/>
              </w:rPr>
              <w:t>≥ 40 to &lt; 60</w:t>
            </w:r>
          </w:p>
          <w:p w14:paraId="09BB9D78" w14:textId="77777777" w:rsidR="00476054" w:rsidRPr="00801AFD" w:rsidRDefault="00476054" w:rsidP="00801AFD">
            <w:pPr>
              <w:pStyle w:val="C-TableText"/>
              <w:widowControl w:val="0"/>
              <w:jc w:val="center"/>
              <w:rPr>
                <w:sz w:val="22"/>
                <w:szCs w:val="22"/>
              </w:rPr>
            </w:pPr>
          </w:p>
        </w:tc>
        <w:tc>
          <w:tcPr>
            <w:tcW w:w="0" w:type="auto"/>
            <w:vAlign w:val="center"/>
          </w:tcPr>
          <w:p w14:paraId="7D94B2F9" w14:textId="77777777" w:rsidR="00476054" w:rsidRPr="00801AFD" w:rsidRDefault="00476054" w:rsidP="00801AFD">
            <w:pPr>
              <w:pStyle w:val="C-TableText"/>
              <w:widowControl w:val="0"/>
              <w:jc w:val="center"/>
              <w:rPr>
                <w:sz w:val="22"/>
                <w:szCs w:val="22"/>
              </w:rPr>
            </w:pPr>
            <w:r w:rsidRPr="00801AFD">
              <w:rPr>
                <w:sz w:val="22"/>
                <w:szCs w:val="22"/>
              </w:rPr>
              <w:t>600</w:t>
            </w:r>
          </w:p>
        </w:tc>
        <w:tc>
          <w:tcPr>
            <w:tcW w:w="0" w:type="auto"/>
          </w:tcPr>
          <w:p w14:paraId="4CA2E501" w14:textId="77777777" w:rsidR="00476054" w:rsidRPr="00801AFD" w:rsidRDefault="00476054" w:rsidP="00801AFD">
            <w:pPr>
              <w:pStyle w:val="C-TableText"/>
              <w:widowControl w:val="0"/>
              <w:jc w:val="center"/>
              <w:rPr>
                <w:sz w:val="22"/>
                <w:szCs w:val="22"/>
              </w:rPr>
            </w:pPr>
            <w:r w:rsidRPr="00801AFD">
              <w:rPr>
                <w:sz w:val="22"/>
                <w:szCs w:val="22"/>
              </w:rPr>
              <w:t>6</w:t>
            </w:r>
          </w:p>
        </w:tc>
        <w:tc>
          <w:tcPr>
            <w:tcW w:w="0" w:type="auto"/>
          </w:tcPr>
          <w:p w14:paraId="20383C98" w14:textId="77777777" w:rsidR="00476054" w:rsidRPr="00801AFD" w:rsidRDefault="00476054" w:rsidP="00801AFD">
            <w:pPr>
              <w:pStyle w:val="C-TableText"/>
              <w:widowControl w:val="0"/>
              <w:jc w:val="center"/>
              <w:rPr>
                <w:sz w:val="22"/>
                <w:szCs w:val="22"/>
              </w:rPr>
            </w:pPr>
            <w:r w:rsidRPr="00801AFD">
              <w:rPr>
                <w:sz w:val="22"/>
                <w:szCs w:val="22"/>
              </w:rPr>
              <w:t>6</w:t>
            </w:r>
          </w:p>
        </w:tc>
        <w:tc>
          <w:tcPr>
            <w:tcW w:w="0" w:type="auto"/>
          </w:tcPr>
          <w:p w14:paraId="287955E8" w14:textId="77777777" w:rsidR="00476054" w:rsidRPr="00801AFD" w:rsidRDefault="00476054" w:rsidP="00801AFD">
            <w:pPr>
              <w:pStyle w:val="C-TableText"/>
              <w:widowControl w:val="0"/>
              <w:jc w:val="center"/>
              <w:rPr>
                <w:sz w:val="22"/>
                <w:szCs w:val="22"/>
              </w:rPr>
            </w:pPr>
            <w:r w:rsidRPr="00801AFD">
              <w:rPr>
                <w:sz w:val="22"/>
                <w:szCs w:val="22"/>
              </w:rPr>
              <w:t>12</w:t>
            </w:r>
          </w:p>
        </w:tc>
      </w:tr>
      <w:tr w:rsidR="00476054" w:rsidRPr="00801AFD" w14:paraId="79220765" w14:textId="77777777" w:rsidTr="00986850">
        <w:trPr>
          <w:trHeight w:val="19"/>
        </w:trPr>
        <w:tc>
          <w:tcPr>
            <w:tcW w:w="0" w:type="auto"/>
            <w:vMerge/>
            <w:hideMark/>
          </w:tcPr>
          <w:p w14:paraId="50E27070" w14:textId="77777777" w:rsidR="00476054" w:rsidRPr="00801AFD" w:rsidRDefault="00476054" w:rsidP="00801AFD">
            <w:pPr>
              <w:pStyle w:val="C-TableText"/>
              <w:widowControl w:val="0"/>
              <w:jc w:val="center"/>
              <w:rPr>
                <w:sz w:val="22"/>
                <w:szCs w:val="22"/>
              </w:rPr>
            </w:pPr>
          </w:p>
        </w:tc>
        <w:tc>
          <w:tcPr>
            <w:tcW w:w="0" w:type="auto"/>
            <w:vAlign w:val="center"/>
          </w:tcPr>
          <w:p w14:paraId="1A00463E" w14:textId="77777777" w:rsidR="00476054" w:rsidRPr="00801AFD" w:rsidRDefault="00476054" w:rsidP="00801AFD">
            <w:pPr>
              <w:pStyle w:val="C-TableText"/>
              <w:widowControl w:val="0"/>
              <w:jc w:val="center"/>
              <w:rPr>
                <w:sz w:val="22"/>
                <w:szCs w:val="22"/>
              </w:rPr>
            </w:pPr>
            <w:r w:rsidRPr="00801AFD">
              <w:rPr>
                <w:sz w:val="22"/>
                <w:szCs w:val="22"/>
              </w:rPr>
              <w:t>1,200</w:t>
            </w:r>
          </w:p>
        </w:tc>
        <w:tc>
          <w:tcPr>
            <w:tcW w:w="0" w:type="auto"/>
          </w:tcPr>
          <w:p w14:paraId="17936BED" w14:textId="77777777" w:rsidR="00476054" w:rsidRPr="00801AFD" w:rsidRDefault="00476054" w:rsidP="00801AFD">
            <w:pPr>
              <w:pStyle w:val="C-TableText"/>
              <w:widowControl w:val="0"/>
              <w:jc w:val="center"/>
              <w:rPr>
                <w:sz w:val="22"/>
                <w:szCs w:val="22"/>
              </w:rPr>
            </w:pPr>
            <w:r w:rsidRPr="00801AFD">
              <w:rPr>
                <w:sz w:val="22"/>
                <w:szCs w:val="22"/>
              </w:rPr>
              <w:t>12</w:t>
            </w:r>
          </w:p>
        </w:tc>
        <w:tc>
          <w:tcPr>
            <w:tcW w:w="0" w:type="auto"/>
          </w:tcPr>
          <w:p w14:paraId="0DA02DCE" w14:textId="77777777" w:rsidR="00476054" w:rsidRPr="00801AFD" w:rsidRDefault="00476054" w:rsidP="00801AFD">
            <w:pPr>
              <w:pStyle w:val="C-TableText"/>
              <w:widowControl w:val="0"/>
              <w:jc w:val="center"/>
              <w:rPr>
                <w:sz w:val="22"/>
                <w:szCs w:val="22"/>
              </w:rPr>
            </w:pPr>
            <w:r w:rsidRPr="00801AFD">
              <w:rPr>
                <w:sz w:val="22"/>
                <w:szCs w:val="22"/>
              </w:rPr>
              <w:t>12</w:t>
            </w:r>
          </w:p>
        </w:tc>
        <w:tc>
          <w:tcPr>
            <w:tcW w:w="0" w:type="auto"/>
          </w:tcPr>
          <w:p w14:paraId="5509EEFB" w14:textId="77777777" w:rsidR="00476054" w:rsidRPr="00801AFD" w:rsidRDefault="00476054" w:rsidP="00801AFD">
            <w:pPr>
              <w:pStyle w:val="C-TableText"/>
              <w:widowControl w:val="0"/>
              <w:jc w:val="center"/>
              <w:rPr>
                <w:sz w:val="22"/>
                <w:szCs w:val="22"/>
              </w:rPr>
            </w:pPr>
            <w:r w:rsidRPr="00801AFD">
              <w:rPr>
                <w:sz w:val="22"/>
                <w:szCs w:val="22"/>
              </w:rPr>
              <w:t>24</w:t>
            </w:r>
          </w:p>
        </w:tc>
      </w:tr>
      <w:tr w:rsidR="00476054" w:rsidRPr="00801AFD" w14:paraId="469FF2F0" w14:textId="77777777" w:rsidTr="00986850">
        <w:trPr>
          <w:trHeight w:val="19"/>
        </w:trPr>
        <w:tc>
          <w:tcPr>
            <w:tcW w:w="0" w:type="auto"/>
            <w:vMerge/>
          </w:tcPr>
          <w:p w14:paraId="2982A355" w14:textId="77777777" w:rsidR="00476054" w:rsidRPr="00801AFD" w:rsidRDefault="00476054" w:rsidP="00801AFD">
            <w:pPr>
              <w:pStyle w:val="C-TableText"/>
              <w:widowControl w:val="0"/>
              <w:jc w:val="center"/>
              <w:rPr>
                <w:sz w:val="22"/>
                <w:szCs w:val="22"/>
              </w:rPr>
            </w:pPr>
          </w:p>
        </w:tc>
        <w:tc>
          <w:tcPr>
            <w:tcW w:w="0" w:type="auto"/>
            <w:vAlign w:val="center"/>
          </w:tcPr>
          <w:p w14:paraId="13C0AE40" w14:textId="77777777" w:rsidR="00476054" w:rsidRPr="00801AFD" w:rsidRDefault="00476054" w:rsidP="00801AFD">
            <w:pPr>
              <w:pStyle w:val="C-TableText"/>
              <w:widowControl w:val="0"/>
              <w:jc w:val="center"/>
              <w:rPr>
                <w:sz w:val="22"/>
                <w:szCs w:val="22"/>
              </w:rPr>
            </w:pPr>
            <w:r w:rsidRPr="00801AFD">
              <w:rPr>
                <w:sz w:val="22"/>
                <w:szCs w:val="22"/>
              </w:rPr>
              <w:t>1,500</w:t>
            </w:r>
          </w:p>
        </w:tc>
        <w:tc>
          <w:tcPr>
            <w:tcW w:w="0" w:type="auto"/>
          </w:tcPr>
          <w:p w14:paraId="61E993D5" w14:textId="77777777" w:rsidR="00476054" w:rsidRPr="00801AFD" w:rsidRDefault="00476054" w:rsidP="00801AFD">
            <w:pPr>
              <w:pStyle w:val="C-TableText"/>
              <w:widowControl w:val="0"/>
              <w:jc w:val="center"/>
              <w:rPr>
                <w:sz w:val="22"/>
                <w:szCs w:val="22"/>
              </w:rPr>
            </w:pPr>
            <w:r w:rsidRPr="00801AFD">
              <w:rPr>
                <w:sz w:val="22"/>
                <w:szCs w:val="22"/>
              </w:rPr>
              <w:t>15</w:t>
            </w:r>
          </w:p>
        </w:tc>
        <w:tc>
          <w:tcPr>
            <w:tcW w:w="0" w:type="auto"/>
          </w:tcPr>
          <w:p w14:paraId="58D93043" w14:textId="77777777" w:rsidR="00476054" w:rsidRPr="00801AFD" w:rsidRDefault="00476054" w:rsidP="00801AFD">
            <w:pPr>
              <w:pStyle w:val="C-TableText"/>
              <w:widowControl w:val="0"/>
              <w:jc w:val="center"/>
              <w:rPr>
                <w:sz w:val="22"/>
                <w:szCs w:val="22"/>
              </w:rPr>
            </w:pPr>
            <w:r w:rsidRPr="00801AFD">
              <w:rPr>
                <w:sz w:val="22"/>
                <w:szCs w:val="22"/>
              </w:rPr>
              <w:t>15</w:t>
            </w:r>
          </w:p>
        </w:tc>
        <w:tc>
          <w:tcPr>
            <w:tcW w:w="0" w:type="auto"/>
          </w:tcPr>
          <w:p w14:paraId="1F1D6B09" w14:textId="77777777" w:rsidR="00476054" w:rsidRPr="00801AFD" w:rsidRDefault="00476054" w:rsidP="00801AFD">
            <w:pPr>
              <w:pStyle w:val="C-TableText"/>
              <w:widowControl w:val="0"/>
              <w:jc w:val="center"/>
              <w:rPr>
                <w:sz w:val="22"/>
                <w:szCs w:val="22"/>
              </w:rPr>
            </w:pPr>
            <w:r w:rsidRPr="00801AFD">
              <w:rPr>
                <w:sz w:val="22"/>
                <w:szCs w:val="22"/>
              </w:rPr>
              <w:t>30</w:t>
            </w:r>
          </w:p>
        </w:tc>
      </w:tr>
      <w:tr w:rsidR="00476054" w:rsidRPr="00801AFD" w14:paraId="3F1495FF" w14:textId="77777777" w:rsidTr="00986850">
        <w:trPr>
          <w:trHeight w:val="19"/>
        </w:trPr>
        <w:tc>
          <w:tcPr>
            <w:tcW w:w="0" w:type="auto"/>
            <w:vMerge w:val="restart"/>
          </w:tcPr>
          <w:p w14:paraId="0137C3A6" w14:textId="77777777" w:rsidR="00476054" w:rsidRPr="00801AFD" w:rsidRDefault="00476054" w:rsidP="00801AFD">
            <w:pPr>
              <w:pStyle w:val="C-TableText"/>
              <w:widowControl w:val="0"/>
              <w:jc w:val="center"/>
              <w:rPr>
                <w:sz w:val="22"/>
                <w:szCs w:val="22"/>
              </w:rPr>
            </w:pPr>
            <w:r w:rsidRPr="00801AFD">
              <w:rPr>
                <w:sz w:val="22"/>
                <w:szCs w:val="22"/>
              </w:rPr>
              <w:t>≥ 60 to &lt; 100</w:t>
            </w:r>
          </w:p>
        </w:tc>
        <w:tc>
          <w:tcPr>
            <w:tcW w:w="0" w:type="auto"/>
            <w:vAlign w:val="center"/>
          </w:tcPr>
          <w:p w14:paraId="53595E57" w14:textId="77777777" w:rsidR="00476054" w:rsidRPr="00801AFD" w:rsidRDefault="00476054" w:rsidP="00801AFD">
            <w:pPr>
              <w:pStyle w:val="C-TableText"/>
              <w:widowControl w:val="0"/>
              <w:jc w:val="center"/>
              <w:rPr>
                <w:sz w:val="22"/>
                <w:szCs w:val="22"/>
              </w:rPr>
            </w:pPr>
            <w:r w:rsidRPr="00801AFD">
              <w:rPr>
                <w:sz w:val="22"/>
                <w:szCs w:val="22"/>
              </w:rPr>
              <w:t>600</w:t>
            </w:r>
          </w:p>
        </w:tc>
        <w:tc>
          <w:tcPr>
            <w:tcW w:w="0" w:type="auto"/>
          </w:tcPr>
          <w:p w14:paraId="268521CD" w14:textId="77777777" w:rsidR="00476054" w:rsidRPr="00801AFD" w:rsidRDefault="00476054" w:rsidP="00801AFD">
            <w:pPr>
              <w:pStyle w:val="C-TableText"/>
              <w:widowControl w:val="0"/>
              <w:jc w:val="center"/>
              <w:rPr>
                <w:sz w:val="22"/>
                <w:szCs w:val="22"/>
              </w:rPr>
            </w:pPr>
            <w:r w:rsidRPr="00801AFD">
              <w:rPr>
                <w:sz w:val="22"/>
                <w:szCs w:val="22"/>
              </w:rPr>
              <w:t>6</w:t>
            </w:r>
          </w:p>
        </w:tc>
        <w:tc>
          <w:tcPr>
            <w:tcW w:w="0" w:type="auto"/>
          </w:tcPr>
          <w:p w14:paraId="5C6E6D85" w14:textId="77777777" w:rsidR="00476054" w:rsidRPr="00801AFD" w:rsidRDefault="00476054" w:rsidP="00801AFD">
            <w:pPr>
              <w:pStyle w:val="C-TableText"/>
              <w:widowControl w:val="0"/>
              <w:jc w:val="center"/>
              <w:rPr>
                <w:sz w:val="22"/>
                <w:szCs w:val="22"/>
              </w:rPr>
            </w:pPr>
            <w:r w:rsidRPr="00801AFD">
              <w:rPr>
                <w:sz w:val="22"/>
                <w:szCs w:val="22"/>
              </w:rPr>
              <w:t>6</w:t>
            </w:r>
          </w:p>
        </w:tc>
        <w:tc>
          <w:tcPr>
            <w:tcW w:w="0" w:type="auto"/>
          </w:tcPr>
          <w:p w14:paraId="136C5C10" w14:textId="77777777" w:rsidR="00476054" w:rsidRPr="00801AFD" w:rsidRDefault="00476054" w:rsidP="00801AFD">
            <w:pPr>
              <w:pStyle w:val="C-TableText"/>
              <w:widowControl w:val="0"/>
              <w:jc w:val="center"/>
              <w:rPr>
                <w:sz w:val="22"/>
                <w:szCs w:val="22"/>
              </w:rPr>
            </w:pPr>
            <w:r w:rsidRPr="00801AFD">
              <w:rPr>
                <w:sz w:val="22"/>
                <w:szCs w:val="22"/>
              </w:rPr>
              <w:t>12</w:t>
            </w:r>
          </w:p>
        </w:tc>
      </w:tr>
      <w:tr w:rsidR="00476054" w:rsidRPr="00801AFD" w14:paraId="5DEBF8CE" w14:textId="77777777" w:rsidTr="00986850">
        <w:trPr>
          <w:trHeight w:val="19"/>
        </w:trPr>
        <w:tc>
          <w:tcPr>
            <w:tcW w:w="0" w:type="auto"/>
            <w:vMerge/>
            <w:hideMark/>
          </w:tcPr>
          <w:p w14:paraId="13CB3CB8" w14:textId="77777777" w:rsidR="00476054" w:rsidRPr="00801AFD" w:rsidRDefault="00476054" w:rsidP="00801AFD">
            <w:pPr>
              <w:pStyle w:val="C-TableText"/>
              <w:widowControl w:val="0"/>
              <w:jc w:val="center"/>
              <w:rPr>
                <w:sz w:val="22"/>
                <w:szCs w:val="22"/>
              </w:rPr>
            </w:pPr>
          </w:p>
        </w:tc>
        <w:tc>
          <w:tcPr>
            <w:tcW w:w="0" w:type="auto"/>
            <w:vAlign w:val="center"/>
          </w:tcPr>
          <w:p w14:paraId="76E51397" w14:textId="77777777" w:rsidR="00476054" w:rsidRPr="00801AFD" w:rsidRDefault="00476054" w:rsidP="00801AFD">
            <w:pPr>
              <w:pStyle w:val="C-TableText"/>
              <w:widowControl w:val="0"/>
              <w:jc w:val="center"/>
              <w:rPr>
                <w:sz w:val="22"/>
                <w:szCs w:val="22"/>
              </w:rPr>
            </w:pPr>
            <w:r w:rsidRPr="00801AFD">
              <w:rPr>
                <w:sz w:val="22"/>
                <w:szCs w:val="22"/>
              </w:rPr>
              <w:t>1,500</w:t>
            </w:r>
          </w:p>
        </w:tc>
        <w:tc>
          <w:tcPr>
            <w:tcW w:w="0" w:type="auto"/>
          </w:tcPr>
          <w:p w14:paraId="4D2D8343" w14:textId="77777777" w:rsidR="00476054" w:rsidRPr="00801AFD" w:rsidRDefault="00476054" w:rsidP="00801AFD">
            <w:pPr>
              <w:pStyle w:val="C-TableText"/>
              <w:widowControl w:val="0"/>
              <w:jc w:val="center"/>
              <w:rPr>
                <w:sz w:val="22"/>
                <w:szCs w:val="22"/>
              </w:rPr>
            </w:pPr>
            <w:r w:rsidRPr="00801AFD">
              <w:rPr>
                <w:sz w:val="22"/>
                <w:szCs w:val="22"/>
              </w:rPr>
              <w:t>15</w:t>
            </w:r>
          </w:p>
        </w:tc>
        <w:tc>
          <w:tcPr>
            <w:tcW w:w="0" w:type="auto"/>
          </w:tcPr>
          <w:p w14:paraId="66118179" w14:textId="77777777" w:rsidR="00476054" w:rsidRPr="00801AFD" w:rsidRDefault="00476054" w:rsidP="00801AFD">
            <w:pPr>
              <w:pStyle w:val="C-TableText"/>
              <w:widowControl w:val="0"/>
              <w:jc w:val="center"/>
              <w:rPr>
                <w:sz w:val="22"/>
                <w:szCs w:val="22"/>
              </w:rPr>
            </w:pPr>
            <w:r w:rsidRPr="00801AFD">
              <w:rPr>
                <w:sz w:val="22"/>
                <w:szCs w:val="22"/>
              </w:rPr>
              <w:t>15</w:t>
            </w:r>
          </w:p>
        </w:tc>
        <w:tc>
          <w:tcPr>
            <w:tcW w:w="0" w:type="auto"/>
          </w:tcPr>
          <w:p w14:paraId="48A0DA85" w14:textId="77777777" w:rsidR="00476054" w:rsidRPr="00801AFD" w:rsidRDefault="00476054" w:rsidP="00801AFD">
            <w:pPr>
              <w:pStyle w:val="C-TableText"/>
              <w:widowControl w:val="0"/>
              <w:jc w:val="center"/>
              <w:rPr>
                <w:sz w:val="22"/>
                <w:szCs w:val="22"/>
              </w:rPr>
            </w:pPr>
            <w:r w:rsidRPr="00801AFD">
              <w:rPr>
                <w:sz w:val="22"/>
                <w:szCs w:val="22"/>
              </w:rPr>
              <w:t>30</w:t>
            </w:r>
          </w:p>
        </w:tc>
      </w:tr>
      <w:tr w:rsidR="00476054" w:rsidRPr="00801AFD" w14:paraId="1EFE4728" w14:textId="77777777" w:rsidTr="00986850">
        <w:trPr>
          <w:trHeight w:val="19"/>
        </w:trPr>
        <w:tc>
          <w:tcPr>
            <w:tcW w:w="0" w:type="auto"/>
            <w:vMerge/>
          </w:tcPr>
          <w:p w14:paraId="40B4E488" w14:textId="77777777" w:rsidR="00476054" w:rsidRPr="00801AFD" w:rsidRDefault="00476054" w:rsidP="00801AFD">
            <w:pPr>
              <w:pStyle w:val="C-TableText"/>
              <w:widowControl w:val="0"/>
              <w:jc w:val="center"/>
              <w:rPr>
                <w:sz w:val="22"/>
                <w:szCs w:val="22"/>
              </w:rPr>
            </w:pPr>
          </w:p>
        </w:tc>
        <w:tc>
          <w:tcPr>
            <w:tcW w:w="0" w:type="auto"/>
            <w:vAlign w:val="center"/>
          </w:tcPr>
          <w:p w14:paraId="76B00C3F" w14:textId="77777777" w:rsidR="00476054" w:rsidRPr="00801AFD" w:rsidRDefault="00476054" w:rsidP="00801AFD">
            <w:pPr>
              <w:pStyle w:val="C-TableText"/>
              <w:widowControl w:val="0"/>
              <w:jc w:val="center"/>
              <w:rPr>
                <w:sz w:val="22"/>
                <w:szCs w:val="22"/>
              </w:rPr>
            </w:pPr>
            <w:r w:rsidRPr="00801AFD">
              <w:rPr>
                <w:sz w:val="22"/>
                <w:szCs w:val="22"/>
              </w:rPr>
              <w:t>1,800</w:t>
            </w:r>
          </w:p>
        </w:tc>
        <w:tc>
          <w:tcPr>
            <w:tcW w:w="0" w:type="auto"/>
          </w:tcPr>
          <w:p w14:paraId="5AD2BABB" w14:textId="77777777" w:rsidR="00476054" w:rsidRPr="00801AFD" w:rsidRDefault="00476054" w:rsidP="00801AFD">
            <w:pPr>
              <w:pStyle w:val="C-TableText"/>
              <w:widowControl w:val="0"/>
              <w:jc w:val="center"/>
              <w:rPr>
                <w:sz w:val="22"/>
                <w:szCs w:val="22"/>
              </w:rPr>
            </w:pPr>
            <w:r w:rsidRPr="00801AFD">
              <w:rPr>
                <w:sz w:val="22"/>
                <w:szCs w:val="22"/>
              </w:rPr>
              <w:t>18</w:t>
            </w:r>
          </w:p>
        </w:tc>
        <w:tc>
          <w:tcPr>
            <w:tcW w:w="0" w:type="auto"/>
          </w:tcPr>
          <w:p w14:paraId="61527CDC" w14:textId="77777777" w:rsidR="00476054" w:rsidRPr="00801AFD" w:rsidRDefault="00476054" w:rsidP="00801AFD">
            <w:pPr>
              <w:pStyle w:val="C-TableText"/>
              <w:widowControl w:val="0"/>
              <w:jc w:val="center"/>
              <w:rPr>
                <w:sz w:val="22"/>
                <w:szCs w:val="22"/>
              </w:rPr>
            </w:pPr>
            <w:r w:rsidRPr="00801AFD">
              <w:rPr>
                <w:sz w:val="22"/>
                <w:szCs w:val="22"/>
              </w:rPr>
              <w:t>18</w:t>
            </w:r>
          </w:p>
        </w:tc>
        <w:tc>
          <w:tcPr>
            <w:tcW w:w="0" w:type="auto"/>
          </w:tcPr>
          <w:p w14:paraId="348CF776" w14:textId="77777777" w:rsidR="00476054" w:rsidRPr="00801AFD" w:rsidRDefault="00476054" w:rsidP="00801AFD">
            <w:pPr>
              <w:pStyle w:val="C-TableText"/>
              <w:widowControl w:val="0"/>
              <w:jc w:val="center"/>
              <w:rPr>
                <w:sz w:val="22"/>
                <w:szCs w:val="22"/>
              </w:rPr>
            </w:pPr>
            <w:r w:rsidRPr="00801AFD">
              <w:rPr>
                <w:sz w:val="22"/>
                <w:szCs w:val="22"/>
              </w:rPr>
              <w:t>36</w:t>
            </w:r>
          </w:p>
        </w:tc>
      </w:tr>
      <w:tr w:rsidR="00476054" w:rsidRPr="00801AFD" w14:paraId="50711BE5" w14:textId="77777777" w:rsidTr="00986850">
        <w:trPr>
          <w:trHeight w:val="19"/>
        </w:trPr>
        <w:tc>
          <w:tcPr>
            <w:tcW w:w="0" w:type="auto"/>
            <w:vMerge w:val="restart"/>
          </w:tcPr>
          <w:p w14:paraId="1BFC827B" w14:textId="77777777" w:rsidR="00476054" w:rsidRPr="00801AFD" w:rsidRDefault="00476054" w:rsidP="00801AFD">
            <w:pPr>
              <w:pStyle w:val="C-TableText"/>
              <w:widowControl w:val="0"/>
              <w:jc w:val="center"/>
              <w:rPr>
                <w:sz w:val="22"/>
                <w:szCs w:val="22"/>
              </w:rPr>
            </w:pPr>
            <w:r w:rsidRPr="00801AFD">
              <w:rPr>
                <w:sz w:val="22"/>
                <w:szCs w:val="22"/>
              </w:rPr>
              <w:t>≥ 100</w:t>
            </w:r>
          </w:p>
        </w:tc>
        <w:tc>
          <w:tcPr>
            <w:tcW w:w="0" w:type="auto"/>
            <w:vAlign w:val="center"/>
          </w:tcPr>
          <w:p w14:paraId="41265DF5" w14:textId="77777777" w:rsidR="00476054" w:rsidRPr="00801AFD" w:rsidRDefault="00476054" w:rsidP="00801AFD">
            <w:pPr>
              <w:pStyle w:val="C-TableText"/>
              <w:widowControl w:val="0"/>
              <w:jc w:val="center"/>
              <w:rPr>
                <w:sz w:val="22"/>
                <w:szCs w:val="22"/>
              </w:rPr>
            </w:pPr>
            <w:r w:rsidRPr="00801AFD">
              <w:rPr>
                <w:sz w:val="22"/>
                <w:szCs w:val="22"/>
              </w:rPr>
              <w:t>600</w:t>
            </w:r>
          </w:p>
        </w:tc>
        <w:tc>
          <w:tcPr>
            <w:tcW w:w="0" w:type="auto"/>
          </w:tcPr>
          <w:p w14:paraId="77EF5F76" w14:textId="77777777" w:rsidR="00476054" w:rsidRPr="00801AFD" w:rsidRDefault="00476054" w:rsidP="00801AFD">
            <w:pPr>
              <w:pStyle w:val="C-TableText"/>
              <w:widowControl w:val="0"/>
              <w:jc w:val="center"/>
              <w:rPr>
                <w:sz w:val="22"/>
                <w:szCs w:val="22"/>
              </w:rPr>
            </w:pPr>
            <w:r w:rsidRPr="00801AFD">
              <w:rPr>
                <w:sz w:val="22"/>
                <w:szCs w:val="22"/>
              </w:rPr>
              <w:t>6</w:t>
            </w:r>
          </w:p>
        </w:tc>
        <w:tc>
          <w:tcPr>
            <w:tcW w:w="0" w:type="auto"/>
          </w:tcPr>
          <w:p w14:paraId="352E1B71" w14:textId="77777777" w:rsidR="00476054" w:rsidRPr="00801AFD" w:rsidRDefault="00476054" w:rsidP="00801AFD">
            <w:pPr>
              <w:pStyle w:val="C-TableText"/>
              <w:widowControl w:val="0"/>
              <w:jc w:val="center"/>
              <w:rPr>
                <w:sz w:val="22"/>
                <w:szCs w:val="22"/>
              </w:rPr>
            </w:pPr>
            <w:r w:rsidRPr="00801AFD">
              <w:rPr>
                <w:sz w:val="22"/>
                <w:szCs w:val="22"/>
              </w:rPr>
              <w:t>6</w:t>
            </w:r>
          </w:p>
        </w:tc>
        <w:tc>
          <w:tcPr>
            <w:tcW w:w="0" w:type="auto"/>
          </w:tcPr>
          <w:p w14:paraId="44DF9558" w14:textId="77777777" w:rsidR="00476054" w:rsidRPr="00801AFD" w:rsidRDefault="00476054" w:rsidP="00801AFD">
            <w:pPr>
              <w:pStyle w:val="C-TableText"/>
              <w:widowControl w:val="0"/>
              <w:jc w:val="center"/>
              <w:rPr>
                <w:sz w:val="22"/>
                <w:szCs w:val="22"/>
              </w:rPr>
            </w:pPr>
            <w:r w:rsidRPr="00801AFD">
              <w:rPr>
                <w:sz w:val="22"/>
                <w:szCs w:val="22"/>
              </w:rPr>
              <w:t>12</w:t>
            </w:r>
          </w:p>
        </w:tc>
      </w:tr>
      <w:tr w:rsidR="00476054" w:rsidRPr="00801AFD" w14:paraId="7E1207B8" w14:textId="77777777" w:rsidTr="00986850">
        <w:trPr>
          <w:trHeight w:val="19"/>
        </w:trPr>
        <w:tc>
          <w:tcPr>
            <w:tcW w:w="0" w:type="auto"/>
            <w:vMerge/>
            <w:vAlign w:val="center"/>
            <w:hideMark/>
          </w:tcPr>
          <w:p w14:paraId="1E48129C" w14:textId="77777777" w:rsidR="00476054" w:rsidRPr="00801AFD" w:rsidRDefault="00476054" w:rsidP="00801AFD">
            <w:pPr>
              <w:pStyle w:val="C-TableText"/>
              <w:widowControl w:val="0"/>
              <w:jc w:val="center"/>
              <w:rPr>
                <w:sz w:val="22"/>
                <w:szCs w:val="22"/>
              </w:rPr>
            </w:pPr>
          </w:p>
        </w:tc>
        <w:tc>
          <w:tcPr>
            <w:tcW w:w="0" w:type="auto"/>
            <w:vAlign w:val="center"/>
          </w:tcPr>
          <w:p w14:paraId="4DFEAC29" w14:textId="77777777" w:rsidR="00476054" w:rsidRPr="00801AFD" w:rsidRDefault="00476054" w:rsidP="00801AFD">
            <w:pPr>
              <w:pStyle w:val="C-TableText"/>
              <w:widowControl w:val="0"/>
              <w:jc w:val="center"/>
              <w:rPr>
                <w:sz w:val="22"/>
                <w:szCs w:val="22"/>
              </w:rPr>
            </w:pPr>
            <w:r w:rsidRPr="00801AFD">
              <w:rPr>
                <w:sz w:val="22"/>
                <w:szCs w:val="22"/>
              </w:rPr>
              <w:t>1,500</w:t>
            </w:r>
          </w:p>
        </w:tc>
        <w:tc>
          <w:tcPr>
            <w:tcW w:w="0" w:type="auto"/>
          </w:tcPr>
          <w:p w14:paraId="3E1F714B" w14:textId="77777777" w:rsidR="00476054" w:rsidRPr="00801AFD" w:rsidRDefault="00476054" w:rsidP="00801AFD">
            <w:pPr>
              <w:pStyle w:val="C-TableText"/>
              <w:widowControl w:val="0"/>
              <w:jc w:val="center"/>
              <w:rPr>
                <w:sz w:val="22"/>
                <w:szCs w:val="22"/>
              </w:rPr>
            </w:pPr>
            <w:r w:rsidRPr="00801AFD">
              <w:rPr>
                <w:sz w:val="22"/>
                <w:szCs w:val="22"/>
              </w:rPr>
              <w:t>15</w:t>
            </w:r>
          </w:p>
        </w:tc>
        <w:tc>
          <w:tcPr>
            <w:tcW w:w="0" w:type="auto"/>
          </w:tcPr>
          <w:p w14:paraId="574A2043" w14:textId="77777777" w:rsidR="00476054" w:rsidRPr="00801AFD" w:rsidRDefault="00476054" w:rsidP="00801AFD">
            <w:pPr>
              <w:pStyle w:val="C-TableText"/>
              <w:widowControl w:val="0"/>
              <w:jc w:val="center"/>
              <w:rPr>
                <w:sz w:val="22"/>
                <w:szCs w:val="22"/>
              </w:rPr>
            </w:pPr>
            <w:r w:rsidRPr="00801AFD">
              <w:rPr>
                <w:sz w:val="22"/>
                <w:szCs w:val="22"/>
              </w:rPr>
              <w:t>15</w:t>
            </w:r>
          </w:p>
        </w:tc>
        <w:tc>
          <w:tcPr>
            <w:tcW w:w="0" w:type="auto"/>
          </w:tcPr>
          <w:p w14:paraId="51C49842" w14:textId="77777777" w:rsidR="00476054" w:rsidRPr="00801AFD" w:rsidRDefault="00476054" w:rsidP="00801AFD">
            <w:pPr>
              <w:pStyle w:val="C-TableText"/>
              <w:widowControl w:val="0"/>
              <w:jc w:val="center"/>
              <w:rPr>
                <w:sz w:val="22"/>
                <w:szCs w:val="22"/>
              </w:rPr>
            </w:pPr>
            <w:r w:rsidRPr="00801AFD">
              <w:rPr>
                <w:sz w:val="22"/>
                <w:szCs w:val="22"/>
              </w:rPr>
              <w:t>30</w:t>
            </w:r>
          </w:p>
        </w:tc>
      </w:tr>
      <w:tr w:rsidR="00476054" w:rsidRPr="00801AFD" w14:paraId="43E315F1" w14:textId="77777777" w:rsidTr="00986850">
        <w:trPr>
          <w:trHeight w:val="19"/>
        </w:trPr>
        <w:tc>
          <w:tcPr>
            <w:tcW w:w="0" w:type="auto"/>
            <w:vMerge/>
            <w:vAlign w:val="center"/>
          </w:tcPr>
          <w:p w14:paraId="14BF25B1" w14:textId="77777777" w:rsidR="00476054" w:rsidRPr="00801AFD" w:rsidRDefault="00476054" w:rsidP="00801AFD">
            <w:pPr>
              <w:pStyle w:val="C-TableText"/>
              <w:widowControl w:val="0"/>
              <w:jc w:val="center"/>
              <w:rPr>
                <w:sz w:val="22"/>
                <w:szCs w:val="22"/>
              </w:rPr>
            </w:pPr>
          </w:p>
        </w:tc>
        <w:tc>
          <w:tcPr>
            <w:tcW w:w="0" w:type="auto"/>
            <w:vAlign w:val="center"/>
          </w:tcPr>
          <w:p w14:paraId="0415B6EB" w14:textId="77777777" w:rsidR="00476054" w:rsidRPr="00801AFD" w:rsidRDefault="00476054" w:rsidP="00801AFD">
            <w:pPr>
              <w:pStyle w:val="C-TableText"/>
              <w:widowControl w:val="0"/>
              <w:jc w:val="center"/>
              <w:rPr>
                <w:sz w:val="22"/>
                <w:szCs w:val="22"/>
              </w:rPr>
            </w:pPr>
            <w:r w:rsidRPr="00801AFD">
              <w:rPr>
                <w:sz w:val="22"/>
                <w:szCs w:val="22"/>
              </w:rPr>
              <w:t>1,800</w:t>
            </w:r>
          </w:p>
        </w:tc>
        <w:tc>
          <w:tcPr>
            <w:tcW w:w="0" w:type="auto"/>
          </w:tcPr>
          <w:p w14:paraId="50171103" w14:textId="77777777" w:rsidR="00476054" w:rsidRPr="00801AFD" w:rsidRDefault="00476054" w:rsidP="00801AFD">
            <w:pPr>
              <w:pStyle w:val="C-TableText"/>
              <w:widowControl w:val="0"/>
              <w:jc w:val="center"/>
              <w:rPr>
                <w:sz w:val="22"/>
                <w:szCs w:val="22"/>
              </w:rPr>
            </w:pPr>
            <w:r w:rsidRPr="00801AFD">
              <w:rPr>
                <w:sz w:val="22"/>
                <w:szCs w:val="22"/>
              </w:rPr>
              <w:t>18</w:t>
            </w:r>
          </w:p>
        </w:tc>
        <w:tc>
          <w:tcPr>
            <w:tcW w:w="0" w:type="auto"/>
          </w:tcPr>
          <w:p w14:paraId="1FF49069" w14:textId="77777777" w:rsidR="00476054" w:rsidRPr="00801AFD" w:rsidRDefault="00476054" w:rsidP="00801AFD">
            <w:pPr>
              <w:pStyle w:val="C-TableText"/>
              <w:widowControl w:val="0"/>
              <w:jc w:val="center"/>
              <w:rPr>
                <w:sz w:val="22"/>
                <w:szCs w:val="22"/>
              </w:rPr>
            </w:pPr>
            <w:r w:rsidRPr="00801AFD">
              <w:rPr>
                <w:sz w:val="22"/>
                <w:szCs w:val="22"/>
              </w:rPr>
              <w:t>18</w:t>
            </w:r>
          </w:p>
        </w:tc>
        <w:tc>
          <w:tcPr>
            <w:tcW w:w="0" w:type="auto"/>
          </w:tcPr>
          <w:p w14:paraId="0454CA57" w14:textId="77777777" w:rsidR="00476054" w:rsidRPr="00801AFD" w:rsidRDefault="00476054" w:rsidP="00801AFD">
            <w:pPr>
              <w:pStyle w:val="C-TableText"/>
              <w:widowControl w:val="0"/>
              <w:jc w:val="center"/>
              <w:rPr>
                <w:sz w:val="22"/>
                <w:szCs w:val="22"/>
              </w:rPr>
            </w:pPr>
            <w:r w:rsidRPr="00801AFD">
              <w:rPr>
                <w:sz w:val="22"/>
                <w:szCs w:val="22"/>
              </w:rPr>
              <w:t>36</w:t>
            </w:r>
          </w:p>
        </w:tc>
      </w:tr>
    </w:tbl>
    <w:p w14:paraId="028C707C" w14:textId="56EB6D5F" w:rsidR="00256187" w:rsidRPr="00986850" w:rsidRDefault="00256187" w:rsidP="00801AFD">
      <w:pPr>
        <w:widowControl w:val="0"/>
        <w:jc w:val="both"/>
        <w:rPr>
          <w:sz w:val="20"/>
          <w:szCs w:val="22"/>
          <w:lang w:val="sr-Latn-ME"/>
        </w:rPr>
      </w:pPr>
      <w:r w:rsidRPr="00986850">
        <w:rPr>
          <w:sz w:val="20"/>
          <w:szCs w:val="22"/>
          <w:vertAlign w:val="superscript"/>
          <w:lang w:val="sr-Latn-ME"/>
        </w:rPr>
        <w:t xml:space="preserve">a </w:t>
      </w:r>
      <w:r w:rsidRPr="00986850">
        <w:rPr>
          <w:sz w:val="20"/>
          <w:szCs w:val="22"/>
          <w:lang w:val="sr-Latn-ME"/>
        </w:rPr>
        <w:t>T</w:t>
      </w:r>
      <w:r w:rsidR="007B354B" w:rsidRPr="00986850">
        <w:rPr>
          <w:sz w:val="20"/>
          <w:szCs w:val="22"/>
          <w:lang w:val="sr-Latn-ME"/>
        </w:rPr>
        <w:t>j</w:t>
      </w:r>
      <w:r w:rsidRPr="00986850">
        <w:rPr>
          <w:sz w:val="20"/>
          <w:szCs w:val="22"/>
          <w:lang w:val="sr-Latn-ME"/>
        </w:rPr>
        <w:t>elesn</w:t>
      </w:r>
      <w:r w:rsidR="00476054" w:rsidRPr="00986850">
        <w:rPr>
          <w:sz w:val="20"/>
          <w:szCs w:val="22"/>
          <w:lang w:val="sr-Latn-ME"/>
        </w:rPr>
        <w:t>a</w:t>
      </w:r>
      <w:r w:rsidRPr="00986850">
        <w:rPr>
          <w:sz w:val="20"/>
          <w:szCs w:val="22"/>
          <w:lang w:val="sr-Latn-ME"/>
        </w:rPr>
        <w:t xml:space="preserve"> </w:t>
      </w:r>
      <w:r w:rsidR="00DB1C80" w:rsidRPr="00986850">
        <w:rPr>
          <w:sz w:val="20"/>
          <w:szCs w:val="22"/>
          <w:lang w:val="sr-Latn-ME"/>
        </w:rPr>
        <w:t>težin</w:t>
      </w:r>
      <w:r w:rsidR="00476054" w:rsidRPr="00986850">
        <w:rPr>
          <w:sz w:val="20"/>
          <w:szCs w:val="22"/>
          <w:lang w:val="sr-Latn-ME"/>
        </w:rPr>
        <w:t>a</w:t>
      </w:r>
      <w:r w:rsidR="00DB1C80" w:rsidRPr="00986850">
        <w:rPr>
          <w:sz w:val="20"/>
          <w:szCs w:val="22"/>
          <w:lang w:val="sr-Latn-ME"/>
        </w:rPr>
        <w:t xml:space="preserve"> </w:t>
      </w:r>
      <w:r w:rsidRPr="00986850">
        <w:rPr>
          <w:sz w:val="20"/>
          <w:szCs w:val="22"/>
          <w:lang w:val="sr-Latn-ME"/>
        </w:rPr>
        <w:t>u vr</w:t>
      </w:r>
      <w:r w:rsidR="007B354B" w:rsidRPr="00986850">
        <w:rPr>
          <w:sz w:val="20"/>
          <w:szCs w:val="22"/>
          <w:lang w:val="sr-Latn-ME"/>
        </w:rPr>
        <w:t>ij</w:t>
      </w:r>
      <w:r w:rsidRPr="00986850">
        <w:rPr>
          <w:sz w:val="20"/>
          <w:szCs w:val="22"/>
          <w:lang w:val="sr-Latn-ME"/>
        </w:rPr>
        <w:t>eme l</w:t>
      </w:r>
      <w:r w:rsidR="007B354B" w:rsidRPr="00986850">
        <w:rPr>
          <w:sz w:val="20"/>
          <w:szCs w:val="22"/>
          <w:lang w:val="sr-Latn-ME"/>
        </w:rPr>
        <w:t>ij</w:t>
      </w:r>
      <w:r w:rsidRPr="00986850">
        <w:rPr>
          <w:sz w:val="20"/>
          <w:szCs w:val="22"/>
          <w:lang w:val="sr-Latn-ME"/>
        </w:rPr>
        <w:t>ečenja</w:t>
      </w:r>
      <w:r w:rsidR="0064549B" w:rsidRPr="00986850">
        <w:rPr>
          <w:sz w:val="20"/>
          <w:szCs w:val="22"/>
          <w:lang w:val="sr-Latn-ME"/>
        </w:rPr>
        <w:t>.</w:t>
      </w:r>
    </w:p>
    <w:p w14:paraId="60C3F347" w14:textId="20CFB92B" w:rsidR="00256187" w:rsidRPr="00986850" w:rsidRDefault="00256187" w:rsidP="00801AFD">
      <w:pPr>
        <w:widowControl w:val="0"/>
        <w:jc w:val="both"/>
        <w:rPr>
          <w:sz w:val="20"/>
          <w:szCs w:val="22"/>
          <w:lang w:val="sr-Latn-ME"/>
        </w:rPr>
      </w:pPr>
      <w:r w:rsidRPr="00986850">
        <w:rPr>
          <w:sz w:val="20"/>
          <w:szCs w:val="22"/>
          <w:vertAlign w:val="superscript"/>
          <w:lang w:val="sr-Latn-ME"/>
        </w:rPr>
        <w:t xml:space="preserve">b </w:t>
      </w:r>
      <w:r w:rsidRPr="00986850">
        <w:rPr>
          <w:sz w:val="20"/>
          <w:szCs w:val="22"/>
          <w:lang w:val="sr-Latn-ME"/>
        </w:rPr>
        <w:t>L</w:t>
      </w:r>
      <w:r w:rsidR="007B354B" w:rsidRPr="00986850">
        <w:rPr>
          <w:sz w:val="20"/>
          <w:szCs w:val="22"/>
          <w:lang w:val="sr-Latn-ME"/>
        </w:rPr>
        <w:t>ij</w:t>
      </w:r>
      <w:r w:rsidRPr="00986850">
        <w:rPr>
          <w:sz w:val="20"/>
          <w:szCs w:val="22"/>
          <w:lang w:val="sr-Latn-ME"/>
        </w:rPr>
        <w:t>ek Ultomiris treba razblaživati isključivo rastvorom za injekciju natrijum hlorida 9 mg/ml (0,9%)</w:t>
      </w:r>
      <w:r w:rsidR="0064549B" w:rsidRPr="00986850">
        <w:rPr>
          <w:sz w:val="20"/>
          <w:szCs w:val="22"/>
          <w:lang w:val="sr-Latn-ME"/>
        </w:rPr>
        <w:t>.</w:t>
      </w:r>
    </w:p>
    <w:p w14:paraId="5858C768" w14:textId="77777777" w:rsidR="00256187" w:rsidRPr="00801AFD" w:rsidRDefault="00256187" w:rsidP="00801AFD">
      <w:pPr>
        <w:widowControl w:val="0"/>
        <w:jc w:val="both"/>
        <w:rPr>
          <w:sz w:val="22"/>
          <w:szCs w:val="22"/>
          <w:lang w:val="sr-Latn-ME"/>
        </w:rPr>
      </w:pPr>
    </w:p>
    <w:p w14:paraId="33478057" w14:textId="12BFC255" w:rsidR="00574910" w:rsidRPr="00801AFD" w:rsidRDefault="00574910" w:rsidP="00801AFD">
      <w:pPr>
        <w:widowControl w:val="0"/>
        <w:tabs>
          <w:tab w:val="left" w:pos="284"/>
        </w:tabs>
        <w:jc w:val="both"/>
        <w:rPr>
          <w:sz w:val="22"/>
          <w:szCs w:val="22"/>
          <w:lang w:val="sr-Latn-ME"/>
        </w:rPr>
      </w:pPr>
      <w:r w:rsidRPr="00801AFD">
        <w:rPr>
          <w:sz w:val="22"/>
          <w:szCs w:val="22"/>
          <w:lang w:val="sr-Latn-ME"/>
        </w:rPr>
        <w:t>Neupotr</w:t>
      </w:r>
      <w:r w:rsidR="00476054" w:rsidRPr="00801AFD">
        <w:rPr>
          <w:sz w:val="22"/>
          <w:szCs w:val="22"/>
          <w:lang w:val="sr-Latn-ME"/>
        </w:rPr>
        <w:t>ij</w:t>
      </w:r>
      <w:r w:rsidRPr="00801AFD">
        <w:rPr>
          <w:sz w:val="22"/>
          <w:szCs w:val="22"/>
          <w:lang w:val="sr-Latn-ME"/>
        </w:rPr>
        <w:t>ebljeni lijek ili otpadni materijal sa uništava u skladu sa lokalnim propisima.</w:t>
      </w:r>
    </w:p>
    <w:p w14:paraId="59136025" w14:textId="77777777" w:rsidR="00574910" w:rsidRPr="00801AFD" w:rsidRDefault="00574910" w:rsidP="00801AFD">
      <w:pPr>
        <w:widowControl w:val="0"/>
        <w:tabs>
          <w:tab w:val="left" w:pos="284"/>
        </w:tabs>
        <w:jc w:val="both"/>
        <w:rPr>
          <w:sz w:val="22"/>
          <w:szCs w:val="22"/>
          <w:lang w:val="sr-Latn-ME"/>
        </w:rPr>
      </w:pPr>
    </w:p>
    <w:p w14:paraId="575C63C6" w14:textId="01261DCB" w:rsidR="00574910" w:rsidRPr="00801AFD" w:rsidRDefault="00574910" w:rsidP="00801AFD">
      <w:pPr>
        <w:widowControl w:val="0"/>
        <w:tabs>
          <w:tab w:val="left" w:pos="284"/>
        </w:tabs>
        <w:jc w:val="both"/>
        <w:rPr>
          <w:sz w:val="22"/>
          <w:szCs w:val="22"/>
          <w:lang w:val="sr-Latn-ME"/>
        </w:rPr>
      </w:pPr>
      <w:r w:rsidRPr="00801AFD">
        <w:rPr>
          <w:sz w:val="22"/>
          <w:szCs w:val="22"/>
          <w:u w:val="single"/>
          <w:lang w:val="sr-Latn-ME"/>
        </w:rPr>
        <w:t>Ultomiris 300 mg/30 ml, koncentrat za rastvor za infuziju</w:t>
      </w:r>
    </w:p>
    <w:p w14:paraId="0E6C9832" w14:textId="0CFA4C88" w:rsidR="00574910" w:rsidRPr="00801AFD" w:rsidRDefault="00574910" w:rsidP="00801AFD">
      <w:pPr>
        <w:widowControl w:val="0"/>
        <w:tabs>
          <w:tab w:val="left" w:pos="284"/>
        </w:tabs>
        <w:jc w:val="both"/>
        <w:rPr>
          <w:sz w:val="22"/>
          <w:szCs w:val="22"/>
          <w:lang w:val="sr-Latn-ME"/>
        </w:rPr>
      </w:pPr>
      <w:r w:rsidRPr="00801AFD">
        <w:rPr>
          <w:sz w:val="22"/>
          <w:szCs w:val="22"/>
          <w:lang w:val="sr-Latn-ME"/>
        </w:rPr>
        <w:t>Ovaj lijek se mora razblažiti do krajnje koncentracije od 5 mg/ml.</w:t>
      </w:r>
    </w:p>
    <w:p w14:paraId="771773E7" w14:textId="77777777" w:rsidR="00574910" w:rsidRPr="00801AFD" w:rsidRDefault="00574910" w:rsidP="00801AFD">
      <w:pPr>
        <w:widowControl w:val="0"/>
        <w:tabs>
          <w:tab w:val="left" w:pos="284"/>
        </w:tabs>
        <w:jc w:val="both"/>
        <w:rPr>
          <w:sz w:val="22"/>
          <w:szCs w:val="22"/>
          <w:lang w:val="sr-Latn-ME"/>
        </w:rPr>
      </w:pPr>
    </w:p>
    <w:p w14:paraId="59C65888" w14:textId="77777777" w:rsidR="00574910" w:rsidRPr="00801AFD" w:rsidRDefault="00574910" w:rsidP="00801AFD">
      <w:pPr>
        <w:widowControl w:val="0"/>
        <w:tabs>
          <w:tab w:val="left" w:pos="284"/>
        </w:tabs>
        <w:jc w:val="both"/>
        <w:rPr>
          <w:sz w:val="22"/>
          <w:szCs w:val="22"/>
          <w:lang w:val="sr-Latn-ME"/>
        </w:rPr>
      </w:pPr>
      <w:r w:rsidRPr="00801AFD">
        <w:rPr>
          <w:sz w:val="22"/>
          <w:szCs w:val="22"/>
          <w:lang w:val="sr-Latn-ME"/>
        </w:rPr>
        <w:t>Mora se primjeniti aseptična tehnika.</w:t>
      </w:r>
    </w:p>
    <w:p w14:paraId="293F3DBD" w14:textId="77777777" w:rsidR="00574910" w:rsidRPr="00801AFD" w:rsidRDefault="00574910" w:rsidP="00801AFD">
      <w:pPr>
        <w:widowControl w:val="0"/>
        <w:tabs>
          <w:tab w:val="left" w:pos="284"/>
        </w:tabs>
        <w:jc w:val="both"/>
        <w:rPr>
          <w:sz w:val="22"/>
          <w:szCs w:val="22"/>
          <w:lang w:val="sr-Latn-ME"/>
        </w:rPr>
      </w:pPr>
      <w:r w:rsidRPr="00801AFD">
        <w:rPr>
          <w:sz w:val="22"/>
          <w:szCs w:val="22"/>
          <w:lang w:val="sr-Latn-ME"/>
        </w:rPr>
        <w:t>Ultomiris koncentrat za rastvor za infuziju se priprema na sljedeći način:</w:t>
      </w:r>
    </w:p>
    <w:p w14:paraId="7A303773" w14:textId="5BFF706D" w:rsidR="00574910" w:rsidRPr="00801AFD" w:rsidRDefault="00574910" w:rsidP="00801AFD">
      <w:pPr>
        <w:widowControl w:val="0"/>
        <w:numPr>
          <w:ilvl w:val="0"/>
          <w:numId w:val="23"/>
        </w:numPr>
        <w:tabs>
          <w:tab w:val="left" w:pos="284"/>
        </w:tabs>
        <w:contextualSpacing/>
        <w:jc w:val="both"/>
        <w:rPr>
          <w:sz w:val="22"/>
          <w:szCs w:val="22"/>
          <w:lang w:val="sr-Latn-ME"/>
        </w:rPr>
      </w:pPr>
      <w:r w:rsidRPr="00801AFD">
        <w:rPr>
          <w:sz w:val="22"/>
          <w:szCs w:val="22"/>
          <w:lang w:val="sr-Latn-ME"/>
        </w:rPr>
        <w:t xml:space="preserve">Broj bočica potrebnih za razblaživanje određuje se na osnovu tjelesne </w:t>
      </w:r>
      <w:r w:rsidR="00BA7E80" w:rsidRPr="00801AFD">
        <w:rPr>
          <w:sz w:val="22"/>
          <w:szCs w:val="22"/>
          <w:lang w:val="sr-Latn-ME"/>
        </w:rPr>
        <w:t xml:space="preserve">težine </w:t>
      </w:r>
      <w:r w:rsidRPr="00801AFD">
        <w:rPr>
          <w:sz w:val="22"/>
          <w:szCs w:val="22"/>
          <w:lang w:val="sr-Latn-ME"/>
        </w:rPr>
        <w:t>pojedinačnog pacijenta i propisane doze, vidjeti dio 4.2.</w:t>
      </w:r>
    </w:p>
    <w:p w14:paraId="26CC3509" w14:textId="77777777" w:rsidR="00574910" w:rsidRPr="00801AFD" w:rsidRDefault="00574910" w:rsidP="00801AFD">
      <w:pPr>
        <w:widowControl w:val="0"/>
        <w:numPr>
          <w:ilvl w:val="0"/>
          <w:numId w:val="23"/>
        </w:numPr>
        <w:tabs>
          <w:tab w:val="left" w:pos="284"/>
        </w:tabs>
        <w:contextualSpacing/>
        <w:jc w:val="both"/>
        <w:rPr>
          <w:sz w:val="22"/>
          <w:szCs w:val="22"/>
          <w:lang w:val="sr-Latn-ME"/>
        </w:rPr>
      </w:pPr>
      <w:r w:rsidRPr="00801AFD">
        <w:rPr>
          <w:sz w:val="22"/>
          <w:szCs w:val="22"/>
          <w:lang w:val="sr-Latn-ME"/>
        </w:rPr>
        <w:t>Rastvor bočice treba pregledati vizuelno prije razblaživanja; u rastvoru ne smije biti čestica ili taloga. Ne koristiti ako su vidljive čestice ili talog.</w:t>
      </w:r>
    </w:p>
    <w:p w14:paraId="031B504C" w14:textId="721369DE" w:rsidR="00574910" w:rsidRPr="00801AFD" w:rsidRDefault="00574910" w:rsidP="00801AFD">
      <w:pPr>
        <w:widowControl w:val="0"/>
        <w:numPr>
          <w:ilvl w:val="0"/>
          <w:numId w:val="23"/>
        </w:numPr>
        <w:tabs>
          <w:tab w:val="left" w:pos="284"/>
        </w:tabs>
        <w:contextualSpacing/>
        <w:jc w:val="both"/>
        <w:rPr>
          <w:sz w:val="22"/>
          <w:szCs w:val="22"/>
          <w:lang w:val="sr-Latn-ME"/>
        </w:rPr>
      </w:pPr>
      <w:r w:rsidRPr="00801AFD">
        <w:rPr>
          <w:sz w:val="22"/>
          <w:szCs w:val="22"/>
          <w:lang w:val="sr-Latn-ME"/>
        </w:rPr>
        <w:t>Izračunata zapremina lijeka se izvlači iz odgovarajućeg broja bočica i razblaži u infuzionoj kesi uz pomoć 0,9% (9 mg/ml) rastvora natrijum hlorida za injekcije kao rastvarača. Pogledajte referentne tabele ispod. Lijek se mora pažljivo miješati. Ne smije se mućkati.</w:t>
      </w:r>
    </w:p>
    <w:p w14:paraId="49E425A9" w14:textId="5C25704C" w:rsidR="00574910" w:rsidRPr="00801AFD" w:rsidRDefault="00574910" w:rsidP="00801AFD">
      <w:pPr>
        <w:widowControl w:val="0"/>
        <w:numPr>
          <w:ilvl w:val="0"/>
          <w:numId w:val="23"/>
        </w:numPr>
        <w:tabs>
          <w:tab w:val="left" w:pos="284"/>
        </w:tabs>
        <w:contextualSpacing/>
        <w:jc w:val="both"/>
        <w:rPr>
          <w:sz w:val="22"/>
          <w:szCs w:val="22"/>
          <w:lang w:val="sr-Latn-ME"/>
        </w:rPr>
      </w:pPr>
      <w:r w:rsidRPr="00801AFD">
        <w:rPr>
          <w:sz w:val="22"/>
          <w:szCs w:val="22"/>
          <w:lang w:val="sr-Latn-ME"/>
        </w:rPr>
        <w:t>Nakon razblaživanja, konačna koncentracija infuzionog rastvora je 5 mg/ml.</w:t>
      </w:r>
    </w:p>
    <w:p w14:paraId="5085AB1F" w14:textId="261C39E1" w:rsidR="00574910" w:rsidRPr="00801AFD" w:rsidRDefault="00574910" w:rsidP="00801AFD">
      <w:pPr>
        <w:widowControl w:val="0"/>
        <w:numPr>
          <w:ilvl w:val="0"/>
          <w:numId w:val="23"/>
        </w:numPr>
        <w:tabs>
          <w:tab w:val="left" w:pos="284"/>
        </w:tabs>
        <w:contextualSpacing/>
        <w:jc w:val="both"/>
        <w:rPr>
          <w:sz w:val="22"/>
          <w:szCs w:val="22"/>
          <w:lang w:val="sr-Latn-ME"/>
        </w:rPr>
      </w:pPr>
      <w:r w:rsidRPr="00801AFD">
        <w:rPr>
          <w:sz w:val="22"/>
          <w:szCs w:val="22"/>
          <w:lang w:val="sr-Latn-ME"/>
        </w:rPr>
        <w:lastRenderedPageBreak/>
        <w:t xml:space="preserve">Pripremljeni rastvor treba upotrebiti odmah nakon pripreme, ukoliko nije čuvan na temperaturi od 2°C - 8°C. Ako se čuva na temperaturi od 2°C - 8°C, ostavite da </w:t>
      </w:r>
      <w:r w:rsidR="00B21799" w:rsidRPr="00801AFD">
        <w:rPr>
          <w:sz w:val="22"/>
          <w:szCs w:val="22"/>
          <w:lang w:val="sr-Latn-ME"/>
        </w:rPr>
        <w:t xml:space="preserve">razblaženi </w:t>
      </w:r>
      <w:r w:rsidRPr="00801AFD">
        <w:rPr>
          <w:sz w:val="22"/>
          <w:szCs w:val="22"/>
          <w:lang w:val="sr-Latn-ME"/>
        </w:rPr>
        <w:t xml:space="preserve">rastvor dostigne sobnu temperaturu prije upotrebe. Nemojte davati kao brzu intravensku injekciju ili bolus injekciju. Za minimalno trajanje infuzije pogledajte tabelu </w:t>
      </w:r>
      <w:r w:rsidR="00D0032C" w:rsidRPr="00801AFD">
        <w:rPr>
          <w:sz w:val="22"/>
          <w:szCs w:val="22"/>
          <w:lang w:val="sr-Latn-ME"/>
        </w:rPr>
        <w:t>8</w:t>
      </w:r>
      <w:r w:rsidR="00B254DE" w:rsidRPr="00801AFD">
        <w:rPr>
          <w:sz w:val="22"/>
          <w:szCs w:val="22"/>
          <w:lang w:val="sr-Latn-ME"/>
        </w:rPr>
        <w:t xml:space="preserve"> ili tabelu 9</w:t>
      </w:r>
      <w:r w:rsidRPr="00801AFD">
        <w:rPr>
          <w:sz w:val="22"/>
          <w:szCs w:val="22"/>
          <w:lang w:val="sr-Latn-ME"/>
        </w:rPr>
        <w:t>. Infuzija se mora primjenjivati kroz filter pore veličine 0,2 µm.</w:t>
      </w:r>
    </w:p>
    <w:p w14:paraId="3302B63B" w14:textId="77777777" w:rsidR="00574910" w:rsidRPr="00801AFD" w:rsidRDefault="00574910" w:rsidP="00801AFD">
      <w:pPr>
        <w:widowControl w:val="0"/>
        <w:numPr>
          <w:ilvl w:val="0"/>
          <w:numId w:val="23"/>
        </w:numPr>
        <w:tabs>
          <w:tab w:val="left" w:pos="284"/>
        </w:tabs>
        <w:contextualSpacing/>
        <w:jc w:val="both"/>
        <w:rPr>
          <w:sz w:val="22"/>
          <w:szCs w:val="22"/>
          <w:lang w:val="sr-Latn-ME"/>
        </w:rPr>
      </w:pPr>
      <w:r w:rsidRPr="00801AFD">
        <w:rPr>
          <w:sz w:val="22"/>
          <w:szCs w:val="22"/>
          <w:lang w:val="sr-Latn-ME"/>
        </w:rPr>
        <w:t>Ako se ne iskoristi odmah nakon razblaživanja, vrijeme čuvanja ne bi trebalo da prelazi 24 sata na temperaturi od 2°C - 8°C ili 6 sati na sobnoj temperaturi, uzimajući u obzir očekivano trajanje infuzije.</w:t>
      </w:r>
    </w:p>
    <w:p w14:paraId="0A15B37A" w14:textId="77777777" w:rsidR="00574910" w:rsidRPr="00801AFD" w:rsidRDefault="00574910" w:rsidP="00801AFD">
      <w:pPr>
        <w:widowControl w:val="0"/>
        <w:tabs>
          <w:tab w:val="left" w:pos="284"/>
        </w:tabs>
        <w:jc w:val="both"/>
        <w:rPr>
          <w:b/>
          <w:bCs/>
          <w:sz w:val="22"/>
          <w:szCs w:val="22"/>
          <w:lang w:val="sr-Latn-ME"/>
        </w:rPr>
      </w:pPr>
    </w:p>
    <w:p w14:paraId="7D931214" w14:textId="2FD3D2A3" w:rsidR="00574910" w:rsidRPr="00801AFD" w:rsidRDefault="00574910" w:rsidP="00801AFD">
      <w:pPr>
        <w:widowControl w:val="0"/>
        <w:tabs>
          <w:tab w:val="left" w:pos="284"/>
        </w:tabs>
        <w:jc w:val="both"/>
        <w:rPr>
          <w:b/>
          <w:bCs/>
          <w:sz w:val="22"/>
          <w:szCs w:val="22"/>
          <w:lang w:val="sr-Latn-ME"/>
        </w:rPr>
      </w:pPr>
      <w:r w:rsidRPr="00801AFD">
        <w:rPr>
          <w:b/>
          <w:bCs/>
          <w:sz w:val="22"/>
          <w:szCs w:val="22"/>
          <w:lang w:val="sr-Latn-ME"/>
        </w:rPr>
        <w:t xml:space="preserve">Tabela </w:t>
      </w:r>
      <w:r w:rsidR="00D0032C" w:rsidRPr="00801AFD">
        <w:rPr>
          <w:b/>
          <w:bCs/>
          <w:sz w:val="22"/>
          <w:szCs w:val="22"/>
          <w:lang w:val="sr-Latn-ME"/>
        </w:rPr>
        <w:t>29</w:t>
      </w:r>
      <w:r w:rsidRPr="00801AFD">
        <w:rPr>
          <w:b/>
          <w:bCs/>
          <w:sz w:val="22"/>
          <w:szCs w:val="22"/>
          <w:lang w:val="sr-Latn-ME"/>
        </w:rPr>
        <w:t>: Reference za primjenu udarne doze za Ultomiris 300</w:t>
      </w:r>
      <w:r w:rsidR="00BA7E80" w:rsidRPr="00801AFD">
        <w:rPr>
          <w:b/>
          <w:bCs/>
          <w:sz w:val="22"/>
          <w:szCs w:val="22"/>
          <w:lang w:val="sr-Latn-ME"/>
        </w:rPr>
        <w:t xml:space="preserve"> mg</w:t>
      </w:r>
      <w:r w:rsidRPr="00801AFD">
        <w:rPr>
          <w:b/>
          <w:bCs/>
          <w:sz w:val="22"/>
          <w:szCs w:val="22"/>
          <w:lang w:val="sr-Latn-ME"/>
        </w:rPr>
        <w:t xml:space="preserve">/30 ml, koncentrat za rastvor za infuziju </w:t>
      </w:r>
    </w:p>
    <w:p w14:paraId="0E298367" w14:textId="77777777" w:rsidR="00574910" w:rsidRPr="00801AFD" w:rsidRDefault="00574910" w:rsidP="00801AFD">
      <w:pPr>
        <w:widowControl w:val="0"/>
        <w:tabs>
          <w:tab w:val="left" w:pos="284"/>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353"/>
        <w:gridCol w:w="2095"/>
        <w:gridCol w:w="2158"/>
        <w:gridCol w:w="1747"/>
      </w:tblGrid>
      <w:tr w:rsidR="00574910" w:rsidRPr="00801AFD" w14:paraId="7826AE57" w14:textId="77777777" w:rsidTr="00986850">
        <w:tc>
          <w:tcPr>
            <w:tcW w:w="0" w:type="auto"/>
            <w:tcBorders>
              <w:top w:val="single" w:sz="4" w:space="0" w:color="auto"/>
              <w:left w:val="single" w:sz="4" w:space="0" w:color="auto"/>
              <w:bottom w:val="single" w:sz="4" w:space="0" w:color="auto"/>
              <w:right w:val="single" w:sz="4" w:space="0" w:color="auto"/>
            </w:tcBorders>
            <w:hideMark/>
          </w:tcPr>
          <w:p w14:paraId="69A2BCE3" w14:textId="7188DC36" w:rsidR="00574910" w:rsidRPr="00801AFD" w:rsidRDefault="00574910" w:rsidP="00801AFD">
            <w:pPr>
              <w:widowControl w:val="0"/>
              <w:tabs>
                <w:tab w:val="left" w:pos="284"/>
              </w:tabs>
              <w:jc w:val="center"/>
              <w:rPr>
                <w:rFonts w:eastAsia="SimSun"/>
                <w:b/>
                <w:sz w:val="22"/>
                <w:szCs w:val="22"/>
                <w:lang w:val="sr-Latn-ME"/>
              </w:rPr>
            </w:pPr>
            <w:r w:rsidRPr="00801AFD">
              <w:rPr>
                <w:rFonts w:eastAsia="Calibri"/>
                <w:b/>
                <w:sz w:val="22"/>
                <w:szCs w:val="22"/>
                <w:lang w:val="sr-Latn-ME"/>
              </w:rPr>
              <w:t xml:space="preserve">Raspon tjelesne </w:t>
            </w:r>
            <w:r w:rsidR="00DB1C80" w:rsidRPr="00801AFD">
              <w:rPr>
                <w:rFonts w:eastAsia="Calibri"/>
                <w:b/>
                <w:sz w:val="22"/>
                <w:szCs w:val="22"/>
                <w:lang w:val="sr-Latn-ME"/>
              </w:rPr>
              <w:t xml:space="preserve">težine </w:t>
            </w:r>
            <w:r w:rsidRPr="00801AFD">
              <w:rPr>
                <w:rFonts w:eastAsia="Calibri"/>
                <w:b/>
                <w:sz w:val="22"/>
                <w:szCs w:val="22"/>
                <w:lang w:val="sr-Latn-ME"/>
              </w:rPr>
              <w:t>(kg)</w:t>
            </w:r>
            <w:r w:rsidRPr="00801AFD">
              <w:rPr>
                <w:rFonts w:eastAsia="Calibri"/>
                <w:b/>
                <w:sz w:val="22"/>
                <w:szCs w:val="22"/>
                <w:vertAlign w:val="superscript"/>
                <w:lang w:val="sr-Latn-ME"/>
              </w:rPr>
              <w:t>a</w:t>
            </w:r>
          </w:p>
        </w:tc>
        <w:tc>
          <w:tcPr>
            <w:tcW w:w="0" w:type="auto"/>
            <w:tcBorders>
              <w:top w:val="single" w:sz="4" w:space="0" w:color="auto"/>
              <w:left w:val="single" w:sz="4" w:space="0" w:color="auto"/>
              <w:bottom w:val="single" w:sz="4" w:space="0" w:color="auto"/>
              <w:right w:val="single" w:sz="4" w:space="0" w:color="auto"/>
            </w:tcBorders>
            <w:hideMark/>
          </w:tcPr>
          <w:p w14:paraId="233552B1" w14:textId="77777777" w:rsidR="00574910" w:rsidRPr="00801AFD" w:rsidRDefault="00574910" w:rsidP="00801AFD">
            <w:pPr>
              <w:widowControl w:val="0"/>
              <w:tabs>
                <w:tab w:val="left" w:pos="284"/>
              </w:tabs>
              <w:jc w:val="center"/>
              <w:rPr>
                <w:rFonts w:eastAsia="SimSun"/>
                <w:b/>
                <w:sz w:val="22"/>
                <w:szCs w:val="22"/>
                <w:lang w:val="sr-Latn-ME"/>
              </w:rPr>
            </w:pPr>
            <w:r w:rsidRPr="00801AFD">
              <w:rPr>
                <w:rFonts w:eastAsia="SimSun"/>
                <w:b/>
                <w:sz w:val="22"/>
                <w:szCs w:val="22"/>
                <w:lang w:val="sr-Latn-ME"/>
              </w:rPr>
              <w:t>Udarna doza (mg)</w:t>
            </w:r>
          </w:p>
        </w:tc>
        <w:tc>
          <w:tcPr>
            <w:tcW w:w="0" w:type="auto"/>
            <w:tcBorders>
              <w:top w:val="single" w:sz="4" w:space="0" w:color="auto"/>
              <w:left w:val="single" w:sz="4" w:space="0" w:color="auto"/>
              <w:bottom w:val="single" w:sz="4" w:space="0" w:color="auto"/>
              <w:right w:val="single" w:sz="4" w:space="0" w:color="auto"/>
            </w:tcBorders>
            <w:hideMark/>
          </w:tcPr>
          <w:p w14:paraId="4FB21E4D" w14:textId="6DD16D72" w:rsidR="00574910" w:rsidRPr="00801AFD" w:rsidRDefault="00946337" w:rsidP="00801AFD">
            <w:pPr>
              <w:widowControl w:val="0"/>
              <w:tabs>
                <w:tab w:val="left" w:pos="284"/>
              </w:tabs>
              <w:jc w:val="center"/>
              <w:rPr>
                <w:rFonts w:eastAsia="SimSun"/>
                <w:b/>
                <w:sz w:val="22"/>
                <w:szCs w:val="22"/>
                <w:lang w:val="sr-Latn-ME"/>
              </w:rPr>
            </w:pPr>
            <w:r w:rsidRPr="00801AFD">
              <w:rPr>
                <w:rFonts w:eastAsia="SimSun"/>
                <w:b/>
                <w:sz w:val="22"/>
                <w:szCs w:val="22"/>
                <w:lang w:val="sr-Latn-ME"/>
              </w:rPr>
              <w:t xml:space="preserve">Zapremina lijeka </w:t>
            </w:r>
            <w:r w:rsidR="00574910" w:rsidRPr="00801AFD">
              <w:rPr>
                <w:rFonts w:eastAsia="SimSun"/>
                <w:b/>
                <w:sz w:val="22"/>
                <w:szCs w:val="22"/>
                <w:lang w:val="sr-Latn-ME"/>
              </w:rPr>
              <w:t>Ultomiris (ml)</w:t>
            </w:r>
          </w:p>
        </w:tc>
        <w:tc>
          <w:tcPr>
            <w:tcW w:w="0" w:type="auto"/>
            <w:tcBorders>
              <w:top w:val="single" w:sz="4" w:space="0" w:color="auto"/>
              <w:left w:val="single" w:sz="4" w:space="0" w:color="auto"/>
              <w:bottom w:val="single" w:sz="4" w:space="0" w:color="auto"/>
              <w:right w:val="single" w:sz="4" w:space="0" w:color="auto"/>
            </w:tcBorders>
            <w:hideMark/>
          </w:tcPr>
          <w:p w14:paraId="7F414D2E" w14:textId="44CA8186" w:rsidR="00574910" w:rsidRPr="00801AFD" w:rsidRDefault="00574910" w:rsidP="00801AFD">
            <w:pPr>
              <w:widowControl w:val="0"/>
              <w:tabs>
                <w:tab w:val="left" w:pos="284"/>
              </w:tabs>
              <w:jc w:val="center"/>
              <w:rPr>
                <w:rFonts w:eastAsia="SimSun"/>
                <w:b/>
                <w:sz w:val="22"/>
                <w:szCs w:val="22"/>
                <w:lang w:val="sr-Latn-ME"/>
              </w:rPr>
            </w:pPr>
            <w:r w:rsidRPr="00801AFD">
              <w:rPr>
                <w:rFonts w:eastAsia="SimSun"/>
                <w:b/>
                <w:sz w:val="22"/>
                <w:szCs w:val="22"/>
                <w:lang w:val="sr-Latn-ME"/>
              </w:rPr>
              <w:t>Zapremina rastvarača NaCl</w:t>
            </w:r>
            <w:r w:rsidRPr="00801AFD">
              <w:rPr>
                <w:rFonts w:eastAsia="SimSun"/>
                <w:b/>
                <w:sz w:val="22"/>
                <w:szCs w:val="22"/>
                <w:vertAlign w:val="superscript"/>
                <w:lang w:val="sr-Latn-ME"/>
              </w:rPr>
              <w:t>b</w:t>
            </w:r>
            <w:r w:rsidRPr="00801AFD">
              <w:rPr>
                <w:rFonts w:eastAsia="SimSun"/>
                <w:b/>
                <w:sz w:val="22"/>
                <w:szCs w:val="22"/>
                <w:lang w:val="sr-Latn-ME"/>
              </w:rPr>
              <w:t xml:space="preserve"> (ml)</w:t>
            </w:r>
          </w:p>
        </w:tc>
        <w:tc>
          <w:tcPr>
            <w:tcW w:w="0" w:type="auto"/>
            <w:tcBorders>
              <w:top w:val="single" w:sz="4" w:space="0" w:color="auto"/>
              <w:left w:val="single" w:sz="4" w:space="0" w:color="auto"/>
              <w:bottom w:val="single" w:sz="4" w:space="0" w:color="auto"/>
              <w:right w:val="single" w:sz="4" w:space="0" w:color="auto"/>
            </w:tcBorders>
            <w:hideMark/>
          </w:tcPr>
          <w:p w14:paraId="073ADC6B" w14:textId="1E11AEB2" w:rsidR="00574910" w:rsidRPr="00801AFD" w:rsidRDefault="00574910" w:rsidP="00801AFD">
            <w:pPr>
              <w:widowControl w:val="0"/>
              <w:tabs>
                <w:tab w:val="left" w:pos="284"/>
              </w:tabs>
              <w:jc w:val="center"/>
              <w:rPr>
                <w:rFonts w:eastAsia="SimSun"/>
                <w:b/>
                <w:sz w:val="22"/>
                <w:szCs w:val="22"/>
                <w:lang w:val="sr-Latn-ME"/>
              </w:rPr>
            </w:pPr>
            <w:r w:rsidRPr="00801AFD">
              <w:rPr>
                <w:rFonts w:eastAsia="SimSun"/>
                <w:b/>
                <w:sz w:val="22"/>
                <w:szCs w:val="22"/>
                <w:lang w:val="sr-Latn-ME"/>
              </w:rPr>
              <w:t>Ukupna zapremina (ml)</w:t>
            </w:r>
          </w:p>
        </w:tc>
      </w:tr>
      <w:tr w:rsidR="00574910" w:rsidRPr="00801AFD" w14:paraId="39A8D43C" w14:textId="77777777" w:rsidTr="00986850">
        <w:tc>
          <w:tcPr>
            <w:tcW w:w="0" w:type="auto"/>
            <w:tcBorders>
              <w:top w:val="single" w:sz="4" w:space="0" w:color="auto"/>
              <w:left w:val="single" w:sz="4" w:space="0" w:color="auto"/>
              <w:bottom w:val="single" w:sz="4" w:space="0" w:color="auto"/>
              <w:right w:val="single" w:sz="4" w:space="0" w:color="auto"/>
            </w:tcBorders>
          </w:tcPr>
          <w:p w14:paraId="7EFB25A8" w14:textId="77777777" w:rsidR="00574910" w:rsidRPr="00801AFD" w:rsidRDefault="00574910" w:rsidP="00801AFD">
            <w:pPr>
              <w:widowControl w:val="0"/>
              <w:tabs>
                <w:tab w:val="left" w:pos="284"/>
              </w:tabs>
              <w:jc w:val="center"/>
              <w:rPr>
                <w:rFonts w:eastAsia="Calibri"/>
                <w:sz w:val="22"/>
                <w:szCs w:val="22"/>
                <w:lang w:val="sr-Latn-ME"/>
              </w:rPr>
            </w:pPr>
            <w:r w:rsidRPr="00801AFD">
              <w:rPr>
                <w:sz w:val="22"/>
                <w:szCs w:val="22"/>
                <w:lang w:val="sr-Latn-ME"/>
              </w:rPr>
              <w:t>≥ 10 do &lt; 20</w:t>
            </w:r>
          </w:p>
        </w:tc>
        <w:tc>
          <w:tcPr>
            <w:tcW w:w="0" w:type="auto"/>
            <w:tcBorders>
              <w:top w:val="single" w:sz="4" w:space="0" w:color="auto"/>
              <w:left w:val="single" w:sz="4" w:space="0" w:color="auto"/>
              <w:bottom w:val="single" w:sz="4" w:space="0" w:color="auto"/>
              <w:right w:val="single" w:sz="4" w:space="0" w:color="auto"/>
            </w:tcBorders>
          </w:tcPr>
          <w:p w14:paraId="03E08729"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600</w:t>
            </w:r>
          </w:p>
        </w:tc>
        <w:tc>
          <w:tcPr>
            <w:tcW w:w="0" w:type="auto"/>
            <w:tcBorders>
              <w:top w:val="single" w:sz="4" w:space="0" w:color="auto"/>
              <w:left w:val="single" w:sz="4" w:space="0" w:color="auto"/>
              <w:bottom w:val="single" w:sz="4" w:space="0" w:color="auto"/>
              <w:right w:val="single" w:sz="4" w:space="0" w:color="auto"/>
            </w:tcBorders>
          </w:tcPr>
          <w:p w14:paraId="57ADDD60"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60</w:t>
            </w:r>
          </w:p>
        </w:tc>
        <w:tc>
          <w:tcPr>
            <w:tcW w:w="0" w:type="auto"/>
            <w:tcBorders>
              <w:top w:val="single" w:sz="4" w:space="0" w:color="auto"/>
              <w:left w:val="single" w:sz="4" w:space="0" w:color="auto"/>
              <w:bottom w:val="single" w:sz="4" w:space="0" w:color="auto"/>
              <w:right w:val="single" w:sz="4" w:space="0" w:color="auto"/>
            </w:tcBorders>
          </w:tcPr>
          <w:p w14:paraId="44128F88"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60</w:t>
            </w:r>
          </w:p>
        </w:tc>
        <w:tc>
          <w:tcPr>
            <w:tcW w:w="0" w:type="auto"/>
            <w:tcBorders>
              <w:top w:val="single" w:sz="4" w:space="0" w:color="auto"/>
              <w:left w:val="single" w:sz="4" w:space="0" w:color="auto"/>
              <w:bottom w:val="single" w:sz="4" w:space="0" w:color="auto"/>
              <w:right w:val="single" w:sz="4" w:space="0" w:color="auto"/>
            </w:tcBorders>
          </w:tcPr>
          <w:p w14:paraId="17191E37"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120</w:t>
            </w:r>
          </w:p>
        </w:tc>
      </w:tr>
      <w:tr w:rsidR="00574910" w:rsidRPr="00801AFD" w14:paraId="7BABDC07" w14:textId="77777777" w:rsidTr="00986850">
        <w:tc>
          <w:tcPr>
            <w:tcW w:w="0" w:type="auto"/>
            <w:tcBorders>
              <w:top w:val="single" w:sz="4" w:space="0" w:color="auto"/>
              <w:left w:val="single" w:sz="4" w:space="0" w:color="auto"/>
              <w:bottom w:val="single" w:sz="4" w:space="0" w:color="auto"/>
              <w:right w:val="single" w:sz="4" w:space="0" w:color="auto"/>
            </w:tcBorders>
          </w:tcPr>
          <w:p w14:paraId="1CE2DABD" w14:textId="77777777" w:rsidR="00574910" w:rsidRPr="00801AFD" w:rsidRDefault="00574910" w:rsidP="00801AFD">
            <w:pPr>
              <w:widowControl w:val="0"/>
              <w:tabs>
                <w:tab w:val="left" w:pos="284"/>
              </w:tabs>
              <w:jc w:val="center"/>
              <w:rPr>
                <w:rFonts w:eastAsia="Calibri"/>
                <w:sz w:val="22"/>
                <w:szCs w:val="22"/>
                <w:lang w:val="sr-Latn-ME"/>
              </w:rPr>
            </w:pPr>
            <w:r w:rsidRPr="00801AFD">
              <w:rPr>
                <w:sz w:val="22"/>
                <w:szCs w:val="22"/>
                <w:lang w:val="sr-Latn-ME"/>
              </w:rPr>
              <w:t>≥ 20 do &lt; 30</w:t>
            </w:r>
          </w:p>
        </w:tc>
        <w:tc>
          <w:tcPr>
            <w:tcW w:w="0" w:type="auto"/>
            <w:tcBorders>
              <w:top w:val="single" w:sz="4" w:space="0" w:color="auto"/>
              <w:left w:val="single" w:sz="4" w:space="0" w:color="auto"/>
              <w:bottom w:val="single" w:sz="4" w:space="0" w:color="auto"/>
              <w:right w:val="single" w:sz="4" w:space="0" w:color="auto"/>
            </w:tcBorders>
          </w:tcPr>
          <w:p w14:paraId="45EE4F70"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900</w:t>
            </w:r>
          </w:p>
        </w:tc>
        <w:tc>
          <w:tcPr>
            <w:tcW w:w="0" w:type="auto"/>
            <w:tcBorders>
              <w:top w:val="single" w:sz="4" w:space="0" w:color="auto"/>
              <w:left w:val="single" w:sz="4" w:space="0" w:color="auto"/>
              <w:bottom w:val="single" w:sz="4" w:space="0" w:color="auto"/>
              <w:right w:val="single" w:sz="4" w:space="0" w:color="auto"/>
            </w:tcBorders>
          </w:tcPr>
          <w:p w14:paraId="626A602A"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90</w:t>
            </w:r>
          </w:p>
        </w:tc>
        <w:tc>
          <w:tcPr>
            <w:tcW w:w="0" w:type="auto"/>
            <w:tcBorders>
              <w:top w:val="single" w:sz="4" w:space="0" w:color="auto"/>
              <w:left w:val="single" w:sz="4" w:space="0" w:color="auto"/>
              <w:bottom w:val="single" w:sz="4" w:space="0" w:color="auto"/>
              <w:right w:val="single" w:sz="4" w:space="0" w:color="auto"/>
            </w:tcBorders>
          </w:tcPr>
          <w:p w14:paraId="25F81B5A"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90</w:t>
            </w:r>
          </w:p>
        </w:tc>
        <w:tc>
          <w:tcPr>
            <w:tcW w:w="0" w:type="auto"/>
            <w:tcBorders>
              <w:top w:val="single" w:sz="4" w:space="0" w:color="auto"/>
              <w:left w:val="single" w:sz="4" w:space="0" w:color="auto"/>
              <w:bottom w:val="single" w:sz="4" w:space="0" w:color="auto"/>
              <w:right w:val="single" w:sz="4" w:space="0" w:color="auto"/>
            </w:tcBorders>
          </w:tcPr>
          <w:p w14:paraId="3A3E1B58"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180</w:t>
            </w:r>
          </w:p>
        </w:tc>
      </w:tr>
      <w:tr w:rsidR="00574910" w:rsidRPr="00801AFD" w14:paraId="2A6E6258" w14:textId="77777777" w:rsidTr="00986850">
        <w:tc>
          <w:tcPr>
            <w:tcW w:w="0" w:type="auto"/>
            <w:tcBorders>
              <w:top w:val="single" w:sz="4" w:space="0" w:color="auto"/>
              <w:left w:val="single" w:sz="4" w:space="0" w:color="auto"/>
              <w:bottom w:val="single" w:sz="4" w:space="0" w:color="auto"/>
              <w:right w:val="single" w:sz="4" w:space="0" w:color="auto"/>
            </w:tcBorders>
          </w:tcPr>
          <w:p w14:paraId="0B24E950"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 30 do &lt; 40</w:t>
            </w:r>
          </w:p>
        </w:tc>
        <w:tc>
          <w:tcPr>
            <w:tcW w:w="0" w:type="auto"/>
            <w:tcBorders>
              <w:top w:val="single" w:sz="4" w:space="0" w:color="auto"/>
              <w:left w:val="single" w:sz="4" w:space="0" w:color="auto"/>
              <w:bottom w:val="single" w:sz="4" w:space="0" w:color="auto"/>
              <w:right w:val="single" w:sz="4" w:space="0" w:color="auto"/>
            </w:tcBorders>
          </w:tcPr>
          <w:p w14:paraId="221763C7"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1,200</w:t>
            </w:r>
          </w:p>
        </w:tc>
        <w:tc>
          <w:tcPr>
            <w:tcW w:w="0" w:type="auto"/>
            <w:tcBorders>
              <w:top w:val="single" w:sz="4" w:space="0" w:color="auto"/>
              <w:left w:val="single" w:sz="4" w:space="0" w:color="auto"/>
              <w:bottom w:val="single" w:sz="4" w:space="0" w:color="auto"/>
              <w:right w:val="single" w:sz="4" w:space="0" w:color="auto"/>
            </w:tcBorders>
          </w:tcPr>
          <w:p w14:paraId="765B883B"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120</w:t>
            </w:r>
          </w:p>
        </w:tc>
        <w:tc>
          <w:tcPr>
            <w:tcW w:w="0" w:type="auto"/>
            <w:tcBorders>
              <w:top w:val="single" w:sz="4" w:space="0" w:color="auto"/>
              <w:left w:val="single" w:sz="4" w:space="0" w:color="auto"/>
              <w:bottom w:val="single" w:sz="4" w:space="0" w:color="auto"/>
              <w:right w:val="single" w:sz="4" w:space="0" w:color="auto"/>
            </w:tcBorders>
          </w:tcPr>
          <w:p w14:paraId="30862F74"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120</w:t>
            </w:r>
          </w:p>
        </w:tc>
        <w:tc>
          <w:tcPr>
            <w:tcW w:w="0" w:type="auto"/>
            <w:tcBorders>
              <w:top w:val="single" w:sz="4" w:space="0" w:color="auto"/>
              <w:left w:val="single" w:sz="4" w:space="0" w:color="auto"/>
              <w:bottom w:val="single" w:sz="4" w:space="0" w:color="auto"/>
              <w:right w:val="single" w:sz="4" w:space="0" w:color="auto"/>
            </w:tcBorders>
          </w:tcPr>
          <w:p w14:paraId="26D73DE6"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240</w:t>
            </w:r>
          </w:p>
        </w:tc>
      </w:tr>
      <w:tr w:rsidR="00574910" w:rsidRPr="00801AFD" w14:paraId="5188DA45" w14:textId="77777777" w:rsidTr="00986850">
        <w:tc>
          <w:tcPr>
            <w:tcW w:w="0" w:type="auto"/>
            <w:tcBorders>
              <w:top w:val="single" w:sz="4" w:space="0" w:color="auto"/>
              <w:left w:val="single" w:sz="4" w:space="0" w:color="auto"/>
              <w:bottom w:val="single" w:sz="4" w:space="0" w:color="auto"/>
              <w:right w:val="single" w:sz="4" w:space="0" w:color="auto"/>
            </w:tcBorders>
            <w:hideMark/>
          </w:tcPr>
          <w:p w14:paraId="67BF8FE0" w14:textId="77777777" w:rsidR="00574910" w:rsidRPr="00801AFD" w:rsidRDefault="00574910" w:rsidP="00801AFD">
            <w:pPr>
              <w:widowControl w:val="0"/>
              <w:tabs>
                <w:tab w:val="left" w:pos="284"/>
              </w:tabs>
              <w:jc w:val="center"/>
              <w:rPr>
                <w:sz w:val="22"/>
                <w:szCs w:val="22"/>
                <w:lang w:val="sr-Latn-ME"/>
              </w:rPr>
            </w:pPr>
            <w:r w:rsidRPr="00801AFD">
              <w:rPr>
                <w:rFonts w:eastAsia="Calibri"/>
                <w:sz w:val="22"/>
                <w:szCs w:val="22"/>
                <w:lang w:val="sr-Latn-ME"/>
              </w:rPr>
              <w:t>≥ 40 do &lt; 60</w:t>
            </w:r>
          </w:p>
        </w:tc>
        <w:tc>
          <w:tcPr>
            <w:tcW w:w="0" w:type="auto"/>
            <w:tcBorders>
              <w:top w:val="single" w:sz="4" w:space="0" w:color="auto"/>
              <w:left w:val="single" w:sz="4" w:space="0" w:color="auto"/>
              <w:bottom w:val="single" w:sz="4" w:space="0" w:color="auto"/>
              <w:right w:val="single" w:sz="4" w:space="0" w:color="auto"/>
            </w:tcBorders>
            <w:hideMark/>
          </w:tcPr>
          <w:p w14:paraId="3AFF7046"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2,400</w:t>
            </w:r>
          </w:p>
        </w:tc>
        <w:tc>
          <w:tcPr>
            <w:tcW w:w="0" w:type="auto"/>
            <w:tcBorders>
              <w:top w:val="single" w:sz="4" w:space="0" w:color="auto"/>
              <w:left w:val="single" w:sz="4" w:space="0" w:color="auto"/>
              <w:bottom w:val="single" w:sz="4" w:space="0" w:color="auto"/>
              <w:right w:val="single" w:sz="4" w:space="0" w:color="auto"/>
            </w:tcBorders>
            <w:hideMark/>
          </w:tcPr>
          <w:p w14:paraId="7482F67B"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240</w:t>
            </w:r>
          </w:p>
        </w:tc>
        <w:tc>
          <w:tcPr>
            <w:tcW w:w="0" w:type="auto"/>
            <w:tcBorders>
              <w:top w:val="single" w:sz="4" w:space="0" w:color="auto"/>
              <w:left w:val="single" w:sz="4" w:space="0" w:color="auto"/>
              <w:bottom w:val="single" w:sz="4" w:space="0" w:color="auto"/>
              <w:right w:val="single" w:sz="4" w:space="0" w:color="auto"/>
            </w:tcBorders>
            <w:hideMark/>
          </w:tcPr>
          <w:p w14:paraId="5F36D0B5"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240</w:t>
            </w:r>
          </w:p>
        </w:tc>
        <w:tc>
          <w:tcPr>
            <w:tcW w:w="0" w:type="auto"/>
            <w:tcBorders>
              <w:top w:val="single" w:sz="4" w:space="0" w:color="auto"/>
              <w:left w:val="single" w:sz="4" w:space="0" w:color="auto"/>
              <w:bottom w:val="single" w:sz="4" w:space="0" w:color="auto"/>
              <w:right w:val="single" w:sz="4" w:space="0" w:color="auto"/>
            </w:tcBorders>
            <w:hideMark/>
          </w:tcPr>
          <w:p w14:paraId="54F18BB1"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480</w:t>
            </w:r>
          </w:p>
        </w:tc>
      </w:tr>
      <w:tr w:rsidR="00574910" w:rsidRPr="00801AFD" w14:paraId="34ED48B9" w14:textId="77777777" w:rsidTr="00986850">
        <w:tc>
          <w:tcPr>
            <w:tcW w:w="0" w:type="auto"/>
            <w:tcBorders>
              <w:top w:val="single" w:sz="4" w:space="0" w:color="auto"/>
              <w:left w:val="single" w:sz="4" w:space="0" w:color="auto"/>
              <w:bottom w:val="single" w:sz="4" w:space="0" w:color="auto"/>
              <w:right w:val="single" w:sz="4" w:space="0" w:color="auto"/>
            </w:tcBorders>
            <w:hideMark/>
          </w:tcPr>
          <w:p w14:paraId="0A2A6229" w14:textId="77777777" w:rsidR="00574910" w:rsidRPr="00801AFD" w:rsidRDefault="00574910" w:rsidP="00801AFD">
            <w:pPr>
              <w:widowControl w:val="0"/>
              <w:tabs>
                <w:tab w:val="left" w:pos="284"/>
              </w:tabs>
              <w:jc w:val="center"/>
              <w:rPr>
                <w:sz w:val="22"/>
                <w:szCs w:val="22"/>
                <w:lang w:val="sr-Latn-ME"/>
              </w:rPr>
            </w:pPr>
            <w:r w:rsidRPr="00801AFD">
              <w:rPr>
                <w:rFonts w:eastAsia="Calibri"/>
                <w:sz w:val="22"/>
                <w:szCs w:val="22"/>
                <w:lang w:val="sr-Latn-ME"/>
              </w:rPr>
              <w:t>≥ 60 do &lt; 100</w:t>
            </w:r>
          </w:p>
        </w:tc>
        <w:tc>
          <w:tcPr>
            <w:tcW w:w="0" w:type="auto"/>
            <w:tcBorders>
              <w:top w:val="single" w:sz="4" w:space="0" w:color="auto"/>
              <w:left w:val="single" w:sz="4" w:space="0" w:color="auto"/>
              <w:bottom w:val="single" w:sz="4" w:space="0" w:color="auto"/>
              <w:right w:val="single" w:sz="4" w:space="0" w:color="auto"/>
            </w:tcBorders>
            <w:hideMark/>
          </w:tcPr>
          <w:p w14:paraId="17047140"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2,700</w:t>
            </w:r>
          </w:p>
        </w:tc>
        <w:tc>
          <w:tcPr>
            <w:tcW w:w="0" w:type="auto"/>
            <w:tcBorders>
              <w:top w:val="single" w:sz="4" w:space="0" w:color="auto"/>
              <w:left w:val="single" w:sz="4" w:space="0" w:color="auto"/>
              <w:bottom w:val="single" w:sz="4" w:space="0" w:color="auto"/>
              <w:right w:val="single" w:sz="4" w:space="0" w:color="auto"/>
            </w:tcBorders>
            <w:hideMark/>
          </w:tcPr>
          <w:p w14:paraId="20795A20"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270</w:t>
            </w:r>
          </w:p>
        </w:tc>
        <w:tc>
          <w:tcPr>
            <w:tcW w:w="0" w:type="auto"/>
            <w:tcBorders>
              <w:top w:val="single" w:sz="4" w:space="0" w:color="auto"/>
              <w:left w:val="single" w:sz="4" w:space="0" w:color="auto"/>
              <w:bottom w:val="single" w:sz="4" w:space="0" w:color="auto"/>
              <w:right w:val="single" w:sz="4" w:space="0" w:color="auto"/>
            </w:tcBorders>
            <w:hideMark/>
          </w:tcPr>
          <w:p w14:paraId="6A83481A"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270</w:t>
            </w:r>
          </w:p>
        </w:tc>
        <w:tc>
          <w:tcPr>
            <w:tcW w:w="0" w:type="auto"/>
            <w:tcBorders>
              <w:top w:val="single" w:sz="4" w:space="0" w:color="auto"/>
              <w:left w:val="single" w:sz="4" w:space="0" w:color="auto"/>
              <w:bottom w:val="single" w:sz="4" w:space="0" w:color="auto"/>
              <w:right w:val="single" w:sz="4" w:space="0" w:color="auto"/>
            </w:tcBorders>
            <w:hideMark/>
          </w:tcPr>
          <w:p w14:paraId="4971FC6A"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540</w:t>
            </w:r>
          </w:p>
        </w:tc>
      </w:tr>
      <w:tr w:rsidR="00574910" w:rsidRPr="00801AFD" w14:paraId="79B29399" w14:textId="77777777" w:rsidTr="00986850">
        <w:tc>
          <w:tcPr>
            <w:tcW w:w="0" w:type="auto"/>
            <w:tcBorders>
              <w:top w:val="single" w:sz="4" w:space="0" w:color="auto"/>
              <w:left w:val="single" w:sz="4" w:space="0" w:color="auto"/>
              <w:bottom w:val="single" w:sz="4" w:space="0" w:color="auto"/>
              <w:right w:val="single" w:sz="4" w:space="0" w:color="auto"/>
            </w:tcBorders>
            <w:hideMark/>
          </w:tcPr>
          <w:p w14:paraId="0E0BAF5C" w14:textId="77777777" w:rsidR="00574910" w:rsidRPr="00801AFD" w:rsidRDefault="00574910" w:rsidP="00801AFD">
            <w:pPr>
              <w:widowControl w:val="0"/>
              <w:tabs>
                <w:tab w:val="left" w:pos="284"/>
              </w:tabs>
              <w:jc w:val="center"/>
              <w:rPr>
                <w:sz w:val="22"/>
                <w:szCs w:val="22"/>
                <w:lang w:val="sr-Latn-ME"/>
              </w:rPr>
            </w:pPr>
            <w:r w:rsidRPr="00801AFD">
              <w:rPr>
                <w:rFonts w:eastAsia="Calibri"/>
                <w:sz w:val="22"/>
                <w:szCs w:val="22"/>
                <w:lang w:val="sr-Latn-ME"/>
              </w:rPr>
              <w:t>≥ 100</w:t>
            </w:r>
          </w:p>
        </w:tc>
        <w:tc>
          <w:tcPr>
            <w:tcW w:w="0" w:type="auto"/>
            <w:tcBorders>
              <w:top w:val="single" w:sz="4" w:space="0" w:color="auto"/>
              <w:left w:val="single" w:sz="4" w:space="0" w:color="auto"/>
              <w:bottom w:val="single" w:sz="4" w:space="0" w:color="auto"/>
              <w:right w:val="single" w:sz="4" w:space="0" w:color="auto"/>
            </w:tcBorders>
            <w:hideMark/>
          </w:tcPr>
          <w:p w14:paraId="71532134" w14:textId="77777777" w:rsidR="00574910" w:rsidRPr="00801AFD" w:rsidRDefault="00574910" w:rsidP="00801AFD">
            <w:pPr>
              <w:widowControl w:val="0"/>
              <w:tabs>
                <w:tab w:val="left" w:pos="284"/>
              </w:tabs>
              <w:jc w:val="center"/>
              <w:rPr>
                <w:sz w:val="22"/>
                <w:szCs w:val="22"/>
                <w:lang w:val="sr-Latn-ME"/>
              </w:rPr>
            </w:pPr>
            <w:r w:rsidRPr="00801AFD">
              <w:rPr>
                <w:rFonts w:eastAsia="SimSun"/>
                <w:sz w:val="22"/>
                <w:szCs w:val="22"/>
                <w:lang w:val="sr-Latn-ME"/>
              </w:rPr>
              <w:t>3,000</w:t>
            </w:r>
          </w:p>
        </w:tc>
        <w:tc>
          <w:tcPr>
            <w:tcW w:w="0" w:type="auto"/>
            <w:tcBorders>
              <w:top w:val="single" w:sz="4" w:space="0" w:color="auto"/>
              <w:left w:val="single" w:sz="4" w:space="0" w:color="auto"/>
              <w:bottom w:val="single" w:sz="4" w:space="0" w:color="auto"/>
              <w:right w:val="single" w:sz="4" w:space="0" w:color="auto"/>
            </w:tcBorders>
            <w:hideMark/>
          </w:tcPr>
          <w:p w14:paraId="1D2DBE5B"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300</w:t>
            </w:r>
          </w:p>
        </w:tc>
        <w:tc>
          <w:tcPr>
            <w:tcW w:w="0" w:type="auto"/>
            <w:tcBorders>
              <w:top w:val="single" w:sz="4" w:space="0" w:color="auto"/>
              <w:left w:val="single" w:sz="4" w:space="0" w:color="auto"/>
              <w:bottom w:val="single" w:sz="4" w:space="0" w:color="auto"/>
              <w:right w:val="single" w:sz="4" w:space="0" w:color="auto"/>
            </w:tcBorders>
            <w:hideMark/>
          </w:tcPr>
          <w:p w14:paraId="7EEC6346"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300</w:t>
            </w:r>
          </w:p>
        </w:tc>
        <w:tc>
          <w:tcPr>
            <w:tcW w:w="0" w:type="auto"/>
            <w:tcBorders>
              <w:top w:val="single" w:sz="4" w:space="0" w:color="auto"/>
              <w:left w:val="single" w:sz="4" w:space="0" w:color="auto"/>
              <w:bottom w:val="single" w:sz="4" w:space="0" w:color="auto"/>
              <w:right w:val="single" w:sz="4" w:space="0" w:color="auto"/>
            </w:tcBorders>
            <w:hideMark/>
          </w:tcPr>
          <w:p w14:paraId="4DA979CD" w14:textId="77777777" w:rsidR="00574910" w:rsidRPr="00801AFD" w:rsidRDefault="00574910" w:rsidP="00801AFD">
            <w:pPr>
              <w:widowControl w:val="0"/>
              <w:tabs>
                <w:tab w:val="left" w:pos="284"/>
              </w:tabs>
              <w:jc w:val="center"/>
              <w:rPr>
                <w:sz w:val="22"/>
                <w:szCs w:val="22"/>
                <w:lang w:val="sr-Latn-ME"/>
              </w:rPr>
            </w:pPr>
            <w:r w:rsidRPr="00801AFD">
              <w:rPr>
                <w:sz w:val="22"/>
                <w:szCs w:val="22"/>
                <w:lang w:val="sr-Latn-ME"/>
              </w:rPr>
              <w:t>600</w:t>
            </w:r>
          </w:p>
        </w:tc>
      </w:tr>
    </w:tbl>
    <w:p w14:paraId="52D54486" w14:textId="23E53858" w:rsidR="00574910" w:rsidRPr="00986850" w:rsidRDefault="00574910" w:rsidP="00801AFD">
      <w:pPr>
        <w:widowControl w:val="0"/>
        <w:tabs>
          <w:tab w:val="left" w:pos="284"/>
        </w:tabs>
        <w:jc w:val="both"/>
        <w:rPr>
          <w:sz w:val="20"/>
          <w:szCs w:val="22"/>
          <w:lang w:val="sr-Latn-ME"/>
        </w:rPr>
      </w:pPr>
      <w:r w:rsidRPr="00986850">
        <w:rPr>
          <w:sz w:val="20"/>
          <w:szCs w:val="22"/>
          <w:vertAlign w:val="superscript"/>
          <w:lang w:val="sr-Latn-ME"/>
        </w:rPr>
        <w:t xml:space="preserve">a </w:t>
      </w:r>
      <w:r w:rsidRPr="00986850">
        <w:rPr>
          <w:sz w:val="20"/>
          <w:szCs w:val="22"/>
          <w:lang w:val="sr-Latn-ME"/>
        </w:rPr>
        <w:t xml:space="preserve">Tjelesna </w:t>
      </w:r>
      <w:r w:rsidR="00DB1C80" w:rsidRPr="00986850">
        <w:rPr>
          <w:sz w:val="20"/>
          <w:szCs w:val="22"/>
          <w:lang w:val="sr-Latn-ME"/>
        </w:rPr>
        <w:t xml:space="preserve">težina </w:t>
      </w:r>
      <w:r w:rsidRPr="00986850">
        <w:rPr>
          <w:sz w:val="20"/>
          <w:szCs w:val="22"/>
          <w:lang w:val="sr-Latn-ME"/>
        </w:rPr>
        <w:t>u vr</w:t>
      </w:r>
      <w:r w:rsidR="00B254DE" w:rsidRPr="00986850">
        <w:rPr>
          <w:sz w:val="20"/>
          <w:szCs w:val="22"/>
          <w:lang w:val="sr-Latn-ME"/>
        </w:rPr>
        <w:t>ij</w:t>
      </w:r>
      <w:r w:rsidRPr="00986850">
        <w:rPr>
          <w:sz w:val="20"/>
          <w:szCs w:val="22"/>
          <w:lang w:val="sr-Latn-ME"/>
        </w:rPr>
        <w:t>eme liječenja.</w:t>
      </w:r>
    </w:p>
    <w:p w14:paraId="5AB2B0E7" w14:textId="0A4710CE" w:rsidR="00574910" w:rsidRPr="00986850" w:rsidRDefault="00574910" w:rsidP="00801AFD">
      <w:pPr>
        <w:widowControl w:val="0"/>
        <w:tabs>
          <w:tab w:val="left" w:pos="284"/>
        </w:tabs>
        <w:jc w:val="both"/>
        <w:rPr>
          <w:sz w:val="20"/>
          <w:szCs w:val="22"/>
          <w:lang w:val="sr-Latn-ME"/>
        </w:rPr>
      </w:pPr>
      <w:r w:rsidRPr="00986850">
        <w:rPr>
          <w:sz w:val="20"/>
          <w:szCs w:val="22"/>
          <w:vertAlign w:val="superscript"/>
          <w:lang w:val="sr-Latn-ME"/>
        </w:rPr>
        <w:t>b</w:t>
      </w:r>
      <w:r w:rsidRPr="00986850">
        <w:rPr>
          <w:sz w:val="20"/>
          <w:szCs w:val="22"/>
          <w:lang w:val="sr-Latn-ME"/>
        </w:rPr>
        <w:t xml:space="preserve"> </w:t>
      </w:r>
      <w:r w:rsidR="00B42CAC" w:rsidRPr="00986850">
        <w:rPr>
          <w:sz w:val="20"/>
          <w:szCs w:val="22"/>
          <w:lang w:val="sr-Latn-ME"/>
        </w:rPr>
        <w:t xml:space="preserve">Lijek </w:t>
      </w:r>
      <w:r w:rsidRPr="00986850">
        <w:rPr>
          <w:sz w:val="20"/>
          <w:szCs w:val="22"/>
          <w:lang w:val="sr-Latn-ME"/>
        </w:rPr>
        <w:t>Ultomiris treba razblaživati isključivo rastvorom za injekciju natrijum hlorida 9 mg/ml (0,9%)</w:t>
      </w:r>
      <w:r w:rsidR="0064549B" w:rsidRPr="00986850">
        <w:rPr>
          <w:sz w:val="20"/>
          <w:szCs w:val="22"/>
          <w:lang w:val="sr-Latn-ME"/>
        </w:rPr>
        <w:t>.</w:t>
      </w:r>
    </w:p>
    <w:p w14:paraId="14398129" w14:textId="66127A47" w:rsidR="00574910" w:rsidRPr="00801AFD" w:rsidRDefault="00574910" w:rsidP="00801AFD">
      <w:pPr>
        <w:widowControl w:val="0"/>
        <w:tabs>
          <w:tab w:val="left" w:pos="284"/>
        </w:tabs>
        <w:jc w:val="both"/>
        <w:rPr>
          <w:sz w:val="22"/>
          <w:szCs w:val="22"/>
          <w:lang w:val="sr-Latn-ME"/>
        </w:rPr>
      </w:pPr>
    </w:p>
    <w:p w14:paraId="0E062FD7" w14:textId="1B38F1E2" w:rsidR="00BA7E80" w:rsidRPr="00801AFD" w:rsidRDefault="00BA7E80" w:rsidP="00801AFD">
      <w:pPr>
        <w:widowControl w:val="0"/>
        <w:tabs>
          <w:tab w:val="left" w:pos="284"/>
        </w:tabs>
        <w:jc w:val="both"/>
        <w:rPr>
          <w:b/>
          <w:bCs/>
          <w:sz w:val="22"/>
          <w:szCs w:val="22"/>
          <w:lang w:val="sr-Latn-ME"/>
        </w:rPr>
      </w:pPr>
      <w:r w:rsidRPr="00801AFD">
        <w:rPr>
          <w:b/>
          <w:bCs/>
          <w:sz w:val="22"/>
          <w:szCs w:val="22"/>
          <w:lang w:val="sr-Latn-ME"/>
        </w:rPr>
        <w:t xml:space="preserve">Tabela </w:t>
      </w:r>
      <w:r w:rsidR="00D0032C" w:rsidRPr="00801AFD">
        <w:rPr>
          <w:b/>
          <w:bCs/>
          <w:sz w:val="22"/>
          <w:szCs w:val="22"/>
          <w:lang w:val="sr-Latn-ME"/>
        </w:rPr>
        <w:t>30</w:t>
      </w:r>
      <w:r w:rsidRPr="00801AFD">
        <w:rPr>
          <w:b/>
          <w:bCs/>
          <w:sz w:val="22"/>
          <w:szCs w:val="22"/>
          <w:lang w:val="sr-Latn-ME"/>
        </w:rPr>
        <w:t xml:space="preserve">: Reference za primjenu doze održavanja za Ultomiris 300 mg/30 ml, koncentrat za rastvor za infuziju </w:t>
      </w:r>
    </w:p>
    <w:p w14:paraId="1E6612E4" w14:textId="77777777" w:rsidR="00BA7E80" w:rsidRPr="00801AFD" w:rsidRDefault="00BA7E80" w:rsidP="00801AFD">
      <w:pPr>
        <w:widowControl w:val="0"/>
        <w:tabs>
          <w:tab w:val="left" w:pos="284"/>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492"/>
        <w:gridCol w:w="2057"/>
        <w:gridCol w:w="2117"/>
        <w:gridCol w:w="1722"/>
      </w:tblGrid>
      <w:tr w:rsidR="00BA7E80" w:rsidRPr="00801AFD" w14:paraId="4B82ECB8" w14:textId="77777777" w:rsidTr="00986850">
        <w:tc>
          <w:tcPr>
            <w:tcW w:w="0" w:type="auto"/>
            <w:tcBorders>
              <w:top w:val="single" w:sz="4" w:space="0" w:color="auto"/>
              <w:left w:val="single" w:sz="4" w:space="0" w:color="auto"/>
              <w:bottom w:val="single" w:sz="4" w:space="0" w:color="auto"/>
              <w:right w:val="single" w:sz="4" w:space="0" w:color="auto"/>
            </w:tcBorders>
            <w:hideMark/>
          </w:tcPr>
          <w:p w14:paraId="4CEF68C1" w14:textId="77777777" w:rsidR="00BA7E80" w:rsidRPr="00801AFD" w:rsidRDefault="00BA7E80" w:rsidP="00801AFD">
            <w:pPr>
              <w:widowControl w:val="0"/>
              <w:tabs>
                <w:tab w:val="left" w:pos="284"/>
              </w:tabs>
              <w:jc w:val="center"/>
              <w:rPr>
                <w:rFonts w:eastAsia="SimSun"/>
                <w:b/>
                <w:sz w:val="22"/>
                <w:szCs w:val="22"/>
                <w:lang w:val="sr-Latn-ME"/>
              </w:rPr>
            </w:pPr>
            <w:r w:rsidRPr="00801AFD">
              <w:rPr>
                <w:rFonts w:eastAsia="Calibri"/>
                <w:b/>
                <w:sz w:val="22"/>
                <w:szCs w:val="22"/>
                <w:lang w:val="sr-Latn-ME"/>
              </w:rPr>
              <w:t>Raspon tjelesne težine (kg)</w:t>
            </w:r>
            <w:r w:rsidRPr="00801AFD">
              <w:rPr>
                <w:rFonts w:eastAsia="Calibri"/>
                <w:b/>
                <w:sz w:val="22"/>
                <w:szCs w:val="22"/>
                <w:vertAlign w:val="superscript"/>
                <w:lang w:val="sr-Latn-ME"/>
              </w:rPr>
              <w:t>a</w:t>
            </w:r>
          </w:p>
        </w:tc>
        <w:tc>
          <w:tcPr>
            <w:tcW w:w="0" w:type="auto"/>
            <w:tcBorders>
              <w:top w:val="single" w:sz="4" w:space="0" w:color="auto"/>
              <w:left w:val="single" w:sz="4" w:space="0" w:color="auto"/>
              <w:bottom w:val="single" w:sz="4" w:space="0" w:color="auto"/>
              <w:right w:val="single" w:sz="4" w:space="0" w:color="auto"/>
            </w:tcBorders>
            <w:hideMark/>
          </w:tcPr>
          <w:p w14:paraId="1792893C" w14:textId="77777777" w:rsidR="00BA7E80" w:rsidRPr="00801AFD" w:rsidRDefault="00BA7E80" w:rsidP="00801AFD">
            <w:pPr>
              <w:widowControl w:val="0"/>
              <w:tabs>
                <w:tab w:val="left" w:pos="284"/>
              </w:tabs>
              <w:jc w:val="center"/>
              <w:rPr>
                <w:rFonts w:eastAsia="SimSun"/>
                <w:b/>
                <w:sz w:val="22"/>
                <w:szCs w:val="22"/>
                <w:lang w:val="sr-Latn-ME"/>
              </w:rPr>
            </w:pPr>
            <w:r w:rsidRPr="00801AFD">
              <w:rPr>
                <w:rFonts w:eastAsia="SimSun"/>
                <w:b/>
                <w:sz w:val="22"/>
                <w:szCs w:val="22"/>
                <w:lang w:val="sr-Latn-ME"/>
              </w:rPr>
              <w:t>Doza održavanja</w:t>
            </w:r>
          </w:p>
          <w:p w14:paraId="6BA78375" w14:textId="77777777" w:rsidR="00BA7E80" w:rsidRPr="00801AFD" w:rsidRDefault="00BA7E80" w:rsidP="00801AFD">
            <w:pPr>
              <w:widowControl w:val="0"/>
              <w:tabs>
                <w:tab w:val="left" w:pos="284"/>
              </w:tabs>
              <w:jc w:val="center"/>
              <w:rPr>
                <w:rFonts w:eastAsia="SimSun"/>
                <w:b/>
                <w:sz w:val="22"/>
                <w:szCs w:val="22"/>
                <w:lang w:val="sr-Latn-ME"/>
              </w:rPr>
            </w:pPr>
            <w:r w:rsidRPr="00801AFD">
              <w:rPr>
                <w:rFonts w:eastAsia="SimSun"/>
                <w:b/>
                <w:sz w:val="22"/>
                <w:szCs w:val="22"/>
                <w:lang w:val="sr-Latn-ME"/>
              </w:rPr>
              <w:t>(mg)</w:t>
            </w:r>
          </w:p>
        </w:tc>
        <w:tc>
          <w:tcPr>
            <w:tcW w:w="0" w:type="auto"/>
            <w:tcBorders>
              <w:top w:val="single" w:sz="4" w:space="0" w:color="auto"/>
              <w:left w:val="single" w:sz="4" w:space="0" w:color="auto"/>
              <w:bottom w:val="single" w:sz="4" w:space="0" w:color="auto"/>
              <w:right w:val="single" w:sz="4" w:space="0" w:color="auto"/>
            </w:tcBorders>
            <w:hideMark/>
          </w:tcPr>
          <w:p w14:paraId="146B1658" w14:textId="77777777" w:rsidR="00BA7E80" w:rsidRPr="00801AFD" w:rsidRDefault="00BA7E80" w:rsidP="00801AFD">
            <w:pPr>
              <w:widowControl w:val="0"/>
              <w:tabs>
                <w:tab w:val="left" w:pos="284"/>
              </w:tabs>
              <w:jc w:val="center"/>
              <w:rPr>
                <w:rFonts w:eastAsia="SimSun"/>
                <w:b/>
                <w:sz w:val="22"/>
                <w:szCs w:val="22"/>
                <w:lang w:val="sr-Latn-ME"/>
              </w:rPr>
            </w:pPr>
            <w:r w:rsidRPr="00801AFD">
              <w:rPr>
                <w:rFonts w:eastAsia="SimSun"/>
                <w:b/>
                <w:sz w:val="22"/>
                <w:szCs w:val="22"/>
                <w:lang w:val="sr-Latn-ME"/>
              </w:rPr>
              <w:t>Zapremina lijeka Ultomiris (ml)</w:t>
            </w:r>
          </w:p>
        </w:tc>
        <w:tc>
          <w:tcPr>
            <w:tcW w:w="0" w:type="auto"/>
            <w:tcBorders>
              <w:top w:val="single" w:sz="4" w:space="0" w:color="auto"/>
              <w:left w:val="single" w:sz="4" w:space="0" w:color="auto"/>
              <w:bottom w:val="single" w:sz="4" w:space="0" w:color="auto"/>
              <w:right w:val="single" w:sz="4" w:space="0" w:color="auto"/>
            </w:tcBorders>
            <w:hideMark/>
          </w:tcPr>
          <w:p w14:paraId="6B44E4BD" w14:textId="77777777" w:rsidR="00BA7E80" w:rsidRPr="00801AFD" w:rsidRDefault="00BA7E80" w:rsidP="00801AFD">
            <w:pPr>
              <w:widowControl w:val="0"/>
              <w:tabs>
                <w:tab w:val="left" w:pos="284"/>
              </w:tabs>
              <w:jc w:val="center"/>
              <w:rPr>
                <w:rFonts w:eastAsia="SimSun"/>
                <w:b/>
                <w:sz w:val="22"/>
                <w:szCs w:val="22"/>
                <w:lang w:val="sr-Latn-ME"/>
              </w:rPr>
            </w:pPr>
            <w:r w:rsidRPr="00801AFD">
              <w:rPr>
                <w:rFonts w:eastAsia="SimSun"/>
                <w:b/>
                <w:sz w:val="22"/>
                <w:szCs w:val="22"/>
                <w:lang w:val="sr-Latn-ME"/>
              </w:rPr>
              <w:t>Zapremina rastvarača NaCl</w:t>
            </w:r>
            <w:r w:rsidRPr="00801AFD">
              <w:rPr>
                <w:rFonts w:eastAsia="SimSun"/>
                <w:b/>
                <w:sz w:val="22"/>
                <w:szCs w:val="22"/>
                <w:vertAlign w:val="superscript"/>
                <w:lang w:val="sr-Latn-ME"/>
              </w:rPr>
              <w:t>b</w:t>
            </w:r>
            <w:r w:rsidRPr="00801AFD">
              <w:rPr>
                <w:rFonts w:eastAsia="SimSun"/>
                <w:b/>
                <w:sz w:val="22"/>
                <w:szCs w:val="22"/>
                <w:lang w:val="sr-Latn-ME"/>
              </w:rPr>
              <w:t xml:space="preserve"> (ml)</w:t>
            </w:r>
          </w:p>
        </w:tc>
        <w:tc>
          <w:tcPr>
            <w:tcW w:w="0" w:type="auto"/>
            <w:tcBorders>
              <w:top w:val="single" w:sz="4" w:space="0" w:color="auto"/>
              <w:left w:val="single" w:sz="4" w:space="0" w:color="auto"/>
              <w:bottom w:val="single" w:sz="4" w:space="0" w:color="auto"/>
              <w:right w:val="single" w:sz="4" w:space="0" w:color="auto"/>
            </w:tcBorders>
            <w:hideMark/>
          </w:tcPr>
          <w:p w14:paraId="4D081E65" w14:textId="77777777" w:rsidR="00BA7E80" w:rsidRPr="00801AFD" w:rsidRDefault="00BA7E80" w:rsidP="00801AFD">
            <w:pPr>
              <w:widowControl w:val="0"/>
              <w:tabs>
                <w:tab w:val="left" w:pos="284"/>
              </w:tabs>
              <w:jc w:val="center"/>
              <w:rPr>
                <w:rFonts w:eastAsia="SimSun"/>
                <w:b/>
                <w:sz w:val="22"/>
                <w:szCs w:val="22"/>
                <w:lang w:val="sr-Latn-ME"/>
              </w:rPr>
            </w:pPr>
            <w:r w:rsidRPr="00801AFD">
              <w:rPr>
                <w:rFonts w:eastAsia="SimSun"/>
                <w:b/>
                <w:sz w:val="22"/>
                <w:szCs w:val="22"/>
                <w:lang w:val="sr-Latn-ME"/>
              </w:rPr>
              <w:t>Ukupna zapremina (ml)</w:t>
            </w:r>
          </w:p>
        </w:tc>
      </w:tr>
      <w:tr w:rsidR="00BA7E80" w:rsidRPr="00801AFD" w14:paraId="5E168508" w14:textId="77777777" w:rsidTr="00986850">
        <w:tc>
          <w:tcPr>
            <w:tcW w:w="0" w:type="auto"/>
            <w:tcBorders>
              <w:top w:val="single" w:sz="4" w:space="0" w:color="auto"/>
              <w:left w:val="single" w:sz="4" w:space="0" w:color="auto"/>
              <w:bottom w:val="single" w:sz="4" w:space="0" w:color="auto"/>
              <w:right w:val="single" w:sz="4" w:space="0" w:color="auto"/>
            </w:tcBorders>
          </w:tcPr>
          <w:p w14:paraId="78C03B7D" w14:textId="77777777" w:rsidR="00BA7E80" w:rsidRPr="00801AFD" w:rsidRDefault="00BA7E80" w:rsidP="00801AFD">
            <w:pPr>
              <w:widowControl w:val="0"/>
              <w:tabs>
                <w:tab w:val="left" w:pos="284"/>
              </w:tabs>
              <w:jc w:val="center"/>
              <w:rPr>
                <w:rFonts w:eastAsia="Calibri"/>
                <w:sz w:val="22"/>
                <w:szCs w:val="22"/>
                <w:lang w:val="sr-Latn-ME"/>
              </w:rPr>
            </w:pPr>
            <w:r w:rsidRPr="00801AFD">
              <w:rPr>
                <w:sz w:val="22"/>
                <w:szCs w:val="22"/>
                <w:lang w:val="sr-Latn-ME"/>
              </w:rPr>
              <w:t>≥ 10 do &lt; 20</w:t>
            </w:r>
          </w:p>
        </w:tc>
        <w:tc>
          <w:tcPr>
            <w:tcW w:w="0" w:type="auto"/>
            <w:tcBorders>
              <w:top w:val="single" w:sz="4" w:space="0" w:color="auto"/>
              <w:left w:val="single" w:sz="4" w:space="0" w:color="auto"/>
              <w:bottom w:val="single" w:sz="4" w:space="0" w:color="auto"/>
              <w:right w:val="single" w:sz="4" w:space="0" w:color="auto"/>
            </w:tcBorders>
          </w:tcPr>
          <w:p w14:paraId="01B712CA"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600</w:t>
            </w:r>
          </w:p>
        </w:tc>
        <w:tc>
          <w:tcPr>
            <w:tcW w:w="0" w:type="auto"/>
            <w:tcBorders>
              <w:top w:val="single" w:sz="4" w:space="0" w:color="auto"/>
              <w:left w:val="single" w:sz="4" w:space="0" w:color="auto"/>
              <w:bottom w:val="single" w:sz="4" w:space="0" w:color="auto"/>
              <w:right w:val="single" w:sz="4" w:space="0" w:color="auto"/>
            </w:tcBorders>
          </w:tcPr>
          <w:p w14:paraId="675883E8"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60</w:t>
            </w:r>
          </w:p>
        </w:tc>
        <w:tc>
          <w:tcPr>
            <w:tcW w:w="0" w:type="auto"/>
            <w:tcBorders>
              <w:top w:val="single" w:sz="4" w:space="0" w:color="auto"/>
              <w:left w:val="single" w:sz="4" w:space="0" w:color="auto"/>
              <w:bottom w:val="single" w:sz="4" w:space="0" w:color="auto"/>
              <w:right w:val="single" w:sz="4" w:space="0" w:color="auto"/>
            </w:tcBorders>
          </w:tcPr>
          <w:p w14:paraId="49C941C9"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60</w:t>
            </w:r>
          </w:p>
        </w:tc>
        <w:tc>
          <w:tcPr>
            <w:tcW w:w="0" w:type="auto"/>
            <w:tcBorders>
              <w:top w:val="single" w:sz="4" w:space="0" w:color="auto"/>
              <w:left w:val="single" w:sz="4" w:space="0" w:color="auto"/>
              <w:bottom w:val="single" w:sz="4" w:space="0" w:color="auto"/>
              <w:right w:val="single" w:sz="4" w:space="0" w:color="auto"/>
            </w:tcBorders>
          </w:tcPr>
          <w:p w14:paraId="48ED9915"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120</w:t>
            </w:r>
          </w:p>
        </w:tc>
      </w:tr>
      <w:tr w:rsidR="00BA7E80" w:rsidRPr="00801AFD" w14:paraId="6C4E6825" w14:textId="77777777" w:rsidTr="00986850">
        <w:tc>
          <w:tcPr>
            <w:tcW w:w="0" w:type="auto"/>
            <w:tcBorders>
              <w:top w:val="single" w:sz="4" w:space="0" w:color="auto"/>
              <w:left w:val="single" w:sz="4" w:space="0" w:color="auto"/>
              <w:bottom w:val="single" w:sz="4" w:space="0" w:color="auto"/>
              <w:right w:val="single" w:sz="4" w:space="0" w:color="auto"/>
            </w:tcBorders>
          </w:tcPr>
          <w:p w14:paraId="20FA6BE9" w14:textId="77777777" w:rsidR="00BA7E80" w:rsidRPr="00801AFD" w:rsidRDefault="00BA7E80" w:rsidP="00801AFD">
            <w:pPr>
              <w:widowControl w:val="0"/>
              <w:tabs>
                <w:tab w:val="left" w:pos="284"/>
              </w:tabs>
              <w:jc w:val="center"/>
              <w:rPr>
                <w:rFonts w:eastAsia="Calibri"/>
                <w:sz w:val="22"/>
                <w:szCs w:val="22"/>
                <w:lang w:val="sr-Latn-ME"/>
              </w:rPr>
            </w:pPr>
            <w:r w:rsidRPr="00801AFD">
              <w:rPr>
                <w:sz w:val="22"/>
                <w:szCs w:val="22"/>
                <w:lang w:val="sr-Latn-ME"/>
              </w:rPr>
              <w:t>≥ 20 do &lt; 30</w:t>
            </w:r>
          </w:p>
        </w:tc>
        <w:tc>
          <w:tcPr>
            <w:tcW w:w="0" w:type="auto"/>
            <w:tcBorders>
              <w:top w:val="single" w:sz="4" w:space="0" w:color="auto"/>
              <w:left w:val="single" w:sz="4" w:space="0" w:color="auto"/>
              <w:bottom w:val="single" w:sz="4" w:space="0" w:color="auto"/>
              <w:right w:val="single" w:sz="4" w:space="0" w:color="auto"/>
            </w:tcBorders>
          </w:tcPr>
          <w:p w14:paraId="420A819E"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2,100</w:t>
            </w:r>
          </w:p>
        </w:tc>
        <w:tc>
          <w:tcPr>
            <w:tcW w:w="0" w:type="auto"/>
            <w:tcBorders>
              <w:top w:val="single" w:sz="4" w:space="0" w:color="auto"/>
              <w:left w:val="single" w:sz="4" w:space="0" w:color="auto"/>
              <w:bottom w:val="single" w:sz="4" w:space="0" w:color="auto"/>
              <w:right w:val="single" w:sz="4" w:space="0" w:color="auto"/>
            </w:tcBorders>
          </w:tcPr>
          <w:p w14:paraId="281B582D"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210</w:t>
            </w:r>
          </w:p>
        </w:tc>
        <w:tc>
          <w:tcPr>
            <w:tcW w:w="0" w:type="auto"/>
            <w:tcBorders>
              <w:top w:val="single" w:sz="4" w:space="0" w:color="auto"/>
              <w:left w:val="single" w:sz="4" w:space="0" w:color="auto"/>
              <w:bottom w:val="single" w:sz="4" w:space="0" w:color="auto"/>
              <w:right w:val="single" w:sz="4" w:space="0" w:color="auto"/>
            </w:tcBorders>
          </w:tcPr>
          <w:p w14:paraId="3C127EA7"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210</w:t>
            </w:r>
          </w:p>
        </w:tc>
        <w:tc>
          <w:tcPr>
            <w:tcW w:w="0" w:type="auto"/>
            <w:tcBorders>
              <w:top w:val="single" w:sz="4" w:space="0" w:color="auto"/>
              <w:left w:val="single" w:sz="4" w:space="0" w:color="auto"/>
              <w:bottom w:val="single" w:sz="4" w:space="0" w:color="auto"/>
              <w:right w:val="single" w:sz="4" w:space="0" w:color="auto"/>
            </w:tcBorders>
          </w:tcPr>
          <w:p w14:paraId="2C91B160"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420</w:t>
            </w:r>
          </w:p>
        </w:tc>
      </w:tr>
      <w:tr w:rsidR="00BA7E80" w:rsidRPr="00801AFD" w14:paraId="186794A9" w14:textId="77777777" w:rsidTr="00986850">
        <w:tc>
          <w:tcPr>
            <w:tcW w:w="0" w:type="auto"/>
            <w:tcBorders>
              <w:top w:val="single" w:sz="4" w:space="0" w:color="auto"/>
              <w:left w:val="single" w:sz="4" w:space="0" w:color="auto"/>
              <w:bottom w:val="single" w:sz="4" w:space="0" w:color="auto"/>
              <w:right w:val="single" w:sz="4" w:space="0" w:color="auto"/>
            </w:tcBorders>
          </w:tcPr>
          <w:p w14:paraId="16FE3D18"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 30 do &lt; 40</w:t>
            </w:r>
          </w:p>
        </w:tc>
        <w:tc>
          <w:tcPr>
            <w:tcW w:w="0" w:type="auto"/>
            <w:tcBorders>
              <w:top w:val="single" w:sz="4" w:space="0" w:color="auto"/>
              <w:left w:val="single" w:sz="4" w:space="0" w:color="auto"/>
              <w:bottom w:val="single" w:sz="4" w:space="0" w:color="auto"/>
              <w:right w:val="single" w:sz="4" w:space="0" w:color="auto"/>
            </w:tcBorders>
          </w:tcPr>
          <w:p w14:paraId="327A79B1"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2,700</w:t>
            </w:r>
          </w:p>
        </w:tc>
        <w:tc>
          <w:tcPr>
            <w:tcW w:w="0" w:type="auto"/>
            <w:tcBorders>
              <w:top w:val="single" w:sz="4" w:space="0" w:color="auto"/>
              <w:left w:val="single" w:sz="4" w:space="0" w:color="auto"/>
              <w:bottom w:val="single" w:sz="4" w:space="0" w:color="auto"/>
              <w:right w:val="single" w:sz="4" w:space="0" w:color="auto"/>
            </w:tcBorders>
          </w:tcPr>
          <w:p w14:paraId="1F9B4914"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270</w:t>
            </w:r>
          </w:p>
        </w:tc>
        <w:tc>
          <w:tcPr>
            <w:tcW w:w="0" w:type="auto"/>
            <w:tcBorders>
              <w:top w:val="single" w:sz="4" w:space="0" w:color="auto"/>
              <w:left w:val="single" w:sz="4" w:space="0" w:color="auto"/>
              <w:bottom w:val="single" w:sz="4" w:space="0" w:color="auto"/>
              <w:right w:val="single" w:sz="4" w:space="0" w:color="auto"/>
            </w:tcBorders>
          </w:tcPr>
          <w:p w14:paraId="234F4C93"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270</w:t>
            </w:r>
          </w:p>
        </w:tc>
        <w:tc>
          <w:tcPr>
            <w:tcW w:w="0" w:type="auto"/>
            <w:tcBorders>
              <w:top w:val="single" w:sz="4" w:space="0" w:color="auto"/>
              <w:left w:val="single" w:sz="4" w:space="0" w:color="auto"/>
              <w:bottom w:val="single" w:sz="4" w:space="0" w:color="auto"/>
              <w:right w:val="single" w:sz="4" w:space="0" w:color="auto"/>
            </w:tcBorders>
          </w:tcPr>
          <w:p w14:paraId="343961BE"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540</w:t>
            </w:r>
          </w:p>
        </w:tc>
      </w:tr>
      <w:tr w:rsidR="00BA7E80" w:rsidRPr="00801AFD" w14:paraId="51D78E96" w14:textId="77777777" w:rsidTr="00986850">
        <w:tc>
          <w:tcPr>
            <w:tcW w:w="0" w:type="auto"/>
            <w:tcBorders>
              <w:top w:val="single" w:sz="4" w:space="0" w:color="auto"/>
              <w:left w:val="single" w:sz="4" w:space="0" w:color="auto"/>
              <w:bottom w:val="single" w:sz="4" w:space="0" w:color="auto"/>
              <w:right w:val="single" w:sz="4" w:space="0" w:color="auto"/>
            </w:tcBorders>
            <w:hideMark/>
          </w:tcPr>
          <w:p w14:paraId="58BEDAAE" w14:textId="77777777" w:rsidR="00BA7E80" w:rsidRPr="00801AFD" w:rsidRDefault="00BA7E80" w:rsidP="00801AFD">
            <w:pPr>
              <w:widowControl w:val="0"/>
              <w:tabs>
                <w:tab w:val="left" w:pos="284"/>
              </w:tabs>
              <w:jc w:val="center"/>
              <w:rPr>
                <w:sz w:val="22"/>
                <w:szCs w:val="22"/>
                <w:lang w:val="sr-Latn-ME"/>
              </w:rPr>
            </w:pPr>
            <w:r w:rsidRPr="00801AFD">
              <w:rPr>
                <w:rFonts w:eastAsia="Calibri"/>
                <w:sz w:val="22"/>
                <w:szCs w:val="22"/>
                <w:lang w:val="sr-Latn-ME"/>
              </w:rPr>
              <w:t>≥ 40 do &lt; 60</w:t>
            </w:r>
          </w:p>
        </w:tc>
        <w:tc>
          <w:tcPr>
            <w:tcW w:w="0" w:type="auto"/>
            <w:tcBorders>
              <w:top w:val="single" w:sz="4" w:space="0" w:color="auto"/>
              <w:left w:val="single" w:sz="4" w:space="0" w:color="auto"/>
              <w:bottom w:val="single" w:sz="4" w:space="0" w:color="auto"/>
              <w:right w:val="single" w:sz="4" w:space="0" w:color="auto"/>
            </w:tcBorders>
            <w:hideMark/>
          </w:tcPr>
          <w:p w14:paraId="2CD82366" w14:textId="77777777" w:rsidR="00BA7E80" w:rsidRPr="00801AFD" w:rsidRDefault="00BA7E80" w:rsidP="00801AFD">
            <w:pPr>
              <w:widowControl w:val="0"/>
              <w:tabs>
                <w:tab w:val="left" w:pos="284"/>
              </w:tabs>
              <w:jc w:val="center"/>
              <w:rPr>
                <w:sz w:val="22"/>
                <w:szCs w:val="22"/>
                <w:lang w:val="sr-Latn-ME"/>
              </w:rPr>
            </w:pPr>
            <w:r w:rsidRPr="00801AFD">
              <w:rPr>
                <w:rFonts w:eastAsia="SimSun"/>
                <w:sz w:val="22"/>
                <w:szCs w:val="22"/>
                <w:lang w:val="sr-Latn-ME"/>
              </w:rPr>
              <w:t>3,000</w:t>
            </w:r>
          </w:p>
        </w:tc>
        <w:tc>
          <w:tcPr>
            <w:tcW w:w="0" w:type="auto"/>
            <w:tcBorders>
              <w:top w:val="single" w:sz="4" w:space="0" w:color="auto"/>
              <w:left w:val="single" w:sz="4" w:space="0" w:color="auto"/>
              <w:bottom w:val="single" w:sz="4" w:space="0" w:color="auto"/>
              <w:right w:val="single" w:sz="4" w:space="0" w:color="auto"/>
            </w:tcBorders>
            <w:hideMark/>
          </w:tcPr>
          <w:p w14:paraId="7AD2BFE4"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300</w:t>
            </w:r>
          </w:p>
        </w:tc>
        <w:tc>
          <w:tcPr>
            <w:tcW w:w="0" w:type="auto"/>
            <w:tcBorders>
              <w:top w:val="single" w:sz="4" w:space="0" w:color="auto"/>
              <w:left w:val="single" w:sz="4" w:space="0" w:color="auto"/>
              <w:bottom w:val="single" w:sz="4" w:space="0" w:color="auto"/>
              <w:right w:val="single" w:sz="4" w:space="0" w:color="auto"/>
            </w:tcBorders>
            <w:hideMark/>
          </w:tcPr>
          <w:p w14:paraId="021884BE"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300</w:t>
            </w:r>
          </w:p>
        </w:tc>
        <w:tc>
          <w:tcPr>
            <w:tcW w:w="0" w:type="auto"/>
            <w:tcBorders>
              <w:top w:val="single" w:sz="4" w:space="0" w:color="auto"/>
              <w:left w:val="single" w:sz="4" w:space="0" w:color="auto"/>
              <w:bottom w:val="single" w:sz="4" w:space="0" w:color="auto"/>
              <w:right w:val="single" w:sz="4" w:space="0" w:color="auto"/>
            </w:tcBorders>
            <w:hideMark/>
          </w:tcPr>
          <w:p w14:paraId="01A92AB2"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600</w:t>
            </w:r>
          </w:p>
        </w:tc>
      </w:tr>
      <w:tr w:rsidR="00BA7E80" w:rsidRPr="00801AFD" w14:paraId="44E82DB5" w14:textId="77777777" w:rsidTr="00986850">
        <w:tc>
          <w:tcPr>
            <w:tcW w:w="0" w:type="auto"/>
            <w:tcBorders>
              <w:top w:val="single" w:sz="4" w:space="0" w:color="auto"/>
              <w:left w:val="single" w:sz="4" w:space="0" w:color="auto"/>
              <w:bottom w:val="single" w:sz="4" w:space="0" w:color="auto"/>
              <w:right w:val="single" w:sz="4" w:space="0" w:color="auto"/>
            </w:tcBorders>
            <w:hideMark/>
          </w:tcPr>
          <w:p w14:paraId="5585E980" w14:textId="77777777" w:rsidR="00BA7E80" w:rsidRPr="00801AFD" w:rsidRDefault="00BA7E80" w:rsidP="00801AFD">
            <w:pPr>
              <w:widowControl w:val="0"/>
              <w:tabs>
                <w:tab w:val="left" w:pos="284"/>
              </w:tabs>
              <w:jc w:val="center"/>
              <w:rPr>
                <w:sz w:val="22"/>
                <w:szCs w:val="22"/>
                <w:lang w:val="sr-Latn-ME"/>
              </w:rPr>
            </w:pPr>
            <w:r w:rsidRPr="00801AFD">
              <w:rPr>
                <w:rFonts w:eastAsia="Calibri"/>
                <w:sz w:val="22"/>
                <w:szCs w:val="22"/>
                <w:lang w:val="sr-Latn-ME"/>
              </w:rPr>
              <w:t>≥ 60 do &lt; 100</w:t>
            </w:r>
          </w:p>
        </w:tc>
        <w:tc>
          <w:tcPr>
            <w:tcW w:w="0" w:type="auto"/>
            <w:tcBorders>
              <w:top w:val="single" w:sz="4" w:space="0" w:color="auto"/>
              <w:left w:val="single" w:sz="4" w:space="0" w:color="auto"/>
              <w:bottom w:val="single" w:sz="4" w:space="0" w:color="auto"/>
              <w:right w:val="single" w:sz="4" w:space="0" w:color="auto"/>
            </w:tcBorders>
            <w:hideMark/>
          </w:tcPr>
          <w:p w14:paraId="0D5BB882" w14:textId="77777777" w:rsidR="00BA7E80" w:rsidRPr="00801AFD" w:rsidRDefault="00BA7E80" w:rsidP="00801AFD">
            <w:pPr>
              <w:widowControl w:val="0"/>
              <w:tabs>
                <w:tab w:val="left" w:pos="284"/>
              </w:tabs>
              <w:jc w:val="center"/>
              <w:rPr>
                <w:sz w:val="22"/>
                <w:szCs w:val="22"/>
                <w:lang w:val="sr-Latn-ME"/>
              </w:rPr>
            </w:pPr>
            <w:r w:rsidRPr="00801AFD">
              <w:rPr>
                <w:rFonts w:eastAsia="SimSun"/>
                <w:sz w:val="22"/>
                <w:szCs w:val="22"/>
                <w:lang w:val="sr-Latn-ME"/>
              </w:rPr>
              <w:t>3,300</w:t>
            </w:r>
          </w:p>
        </w:tc>
        <w:tc>
          <w:tcPr>
            <w:tcW w:w="0" w:type="auto"/>
            <w:tcBorders>
              <w:top w:val="single" w:sz="4" w:space="0" w:color="auto"/>
              <w:left w:val="single" w:sz="4" w:space="0" w:color="auto"/>
              <w:bottom w:val="single" w:sz="4" w:space="0" w:color="auto"/>
              <w:right w:val="single" w:sz="4" w:space="0" w:color="auto"/>
            </w:tcBorders>
            <w:hideMark/>
          </w:tcPr>
          <w:p w14:paraId="12C20103"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330</w:t>
            </w:r>
          </w:p>
        </w:tc>
        <w:tc>
          <w:tcPr>
            <w:tcW w:w="0" w:type="auto"/>
            <w:tcBorders>
              <w:top w:val="single" w:sz="4" w:space="0" w:color="auto"/>
              <w:left w:val="single" w:sz="4" w:space="0" w:color="auto"/>
              <w:bottom w:val="single" w:sz="4" w:space="0" w:color="auto"/>
              <w:right w:val="single" w:sz="4" w:space="0" w:color="auto"/>
            </w:tcBorders>
            <w:hideMark/>
          </w:tcPr>
          <w:p w14:paraId="37AD82E4"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330</w:t>
            </w:r>
          </w:p>
        </w:tc>
        <w:tc>
          <w:tcPr>
            <w:tcW w:w="0" w:type="auto"/>
            <w:tcBorders>
              <w:top w:val="single" w:sz="4" w:space="0" w:color="auto"/>
              <w:left w:val="single" w:sz="4" w:space="0" w:color="auto"/>
              <w:bottom w:val="single" w:sz="4" w:space="0" w:color="auto"/>
              <w:right w:val="single" w:sz="4" w:space="0" w:color="auto"/>
            </w:tcBorders>
            <w:hideMark/>
          </w:tcPr>
          <w:p w14:paraId="16834484"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660</w:t>
            </w:r>
          </w:p>
        </w:tc>
      </w:tr>
      <w:tr w:rsidR="00BA7E80" w:rsidRPr="00801AFD" w14:paraId="38983054" w14:textId="77777777" w:rsidTr="00986850">
        <w:tc>
          <w:tcPr>
            <w:tcW w:w="0" w:type="auto"/>
            <w:tcBorders>
              <w:top w:val="single" w:sz="4" w:space="0" w:color="auto"/>
              <w:left w:val="single" w:sz="4" w:space="0" w:color="auto"/>
              <w:bottom w:val="single" w:sz="4" w:space="0" w:color="auto"/>
              <w:right w:val="single" w:sz="4" w:space="0" w:color="auto"/>
            </w:tcBorders>
            <w:hideMark/>
          </w:tcPr>
          <w:p w14:paraId="1A2E439C" w14:textId="77777777" w:rsidR="00BA7E80" w:rsidRPr="00801AFD" w:rsidRDefault="00BA7E80" w:rsidP="00801AFD">
            <w:pPr>
              <w:widowControl w:val="0"/>
              <w:tabs>
                <w:tab w:val="left" w:pos="284"/>
              </w:tabs>
              <w:jc w:val="center"/>
              <w:rPr>
                <w:sz w:val="22"/>
                <w:szCs w:val="22"/>
                <w:lang w:val="sr-Latn-ME"/>
              </w:rPr>
            </w:pPr>
            <w:r w:rsidRPr="00801AFD">
              <w:rPr>
                <w:rFonts w:eastAsia="Calibri"/>
                <w:sz w:val="22"/>
                <w:szCs w:val="22"/>
                <w:lang w:val="sr-Latn-ME"/>
              </w:rPr>
              <w:t>≥ 100</w:t>
            </w:r>
          </w:p>
        </w:tc>
        <w:tc>
          <w:tcPr>
            <w:tcW w:w="0" w:type="auto"/>
            <w:tcBorders>
              <w:top w:val="single" w:sz="4" w:space="0" w:color="auto"/>
              <w:left w:val="single" w:sz="4" w:space="0" w:color="auto"/>
              <w:bottom w:val="single" w:sz="4" w:space="0" w:color="auto"/>
              <w:right w:val="single" w:sz="4" w:space="0" w:color="auto"/>
            </w:tcBorders>
            <w:hideMark/>
          </w:tcPr>
          <w:p w14:paraId="7BE47CC1" w14:textId="77777777" w:rsidR="00BA7E80" w:rsidRPr="00801AFD" w:rsidRDefault="00BA7E80" w:rsidP="00801AFD">
            <w:pPr>
              <w:widowControl w:val="0"/>
              <w:tabs>
                <w:tab w:val="left" w:pos="284"/>
              </w:tabs>
              <w:jc w:val="center"/>
              <w:rPr>
                <w:sz w:val="22"/>
                <w:szCs w:val="22"/>
                <w:lang w:val="sr-Latn-ME"/>
              </w:rPr>
            </w:pPr>
            <w:r w:rsidRPr="00801AFD">
              <w:rPr>
                <w:rFonts w:eastAsia="SimSun"/>
                <w:sz w:val="22"/>
                <w:szCs w:val="22"/>
                <w:lang w:val="sr-Latn-ME"/>
              </w:rPr>
              <w:t>3,600</w:t>
            </w:r>
          </w:p>
        </w:tc>
        <w:tc>
          <w:tcPr>
            <w:tcW w:w="0" w:type="auto"/>
            <w:tcBorders>
              <w:top w:val="single" w:sz="4" w:space="0" w:color="auto"/>
              <w:left w:val="single" w:sz="4" w:space="0" w:color="auto"/>
              <w:bottom w:val="single" w:sz="4" w:space="0" w:color="auto"/>
              <w:right w:val="single" w:sz="4" w:space="0" w:color="auto"/>
            </w:tcBorders>
            <w:hideMark/>
          </w:tcPr>
          <w:p w14:paraId="0792E417"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360</w:t>
            </w:r>
          </w:p>
        </w:tc>
        <w:tc>
          <w:tcPr>
            <w:tcW w:w="0" w:type="auto"/>
            <w:tcBorders>
              <w:top w:val="single" w:sz="4" w:space="0" w:color="auto"/>
              <w:left w:val="single" w:sz="4" w:space="0" w:color="auto"/>
              <w:bottom w:val="single" w:sz="4" w:space="0" w:color="auto"/>
              <w:right w:val="single" w:sz="4" w:space="0" w:color="auto"/>
            </w:tcBorders>
            <w:hideMark/>
          </w:tcPr>
          <w:p w14:paraId="2944F018"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360</w:t>
            </w:r>
          </w:p>
        </w:tc>
        <w:tc>
          <w:tcPr>
            <w:tcW w:w="0" w:type="auto"/>
            <w:tcBorders>
              <w:top w:val="single" w:sz="4" w:space="0" w:color="auto"/>
              <w:left w:val="single" w:sz="4" w:space="0" w:color="auto"/>
              <w:bottom w:val="single" w:sz="4" w:space="0" w:color="auto"/>
              <w:right w:val="single" w:sz="4" w:space="0" w:color="auto"/>
            </w:tcBorders>
            <w:hideMark/>
          </w:tcPr>
          <w:p w14:paraId="54BB82DD" w14:textId="77777777" w:rsidR="00BA7E80" w:rsidRPr="00801AFD" w:rsidRDefault="00BA7E80" w:rsidP="00801AFD">
            <w:pPr>
              <w:widowControl w:val="0"/>
              <w:tabs>
                <w:tab w:val="left" w:pos="284"/>
              </w:tabs>
              <w:jc w:val="center"/>
              <w:rPr>
                <w:sz w:val="22"/>
                <w:szCs w:val="22"/>
                <w:lang w:val="sr-Latn-ME"/>
              </w:rPr>
            </w:pPr>
            <w:r w:rsidRPr="00801AFD">
              <w:rPr>
                <w:sz w:val="22"/>
                <w:szCs w:val="22"/>
                <w:lang w:val="sr-Latn-ME"/>
              </w:rPr>
              <w:t>720</w:t>
            </w:r>
          </w:p>
        </w:tc>
      </w:tr>
    </w:tbl>
    <w:p w14:paraId="4182CA67" w14:textId="77777777" w:rsidR="00BA7E80" w:rsidRPr="00986850" w:rsidRDefault="00BA7E80" w:rsidP="00801AFD">
      <w:pPr>
        <w:widowControl w:val="0"/>
        <w:tabs>
          <w:tab w:val="left" w:pos="284"/>
        </w:tabs>
        <w:jc w:val="both"/>
        <w:rPr>
          <w:sz w:val="20"/>
          <w:szCs w:val="22"/>
          <w:lang w:val="sr-Latn-ME"/>
        </w:rPr>
      </w:pPr>
      <w:r w:rsidRPr="00986850">
        <w:rPr>
          <w:sz w:val="20"/>
          <w:szCs w:val="22"/>
          <w:vertAlign w:val="superscript"/>
          <w:lang w:val="sr-Latn-ME"/>
        </w:rPr>
        <w:t xml:space="preserve">a </w:t>
      </w:r>
      <w:r w:rsidRPr="00986850">
        <w:rPr>
          <w:sz w:val="20"/>
          <w:szCs w:val="22"/>
          <w:lang w:val="sr-Latn-ME"/>
        </w:rPr>
        <w:t>Tjelesna težina u vrijeme liječenja.</w:t>
      </w:r>
    </w:p>
    <w:p w14:paraId="519B9A9F" w14:textId="747F991C" w:rsidR="00BA7E80" w:rsidRPr="00986850" w:rsidRDefault="00BA7E80" w:rsidP="00801AFD">
      <w:pPr>
        <w:widowControl w:val="0"/>
        <w:tabs>
          <w:tab w:val="left" w:pos="284"/>
        </w:tabs>
        <w:jc w:val="both"/>
        <w:rPr>
          <w:sz w:val="20"/>
          <w:szCs w:val="22"/>
          <w:lang w:val="sr-Latn-ME"/>
        </w:rPr>
      </w:pPr>
      <w:r w:rsidRPr="00986850">
        <w:rPr>
          <w:sz w:val="20"/>
          <w:szCs w:val="22"/>
          <w:vertAlign w:val="superscript"/>
          <w:lang w:val="sr-Latn-ME"/>
        </w:rPr>
        <w:t>b</w:t>
      </w:r>
      <w:r w:rsidRPr="00986850">
        <w:rPr>
          <w:sz w:val="20"/>
          <w:szCs w:val="22"/>
          <w:lang w:val="sr-Latn-ME"/>
        </w:rPr>
        <w:t xml:space="preserve"> Lijek Ultomiris treba razblaživati isključivo rastvorom za injekciju natrijum hlorida 9 mg/ml (0,9%)</w:t>
      </w:r>
      <w:r w:rsidR="0064549B" w:rsidRPr="00986850">
        <w:rPr>
          <w:sz w:val="20"/>
          <w:szCs w:val="22"/>
          <w:lang w:val="sr-Latn-ME"/>
        </w:rPr>
        <w:t>.</w:t>
      </w:r>
    </w:p>
    <w:p w14:paraId="5B01BD2A" w14:textId="617E14E1" w:rsidR="0040436F" w:rsidRPr="00801AFD" w:rsidRDefault="0040436F" w:rsidP="00801AFD">
      <w:pPr>
        <w:widowControl w:val="0"/>
        <w:rPr>
          <w:sz w:val="22"/>
          <w:szCs w:val="22"/>
          <w:lang w:val="sr-Latn-ME"/>
        </w:rPr>
      </w:pPr>
    </w:p>
    <w:p w14:paraId="431C33FF" w14:textId="2129B7EB" w:rsidR="00256187" w:rsidRPr="00801AFD" w:rsidRDefault="00256187" w:rsidP="00801AFD">
      <w:pPr>
        <w:widowControl w:val="0"/>
        <w:jc w:val="both"/>
        <w:rPr>
          <w:b/>
          <w:sz w:val="22"/>
          <w:szCs w:val="22"/>
          <w:lang w:val="sr-Latn-ME"/>
        </w:rPr>
      </w:pPr>
      <w:r w:rsidRPr="00801AFD">
        <w:rPr>
          <w:b/>
          <w:sz w:val="22"/>
          <w:szCs w:val="22"/>
          <w:lang w:val="sr-Latn-ME"/>
        </w:rPr>
        <w:t xml:space="preserve">Tabela </w:t>
      </w:r>
      <w:r w:rsidR="00D0032C" w:rsidRPr="00801AFD">
        <w:rPr>
          <w:b/>
          <w:sz w:val="22"/>
          <w:szCs w:val="22"/>
          <w:lang w:val="sr-Latn-ME"/>
        </w:rPr>
        <w:t>31</w:t>
      </w:r>
      <w:r w:rsidRPr="00801AFD">
        <w:rPr>
          <w:b/>
          <w:sz w:val="22"/>
          <w:szCs w:val="22"/>
          <w:lang w:val="sr-Latn-ME"/>
        </w:rPr>
        <w:t>: Reference za prim</w:t>
      </w:r>
      <w:r w:rsidR="007B354B" w:rsidRPr="00801AFD">
        <w:rPr>
          <w:b/>
          <w:sz w:val="22"/>
          <w:szCs w:val="22"/>
          <w:lang w:val="sr-Latn-ME"/>
        </w:rPr>
        <w:t>j</w:t>
      </w:r>
      <w:r w:rsidRPr="00801AFD">
        <w:rPr>
          <w:b/>
          <w:sz w:val="22"/>
          <w:szCs w:val="22"/>
          <w:lang w:val="sr-Latn-ME"/>
        </w:rPr>
        <w:t>enu dodatne doze l</w:t>
      </w:r>
      <w:r w:rsidR="007B354B" w:rsidRPr="00801AFD">
        <w:rPr>
          <w:b/>
          <w:sz w:val="22"/>
          <w:szCs w:val="22"/>
          <w:lang w:val="sr-Latn-ME"/>
        </w:rPr>
        <w:t>ij</w:t>
      </w:r>
      <w:r w:rsidRPr="00801AFD">
        <w:rPr>
          <w:b/>
          <w:sz w:val="22"/>
          <w:szCs w:val="22"/>
          <w:lang w:val="sr-Latn-ME"/>
        </w:rPr>
        <w:t>eka Ultomiris 300</w:t>
      </w:r>
      <w:r w:rsidR="00BA7E80" w:rsidRPr="00801AFD">
        <w:rPr>
          <w:b/>
          <w:sz w:val="22"/>
          <w:szCs w:val="22"/>
          <w:lang w:val="sr-Latn-ME"/>
        </w:rPr>
        <w:t xml:space="preserve"> </w:t>
      </w:r>
      <w:r w:rsidRPr="00801AFD">
        <w:rPr>
          <w:b/>
          <w:sz w:val="22"/>
          <w:szCs w:val="22"/>
          <w:lang w:val="sr-Latn-ME"/>
        </w:rPr>
        <w:t>mg/30</w:t>
      </w:r>
      <w:r w:rsidR="00BA7E80" w:rsidRPr="00801AFD">
        <w:rPr>
          <w:b/>
          <w:sz w:val="22"/>
          <w:szCs w:val="22"/>
          <w:lang w:val="sr-Latn-ME"/>
        </w:rPr>
        <w:t xml:space="preserve"> </w:t>
      </w:r>
      <w:r w:rsidRPr="00801AFD">
        <w:rPr>
          <w:b/>
          <w:sz w:val="22"/>
          <w:szCs w:val="22"/>
          <w:lang w:val="sr-Latn-ME"/>
        </w:rPr>
        <w:t>m</w:t>
      </w:r>
      <w:r w:rsidR="00BA7E80" w:rsidRPr="00801AFD">
        <w:rPr>
          <w:b/>
          <w:sz w:val="22"/>
          <w:szCs w:val="22"/>
          <w:lang w:val="sr-Latn-ME"/>
        </w:rPr>
        <w:t>l</w:t>
      </w:r>
      <w:r w:rsidRPr="00801AFD">
        <w:rPr>
          <w:b/>
          <w:sz w:val="22"/>
          <w:szCs w:val="22"/>
          <w:lang w:val="sr-Latn-ME"/>
        </w:rPr>
        <w:t xml:space="preserve"> koncentrat za rastvor za infuziju</w:t>
      </w:r>
    </w:p>
    <w:p w14:paraId="5E318601" w14:textId="77777777" w:rsidR="00BA7E80" w:rsidRPr="00801AFD" w:rsidRDefault="00BA7E80" w:rsidP="00801AFD">
      <w:pPr>
        <w:widowControl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465"/>
        <w:gridCol w:w="2007"/>
        <w:gridCol w:w="2049"/>
        <w:gridCol w:w="1781"/>
      </w:tblGrid>
      <w:tr w:rsidR="00256187" w:rsidRPr="00801AFD" w14:paraId="19BAA316" w14:textId="77777777" w:rsidTr="00986850">
        <w:trPr>
          <w:trHeight w:val="20"/>
        </w:trPr>
        <w:tc>
          <w:tcPr>
            <w:tcW w:w="0" w:type="auto"/>
            <w:vAlign w:val="center"/>
            <w:hideMark/>
          </w:tcPr>
          <w:p w14:paraId="36D2506A" w14:textId="7E6866E4" w:rsidR="00256187" w:rsidRPr="00801AFD" w:rsidRDefault="00256187"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Raspon t</w:t>
            </w:r>
            <w:r w:rsidR="00B254DE" w:rsidRPr="00801AFD">
              <w:rPr>
                <w:rFonts w:ascii="Times New Roman" w:hAnsi="Times New Roman"/>
                <w:sz w:val="22"/>
                <w:szCs w:val="22"/>
                <w:lang w:val="sr-Latn-ME"/>
              </w:rPr>
              <w:t>j</w:t>
            </w:r>
            <w:r w:rsidRPr="00801AFD">
              <w:rPr>
                <w:rFonts w:ascii="Times New Roman" w:hAnsi="Times New Roman"/>
                <w:sz w:val="22"/>
                <w:szCs w:val="22"/>
                <w:lang w:val="sr-Latn-ME"/>
              </w:rPr>
              <w:t xml:space="preserve">elesne </w:t>
            </w:r>
            <w:r w:rsidR="00DB1C80" w:rsidRPr="00801AFD">
              <w:rPr>
                <w:rFonts w:ascii="Times New Roman" w:hAnsi="Times New Roman"/>
                <w:sz w:val="22"/>
                <w:szCs w:val="22"/>
                <w:lang w:val="sr-Latn-ME"/>
              </w:rPr>
              <w:t>težin</w:t>
            </w:r>
            <w:r w:rsidR="00BA7E80" w:rsidRPr="00801AFD">
              <w:rPr>
                <w:rFonts w:ascii="Times New Roman" w:hAnsi="Times New Roman"/>
                <w:sz w:val="22"/>
                <w:szCs w:val="22"/>
                <w:lang w:val="sr-Latn-ME"/>
              </w:rPr>
              <w:t>e</w:t>
            </w:r>
            <w:r w:rsidR="00DB1C80" w:rsidRPr="00801AFD">
              <w:rPr>
                <w:rFonts w:ascii="Times New Roman" w:hAnsi="Times New Roman"/>
                <w:sz w:val="22"/>
                <w:szCs w:val="22"/>
                <w:lang w:val="sr-Latn-ME"/>
              </w:rPr>
              <w:t xml:space="preserve"> </w:t>
            </w:r>
            <w:r w:rsidRPr="00801AFD">
              <w:rPr>
                <w:rFonts w:ascii="Times New Roman" w:hAnsi="Times New Roman"/>
                <w:sz w:val="22"/>
                <w:szCs w:val="22"/>
                <w:lang w:val="sr-Latn-ME"/>
              </w:rPr>
              <w:t>(kg)</w:t>
            </w:r>
            <w:r w:rsidRPr="00801AFD">
              <w:rPr>
                <w:rFonts w:ascii="Times New Roman" w:hAnsi="Times New Roman"/>
                <w:sz w:val="22"/>
                <w:szCs w:val="22"/>
                <w:vertAlign w:val="superscript"/>
                <w:lang w:val="sr-Latn-ME"/>
              </w:rPr>
              <w:t>a</w:t>
            </w:r>
          </w:p>
        </w:tc>
        <w:tc>
          <w:tcPr>
            <w:tcW w:w="0" w:type="auto"/>
            <w:vAlign w:val="center"/>
            <w:hideMark/>
          </w:tcPr>
          <w:p w14:paraId="3D63B139" w14:textId="77777777" w:rsidR="00256187" w:rsidRPr="00801AFD" w:rsidRDefault="00256187"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Dodatna doza (mg)</w:t>
            </w:r>
          </w:p>
        </w:tc>
        <w:tc>
          <w:tcPr>
            <w:tcW w:w="0" w:type="auto"/>
            <w:vAlign w:val="center"/>
            <w:hideMark/>
          </w:tcPr>
          <w:p w14:paraId="7AE2F754" w14:textId="730FF0B5" w:rsidR="00256187" w:rsidRPr="00801AFD" w:rsidRDefault="00BA7E80" w:rsidP="00801AFD">
            <w:pPr>
              <w:pStyle w:val="C-TableHeader"/>
              <w:keepNext w:val="0"/>
              <w:widowControl w:val="0"/>
              <w:jc w:val="center"/>
              <w:rPr>
                <w:rFonts w:ascii="Times New Roman" w:hAnsi="Times New Roman"/>
                <w:sz w:val="22"/>
                <w:szCs w:val="22"/>
                <w:lang w:val="sr-Latn-ME"/>
              </w:rPr>
            </w:pPr>
            <w:r w:rsidRPr="00801AFD">
              <w:rPr>
                <w:rFonts w:ascii="Times New Roman" w:eastAsia="SimSun" w:hAnsi="Times New Roman"/>
                <w:b w:val="0"/>
                <w:sz w:val="22"/>
                <w:szCs w:val="22"/>
                <w:lang w:val="sr-Latn-ME"/>
              </w:rPr>
              <w:t>Zapremina lijeka Ultomiris (ml)</w:t>
            </w:r>
          </w:p>
        </w:tc>
        <w:tc>
          <w:tcPr>
            <w:tcW w:w="0" w:type="auto"/>
            <w:vAlign w:val="center"/>
            <w:hideMark/>
          </w:tcPr>
          <w:p w14:paraId="703757EF" w14:textId="0965D260" w:rsidR="00256187" w:rsidRPr="00801AFD" w:rsidRDefault="00BA7E80" w:rsidP="00801AFD">
            <w:pPr>
              <w:pStyle w:val="C-TableHeader"/>
              <w:keepNext w:val="0"/>
              <w:widowControl w:val="0"/>
              <w:jc w:val="center"/>
              <w:rPr>
                <w:rFonts w:ascii="Times New Roman" w:hAnsi="Times New Roman"/>
                <w:sz w:val="22"/>
                <w:szCs w:val="22"/>
                <w:lang w:val="sr-Latn-ME"/>
              </w:rPr>
            </w:pPr>
            <w:r w:rsidRPr="00801AFD">
              <w:rPr>
                <w:rFonts w:ascii="Times New Roman" w:eastAsia="SimSun" w:hAnsi="Times New Roman"/>
                <w:b w:val="0"/>
                <w:sz w:val="22"/>
                <w:szCs w:val="22"/>
                <w:lang w:val="sr-Latn-ME"/>
              </w:rPr>
              <w:t>Zapremina rastvarača NaCl</w:t>
            </w:r>
            <w:r w:rsidRPr="00801AFD">
              <w:rPr>
                <w:rFonts w:ascii="Times New Roman" w:eastAsia="SimSun" w:hAnsi="Times New Roman"/>
                <w:b w:val="0"/>
                <w:sz w:val="22"/>
                <w:szCs w:val="22"/>
                <w:vertAlign w:val="superscript"/>
                <w:lang w:val="sr-Latn-ME"/>
              </w:rPr>
              <w:t>b</w:t>
            </w:r>
            <w:r w:rsidRPr="00801AFD">
              <w:rPr>
                <w:rFonts w:ascii="Times New Roman" w:eastAsia="SimSun" w:hAnsi="Times New Roman"/>
                <w:b w:val="0"/>
                <w:sz w:val="22"/>
                <w:szCs w:val="22"/>
                <w:lang w:val="sr-Latn-ME"/>
              </w:rPr>
              <w:t xml:space="preserve"> (ml)</w:t>
            </w:r>
          </w:p>
        </w:tc>
        <w:tc>
          <w:tcPr>
            <w:tcW w:w="0" w:type="auto"/>
            <w:vAlign w:val="center"/>
            <w:hideMark/>
          </w:tcPr>
          <w:p w14:paraId="163566EF" w14:textId="22445FE7" w:rsidR="00256187" w:rsidRPr="00801AFD" w:rsidRDefault="00256187" w:rsidP="00801AFD">
            <w:pPr>
              <w:pStyle w:val="C-TableHeader"/>
              <w:keepNext w:val="0"/>
              <w:widowControl w:val="0"/>
              <w:jc w:val="center"/>
              <w:rPr>
                <w:rFonts w:ascii="Times New Roman" w:hAnsi="Times New Roman"/>
                <w:sz w:val="22"/>
                <w:szCs w:val="22"/>
                <w:lang w:val="sr-Latn-ME"/>
              </w:rPr>
            </w:pPr>
            <w:r w:rsidRPr="00801AFD">
              <w:rPr>
                <w:rFonts w:ascii="Times New Roman" w:hAnsi="Times New Roman"/>
                <w:sz w:val="22"/>
                <w:szCs w:val="22"/>
                <w:lang w:val="sr-Latn-ME"/>
              </w:rPr>
              <w:t>Ukupna zapremina (m</w:t>
            </w:r>
            <w:r w:rsidR="00BA7E80" w:rsidRPr="00801AFD">
              <w:rPr>
                <w:rFonts w:ascii="Times New Roman" w:hAnsi="Times New Roman"/>
                <w:sz w:val="22"/>
                <w:szCs w:val="22"/>
                <w:lang w:val="sr-Latn-ME"/>
              </w:rPr>
              <w:t>l</w:t>
            </w:r>
            <w:r w:rsidRPr="00801AFD">
              <w:rPr>
                <w:rFonts w:ascii="Times New Roman" w:hAnsi="Times New Roman"/>
                <w:sz w:val="22"/>
                <w:szCs w:val="22"/>
                <w:lang w:val="sr-Latn-ME"/>
              </w:rPr>
              <w:t>)</w:t>
            </w:r>
          </w:p>
        </w:tc>
      </w:tr>
      <w:tr w:rsidR="00256187" w:rsidRPr="00801AFD" w14:paraId="329B3F80" w14:textId="77777777" w:rsidTr="00986850">
        <w:trPr>
          <w:trHeight w:val="20"/>
        </w:trPr>
        <w:tc>
          <w:tcPr>
            <w:tcW w:w="0" w:type="auto"/>
            <w:vMerge w:val="restart"/>
          </w:tcPr>
          <w:p w14:paraId="280F48AD" w14:textId="77777777" w:rsidR="00256187" w:rsidRPr="00801AFD" w:rsidRDefault="00256187" w:rsidP="00801AFD">
            <w:pPr>
              <w:pStyle w:val="C-TableText"/>
              <w:widowControl w:val="0"/>
              <w:jc w:val="center"/>
              <w:rPr>
                <w:sz w:val="22"/>
                <w:szCs w:val="22"/>
              </w:rPr>
            </w:pPr>
            <w:r w:rsidRPr="00801AFD">
              <w:rPr>
                <w:sz w:val="22"/>
                <w:szCs w:val="22"/>
              </w:rPr>
              <w:t>≥ 40 to &lt; 60</w:t>
            </w:r>
          </w:p>
          <w:p w14:paraId="6D63EBD6" w14:textId="77777777" w:rsidR="00256187" w:rsidRPr="00801AFD" w:rsidRDefault="00256187" w:rsidP="00801AFD">
            <w:pPr>
              <w:pStyle w:val="C-TableText"/>
              <w:widowControl w:val="0"/>
              <w:jc w:val="center"/>
              <w:rPr>
                <w:sz w:val="22"/>
                <w:szCs w:val="22"/>
              </w:rPr>
            </w:pPr>
          </w:p>
        </w:tc>
        <w:tc>
          <w:tcPr>
            <w:tcW w:w="0" w:type="auto"/>
            <w:vAlign w:val="center"/>
          </w:tcPr>
          <w:p w14:paraId="2D5B6C86" w14:textId="77777777" w:rsidR="00256187" w:rsidRPr="00801AFD" w:rsidRDefault="00256187" w:rsidP="00801AFD">
            <w:pPr>
              <w:pStyle w:val="C-TableText"/>
              <w:widowControl w:val="0"/>
              <w:jc w:val="center"/>
              <w:rPr>
                <w:sz w:val="22"/>
                <w:szCs w:val="22"/>
              </w:rPr>
            </w:pPr>
            <w:r w:rsidRPr="00801AFD">
              <w:rPr>
                <w:sz w:val="22"/>
                <w:szCs w:val="22"/>
              </w:rPr>
              <w:t>600</w:t>
            </w:r>
          </w:p>
        </w:tc>
        <w:tc>
          <w:tcPr>
            <w:tcW w:w="0" w:type="auto"/>
            <w:vAlign w:val="center"/>
          </w:tcPr>
          <w:p w14:paraId="275F2D38" w14:textId="77777777" w:rsidR="00256187" w:rsidRPr="00801AFD" w:rsidRDefault="00256187" w:rsidP="00801AFD">
            <w:pPr>
              <w:pStyle w:val="C-TableText"/>
              <w:widowControl w:val="0"/>
              <w:jc w:val="center"/>
              <w:rPr>
                <w:sz w:val="22"/>
                <w:szCs w:val="22"/>
              </w:rPr>
            </w:pPr>
            <w:r w:rsidRPr="00801AFD">
              <w:rPr>
                <w:sz w:val="22"/>
                <w:szCs w:val="22"/>
              </w:rPr>
              <w:t>60</w:t>
            </w:r>
          </w:p>
        </w:tc>
        <w:tc>
          <w:tcPr>
            <w:tcW w:w="0" w:type="auto"/>
            <w:vAlign w:val="center"/>
          </w:tcPr>
          <w:p w14:paraId="09567D56" w14:textId="77777777" w:rsidR="00256187" w:rsidRPr="00801AFD" w:rsidRDefault="00256187" w:rsidP="00801AFD">
            <w:pPr>
              <w:pStyle w:val="C-TableText"/>
              <w:widowControl w:val="0"/>
              <w:jc w:val="center"/>
              <w:rPr>
                <w:sz w:val="22"/>
                <w:szCs w:val="22"/>
              </w:rPr>
            </w:pPr>
            <w:r w:rsidRPr="00801AFD">
              <w:rPr>
                <w:sz w:val="22"/>
                <w:szCs w:val="22"/>
              </w:rPr>
              <w:t>60</w:t>
            </w:r>
          </w:p>
        </w:tc>
        <w:tc>
          <w:tcPr>
            <w:tcW w:w="0" w:type="auto"/>
            <w:vAlign w:val="center"/>
          </w:tcPr>
          <w:p w14:paraId="5613045D" w14:textId="77777777" w:rsidR="00256187" w:rsidRPr="00801AFD" w:rsidRDefault="00256187" w:rsidP="00801AFD">
            <w:pPr>
              <w:pStyle w:val="C-TableText"/>
              <w:widowControl w:val="0"/>
              <w:jc w:val="center"/>
              <w:rPr>
                <w:sz w:val="22"/>
                <w:szCs w:val="22"/>
              </w:rPr>
            </w:pPr>
            <w:r w:rsidRPr="00801AFD">
              <w:rPr>
                <w:sz w:val="22"/>
                <w:szCs w:val="22"/>
              </w:rPr>
              <w:t>120</w:t>
            </w:r>
          </w:p>
        </w:tc>
      </w:tr>
      <w:tr w:rsidR="00256187" w:rsidRPr="00801AFD" w14:paraId="4834D0BB" w14:textId="77777777" w:rsidTr="00986850">
        <w:trPr>
          <w:trHeight w:val="20"/>
        </w:trPr>
        <w:tc>
          <w:tcPr>
            <w:tcW w:w="0" w:type="auto"/>
            <w:vMerge/>
            <w:hideMark/>
          </w:tcPr>
          <w:p w14:paraId="08DFD191" w14:textId="77777777" w:rsidR="00256187" w:rsidRPr="00801AFD" w:rsidRDefault="00256187" w:rsidP="00801AFD">
            <w:pPr>
              <w:pStyle w:val="C-TableText"/>
              <w:widowControl w:val="0"/>
              <w:jc w:val="center"/>
              <w:rPr>
                <w:sz w:val="22"/>
                <w:szCs w:val="22"/>
              </w:rPr>
            </w:pPr>
          </w:p>
        </w:tc>
        <w:tc>
          <w:tcPr>
            <w:tcW w:w="0" w:type="auto"/>
            <w:vAlign w:val="center"/>
            <w:hideMark/>
          </w:tcPr>
          <w:p w14:paraId="0D7766C5" w14:textId="77777777" w:rsidR="00256187" w:rsidRPr="00801AFD" w:rsidRDefault="00256187" w:rsidP="00801AFD">
            <w:pPr>
              <w:pStyle w:val="C-TableText"/>
              <w:widowControl w:val="0"/>
              <w:jc w:val="center"/>
              <w:rPr>
                <w:sz w:val="22"/>
                <w:szCs w:val="22"/>
              </w:rPr>
            </w:pPr>
            <w:r w:rsidRPr="00801AFD">
              <w:rPr>
                <w:sz w:val="22"/>
                <w:szCs w:val="22"/>
              </w:rPr>
              <w:t>1,200</w:t>
            </w:r>
          </w:p>
        </w:tc>
        <w:tc>
          <w:tcPr>
            <w:tcW w:w="0" w:type="auto"/>
            <w:vAlign w:val="center"/>
            <w:hideMark/>
          </w:tcPr>
          <w:p w14:paraId="38AE44CC" w14:textId="77777777" w:rsidR="00256187" w:rsidRPr="00801AFD" w:rsidRDefault="00256187" w:rsidP="00801AFD">
            <w:pPr>
              <w:pStyle w:val="C-TableText"/>
              <w:widowControl w:val="0"/>
              <w:jc w:val="center"/>
              <w:rPr>
                <w:sz w:val="22"/>
                <w:szCs w:val="22"/>
              </w:rPr>
            </w:pPr>
            <w:r w:rsidRPr="00801AFD">
              <w:rPr>
                <w:sz w:val="22"/>
                <w:szCs w:val="22"/>
              </w:rPr>
              <w:t>120</w:t>
            </w:r>
          </w:p>
        </w:tc>
        <w:tc>
          <w:tcPr>
            <w:tcW w:w="0" w:type="auto"/>
            <w:vAlign w:val="center"/>
            <w:hideMark/>
          </w:tcPr>
          <w:p w14:paraId="1092068D" w14:textId="77777777" w:rsidR="00256187" w:rsidRPr="00801AFD" w:rsidRDefault="00256187" w:rsidP="00801AFD">
            <w:pPr>
              <w:pStyle w:val="C-TableText"/>
              <w:widowControl w:val="0"/>
              <w:jc w:val="center"/>
              <w:rPr>
                <w:sz w:val="22"/>
                <w:szCs w:val="22"/>
              </w:rPr>
            </w:pPr>
            <w:r w:rsidRPr="00801AFD">
              <w:rPr>
                <w:sz w:val="22"/>
                <w:szCs w:val="22"/>
              </w:rPr>
              <w:t>120</w:t>
            </w:r>
          </w:p>
        </w:tc>
        <w:tc>
          <w:tcPr>
            <w:tcW w:w="0" w:type="auto"/>
            <w:vAlign w:val="center"/>
            <w:hideMark/>
          </w:tcPr>
          <w:p w14:paraId="4D120ACA" w14:textId="77777777" w:rsidR="00256187" w:rsidRPr="00801AFD" w:rsidRDefault="00256187" w:rsidP="00801AFD">
            <w:pPr>
              <w:pStyle w:val="C-TableText"/>
              <w:widowControl w:val="0"/>
              <w:jc w:val="center"/>
              <w:rPr>
                <w:sz w:val="22"/>
                <w:szCs w:val="22"/>
              </w:rPr>
            </w:pPr>
            <w:r w:rsidRPr="00801AFD">
              <w:rPr>
                <w:sz w:val="22"/>
                <w:szCs w:val="22"/>
              </w:rPr>
              <w:t>240</w:t>
            </w:r>
          </w:p>
        </w:tc>
      </w:tr>
      <w:tr w:rsidR="00256187" w:rsidRPr="00801AFD" w14:paraId="58A300AD" w14:textId="77777777" w:rsidTr="00986850">
        <w:trPr>
          <w:trHeight w:val="20"/>
        </w:trPr>
        <w:tc>
          <w:tcPr>
            <w:tcW w:w="0" w:type="auto"/>
            <w:vMerge/>
          </w:tcPr>
          <w:p w14:paraId="2D387E9C" w14:textId="77777777" w:rsidR="00256187" w:rsidRPr="00801AFD" w:rsidRDefault="00256187" w:rsidP="00801AFD">
            <w:pPr>
              <w:pStyle w:val="C-TableText"/>
              <w:widowControl w:val="0"/>
              <w:jc w:val="center"/>
              <w:rPr>
                <w:sz w:val="22"/>
                <w:szCs w:val="22"/>
              </w:rPr>
            </w:pPr>
          </w:p>
        </w:tc>
        <w:tc>
          <w:tcPr>
            <w:tcW w:w="0" w:type="auto"/>
            <w:vAlign w:val="center"/>
          </w:tcPr>
          <w:p w14:paraId="6B5DF6FE" w14:textId="77777777" w:rsidR="00256187" w:rsidRPr="00801AFD" w:rsidRDefault="00256187" w:rsidP="00801AFD">
            <w:pPr>
              <w:pStyle w:val="C-TableText"/>
              <w:widowControl w:val="0"/>
              <w:jc w:val="center"/>
              <w:rPr>
                <w:sz w:val="22"/>
                <w:szCs w:val="22"/>
              </w:rPr>
            </w:pPr>
            <w:r w:rsidRPr="00801AFD">
              <w:rPr>
                <w:sz w:val="22"/>
                <w:szCs w:val="22"/>
              </w:rPr>
              <w:t>1,500</w:t>
            </w:r>
          </w:p>
        </w:tc>
        <w:tc>
          <w:tcPr>
            <w:tcW w:w="0" w:type="auto"/>
            <w:vAlign w:val="center"/>
          </w:tcPr>
          <w:p w14:paraId="0ED963B0" w14:textId="77777777" w:rsidR="00256187" w:rsidRPr="00801AFD" w:rsidRDefault="00256187" w:rsidP="00801AFD">
            <w:pPr>
              <w:pStyle w:val="C-TableText"/>
              <w:widowControl w:val="0"/>
              <w:jc w:val="center"/>
              <w:rPr>
                <w:sz w:val="22"/>
                <w:szCs w:val="22"/>
              </w:rPr>
            </w:pPr>
            <w:r w:rsidRPr="00801AFD">
              <w:rPr>
                <w:sz w:val="22"/>
                <w:szCs w:val="22"/>
              </w:rPr>
              <w:t>150</w:t>
            </w:r>
          </w:p>
        </w:tc>
        <w:tc>
          <w:tcPr>
            <w:tcW w:w="0" w:type="auto"/>
            <w:vAlign w:val="center"/>
          </w:tcPr>
          <w:p w14:paraId="44D222B1" w14:textId="77777777" w:rsidR="00256187" w:rsidRPr="00801AFD" w:rsidRDefault="00256187" w:rsidP="00801AFD">
            <w:pPr>
              <w:pStyle w:val="C-TableText"/>
              <w:widowControl w:val="0"/>
              <w:jc w:val="center"/>
              <w:rPr>
                <w:sz w:val="22"/>
                <w:szCs w:val="22"/>
              </w:rPr>
            </w:pPr>
            <w:r w:rsidRPr="00801AFD">
              <w:rPr>
                <w:sz w:val="22"/>
                <w:szCs w:val="22"/>
              </w:rPr>
              <w:t>150</w:t>
            </w:r>
          </w:p>
        </w:tc>
        <w:tc>
          <w:tcPr>
            <w:tcW w:w="0" w:type="auto"/>
            <w:vAlign w:val="center"/>
          </w:tcPr>
          <w:p w14:paraId="4C89AC47" w14:textId="77777777" w:rsidR="00256187" w:rsidRPr="00801AFD" w:rsidRDefault="00256187" w:rsidP="00801AFD">
            <w:pPr>
              <w:pStyle w:val="C-TableText"/>
              <w:widowControl w:val="0"/>
              <w:jc w:val="center"/>
              <w:rPr>
                <w:sz w:val="22"/>
                <w:szCs w:val="22"/>
              </w:rPr>
            </w:pPr>
            <w:r w:rsidRPr="00801AFD">
              <w:rPr>
                <w:sz w:val="22"/>
                <w:szCs w:val="22"/>
              </w:rPr>
              <w:t>300</w:t>
            </w:r>
          </w:p>
        </w:tc>
      </w:tr>
      <w:tr w:rsidR="00256187" w:rsidRPr="00801AFD" w14:paraId="6E2BE276" w14:textId="77777777" w:rsidTr="00986850">
        <w:trPr>
          <w:trHeight w:val="20"/>
        </w:trPr>
        <w:tc>
          <w:tcPr>
            <w:tcW w:w="0" w:type="auto"/>
            <w:vMerge w:val="restart"/>
          </w:tcPr>
          <w:p w14:paraId="005DC15F" w14:textId="77777777" w:rsidR="00256187" w:rsidRPr="00801AFD" w:rsidRDefault="00256187" w:rsidP="00801AFD">
            <w:pPr>
              <w:pStyle w:val="C-TableText"/>
              <w:widowControl w:val="0"/>
              <w:jc w:val="center"/>
              <w:rPr>
                <w:sz w:val="22"/>
                <w:szCs w:val="22"/>
              </w:rPr>
            </w:pPr>
            <w:r w:rsidRPr="00801AFD">
              <w:rPr>
                <w:sz w:val="22"/>
                <w:szCs w:val="22"/>
              </w:rPr>
              <w:t>≥ 60 to &lt; 100</w:t>
            </w:r>
          </w:p>
        </w:tc>
        <w:tc>
          <w:tcPr>
            <w:tcW w:w="0" w:type="auto"/>
            <w:vAlign w:val="center"/>
          </w:tcPr>
          <w:p w14:paraId="27D008CB" w14:textId="77777777" w:rsidR="00256187" w:rsidRPr="00801AFD" w:rsidRDefault="00256187" w:rsidP="00801AFD">
            <w:pPr>
              <w:pStyle w:val="C-TableText"/>
              <w:widowControl w:val="0"/>
              <w:jc w:val="center"/>
              <w:rPr>
                <w:sz w:val="22"/>
                <w:szCs w:val="22"/>
              </w:rPr>
            </w:pPr>
            <w:r w:rsidRPr="00801AFD">
              <w:rPr>
                <w:sz w:val="22"/>
                <w:szCs w:val="22"/>
              </w:rPr>
              <w:t>600</w:t>
            </w:r>
          </w:p>
        </w:tc>
        <w:tc>
          <w:tcPr>
            <w:tcW w:w="0" w:type="auto"/>
            <w:vAlign w:val="center"/>
          </w:tcPr>
          <w:p w14:paraId="72EE1ED3" w14:textId="77777777" w:rsidR="00256187" w:rsidRPr="00801AFD" w:rsidRDefault="00256187" w:rsidP="00801AFD">
            <w:pPr>
              <w:pStyle w:val="C-TableText"/>
              <w:widowControl w:val="0"/>
              <w:jc w:val="center"/>
              <w:rPr>
                <w:sz w:val="22"/>
                <w:szCs w:val="22"/>
              </w:rPr>
            </w:pPr>
            <w:r w:rsidRPr="00801AFD">
              <w:rPr>
                <w:sz w:val="22"/>
                <w:szCs w:val="22"/>
              </w:rPr>
              <w:t>60</w:t>
            </w:r>
          </w:p>
        </w:tc>
        <w:tc>
          <w:tcPr>
            <w:tcW w:w="0" w:type="auto"/>
            <w:vAlign w:val="center"/>
          </w:tcPr>
          <w:p w14:paraId="34216D07" w14:textId="77777777" w:rsidR="00256187" w:rsidRPr="00801AFD" w:rsidRDefault="00256187" w:rsidP="00801AFD">
            <w:pPr>
              <w:pStyle w:val="C-TableText"/>
              <w:widowControl w:val="0"/>
              <w:jc w:val="center"/>
              <w:rPr>
                <w:sz w:val="22"/>
                <w:szCs w:val="22"/>
              </w:rPr>
            </w:pPr>
            <w:r w:rsidRPr="00801AFD">
              <w:rPr>
                <w:sz w:val="22"/>
                <w:szCs w:val="22"/>
              </w:rPr>
              <w:t>60</w:t>
            </w:r>
          </w:p>
        </w:tc>
        <w:tc>
          <w:tcPr>
            <w:tcW w:w="0" w:type="auto"/>
            <w:vAlign w:val="center"/>
          </w:tcPr>
          <w:p w14:paraId="0160806F" w14:textId="77777777" w:rsidR="00256187" w:rsidRPr="00801AFD" w:rsidRDefault="00256187" w:rsidP="00801AFD">
            <w:pPr>
              <w:pStyle w:val="C-TableText"/>
              <w:widowControl w:val="0"/>
              <w:jc w:val="center"/>
              <w:rPr>
                <w:sz w:val="22"/>
                <w:szCs w:val="22"/>
              </w:rPr>
            </w:pPr>
            <w:r w:rsidRPr="00801AFD">
              <w:rPr>
                <w:sz w:val="22"/>
                <w:szCs w:val="22"/>
              </w:rPr>
              <w:t>120</w:t>
            </w:r>
          </w:p>
        </w:tc>
      </w:tr>
      <w:tr w:rsidR="00256187" w:rsidRPr="00801AFD" w14:paraId="3F67B990" w14:textId="77777777" w:rsidTr="00986850">
        <w:trPr>
          <w:trHeight w:val="20"/>
        </w:trPr>
        <w:tc>
          <w:tcPr>
            <w:tcW w:w="0" w:type="auto"/>
            <w:vMerge/>
            <w:hideMark/>
          </w:tcPr>
          <w:p w14:paraId="249BB54B" w14:textId="77777777" w:rsidR="00256187" w:rsidRPr="00801AFD" w:rsidRDefault="00256187" w:rsidP="00801AFD">
            <w:pPr>
              <w:pStyle w:val="C-TableText"/>
              <w:widowControl w:val="0"/>
              <w:jc w:val="center"/>
              <w:rPr>
                <w:sz w:val="22"/>
                <w:szCs w:val="22"/>
              </w:rPr>
            </w:pPr>
          </w:p>
        </w:tc>
        <w:tc>
          <w:tcPr>
            <w:tcW w:w="0" w:type="auto"/>
            <w:vAlign w:val="center"/>
            <w:hideMark/>
          </w:tcPr>
          <w:p w14:paraId="0486B6F9" w14:textId="77777777" w:rsidR="00256187" w:rsidRPr="00801AFD" w:rsidRDefault="00256187" w:rsidP="00801AFD">
            <w:pPr>
              <w:pStyle w:val="C-TableText"/>
              <w:widowControl w:val="0"/>
              <w:jc w:val="center"/>
              <w:rPr>
                <w:sz w:val="22"/>
                <w:szCs w:val="22"/>
              </w:rPr>
            </w:pPr>
            <w:r w:rsidRPr="00801AFD">
              <w:rPr>
                <w:sz w:val="22"/>
                <w:szCs w:val="22"/>
              </w:rPr>
              <w:t>1,500</w:t>
            </w:r>
          </w:p>
        </w:tc>
        <w:tc>
          <w:tcPr>
            <w:tcW w:w="0" w:type="auto"/>
            <w:vAlign w:val="center"/>
            <w:hideMark/>
          </w:tcPr>
          <w:p w14:paraId="3F260ED4" w14:textId="77777777" w:rsidR="00256187" w:rsidRPr="00801AFD" w:rsidRDefault="00256187" w:rsidP="00801AFD">
            <w:pPr>
              <w:pStyle w:val="C-TableText"/>
              <w:widowControl w:val="0"/>
              <w:jc w:val="center"/>
              <w:rPr>
                <w:sz w:val="22"/>
                <w:szCs w:val="22"/>
              </w:rPr>
            </w:pPr>
            <w:r w:rsidRPr="00801AFD">
              <w:rPr>
                <w:sz w:val="22"/>
                <w:szCs w:val="22"/>
              </w:rPr>
              <w:t>150</w:t>
            </w:r>
          </w:p>
        </w:tc>
        <w:tc>
          <w:tcPr>
            <w:tcW w:w="0" w:type="auto"/>
            <w:vAlign w:val="center"/>
            <w:hideMark/>
          </w:tcPr>
          <w:p w14:paraId="3213A07A" w14:textId="77777777" w:rsidR="00256187" w:rsidRPr="00801AFD" w:rsidRDefault="00256187" w:rsidP="00801AFD">
            <w:pPr>
              <w:pStyle w:val="C-TableText"/>
              <w:widowControl w:val="0"/>
              <w:jc w:val="center"/>
              <w:rPr>
                <w:sz w:val="22"/>
                <w:szCs w:val="22"/>
              </w:rPr>
            </w:pPr>
            <w:r w:rsidRPr="00801AFD">
              <w:rPr>
                <w:sz w:val="22"/>
                <w:szCs w:val="22"/>
              </w:rPr>
              <w:t>150</w:t>
            </w:r>
          </w:p>
        </w:tc>
        <w:tc>
          <w:tcPr>
            <w:tcW w:w="0" w:type="auto"/>
            <w:vAlign w:val="center"/>
            <w:hideMark/>
          </w:tcPr>
          <w:p w14:paraId="36002A68" w14:textId="77777777" w:rsidR="00256187" w:rsidRPr="00801AFD" w:rsidRDefault="00256187" w:rsidP="00801AFD">
            <w:pPr>
              <w:pStyle w:val="C-TableText"/>
              <w:widowControl w:val="0"/>
              <w:jc w:val="center"/>
              <w:rPr>
                <w:sz w:val="22"/>
                <w:szCs w:val="22"/>
              </w:rPr>
            </w:pPr>
            <w:r w:rsidRPr="00801AFD">
              <w:rPr>
                <w:sz w:val="22"/>
                <w:szCs w:val="22"/>
              </w:rPr>
              <w:t>300</w:t>
            </w:r>
          </w:p>
        </w:tc>
      </w:tr>
      <w:tr w:rsidR="00256187" w:rsidRPr="00801AFD" w14:paraId="6C03F4ED" w14:textId="77777777" w:rsidTr="00986850">
        <w:trPr>
          <w:trHeight w:val="20"/>
        </w:trPr>
        <w:tc>
          <w:tcPr>
            <w:tcW w:w="0" w:type="auto"/>
            <w:vMerge/>
          </w:tcPr>
          <w:p w14:paraId="0946A4BB" w14:textId="77777777" w:rsidR="00256187" w:rsidRPr="00801AFD" w:rsidRDefault="00256187" w:rsidP="00801AFD">
            <w:pPr>
              <w:pStyle w:val="C-TableText"/>
              <w:widowControl w:val="0"/>
              <w:jc w:val="center"/>
              <w:rPr>
                <w:sz w:val="22"/>
                <w:szCs w:val="22"/>
              </w:rPr>
            </w:pPr>
          </w:p>
        </w:tc>
        <w:tc>
          <w:tcPr>
            <w:tcW w:w="0" w:type="auto"/>
            <w:vAlign w:val="center"/>
          </w:tcPr>
          <w:p w14:paraId="762A3E1F" w14:textId="77777777" w:rsidR="00256187" w:rsidRPr="00801AFD" w:rsidRDefault="00256187" w:rsidP="00801AFD">
            <w:pPr>
              <w:pStyle w:val="C-TableText"/>
              <w:widowControl w:val="0"/>
              <w:jc w:val="center"/>
              <w:rPr>
                <w:sz w:val="22"/>
                <w:szCs w:val="22"/>
              </w:rPr>
            </w:pPr>
            <w:r w:rsidRPr="00801AFD">
              <w:rPr>
                <w:sz w:val="22"/>
                <w:szCs w:val="22"/>
              </w:rPr>
              <w:t>1,800</w:t>
            </w:r>
          </w:p>
        </w:tc>
        <w:tc>
          <w:tcPr>
            <w:tcW w:w="0" w:type="auto"/>
            <w:vAlign w:val="center"/>
          </w:tcPr>
          <w:p w14:paraId="4D9E2133" w14:textId="77777777" w:rsidR="00256187" w:rsidRPr="00801AFD" w:rsidRDefault="00256187" w:rsidP="00801AFD">
            <w:pPr>
              <w:pStyle w:val="C-TableText"/>
              <w:widowControl w:val="0"/>
              <w:jc w:val="center"/>
              <w:rPr>
                <w:sz w:val="22"/>
                <w:szCs w:val="22"/>
              </w:rPr>
            </w:pPr>
            <w:r w:rsidRPr="00801AFD">
              <w:rPr>
                <w:sz w:val="22"/>
                <w:szCs w:val="22"/>
              </w:rPr>
              <w:t>180</w:t>
            </w:r>
          </w:p>
        </w:tc>
        <w:tc>
          <w:tcPr>
            <w:tcW w:w="0" w:type="auto"/>
            <w:vAlign w:val="center"/>
          </w:tcPr>
          <w:p w14:paraId="466C77C5" w14:textId="77777777" w:rsidR="00256187" w:rsidRPr="00801AFD" w:rsidRDefault="00256187" w:rsidP="00801AFD">
            <w:pPr>
              <w:pStyle w:val="C-TableText"/>
              <w:widowControl w:val="0"/>
              <w:jc w:val="center"/>
              <w:rPr>
                <w:sz w:val="22"/>
                <w:szCs w:val="22"/>
              </w:rPr>
            </w:pPr>
            <w:r w:rsidRPr="00801AFD">
              <w:rPr>
                <w:sz w:val="22"/>
                <w:szCs w:val="22"/>
              </w:rPr>
              <w:t>180</w:t>
            </w:r>
          </w:p>
        </w:tc>
        <w:tc>
          <w:tcPr>
            <w:tcW w:w="0" w:type="auto"/>
            <w:vAlign w:val="center"/>
          </w:tcPr>
          <w:p w14:paraId="4A3B9D07" w14:textId="77777777" w:rsidR="00256187" w:rsidRPr="00801AFD" w:rsidRDefault="00256187" w:rsidP="00801AFD">
            <w:pPr>
              <w:pStyle w:val="C-TableText"/>
              <w:widowControl w:val="0"/>
              <w:jc w:val="center"/>
              <w:rPr>
                <w:sz w:val="22"/>
                <w:szCs w:val="22"/>
              </w:rPr>
            </w:pPr>
            <w:r w:rsidRPr="00801AFD">
              <w:rPr>
                <w:sz w:val="22"/>
                <w:szCs w:val="22"/>
              </w:rPr>
              <w:t>360</w:t>
            </w:r>
          </w:p>
        </w:tc>
      </w:tr>
      <w:tr w:rsidR="00256187" w:rsidRPr="00801AFD" w14:paraId="66314E56" w14:textId="77777777" w:rsidTr="00986850">
        <w:trPr>
          <w:trHeight w:val="20"/>
        </w:trPr>
        <w:tc>
          <w:tcPr>
            <w:tcW w:w="0" w:type="auto"/>
            <w:vMerge w:val="restart"/>
          </w:tcPr>
          <w:p w14:paraId="6ED80AB3" w14:textId="77777777" w:rsidR="00256187" w:rsidRPr="00801AFD" w:rsidRDefault="00256187" w:rsidP="00801AFD">
            <w:pPr>
              <w:pStyle w:val="C-TableText"/>
              <w:widowControl w:val="0"/>
              <w:jc w:val="center"/>
              <w:rPr>
                <w:sz w:val="22"/>
                <w:szCs w:val="22"/>
              </w:rPr>
            </w:pPr>
            <w:r w:rsidRPr="00801AFD">
              <w:rPr>
                <w:sz w:val="22"/>
                <w:szCs w:val="22"/>
              </w:rPr>
              <w:t>≥ 100</w:t>
            </w:r>
          </w:p>
        </w:tc>
        <w:tc>
          <w:tcPr>
            <w:tcW w:w="0" w:type="auto"/>
            <w:vAlign w:val="center"/>
          </w:tcPr>
          <w:p w14:paraId="711F76BA" w14:textId="77777777" w:rsidR="00256187" w:rsidRPr="00801AFD" w:rsidRDefault="00256187" w:rsidP="00801AFD">
            <w:pPr>
              <w:pStyle w:val="C-TableText"/>
              <w:widowControl w:val="0"/>
              <w:jc w:val="center"/>
              <w:rPr>
                <w:sz w:val="22"/>
                <w:szCs w:val="22"/>
              </w:rPr>
            </w:pPr>
            <w:r w:rsidRPr="00801AFD">
              <w:rPr>
                <w:sz w:val="22"/>
                <w:szCs w:val="22"/>
              </w:rPr>
              <w:t>600</w:t>
            </w:r>
          </w:p>
        </w:tc>
        <w:tc>
          <w:tcPr>
            <w:tcW w:w="0" w:type="auto"/>
            <w:vAlign w:val="center"/>
          </w:tcPr>
          <w:p w14:paraId="5F1AA798" w14:textId="77777777" w:rsidR="00256187" w:rsidRPr="00801AFD" w:rsidRDefault="00256187" w:rsidP="00801AFD">
            <w:pPr>
              <w:pStyle w:val="C-TableText"/>
              <w:widowControl w:val="0"/>
              <w:jc w:val="center"/>
              <w:rPr>
                <w:sz w:val="22"/>
                <w:szCs w:val="22"/>
              </w:rPr>
            </w:pPr>
            <w:r w:rsidRPr="00801AFD">
              <w:rPr>
                <w:sz w:val="22"/>
                <w:szCs w:val="22"/>
              </w:rPr>
              <w:t>60</w:t>
            </w:r>
          </w:p>
        </w:tc>
        <w:tc>
          <w:tcPr>
            <w:tcW w:w="0" w:type="auto"/>
            <w:vAlign w:val="center"/>
          </w:tcPr>
          <w:p w14:paraId="1C9C4CF6" w14:textId="77777777" w:rsidR="00256187" w:rsidRPr="00801AFD" w:rsidRDefault="00256187" w:rsidP="00801AFD">
            <w:pPr>
              <w:pStyle w:val="C-TableText"/>
              <w:widowControl w:val="0"/>
              <w:jc w:val="center"/>
              <w:rPr>
                <w:sz w:val="22"/>
                <w:szCs w:val="22"/>
              </w:rPr>
            </w:pPr>
            <w:r w:rsidRPr="00801AFD">
              <w:rPr>
                <w:sz w:val="22"/>
                <w:szCs w:val="22"/>
              </w:rPr>
              <w:t>60</w:t>
            </w:r>
          </w:p>
        </w:tc>
        <w:tc>
          <w:tcPr>
            <w:tcW w:w="0" w:type="auto"/>
            <w:vAlign w:val="center"/>
          </w:tcPr>
          <w:p w14:paraId="33412B92" w14:textId="77777777" w:rsidR="00256187" w:rsidRPr="00801AFD" w:rsidRDefault="00256187" w:rsidP="00801AFD">
            <w:pPr>
              <w:pStyle w:val="C-TableText"/>
              <w:widowControl w:val="0"/>
              <w:jc w:val="center"/>
              <w:rPr>
                <w:sz w:val="22"/>
                <w:szCs w:val="22"/>
              </w:rPr>
            </w:pPr>
            <w:r w:rsidRPr="00801AFD">
              <w:rPr>
                <w:sz w:val="22"/>
                <w:szCs w:val="22"/>
              </w:rPr>
              <w:t>120</w:t>
            </w:r>
          </w:p>
        </w:tc>
      </w:tr>
      <w:tr w:rsidR="00256187" w:rsidRPr="00801AFD" w14:paraId="3315076F" w14:textId="77777777" w:rsidTr="00986850">
        <w:trPr>
          <w:trHeight w:val="20"/>
        </w:trPr>
        <w:tc>
          <w:tcPr>
            <w:tcW w:w="0" w:type="auto"/>
            <w:vMerge/>
            <w:vAlign w:val="center"/>
            <w:hideMark/>
          </w:tcPr>
          <w:p w14:paraId="0C973254" w14:textId="77777777" w:rsidR="00256187" w:rsidRPr="00801AFD" w:rsidRDefault="00256187" w:rsidP="00801AFD">
            <w:pPr>
              <w:pStyle w:val="C-TableText"/>
              <w:widowControl w:val="0"/>
              <w:jc w:val="center"/>
              <w:rPr>
                <w:sz w:val="22"/>
                <w:szCs w:val="22"/>
              </w:rPr>
            </w:pPr>
          </w:p>
        </w:tc>
        <w:tc>
          <w:tcPr>
            <w:tcW w:w="0" w:type="auto"/>
            <w:vAlign w:val="center"/>
            <w:hideMark/>
          </w:tcPr>
          <w:p w14:paraId="1F728860" w14:textId="77777777" w:rsidR="00256187" w:rsidRPr="00801AFD" w:rsidRDefault="00256187" w:rsidP="00801AFD">
            <w:pPr>
              <w:pStyle w:val="C-TableText"/>
              <w:widowControl w:val="0"/>
              <w:jc w:val="center"/>
              <w:rPr>
                <w:sz w:val="22"/>
                <w:szCs w:val="22"/>
              </w:rPr>
            </w:pPr>
            <w:r w:rsidRPr="00801AFD">
              <w:rPr>
                <w:sz w:val="22"/>
                <w:szCs w:val="22"/>
              </w:rPr>
              <w:t>1,500</w:t>
            </w:r>
          </w:p>
        </w:tc>
        <w:tc>
          <w:tcPr>
            <w:tcW w:w="0" w:type="auto"/>
            <w:vAlign w:val="center"/>
            <w:hideMark/>
          </w:tcPr>
          <w:p w14:paraId="07E685C6" w14:textId="77777777" w:rsidR="00256187" w:rsidRPr="00801AFD" w:rsidRDefault="00256187" w:rsidP="00801AFD">
            <w:pPr>
              <w:pStyle w:val="C-TableText"/>
              <w:widowControl w:val="0"/>
              <w:jc w:val="center"/>
              <w:rPr>
                <w:sz w:val="22"/>
                <w:szCs w:val="22"/>
              </w:rPr>
            </w:pPr>
            <w:r w:rsidRPr="00801AFD">
              <w:rPr>
                <w:sz w:val="22"/>
                <w:szCs w:val="22"/>
              </w:rPr>
              <w:t>150</w:t>
            </w:r>
          </w:p>
        </w:tc>
        <w:tc>
          <w:tcPr>
            <w:tcW w:w="0" w:type="auto"/>
            <w:vAlign w:val="center"/>
            <w:hideMark/>
          </w:tcPr>
          <w:p w14:paraId="31A6A791" w14:textId="77777777" w:rsidR="00256187" w:rsidRPr="00801AFD" w:rsidRDefault="00256187" w:rsidP="00801AFD">
            <w:pPr>
              <w:pStyle w:val="C-TableText"/>
              <w:widowControl w:val="0"/>
              <w:jc w:val="center"/>
              <w:rPr>
                <w:sz w:val="22"/>
                <w:szCs w:val="22"/>
              </w:rPr>
            </w:pPr>
            <w:r w:rsidRPr="00801AFD">
              <w:rPr>
                <w:sz w:val="22"/>
                <w:szCs w:val="22"/>
              </w:rPr>
              <w:t>150</w:t>
            </w:r>
          </w:p>
        </w:tc>
        <w:tc>
          <w:tcPr>
            <w:tcW w:w="0" w:type="auto"/>
            <w:vAlign w:val="center"/>
            <w:hideMark/>
          </w:tcPr>
          <w:p w14:paraId="617726B6" w14:textId="77777777" w:rsidR="00256187" w:rsidRPr="00801AFD" w:rsidRDefault="00256187" w:rsidP="00801AFD">
            <w:pPr>
              <w:pStyle w:val="C-TableText"/>
              <w:widowControl w:val="0"/>
              <w:jc w:val="center"/>
              <w:rPr>
                <w:sz w:val="22"/>
                <w:szCs w:val="22"/>
              </w:rPr>
            </w:pPr>
            <w:r w:rsidRPr="00801AFD">
              <w:rPr>
                <w:sz w:val="22"/>
                <w:szCs w:val="22"/>
              </w:rPr>
              <w:t>300</w:t>
            </w:r>
          </w:p>
        </w:tc>
      </w:tr>
      <w:tr w:rsidR="00256187" w:rsidRPr="00801AFD" w14:paraId="7E0D89AF" w14:textId="77777777" w:rsidTr="00986850">
        <w:trPr>
          <w:trHeight w:val="20"/>
        </w:trPr>
        <w:tc>
          <w:tcPr>
            <w:tcW w:w="0" w:type="auto"/>
            <w:vMerge/>
            <w:vAlign w:val="center"/>
          </w:tcPr>
          <w:p w14:paraId="48CAF5B4" w14:textId="77777777" w:rsidR="00256187" w:rsidRPr="00801AFD" w:rsidRDefault="00256187" w:rsidP="00801AFD">
            <w:pPr>
              <w:pStyle w:val="C-TableText"/>
              <w:widowControl w:val="0"/>
              <w:jc w:val="center"/>
              <w:rPr>
                <w:sz w:val="22"/>
                <w:szCs w:val="22"/>
              </w:rPr>
            </w:pPr>
          </w:p>
        </w:tc>
        <w:tc>
          <w:tcPr>
            <w:tcW w:w="0" w:type="auto"/>
            <w:vAlign w:val="center"/>
          </w:tcPr>
          <w:p w14:paraId="2D40E610" w14:textId="77777777" w:rsidR="00256187" w:rsidRPr="00801AFD" w:rsidRDefault="00256187" w:rsidP="00801AFD">
            <w:pPr>
              <w:pStyle w:val="C-TableText"/>
              <w:widowControl w:val="0"/>
              <w:jc w:val="center"/>
              <w:rPr>
                <w:sz w:val="22"/>
                <w:szCs w:val="22"/>
              </w:rPr>
            </w:pPr>
            <w:r w:rsidRPr="00801AFD">
              <w:rPr>
                <w:sz w:val="22"/>
                <w:szCs w:val="22"/>
              </w:rPr>
              <w:t>1,800</w:t>
            </w:r>
          </w:p>
        </w:tc>
        <w:tc>
          <w:tcPr>
            <w:tcW w:w="0" w:type="auto"/>
            <w:vAlign w:val="center"/>
          </w:tcPr>
          <w:p w14:paraId="2DC6CE54" w14:textId="77777777" w:rsidR="00256187" w:rsidRPr="00801AFD" w:rsidRDefault="00256187" w:rsidP="00801AFD">
            <w:pPr>
              <w:pStyle w:val="C-TableText"/>
              <w:widowControl w:val="0"/>
              <w:jc w:val="center"/>
              <w:rPr>
                <w:sz w:val="22"/>
                <w:szCs w:val="22"/>
              </w:rPr>
            </w:pPr>
            <w:r w:rsidRPr="00801AFD">
              <w:rPr>
                <w:sz w:val="22"/>
                <w:szCs w:val="22"/>
              </w:rPr>
              <w:t>180</w:t>
            </w:r>
          </w:p>
        </w:tc>
        <w:tc>
          <w:tcPr>
            <w:tcW w:w="0" w:type="auto"/>
            <w:vAlign w:val="center"/>
          </w:tcPr>
          <w:p w14:paraId="3EE6302D" w14:textId="77777777" w:rsidR="00256187" w:rsidRPr="00801AFD" w:rsidRDefault="00256187" w:rsidP="00801AFD">
            <w:pPr>
              <w:pStyle w:val="C-TableText"/>
              <w:widowControl w:val="0"/>
              <w:jc w:val="center"/>
              <w:rPr>
                <w:sz w:val="22"/>
                <w:szCs w:val="22"/>
              </w:rPr>
            </w:pPr>
            <w:r w:rsidRPr="00801AFD">
              <w:rPr>
                <w:sz w:val="22"/>
                <w:szCs w:val="22"/>
              </w:rPr>
              <w:t>180</w:t>
            </w:r>
          </w:p>
        </w:tc>
        <w:tc>
          <w:tcPr>
            <w:tcW w:w="0" w:type="auto"/>
            <w:vAlign w:val="center"/>
          </w:tcPr>
          <w:p w14:paraId="1FD30903" w14:textId="77777777" w:rsidR="00256187" w:rsidRPr="00801AFD" w:rsidRDefault="00256187" w:rsidP="00801AFD">
            <w:pPr>
              <w:pStyle w:val="C-TableText"/>
              <w:widowControl w:val="0"/>
              <w:jc w:val="center"/>
              <w:rPr>
                <w:sz w:val="22"/>
                <w:szCs w:val="22"/>
              </w:rPr>
            </w:pPr>
            <w:r w:rsidRPr="00801AFD">
              <w:rPr>
                <w:sz w:val="22"/>
                <w:szCs w:val="22"/>
              </w:rPr>
              <w:t>360</w:t>
            </w:r>
          </w:p>
        </w:tc>
      </w:tr>
    </w:tbl>
    <w:p w14:paraId="08BCD029" w14:textId="50B715C0" w:rsidR="002C1EBC" w:rsidRPr="00986850" w:rsidRDefault="00256187" w:rsidP="00801AFD">
      <w:pPr>
        <w:widowControl w:val="0"/>
        <w:jc w:val="both"/>
        <w:rPr>
          <w:sz w:val="20"/>
          <w:szCs w:val="22"/>
          <w:lang w:val="sr-Latn-ME"/>
        </w:rPr>
      </w:pPr>
      <w:r w:rsidRPr="00986850">
        <w:rPr>
          <w:sz w:val="20"/>
          <w:szCs w:val="22"/>
          <w:vertAlign w:val="superscript"/>
          <w:lang w:val="sr-Latn-ME"/>
        </w:rPr>
        <w:t>a</w:t>
      </w:r>
      <w:r w:rsidRPr="00986850">
        <w:rPr>
          <w:sz w:val="20"/>
          <w:szCs w:val="22"/>
          <w:lang w:val="sr-Latn-ME"/>
        </w:rPr>
        <w:t xml:space="preserve"> T</w:t>
      </w:r>
      <w:r w:rsidR="007B354B" w:rsidRPr="00986850">
        <w:rPr>
          <w:sz w:val="20"/>
          <w:szCs w:val="22"/>
          <w:lang w:val="sr-Latn-ME"/>
        </w:rPr>
        <w:t>j</w:t>
      </w:r>
      <w:r w:rsidRPr="00986850">
        <w:rPr>
          <w:sz w:val="20"/>
          <w:szCs w:val="22"/>
          <w:lang w:val="sr-Latn-ME"/>
        </w:rPr>
        <w:t xml:space="preserve">elesna </w:t>
      </w:r>
      <w:r w:rsidR="00DB1C80" w:rsidRPr="00986850">
        <w:rPr>
          <w:sz w:val="20"/>
          <w:szCs w:val="22"/>
          <w:lang w:val="sr-Latn-ME"/>
        </w:rPr>
        <w:t xml:space="preserve">težina </w:t>
      </w:r>
      <w:r w:rsidRPr="00986850">
        <w:rPr>
          <w:sz w:val="20"/>
          <w:szCs w:val="22"/>
          <w:lang w:val="sr-Latn-ME"/>
        </w:rPr>
        <w:t>u vr</w:t>
      </w:r>
      <w:r w:rsidR="007B354B" w:rsidRPr="00986850">
        <w:rPr>
          <w:sz w:val="20"/>
          <w:szCs w:val="22"/>
          <w:lang w:val="sr-Latn-ME"/>
        </w:rPr>
        <w:t>ij</w:t>
      </w:r>
      <w:r w:rsidRPr="00986850">
        <w:rPr>
          <w:sz w:val="20"/>
          <w:szCs w:val="22"/>
          <w:lang w:val="sr-Latn-ME"/>
        </w:rPr>
        <w:t>eme l</w:t>
      </w:r>
      <w:r w:rsidR="007B354B" w:rsidRPr="00986850">
        <w:rPr>
          <w:sz w:val="20"/>
          <w:szCs w:val="22"/>
          <w:lang w:val="sr-Latn-ME"/>
        </w:rPr>
        <w:t>ij</w:t>
      </w:r>
      <w:r w:rsidRPr="00986850">
        <w:rPr>
          <w:sz w:val="20"/>
          <w:szCs w:val="22"/>
          <w:lang w:val="sr-Latn-ME"/>
        </w:rPr>
        <w:t>eč</w:t>
      </w:r>
      <w:r w:rsidR="007B354B" w:rsidRPr="00986850">
        <w:rPr>
          <w:sz w:val="20"/>
          <w:szCs w:val="22"/>
          <w:lang w:val="sr-Latn-ME"/>
        </w:rPr>
        <w:t>e</w:t>
      </w:r>
      <w:r w:rsidRPr="00986850">
        <w:rPr>
          <w:sz w:val="20"/>
          <w:szCs w:val="22"/>
          <w:lang w:val="sr-Latn-ME"/>
        </w:rPr>
        <w:t>nja</w:t>
      </w:r>
      <w:r w:rsidR="0064549B" w:rsidRPr="00986850">
        <w:rPr>
          <w:sz w:val="20"/>
          <w:szCs w:val="22"/>
          <w:lang w:val="sr-Latn-ME"/>
        </w:rPr>
        <w:t>.</w:t>
      </w:r>
    </w:p>
    <w:p w14:paraId="6DE9F219" w14:textId="5EE445AF" w:rsidR="00256187" w:rsidRPr="00986850" w:rsidRDefault="00256187" w:rsidP="00801AFD">
      <w:pPr>
        <w:widowControl w:val="0"/>
        <w:jc w:val="both"/>
        <w:rPr>
          <w:sz w:val="20"/>
          <w:szCs w:val="22"/>
          <w:lang w:val="sr-Latn-ME"/>
        </w:rPr>
      </w:pPr>
      <w:r w:rsidRPr="00986850">
        <w:rPr>
          <w:sz w:val="20"/>
          <w:szCs w:val="22"/>
          <w:vertAlign w:val="superscript"/>
          <w:lang w:val="sr-Latn-ME"/>
        </w:rPr>
        <w:t xml:space="preserve">b </w:t>
      </w:r>
      <w:r w:rsidRPr="00986850">
        <w:rPr>
          <w:sz w:val="20"/>
          <w:szCs w:val="22"/>
          <w:lang w:val="sr-Latn-ME"/>
        </w:rPr>
        <w:t>L</w:t>
      </w:r>
      <w:r w:rsidR="007B354B" w:rsidRPr="00986850">
        <w:rPr>
          <w:sz w:val="20"/>
          <w:szCs w:val="22"/>
          <w:lang w:val="sr-Latn-ME"/>
        </w:rPr>
        <w:t>ij</w:t>
      </w:r>
      <w:r w:rsidRPr="00986850">
        <w:rPr>
          <w:sz w:val="20"/>
          <w:szCs w:val="22"/>
          <w:lang w:val="sr-Latn-ME"/>
        </w:rPr>
        <w:t>ek Ultomiris treba razblaživati isključivo rastvorom za injekciju natrijum hlorida 9 mg/ml (0,9%)</w:t>
      </w:r>
      <w:r w:rsidR="0064549B" w:rsidRPr="00986850">
        <w:rPr>
          <w:sz w:val="20"/>
          <w:szCs w:val="22"/>
          <w:lang w:val="sr-Latn-ME"/>
        </w:rPr>
        <w:t>.</w:t>
      </w:r>
    </w:p>
    <w:p w14:paraId="729D83A0" w14:textId="77777777" w:rsidR="00574910" w:rsidRPr="00801AFD" w:rsidRDefault="00574910" w:rsidP="00801AFD">
      <w:pPr>
        <w:widowControl w:val="0"/>
        <w:tabs>
          <w:tab w:val="left" w:pos="284"/>
        </w:tabs>
        <w:jc w:val="both"/>
        <w:rPr>
          <w:sz w:val="22"/>
          <w:szCs w:val="22"/>
          <w:lang w:val="sr-Latn-ME"/>
        </w:rPr>
      </w:pPr>
    </w:p>
    <w:p w14:paraId="1FCF947A" w14:textId="77777777" w:rsidR="00574910" w:rsidRPr="00801AFD" w:rsidRDefault="00574910" w:rsidP="00801AFD">
      <w:pPr>
        <w:widowControl w:val="0"/>
        <w:tabs>
          <w:tab w:val="left" w:pos="284"/>
        </w:tabs>
        <w:jc w:val="both"/>
        <w:rPr>
          <w:sz w:val="22"/>
          <w:szCs w:val="22"/>
          <w:lang w:val="sr-Latn-ME"/>
        </w:rPr>
      </w:pPr>
      <w:r w:rsidRPr="00801AFD">
        <w:rPr>
          <w:sz w:val="22"/>
          <w:szCs w:val="22"/>
          <w:lang w:val="sr-Latn-ME"/>
        </w:rPr>
        <w:lastRenderedPageBreak/>
        <w:t>Neupotrijebljeni lijek ili otpadni materijal sa uništava u skladu sa lokalnim propisima.</w:t>
      </w:r>
    </w:p>
    <w:p w14:paraId="262DF0D7" w14:textId="252DB3B9" w:rsidR="00574910" w:rsidRPr="00801AFD" w:rsidRDefault="00574910" w:rsidP="00801AFD">
      <w:pPr>
        <w:widowControl w:val="0"/>
        <w:tabs>
          <w:tab w:val="left" w:pos="540"/>
          <w:tab w:val="left" w:pos="569"/>
        </w:tabs>
        <w:jc w:val="both"/>
        <w:rPr>
          <w:b/>
          <w:bCs/>
          <w:sz w:val="22"/>
          <w:szCs w:val="22"/>
          <w:lang w:val="sr-Latn-ME"/>
        </w:rPr>
      </w:pPr>
    </w:p>
    <w:p w14:paraId="65547AB9" w14:textId="77777777" w:rsidR="0064549B" w:rsidRPr="00801AFD" w:rsidRDefault="0064549B" w:rsidP="00801AFD">
      <w:pPr>
        <w:widowControl w:val="0"/>
        <w:tabs>
          <w:tab w:val="left" w:pos="540"/>
          <w:tab w:val="left" w:pos="569"/>
        </w:tabs>
        <w:jc w:val="both"/>
        <w:rPr>
          <w:b/>
          <w:bCs/>
          <w:sz w:val="22"/>
          <w:szCs w:val="22"/>
          <w:lang w:val="sr-Latn-ME"/>
        </w:rPr>
      </w:pPr>
    </w:p>
    <w:p w14:paraId="7340D484" w14:textId="77777777" w:rsidR="00F8570A" w:rsidRPr="00801AFD" w:rsidRDefault="0072020E" w:rsidP="00801AFD">
      <w:pPr>
        <w:widowControl w:val="0"/>
        <w:tabs>
          <w:tab w:val="left" w:pos="540"/>
          <w:tab w:val="left" w:pos="569"/>
        </w:tabs>
        <w:jc w:val="both"/>
        <w:rPr>
          <w:b/>
          <w:bCs/>
          <w:sz w:val="22"/>
          <w:szCs w:val="22"/>
          <w:lang w:val="sr-Latn-ME"/>
        </w:rPr>
      </w:pPr>
      <w:r w:rsidRPr="00801AFD">
        <w:rPr>
          <w:b/>
          <w:bCs/>
          <w:sz w:val="22"/>
          <w:szCs w:val="22"/>
          <w:lang w:val="sr-Latn-ME"/>
        </w:rPr>
        <w:t xml:space="preserve">7. </w:t>
      </w:r>
      <w:r w:rsidR="00480FB1" w:rsidRPr="00801AFD">
        <w:rPr>
          <w:b/>
          <w:bCs/>
          <w:sz w:val="22"/>
          <w:szCs w:val="22"/>
          <w:lang w:val="sr-Latn-ME"/>
        </w:rPr>
        <w:tab/>
      </w:r>
      <w:r w:rsidRPr="00801AFD">
        <w:rPr>
          <w:b/>
          <w:bCs/>
          <w:sz w:val="22"/>
          <w:szCs w:val="22"/>
          <w:lang w:val="sr-Latn-ME"/>
        </w:rPr>
        <w:t>NOSILAC DOZVOLE</w:t>
      </w:r>
      <w:r w:rsidR="00483928" w:rsidRPr="00801AFD">
        <w:rPr>
          <w:b/>
          <w:bCs/>
          <w:sz w:val="22"/>
          <w:szCs w:val="22"/>
          <w:lang w:val="sr-Latn-ME"/>
        </w:rPr>
        <w:t xml:space="preserve"> </w:t>
      </w:r>
    </w:p>
    <w:p w14:paraId="1925C5F0" w14:textId="6B64EFBA" w:rsidR="00C61BE0" w:rsidRPr="00801AFD" w:rsidRDefault="00C61BE0" w:rsidP="00801AFD">
      <w:pPr>
        <w:widowControl w:val="0"/>
        <w:tabs>
          <w:tab w:val="left" w:pos="540"/>
          <w:tab w:val="left" w:pos="569"/>
        </w:tabs>
        <w:jc w:val="both"/>
        <w:rPr>
          <w:bCs/>
          <w:sz w:val="22"/>
          <w:szCs w:val="22"/>
          <w:lang w:val="sr-Latn-ME"/>
        </w:rPr>
      </w:pPr>
    </w:p>
    <w:p w14:paraId="43242AC0" w14:textId="7A3857E5" w:rsidR="00D016C4" w:rsidRPr="00801AFD" w:rsidRDefault="00D016C4" w:rsidP="00801AFD">
      <w:pPr>
        <w:widowControl w:val="0"/>
        <w:tabs>
          <w:tab w:val="left" w:pos="540"/>
          <w:tab w:val="left" w:pos="569"/>
        </w:tabs>
        <w:jc w:val="both"/>
        <w:rPr>
          <w:bCs/>
          <w:sz w:val="22"/>
          <w:szCs w:val="22"/>
          <w:lang w:val="sr-Latn-ME"/>
        </w:rPr>
      </w:pPr>
      <w:r w:rsidRPr="00801AFD">
        <w:rPr>
          <w:bCs/>
          <w:sz w:val="22"/>
          <w:szCs w:val="22"/>
          <w:lang w:val="sr-Latn-ME"/>
        </w:rPr>
        <w:t>Glosarij d.o.o</w:t>
      </w:r>
      <w:r w:rsidR="00374D90" w:rsidRPr="00801AFD">
        <w:rPr>
          <w:bCs/>
          <w:sz w:val="22"/>
          <w:szCs w:val="22"/>
          <w:lang w:val="sr-Latn-ME"/>
        </w:rPr>
        <w:t xml:space="preserve">, </w:t>
      </w:r>
      <w:r w:rsidRPr="00801AFD">
        <w:rPr>
          <w:bCs/>
          <w:sz w:val="22"/>
          <w:szCs w:val="22"/>
          <w:lang w:val="sr-Latn-ME"/>
        </w:rPr>
        <w:t>Vojislavljevića 76, 81 000 Podgorica, Crna Gora</w:t>
      </w:r>
    </w:p>
    <w:p w14:paraId="592756F0" w14:textId="5AFD7D0D" w:rsidR="00C37FD7" w:rsidRPr="00801AFD" w:rsidRDefault="00C37FD7" w:rsidP="00801AFD">
      <w:pPr>
        <w:widowControl w:val="0"/>
        <w:tabs>
          <w:tab w:val="left" w:pos="540"/>
          <w:tab w:val="left" w:pos="569"/>
        </w:tabs>
        <w:jc w:val="both"/>
        <w:rPr>
          <w:bCs/>
          <w:sz w:val="22"/>
          <w:szCs w:val="22"/>
          <w:lang w:val="sr-Latn-ME"/>
        </w:rPr>
      </w:pPr>
    </w:p>
    <w:p w14:paraId="49B33077" w14:textId="77777777" w:rsidR="00946337" w:rsidRPr="00801AFD" w:rsidRDefault="00946337" w:rsidP="00801AFD">
      <w:pPr>
        <w:widowControl w:val="0"/>
        <w:tabs>
          <w:tab w:val="left" w:pos="540"/>
          <w:tab w:val="left" w:pos="569"/>
        </w:tabs>
        <w:jc w:val="both"/>
        <w:rPr>
          <w:bCs/>
          <w:sz w:val="22"/>
          <w:szCs w:val="22"/>
          <w:lang w:val="sr-Latn-ME"/>
        </w:rPr>
      </w:pPr>
    </w:p>
    <w:p w14:paraId="553F0B5B" w14:textId="77777777" w:rsidR="0072020E" w:rsidRPr="00801AFD" w:rsidRDefault="0072020E" w:rsidP="00801AFD">
      <w:pPr>
        <w:widowControl w:val="0"/>
        <w:tabs>
          <w:tab w:val="left" w:pos="540"/>
          <w:tab w:val="left" w:pos="569"/>
        </w:tabs>
        <w:jc w:val="both"/>
        <w:rPr>
          <w:b/>
          <w:bCs/>
          <w:sz w:val="22"/>
          <w:szCs w:val="22"/>
          <w:lang w:val="sr-Latn-ME"/>
        </w:rPr>
      </w:pPr>
      <w:r w:rsidRPr="00801AFD">
        <w:rPr>
          <w:b/>
          <w:bCs/>
          <w:sz w:val="22"/>
          <w:szCs w:val="22"/>
          <w:lang w:val="sr-Latn-ME"/>
        </w:rPr>
        <w:t xml:space="preserve">8. </w:t>
      </w:r>
      <w:r w:rsidR="00480FB1" w:rsidRPr="00801AFD">
        <w:rPr>
          <w:b/>
          <w:bCs/>
          <w:sz w:val="22"/>
          <w:szCs w:val="22"/>
          <w:lang w:val="sr-Latn-ME"/>
        </w:rPr>
        <w:tab/>
      </w:r>
      <w:r w:rsidRPr="00801AFD">
        <w:rPr>
          <w:b/>
          <w:bCs/>
          <w:sz w:val="22"/>
          <w:szCs w:val="22"/>
          <w:lang w:val="sr-Latn-ME"/>
        </w:rPr>
        <w:t>BROJ DOZVOLE</w:t>
      </w:r>
      <w:r w:rsidR="008A6D43" w:rsidRPr="00801AFD">
        <w:rPr>
          <w:b/>
          <w:bCs/>
          <w:sz w:val="22"/>
          <w:szCs w:val="22"/>
          <w:lang w:val="sr-Latn-ME"/>
        </w:rPr>
        <w:t xml:space="preserve"> ZA STAVLJANJE LIJEKA U PROMET</w:t>
      </w:r>
    </w:p>
    <w:p w14:paraId="6EA3778D" w14:textId="74B2528A" w:rsidR="0072020E" w:rsidRPr="00801AFD" w:rsidRDefault="0072020E" w:rsidP="00801AFD">
      <w:pPr>
        <w:widowControl w:val="0"/>
        <w:tabs>
          <w:tab w:val="left" w:pos="540"/>
          <w:tab w:val="left" w:pos="569"/>
        </w:tabs>
        <w:jc w:val="both"/>
        <w:rPr>
          <w:bCs/>
          <w:sz w:val="22"/>
          <w:szCs w:val="22"/>
          <w:lang w:val="sr-Latn-ME"/>
        </w:rPr>
      </w:pPr>
    </w:p>
    <w:p w14:paraId="49349FC2" w14:textId="511C3E95" w:rsidR="00513ADA" w:rsidRPr="00801AFD" w:rsidRDefault="00513ADA" w:rsidP="00801AFD">
      <w:pPr>
        <w:pStyle w:val="Default"/>
        <w:widowControl w:val="0"/>
        <w:jc w:val="both"/>
        <w:rPr>
          <w:sz w:val="22"/>
          <w:szCs w:val="22"/>
          <w:lang w:val="sr-Latn-ME"/>
        </w:rPr>
      </w:pPr>
      <w:r w:rsidRPr="00801AFD">
        <w:rPr>
          <w:sz w:val="22"/>
          <w:szCs w:val="22"/>
          <w:lang w:val="sr-Latn-ME"/>
        </w:rPr>
        <w:t>Ultomiris, koncentrat za rastvor za infuziju, 300 mg/3 ml, bočica, 1x3ml: 2030/22/2341 - 2212</w:t>
      </w:r>
    </w:p>
    <w:p w14:paraId="02E1BF34" w14:textId="6484FF4B" w:rsidR="00513ADA" w:rsidRPr="00801AFD" w:rsidRDefault="00513ADA" w:rsidP="00801AFD">
      <w:pPr>
        <w:pStyle w:val="Default"/>
        <w:widowControl w:val="0"/>
        <w:jc w:val="both"/>
        <w:rPr>
          <w:sz w:val="22"/>
          <w:szCs w:val="22"/>
          <w:lang w:val="sr-Latn-ME"/>
        </w:rPr>
      </w:pPr>
      <w:r w:rsidRPr="00801AFD">
        <w:rPr>
          <w:sz w:val="22"/>
          <w:szCs w:val="22"/>
          <w:lang w:val="sr-Latn-ME"/>
        </w:rPr>
        <w:t>Ultomiris, koncentrat za rastvor za infuziju, 1100 mg/11 ml, bočica, 1x11ml: 2030/22/2342 - 2213</w:t>
      </w:r>
    </w:p>
    <w:p w14:paraId="2970ECAF" w14:textId="5F216DF7" w:rsidR="00513ADA" w:rsidRPr="00801AFD" w:rsidRDefault="00513ADA" w:rsidP="00801AFD">
      <w:pPr>
        <w:pStyle w:val="Default"/>
        <w:widowControl w:val="0"/>
        <w:jc w:val="both"/>
        <w:rPr>
          <w:sz w:val="22"/>
          <w:szCs w:val="22"/>
          <w:lang w:val="sr-Latn-ME"/>
        </w:rPr>
      </w:pPr>
      <w:r w:rsidRPr="00801AFD">
        <w:rPr>
          <w:sz w:val="22"/>
          <w:szCs w:val="22"/>
          <w:lang w:val="sr-Latn-ME"/>
        </w:rPr>
        <w:t>Ultomiris, koncentrat za rastvor za infuziju, 300 mg/30 ml, bočica, 1x30ml: 2030/22/2340 - 2211</w:t>
      </w:r>
    </w:p>
    <w:p w14:paraId="78157D0D" w14:textId="77777777" w:rsidR="00513ADA" w:rsidRPr="00801AFD" w:rsidRDefault="00513ADA" w:rsidP="00801AFD">
      <w:pPr>
        <w:widowControl w:val="0"/>
        <w:tabs>
          <w:tab w:val="left" w:pos="540"/>
          <w:tab w:val="left" w:pos="569"/>
        </w:tabs>
        <w:jc w:val="both"/>
        <w:rPr>
          <w:bCs/>
          <w:sz w:val="22"/>
          <w:szCs w:val="22"/>
          <w:lang w:val="sr-Latn-ME"/>
        </w:rPr>
      </w:pPr>
    </w:p>
    <w:p w14:paraId="102E3FBB" w14:textId="77777777" w:rsidR="00F45F77" w:rsidRPr="00801AFD" w:rsidRDefault="00F45F77" w:rsidP="00801AFD">
      <w:pPr>
        <w:widowControl w:val="0"/>
        <w:tabs>
          <w:tab w:val="left" w:pos="540"/>
          <w:tab w:val="left" w:pos="569"/>
        </w:tabs>
        <w:jc w:val="both"/>
        <w:rPr>
          <w:bCs/>
          <w:sz w:val="22"/>
          <w:szCs w:val="22"/>
          <w:lang w:val="sr-Latn-ME"/>
        </w:rPr>
      </w:pPr>
    </w:p>
    <w:p w14:paraId="594FA4CD" w14:textId="77777777" w:rsidR="0072020E" w:rsidRPr="00801AFD" w:rsidRDefault="0072020E" w:rsidP="00801AFD">
      <w:pPr>
        <w:widowControl w:val="0"/>
        <w:tabs>
          <w:tab w:val="left" w:pos="540"/>
          <w:tab w:val="left" w:pos="569"/>
        </w:tabs>
        <w:jc w:val="both"/>
        <w:rPr>
          <w:b/>
          <w:bCs/>
          <w:sz w:val="22"/>
          <w:szCs w:val="22"/>
          <w:lang w:val="sr-Latn-ME"/>
        </w:rPr>
      </w:pPr>
      <w:r w:rsidRPr="00801AFD">
        <w:rPr>
          <w:b/>
          <w:bCs/>
          <w:sz w:val="22"/>
          <w:szCs w:val="22"/>
          <w:lang w:val="sr-Latn-ME"/>
        </w:rPr>
        <w:t xml:space="preserve">9. </w:t>
      </w:r>
      <w:r w:rsidR="00480FB1" w:rsidRPr="00801AFD">
        <w:rPr>
          <w:b/>
          <w:bCs/>
          <w:sz w:val="22"/>
          <w:szCs w:val="22"/>
          <w:lang w:val="sr-Latn-ME"/>
        </w:rPr>
        <w:tab/>
      </w:r>
      <w:r w:rsidRPr="00801AFD">
        <w:rPr>
          <w:b/>
          <w:bCs/>
          <w:sz w:val="22"/>
          <w:szCs w:val="22"/>
          <w:lang w:val="sr-Latn-ME"/>
        </w:rPr>
        <w:t xml:space="preserve">DATUM </w:t>
      </w:r>
      <w:r w:rsidR="00C05DF8" w:rsidRPr="00801AFD">
        <w:rPr>
          <w:b/>
          <w:bCs/>
          <w:sz w:val="22"/>
          <w:szCs w:val="22"/>
          <w:lang w:val="sr-Latn-ME"/>
        </w:rPr>
        <w:t xml:space="preserve">PRVE </w:t>
      </w:r>
      <w:r w:rsidR="008A6D43" w:rsidRPr="00801AFD">
        <w:rPr>
          <w:b/>
          <w:bCs/>
          <w:sz w:val="22"/>
          <w:szCs w:val="22"/>
          <w:lang w:val="sr-Latn-ME"/>
        </w:rPr>
        <w:t>DOZVOLE</w:t>
      </w:r>
      <w:r w:rsidR="00C05DF8" w:rsidRPr="00801AFD">
        <w:rPr>
          <w:b/>
          <w:bCs/>
          <w:sz w:val="22"/>
          <w:szCs w:val="22"/>
          <w:lang w:val="sr-Latn-ME"/>
        </w:rPr>
        <w:t>/OBNOVE DOZVOLE</w:t>
      </w:r>
      <w:r w:rsidR="008A6D43" w:rsidRPr="00801AFD">
        <w:rPr>
          <w:b/>
          <w:bCs/>
          <w:sz w:val="22"/>
          <w:szCs w:val="22"/>
          <w:lang w:val="sr-Latn-ME"/>
        </w:rPr>
        <w:t xml:space="preserve"> ZA STAVLJANJE LIJEKA U PROMET</w:t>
      </w:r>
    </w:p>
    <w:p w14:paraId="5F722B55" w14:textId="20849524" w:rsidR="0072020E" w:rsidRPr="00801AFD" w:rsidRDefault="0072020E" w:rsidP="00801AFD">
      <w:pPr>
        <w:widowControl w:val="0"/>
        <w:tabs>
          <w:tab w:val="left" w:pos="540"/>
          <w:tab w:val="left" w:pos="569"/>
        </w:tabs>
        <w:jc w:val="both"/>
        <w:rPr>
          <w:bCs/>
          <w:sz w:val="22"/>
          <w:szCs w:val="22"/>
          <w:lang w:val="sr-Latn-ME"/>
        </w:rPr>
      </w:pPr>
    </w:p>
    <w:p w14:paraId="195A5BF3" w14:textId="3D64C180" w:rsidR="00513ADA" w:rsidRPr="00801AFD" w:rsidRDefault="00513ADA" w:rsidP="00801AFD">
      <w:pPr>
        <w:widowControl w:val="0"/>
        <w:tabs>
          <w:tab w:val="left" w:pos="540"/>
          <w:tab w:val="left" w:pos="569"/>
        </w:tabs>
        <w:jc w:val="both"/>
        <w:rPr>
          <w:bCs/>
          <w:sz w:val="22"/>
          <w:szCs w:val="22"/>
          <w:lang w:val="sr-Latn-ME"/>
        </w:rPr>
      </w:pPr>
      <w:r w:rsidRPr="00801AFD">
        <w:rPr>
          <w:bCs/>
          <w:sz w:val="22"/>
          <w:szCs w:val="22"/>
          <w:lang w:val="sr-Latn-ME"/>
        </w:rPr>
        <w:t>27.09.2022. godine</w:t>
      </w:r>
    </w:p>
    <w:p w14:paraId="39F53412" w14:textId="1ED0C69C" w:rsidR="00836B35" w:rsidRPr="00801AFD" w:rsidRDefault="00836B35" w:rsidP="00801AFD">
      <w:pPr>
        <w:widowControl w:val="0"/>
        <w:tabs>
          <w:tab w:val="left" w:pos="540"/>
          <w:tab w:val="left" w:pos="569"/>
        </w:tabs>
        <w:jc w:val="both"/>
        <w:rPr>
          <w:bCs/>
          <w:sz w:val="22"/>
          <w:szCs w:val="22"/>
          <w:lang w:val="sr-Latn-ME"/>
        </w:rPr>
      </w:pPr>
    </w:p>
    <w:p w14:paraId="4A601853" w14:textId="77777777" w:rsidR="0064549B" w:rsidRPr="00801AFD" w:rsidRDefault="0064549B" w:rsidP="00801AFD">
      <w:pPr>
        <w:widowControl w:val="0"/>
        <w:tabs>
          <w:tab w:val="left" w:pos="540"/>
          <w:tab w:val="left" w:pos="569"/>
        </w:tabs>
        <w:jc w:val="both"/>
        <w:rPr>
          <w:bCs/>
          <w:sz w:val="22"/>
          <w:szCs w:val="22"/>
          <w:lang w:val="sr-Latn-ME"/>
        </w:rPr>
      </w:pPr>
    </w:p>
    <w:p w14:paraId="0EDB685D" w14:textId="77777777" w:rsidR="003F6A59" w:rsidRPr="00801AFD" w:rsidRDefault="0072020E" w:rsidP="00801AFD">
      <w:pPr>
        <w:widowControl w:val="0"/>
        <w:tabs>
          <w:tab w:val="left" w:pos="540"/>
          <w:tab w:val="left" w:pos="569"/>
        </w:tabs>
        <w:ind w:left="540" w:hanging="540"/>
        <w:jc w:val="both"/>
        <w:rPr>
          <w:bCs/>
          <w:sz w:val="22"/>
          <w:szCs w:val="22"/>
          <w:lang w:val="sr-Latn-ME"/>
        </w:rPr>
      </w:pPr>
      <w:r w:rsidRPr="00801AFD">
        <w:rPr>
          <w:b/>
          <w:bCs/>
          <w:sz w:val="22"/>
          <w:szCs w:val="22"/>
          <w:lang w:val="sr-Latn-ME"/>
        </w:rPr>
        <w:t xml:space="preserve">10. </w:t>
      </w:r>
      <w:r w:rsidR="00480FB1" w:rsidRPr="00801AFD">
        <w:rPr>
          <w:b/>
          <w:bCs/>
          <w:sz w:val="22"/>
          <w:szCs w:val="22"/>
          <w:lang w:val="sr-Latn-ME"/>
        </w:rPr>
        <w:tab/>
      </w:r>
      <w:r w:rsidR="002846DB" w:rsidRPr="00801AFD">
        <w:rPr>
          <w:b/>
          <w:bCs/>
          <w:sz w:val="22"/>
          <w:szCs w:val="22"/>
          <w:lang w:val="sr-Latn-ME"/>
        </w:rPr>
        <w:t>D</w:t>
      </w:r>
      <w:r w:rsidR="00EC2532" w:rsidRPr="00801AFD">
        <w:rPr>
          <w:b/>
          <w:bCs/>
          <w:sz w:val="22"/>
          <w:szCs w:val="22"/>
          <w:lang w:val="sr-Latn-ME"/>
        </w:rPr>
        <w:t xml:space="preserve">ATUM REVIZIJE TEKSTA </w:t>
      </w:r>
    </w:p>
    <w:p w14:paraId="3A1972E8" w14:textId="390DEFFA" w:rsidR="00D016C4" w:rsidRPr="00801AFD" w:rsidRDefault="00D016C4" w:rsidP="00801AFD">
      <w:pPr>
        <w:widowControl w:val="0"/>
        <w:tabs>
          <w:tab w:val="left" w:pos="540"/>
          <w:tab w:val="left" w:pos="569"/>
        </w:tabs>
        <w:jc w:val="both"/>
        <w:rPr>
          <w:bCs/>
          <w:sz w:val="22"/>
          <w:szCs w:val="22"/>
          <w:lang w:val="sr-Latn-ME"/>
        </w:rPr>
      </w:pPr>
    </w:p>
    <w:p w14:paraId="280823BC" w14:textId="2C1AFFC9" w:rsidR="008A6D43" w:rsidRPr="00801AFD" w:rsidRDefault="00986850" w:rsidP="00801AFD">
      <w:pPr>
        <w:widowControl w:val="0"/>
        <w:tabs>
          <w:tab w:val="left" w:pos="540"/>
          <w:tab w:val="left" w:pos="569"/>
        </w:tabs>
        <w:jc w:val="both"/>
        <w:rPr>
          <w:bCs/>
          <w:sz w:val="22"/>
          <w:szCs w:val="22"/>
          <w:lang w:val="sr-Latn-ME"/>
        </w:rPr>
      </w:pPr>
      <w:r>
        <w:rPr>
          <w:bCs/>
          <w:sz w:val="22"/>
          <w:szCs w:val="22"/>
          <w:lang w:val="sr-Latn-ME"/>
        </w:rPr>
        <w:t>Januar, 2025. godine</w:t>
      </w:r>
      <w:bookmarkStart w:id="7" w:name="_GoBack"/>
      <w:bookmarkEnd w:id="7"/>
    </w:p>
    <w:sectPr w:rsidR="008A6D43" w:rsidRPr="00801AFD"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FF6B0" w14:textId="77777777" w:rsidR="0019538A" w:rsidRDefault="0019538A">
      <w:r>
        <w:separator/>
      </w:r>
    </w:p>
  </w:endnote>
  <w:endnote w:type="continuationSeparator" w:id="0">
    <w:p w14:paraId="617792AD" w14:textId="77777777" w:rsidR="0019538A" w:rsidRDefault="0019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16B54" w14:textId="2E18F799" w:rsidR="00801AFD" w:rsidRPr="00B23F69" w:rsidRDefault="00801AF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06C47">
      <w:rPr>
        <w:noProof/>
        <w:sz w:val="22"/>
        <w:szCs w:val="22"/>
      </w:rPr>
      <w:t>33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06C47">
      <w:rPr>
        <w:noProof/>
        <w:sz w:val="22"/>
        <w:szCs w:val="22"/>
      </w:rPr>
      <w:t>33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704D5" w14:textId="77777777" w:rsidR="0019538A" w:rsidRDefault="0019538A">
      <w:r>
        <w:separator/>
      </w:r>
    </w:p>
  </w:footnote>
  <w:footnote w:type="continuationSeparator" w:id="0">
    <w:p w14:paraId="4458E8C7" w14:textId="77777777" w:rsidR="0019538A" w:rsidRDefault="00195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7pt;height:13.75pt;visibility:visible" o:bullet="t">
        <v:imagedata r:id="rId1" o:title="BT_1000x858px"/>
      </v:shape>
    </w:pict>
  </w:numPicBullet>
  <w:abstractNum w:abstractNumId="0" w15:restartNumberingAfterBreak="0">
    <w:nsid w:val="024010B8"/>
    <w:multiLevelType w:val="hybridMultilevel"/>
    <w:tmpl w:val="1026BDB2"/>
    <w:lvl w:ilvl="0" w:tplc="6ED07D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E99404B"/>
    <w:multiLevelType w:val="hybridMultilevel"/>
    <w:tmpl w:val="9A2869A0"/>
    <w:lvl w:ilvl="0" w:tplc="6ED07D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2AC6994"/>
    <w:multiLevelType w:val="hybridMultilevel"/>
    <w:tmpl w:val="97925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48977B8"/>
    <w:multiLevelType w:val="hybridMultilevel"/>
    <w:tmpl w:val="57362E10"/>
    <w:lvl w:ilvl="0" w:tplc="6ED07D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D2112"/>
    <w:multiLevelType w:val="hybridMultilevel"/>
    <w:tmpl w:val="97925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77D49"/>
    <w:multiLevelType w:val="hybridMultilevel"/>
    <w:tmpl w:val="3E9A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48A6D6A"/>
    <w:multiLevelType w:val="hybridMultilevel"/>
    <w:tmpl w:val="77B25722"/>
    <w:lvl w:ilvl="0" w:tplc="6ED07D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CD359B"/>
    <w:multiLevelType w:val="hybridMultilevel"/>
    <w:tmpl w:val="7E4E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7276024"/>
    <w:multiLevelType w:val="hybridMultilevel"/>
    <w:tmpl w:val="B952F474"/>
    <w:lvl w:ilvl="0" w:tplc="987673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2"/>
  </w:num>
  <w:num w:numId="4">
    <w:abstractNumId w:val="17"/>
  </w:num>
  <w:num w:numId="5">
    <w:abstractNumId w:val="9"/>
  </w:num>
  <w:num w:numId="6">
    <w:abstractNumId w:val="3"/>
  </w:num>
  <w:num w:numId="7">
    <w:abstractNumId w:val="15"/>
  </w:num>
  <w:num w:numId="8">
    <w:abstractNumId w:val="8"/>
  </w:num>
  <w:num w:numId="9">
    <w:abstractNumId w:val="11"/>
  </w:num>
  <w:num w:numId="10">
    <w:abstractNumId w:val="19"/>
  </w:num>
  <w:num w:numId="11">
    <w:abstractNumId w:val="10"/>
  </w:num>
  <w:num w:numId="12">
    <w:abstractNumId w:val="4"/>
  </w:num>
  <w:num w:numId="13">
    <w:abstractNumId w:val="16"/>
  </w:num>
  <w:num w:numId="14">
    <w:abstractNumId w:val="12"/>
  </w:num>
  <w:num w:numId="15">
    <w:abstractNumId w:val="5"/>
  </w:num>
  <w:num w:numId="16">
    <w:abstractNumId w:val="1"/>
    <w:lvlOverride w:ilvl="0">
      <w:startOverride w:val="7"/>
    </w:lvlOverride>
  </w:num>
  <w:num w:numId="17">
    <w:abstractNumId w:val="21"/>
  </w:num>
  <w:num w:numId="18">
    <w:abstractNumId w:val="20"/>
  </w:num>
  <w:num w:numId="19">
    <w:abstractNumId w:val="22"/>
  </w:num>
  <w:num w:numId="20">
    <w:abstractNumId w:val="0"/>
  </w:num>
  <w:num w:numId="21">
    <w:abstractNumId w:val="14"/>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7FF0"/>
    <w:rsid w:val="00013DDC"/>
    <w:rsid w:val="000176CA"/>
    <w:rsid w:val="00030AA1"/>
    <w:rsid w:val="00036FA0"/>
    <w:rsid w:val="0003793F"/>
    <w:rsid w:val="00057E35"/>
    <w:rsid w:val="00076726"/>
    <w:rsid w:val="00080303"/>
    <w:rsid w:val="000831B8"/>
    <w:rsid w:val="0009748D"/>
    <w:rsid w:val="000A3F58"/>
    <w:rsid w:val="000B577C"/>
    <w:rsid w:val="000C3265"/>
    <w:rsid w:val="000D2343"/>
    <w:rsid w:val="000D3449"/>
    <w:rsid w:val="000D425A"/>
    <w:rsid w:val="000D60CC"/>
    <w:rsid w:val="000E1ECA"/>
    <w:rsid w:val="000E2084"/>
    <w:rsid w:val="000E6F55"/>
    <w:rsid w:val="000E76AE"/>
    <w:rsid w:val="000E7A8B"/>
    <w:rsid w:val="000F77FA"/>
    <w:rsid w:val="00107BF7"/>
    <w:rsid w:val="00126F53"/>
    <w:rsid w:val="0014766D"/>
    <w:rsid w:val="001536CC"/>
    <w:rsid w:val="00166546"/>
    <w:rsid w:val="0016713C"/>
    <w:rsid w:val="00177632"/>
    <w:rsid w:val="0019538A"/>
    <w:rsid w:val="001A2C49"/>
    <w:rsid w:val="001A3FBA"/>
    <w:rsid w:val="001A5518"/>
    <w:rsid w:val="001B1488"/>
    <w:rsid w:val="001B1C6A"/>
    <w:rsid w:val="001C1263"/>
    <w:rsid w:val="001C1417"/>
    <w:rsid w:val="001D4B1D"/>
    <w:rsid w:val="001E390B"/>
    <w:rsid w:val="001E6B36"/>
    <w:rsid w:val="001F42FB"/>
    <w:rsid w:val="001F719A"/>
    <w:rsid w:val="002031B3"/>
    <w:rsid w:val="0020784A"/>
    <w:rsid w:val="00215931"/>
    <w:rsid w:val="00215CDE"/>
    <w:rsid w:val="00224C91"/>
    <w:rsid w:val="00227BDB"/>
    <w:rsid w:val="00234CB1"/>
    <w:rsid w:val="00234DF4"/>
    <w:rsid w:val="002352F8"/>
    <w:rsid w:val="002510A5"/>
    <w:rsid w:val="00254A0A"/>
    <w:rsid w:val="00254BB0"/>
    <w:rsid w:val="00256187"/>
    <w:rsid w:val="00256931"/>
    <w:rsid w:val="002631C7"/>
    <w:rsid w:val="002637CB"/>
    <w:rsid w:val="00266046"/>
    <w:rsid w:val="00270781"/>
    <w:rsid w:val="002846DB"/>
    <w:rsid w:val="00284CCD"/>
    <w:rsid w:val="00295F29"/>
    <w:rsid w:val="002C1EBC"/>
    <w:rsid w:val="002C4A78"/>
    <w:rsid w:val="002C6637"/>
    <w:rsid w:val="002D5FEA"/>
    <w:rsid w:val="002D7031"/>
    <w:rsid w:val="002E0135"/>
    <w:rsid w:val="002E3105"/>
    <w:rsid w:val="002E37A5"/>
    <w:rsid w:val="002F1F02"/>
    <w:rsid w:val="002F4E21"/>
    <w:rsid w:val="003058D8"/>
    <w:rsid w:val="00310909"/>
    <w:rsid w:val="00310F03"/>
    <w:rsid w:val="003247D2"/>
    <w:rsid w:val="0032553B"/>
    <w:rsid w:val="00337E75"/>
    <w:rsid w:val="0034124B"/>
    <w:rsid w:val="003445C1"/>
    <w:rsid w:val="00350529"/>
    <w:rsid w:val="00355B61"/>
    <w:rsid w:val="00362686"/>
    <w:rsid w:val="00363890"/>
    <w:rsid w:val="00365D40"/>
    <w:rsid w:val="00371510"/>
    <w:rsid w:val="00374D90"/>
    <w:rsid w:val="00375338"/>
    <w:rsid w:val="003815F3"/>
    <w:rsid w:val="00381D1D"/>
    <w:rsid w:val="00385422"/>
    <w:rsid w:val="00395981"/>
    <w:rsid w:val="00396DFD"/>
    <w:rsid w:val="003A29AF"/>
    <w:rsid w:val="003A658B"/>
    <w:rsid w:val="003A7059"/>
    <w:rsid w:val="003B7A36"/>
    <w:rsid w:val="003C17AB"/>
    <w:rsid w:val="003C473C"/>
    <w:rsid w:val="003C7823"/>
    <w:rsid w:val="003D388F"/>
    <w:rsid w:val="003E1DCC"/>
    <w:rsid w:val="003E3026"/>
    <w:rsid w:val="003E343C"/>
    <w:rsid w:val="003E6E8A"/>
    <w:rsid w:val="003F11A1"/>
    <w:rsid w:val="003F22A6"/>
    <w:rsid w:val="003F6A59"/>
    <w:rsid w:val="003F7208"/>
    <w:rsid w:val="004037E9"/>
    <w:rsid w:val="0040436F"/>
    <w:rsid w:val="004065C8"/>
    <w:rsid w:val="004109FA"/>
    <w:rsid w:val="00410F1A"/>
    <w:rsid w:val="00411B4B"/>
    <w:rsid w:val="00413223"/>
    <w:rsid w:val="00415BEE"/>
    <w:rsid w:val="004274AE"/>
    <w:rsid w:val="00427F85"/>
    <w:rsid w:val="00436F42"/>
    <w:rsid w:val="004378B4"/>
    <w:rsid w:val="00437939"/>
    <w:rsid w:val="004461CB"/>
    <w:rsid w:val="0044628F"/>
    <w:rsid w:val="0045074A"/>
    <w:rsid w:val="00451314"/>
    <w:rsid w:val="00452E9D"/>
    <w:rsid w:val="004534C7"/>
    <w:rsid w:val="00455AE9"/>
    <w:rsid w:val="004646B0"/>
    <w:rsid w:val="004671AA"/>
    <w:rsid w:val="00471BA3"/>
    <w:rsid w:val="00476054"/>
    <w:rsid w:val="00480FB1"/>
    <w:rsid w:val="00483928"/>
    <w:rsid w:val="004A455F"/>
    <w:rsid w:val="004A7116"/>
    <w:rsid w:val="004C331F"/>
    <w:rsid w:val="004D6103"/>
    <w:rsid w:val="004E3029"/>
    <w:rsid w:val="004E3BCE"/>
    <w:rsid w:val="004E70AD"/>
    <w:rsid w:val="004F0E97"/>
    <w:rsid w:val="00501DD1"/>
    <w:rsid w:val="00513ADA"/>
    <w:rsid w:val="00515C21"/>
    <w:rsid w:val="00530BD7"/>
    <w:rsid w:val="00535855"/>
    <w:rsid w:val="00545CD2"/>
    <w:rsid w:val="005476F3"/>
    <w:rsid w:val="005559D6"/>
    <w:rsid w:val="00566C20"/>
    <w:rsid w:val="00572527"/>
    <w:rsid w:val="005727AA"/>
    <w:rsid w:val="00573E40"/>
    <w:rsid w:val="00574910"/>
    <w:rsid w:val="00576348"/>
    <w:rsid w:val="005826A9"/>
    <w:rsid w:val="00597F6A"/>
    <w:rsid w:val="005A0B2E"/>
    <w:rsid w:val="005A23C7"/>
    <w:rsid w:val="005A23D2"/>
    <w:rsid w:val="005A36CB"/>
    <w:rsid w:val="005A4D17"/>
    <w:rsid w:val="005B49B8"/>
    <w:rsid w:val="005B4A64"/>
    <w:rsid w:val="005C0741"/>
    <w:rsid w:val="005C35F9"/>
    <w:rsid w:val="005C5EF4"/>
    <w:rsid w:val="005C6F93"/>
    <w:rsid w:val="005D7CAD"/>
    <w:rsid w:val="005E2E0B"/>
    <w:rsid w:val="005E76F7"/>
    <w:rsid w:val="005E7A7D"/>
    <w:rsid w:val="005F0807"/>
    <w:rsid w:val="005F14B9"/>
    <w:rsid w:val="005F19E9"/>
    <w:rsid w:val="005F48B8"/>
    <w:rsid w:val="00602457"/>
    <w:rsid w:val="0061641E"/>
    <w:rsid w:val="00617058"/>
    <w:rsid w:val="00624064"/>
    <w:rsid w:val="0063028B"/>
    <w:rsid w:val="00644FC3"/>
    <w:rsid w:val="006452BC"/>
    <w:rsid w:val="0064549B"/>
    <w:rsid w:val="00646BD1"/>
    <w:rsid w:val="006561C2"/>
    <w:rsid w:val="00660911"/>
    <w:rsid w:val="00671CB3"/>
    <w:rsid w:val="00672C88"/>
    <w:rsid w:val="00674BAF"/>
    <w:rsid w:val="00682200"/>
    <w:rsid w:val="00692BF6"/>
    <w:rsid w:val="006A1497"/>
    <w:rsid w:val="006B0139"/>
    <w:rsid w:val="006B0BD1"/>
    <w:rsid w:val="006B5404"/>
    <w:rsid w:val="006B7AC3"/>
    <w:rsid w:val="006C0ADF"/>
    <w:rsid w:val="006C535D"/>
    <w:rsid w:val="006D20A5"/>
    <w:rsid w:val="006D37BF"/>
    <w:rsid w:val="006D7FDC"/>
    <w:rsid w:val="006F6043"/>
    <w:rsid w:val="007008F3"/>
    <w:rsid w:val="00702E22"/>
    <w:rsid w:val="00706476"/>
    <w:rsid w:val="0072020E"/>
    <w:rsid w:val="007229C0"/>
    <w:rsid w:val="007270A5"/>
    <w:rsid w:val="00772E5E"/>
    <w:rsid w:val="00786071"/>
    <w:rsid w:val="00794646"/>
    <w:rsid w:val="007A1DA9"/>
    <w:rsid w:val="007A3ECB"/>
    <w:rsid w:val="007B354B"/>
    <w:rsid w:val="007C4BD9"/>
    <w:rsid w:val="007D0F27"/>
    <w:rsid w:val="007D1809"/>
    <w:rsid w:val="007D7BB3"/>
    <w:rsid w:val="007E5519"/>
    <w:rsid w:val="007F079F"/>
    <w:rsid w:val="007F0BF9"/>
    <w:rsid w:val="00801AFD"/>
    <w:rsid w:val="00811B6C"/>
    <w:rsid w:val="00821B66"/>
    <w:rsid w:val="00824AB9"/>
    <w:rsid w:val="008267CE"/>
    <w:rsid w:val="00836B35"/>
    <w:rsid w:val="0084233F"/>
    <w:rsid w:val="00842573"/>
    <w:rsid w:val="00843BDE"/>
    <w:rsid w:val="0085114A"/>
    <w:rsid w:val="00852A5C"/>
    <w:rsid w:val="00863774"/>
    <w:rsid w:val="0087588C"/>
    <w:rsid w:val="00877316"/>
    <w:rsid w:val="0088749A"/>
    <w:rsid w:val="00887E44"/>
    <w:rsid w:val="0089705C"/>
    <w:rsid w:val="008A435D"/>
    <w:rsid w:val="008A6D43"/>
    <w:rsid w:val="008B46BA"/>
    <w:rsid w:val="008B491E"/>
    <w:rsid w:val="008B6280"/>
    <w:rsid w:val="008B78D7"/>
    <w:rsid w:val="008C1A28"/>
    <w:rsid w:val="008C2E98"/>
    <w:rsid w:val="008C79DF"/>
    <w:rsid w:val="008D605F"/>
    <w:rsid w:val="008E49BD"/>
    <w:rsid w:val="008E53E9"/>
    <w:rsid w:val="008E5771"/>
    <w:rsid w:val="008F367D"/>
    <w:rsid w:val="008F4ACF"/>
    <w:rsid w:val="00903D56"/>
    <w:rsid w:val="00904E28"/>
    <w:rsid w:val="0092082B"/>
    <w:rsid w:val="00924166"/>
    <w:rsid w:val="00927981"/>
    <w:rsid w:val="00940B9B"/>
    <w:rsid w:val="00941D30"/>
    <w:rsid w:val="00943217"/>
    <w:rsid w:val="00946337"/>
    <w:rsid w:val="0095676E"/>
    <w:rsid w:val="00956983"/>
    <w:rsid w:val="00961C31"/>
    <w:rsid w:val="00963CF0"/>
    <w:rsid w:val="00964BB1"/>
    <w:rsid w:val="009775D9"/>
    <w:rsid w:val="00986850"/>
    <w:rsid w:val="0099493B"/>
    <w:rsid w:val="00997175"/>
    <w:rsid w:val="009976EF"/>
    <w:rsid w:val="009A0E51"/>
    <w:rsid w:val="009A1847"/>
    <w:rsid w:val="009B062A"/>
    <w:rsid w:val="009B51BD"/>
    <w:rsid w:val="009D34B4"/>
    <w:rsid w:val="009D3544"/>
    <w:rsid w:val="009E7C6F"/>
    <w:rsid w:val="009F1793"/>
    <w:rsid w:val="009F2D23"/>
    <w:rsid w:val="00A01D69"/>
    <w:rsid w:val="00A02335"/>
    <w:rsid w:val="00A11088"/>
    <w:rsid w:val="00A13C05"/>
    <w:rsid w:val="00A27A0A"/>
    <w:rsid w:val="00A30593"/>
    <w:rsid w:val="00A46C9A"/>
    <w:rsid w:val="00A619F3"/>
    <w:rsid w:val="00A62A73"/>
    <w:rsid w:val="00A73946"/>
    <w:rsid w:val="00A76315"/>
    <w:rsid w:val="00A84D65"/>
    <w:rsid w:val="00A87FF6"/>
    <w:rsid w:val="00AA081F"/>
    <w:rsid w:val="00AA0A3B"/>
    <w:rsid w:val="00AA2763"/>
    <w:rsid w:val="00AA33B6"/>
    <w:rsid w:val="00AB07ED"/>
    <w:rsid w:val="00AB4DBD"/>
    <w:rsid w:val="00AB50CA"/>
    <w:rsid w:val="00AB6D64"/>
    <w:rsid w:val="00AB7D31"/>
    <w:rsid w:val="00AC53CE"/>
    <w:rsid w:val="00AD2193"/>
    <w:rsid w:val="00AE01FC"/>
    <w:rsid w:val="00AE5148"/>
    <w:rsid w:val="00AF1502"/>
    <w:rsid w:val="00AF2AC7"/>
    <w:rsid w:val="00AF524C"/>
    <w:rsid w:val="00AF74CE"/>
    <w:rsid w:val="00AF7886"/>
    <w:rsid w:val="00B06A16"/>
    <w:rsid w:val="00B06C47"/>
    <w:rsid w:val="00B208DB"/>
    <w:rsid w:val="00B21799"/>
    <w:rsid w:val="00B23236"/>
    <w:rsid w:val="00B23F69"/>
    <w:rsid w:val="00B254DE"/>
    <w:rsid w:val="00B37173"/>
    <w:rsid w:val="00B42CAC"/>
    <w:rsid w:val="00B43743"/>
    <w:rsid w:val="00B530CF"/>
    <w:rsid w:val="00B532AB"/>
    <w:rsid w:val="00B60619"/>
    <w:rsid w:val="00B66A70"/>
    <w:rsid w:val="00B67366"/>
    <w:rsid w:val="00B80EE1"/>
    <w:rsid w:val="00B84135"/>
    <w:rsid w:val="00B84B64"/>
    <w:rsid w:val="00B95120"/>
    <w:rsid w:val="00B966EA"/>
    <w:rsid w:val="00BA7E80"/>
    <w:rsid w:val="00BD16A7"/>
    <w:rsid w:val="00BD1EF6"/>
    <w:rsid w:val="00BE275D"/>
    <w:rsid w:val="00BF265E"/>
    <w:rsid w:val="00BF454C"/>
    <w:rsid w:val="00C04D34"/>
    <w:rsid w:val="00C05A84"/>
    <w:rsid w:val="00C05DF8"/>
    <w:rsid w:val="00C06864"/>
    <w:rsid w:val="00C07D0F"/>
    <w:rsid w:val="00C10F54"/>
    <w:rsid w:val="00C16077"/>
    <w:rsid w:val="00C23D8D"/>
    <w:rsid w:val="00C259D5"/>
    <w:rsid w:val="00C3674C"/>
    <w:rsid w:val="00C37AA3"/>
    <w:rsid w:val="00C37FD7"/>
    <w:rsid w:val="00C43419"/>
    <w:rsid w:val="00C44CF3"/>
    <w:rsid w:val="00C46DBE"/>
    <w:rsid w:val="00C61BE0"/>
    <w:rsid w:val="00C62560"/>
    <w:rsid w:val="00C6707E"/>
    <w:rsid w:val="00C70B0E"/>
    <w:rsid w:val="00C773CA"/>
    <w:rsid w:val="00C834D8"/>
    <w:rsid w:val="00C83785"/>
    <w:rsid w:val="00C94C0D"/>
    <w:rsid w:val="00CA1FEB"/>
    <w:rsid w:val="00CA2676"/>
    <w:rsid w:val="00CB4BB6"/>
    <w:rsid w:val="00CC510E"/>
    <w:rsid w:val="00CD4F85"/>
    <w:rsid w:val="00CD6F02"/>
    <w:rsid w:val="00CE246D"/>
    <w:rsid w:val="00CF07A0"/>
    <w:rsid w:val="00CF3E03"/>
    <w:rsid w:val="00CF7D9F"/>
    <w:rsid w:val="00D0032C"/>
    <w:rsid w:val="00D0082A"/>
    <w:rsid w:val="00D016C4"/>
    <w:rsid w:val="00D1096C"/>
    <w:rsid w:val="00D21455"/>
    <w:rsid w:val="00D36DC1"/>
    <w:rsid w:val="00D41542"/>
    <w:rsid w:val="00D4193A"/>
    <w:rsid w:val="00D423F0"/>
    <w:rsid w:val="00D47634"/>
    <w:rsid w:val="00D47F90"/>
    <w:rsid w:val="00D575D0"/>
    <w:rsid w:val="00D709B3"/>
    <w:rsid w:val="00D721E6"/>
    <w:rsid w:val="00D74459"/>
    <w:rsid w:val="00D747D4"/>
    <w:rsid w:val="00D753BE"/>
    <w:rsid w:val="00D81D62"/>
    <w:rsid w:val="00D8298E"/>
    <w:rsid w:val="00D87475"/>
    <w:rsid w:val="00D87790"/>
    <w:rsid w:val="00DA0D0D"/>
    <w:rsid w:val="00DA2268"/>
    <w:rsid w:val="00DA2ED6"/>
    <w:rsid w:val="00DB1C80"/>
    <w:rsid w:val="00DB76B8"/>
    <w:rsid w:val="00DC2EA1"/>
    <w:rsid w:val="00DC6C02"/>
    <w:rsid w:val="00DD6AAF"/>
    <w:rsid w:val="00DE3F5C"/>
    <w:rsid w:val="00DF1D20"/>
    <w:rsid w:val="00DF24CD"/>
    <w:rsid w:val="00DF55E9"/>
    <w:rsid w:val="00E0088B"/>
    <w:rsid w:val="00E052F3"/>
    <w:rsid w:val="00E07919"/>
    <w:rsid w:val="00E14297"/>
    <w:rsid w:val="00E17168"/>
    <w:rsid w:val="00E17FB4"/>
    <w:rsid w:val="00E21324"/>
    <w:rsid w:val="00E23684"/>
    <w:rsid w:val="00E246B9"/>
    <w:rsid w:val="00E262BF"/>
    <w:rsid w:val="00E26587"/>
    <w:rsid w:val="00E26C19"/>
    <w:rsid w:val="00E31FEA"/>
    <w:rsid w:val="00E35357"/>
    <w:rsid w:val="00E45169"/>
    <w:rsid w:val="00E47787"/>
    <w:rsid w:val="00E51C30"/>
    <w:rsid w:val="00E64180"/>
    <w:rsid w:val="00E74AEE"/>
    <w:rsid w:val="00E868E5"/>
    <w:rsid w:val="00E90D50"/>
    <w:rsid w:val="00E9237A"/>
    <w:rsid w:val="00E939FA"/>
    <w:rsid w:val="00EA5765"/>
    <w:rsid w:val="00EC2532"/>
    <w:rsid w:val="00EC4D3C"/>
    <w:rsid w:val="00EC79EA"/>
    <w:rsid w:val="00ED540C"/>
    <w:rsid w:val="00ED613C"/>
    <w:rsid w:val="00ED6563"/>
    <w:rsid w:val="00ED7812"/>
    <w:rsid w:val="00EE57BB"/>
    <w:rsid w:val="00EF0C21"/>
    <w:rsid w:val="00EF3B86"/>
    <w:rsid w:val="00F14DE0"/>
    <w:rsid w:val="00F21F04"/>
    <w:rsid w:val="00F22D1D"/>
    <w:rsid w:val="00F317E9"/>
    <w:rsid w:val="00F3218A"/>
    <w:rsid w:val="00F32A2C"/>
    <w:rsid w:val="00F34554"/>
    <w:rsid w:val="00F45F77"/>
    <w:rsid w:val="00F5167F"/>
    <w:rsid w:val="00F52258"/>
    <w:rsid w:val="00F61420"/>
    <w:rsid w:val="00F67A21"/>
    <w:rsid w:val="00F73C71"/>
    <w:rsid w:val="00F8570A"/>
    <w:rsid w:val="00F91C7B"/>
    <w:rsid w:val="00F95D80"/>
    <w:rsid w:val="00F96090"/>
    <w:rsid w:val="00FB55A6"/>
    <w:rsid w:val="00FB7699"/>
    <w:rsid w:val="00FD2E79"/>
    <w:rsid w:val="00FF0A34"/>
    <w:rsid w:val="00FF414C"/>
    <w:rsid w:val="00FF52A2"/>
    <w:rsid w:val="00FF5F82"/>
    <w:rsid w:val="00FF6DA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452A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6F6043"/>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6F6043"/>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6F6043"/>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Default">
    <w:name w:val="Default"/>
    <w:rsid w:val="003A658B"/>
    <w:pPr>
      <w:autoSpaceDE w:val="0"/>
      <w:autoSpaceDN w:val="0"/>
      <w:adjustRightInd w:val="0"/>
    </w:pPr>
    <w:rPr>
      <w:color w:val="000000"/>
      <w:sz w:val="24"/>
      <w:szCs w:val="24"/>
      <w:lang w:val="en-US" w:eastAsia="en-US"/>
    </w:rPr>
  </w:style>
  <w:style w:type="paragraph" w:customStyle="1" w:styleId="NASLOV123">
    <w:name w:val="NASLOV 123"/>
    <w:basedOn w:val="Normal"/>
    <w:qFormat/>
    <w:rsid w:val="003A658B"/>
    <w:pPr>
      <w:tabs>
        <w:tab w:val="left" w:pos="284"/>
      </w:tabs>
      <w:spacing w:before="200" w:after="200"/>
    </w:pPr>
    <w:rPr>
      <w:b/>
      <w:sz w:val="22"/>
      <w:szCs w:val="22"/>
    </w:rPr>
  </w:style>
  <w:style w:type="paragraph" w:styleId="ListParagraph">
    <w:name w:val="List Paragraph"/>
    <w:basedOn w:val="Normal"/>
    <w:uiPriority w:val="34"/>
    <w:qFormat/>
    <w:rsid w:val="003A658B"/>
    <w:pPr>
      <w:tabs>
        <w:tab w:val="left" w:pos="284"/>
      </w:tabs>
      <w:ind w:left="720"/>
      <w:contextualSpacing/>
      <w:jc w:val="both"/>
    </w:pPr>
    <w:rPr>
      <w:sz w:val="22"/>
    </w:rPr>
  </w:style>
  <w:style w:type="character" w:customStyle="1" w:styleId="C-TableTextChar">
    <w:name w:val="C-Table Text Char"/>
    <w:link w:val="C-TableText"/>
    <w:locked/>
    <w:rsid w:val="003A658B"/>
  </w:style>
  <w:style w:type="paragraph" w:customStyle="1" w:styleId="C-TableText">
    <w:name w:val="C-Table Text"/>
    <w:basedOn w:val="Normal"/>
    <w:link w:val="C-TableTextChar"/>
    <w:rsid w:val="003A658B"/>
    <w:rPr>
      <w:sz w:val="20"/>
      <w:szCs w:val="20"/>
      <w:lang w:val="sr-Latn-ME" w:eastAsia="sr-Latn-ME"/>
    </w:rPr>
  </w:style>
  <w:style w:type="paragraph" w:customStyle="1" w:styleId="C-TableHeader">
    <w:name w:val="C-Table Header"/>
    <w:next w:val="C-TableText"/>
    <w:link w:val="C-TableHeaderChar"/>
    <w:rsid w:val="003A658B"/>
    <w:pPr>
      <w:keepNext/>
    </w:pPr>
    <w:rPr>
      <w:rFonts w:ascii="Times New Roman Bold" w:hAnsi="Times New Roman Bold"/>
      <w:b/>
      <w:lang w:val="en-US" w:eastAsia="en-US"/>
    </w:rPr>
  </w:style>
  <w:style w:type="character" w:customStyle="1" w:styleId="C-TableHeaderChar">
    <w:name w:val="C-Table Header Char"/>
    <w:link w:val="C-TableHeader"/>
    <w:locked/>
    <w:rsid w:val="003A658B"/>
    <w:rPr>
      <w:rFonts w:ascii="Times New Roman Bold" w:hAnsi="Times New Roman Bold"/>
      <w:b/>
      <w:lang w:val="en-US" w:eastAsia="en-US"/>
    </w:rPr>
  </w:style>
  <w:style w:type="character" w:customStyle="1" w:styleId="Heading1Char">
    <w:name w:val="Heading 1 Char"/>
    <w:basedOn w:val="DefaultParagraphFont"/>
    <w:link w:val="Heading1"/>
    <w:rsid w:val="006F6043"/>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6F6043"/>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6F6043"/>
    <w:rPr>
      <w:rFonts w:ascii="Arial" w:hAnsi="Arial" w:cs="Arial"/>
      <w:i/>
      <w:iCs/>
      <w:color w:val="999999"/>
      <w:sz w:val="16"/>
      <w:szCs w:val="24"/>
      <w:lang w:val="en-US" w:eastAsia="en-US"/>
    </w:rPr>
  </w:style>
  <w:style w:type="character" w:customStyle="1" w:styleId="FooterChar">
    <w:name w:val="Footer Char"/>
    <w:basedOn w:val="DefaultParagraphFont"/>
    <w:link w:val="Footer"/>
    <w:uiPriority w:val="99"/>
    <w:rsid w:val="006F6043"/>
    <w:rPr>
      <w:sz w:val="24"/>
      <w:szCs w:val="24"/>
      <w:lang w:val="en-US" w:eastAsia="en-US"/>
    </w:rPr>
  </w:style>
  <w:style w:type="paragraph" w:customStyle="1" w:styleId="DraftingNotesAgency">
    <w:name w:val="Drafting Notes (Agency)"/>
    <w:basedOn w:val="Normal"/>
    <w:next w:val="Normal"/>
    <w:link w:val="DraftingNotesAgencyChar"/>
    <w:rsid w:val="006F6043"/>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6F6043"/>
    <w:rPr>
      <w:rFonts w:ascii="Courier New" w:eastAsia="Verdana" w:hAnsi="Courier New"/>
      <w:i/>
      <w:color w:val="339966"/>
      <w:sz w:val="22"/>
      <w:szCs w:val="18"/>
      <w:lang w:val="en-GB" w:eastAsia="en-GB"/>
    </w:rPr>
  </w:style>
  <w:style w:type="paragraph" w:customStyle="1" w:styleId="C-Tableheader0">
    <w:name w:val="C-Table header"/>
    <w:link w:val="C-TableheaderChar0"/>
    <w:rsid w:val="006F6043"/>
    <w:rPr>
      <w:lang w:val="en-US" w:eastAsia="en-US"/>
    </w:rPr>
  </w:style>
  <w:style w:type="character" w:customStyle="1" w:styleId="C-TableheaderChar0">
    <w:name w:val="C-Table header Char"/>
    <w:link w:val="C-Tableheader0"/>
    <w:rsid w:val="006F6043"/>
    <w:rPr>
      <w:lang w:val="en-US" w:eastAsia="en-US"/>
    </w:rPr>
  </w:style>
  <w:style w:type="paragraph" w:styleId="Revision">
    <w:name w:val="Revision"/>
    <w:hidden/>
    <w:uiPriority w:val="99"/>
    <w:semiHidden/>
    <w:rsid w:val="005F19E9"/>
    <w:rPr>
      <w:sz w:val="24"/>
      <w:szCs w:val="24"/>
      <w:lang w:val="en-US" w:eastAsia="en-US"/>
    </w:rPr>
  </w:style>
  <w:style w:type="table" w:styleId="TableGrid">
    <w:name w:val="Table Grid"/>
    <w:basedOn w:val="TableNormal"/>
    <w:rsid w:val="008B62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3D388F"/>
    <w:pPr>
      <w:spacing w:before="120" w:after="120" w:line="280" w:lineRule="atLeast"/>
    </w:pPr>
    <w:rPr>
      <w:sz w:val="24"/>
      <w:lang w:val="es-ES" w:eastAsia="es-ES"/>
    </w:rPr>
  </w:style>
  <w:style w:type="character" w:customStyle="1" w:styleId="C-BodyTextChar">
    <w:name w:val="C-Body Text Char"/>
    <w:link w:val="C-BodyText"/>
    <w:locked/>
    <w:rsid w:val="003D388F"/>
    <w:rPr>
      <w:sz w:val="24"/>
      <w:lang w:val="es-ES" w:eastAsia="es-ES"/>
    </w:rPr>
  </w:style>
  <w:style w:type="paragraph" w:styleId="Caption">
    <w:name w:val="caption"/>
    <w:aliases w:val="Alexion Caption,Bayer Caption,Caption Char Char,Caption Char Char Char,Caption Char Char1,Caption Char1,Caption Char1 Char,Caption Char2,Caption-FUSA,Char Char Char Char Char,L?gende_Legend,Légende_Legend,Table Caption,Table Title,c,wcp_Caption"/>
    <w:basedOn w:val="Normal"/>
    <w:next w:val="Normal"/>
    <w:link w:val="CaptionChar"/>
    <w:qFormat/>
    <w:rsid w:val="003D388F"/>
    <w:pPr>
      <w:tabs>
        <w:tab w:val="left" w:pos="567"/>
      </w:tabs>
      <w:spacing w:line="260" w:lineRule="exact"/>
    </w:pPr>
    <w:rPr>
      <w:b/>
      <w:sz w:val="20"/>
      <w:szCs w:val="20"/>
      <w:lang w:val="en-GB" w:eastAsia="x-none"/>
    </w:rPr>
  </w:style>
  <w:style w:type="character" w:customStyle="1" w:styleId="CaptionChar">
    <w:name w:val="Caption Char"/>
    <w:aliases w:val="Alexion Caption Char,Bayer Caption Char,Caption Char Char Char1,Caption Char Char Char Char,Caption Char Char1 Char,Caption Char1 Char1,Caption Char1 Char Char,Caption Char2 Char,Caption-FUSA Char,Char Char Char Char Char Char,c Char"/>
    <w:link w:val="Caption"/>
    <w:locked/>
    <w:rsid w:val="003D388F"/>
    <w:rPr>
      <w:b/>
      <w:lang w:val="en-GB" w:eastAsia="x-none"/>
    </w:rPr>
  </w:style>
  <w:style w:type="paragraph" w:customStyle="1" w:styleId="C-TableFootnote">
    <w:name w:val="C-Table Footnote"/>
    <w:next w:val="Normal"/>
    <w:link w:val="C-TableFootnoteChar"/>
    <w:rsid w:val="003D388F"/>
    <w:pPr>
      <w:tabs>
        <w:tab w:val="left" w:pos="144"/>
      </w:tabs>
      <w:ind w:left="144" w:hanging="144"/>
    </w:pPr>
    <w:rPr>
      <w:lang w:val="en-US" w:eastAsia="en-US"/>
    </w:rPr>
  </w:style>
  <w:style w:type="character" w:customStyle="1" w:styleId="C-TableFootnoteChar">
    <w:name w:val="C-Table Footnote Char"/>
    <w:link w:val="C-TableFootnote"/>
    <w:locked/>
    <w:rsid w:val="003D388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97D96-57C9-41E8-B8FE-1ED894951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33</Pages>
  <Words>13753</Words>
  <Characters>78397</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91967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4</cp:revision>
  <dcterms:created xsi:type="dcterms:W3CDTF">2025-01-28T08:45:00Z</dcterms:created>
  <dcterms:modified xsi:type="dcterms:W3CDTF">2025-01-29T12:15:00Z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