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EB72A" w14:textId="77777777" w:rsidR="00DA695D" w:rsidRPr="00F10790" w:rsidRDefault="00DA695D" w:rsidP="00DA695D">
      <w:pPr>
        <w:jc w:val="center"/>
        <w:rPr>
          <w:rFonts w:ascii="Times New Roman" w:hAnsi="Times New Roman"/>
          <w:b/>
          <w:bCs/>
          <w:iCs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b/>
          <w:bCs/>
          <w:iCs/>
          <w:sz w:val="22"/>
          <w:szCs w:val="22"/>
          <w:u w:val="single"/>
          <w:lang w:val="sr-Cyrl-ME"/>
        </w:rPr>
        <w:t>САЖЕТАК КАРАКТЕРИСТИКА ЛИЈЕКА</w:t>
      </w:r>
    </w:p>
    <w:p w14:paraId="3F336422" w14:textId="5C457E61" w:rsidR="00834DBB" w:rsidRPr="00F10790" w:rsidRDefault="00834DBB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2659A5F0" w14:textId="77777777" w:rsidR="00DD4F2B" w:rsidRPr="00F10790" w:rsidRDefault="00DD4F2B" w:rsidP="00EA355C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1. НАЗИВ ЛИЈЕКА</w:t>
      </w:r>
    </w:p>
    <w:p w14:paraId="583FAA20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1D6E6179" w14:textId="03505091" w:rsidR="00DD4F2B" w:rsidRPr="00F10790" w:rsidRDefault="00DD4F2B" w:rsidP="00862F46">
      <w:pPr>
        <w:rPr>
          <w:rFonts w:ascii="Times New Roman" w:hAnsi="Times New Roman"/>
          <w:b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ALDIZEM, 90 mg, таблет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>a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са продуженим ослобађањем</w:t>
      </w:r>
    </w:p>
    <w:p w14:paraId="2E9E1C40" w14:textId="77777777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02AE8D0F" w14:textId="2A579534" w:rsidR="00DD4F2B" w:rsidRPr="00F10790" w:rsidRDefault="00DD4F2B" w:rsidP="00DA695D">
      <w:pPr>
        <w:pStyle w:val="Header"/>
        <w:tabs>
          <w:tab w:val="clear" w:pos="4536"/>
          <w:tab w:val="clear" w:pos="9072"/>
          <w:tab w:val="left" w:pos="936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ИНН: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6C11E5" w:rsidRPr="00F10790">
        <w:rPr>
          <w:rFonts w:ascii="Times New Roman" w:hAnsi="Times New Roman"/>
          <w:sz w:val="22"/>
          <w:szCs w:val="22"/>
          <w:lang w:val="sr-Cyrl-ME"/>
        </w:rPr>
        <w:t>д</w:t>
      </w:r>
      <w:r w:rsidRPr="00F10790">
        <w:rPr>
          <w:rFonts w:ascii="Times New Roman" w:hAnsi="Times New Roman"/>
          <w:sz w:val="22"/>
          <w:szCs w:val="22"/>
          <w:lang w:val="sr-Cyrl-ME"/>
        </w:rPr>
        <w:t>илтиазем</w:t>
      </w:r>
    </w:p>
    <w:p w14:paraId="1CD352AD" w14:textId="77777777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09F485B2" w14:textId="77777777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7D6628B3" w14:textId="72177BC7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2. КВАЛИТАТИВНИ И КВАНТИТАТИВНИ САСТАВ</w:t>
      </w:r>
    </w:p>
    <w:p w14:paraId="53345A55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1A7A50AA" w14:textId="1F39ED4D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Једна таблета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 xml:space="preserve"> са продуженим ослобађањем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садржи 90 mg дилтиазем хидрохлорида.</w:t>
      </w:r>
    </w:p>
    <w:p w14:paraId="0C51740C" w14:textId="77777777" w:rsidR="00753AC9" w:rsidRPr="00F10790" w:rsidRDefault="00753AC9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5715D53E" w14:textId="6BBB3191" w:rsidR="00753AC9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 xml:space="preserve">Помоћна супстанца са потврђеним дејством: </w:t>
      </w:r>
    </w:p>
    <w:p w14:paraId="69F755C0" w14:textId="11A92C6F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Једна таблета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 xml:space="preserve"> са продуженим ослобађањем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садржи 66 mg лактоз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>a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монохидрат</w:t>
      </w:r>
      <w:r w:rsidR="00753AC9" w:rsidRPr="00F10790">
        <w:rPr>
          <w:rFonts w:ascii="Times New Roman" w:hAnsi="Times New Roman"/>
          <w:sz w:val="22"/>
          <w:szCs w:val="22"/>
          <w:lang w:val="sr-Cyrl-ME"/>
        </w:rPr>
        <w:t>a</w:t>
      </w:r>
      <w:r w:rsidR="00CB701B" w:rsidRPr="00F10790">
        <w:rPr>
          <w:rFonts w:ascii="Times New Roman" w:hAnsi="Times New Roman"/>
          <w:sz w:val="22"/>
          <w:szCs w:val="22"/>
          <w:lang w:val="sr-Cyrl-ME"/>
        </w:rPr>
        <w:t xml:space="preserve"> и 70 mg хидрогенизованог рицинусовог уља</w:t>
      </w:r>
      <w:r w:rsidRPr="00F10790">
        <w:rPr>
          <w:rFonts w:ascii="Times New Roman" w:hAnsi="Times New Roman"/>
          <w:sz w:val="22"/>
          <w:szCs w:val="22"/>
          <w:lang w:val="sr-Cyrl-ME"/>
        </w:rPr>
        <w:t>.</w:t>
      </w:r>
    </w:p>
    <w:p w14:paraId="50A19CB0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6304E207" w14:textId="3FE65624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За списак свих ексципијенаса, погледати дио 6.1.</w:t>
      </w:r>
    </w:p>
    <w:p w14:paraId="62940656" w14:textId="63C3F053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6EE78D3F" w14:textId="77777777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7B093295" w14:textId="04B9AFA5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3. ФАРМАЦЕУТСКИ ОБЛИК</w:t>
      </w:r>
    </w:p>
    <w:p w14:paraId="2AE6865A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68BCE6DC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Таблета са продуженим ослобађањем.</w:t>
      </w:r>
    </w:p>
    <w:p w14:paraId="31F180A8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18E174BE" w14:textId="3DD5E10F" w:rsidR="00DD4F2B" w:rsidRPr="00F10790" w:rsidRDefault="00753AC9" w:rsidP="00862F46">
      <w:pPr>
        <w:spacing w:line="300" w:lineRule="atLeas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Б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ијел</w:t>
      </w:r>
      <w:r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, округл</w:t>
      </w:r>
      <w:r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, биконвексн</w:t>
      </w:r>
      <w:r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 таблет</w:t>
      </w:r>
      <w:r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 са подионом цртом са једне стране. Подиона црта није намијењена за ломљење таблете.</w:t>
      </w:r>
    </w:p>
    <w:p w14:paraId="71E2B8EF" w14:textId="77777777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4F84E50C" w14:textId="77777777" w:rsidR="00DA695D" w:rsidRPr="00F10790" w:rsidRDefault="00DA695D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1C4AFB6D" w14:textId="21DDA80E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 КЛИНИЧКИ ПОДАЦИ</w:t>
      </w:r>
    </w:p>
    <w:p w14:paraId="0200C1E3" w14:textId="77777777" w:rsidR="00DA695D" w:rsidRPr="00F10790" w:rsidRDefault="00DA695D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1D0B8C76" w14:textId="32E79F75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4.1. Терапијске индикације</w:t>
      </w:r>
    </w:p>
    <w:p w14:paraId="7ADD0DE3" w14:textId="77777777" w:rsidR="00753AC9" w:rsidRPr="00F10790" w:rsidRDefault="00753AC9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62A74008" w14:textId="2BDCD1DA" w:rsidR="00DD2331" w:rsidRPr="00F10790" w:rsidRDefault="00B962BD" w:rsidP="005202F9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  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>ALDIZEM је индикован код одраслих за:</w:t>
      </w:r>
    </w:p>
    <w:p w14:paraId="6E88A092" w14:textId="6CC8134F" w:rsidR="00B962BD" w:rsidRPr="00F10790" w:rsidRDefault="00B962BD" w:rsidP="005202F9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   </w:t>
      </w:r>
      <w:r w:rsidR="00BE26D2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>-хроничну стабилну ангину пекторис</w:t>
      </w:r>
      <w:r w:rsidRPr="00F10790">
        <w:rPr>
          <w:rFonts w:ascii="Times New Roman" w:hAnsi="Times New Roman"/>
          <w:sz w:val="22"/>
          <w:szCs w:val="22"/>
          <w:lang w:val="sr-Cyrl-ME"/>
        </w:rPr>
        <w:t>;</w:t>
      </w:r>
    </w:p>
    <w:p w14:paraId="4B8B356F" w14:textId="5C274499" w:rsidR="00DD2331" w:rsidRPr="00F10790" w:rsidRDefault="00B962BD" w:rsidP="005202F9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    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>-превенцију ангинозног напада</w:t>
      </w:r>
      <w:r w:rsidRPr="00F10790">
        <w:rPr>
          <w:rFonts w:ascii="Times New Roman" w:hAnsi="Times New Roman"/>
          <w:sz w:val="22"/>
          <w:szCs w:val="22"/>
          <w:lang w:val="sr-Cyrl-ME"/>
        </w:rPr>
        <w:t>;</w:t>
      </w:r>
    </w:p>
    <w:p w14:paraId="7A04A03C" w14:textId="7D01CCD5" w:rsidR="00DD2331" w:rsidRPr="00F10790" w:rsidRDefault="00B962BD" w:rsidP="005202F9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    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 xml:space="preserve">-вазоспастичну ангину </w:t>
      </w:r>
      <w:r w:rsidRPr="00F10790">
        <w:rPr>
          <w:rFonts w:ascii="Times New Roman" w:hAnsi="Times New Roman"/>
          <w:sz w:val="22"/>
          <w:szCs w:val="22"/>
          <w:lang w:val="sr-Cyrl-ME"/>
        </w:rPr>
        <w:t>(Принзметалов</w:t>
      </w:r>
      <w:r w:rsidR="006C11E5"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 xml:space="preserve"> ангин</w:t>
      </w:r>
      <w:r w:rsidR="006C11E5" w:rsidRPr="00F10790">
        <w:rPr>
          <w:rFonts w:ascii="Times New Roman" w:hAnsi="Times New Roman"/>
          <w:sz w:val="22"/>
          <w:szCs w:val="22"/>
          <w:lang w:val="sr-Cyrl-ME"/>
        </w:rPr>
        <w:t>а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>)</w:t>
      </w:r>
      <w:r w:rsidRPr="00F10790">
        <w:rPr>
          <w:rFonts w:ascii="Times New Roman" w:hAnsi="Times New Roman"/>
          <w:sz w:val="22"/>
          <w:szCs w:val="22"/>
          <w:lang w:val="sr-Cyrl-ME"/>
        </w:rPr>
        <w:t>;</w:t>
      </w:r>
    </w:p>
    <w:p w14:paraId="45BE95EB" w14:textId="1762B128" w:rsidR="00B962BD" w:rsidRPr="00F10790" w:rsidRDefault="00B962BD" w:rsidP="005202F9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    -есенцијалну хипертензију.</w:t>
      </w:r>
    </w:p>
    <w:p w14:paraId="0984DD72" w14:textId="017ECA09" w:rsidR="00DA695D" w:rsidRPr="00F10790" w:rsidRDefault="00DA695D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3A628399" w14:textId="493014BD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4.2. Дозирање и начин примјене</w:t>
      </w:r>
    </w:p>
    <w:p w14:paraId="705F4C83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 w:eastAsia="en-GB"/>
        </w:rPr>
      </w:pPr>
    </w:p>
    <w:p w14:paraId="5896731E" w14:textId="77777777" w:rsidR="00DD4F2B" w:rsidRPr="00F10790" w:rsidRDefault="00DD4F2B" w:rsidP="00201E64">
      <w:pPr>
        <w:rPr>
          <w:rFonts w:ascii="Times New Roman" w:hAnsi="Times New Roman"/>
          <w:bCs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u w:val="single"/>
          <w:lang w:val="sr-Cyrl-ME"/>
        </w:rPr>
        <w:t>Дозирање</w:t>
      </w:r>
    </w:p>
    <w:p w14:paraId="1ECB3193" w14:textId="77777777" w:rsidR="00DD4F2B" w:rsidRPr="00F10790" w:rsidRDefault="00DD4F2B" w:rsidP="005202F9">
      <w:pPr>
        <w:rPr>
          <w:rFonts w:ascii="Times New Roman" w:hAnsi="Times New Roman"/>
          <w:sz w:val="22"/>
          <w:szCs w:val="22"/>
          <w:lang w:val="sr-Cyrl-ME"/>
        </w:rPr>
      </w:pPr>
    </w:p>
    <w:p w14:paraId="1432D06A" w14:textId="45EF0977" w:rsidR="000E7465" w:rsidRPr="00F10790" w:rsidRDefault="00DD2331" w:rsidP="005202F9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Дозирање је индивидуално и зависи од стања пацијен</w:t>
      </w:r>
      <w:r w:rsidR="00FF700A" w:rsidRPr="00F10790">
        <w:rPr>
          <w:rFonts w:ascii="Times New Roman" w:hAnsi="Times New Roman"/>
          <w:sz w:val="22"/>
          <w:szCs w:val="22"/>
          <w:lang w:val="sr-Cyrl-ME"/>
        </w:rPr>
        <w:t>a</w:t>
      </w:r>
      <w:r w:rsidRPr="00F10790">
        <w:rPr>
          <w:rFonts w:ascii="Times New Roman" w:hAnsi="Times New Roman"/>
          <w:sz w:val="22"/>
          <w:szCs w:val="22"/>
          <w:lang w:val="sr-Cyrl-ME"/>
        </w:rPr>
        <w:t>та и тежине болести.</w:t>
      </w:r>
    </w:p>
    <w:p w14:paraId="6BCFAB03" w14:textId="72D4675E" w:rsidR="00DD2331" w:rsidRPr="00F10790" w:rsidRDefault="00DF744D" w:rsidP="005202F9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-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>Ангина-просјечни оптимални распон</w:t>
      </w:r>
      <w:r w:rsidR="005202F9" w:rsidRPr="00F10790">
        <w:rPr>
          <w:rFonts w:ascii="Times New Roman" w:hAnsi="Times New Roman"/>
          <w:sz w:val="22"/>
          <w:szCs w:val="22"/>
          <w:lang w:val="sr-Cyrl-ME"/>
        </w:rPr>
        <w:t xml:space="preserve"> оралне дозе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лијека ALDIZEM</w:t>
      </w:r>
      <w:r w:rsidR="00DD2331" w:rsidRPr="00F10790">
        <w:rPr>
          <w:rFonts w:ascii="Times New Roman" w:hAnsi="Times New Roman"/>
          <w:sz w:val="22"/>
          <w:szCs w:val="22"/>
          <w:lang w:val="sr-Cyrl-ME"/>
        </w:rPr>
        <w:t xml:space="preserve"> износи 180-360 mg/дан, подијељено у 2 или 3 дозе.</w:t>
      </w:r>
    </w:p>
    <w:p w14:paraId="05A7B3A2" w14:textId="034C523B" w:rsidR="00DD2331" w:rsidRPr="00F10790" w:rsidRDefault="00DD2331" w:rsidP="005202F9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-Хиперте</w:t>
      </w:r>
      <w:r w:rsidR="00E218B1" w:rsidRPr="00F10790">
        <w:rPr>
          <w:rFonts w:ascii="Times New Roman" w:hAnsi="Times New Roman"/>
          <w:sz w:val="22"/>
          <w:szCs w:val="22"/>
          <w:lang w:val="sr-Cyrl-ME"/>
        </w:rPr>
        <w:t>нзија-уобичајни оптимални распон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оралне дозе</w:t>
      </w:r>
      <w:r w:rsidR="006E56AE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DF744D" w:rsidRPr="00F10790">
        <w:rPr>
          <w:rFonts w:ascii="Times New Roman" w:hAnsi="Times New Roman"/>
          <w:sz w:val="22"/>
          <w:szCs w:val="22"/>
          <w:lang w:val="sr-Cyrl-ME"/>
        </w:rPr>
        <w:t>лијека ALDIZEM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је 240-360 </w:t>
      </w:r>
      <w:r w:rsidR="006E56AE" w:rsidRPr="00F10790">
        <w:rPr>
          <w:rFonts w:ascii="Times New Roman" w:hAnsi="Times New Roman"/>
          <w:sz w:val="22"/>
          <w:szCs w:val="22"/>
          <w:lang w:val="sr-Cyrl-ME"/>
        </w:rPr>
        <w:t>mg/дан, подијељено у 2 или 3 дозе.</w:t>
      </w:r>
    </w:p>
    <w:p w14:paraId="07FA6A7A" w14:textId="491BFF57" w:rsidR="006E56AE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Уобичајена </w:t>
      </w:r>
      <w:r w:rsidR="006E56AE" w:rsidRPr="00F10790">
        <w:rPr>
          <w:rFonts w:ascii="Times New Roman" w:hAnsi="Times New Roman"/>
          <w:sz w:val="22"/>
          <w:szCs w:val="22"/>
          <w:lang w:val="sr-Cyrl-ME"/>
        </w:rPr>
        <w:t xml:space="preserve">дневна 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доза </w:t>
      </w:r>
      <w:r w:rsidR="006E56AE" w:rsidRPr="00F10790">
        <w:rPr>
          <w:rFonts w:ascii="Times New Roman" w:hAnsi="Times New Roman"/>
          <w:sz w:val="22"/>
          <w:szCs w:val="22"/>
          <w:lang w:val="sr-Cyrl-ME"/>
        </w:rPr>
        <w:t xml:space="preserve"> за одрасле </w:t>
      </w:r>
      <w:r w:rsidR="000E7465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је једна таблета (90 mg), два пута дневно</w:t>
      </w:r>
      <w:r w:rsidR="00A41066" w:rsidRPr="00F10790">
        <w:rPr>
          <w:rFonts w:ascii="Times New Roman" w:hAnsi="Times New Roman"/>
          <w:sz w:val="22"/>
          <w:szCs w:val="22"/>
          <w:lang w:val="sr-Cyrl-ME"/>
        </w:rPr>
        <w:t xml:space="preserve"> са могућношћу</w:t>
      </w:r>
      <w:r w:rsidR="006E56AE" w:rsidRPr="00F10790">
        <w:rPr>
          <w:rFonts w:ascii="Times New Roman" w:hAnsi="Times New Roman"/>
          <w:sz w:val="22"/>
          <w:szCs w:val="22"/>
          <w:lang w:val="sr-Cyrl-ME"/>
        </w:rPr>
        <w:t xml:space="preserve"> повећања дозе до 2 пута 2 таблете од 90 mg дневно.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</w:p>
    <w:p w14:paraId="36AA12A0" w14:textId="789AE718" w:rsidR="00DD4F2B" w:rsidRPr="00F10790" w:rsidRDefault="006E56AE" w:rsidP="00862F46">
      <w:pPr>
        <w:rPr>
          <w:rStyle w:val="ecxlongtext"/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Максимална дневна доза износи 360 mg.</w:t>
      </w:r>
    </w:p>
    <w:p w14:paraId="35995CB1" w14:textId="77777777" w:rsidR="00DD4F2B" w:rsidRPr="00F10790" w:rsidRDefault="00DD4F2B" w:rsidP="00862F46">
      <w:pPr>
        <w:spacing w:line="300" w:lineRule="exact"/>
        <w:rPr>
          <w:rFonts w:ascii="Times New Roman" w:hAnsi="Times New Roman"/>
          <w:sz w:val="22"/>
          <w:szCs w:val="22"/>
          <w:lang w:val="sr-Cyrl-ME"/>
        </w:rPr>
      </w:pPr>
    </w:p>
    <w:p w14:paraId="72B863B9" w14:textId="77777777" w:rsidR="0036090D" w:rsidRPr="00F10790" w:rsidRDefault="0036090D" w:rsidP="00201E64">
      <w:pPr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</w:p>
    <w:p w14:paraId="5785C09A" w14:textId="01D5660B" w:rsidR="00DD4F2B" w:rsidRPr="00F10790" w:rsidRDefault="00DD4F2B" w:rsidP="00201E64">
      <w:pPr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i/>
          <w:iCs/>
          <w:sz w:val="22"/>
          <w:szCs w:val="22"/>
          <w:lang w:val="sr-Cyrl-ME"/>
        </w:rPr>
        <w:lastRenderedPageBreak/>
        <w:t>Старији пацијенти и пацијенти са оштећењем функције јетре и бубрега:</w:t>
      </w:r>
    </w:p>
    <w:p w14:paraId="6D0585F0" w14:textId="2B4B62EB" w:rsidR="006E56AE" w:rsidRPr="00F10790" w:rsidRDefault="006E56AE" w:rsidP="000E7465">
      <w:pPr>
        <w:spacing w:line="300" w:lineRule="exac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Потребан је опрез код пацијената са инсуфицијенцијом бубрега</w:t>
      </w:r>
      <w:r w:rsidR="00FF700A" w:rsidRPr="00F10790">
        <w:rPr>
          <w:rFonts w:ascii="Times New Roman" w:hAnsi="Times New Roman"/>
          <w:sz w:val="22"/>
          <w:szCs w:val="22"/>
          <w:lang w:val="sr-Cyrl-ME"/>
        </w:rPr>
        <w:t>.</w:t>
      </w:r>
    </w:p>
    <w:p w14:paraId="0218B5FB" w14:textId="521F7F1A" w:rsidR="00DD4F2B" w:rsidRPr="00F10790" w:rsidRDefault="006E56AE" w:rsidP="00862F46">
      <w:pPr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Смањење дозе дилтиазема се препоручује код старијих пацијената и пацијената са оштећењем </w:t>
      </w:r>
      <w:r w:rsidR="005202F9" w:rsidRPr="00F10790">
        <w:rPr>
          <w:rFonts w:ascii="Times New Roman" w:hAnsi="Times New Roman"/>
          <w:sz w:val="22"/>
          <w:szCs w:val="22"/>
          <w:lang w:val="sr-Cyrl-ME"/>
        </w:rPr>
        <w:t xml:space="preserve">функције </w:t>
      </w:r>
      <w:r w:rsidRPr="00F10790">
        <w:rPr>
          <w:rFonts w:ascii="Times New Roman" w:hAnsi="Times New Roman"/>
          <w:sz w:val="22"/>
          <w:szCs w:val="22"/>
          <w:lang w:val="sr-Cyrl-ME"/>
        </w:rPr>
        <w:t>јетре.</w:t>
      </w:r>
    </w:p>
    <w:p w14:paraId="69AF5F6F" w14:textId="5299B176" w:rsidR="006E56AE" w:rsidRPr="00F10790" w:rsidRDefault="006E56AE" w:rsidP="00862F46">
      <w:pPr>
        <w:spacing w:line="300" w:lineRule="exact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</w:p>
    <w:p w14:paraId="7F8F82BD" w14:textId="2E1446E6" w:rsidR="00DD4F2B" w:rsidRPr="00F10790" w:rsidRDefault="006E56AE" w:rsidP="00862F46">
      <w:pPr>
        <w:spacing w:line="300" w:lineRule="exact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i/>
          <w:iCs/>
          <w:sz w:val="22"/>
          <w:szCs w:val="22"/>
          <w:lang w:val="sr-Cyrl-ME"/>
        </w:rPr>
        <w:t>Педијатријска популација</w:t>
      </w:r>
      <w:r w:rsidR="00DD4F2B" w:rsidRPr="00F10790">
        <w:rPr>
          <w:rFonts w:ascii="Times New Roman" w:hAnsi="Times New Roman"/>
          <w:bCs/>
          <w:i/>
          <w:iCs/>
          <w:sz w:val="22"/>
          <w:szCs w:val="22"/>
          <w:lang w:val="sr-Cyrl-ME"/>
        </w:rPr>
        <w:t>:</w:t>
      </w:r>
    </w:p>
    <w:p w14:paraId="3F9786CB" w14:textId="5AF0AA90" w:rsidR="00DD4F2B" w:rsidRPr="00F10790" w:rsidRDefault="00DD4F2B" w:rsidP="00862F46">
      <w:pPr>
        <w:spacing w:line="300" w:lineRule="exac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Безбједност и ефикасност код дјеце није испитивана.</w:t>
      </w:r>
    </w:p>
    <w:p w14:paraId="331AF695" w14:textId="77777777" w:rsidR="00DD4F2B" w:rsidRPr="00F10790" w:rsidRDefault="00DD4F2B" w:rsidP="007357AB">
      <w:pPr>
        <w:rPr>
          <w:rFonts w:ascii="Times New Roman" w:hAnsi="Times New Roman"/>
          <w:b/>
          <w:bCs/>
          <w:sz w:val="22"/>
          <w:szCs w:val="22"/>
          <w:lang w:val="sr-Cyrl-ME" w:eastAsia="en-GB"/>
        </w:rPr>
      </w:pPr>
    </w:p>
    <w:p w14:paraId="2C728DFE" w14:textId="77777777" w:rsidR="00DD4F2B" w:rsidRPr="00F10790" w:rsidRDefault="00DD4F2B" w:rsidP="007357AB">
      <w:pPr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Начин примјене</w:t>
      </w:r>
    </w:p>
    <w:p w14:paraId="41BE1746" w14:textId="0EB3A0EF" w:rsidR="00DD4F2B" w:rsidRPr="00F10790" w:rsidRDefault="00DD4F2B" w:rsidP="007357AB">
      <w:pPr>
        <w:rPr>
          <w:rFonts w:ascii="Times New Roman" w:hAnsi="Times New Roman"/>
          <w:sz w:val="22"/>
          <w:szCs w:val="22"/>
          <w:lang w:val="sr-Cyrl-ME"/>
        </w:rPr>
      </w:pPr>
    </w:p>
    <w:p w14:paraId="1A28264E" w14:textId="5CF9CA30" w:rsidR="006E56AE" w:rsidRPr="00F10790" w:rsidRDefault="006E56AE" w:rsidP="007357AB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Орална примјена.</w:t>
      </w:r>
    </w:p>
    <w:p w14:paraId="348FB5A4" w14:textId="32E8C411" w:rsidR="00DD4F2B" w:rsidRPr="00F10790" w:rsidRDefault="00DD4F2B" w:rsidP="007357AB">
      <w:pPr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ALDIZEM</w:t>
      </w:r>
      <w:r w:rsidRPr="00F10790">
        <w:rPr>
          <w:rFonts w:ascii="Times New Roman" w:hAnsi="Times New Roman"/>
          <w:b/>
          <w:sz w:val="22"/>
          <w:szCs w:val="22"/>
          <w:vertAlign w:val="superscript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таблете </w:t>
      </w:r>
      <w:r w:rsidRPr="00F10790">
        <w:rPr>
          <w:rFonts w:ascii="Times New Roman" w:hAnsi="Times New Roman"/>
          <w:sz w:val="22"/>
          <w:szCs w:val="22"/>
          <w:lang w:val="sr-Cyrl-ME"/>
        </w:rPr>
        <w:t>са продуженим ослобађањем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треба прогутати цијеле без ломљења или жвакања.</w:t>
      </w:r>
    </w:p>
    <w:p w14:paraId="3E579CC2" w14:textId="77777777" w:rsidR="00DA695D" w:rsidRPr="00F10790" w:rsidRDefault="00DA695D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6E201321" w14:textId="7557A4BB" w:rsidR="00DD4F2B" w:rsidRPr="00F10790" w:rsidRDefault="00DD4F2B" w:rsidP="00F10790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4.3. Контраиндикације</w:t>
      </w:r>
    </w:p>
    <w:p w14:paraId="5F8AB812" w14:textId="77777777" w:rsidR="00DD4F2B" w:rsidRPr="00F10790" w:rsidRDefault="00DD4F2B" w:rsidP="009B0354">
      <w:pPr>
        <w:tabs>
          <w:tab w:val="clear" w:pos="284"/>
        </w:tabs>
        <w:ind w:left="720"/>
        <w:rPr>
          <w:rFonts w:ascii="Times New Roman" w:hAnsi="Times New Roman"/>
          <w:sz w:val="22"/>
          <w:szCs w:val="22"/>
          <w:lang w:val="sr-Cyrl-ME" w:eastAsia="en-GB"/>
        </w:rPr>
      </w:pPr>
    </w:p>
    <w:p w14:paraId="3968A78A" w14:textId="1D5BE1C3" w:rsidR="00325E18" w:rsidRPr="00F10790" w:rsidRDefault="00325E18" w:rsidP="005202F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Преосјетљивост на </w:t>
      </w:r>
      <w:r w:rsidR="006E56AE" w:rsidRPr="00F10790">
        <w:rPr>
          <w:rFonts w:ascii="Times New Roman" w:hAnsi="Times New Roman"/>
          <w:sz w:val="22"/>
          <w:szCs w:val="22"/>
          <w:lang w:val="sr-Cyrl-ME" w:eastAsia="en-GB"/>
        </w:rPr>
        <w:t>активну супстанцу</w:t>
      </w:r>
      <w:r w:rsidR="00FF700A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или на </w:t>
      </w:r>
      <w:r w:rsidR="006E56AE" w:rsidRPr="00F10790">
        <w:rPr>
          <w:rFonts w:ascii="Times New Roman" w:hAnsi="Times New Roman"/>
          <w:sz w:val="22"/>
          <w:szCs w:val="22"/>
          <w:lang w:val="sr-Cyrl-ME" w:eastAsia="en-GB"/>
        </w:rPr>
        <w:t>неку од помоћних супстанци наведених у дијелу 6.1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6B3B5B79" w14:textId="5FCB6458" w:rsidR="006E56AE" w:rsidRPr="00F10790" w:rsidRDefault="006E56AE" w:rsidP="005202F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Кардиогени шок</w:t>
      </w:r>
      <w:r w:rsidR="00D628B4"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62427844" w14:textId="1A46B801" w:rsidR="00325E18" w:rsidRPr="00F10790" w:rsidRDefault="005202F9" w:rsidP="005202F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Отказивање срца 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>(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Отказивање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лијеве коморе са плућном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конгестијом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>).</w:t>
      </w:r>
    </w:p>
    <w:p w14:paraId="7B0B8555" w14:textId="162AB212" w:rsidR="006E56AE" w:rsidRPr="00F10790" w:rsidRDefault="006E56AE" w:rsidP="005202F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Акутни инфаркт миокарда са плућном конгестијом.</w:t>
      </w:r>
    </w:p>
    <w:p w14:paraId="3978B1D3" w14:textId="50EB191E" w:rsidR="00DD4F2B" w:rsidRPr="00F10790" w:rsidRDefault="00DD4F2B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Синдром болесног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синусног чвора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>или поремећаји проводљивости срца</w:t>
      </w:r>
      <w:r w:rsidR="00C23800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AV блок II или III степена 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>(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осим у присуству</w:t>
      </w:r>
      <w:r w:rsidR="00D309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>вјештачког електричног стимулатора срца)</w:t>
      </w:r>
      <w:r w:rsidR="005D6986" w:rsidRPr="00F10790" w:rsidDel="005D6986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92BEE" w:rsidRPr="00F10790">
        <w:rPr>
          <w:rFonts w:ascii="Times New Roman" w:hAnsi="Times New Roman"/>
          <w:sz w:val="22"/>
          <w:szCs w:val="22"/>
          <w:lang w:val="sr-Cyrl-ME" w:eastAsia="en-GB"/>
        </w:rPr>
        <w:t>(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пејсмејкера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>)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78A08768" w14:textId="73DFEF72" w:rsidR="008501A9" w:rsidRPr="00F10790" w:rsidRDefault="008501A9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Хипотензија (систолни притисак нижи од 90 mmHg).</w:t>
      </w:r>
    </w:p>
    <w:p w14:paraId="664ACDE2" w14:textId="46D994A5" w:rsidR="00DD4F2B" w:rsidRPr="00F10790" w:rsidRDefault="00DD4F2B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Тешка брадикардија (срчана фреквенца мања од </w:t>
      </w:r>
      <w:r w:rsidR="00325E1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50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откуцаја у минути).</w:t>
      </w:r>
    </w:p>
    <w:p w14:paraId="5DF375E4" w14:textId="3A40CAE4" w:rsidR="00DD4F2B" w:rsidRPr="00F10790" w:rsidRDefault="00325E18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Истовремена 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примјена </w:t>
      </w:r>
      <w:r w:rsidR="00DD4F2B" w:rsidRPr="00F10790">
        <w:rPr>
          <w:rFonts w:ascii="Times New Roman" w:hAnsi="Times New Roman"/>
          <w:sz w:val="22"/>
          <w:szCs w:val="22"/>
          <w:lang w:val="sr-Cyrl-ME" w:eastAsia="en-GB"/>
        </w:rPr>
        <w:t>са ивабрадином (погледати дио 4.5)</w:t>
      </w:r>
      <w:r w:rsidR="00C23800"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196C417F" w14:textId="3FEEDC2F" w:rsidR="005D6986" w:rsidRPr="00F10790" w:rsidRDefault="005D6986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>Трудноћа и дојење (погледати дио 4.6).</w:t>
      </w:r>
    </w:p>
    <w:p w14:paraId="7AA114EA" w14:textId="77777777" w:rsidR="005D6986" w:rsidRPr="00F10790" w:rsidRDefault="005D6986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Истовремена примјена са инфузијом дантролена (погледати дио 4.5).</w:t>
      </w:r>
    </w:p>
    <w:p w14:paraId="4520C2D9" w14:textId="5A681FE6" w:rsidR="00DD4F2B" w:rsidRPr="00F10790" w:rsidRDefault="00DD4F2B" w:rsidP="00D43CE9">
      <w:pPr>
        <w:numPr>
          <w:ilvl w:val="0"/>
          <w:numId w:val="5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Истовремена 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примјена </w:t>
      </w:r>
      <w:r w:rsidRPr="00F10790">
        <w:rPr>
          <w:rFonts w:ascii="Times New Roman" w:hAnsi="Times New Roman"/>
          <w:bCs/>
          <w:sz w:val="22"/>
          <w:szCs w:val="22"/>
          <w:lang w:val="sr-Cyrl-ME" w:eastAsia="en-GB"/>
        </w:rPr>
        <w:t>са ломитапидом (погледати дио 4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.5).</w:t>
      </w:r>
    </w:p>
    <w:p w14:paraId="382BA345" w14:textId="77777777" w:rsidR="00DA695D" w:rsidRPr="00F10790" w:rsidRDefault="00DA695D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6D25D205" w14:textId="42259E03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4.4. Посебна упозорења и мјере опреза при употреби лијека</w:t>
      </w:r>
    </w:p>
    <w:p w14:paraId="5EF70872" w14:textId="77777777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460BD65B" w14:textId="46E2CCC3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Савјетује се пажљив љекарски надзор код пацијената са инсуфицијенцијом лијеве коморе, брадикардијом (ризик од егзацербације) или са AV  блоком  I степена, као и продуженим PR интервалом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откривеним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на електрокардиограму (постоји ризик од егзацербације и ријетко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>,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потпуног блока).</w:t>
      </w:r>
    </w:p>
    <w:p w14:paraId="43927570" w14:textId="77777777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Cyrl-ME" w:eastAsia="en-GB"/>
        </w:rPr>
      </w:pPr>
    </w:p>
    <w:p w14:paraId="64B01956" w14:textId="49BA7450" w:rsidR="00DD4F2B" w:rsidRPr="00F10790" w:rsidRDefault="000C2CA2" w:rsidP="001B2D7B">
      <w:pPr>
        <w:tabs>
          <w:tab w:val="clear" w:pos="284"/>
          <w:tab w:val="left" w:pos="720"/>
        </w:tabs>
        <w:rPr>
          <w:rFonts w:ascii="Times New Roman" w:hAnsi="Times New Roman"/>
          <w:bCs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bCs/>
          <w:sz w:val="22"/>
          <w:szCs w:val="22"/>
          <w:lang w:val="sr-Cyrl-ME" w:eastAsia="en-GB"/>
        </w:rPr>
        <w:t>Забиљежени</w:t>
      </w:r>
      <w:r w:rsidR="00DD4F2B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 су случајеви акутне бубрежне инсуфицијенције</w:t>
      </w:r>
      <w:r w:rsidR="007C5FFE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 </w:t>
      </w:r>
      <w:r w:rsidR="00DD4F2B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>усљед смањене бубрежне перфузије код пацијената</w:t>
      </w:r>
      <w:r w:rsidR="007C5FFE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 </w:t>
      </w:r>
      <w:r w:rsidR="00DD4F2B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са постојећим срчаним обољењем, </w:t>
      </w:r>
      <w:r w:rsidRPr="00F10790">
        <w:rPr>
          <w:rFonts w:ascii="Times New Roman" w:hAnsi="Times New Roman"/>
          <w:bCs/>
          <w:sz w:val="22"/>
          <w:szCs w:val="22"/>
          <w:lang w:val="sr-Cyrl-ME" w:eastAsia="en-GB"/>
        </w:rPr>
        <w:t>нарочито</w:t>
      </w:r>
      <w:r w:rsidR="00DD4F2B" w:rsidRPr="00F10790">
        <w:rPr>
          <w:rFonts w:ascii="Times New Roman" w:hAnsi="Times New Roman"/>
          <w:bCs/>
          <w:sz w:val="22"/>
          <w:szCs w:val="22"/>
          <w:lang w:val="sr-Cyrl-ME" w:eastAsia="en-GB"/>
        </w:rPr>
        <w:t xml:space="preserve"> смањеном функцијом лијеве коморе, тешком  брадикардијом или тешком хипотензијом. Савјетује се пажљиво праћење бубрежне функције.</w:t>
      </w:r>
    </w:p>
    <w:p w14:paraId="7DABDBBC" w14:textId="77777777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3882EB81" w14:textId="41089554" w:rsidR="008501A9" w:rsidRPr="00F10790" w:rsidRDefault="008501A9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Смањење крвног притиска повезано са лијечењем дилтиаземом може повремено резултирати симптоматком хипотензијом, па је потребно пратити крвни притисак, нарочито у почетку лије</w:t>
      </w:r>
      <w:r w:rsidR="00FF700A" w:rsidRPr="00F10790">
        <w:rPr>
          <w:rFonts w:ascii="Times New Roman" w:hAnsi="Times New Roman"/>
          <w:sz w:val="22"/>
          <w:szCs w:val="22"/>
          <w:lang w:val="sr-Cyrl-ME" w:eastAsia="en-GB"/>
        </w:rPr>
        <w:t>ч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ења.</w:t>
      </w:r>
    </w:p>
    <w:p w14:paraId="1EAC429D" w14:textId="77777777" w:rsidR="005D6986" w:rsidRPr="00F10790" w:rsidRDefault="005D6986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44011B6C" w14:textId="68F0BD18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Концентрацијa дилтиазема у плазми може се повећати код старијих пацијената или пацијената са реналном или хепатичном инсуфицијенцијом.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>Приликом увођења лијека потребно је пажљиво пратити пацијента</w:t>
      </w:r>
      <w:r w:rsidR="00D43CE9" w:rsidRPr="00F10790">
        <w:rPr>
          <w:rFonts w:ascii="Times New Roman" w:hAnsi="Times New Roman"/>
          <w:sz w:val="22"/>
          <w:szCs w:val="22"/>
          <w:lang w:val="sr-Cyrl-ME" w:eastAsia="en-GB"/>
        </w:rPr>
        <w:t>,</w:t>
      </w:r>
      <w:r w:rsidR="005D698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што нарочито важи за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>срчану фреквенцију.</w:t>
      </w:r>
    </w:p>
    <w:p w14:paraId="6197A1FA" w14:textId="1D4D34BA" w:rsidR="008501A9" w:rsidRPr="00F10790" w:rsidRDefault="008501A9" w:rsidP="005D698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Ниже дозе могу бити потребне код пацијената са оштећењем функције јетре (не веће од 90 mg) и код старијих пацијената.</w:t>
      </w:r>
    </w:p>
    <w:p w14:paraId="35EC952B" w14:textId="00931F53" w:rsidR="008501A9" w:rsidRPr="00F10790" w:rsidRDefault="008501A9" w:rsidP="005D698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Лијек се мора примјењивати са опрезом код пацијената са оштећењем бубрежне функције, иако нема података у вези са продужењем елиминације дилтиазема код тих пацијената.</w:t>
      </w:r>
    </w:p>
    <w:p w14:paraId="7985E2EF" w14:textId="77777777" w:rsidR="00DD4F2B" w:rsidRPr="00F10790" w:rsidRDefault="00DD4F2B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4F913DB6" w14:textId="2C7B96C4" w:rsidR="0050133B" w:rsidRPr="00F10790" w:rsidRDefault="0050133B" w:rsidP="0050133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У случају</w:t>
      </w:r>
      <w:r w:rsidR="00FF700A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потребе за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општ</w:t>
      </w:r>
      <w:r w:rsidR="00E218B1" w:rsidRPr="00F10790">
        <w:rPr>
          <w:rFonts w:ascii="Times New Roman" w:hAnsi="Times New Roman"/>
          <w:sz w:val="22"/>
          <w:szCs w:val="22"/>
          <w:lang w:val="sr-Cyrl-ME" w:eastAsia="en-GB"/>
        </w:rPr>
        <w:t>ом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анестезиј</w:t>
      </w:r>
      <w:r w:rsidR="00E218B1" w:rsidRPr="00F10790">
        <w:rPr>
          <w:rFonts w:ascii="Times New Roman" w:hAnsi="Times New Roman"/>
          <w:sz w:val="22"/>
          <w:szCs w:val="22"/>
          <w:lang w:val="sr-Cyrl-ME" w:eastAsia="en-GB"/>
        </w:rPr>
        <w:t>ом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, анестезиолог би требало да буде обавијештен да је пацијент на терапији дилтиаземом. Депресија срчане контрактилности, проводљивости и аутоматизма срца као и васкуларн</w:t>
      </w:r>
      <w:r w:rsidR="00A41066" w:rsidRPr="00F10790">
        <w:rPr>
          <w:rFonts w:ascii="Times New Roman" w:hAnsi="Times New Roman"/>
          <w:sz w:val="22"/>
          <w:szCs w:val="22"/>
          <w:lang w:val="sr-Cyrl-ME" w:eastAsia="en-GB"/>
        </w:rPr>
        <w:t>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дилатациј</w:t>
      </w:r>
      <w:r w:rsidR="00A41066" w:rsidRPr="00F10790">
        <w:rPr>
          <w:rFonts w:ascii="Times New Roman" w:hAnsi="Times New Roman"/>
          <w:sz w:val="22"/>
          <w:szCs w:val="22"/>
          <w:lang w:val="sr-Cyrl-ME" w:eastAsia="en-GB"/>
        </w:rPr>
        <w:t>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повезана са употребом анестетика </w:t>
      </w:r>
      <w:r w:rsidR="00A41066" w:rsidRPr="00F10790">
        <w:rPr>
          <w:rFonts w:ascii="Times New Roman" w:hAnsi="Times New Roman"/>
          <w:sz w:val="22"/>
          <w:szCs w:val="22"/>
          <w:lang w:val="sr-Cyrl-ME" w:eastAsia="en-GB"/>
        </w:rPr>
        <w:t>може</w:t>
      </w:r>
      <w:r w:rsidR="008501A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бити </w:t>
      </w:r>
      <w:r w:rsidR="00A41066" w:rsidRPr="00F10790">
        <w:rPr>
          <w:rFonts w:ascii="Times New Roman" w:hAnsi="Times New Roman"/>
          <w:sz w:val="22"/>
          <w:szCs w:val="22"/>
          <w:lang w:val="sr-Cyrl-ME" w:eastAsia="en-GB"/>
        </w:rPr>
        <w:t>потенцирана</w:t>
      </w:r>
      <w:r w:rsidR="00465D2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блок</w:t>
      </w:r>
      <w:r w:rsidR="00651388" w:rsidRPr="00F10790">
        <w:rPr>
          <w:rFonts w:ascii="Times New Roman" w:hAnsi="Times New Roman"/>
          <w:sz w:val="22"/>
          <w:szCs w:val="22"/>
          <w:lang w:val="sr-Cyrl-ME" w:eastAsia="en-GB"/>
        </w:rPr>
        <w:t>аторима калцијум</w:t>
      </w:r>
      <w:r w:rsidR="00FF700A" w:rsidRPr="00F10790">
        <w:rPr>
          <w:rFonts w:ascii="Times New Roman" w:hAnsi="Times New Roman"/>
          <w:sz w:val="22"/>
          <w:szCs w:val="22"/>
          <w:lang w:val="sr-Cyrl-ME" w:eastAsia="en-GB"/>
        </w:rPr>
        <w:t>ови</w:t>
      </w:r>
      <w:r w:rsidR="00651388" w:rsidRPr="00F10790">
        <w:rPr>
          <w:rFonts w:ascii="Times New Roman" w:hAnsi="Times New Roman"/>
          <w:sz w:val="22"/>
          <w:szCs w:val="22"/>
          <w:lang w:val="sr-Cyrl-ME" w:eastAsia="en-GB"/>
        </w:rPr>
        <w:t>х канала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11F950FA" w14:textId="77777777" w:rsidR="0050133B" w:rsidRPr="00F10790" w:rsidRDefault="0050133B" w:rsidP="0050133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053EE880" w14:textId="1C8580FD" w:rsidR="00651388" w:rsidRPr="00F10790" w:rsidRDefault="00651388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Трајне дерматолошке реакције могу напредовати до </w:t>
      </w:r>
      <w:r w:rsidRPr="00F10790">
        <w:rPr>
          <w:rFonts w:ascii="Times New Roman" w:hAnsi="Times New Roman"/>
          <w:i/>
          <w:sz w:val="22"/>
          <w:szCs w:val="22"/>
          <w:lang w:val="sr-Cyrl-ME" w:eastAsia="en-GB"/>
        </w:rPr>
        <w:t xml:space="preserve">erythema multiforme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или ексфолијативног дерматитиса. Ако дерматолошке реакције потрају, употреба лијека се мора прекинути.</w:t>
      </w:r>
    </w:p>
    <w:p w14:paraId="1DB3E17C" w14:textId="77777777" w:rsidR="0050133B" w:rsidRPr="00F10790" w:rsidRDefault="0050133B" w:rsidP="00306A77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205FEFD3" w14:textId="5EEFCD76" w:rsidR="00DD4F2B" w:rsidRPr="00F10790" w:rsidRDefault="00B66ABE" w:rsidP="00306A77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Лијечење дилтиаземом</w:t>
      </w:r>
      <w:r w:rsidR="00DD4F2B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мо</w:t>
      </w:r>
      <w:r w:rsidR="0050133B" w:rsidRPr="00F10790">
        <w:rPr>
          <w:rFonts w:ascii="Times New Roman" w:hAnsi="Times New Roman"/>
          <w:sz w:val="22"/>
          <w:szCs w:val="22"/>
          <w:lang w:val="sr-Cyrl-ME" w:eastAsia="en-GB"/>
        </w:rPr>
        <w:t>же</w:t>
      </w:r>
      <w:r w:rsidR="00DD4F2B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бити повезан</w:t>
      </w:r>
      <w:r w:rsidR="0050133B" w:rsidRPr="00F10790">
        <w:rPr>
          <w:rFonts w:ascii="Times New Roman" w:hAnsi="Times New Roman"/>
          <w:sz w:val="22"/>
          <w:szCs w:val="22"/>
          <w:lang w:val="sr-Cyrl-ME" w:eastAsia="en-GB"/>
        </w:rPr>
        <w:t>о</w:t>
      </w:r>
      <w:r w:rsidR="00DD4F2B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са промјенама расположења, укључујући депресију.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Важно је рано препознавање релевантних симптома, посебно код пацијената са предиспозицијом.</w:t>
      </w:r>
      <w:r w:rsidR="00D43CE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У таквим случајевима мора се размотрити прекид узимања лијека. </w:t>
      </w:r>
    </w:p>
    <w:p w14:paraId="1B803504" w14:textId="33F93826" w:rsidR="00DD4F2B" w:rsidRPr="00F10790" w:rsidRDefault="0050133B" w:rsidP="00306A77">
      <w:pPr>
        <w:tabs>
          <w:tab w:val="clear" w:pos="284"/>
        </w:tabs>
        <w:spacing w:before="100" w:beforeAutospacing="1" w:after="75"/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Д</w:t>
      </w:r>
      <w:r w:rsidR="00DD4F2B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илтиазем има инхибиторни ефекат на цријевни мот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и</w:t>
      </w:r>
      <w:r w:rsidR="00DD4F2B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литет. Због тога се мора користити с опрезом код пацијената са ризиком од развоја интестиналне опструкције. </w:t>
      </w:r>
    </w:p>
    <w:p w14:paraId="207E993F" w14:textId="77777777" w:rsidR="00DD4F2B" w:rsidRPr="00F10790" w:rsidRDefault="00DD4F2B" w:rsidP="002F70F9">
      <w:pPr>
        <w:tabs>
          <w:tab w:val="clear" w:pos="284"/>
        </w:tabs>
        <w:spacing w:before="100" w:beforeAutospacing="1" w:after="75"/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Style w:val="hps"/>
          <w:rFonts w:ascii="Times New Roman" w:hAnsi="Times New Roman"/>
          <w:sz w:val="22"/>
          <w:szCs w:val="22"/>
          <w:lang w:val="sr-Cyrl-ME"/>
        </w:rPr>
        <w:t>Пажљиво праће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њ</w:t>
      </w:r>
      <w:r w:rsidRPr="00F10790">
        <w:rPr>
          <w:rStyle w:val="hps"/>
          <w:rFonts w:ascii="Times New Roman" w:hAnsi="Times New Roman"/>
          <w:sz w:val="22"/>
          <w:szCs w:val="22"/>
          <w:lang w:val="sr-Cyrl-ME"/>
        </w:rPr>
        <w:t xml:space="preserve">е је неопходно код пацијената са латентним или манифестним </w:t>
      </w:r>
      <w:r w:rsidRPr="00F10790">
        <w:rPr>
          <w:rFonts w:ascii="Times New Roman" w:hAnsi="Times New Roman"/>
          <w:i/>
          <w:sz w:val="22"/>
          <w:szCs w:val="22"/>
          <w:lang w:val="sr-Cyrl-ME"/>
        </w:rPr>
        <w:t>diabetes mellitus-</w:t>
      </w:r>
      <w:r w:rsidRPr="00F10790">
        <w:rPr>
          <w:rFonts w:ascii="Times New Roman" w:hAnsi="Times New Roman"/>
          <w:iCs/>
          <w:sz w:val="22"/>
          <w:szCs w:val="22"/>
          <w:lang w:val="sr-Cyrl-ME"/>
        </w:rPr>
        <w:t xml:space="preserve">ом </w:t>
      </w:r>
      <w:r w:rsidRPr="00F10790">
        <w:rPr>
          <w:rStyle w:val="hps"/>
          <w:rFonts w:ascii="Times New Roman" w:hAnsi="Times New Roman"/>
          <w:sz w:val="22"/>
          <w:szCs w:val="22"/>
          <w:lang w:val="sr-Cyrl-ME"/>
        </w:rPr>
        <w:t>због могућег повећања глукозе у крви.</w:t>
      </w:r>
    </w:p>
    <w:p w14:paraId="0ED587C5" w14:textId="77777777" w:rsidR="0050133B" w:rsidRPr="00F10790" w:rsidRDefault="0050133B" w:rsidP="0050133B">
      <w:pPr>
        <w:rPr>
          <w:rFonts w:ascii="Times New Roman" w:hAnsi="Times New Roman"/>
          <w:sz w:val="22"/>
          <w:szCs w:val="22"/>
          <w:lang w:val="sr-Cyrl-ME"/>
        </w:rPr>
      </w:pPr>
    </w:p>
    <w:p w14:paraId="33C9C19B" w14:textId="4E906B3C" w:rsidR="00DD4F2B" w:rsidRPr="00F10790" w:rsidRDefault="00B66ABE" w:rsidP="0050133B">
      <w:pPr>
        <w:rPr>
          <w:rFonts w:ascii="Times New Roman" w:hAnsi="Times New Roman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>Педијатријска популација</w:t>
      </w:r>
    </w:p>
    <w:p w14:paraId="6F42BD79" w14:textId="0069C522" w:rsidR="00B66ABE" w:rsidRPr="00F10790" w:rsidRDefault="00B66ABE" w:rsidP="0050133B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Ефикасност и сигурност примјене код дјеце није довољно утврђена.</w:t>
      </w:r>
    </w:p>
    <w:p w14:paraId="4738FB40" w14:textId="77777777" w:rsidR="0050133B" w:rsidRPr="00F10790" w:rsidRDefault="0050133B" w:rsidP="0050133B">
      <w:pPr>
        <w:rPr>
          <w:rFonts w:ascii="Times New Roman" w:hAnsi="Times New Roman"/>
          <w:sz w:val="22"/>
          <w:szCs w:val="22"/>
          <w:lang w:val="sr-Cyrl-ME"/>
        </w:rPr>
      </w:pPr>
    </w:p>
    <w:p w14:paraId="5E15283B" w14:textId="2AF01F0B" w:rsidR="00DD4F2B" w:rsidRPr="00F10790" w:rsidRDefault="00DD4F2B" w:rsidP="002F70F9">
      <w:pPr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>ALDIZEM 90 mg таблета са продуженим ослобађањем садржи лактозу монохидрат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. 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Пацијенти са ријетким насљедним поремећајем 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неподношењ</w:t>
      </w:r>
      <w:r w:rsidR="003002AD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a</w:t>
      </w:r>
      <w:r w:rsidR="00DA695D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галактоз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е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, 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тоталним 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недостатк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ом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лактазe, или глукозно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-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галактозне малапсорпције, не би требал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и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узима</w:t>
      </w:r>
      <w:r w:rsidR="00ED5425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ти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овај лијек.</w:t>
      </w:r>
    </w:p>
    <w:p w14:paraId="425C949D" w14:textId="77777777" w:rsidR="00CB701B" w:rsidRPr="00F10790" w:rsidRDefault="00CB701B" w:rsidP="002F70F9">
      <w:pPr>
        <w:rPr>
          <w:rFonts w:ascii="Times New Roman" w:hAnsi="Times New Roman"/>
          <w:b/>
          <w:sz w:val="22"/>
          <w:szCs w:val="22"/>
          <w:lang w:val="sr-Cyrl-ME"/>
        </w:rPr>
      </w:pPr>
    </w:p>
    <w:p w14:paraId="6CB53FDD" w14:textId="45BE02F2" w:rsidR="00DD4F2B" w:rsidRPr="00F10790" w:rsidRDefault="00DD4F2B" w:rsidP="009B035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>ALDIZEM</w:t>
      </w:r>
      <w:r w:rsidRPr="00F10790">
        <w:rPr>
          <w:rFonts w:ascii="Times New Roman" w:hAnsi="Times New Roman"/>
          <w:b/>
          <w:sz w:val="22"/>
          <w:szCs w:val="22"/>
          <w:u w:val="single"/>
          <w:vertAlign w:val="superscript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>90 mg таблета са продуженим ослобађањем садржи хидрогенизовано рицинусово уље</w:t>
      </w:r>
      <w:r w:rsidRPr="00F10790">
        <w:rPr>
          <w:rFonts w:ascii="Times New Roman" w:hAnsi="Times New Roman"/>
          <w:sz w:val="22"/>
          <w:szCs w:val="22"/>
          <w:lang w:val="sr-Cyrl-ME"/>
        </w:rPr>
        <w:t>, које може изазвати стомачне проблеме и дијареју.</w:t>
      </w:r>
    </w:p>
    <w:p w14:paraId="005FF8BA" w14:textId="77777777" w:rsidR="00DD4F2B" w:rsidRPr="00F10790" w:rsidRDefault="00DD4F2B" w:rsidP="009B0354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7CD5995C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4.5. Интеракције са другим љековима и друге врсте интеракција</w:t>
      </w:r>
    </w:p>
    <w:p w14:paraId="29695B8E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49EA257C" w14:textId="156EC746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КОМБИНАЦИЈЕ КОЈЕ СУ КОНТРАИНДИКОВАНЕ</w:t>
      </w:r>
      <w:r w:rsidR="00F263C5"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 xml:space="preserve"> </w:t>
      </w:r>
      <w:r w:rsidR="00FF700A"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због сигурнос</w:t>
      </w:r>
      <w:r w:rsidR="00B66ABE"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них разлога</w:t>
      </w: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:</w:t>
      </w:r>
    </w:p>
    <w:p w14:paraId="4886947C" w14:textId="77777777" w:rsidR="00F263C5" w:rsidRPr="00F10790" w:rsidRDefault="00F263C5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137EAD94" w14:textId="77777777" w:rsidR="00DD4F2B" w:rsidRPr="00F10790" w:rsidRDefault="00DD4F2B" w:rsidP="00862F46">
      <w:pPr>
        <w:pStyle w:val="Default"/>
        <w:jc w:val="both"/>
        <w:rPr>
          <w:iCs/>
          <w:sz w:val="22"/>
          <w:szCs w:val="22"/>
          <w:u w:val="single"/>
          <w:lang w:val="sr-Cyrl-ME"/>
        </w:rPr>
      </w:pPr>
      <w:r w:rsidRPr="00F10790">
        <w:rPr>
          <w:iCs/>
          <w:sz w:val="22"/>
          <w:szCs w:val="22"/>
          <w:u w:val="single"/>
          <w:lang w:val="sr-Cyrl-ME"/>
        </w:rPr>
        <w:t>Комбинације које садрже ивабрадин</w:t>
      </w:r>
    </w:p>
    <w:p w14:paraId="7DD5BC56" w14:textId="3C0B7795" w:rsidR="00DD4F2B" w:rsidRPr="00F10790" w:rsidRDefault="00DD4F2B" w:rsidP="00862F46">
      <w:pPr>
        <w:pStyle w:val="Default"/>
        <w:jc w:val="both"/>
        <w:rPr>
          <w:sz w:val="22"/>
          <w:szCs w:val="22"/>
          <w:lang w:val="sr-Cyrl-ME"/>
        </w:rPr>
      </w:pPr>
      <w:r w:rsidRPr="00F10790">
        <w:rPr>
          <w:iCs/>
          <w:sz w:val="22"/>
          <w:szCs w:val="22"/>
          <w:lang w:val="sr-Cyrl-ME"/>
        </w:rPr>
        <w:t>Истовремена примјена са ивабрадином је контраиндикована због додатног ефекта дилтиазема на смањење фреквенције поред  ефекта ивабрадина (</w:t>
      </w:r>
      <w:r w:rsidRPr="00F10790">
        <w:rPr>
          <w:sz w:val="22"/>
          <w:szCs w:val="22"/>
          <w:lang w:val="sr-Cyrl-ME"/>
        </w:rPr>
        <w:t>погледати дио 4.3).</w:t>
      </w:r>
    </w:p>
    <w:p w14:paraId="0BA72A94" w14:textId="77777777" w:rsidR="00DD4F2B" w:rsidRPr="00F10790" w:rsidRDefault="00DD4F2B" w:rsidP="00862F46">
      <w:pPr>
        <w:pStyle w:val="Default"/>
        <w:jc w:val="both"/>
        <w:rPr>
          <w:rStyle w:val="Emphasis"/>
          <w:i w:val="0"/>
          <w:sz w:val="22"/>
          <w:szCs w:val="22"/>
          <w:lang w:val="sr-Cyrl-ME"/>
        </w:rPr>
      </w:pPr>
    </w:p>
    <w:p w14:paraId="26A4AF6E" w14:textId="77777777" w:rsidR="00DD4F2B" w:rsidRPr="00F10790" w:rsidRDefault="00DD4F2B" w:rsidP="00C67191">
      <w:pPr>
        <w:pStyle w:val="Default"/>
        <w:jc w:val="both"/>
        <w:rPr>
          <w:bCs/>
          <w:iCs/>
          <w:sz w:val="22"/>
          <w:szCs w:val="22"/>
          <w:u w:val="single"/>
          <w:lang w:val="sr-Cyrl-ME"/>
        </w:rPr>
      </w:pPr>
      <w:r w:rsidRPr="00F10790">
        <w:rPr>
          <w:bCs/>
          <w:iCs/>
          <w:sz w:val="22"/>
          <w:szCs w:val="22"/>
          <w:u w:val="single"/>
          <w:lang w:val="sr-Cyrl-ME"/>
        </w:rPr>
        <w:t>Ломитапид</w:t>
      </w:r>
    </w:p>
    <w:p w14:paraId="16EADA31" w14:textId="07EC9CD3" w:rsidR="00DD4F2B" w:rsidRPr="00F10790" w:rsidRDefault="00DD4F2B" w:rsidP="00C67191">
      <w:pPr>
        <w:pStyle w:val="Default"/>
        <w:jc w:val="both"/>
        <w:rPr>
          <w:rStyle w:val="Emphasis"/>
          <w:i w:val="0"/>
          <w:sz w:val="22"/>
          <w:szCs w:val="22"/>
          <w:lang w:val="sr-Cyrl-ME"/>
        </w:rPr>
      </w:pPr>
      <w:r w:rsidRPr="00F10790">
        <w:rPr>
          <w:bCs/>
          <w:iCs/>
          <w:sz w:val="22"/>
          <w:szCs w:val="22"/>
          <w:lang w:val="sr-Cyrl-ME"/>
        </w:rPr>
        <w:t xml:space="preserve">Дилтиазем (умјерени CYP3A4 инхибитор) може повећати концентрацију ломитапида у плазми </w:t>
      </w:r>
      <w:r w:rsidR="000C2CA2" w:rsidRPr="00F10790">
        <w:rPr>
          <w:bCs/>
          <w:iCs/>
          <w:sz w:val="22"/>
          <w:szCs w:val="22"/>
          <w:lang w:val="sr-Cyrl-ME"/>
        </w:rPr>
        <w:t>преко</w:t>
      </w:r>
      <w:r w:rsidRPr="00F10790">
        <w:rPr>
          <w:bCs/>
          <w:iCs/>
          <w:sz w:val="22"/>
          <w:szCs w:val="22"/>
          <w:lang w:val="sr-Cyrl-ME"/>
        </w:rPr>
        <w:t xml:space="preserve"> CYP3A4</w:t>
      </w:r>
      <w:r w:rsidR="000C2CA2" w:rsidRPr="00F10790">
        <w:rPr>
          <w:bCs/>
          <w:iCs/>
          <w:sz w:val="22"/>
          <w:szCs w:val="22"/>
          <w:lang w:val="sr-Cyrl-ME"/>
        </w:rPr>
        <w:t xml:space="preserve"> инхибиције</w:t>
      </w:r>
      <w:r w:rsidRPr="00F10790">
        <w:rPr>
          <w:bCs/>
          <w:iCs/>
          <w:sz w:val="22"/>
          <w:szCs w:val="22"/>
          <w:lang w:val="sr-Cyrl-ME"/>
        </w:rPr>
        <w:t xml:space="preserve"> доводећи до повећа</w:t>
      </w:r>
      <w:r w:rsidRPr="00F10790">
        <w:rPr>
          <w:sz w:val="22"/>
          <w:szCs w:val="22"/>
          <w:lang w:val="sr-Cyrl-ME"/>
        </w:rPr>
        <w:t>њa</w:t>
      </w:r>
      <w:r w:rsidRPr="00F10790">
        <w:rPr>
          <w:bCs/>
          <w:iCs/>
          <w:sz w:val="22"/>
          <w:szCs w:val="22"/>
          <w:lang w:val="sr-Cyrl-ME"/>
        </w:rPr>
        <w:t xml:space="preserve"> ризика од </w:t>
      </w:r>
      <w:r w:rsidR="000C2CA2" w:rsidRPr="00F10790">
        <w:rPr>
          <w:sz w:val="22"/>
          <w:szCs w:val="22"/>
          <w:lang w:val="sr-Cyrl-ME"/>
        </w:rPr>
        <w:t>повећања</w:t>
      </w:r>
      <w:r w:rsidRPr="00F10790">
        <w:rPr>
          <w:bCs/>
          <w:iCs/>
          <w:sz w:val="22"/>
          <w:szCs w:val="22"/>
          <w:lang w:val="sr-Cyrl-ME"/>
        </w:rPr>
        <w:t xml:space="preserve"> јетр</w:t>
      </w:r>
      <w:r w:rsidR="00A52A54" w:rsidRPr="00F10790">
        <w:rPr>
          <w:bCs/>
          <w:iCs/>
          <w:sz w:val="22"/>
          <w:szCs w:val="22"/>
          <w:lang w:val="sr-Cyrl-ME"/>
        </w:rPr>
        <w:t>e</w:t>
      </w:r>
      <w:r w:rsidRPr="00F10790">
        <w:rPr>
          <w:bCs/>
          <w:iCs/>
          <w:sz w:val="22"/>
          <w:szCs w:val="22"/>
          <w:lang w:val="sr-Cyrl-ME"/>
        </w:rPr>
        <w:t>них ензима (погледати дио 4.3).</w:t>
      </w:r>
    </w:p>
    <w:p w14:paraId="4AC14B5D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3EB3AD38" w14:textId="641849E3" w:rsidR="00B66ABE" w:rsidRPr="00F10790" w:rsidRDefault="00F263C5" w:rsidP="00F263C5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Дантролен (инфузија)</w:t>
      </w:r>
    </w:p>
    <w:p w14:paraId="0EEDAB0E" w14:textId="77777777" w:rsidR="00F263C5" w:rsidRPr="00F10790" w:rsidRDefault="00F263C5" w:rsidP="00F263C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Код животиња су забиљежене учестале леталне вентрикуларне фибрилације при истовременој инфузионој примјени верапамила и дантролена.</w:t>
      </w:r>
    </w:p>
    <w:p w14:paraId="4EC7E4F8" w14:textId="10E9E406" w:rsidR="00F263C5" w:rsidRPr="00F10790" w:rsidRDefault="00F263C5" w:rsidP="00F263C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Комбинација калцијумских антагониста и дантролена је стога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зато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потенцијално опасна (погледати дио 4.3).</w:t>
      </w:r>
    </w:p>
    <w:p w14:paraId="65A7D05D" w14:textId="77777777" w:rsidR="00F263C5" w:rsidRPr="00F10790" w:rsidRDefault="00F263C5" w:rsidP="00F263C5">
      <w:pPr>
        <w:pStyle w:val="Default"/>
        <w:jc w:val="both"/>
        <w:rPr>
          <w:iCs/>
          <w:sz w:val="22"/>
          <w:szCs w:val="22"/>
          <w:u w:val="single"/>
          <w:lang w:val="sr-Cyrl-ME"/>
        </w:rPr>
      </w:pPr>
    </w:p>
    <w:p w14:paraId="74750626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КОМБИНАЦИЈЕ КОЈЕ ЗАХТИЈЕВАЈУ ОПРЕЗ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:</w:t>
      </w:r>
    </w:p>
    <w:p w14:paraId="7DA2549C" w14:textId="77777777" w:rsidR="00287D5D" w:rsidRPr="00F10790" w:rsidRDefault="00287D5D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229A6315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Алфа антагонисти:</w:t>
      </w:r>
    </w:p>
    <w:p w14:paraId="17D7F2E0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Повећавају антихипертензивни ефекат.</w:t>
      </w:r>
    </w:p>
    <w:p w14:paraId="528D3179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lastRenderedPageBreak/>
        <w:t>Истовремена употреба са алфа антагонистима може изазвати или погоршати већ постојећу хипотензију. Комбинација дилтиазема са алфа антагонистима може се узети у обзир само уз стално праћење крвног притиска.</w:t>
      </w:r>
    </w:p>
    <w:p w14:paraId="0DAFCE58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2C263E2E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Бета блокатори:</w:t>
      </w:r>
    </w:p>
    <w:p w14:paraId="522C2F1F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Могући поремећаји срчаног ритма (изражена брадикардија, застој срчаног синуса), сино-атријални (СА) или атрио-вентрикуларни (АВ) поремећаји проводљивости и слабост срца (синергистички ефекат).</w:t>
      </w:r>
    </w:p>
    <w:p w14:paraId="04188BE3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Ова комбинација се може користити само под строгим љекарским и EКГ надзором, посебно на почетку терапије.</w:t>
      </w:r>
    </w:p>
    <w:p w14:paraId="3CBB2BDA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318F7D11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Амјодарон, Дигоксин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:</w:t>
      </w:r>
    </w:p>
    <w:p w14:paraId="68BDD3A8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Повећан ризик од брадикардије; опрез је потребан када се комбинује са дилтиаземом, посебно код старијих пацијената или када се користе веће дозе.</w:t>
      </w:r>
    </w:p>
    <w:p w14:paraId="556DD61B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2C8A3C5E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Остали антиаритмици:</w:t>
      </w:r>
    </w:p>
    <w:p w14:paraId="4E3AAAC1" w14:textId="3B2D584F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Будући да дилтиазем има антиаритмичко дејство, његова истовремена примјена са другим антиаритмицима се не препоручује</w:t>
      </w:r>
      <w:r w:rsidR="003A485C" w:rsidRPr="00F10790">
        <w:rPr>
          <w:rFonts w:ascii="Times New Roman" w:hAnsi="Times New Roman"/>
          <w:sz w:val="22"/>
          <w:szCs w:val="22"/>
          <w:lang w:val="sr-Cyrl-ME" w:eastAsia="en-GB"/>
        </w:rPr>
        <w:t>,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јер може доћи до повећања нежељених дејстава усљед адитивног ефекта.</w:t>
      </w:r>
    </w:p>
    <w:p w14:paraId="3E3BCCAB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41E36009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Нитратни деривати:</w:t>
      </w:r>
    </w:p>
    <w:p w14:paraId="4AE8216B" w14:textId="7931045E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Повећан хипотензивни ефекат и</w:t>
      </w:r>
      <w:r w:rsidR="0028115C" w:rsidRPr="00F10790" w:rsidDel="0028115C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несвјестица</w:t>
      </w:r>
      <w:r w:rsidR="00B41B0A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(адитивни вазодилататорни ефекти).</w:t>
      </w:r>
    </w:p>
    <w:p w14:paraId="4656F224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Код свих пацијената који су на терапији калцијумским антагонистима, нитратне деривате треба прописивати са постепеним повећањем дозе.</w:t>
      </w:r>
    </w:p>
    <w:p w14:paraId="10943AFA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6FAE7287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Циклоспорин:</w:t>
      </w:r>
    </w:p>
    <w:p w14:paraId="126C8E65" w14:textId="7A451D94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Повећање нивоа циркулишућег циклоспорина. Препоручује се смањење дозе циклоспорина, праћење 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бубрежне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функције, контрола нивоа циркулишућег циклоспорина и подешавање дозе током комбиноване терапије као и након прекида терапије.</w:t>
      </w:r>
    </w:p>
    <w:p w14:paraId="699F7B27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19B8708E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Карбамазепин:</w:t>
      </w:r>
    </w:p>
    <w:p w14:paraId="53C2AB36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Повећани нивои циркулишућег карбамазепина.</w:t>
      </w:r>
    </w:p>
    <w:p w14:paraId="6E2F1639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Препоручује се праћење плазма концентрације карбамазепина и, ако је неопходно, подешавање дозе.</w:t>
      </w:r>
    </w:p>
    <w:p w14:paraId="1F748038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21A751E1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Теофилин:</w:t>
      </w:r>
    </w:p>
    <w:p w14:paraId="2AFCDC09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Повећање нивоа циркулишућег теофилина.</w:t>
      </w:r>
    </w:p>
    <w:p w14:paraId="4192210F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542F1D45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Антагонисти Н2 рецептора (циметидин или ранитидин):</w:t>
      </w:r>
    </w:p>
    <w:p w14:paraId="2E82B782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Повећање концентрација дилтиазема у плазми.</w:t>
      </w:r>
    </w:p>
    <w:p w14:paraId="67C6CF17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Пацијенте који су на терапији дилтиаземом треба пажљиво пратити прије започињања или прекидања терапије Н2-блокаторима. Може бити неопходно подешавање дневне дозе дилтиазема.</w:t>
      </w:r>
    </w:p>
    <w:p w14:paraId="51038F87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10A616A5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Рифампицин:</w:t>
      </w:r>
    </w:p>
    <w:p w14:paraId="4EBF814C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Постоји ризик од смањења нивоа дилтиазема у плазми током примјене рифампицина. Треба пажљиво пратити пацијенте прије започињања или прекидања терапије рифампицином.</w:t>
      </w:r>
    </w:p>
    <w:p w14:paraId="6733A6D6" w14:textId="77777777" w:rsidR="00287D5D" w:rsidRPr="00F10790" w:rsidRDefault="00287D5D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0E675EFA" w14:textId="77777777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Литијум:</w:t>
      </w:r>
    </w:p>
    <w:p w14:paraId="2EB366B3" w14:textId="3FB8F5D8" w:rsidR="00287D5D" w:rsidRPr="00F10790" w:rsidRDefault="00287D5D" w:rsidP="00287D5D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Ризик од повећане не</w:t>
      </w:r>
      <w:r w:rsidR="00AD066F" w:rsidRPr="00F10790">
        <w:rPr>
          <w:rFonts w:ascii="Times New Roman" w:hAnsi="Times New Roman"/>
          <w:sz w:val="22"/>
          <w:szCs w:val="22"/>
          <w:lang w:val="sr-Cyrl-ME" w:eastAsia="en-GB"/>
        </w:rPr>
        <w:t>у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ротоксичности индуковане литијумом.</w:t>
      </w:r>
    </w:p>
    <w:p w14:paraId="42E2BE09" w14:textId="77777777" w:rsidR="00AE48E5" w:rsidRPr="00F10790" w:rsidRDefault="00AE48E5" w:rsidP="00287D5D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</w:p>
    <w:p w14:paraId="23D013C8" w14:textId="739675DD" w:rsidR="00DD4F2B" w:rsidRDefault="0028115C" w:rsidP="00287D5D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  <w:t xml:space="preserve">КОМБИНАЦИЈЕ </w:t>
      </w:r>
      <w:r w:rsidR="00DD4F2B" w:rsidRPr="00F10790"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  <w:t>КОЈЕ БИ ТРЕБАЛО УЗЕТИ У ОБЗИР:</w:t>
      </w:r>
    </w:p>
    <w:p w14:paraId="3C1267E6" w14:textId="61344158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Дилтиазем се метаболише путем CYP3A4. Забиљежено је умјерено (&lt; 2 пута) повећање плазма концентрације дилтиазема у току комбиноване примјене са јачим CYP3A4 инхибитором. Сок од </w:t>
      </w: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lastRenderedPageBreak/>
        <w:t xml:space="preserve">грејпфрута може повећати </w:t>
      </w:r>
      <w:r w:rsidR="00B66ABE" w:rsidRPr="00F10790">
        <w:rPr>
          <w:rFonts w:ascii="Times New Roman" w:hAnsi="Times New Roman"/>
          <w:color w:val="000000"/>
          <w:sz w:val="22"/>
          <w:szCs w:val="22"/>
          <w:lang w:val="sr-Cyrl-ME"/>
        </w:rPr>
        <w:t>изложеност</w:t>
      </w: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дилтиазема. Пацијенте који конзумирају сок од грејпфрута треба пажљиво пратити због повећане могућности настанка нежељених дејстава дилтиазема. Сок од грејпфрута треба избјегавати ако се сумња на интеракцију.  </w:t>
      </w:r>
    </w:p>
    <w:p w14:paraId="2928B5CE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>Дилтиазем је такође инхибитор изоформи CYP3A4 ензима. Комбинована примјена са другим супстратима за CYP3A4 може довести и до повећања плазма концентрације, како дилтиазема, тако и истовремено примијењених љекова. Комбинована примјена дилтиазема и CYP3A4 индуктора може смањити плазма конценетрацију дилтиазема.</w:t>
      </w:r>
    </w:p>
    <w:p w14:paraId="3C4271F2" w14:textId="77777777" w:rsidR="00DF4BE4" w:rsidRPr="00F10790" w:rsidRDefault="00DF4BE4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</w:p>
    <w:p w14:paraId="41AEAD15" w14:textId="77777777" w:rsidR="00DF4BE4" w:rsidRPr="00F10790" w:rsidRDefault="00DF4BE4" w:rsidP="00DF4BE4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Статини:</w:t>
      </w:r>
    </w:p>
    <w:p w14:paraId="6532E02F" w14:textId="278E7FAA" w:rsidR="00DF4BE4" w:rsidRPr="00F10790" w:rsidRDefault="00DF4BE4" w:rsidP="00DF4BE4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Дилтиазем је инхибитор CYP3A4 и доказано је да значајно повећава ПИК неких статина. Повећан је ризик од миопатије и рабдомиолизе код истовремене употребе дилтиазема са статинима који се метаболишу преко CYP3A4 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>(нпр.атровастатин, флувастатина и симвастатин)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  <w:r w:rsidR="00D43CE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Moже бити потребно прилагођење дозе статина </w:t>
      </w:r>
      <w:r w:rsidR="00E218B1" w:rsidRPr="00F10790">
        <w:rPr>
          <w:rFonts w:ascii="Times New Roman" w:hAnsi="Times New Roman"/>
          <w:sz w:val="22"/>
          <w:szCs w:val="22"/>
          <w:lang w:val="sr-Cyrl-ME" w:eastAsia="en-GB"/>
        </w:rPr>
        <w:t>(погледати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такође релевантне податке у Сажетку карактеристика лијека за одговарајући статин).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Када је могуће, савјетује се примјена статина који се не метаболишу преко CYP3A4 </w:t>
      </w:r>
      <w:r w:rsidR="00B66ABE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(нпр. </w:t>
      </w:r>
      <w:r w:rsidR="00D73FEA" w:rsidRPr="00F10790">
        <w:rPr>
          <w:rFonts w:ascii="Times New Roman" w:hAnsi="Times New Roman"/>
          <w:sz w:val="22"/>
          <w:szCs w:val="22"/>
          <w:lang w:val="sr-Cyrl-ME" w:eastAsia="en-GB"/>
        </w:rPr>
        <w:t>правастатин)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заједно са  дилтиаземом. </w:t>
      </w:r>
    </w:p>
    <w:p w14:paraId="20C46298" w14:textId="77777777" w:rsidR="00CB701B" w:rsidRPr="00F10790" w:rsidRDefault="00CB701B" w:rsidP="00DF4BE4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</w:p>
    <w:p w14:paraId="19D35736" w14:textId="77777777" w:rsidR="00DD4F2B" w:rsidRPr="00F10790" w:rsidRDefault="00DD4F2B" w:rsidP="00201E64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Бензодиазепини (мидазолам, триазолам):</w:t>
      </w:r>
    </w:p>
    <w:p w14:paraId="5BC56F02" w14:textId="18A6930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Дилтиазем значајно повећава плазма концентрације мидазолама и триазолама и продужава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њихово полувријеме елиминације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. Савјетује се посебан опрез када се пацијентима на терапији дилтиаземом прописују краткодјелујући бензодиазепини који се метаболишу путем CYP3A4.</w:t>
      </w:r>
    </w:p>
    <w:p w14:paraId="49632BD0" w14:textId="77777777" w:rsidR="00CB701B" w:rsidRPr="00F10790" w:rsidRDefault="00CB701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40408900" w14:textId="77777777" w:rsidR="00DD4F2B" w:rsidRPr="00F10790" w:rsidRDefault="00DD4F2B" w:rsidP="00201E64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  <w:t>Кортикостероиди (метилпреднизолон):</w:t>
      </w:r>
    </w:p>
    <w:p w14:paraId="06D4A6B6" w14:textId="260DC014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Дилтиазем може повећати ниво метилпреднизолона (путем инхибиције CYP3A4 и могуће инхибиције P-гликопротеина).</w:t>
      </w:r>
      <w:r w:rsidR="008A6866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Пацијенте треба пратити када се започиње лијечење метилпреднизолоном. Може бити потребно подешавање дозе метилпреднизолона.</w:t>
      </w:r>
    </w:p>
    <w:p w14:paraId="04778029" w14:textId="18145FE6" w:rsidR="00DF4BE4" w:rsidRPr="00F10790" w:rsidRDefault="00DF4BE4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</w:p>
    <w:p w14:paraId="19F11BEC" w14:textId="423BE578" w:rsidR="00D73FEA" w:rsidRPr="00F10790" w:rsidRDefault="00D73FEA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  <w:t>ОПШТЕ ИНФОРМАЦИЈЕ КОЈЕ ТРЕБА УЗЕТИ У ОБЗИР</w:t>
      </w:r>
    </w:p>
    <w:p w14:paraId="1C96349A" w14:textId="77777777" w:rsidR="00DF4BE4" w:rsidRPr="00F10790" w:rsidRDefault="00DF4BE4" w:rsidP="00DF4BE4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Због могућих потенцијалних нежењених дејстава, потребан је опрез и пажљива титрација код пацијената који су на истовременој терапији дилтиаземом и другим агенсима који утичу на срчану контрактилност и/или спровођење.</w:t>
      </w:r>
    </w:p>
    <w:p w14:paraId="270C4233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0B13906A" w14:textId="5C705D4B" w:rsidR="00D73FEA" w:rsidRPr="00F10790" w:rsidRDefault="00D73FEA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Орална примјена дилт</w:t>
      </w:r>
      <w:r w:rsidR="00E218B1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иазема може повећати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концентрације љекова</w:t>
      </w:r>
      <w:r w:rsidR="00E218B1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у плазми,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који се метаболишу искључиво путем CYP3A4. Истовремена примјена дилтиазема и таквих љекова може повећ</w:t>
      </w:r>
      <w:r w:rsidR="00375658" w:rsidRPr="00F10790">
        <w:rPr>
          <w:rFonts w:ascii="Times New Roman" w:hAnsi="Times New Roman"/>
          <w:sz w:val="22"/>
          <w:szCs w:val="22"/>
          <w:lang w:val="sr-Cyrl-ME" w:eastAsia="en-GB"/>
        </w:rPr>
        <w:t>ати ризик од нежељених дејстава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(нпр. мишићни поремећаји са статинима као што је симвастатин).</w:t>
      </w:r>
    </w:p>
    <w:p w14:paraId="6DE0E50D" w14:textId="77777777" w:rsidR="00EF68BF" w:rsidRPr="00F10790" w:rsidRDefault="00EF68BF" w:rsidP="00862F46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13EC573A" w14:textId="657EC3E4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4.6. Плодност, трудноћа и дојење</w:t>
      </w:r>
    </w:p>
    <w:p w14:paraId="6CDB0B75" w14:textId="77777777" w:rsidR="00DD4F2B" w:rsidRPr="00F10790" w:rsidRDefault="00DD4F2B" w:rsidP="002F70F9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2A537AF8" w14:textId="769337F4" w:rsidR="00DD4F2B" w:rsidRPr="00F10790" w:rsidRDefault="00DD4F2B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  <w:t>Трудноћа</w:t>
      </w:r>
    </w:p>
    <w:p w14:paraId="5FA1527C" w14:textId="60AFB2C0" w:rsidR="00DD4F2B" w:rsidRPr="00F10790" w:rsidRDefault="00DD4F2B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Постоје веома ограничени подаци о употреби дилтиазема код трудница. Доказано је да код појединих животињских врста (пацова, мишева, кунића), дилтиазем изазива репродуктивну токсичност</w:t>
      </w:r>
      <w:r w:rsidR="00EF68BF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</w:t>
      </w:r>
      <w:r w:rsidR="00D73FEA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(погледати дио 5.3).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Због тога се примјена дилтиазема не препоручује током трудноће, као и код жена у репродуктивном периоду које не користе ефикасну контрацепцију.</w:t>
      </w:r>
    </w:p>
    <w:p w14:paraId="4AE64972" w14:textId="77777777" w:rsidR="00DD4F2B" w:rsidRPr="00F10790" w:rsidRDefault="00DD4F2B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7F9C718D" w14:textId="08D67D9C" w:rsidR="00DD4F2B" w:rsidRPr="00F10790" w:rsidRDefault="00DD4F2B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 xml:space="preserve">Дојење </w:t>
      </w:r>
    </w:p>
    <w:p w14:paraId="2FBD37F1" w14:textId="035E9CC7" w:rsidR="00DD4F2B" w:rsidRPr="00F10790" w:rsidRDefault="00DD4F2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С обзиром да се овај лијек излучује у мајчино млијеко, </w:t>
      </w:r>
      <w:r w:rsidR="00D73FEA" w:rsidRPr="00F10790">
        <w:rPr>
          <w:rFonts w:ascii="Times New Roman" w:hAnsi="Times New Roman"/>
          <w:sz w:val="22"/>
          <w:szCs w:val="22"/>
          <w:lang w:val="sr-Cyrl-ME" w:eastAsia="en-GB"/>
        </w:rPr>
        <w:t>дојење је контраиндиковано током примјене дилтиазема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29B53FBF" w14:textId="77777777" w:rsidR="00316DC0" w:rsidRPr="00F10790" w:rsidRDefault="00316DC0" w:rsidP="00F10790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pacing w:val="-8"/>
          <w:sz w:val="22"/>
          <w:szCs w:val="22"/>
          <w:lang w:val="sr-Cyrl-ME"/>
        </w:rPr>
      </w:pPr>
    </w:p>
    <w:p w14:paraId="7063E942" w14:textId="482E0CFE" w:rsidR="00DD4F2B" w:rsidRPr="00F10790" w:rsidRDefault="00DD4F2B" w:rsidP="00F10790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pacing w:val="-8"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pacing w:val="-8"/>
          <w:sz w:val="22"/>
          <w:szCs w:val="22"/>
          <w:lang w:val="sr-Cyrl-ME"/>
        </w:rPr>
        <w:t>4.7. Утицај на способност управљања возилима и руковање машинама</w:t>
      </w:r>
    </w:p>
    <w:p w14:paraId="43F88907" w14:textId="77777777" w:rsidR="00DD4F2B" w:rsidRPr="00F10790" w:rsidRDefault="00DD4F2B" w:rsidP="002F70F9">
      <w:pPr>
        <w:rPr>
          <w:rFonts w:ascii="Times New Roman" w:hAnsi="Times New Roman"/>
          <w:color w:val="000000"/>
          <w:sz w:val="22"/>
          <w:szCs w:val="22"/>
          <w:lang w:val="sr-Cyrl-ME"/>
        </w:rPr>
      </w:pPr>
    </w:p>
    <w:p w14:paraId="30ADBBB8" w14:textId="5C9B6173" w:rsidR="00DD4F2B" w:rsidRPr="00F10790" w:rsidRDefault="00DD4F2B">
      <w:pPr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На основу пријављених нежељених дејстава попут вртоглавице (често) и слабости (често), може бити измијењена способност управљања моторним возилом и руковања машинама. Међутим, </w:t>
      </w: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нијесу спроведене студије о ефектима на способност управљања возилом и коришћења машина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3FCBEE2C" w14:textId="77777777" w:rsidR="00DA695D" w:rsidRPr="00F10790" w:rsidRDefault="00DA695D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75CBA2FB" w14:textId="27FA1387" w:rsidR="00DD4F2B" w:rsidRPr="00F10790" w:rsidRDefault="00DD4F2B" w:rsidP="00DA695D">
      <w:pPr>
        <w:pStyle w:val="Header"/>
        <w:tabs>
          <w:tab w:val="clear" w:pos="4536"/>
          <w:tab w:val="clear" w:pos="9072"/>
        </w:tabs>
        <w:spacing w:before="80" w:after="8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lastRenderedPageBreak/>
        <w:t>4.8. Нежељена дејства</w:t>
      </w:r>
    </w:p>
    <w:p w14:paraId="203870B8" w14:textId="77777777" w:rsidR="00DD4F2B" w:rsidRPr="00F10790" w:rsidRDefault="00DD4F2B" w:rsidP="00862F46">
      <w:pPr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30490E4C" w14:textId="092B8EAF" w:rsidR="00DD4F2B" w:rsidRPr="00F10790" w:rsidRDefault="00375658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>Нежељена дејства наведена у наставку су разврстана</w:t>
      </w:r>
      <w:r w:rsidR="00D73FEA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 према MedDRA класификацији органских система. Унутар сваког органског система нежељени ефекти су разврстани по учесталости која је дефинисана као</w:t>
      </w:r>
      <w:r w:rsidR="00DD4F2B" w:rsidRPr="00F10790">
        <w:rPr>
          <w:rFonts w:ascii="Times New Roman" w:hAnsi="Times New Roman"/>
          <w:color w:val="000000"/>
          <w:sz w:val="22"/>
          <w:szCs w:val="22"/>
          <w:lang w:val="sr-Cyrl-ME" w:eastAsia="en-GB"/>
        </w:rPr>
        <w:t xml:space="preserve">: 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веома често (≥1/10); често (≥1/100 до </w:t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t>&lt;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1/10); повремено (</w:t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sym w:font="Symbol" w:char="F0B3"/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t>1/1,000 до &lt;1/100)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; ријетко (</w:t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sym w:font="Symbol" w:char="F0B3"/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t>1/10,000 до &lt;1/1,000)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; веома ријетко </w:t>
      </w:r>
      <w:r w:rsidR="00DD4F2B" w:rsidRPr="00F10790">
        <w:rPr>
          <w:rFonts w:ascii="Times New Roman" w:hAnsi="Times New Roman"/>
          <w:noProof/>
          <w:sz w:val="22"/>
          <w:szCs w:val="22"/>
          <w:lang w:val="sr-Cyrl-ME"/>
        </w:rPr>
        <w:t>(&lt;1/10,000); непознато (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не може се процијенити на основу расположивих података).</w:t>
      </w:r>
    </w:p>
    <w:p w14:paraId="58F96F4C" w14:textId="77777777" w:rsidR="007D79B1" w:rsidRPr="00F10790" w:rsidRDefault="007D79B1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7DB65013" w14:textId="3D2BEB94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У свакој групи учесталости, нежељена дејства су наведена по опадајућој озбиљности.</w:t>
      </w:r>
    </w:p>
    <w:p w14:paraId="562ADA45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1136"/>
        <w:gridCol w:w="1956"/>
        <w:gridCol w:w="1337"/>
        <w:gridCol w:w="1133"/>
        <w:gridCol w:w="1881"/>
      </w:tblGrid>
      <w:tr w:rsidR="00207D59" w:rsidRPr="00F10790" w14:paraId="02CA3302" w14:textId="77777777" w:rsidTr="00201E64">
        <w:trPr>
          <w:jc w:val="center"/>
        </w:trPr>
        <w:tc>
          <w:tcPr>
            <w:tcW w:w="1604" w:type="dxa"/>
          </w:tcPr>
          <w:p w14:paraId="6A903387" w14:textId="62321454" w:rsidR="00D73FEA" w:rsidRPr="00F10790" w:rsidRDefault="00D73FEA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Органски систем</w:t>
            </w:r>
          </w:p>
        </w:tc>
        <w:tc>
          <w:tcPr>
            <w:tcW w:w="1605" w:type="dxa"/>
          </w:tcPr>
          <w:p w14:paraId="3915A938" w14:textId="7DC69C2F" w:rsidR="00207D59" w:rsidRPr="00F10790" w:rsidRDefault="00207D59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Веома често</w:t>
            </w:r>
          </w:p>
        </w:tc>
        <w:tc>
          <w:tcPr>
            <w:tcW w:w="1605" w:type="dxa"/>
          </w:tcPr>
          <w:p w14:paraId="0F09A7C2" w14:textId="0F5C1737" w:rsidR="00207D59" w:rsidRPr="00F10790" w:rsidRDefault="00207D59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Често</w:t>
            </w:r>
          </w:p>
        </w:tc>
        <w:tc>
          <w:tcPr>
            <w:tcW w:w="1605" w:type="dxa"/>
          </w:tcPr>
          <w:p w14:paraId="00756BDD" w14:textId="137BB8BD" w:rsidR="00207D59" w:rsidRPr="00F10790" w:rsidRDefault="00207D59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Повремено</w:t>
            </w:r>
          </w:p>
        </w:tc>
        <w:tc>
          <w:tcPr>
            <w:tcW w:w="1605" w:type="dxa"/>
          </w:tcPr>
          <w:p w14:paraId="33B79B1C" w14:textId="2BAA80CC" w:rsidR="00207D59" w:rsidRPr="00F10790" w:rsidRDefault="00207D59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Ријетко</w:t>
            </w:r>
          </w:p>
        </w:tc>
        <w:tc>
          <w:tcPr>
            <w:tcW w:w="1605" w:type="dxa"/>
          </w:tcPr>
          <w:p w14:paraId="25C63FE4" w14:textId="339BB7FE" w:rsidR="00207D59" w:rsidRPr="00F10790" w:rsidRDefault="00207D59" w:rsidP="00A96E26">
            <w:pPr>
              <w:tabs>
                <w:tab w:val="clear" w:pos="28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r-Cyrl-ME" w:eastAsia="en-GB"/>
              </w:rPr>
              <w:t>Непознато</w:t>
            </w:r>
          </w:p>
        </w:tc>
      </w:tr>
      <w:tr w:rsidR="00AD30B0" w:rsidRPr="00F10790" w14:paraId="60A350C6" w14:textId="77777777" w:rsidTr="00201E64">
        <w:trPr>
          <w:jc w:val="center"/>
        </w:trPr>
        <w:tc>
          <w:tcPr>
            <w:tcW w:w="1604" w:type="dxa"/>
          </w:tcPr>
          <w:p w14:paraId="7827B8F4" w14:textId="21405278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Поремећаји крви и лимфног система</w:t>
            </w:r>
          </w:p>
        </w:tc>
        <w:tc>
          <w:tcPr>
            <w:tcW w:w="1605" w:type="dxa"/>
          </w:tcPr>
          <w:p w14:paraId="26EF6F83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4A95CCA1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6FD826BC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252E9DD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1E2AEF5" w14:textId="1CAAF062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тромбоцитопенија</w:t>
            </w:r>
          </w:p>
        </w:tc>
      </w:tr>
      <w:tr w:rsidR="00AD30B0" w:rsidRPr="00F10790" w14:paraId="06E8A47C" w14:textId="77777777" w:rsidTr="00201E64">
        <w:trPr>
          <w:jc w:val="center"/>
        </w:trPr>
        <w:tc>
          <w:tcPr>
            <w:tcW w:w="1604" w:type="dxa"/>
          </w:tcPr>
          <w:p w14:paraId="4F18FCFA" w14:textId="04DB8A58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Психијатријски поремећаји</w:t>
            </w:r>
          </w:p>
        </w:tc>
        <w:tc>
          <w:tcPr>
            <w:tcW w:w="1605" w:type="dxa"/>
          </w:tcPr>
          <w:p w14:paraId="0CADDD7D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516BE09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4850688" w14:textId="248D2E34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нервоза, несаница</w:t>
            </w:r>
          </w:p>
        </w:tc>
        <w:tc>
          <w:tcPr>
            <w:tcW w:w="1605" w:type="dxa"/>
          </w:tcPr>
          <w:p w14:paraId="0E587024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71D2DBA8" w14:textId="07A72C90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промјене расположења (укључујући депресију)</w:t>
            </w:r>
          </w:p>
        </w:tc>
      </w:tr>
      <w:tr w:rsidR="00AD30B0" w:rsidRPr="00F10790" w14:paraId="61BB81E0" w14:textId="77777777" w:rsidTr="00201E64">
        <w:trPr>
          <w:jc w:val="center"/>
        </w:trPr>
        <w:tc>
          <w:tcPr>
            <w:tcW w:w="1604" w:type="dxa"/>
          </w:tcPr>
          <w:p w14:paraId="127A5490" w14:textId="74AF8ECF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Поремећаји нервног система</w:t>
            </w:r>
          </w:p>
        </w:tc>
        <w:tc>
          <w:tcPr>
            <w:tcW w:w="1605" w:type="dxa"/>
          </w:tcPr>
          <w:p w14:paraId="7A0AD9F2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D581D9E" w14:textId="2F7BC50B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главобоља, вртоглавица</w:t>
            </w:r>
          </w:p>
        </w:tc>
        <w:tc>
          <w:tcPr>
            <w:tcW w:w="1605" w:type="dxa"/>
          </w:tcPr>
          <w:p w14:paraId="0874DDE4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6711CBE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3C685F3E" w14:textId="398517F1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екстрапирамидални синдром</w:t>
            </w:r>
          </w:p>
        </w:tc>
      </w:tr>
      <w:tr w:rsidR="00AD30B0" w:rsidRPr="00F10790" w14:paraId="773088BD" w14:textId="77777777" w:rsidTr="00201E64">
        <w:trPr>
          <w:jc w:val="center"/>
        </w:trPr>
        <w:tc>
          <w:tcPr>
            <w:tcW w:w="1604" w:type="dxa"/>
          </w:tcPr>
          <w:p w14:paraId="1959C389" w14:textId="5A9DB57E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Кардиолошки поремећаји</w:t>
            </w:r>
          </w:p>
        </w:tc>
        <w:tc>
          <w:tcPr>
            <w:tcW w:w="1605" w:type="dxa"/>
          </w:tcPr>
          <w:p w14:paraId="23AF285A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376BBA4F" w14:textId="4D6547BD" w:rsidR="00AD30B0" w:rsidRPr="00F10790" w:rsidRDefault="00AD30B0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атриовентрикуларни блок (I, II или III степена; може се јавити блок гране)</w:t>
            </w: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/>
              </w:rPr>
              <w:t xml:space="preserve">, </w:t>
            </w: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палпитације</w:t>
            </w:r>
          </w:p>
          <w:p w14:paraId="11ABC669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5E76917" w14:textId="18253FD5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брадикардија</w:t>
            </w:r>
          </w:p>
        </w:tc>
        <w:tc>
          <w:tcPr>
            <w:tcW w:w="1605" w:type="dxa"/>
          </w:tcPr>
          <w:p w14:paraId="19B73AA6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2551BAFD" w14:textId="082194EB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синоатријални блок, конгестивна срчана слабост</w:t>
            </w:r>
          </w:p>
        </w:tc>
      </w:tr>
      <w:tr w:rsidR="00AD30B0" w:rsidRPr="00F10790" w14:paraId="6CB24DF4" w14:textId="77777777" w:rsidTr="00201E64">
        <w:trPr>
          <w:jc w:val="center"/>
        </w:trPr>
        <w:tc>
          <w:tcPr>
            <w:tcW w:w="1604" w:type="dxa"/>
          </w:tcPr>
          <w:p w14:paraId="6A636DF6" w14:textId="4A71A9AC" w:rsidR="00207D59" w:rsidRPr="00F10790" w:rsidRDefault="00AD30B0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Васкуларни поремећаји</w:t>
            </w:r>
          </w:p>
        </w:tc>
        <w:tc>
          <w:tcPr>
            <w:tcW w:w="1605" w:type="dxa"/>
          </w:tcPr>
          <w:p w14:paraId="037E61E5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29B20E72" w14:textId="05871B35" w:rsidR="00D73FEA" w:rsidRPr="00F10790" w:rsidRDefault="00AD30B0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 xml:space="preserve">црвенило </w:t>
            </w:r>
            <w:r w:rsidR="00A96E26"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у</w:t>
            </w:r>
            <w:r w:rsidR="00D73FEA"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 xml:space="preserve">з осјећај </w:t>
            </w:r>
            <w:r w:rsidR="00DA206E"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топлоте</w:t>
            </w:r>
          </w:p>
          <w:p w14:paraId="227E3468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EAD45AF" w14:textId="788E7E34" w:rsidR="00207D59" w:rsidRPr="00F10790" w:rsidRDefault="006D60F1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ортостатска хипотензија</w:t>
            </w:r>
          </w:p>
        </w:tc>
        <w:tc>
          <w:tcPr>
            <w:tcW w:w="1605" w:type="dxa"/>
          </w:tcPr>
          <w:p w14:paraId="3857247D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21FA80E" w14:textId="2209B435" w:rsidR="00207D59" w:rsidRPr="00F10790" w:rsidRDefault="006D60F1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 xml:space="preserve">васкулитис (укључујући и леукокластични васкулитис) </w:t>
            </w:r>
          </w:p>
        </w:tc>
      </w:tr>
      <w:tr w:rsidR="00AD30B0" w:rsidRPr="00F10790" w14:paraId="1D9B19B5" w14:textId="77777777" w:rsidTr="00201E64">
        <w:trPr>
          <w:jc w:val="center"/>
        </w:trPr>
        <w:tc>
          <w:tcPr>
            <w:tcW w:w="1604" w:type="dxa"/>
          </w:tcPr>
          <w:p w14:paraId="02FE11E1" w14:textId="794FE1A6" w:rsidR="00207D59" w:rsidRPr="00F10790" w:rsidRDefault="006D60F1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Гастро-интестинални поремећаји</w:t>
            </w:r>
          </w:p>
        </w:tc>
        <w:tc>
          <w:tcPr>
            <w:tcW w:w="1605" w:type="dxa"/>
          </w:tcPr>
          <w:p w14:paraId="68009D9B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7AAB3E57" w14:textId="2D5C4865" w:rsidR="00207D59" w:rsidRPr="00F10790" w:rsidRDefault="00CE05A4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констипација, диспепсија, бол у желуцу, мучнина</w:t>
            </w:r>
          </w:p>
        </w:tc>
        <w:tc>
          <w:tcPr>
            <w:tcW w:w="1605" w:type="dxa"/>
          </w:tcPr>
          <w:p w14:paraId="16838A31" w14:textId="0E931226" w:rsidR="00207D59" w:rsidRPr="00F10790" w:rsidRDefault="00CE05A4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повраћање, дијареја</w:t>
            </w:r>
          </w:p>
        </w:tc>
        <w:tc>
          <w:tcPr>
            <w:tcW w:w="1605" w:type="dxa"/>
          </w:tcPr>
          <w:p w14:paraId="4F593392" w14:textId="1E25DEBD" w:rsidR="00207D59" w:rsidRPr="00F10790" w:rsidRDefault="00CE05A4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сува уста</w:t>
            </w:r>
          </w:p>
        </w:tc>
        <w:tc>
          <w:tcPr>
            <w:tcW w:w="1605" w:type="dxa"/>
          </w:tcPr>
          <w:p w14:paraId="2C1C439A" w14:textId="3A312618" w:rsidR="00207D59" w:rsidRPr="00F10790" w:rsidRDefault="00CE05A4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хиперплазија гингива</w:t>
            </w:r>
          </w:p>
        </w:tc>
      </w:tr>
      <w:tr w:rsidR="00AD30B0" w:rsidRPr="00F10790" w14:paraId="31734672" w14:textId="77777777" w:rsidTr="00201E64">
        <w:trPr>
          <w:jc w:val="center"/>
        </w:trPr>
        <w:tc>
          <w:tcPr>
            <w:tcW w:w="1604" w:type="dxa"/>
          </w:tcPr>
          <w:p w14:paraId="48D9E705" w14:textId="5ED9F0C5" w:rsidR="00207D59" w:rsidRPr="00F10790" w:rsidRDefault="00CE05A4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Хепато-билијарни поремећаји</w:t>
            </w:r>
          </w:p>
        </w:tc>
        <w:tc>
          <w:tcPr>
            <w:tcW w:w="1605" w:type="dxa"/>
          </w:tcPr>
          <w:p w14:paraId="6A8081A8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EFAF7E0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5D043127" w14:textId="0ADE039E" w:rsidR="00207D59" w:rsidRPr="00F10790" w:rsidRDefault="00DE3B4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 xml:space="preserve">повећање вриједности ензима јетре (AST, ALT, LDH, ALP) </w:t>
            </w:r>
          </w:p>
        </w:tc>
        <w:tc>
          <w:tcPr>
            <w:tcW w:w="1605" w:type="dxa"/>
          </w:tcPr>
          <w:p w14:paraId="04DE8AC6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325B4CC" w14:textId="023D6EBD" w:rsidR="00DE3B49" w:rsidRPr="00F10790" w:rsidRDefault="00DE3B4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хепатитис</w:t>
            </w:r>
          </w:p>
          <w:p w14:paraId="687E8D18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</w:tr>
      <w:tr w:rsidR="00AD30B0" w:rsidRPr="00F10790" w14:paraId="6C8EF4E0" w14:textId="77777777" w:rsidTr="00201E64">
        <w:trPr>
          <w:jc w:val="center"/>
        </w:trPr>
        <w:tc>
          <w:tcPr>
            <w:tcW w:w="1604" w:type="dxa"/>
          </w:tcPr>
          <w:p w14:paraId="70E83039" w14:textId="2249713C" w:rsidR="00207D59" w:rsidRPr="00F10790" w:rsidRDefault="00DE3B49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Поремећаји коже и поткожног ткива</w:t>
            </w:r>
          </w:p>
        </w:tc>
        <w:tc>
          <w:tcPr>
            <w:tcW w:w="1605" w:type="dxa"/>
          </w:tcPr>
          <w:p w14:paraId="168EF119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4C3FF43" w14:textId="1E77A80B" w:rsidR="00207D59" w:rsidRPr="00F10790" w:rsidRDefault="00DE3B4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еритем</w:t>
            </w:r>
          </w:p>
        </w:tc>
        <w:tc>
          <w:tcPr>
            <w:tcW w:w="1605" w:type="dxa"/>
          </w:tcPr>
          <w:p w14:paraId="6E246323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4FC1F98" w14:textId="2C552752" w:rsidR="00207D59" w:rsidRPr="00F10790" w:rsidRDefault="000D030A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уртикарија</w:t>
            </w:r>
          </w:p>
        </w:tc>
        <w:tc>
          <w:tcPr>
            <w:tcW w:w="1605" w:type="dxa"/>
          </w:tcPr>
          <w:p w14:paraId="5754B0A8" w14:textId="5C43EBB0" w:rsidR="00207D59" w:rsidRPr="00F10790" w:rsidRDefault="000D030A" w:rsidP="00491AB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 xml:space="preserve">фотосензитивност (укључујући лихеноидну кератозу дјелова коже изложених сунцу), ангионеуротски едем, раш, мултиформни еритем </w:t>
            </w: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lastRenderedPageBreak/>
              <w:t>(укључујући Stivens-Johnson-ов синдром и токсичну епидермалну некролизу), знојење, ексфолијативни дерматитис, акутна генерализована егзантематозна пустулоза, повремено десквамативни еритем са или без грознице,</w:t>
            </w:r>
            <w:r w:rsidRPr="00F10790">
              <w:rPr>
                <w:rFonts w:ascii="Times New Roman" w:hAnsi="Times New Roman"/>
                <w:bCs/>
                <w:color w:val="000000"/>
                <w:sz w:val="22"/>
                <w:szCs w:val="22"/>
                <w:lang w:val="sr-Cyrl-ME" w:eastAsia="en-GB"/>
              </w:rPr>
              <w:t xml:space="preserve"> синдром сличан лупусу</w:t>
            </w:r>
            <w:r w:rsidR="002117FF" w:rsidRPr="00F10790">
              <w:rPr>
                <w:rFonts w:ascii="Times New Roman" w:hAnsi="Times New Roman"/>
                <w:bCs/>
                <w:color w:val="000000"/>
                <w:sz w:val="22"/>
                <w:szCs w:val="22"/>
                <w:lang w:val="sr-Cyrl-ME" w:eastAsia="en-GB"/>
              </w:rPr>
              <w:t>, лијеком индукована лихеноидна ерупција</w:t>
            </w:r>
          </w:p>
        </w:tc>
      </w:tr>
      <w:tr w:rsidR="00AD30B0" w:rsidRPr="00F10790" w14:paraId="55F383E1" w14:textId="77777777" w:rsidTr="00201E64">
        <w:trPr>
          <w:jc w:val="center"/>
        </w:trPr>
        <w:tc>
          <w:tcPr>
            <w:tcW w:w="1604" w:type="dxa"/>
          </w:tcPr>
          <w:p w14:paraId="03BCD590" w14:textId="3FB61580" w:rsidR="00207D59" w:rsidRPr="00F10790" w:rsidRDefault="00A55323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lastRenderedPageBreak/>
              <w:t>Поремећаји репродуктивног система и дојки</w:t>
            </w:r>
          </w:p>
        </w:tc>
        <w:tc>
          <w:tcPr>
            <w:tcW w:w="1605" w:type="dxa"/>
          </w:tcPr>
          <w:p w14:paraId="7E599AEC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4E9956FB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6BAAAFC6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E2641E8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6CBB283C" w14:textId="3F66A14D" w:rsidR="00207D59" w:rsidRPr="00F10790" w:rsidRDefault="00A55323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гинекомастија</w:t>
            </w:r>
          </w:p>
        </w:tc>
      </w:tr>
      <w:tr w:rsidR="00AD30B0" w:rsidRPr="00F10790" w14:paraId="0BE6ADB6" w14:textId="77777777" w:rsidTr="00201E64">
        <w:trPr>
          <w:jc w:val="center"/>
        </w:trPr>
        <w:tc>
          <w:tcPr>
            <w:tcW w:w="1604" w:type="dxa"/>
          </w:tcPr>
          <w:p w14:paraId="063CF4EB" w14:textId="4B9D87C3" w:rsidR="00207D59" w:rsidRPr="00F10790" w:rsidRDefault="009C6C58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Општи поремећаји и реакције на мјесту примјене</w:t>
            </w:r>
          </w:p>
        </w:tc>
        <w:tc>
          <w:tcPr>
            <w:tcW w:w="1605" w:type="dxa"/>
          </w:tcPr>
          <w:p w14:paraId="6B8C8507" w14:textId="1755B4AF" w:rsidR="00207D59" w:rsidRPr="00F10790" w:rsidRDefault="009C6C58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периферни едеми</w:t>
            </w:r>
          </w:p>
        </w:tc>
        <w:tc>
          <w:tcPr>
            <w:tcW w:w="1605" w:type="dxa"/>
          </w:tcPr>
          <w:p w14:paraId="08D85D73" w14:textId="251BDF8D" w:rsidR="00207D59" w:rsidRPr="00F10790" w:rsidRDefault="009C6C58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слабост</w:t>
            </w:r>
          </w:p>
        </w:tc>
        <w:tc>
          <w:tcPr>
            <w:tcW w:w="1605" w:type="dxa"/>
          </w:tcPr>
          <w:p w14:paraId="6F85BAA6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78566325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25267190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</w:tr>
      <w:tr w:rsidR="00AD30B0" w:rsidRPr="00F10790" w14:paraId="7D66072B" w14:textId="77777777" w:rsidTr="00201E64">
        <w:trPr>
          <w:jc w:val="center"/>
        </w:trPr>
        <w:tc>
          <w:tcPr>
            <w:tcW w:w="1604" w:type="dxa"/>
          </w:tcPr>
          <w:p w14:paraId="15B933FA" w14:textId="395BDDFE" w:rsidR="00207D59" w:rsidRPr="00F10790" w:rsidRDefault="009C6C58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r-Cyrl-ME" w:eastAsia="en-GB"/>
              </w:rPr>
              <w:t>Поремећаји метаболизма и исхране</w:t>
            </w:r>
          </w:p>
        </w:tc>
        <w:tc>
          <w:tcPr>
            <w:tcW w:w="1605" w:type="dxa"/>
          </w:tcPr>
          <w:p w14:paraId="7D0BB929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45CB54B4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247D4C24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75DED73E" w14:textId="77777777" w:rsidR="00207D59" w:rsidRPr="00F10790" w:rsidRDefault="00207D59" w:rsidP="00A96E26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</w:p>
        </w:tc>
        <w:tc>
          <w:tcPr>
            <w:tcW w:w="1605" w:type="dxa"/>
          </w:tcPr>
          <w:p w14:paraId="00F46162" w14:textId="49D7CE3B" w:rsidR="00207D59" w:rsidRPr="00F10790" w:rsidRDefault="00DA292A" w:rsidP="00491AB5">
            <w:pPr>
              <w:tabs>
                <w:tab w:val="clear" w:pos="284"/>
              </w:tabs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</w:pPr>
            <w:r w:rsidRPr="00F10790">
              <w:rPr>
                <w:rFonts w:ascii="Times New Roman" w:hAnsi="Times New Roman"/>
                <w:color w:val="000000"/>
                <w:sz w:val="22"/>
                <w:szCs w:val="22"/>
                <w:lang w:val="sr-Cyrl-ME" w:eastAsia="en-GB"/>
              </w:rPr>
              <w:t>хипергликемија</w:t>
            </w:r>
          </w:p>
        </w:tc>
      </w:tr>
    </w:tbl>
    <w:p w14:paraId="05F26E4D" w14:textId="77777777" w:rsidR="00207D59" w:rsidRPr="00F10790" w:rsidRDefault="00207D59" w:rsidP="00862F46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13A6F07A" w14:textId="56680C1D" w:rsidR="00DD4F2B" w:rsidRPr="00F10790" w:rsidRDefault="00DD4F2B" w:rsidP="00862F46">
      <w:pPr>
        <w:pStyle w:val="Header"/>
        <w:rPr>
          <w:rFonts w:ascii="Times New Roman" w:hAnsi="Times New Roman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/>
        </w:rPr>
        <w:t>Пријављивање сумњи на нежељена дејства</w:t>
      </w:r>
      <w:r w:rsidR="003250B6" w:rsidRPr="00F10790">
        <w:rPr>
          <w:rFonts w:ascii="Times New Roman" w:hAnsi="Times New Roman"/>
          <w:sz w:val="22"/>
          <w:szCs w:val="22"/>
          <w:u w:val="single"/>
          <w:lang w:val="sr-Cyrl-ME"/>
        </w:rPr>
        <w:t xml:space="preserve"> </w:t>
      </w:r>
    </w:p>
    <w:p w14:paraId="066436E4" w14:textId="4B4E833B" w:rsidR="00DD4F2B" w:rsidRPr="00F10790" w:rsidRDefault="00DD4F2B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 xml:space="preserve">Пријављивање нежељених дејстава након добијања дозволе је од великог значаја јер обезбјеђује континуирано праћење односа корист/ризик примјене лијека. Здравствени радници треба да пријаве сваку сумњу на нежељено дејство овог лијека </w:t>
      </w:r>
      <w:r w:rsidR="008E686C" w:rsidRPr="00F10790">
        <w:rPr>
          <w:rFonts w:ascii="Times New Roman" w:hAnsi="Times New Roman"/>
          <w:bCs/>
          <w:sz w:val="22"/>
          <w:szCs w:val="22"/>
          <w:lang w:val="sr-Cyrl-ME"/>
        </w:rPr>
        <w:t>Институту</w:t>
      </w:r>
      <w:r w:rsidRPr="00F10790">
        <w:rPr>
          <w:rFonts w:ascii="Times New Roman" w:hAnsi="Times New Roman"/>
          <w:bCs/>
          <w:sz w:val="22"/>
          <w:szCs w:val="22"/>
          <w:lang w:val="sr-Cyrl-ME"/>
        </w:rPr>
        <w:t xml:space="preserve"> за љекове и медицинска средства Црне Горе (</w:t>
      </w:r>
      <w:r w:rsidR="008E686C" w:rsidRPr="00F10790">
        <w:rPr>
          <w:rFonts w:ascii="Times New Roman" w:hAnsi="Times New Roman"/>
          <w:sz w:val="22"/>
          <w:szCs w:val="22"/>
          <w:lang w:val="sr-Cyrl-ME"/>
        </w:rPr>
        <w:t>CInMED</w:t>
      </w:r>
      <w:r w:rsidRPr="00F10790">
        <w:rPr>
          <w:rFonts w:ascii="Times New Roman" w:hAnsi="Times New Roman"/>
          <w:bCs/>
          <w:sz w:val="22"/>
          <w:szCs w:val="22"/>
          <w:lang w:val="sr-Cyrl-ME"/>
        </w:rPr>
        <w:t>):</w:t>
      </w:r>
    </w:p>
    <w:p w14:paraId="4D9A6FA4" w14:textId="77777777" w:rsidR="00DD4F2B" w:rsidRPr="00F10790" w:rsidRDefault="00DD4F2B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</w:p>
    <w:p w14:paraId="38B9C3DD" w14:textId="2D77F6F0" w:rsidR="00DD4F2B" w:rsidRPr="00F10790" w:rsidRDefault="008E686C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Институт</w:t>
      </w:r>
      <w:r w:rsidR="00323313" w:rsidRPr="00F10790"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  <w:r w:rsidR="00DD4F2B" w:rsidRPr="00F10790">
        <w:rPr>
          <w:rFonts w:ascii="Times New Roman" w:hAnsi="Times New Roman"/>
          <w:bCs/>
          <w:sz w:val="22"/>
          <w:szCs w:val="22"/>
          <w:lang w:val="sr-Cyrl-ME"/>
        </w:rPr>
        <w:t xml:space="preserve">за љекове и медицинска средства </w:t>
      </w:r>
    </w:p>
    <w:p w14:paraId="499BD498" w14:textId="77777777" w:rsidR="00DD4F2B" w:rsidRPr="00F10790" w:rsidRDefault="00DD4F2B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Одјељење за фармаковигиланцу</w:t>
      </w:r>
    </w:p>
    <w:p w14:paraId="7A37A6DA" w14:textId="279D87CA" w:rsidR="00DD4F2B" w:rsidRPr="00F10790" w:rsidRDefault="00DD4F2B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Булевар Ивана Црнојевића 64а, 81000 Подгорица</w:t>
      </w:r>
    </w:p>
    <w:p w14:paraId="282C262E" w14:textId="77777777" w:rsidR="00DD4F2B" w:rsidRPr="00F10790" w:rsidRDefault="00DD4F2B" w:rsidP="00862F46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тел: +382 (0) 20 310 280</w:t>
      </w:r>
    </w:p>
    <w:p w14:paraId="40C17180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факс: +382 (0) 20 310 581</w:t>
      </w:r>
    </w:p>
    <w:p w14:paraId="60F956D9" w14:textId="77777777" w:rsidR="008E686C" w:rsidRPr="00F10790" w:rsidRDefault="00D51637" w:rsidP="008E686C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hr-HR"/>
        </w:rPr>
      </w:pPr>
      <w:hyperlink r:id="rId10" w:history="1">
        <w:r w:rsidR="008E686C" w:rsidRPr="00F10790">
          <w:rPr>
            <w:rFonts w:ascii="Times New Roman" w:hAnsi="Times New Roman"/>
            <w:color w:val="0000FF"/>
            <w:sz w:val="22"/>
            <w:szCs w:val="22"/>
            <w:u w:val="single"/>
            <w:lang w:val="sr-Cyrl-ME" w:eastAsia="hr-HR"/>
          </w:rPr>
          <w:t>www.cinmed.mе</w:t>
        </w:r>
      </w:hyperlink>
    </w:p>
    <w:p w14:paraId="5885AE34" w14:textId="77777777" w:rsidR="008E686C" w:rsidRPr="00F10790" w:rsidRDefault="00D51637" w:rsidP="008E686C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hr-HR"/>
        </w:rPr>
      </w:pPr>
      <w:hyperlink r:id="rId11" w:history="1">
        <w:r w:rsidR="008E686C" w:rsidRPr="00F10790">
          <w:rPr>
            <w:rFonts w:ascii="Times New Roman" w:hAnsi="Times New Roman"/>
            <w:color w:val="0000FF"/>
            <w:sz w:val="22"/>
            <w:szCs w:val="22"/>
            <w:u w:val="single"/>
            <w:lang w:val="sr-Cyrl-ME" w:eastAsia="hr-HR"/>
          </w:rPr>
          <w:t>nezeljenadejstva@cinmed.mе</w:t>
        </w:r>
      </w:hyperlink>
    </w:p>
    <w:p w14:paraId="1D5D0928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>путем ИС здравствене заштите</w:t>
      </w:r>
    </w:p>
    <w:p w14:paraId="30644651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Cs/>
          <w:sz w:val="22"/>
          <w:szCs w:val="22"/>
          <w:lang w:val="sr-Cyrl-ME"/>
        </w:rPr>
        <w:t xml:space="preserve">QR код за </w:t>
      </w:r>
      <w:r w:rsidRPr="00F10790">
        <w:rPr>
          <w:rFonts w:ascii="Times New Roman" w:hAnsi="Times New Roman"/>
          <w:bCs/>
          <w:i/>
          <w:sz w:val="22"/>
          <w:szCs w:val="22"/>
          <w:lang w:val="sr-Cyrl-ME"/>
        </w:rPr>
        <w:t xml:space="preserve">online </w:t>
      </w:r>
      <w:r w:rsidRPr="00F10790">
        <w:rPr>
          <w:rFonts w:ascii="Times New Roman" w:hAnsi="Times New Roman"/>
          <w:bCs/>
          <w:sz w:val="22"/>
          <w:szCs w:val="22"/>
          <w:lang w:val="sr-Cyrl-ME"/>
        </w:rPr>
        <w:t>пријаву сумње на нежељено дејство лијека:</w:t>
      </w:r>
    </w:p>
    <w:p w14:paraId="66955EBB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Cyrl-ME"/>
        </w:rPr>
      </w:pPr>
    </w:p>
    <w:p w14:paraId="0B601416" w14:textId="616F1A1C" w:rsidR="00DD4F2B" w:rsidRPr="00F10790" w:rsidRDefault="00CB701B" w:rsidP="00862F46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noProof/>
          <w:sz w:val="22"/>
          <w:szCs w:val="22"/>
          <w:lang w:val="sr-Cyrl-ME"/>
        </w:rPr>
        <w:lastRenderedPageBreak/>
        <w:drawing>
          <wp:inline distT="0" distB="0" distL="0" distR="0" wp14:anchorId="787A1730" wp14:editId="513CE8DC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686C" w:rsidRPr="00F10790">
        <w:rPr>
          <w:rFonts w:ascii="Times New Roman" w:hAnsi="Times New Roman"/>
          <w:bCs/>
          <w:sz w:val="22"/>
          <w:szCs w:val="22"/>
          <w:lang w:val="sr-Cyrl-ME"/>
        </w:rPr>
        <w:br w:type="textWrapping" w:clear="all"/>
      </w:r>
    </w:p>
    <w:p w14:paraId="1BBF4474" w14:textId="154DE045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4.9. Предозирање</w:t>
      </w:r>
    </w:p>
    <w:p w14:paraId="13B1DF33" w14:textId="77777777" w:rsidR="00DD4F2B" w:rsidRPr="00F10790" w:rsidRDefault="00DD4F2B" w:rsidP="002F70F9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16C0B7D0" w14:textId="77777777" w:rsidR="002E556F" w:rsidRPr="00F10790" w:rsidRDefault="00DD4F2B" w:rsidP="002E556F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Клинички симптоми акутног предозирања укључују изражену хипотензију која води ка колапсу </w:t>
      </w:r>
      <w:r w:rsidR="008E686C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и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акутно</w:t>
      </w:r>
      <w:r w:rsidR="00C86ECD" w:rsidRPr="00F10790">
        <w:rPr>
          <w:rFonts w:ascii="Times New Roman" w:hAnsi="Times New Roman"/>
          <w:sz w:val="22"/>
          <w:szCs w:val="22"/>
          <w:lang w:val="sr-Cyrl-ME" w:eastAsia="en-GB"/>
        </w:rPr>
        <w:t>ј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0C2CA2" w:rsidRPr="00F10790">
        <w:rPr>
          <w:rFonts w:ascii="Times New Roman" w:hAnsi="Times New Roman"/>
          <w:sz w:val="22"/>
          <w:szCs w:val="22"/>
          <w:lang w:val="sr-Cyrl-ME" w:eastAsia="en-GB"/>
        </w:rPr>
        <w:t>повред</w:t>
      </w:r>
      <w:r w:rsidR="00C86ECD" w:rsidRPr="00F10790">
        <w:rPr>
          <w:rFonts w:ascii="Times New Roman" w:hAnsi="Times New Roman"/>
          <w:sz w:val="22"/>
          <w:szCs w:val="22"/>
          <w:lang w:val="sr-Cyrl-ME" w:eastAsia="en-GB"/>
        </w:rPr>
        <w:t>и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бубрега, синусн</w:t>
      </w:r>
      <w:r w:rsidR="00D801F2" w:rsidRPr="00F10790">
        <w:rPr>
          <w:rFonts w:ascii="Times New Roman" w:hAnsi="Times New Roman"/>
          <w:sz w:val="22"/>
          <w:szCs w:val="22"/>
          <w:lang w:val="sr-Cyrl-ME" w:eastAsia="en-GB"/>
        </w:rPr>
        <w:t>у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брадикардиј</w:t>
      </w:r>
      <w:r w:rsidR="00D801F2" w:rsidRPr="00F10790">
        <w:rPr>
          <w:rFonts w:ascii="Times New Roman" w:hAnsi="Times New Roman"/>
          <w:sz w:val="22"/>
          <w:szCs w:val="22"/>
          <w:lang w:val="sr-Cyrl-ME" w:eastAsia="en-GB"/>
        </w:rPr>
        <w:t>у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са или без изоритмичке дисоцијације,  синус</w:t>
      </w:r>
      <w:r w:rsidR="00C86ECD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арест</w:t>
      </w:r>
      <w:r w:rsidR="007B3262" w:rsidRPr="00F10790">
        <w:rPr>
          <w:rFonts w:ascii="Times New Roman" w:hAnsi="Times New Roman"/>
          <w:sz w:val="22"/>
          <w:szCs w:val="22"/>
          <w:lang w:val="sr-Cyrl-ME" w:eastAsia="en-GB"/>
        </w:rPr>
        <w:t>,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 поремећај AV проводљивости и срчан</w:t>
      </w:r>
      <w:r w:rsidR="00D801F2" w:rsidRPr="00F10790">
        <w:rPr>
          <w:rFonts w:ascii="Times New Roman" w:hAnsi="Times New Roman"/>
          <w:sz w:val="22"/>
          <w:szCs w:val="22"/>
          <w:lang w:val="sr-Cyrl-ME" w:eastAsia="en-GB"/>
        </w:rPr>
        <w:t>и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застој.</w:t>
      </w:r>
      <w:r w:rsidR="005E7BA5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</w:p>
    <w:p w14:paraId="29CC5ED3" w14:textId="68ACDA22" w:rsidR="00DD4F2B" w:rsidRPr="00F10790" w:rsidRDefault="002E556F" w:rsidP="002E556F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Као пос</w:t>
      </w:r>
      <w:r w:rsidR="00542F7C" w:rsidRPr="00F10790">
        <w:rPr>
          <w:rFonts w:ascii="Times New Roman" w:hAnsi="Times New Roman"/>
          <w:sz w:val="22"/>
          <w:szCs w:val="22"/>
          <w:lang w:val="sr-Cyrl-ME" w:eastAsia="en-GB"/>
        </w:rPr>
        <w:t>љ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едица предозирања дилтиаземом ријетко је пријављен некардиогени плућни едем који се може манифестовати са одложеним почетком (24-48 сати након ингестије) и захтијевати респираторну подршку. Ране мјере оживљавања (укључујући преоптерећење течношћу) за одржавање перфузије и срчаног минутног волумена могу бити преципитирајући фактори.</w:t>
      </w:r>
    </w:p>
    <w:p w14:paraId="00E0B6A9" w14:textId="77777777" w:rsidR="002E556F" w:rsidRPr="00F10790" w:rsidRDefault="002E556F" w:rsidP="002E556F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31DD8C9E" w14:textId="7E499A2E" w:rsidR="002117FF" w:rsidRPr="00F10790" w:rsidRDefault="00E218B1" w:rsidP="002E556F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У случају предозирања потребно је примијенити испирање желуца и активни угаљ, као и специфичну терапију. У случају брадикардије или</w:t>
      </w:r>
      <w:r w:rsidR="00281A75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AV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блока</w:t>
      </w:r>
      <w:r w:rsidR="00281A75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II и III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степена лијек избора је атропин-сулфат 0,6-1</w:t>
      </w:r>
      <w:r w:rsidR="00A96E26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281A75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mg i.v.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Ако пацијент није одговарајуће реаговао, са опрезом се примјењује изопротеренол-хидрохлорид. У случају хипотензије, препоручује се течност и вазопресори. У случају отказивања срца препоручују се симпатомиметици, диуретици и инотропни љекови.</w:t>
      </w:r>
    </w:p>
    <w:p w14:paraId="044AC4F7" w14:textId="77777777" w:rsidR="00DD4F2B" w:rsidRPr="00F10790" w:rsidRDefault="00DD4F2B" w:rsidP="009B035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4372E955" w14:textId="77777777" w:rsidR="00DD4F2B" w:rsidRPr="00F10790" w:rsidRDefault="00DD4F2B" w:rsidP="009B0354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2A6E4529" w14:textId="77777777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5. ФАРМАКОЛОШКИ ПОДАЦИ</w:t>
      </w:r>
    </w:p>
    <w:p w14:paraId="63600338" w14:textId="77777777" w:rsidR="00DD4F2B" w:rsidRPr="00F10790" w:rsidRDefault="00DD4F2B" w:rsidP="008D030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75686690" w14:textId="11205043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5.1. Фармакодинамски подаци</w:t>
      </w:r>
    </w:p>
    <w:p w14:paraId="1FB3D34A" w14:textId="77777777" w:rsidR="008D030E" w:rsidRPr="00F10790" w:rsidRDefault="008D030E" w:rsidP="008D030E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41339FBE" w14:textId="77777777" w:rsidR="00DD4F2B" w:rsidRPr="00F10790" w:rsidRDefault="00DD4F2B" w:rsidP="00DA695D">
      <w:pPr>
        <w:pStyle w:val="Header"/>
        <w:tabs>
          <w:tab w:val="clear" w:pos="4536"/>
          <w:tab w:val="clear" w:pos="9072"/>
          <w:tab w:val="left" w:pos="2916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Фармакотерапијска група:</w:t>
      </w: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ab/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Блокатори калцијумских канала; деривати бензотиазепина</w:t>
      </w:r>
    </w:p>
    <w:p w14:paraId="1B635C77" w14:textId="77777777" w:rsidR="00CB701B" w:rsidRPr="00F10790" w:rsidRDefault="00CB701B" w:rsidP="00DA695D">
      <w:pPr>
        <w:pStyle w:val="Header"/>
        <w:tabs>
          <w:tab w:val="clear" w:pos="4536"/>
          <w:tab w:val="clear" w:pos="9072"/>
          <w:tab w:val="left" w:pos="1296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7484188F" w14:textId="16DF9BA9" w:rsidR="00DD4F2B" w:rsidRPr="00F10790" w:rsidRDefault="00DD4F2B" w:rsidP="00DA695D">
      <w:pPr>
        <w:pStyle w:val="Header"/>
        <w:tabs>
          <w:tab w:val="clear" w:pos="4536"/>
          <w:tab w:val="clear" w:pos="9072"/>
          <w:tab w:val="left" w:pos="1296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АТЦ код:</w:t>
      </w: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ab/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C08DB01</w:t>
      </w:r>
    </w:p>
    <w:p w14:paraId="0AAF0C4E" w14:textId="77777777" w:rsidR="00DD4F2B" w:rsidRPr="00F10790" w:rsidRDefault="00DD4F2B" w:rsidP="00862F46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6180E1A4" w14:textId="56FF27EA" w:rsidR="00DA206E" w:rsidRPr="00F10790" w:rsidRDefault="00DA206E" w:rsidP="00535D8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Дилтиазем је дериват бензотиазепина, блокатор калцијумских канала. Дилтиазем спречава доток екстрацелуларног калцијума кроз споре канале смјештене на ћелијској мембрани глатких мишића </w:t>
      </w:r>
      <w:r w:rsidR="00A96E26" w:rsidRPr="00F10790">
        <w:rPr>
          <w:rFonts w:ascii="Times New Roman" w:hAnsi="Times New Roman"/>
          <w:sz w:val="22"/>
          <w:szCs w:val="22"/>
          <w:lang w:val="sr-Cyrl-ME" w:eastAsia="en-GB"/>
        </w:rPr>
        <w:t>(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срца, крв</w:t>
      </w:r>
      <w:r w:rsidR="0043582A" w:rsidRPr="00F10790">
        <w:rPr>
          <w:rFonts w:ascii="Times New Roman" w:hAnsi="Times New Roman"/>
          <w:sz w:val="22"/>
          <w:szCs w:val="22"/>
          <w:lang w:val="sr-Cyrl-ME" w:eastAsia="en-GB"/>
        </w:rPr>
        <w:t>н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их судова). Дилтиазем смањује поновно пуњење срца и отпор корона</w:t>
      </w:r>
      <w:r w:rsidR="0043582A" w:rsidRPr="00F10790">
        <w:rPr>
          <w:rFonts w:ascii="Times New Roman" w:hAnsi="Times New Roman"/>
          <w:sz w:val="22"/>
          <w:szCs w:val="22"/>
          <w:lang w:val="sr-Cyrl-ME" w:eastAsia="en-GB"/>
        </w:rPr>
        <w:t>рних крвних судова и повећава с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надбијевање срца крвљу.</w:t>
      </w:r>
    </w:p>
    <w:p w14:paraId="7E61C8CB" w14:textId="77777777" w:rsidR="00535D85" w:rsidRPr="00F10790" w:rsidRDefault="00535D85" w:rsidP="00535D8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67647296" w14:textId="4DC4C7AA" w:rsidR="00DA206E" w:rsidRPr="00F10790" w:rsidRDefault="00DA206E" w:rsidP="00535D8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Дилтиазем смањује спазам коронарних крвних судова, снижава крвни притисак и фреквенцију срца.</w:t>
      </w:r>
    </w:p>
    <w:p w14:paraId="112C9E86" w14:textId="06861BA4" w:rsidR="00DA206E" w:rsidRPr="00F10790" w:rsidRDefault="00DA206E" w:rsidP="00535D85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Хемодинамички ефекат дилтиазема укључује и од дозе зависну редукцију потрошње кисеоника у миокарду. Доводи до успоравања </w:t>
      </w:r>
      <w:r w:rsidR="006313C9" w:rsidRPr="00F10790">
        <w:rPr>
          <w:rFonts w:ascii="Times New Roman" w:hAnsi="Times New Roman"/>
          <w:sz w:val="22"/>
          <w:szCs w:val="22"/>
          <w:lang w:val="sr-Cyrl-ME" w:eastAsia="en-GB"/>
        </w:rPr>
        <w:t>имплементације у атриовентрикуларном чвору и има слабо инхибиторно дјеловање на контрактилност миокарда.</w:t>
      </w:r>
    </w:p>
    <w:p w14:paraId="0612E231" w14:textId="77777777" w:rsidR="00DD4F2B" w:rsidRPr="00F10790" w:rsidRDefault="00DD4F2B" w:rsidP="00862F46">
      <w:pPr>
        <w:tabs>
          <w:tab w:val="clear" w:pos="284"/>
        </w:tabs>
        <w:ind w:left="108"/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1D7C21FB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5.2. Фармакокинетички подаци</w:t>
      </w:r>
    </w:p>
    <w:p w14:paraId="0CCEEF7C" w14:textId="15AB1EC4" w:rsidR="002625B9" w:rsidRPr="00F10790" w:rsidRDefault="002625B9" w:rsidP="002625B9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</w:p>
    <w:p w14:paraId="080ECB58" w14:textId="4A393B45" w:rsidR="006313C9" w:rsidRPr="00F10790" w:rsidRDefault="006313C9" w:rsidP="002625B9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Апсорпција</w:t>
      </w:r>
    </w:p>
    <w:p w14:paraId="402D9B65" w14:textId="64C448A4" w:rsidR="002625B9" w:rsidRPr="00F10790" w:rsidRDefault="006313C9" w:rsidP="002625B9">
      <w:pPr>
        <w:tabs>
          <w:tab w:val="clear" w:pos="284"/>
        </w:tabs>
        <w:rPr>
          <w:rStyle w:val="ecxlongtext"/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Након оралне примјене дилтиазем се готово у потпуности апсорбује.</w:t>
      </w:r>
      <w:r w:rsidR="00DD4F2B"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 xml:space="preserve">Максимална концентрација лијека у плазми се јавља између 4 и </w:t>
      </w:r>
      <w:r w:rsidR="002625B9"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 xml:space="preserve">11 </w:t>
      </w:r>
      <w:r w:rsidR="00DD4F2B"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>сати након дозирања.</w:t>
      </w:r>
      <w:r w:rsidR="002625B9"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 xml:space="preserve"> </w:t>
      </w:r>
    </w:p>
    <w:p w14:paraId="026B7ACC" w14:textId="0D8C80E9" w:rsidR="006313C9" w:rsidRPr="00F10790" w:rsidRDefault="006313C9" w:rsidP="002625B9">
      <w:pPr>
        <w:tabs>
          <w:tab w:val="clear" w:pos="284"/>
        </w:tabs>
        <w:rPr>
          <w:rStyle w:val="ecxlongtext"/>
          <w:rFonts w:ascii="Times New Roman" w:hAnsi="Times New Roman"/>
          <w:sz w:val="22"/>
          <w:szCs w:val="22"/>
          <w:lang w:val="sr-Cyrl-ME"/>
        </w:rPr>
      </w:pPr>
      <w:r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 xml:space="preserve">Дилтиазем је подложан ефекту </w:t>
      </w:r>
      <w:r w:rsidR="00AE5F25"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>,,</w:t>
      </w:r>
      <w:r w:rsidRPr="00F10790">
        <w:rPr>
          <w:rStyle w:val="ecxlongtext"/>
          <w:rFonts w:ascii="Times New Roman" w:hAnsi="Times New Roman"/>
          <w:sz w:val="22"/>
          <w:szCs w:val="22"/>
          <w:lang w:val="sr-Cyrl-ME"/>
        </w:rPr>
        <w:t>првог проласка’’.</w:t>
      </w:r>
    </w:p>
    <w:p w14:paraId="7B16716B" w14:textId="77777777" w:rsidR="002625B9" w:rsidRPr="00F10790" w:rsidRDefault="002625B9" w:rsidP="002625B9">
      <w:pPr>
        <w:tabs>
          <w:tab w:val="clear" w:pos="284"/>
        </w:tabs>
        <w:rPr>
          <w:rStyle w:val="ecxlongtext"/>
          <w:rFonts w:ascii="Times New Roman" w:hAnsi="Times New Roman"/>
          <w:sz w:val="22"/>
          <w:szCs w:val="22"/>
          <w:lang w:val="sr-Cyrl-ME"/>
        </w:rPr>
      </w:pPr>
    </w:p>
    <w:p w14:paraId="71E1BF67" w14:textId="7CFB274D" w:rsidR="006313C9" w:rsidRPr="00F10790" w:rsidRDefault="006313C9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  <w:t>Дистрибуција</w:t>
      </w:r>
    </w:p>
    <w:p w14:paraId="4A1FB493" w14:textId="03122DA4" w:rsidR="006313C9" w:rsidRPr="00F10790" w:rsidRDefault="006313C9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In vitro студије показују да је дилтиазем 70-85 % везан за протеине плазме, али само 30-40% лијека везано је за албумин. Волумен дистрибуције дилтиазема у фази мировања код здравих </w:t>
      </w: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lastRenderedPageBreak/>
        <w:t>добровољаца износи 360-390 L. Дилтиазем се излучује у мајчино млијеко у количинама једнаким онима у серуму, па се примјена дилтиазема не препоручује током периода дојења.</w:t>
      </w:r>
    </w:p>
    <w:p w14:paraId="6B6D91B3" w14:textId="77777777" w:rsidR="00CB701B" w:rsidRPr="00F10790" w:rsidRDefault="00CB701B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</w:p>
    <w:p w14:paraId="7DC671DB" w14:textId="620F0C93" w:rsidR="006313C9" w:rsidRPr="00F10790" w:rsidRDefault="006313C9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  <w:t>Биотрансформација</w:t>
      </w:r>
    </w:p>
    <w:p w14:paraId="40591BDA" w14:textId="0948FF72" w:rsidR="00DD4F2B" w:rsidRPr="00F10790" w:rsidRDefault="00DD4F2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Дилтиазем </w:t>
      </w:r>
      <w:r w:rsidR="006313C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подлијеже екстензивном метаболизму 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у јетри</w:t>
      </w:r>
      <w:r w:rsidR="000E2FF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6313C9" w:rsidRPr="00F10790">
        <w:rPr>
          <w:rFonts w:ascii="Times New Roman" w:hAnsi="Times New Roman"/>
          <w:sz w:val="22"/>
          <w:szCs w:val="22"/>
          <w:lang w:val="sr-Cyrl-ME" w:eastAsia="en-GB"/>
        </w:rPr>
        <w:t>примарно деацетил</w:t>
      </w:r>
      <w:r w:rsidR="00423E09" w:rsidRPr="00F10790">
        <w:rPr>
          <w:rFonts w:ascii="Times New Roman" w:hAnsi="Times New Roman"/>
          <w:sz w:val="22"/>
          <w:szCs w:val="22"/>
          <w:lang w:val="sr-Cyrl-ME" w:eastAsia="en-GB"/>
        </w:rPr>
        <w:t>ацијом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.</w:t>
      </w:r>
    </w:p>
    <w:p w14:paraId="55D5E595" w14:textId="6DD2B834" w:rsidR="00552B5F" w:rsidRPr="00F10790" w:rsidRDefault="00DD4F2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Главни циркулишујући метаболит</w:t>
      </w:r>
      <w:r w:rsidR="000E2FF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je</w:t>
      </w:r>
      <w:r w:rsidR="000E2FF8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23E09" w:rsidRPr="00F10790">
        <w:rPr>
          <w:rFonts w:ascii="Times New Roman" w:hAnsi="Times New Roman"/>
          <w:sz w:val="22"/>
          <w:szCs w:val="22"/>
          <w:lang w:val="sr-Cyrl-ME" w:eastAsia="en-GB"/>
        </w:rPr>
        <w:t>дезацетилдилтиазем</w:t>
      </w:r>
      <w:r w:rsidR="000E2FF8" w:rsidRPr="00F10790">
        <w:rPr>
          <w:rFonts w:ascii="Times New Roman" w:hAnsi="Times New Roman"/>
          <w:sz w:val="22"/>
          <w:szCs w:val="22"/>
          <w:lang w:val="sr-Cyrl-ME" w:eastAsia="en-GB"/>
        </w:rPr>
        <w:t>,</w:t>
      </w:r>
      <w:r w:rsidR="000E2FF8" w:rsidRPr="00F10790" w:rsidDel="000E2FF8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="000E2FF8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10-</w:t>
      </w:r>
      <w:r w:rsidR="00423E0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присутан у плазми у концентрациј</w:t>
      </w:r>
      <w:r w:rsidR="00DA6120" w:rsidRPr="00F10790">
        <w:rPr>
          <w:rFonts w:ascii="Times New Roman" w:hAnsi="Times New Roman"/>
          <w:sz w:val="22"/>
          <w:szCs w:val="22"/>
          <w:lang w:val="sr-Cyrl-ME" w:eastAsia="en-GB"/>
        </w:rPr>
        <w:t>и</w:t>
      </w:r>
      <w:r w:rsidR="00423E09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од 10-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>35%</w:t>
      </w:r>
      <w:r w:rsidR="00552B5F"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; </w:t>
      </w:r>
      <w:r w:rsidR="00423E09" w:rsidRPr="00F10790">
        <w:rPr>
          <w:rFonts w:ascii="Times New Roman" w:hAnsi="Times New Roman"/>
          <w:sz w:val="22"/>
          <w:szCs w:val="22"/>
          <w:lang w:val="sr-Cyrl-ME" w:eastAsia="en-GB"/>
        </w:rPr>
        <w:t>он је као коронарни вазодилататор 20-50 % дјелотворан у поређењу са дилтиаземом. У људском урину  је индентификовано 5 метаболита дилтиазема.</w:t>
      </w:r>
    </w:p>
    <w:p w14:paraId="067119CD" w14:textId="77777777" w:rsidR="00CB701B" w:rsidRPr="00F10790" w:rsidRDefault="00CB701B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</w:p>
    <w:p w14:paraId="7022BAFE" w14:textId="60464885" w:rsidR="00423E09" w:rsidRPr="00F10790" w:rsidRDefault="00423E09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u w:val="single"/>
          <w:lang w:val="sr-Cyrl-ME" w:eastAsia="en-GB"/>
        </w:rPr>
        <w:t>Елиминација</w:t>
      </w:r>
    </w:p>
    <w:p w14:paraId="0358FC13" w14:textId="0B5F5AC8" w:rsidR="00423E09" w:rsidRPr="00F10790" w:rsidRDefault="00423E09">
      <w:pPr>
        <w:tabs>
          <w:tab w:val="clear" w:pos="284"/>
        </w:tabs>
        <w:rPr>
          <w:rFonts w:ascii="Times New Roman" w:hAnsi="Times New Roman"/>
          <w:sz w:val="22"/>
          <w:szCs w:val="22"/>
          <w:lang w:val="sr-Cyrl-ME" w:eastAsia="en-GB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Ренално се излучује 35%, само 2-4% у непромијењеном облику, већина као метаболити. Полувријеме излучивања из плазме </w:t>
      </w:r>
      <w:r w:rsidR="00281A75" w:rsidRPr="00F10790">
        <w:rPr>
          <w:rFonts w:ascii="Times New Roman" w:hAnsi="Times New Roman"/>
          <w:sz w:val="22"/>
          <w:szCs w:val="22"/>
          <w:lang w:val="sr-Cyrl-ME" w:eastAsia="en-GB"/>
        </w:rPr>
        <w:t>након појединачне или вишетруке</w:t>
      </w:r>
      <w:r w:rsidRPr="00F10790">
        <w:rPr>
          <w:rFonts w:ascii="Times New Roman" w:hAnsi="Times New Roman"/>
          <w:sz w:val="22"/>
          <w:szCs w:val="22"/>
          <w:lang w:val="sr-Cyrl-ME" w:eastAsia="en-GB"/>
        </w:rPr>
        <w:t xml:space="preserve"> примјене лијека износи 2-11 сати. Полувијек дилтиазема може бити продужен са дужим трајањем лијечења, а продужен је и код старијих пацијената и пацијената са цирозом јетре. Фецесом се излучује 60-65%.</w:t>
      </w:r>
    </w:p>
    <w:p w14:paraId="7D4C905C" w14:textId="77777777" w:rsidR="00DD4F2B" w:rsidRPr="00F10790" w:rsidRDefault="00DD4F2B" w:rsidP="009B0354">
      <w:pPr>
        <w:tabs>
          <w:tab w:val="clear" w:pos="284"/>
        </w:tabs>
        <w:ind w:left="108"/>
        <w:jc w:val="left"/>
        <w:rPr>
          <w:rFonts w:ascii="Times New Roman" w:hAnsi="Times New Roman"/>
          <w:sz w:val="22"/>
          <w:szCs w:val="22"/>
          <w:lang w:val="sr-Cyrl-ME" w:eastAsia="en-GB"/>
        </w:rPr>
      </w:pPr>
    </w:p>
    <w:p w14:paraId="7D4B1B58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5.3. Претклинички подаци о безбједности</w:t>
      </w:r>
    </w:p>
    <w:p w14:paraId="4564FDF9" w14:textId="77777777" w:rsidR="00DD4F2B" w:rsidRPr="00F10790" w:rsidRDefault="00DD4F2B" w:rsidP="002F70F9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639CDF79" w14:textId="292DEB16" w:rsidR="00423E09" w:rsidRPr="00F10790" w:rsidRDefault="00423E09" w:rsidP="008A1273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u w:val="single"/>
          <w:lang w:val="sr-Cyrl-ME"/>
        </w:rPr>
        <w:t>Репродуктивна токсичност</w:t>
      </w:r>
    </w:p>
    <w:p w14:paraId="4E700ECD" w14:textId="47F18F29" w:rsidR="00DD4F2B" w:rsidRPr="00F10790" w:rsidRDefault="00423E09" w:rsidP="008A1273">
      <w:pPr>
        <w:tabs>
          <w:tab w:val="clear" w:pos="284"/>
        </w:tabs>
        <w:rPr>
          <w:rFonts w:ascii="Times New Roman" w:hAnsi="Times New Roman"/>
          <w:color w:val="000000"/>
          <w:sz w:val="22"/>
          <w:szCs w:val="22"/>
          <w:lang w:val="sr-Cyrl-ME"/>
        </w:rPr>
      </w:pP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>Испитивања репродуктивне токсичности су с</w:t>
      </w:r>
      <w:r w:rsidR="0043582A" w:rsidRPr="00F10790">
        <w:rPr>
          <w:rFonts w:ascii="Times New Roman" w:hAnsi="Times New Roman"/>
          <w:color w:val="000000"/>
          <w:sz w:val="22"/>
          <w:szCs w:val="22"/>
          <w:lang w:val="sr-Cyrl-ME"/>
        </w:rPr>
        <w:t>проведена на мишевима, пацовима и зечевима</w:t>
      </w:r>
      <w:r w:rsidR="00281A75" w:rsidRPr="00F10790">
        <w:rPr>
          <w:rFonts w:ascii="Times New Roman" w:hAnsi="Times New Roman"/>
          <w:color w:val="000000"/>
          <w:sz w:val="22"/>
          <w:szCs w:val="22"/>
          <w:lang w:val="sr-Cyrl-ME"/>
        </w:rPr>
        <w:t>. Примјена дозе у распону</w:t>
      </w: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од 4 до 6 пута већих (зависно од врсте) од горње границе оптималног распона дозирања у клиничким испитивањима (480 mg сваки дан или 8 mg/kg сваки дан за пацијента од 60 kg) су довела до ембрио/феталне смртности. Та су испитивања показала, зависно од врсте, абнормалности </w:t>
      </w:r>
      <w:r w:rsidR="003F08EC" w:rsidRPr="00F10790">
        <w:rPr>
          <w:rFonts w:ascii="Times New Roman" w:hAnsi="Times New Roman"/>
          <w:color w:val="000000"/>
          <w:sz w:val="22"/>
          <w:szCs w:val="22"/>
          <w:lang w:val="sr-Cyrl-ME"/>
        </w:rPr>
        <w:t>скелета, срца, ретине и језика фетуса. Такође су запажена смањења</w:t>
      </w:r>
      <w:r w:rsidR="001067AC"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тежине </w:t>
      </w:r>
      <w:r w:rsidR="00281A75" w:rsidRPr="00F10790">
        <w:rPr>
          <w:rFonts w:ascii="Times New Roman" w:hAnsi="Times New Roman"/>
          <w:color w:val="000000"/>
          <w:sz w:val="22"/>
          <w:szCs w:val="22"/>
          <w:lang w:val="sr-Cyrl-ME"/>
        </w:rPr>
        <w:t>пото</w:t>
      </w:r>
      <w:r w:rsidR="00A41066"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мака и преживљавања потомака, </w:t>
      </w:r>
      <w:r w:rsidR="00281A75" w:rsidRPr="00F10790">
        <w:rPr>
          <w:rFonts w:ascii="Times New Roman" w:hAnsi="Times New Roman"/>
          <w:color w:val="000000"/>
          <w:sz w:val="22"/>
          <w:szCs w:val="22"/>
          <w:lang w:val="sr-Cyrl-ME"/>
        </w:rPr>
        <w:t>продужење порођаја</w:t>
      </w:r>
      <w:r w:rsidR="001067AC"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и повећана учесталост мртворођен</w:t>
      </w:r>
      <w:r w:rsidR="0043582A" w:rsidRPr="00F10790">
        <w:rPr>
          <w:rFonts w:ascii="Times New Roman" w:hAnsi="Times New Roman"/>
          <w:color w:val="000000"/>
          <w:sz w:val="22"/>
          <w:szCs w:val="22"/>
          <w:lang w:val="sr-Cyrl-ME"/>
        </w:rPr>
        <w:t>их.</w:t>
      </w:r>
      <w:r w:rsidRPr="00F10790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</w:t>
      </w:r>
      <w:r w:rsidR="008A1273" w:rsidRPr="00F10790" w:rsidDel="008A1273">
        <w:rPr>
          <w:rFonts w:ascii="Times New Roman" w:hAnsi="Times New Roman"/>
          <w:color w:val="000000"/>
          <w:sz w:val="22"/>
          <w:szCs w:val="22"/>
          <w:lang w:val="sr-Cyrl-ME"/>
        </w:rPr>
        <w:t xml:space="preserve"> </w:t>
      </w:r>
    </w:p>
    <w:p w14:paraId="33FA47DC" w14:textId="11BE3302" w:rsidR="00A26654" w:rsidRPr="00F10790" w:rsidRDefault="00A26654" w:rsidP="0043582A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48B797C3" w14:textId="77777777" w:rsidR="008D030E" w:rsidRPr="00F10790" w:rsidRDefault="008D030E" w:rsidP="0043582A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Cyrl-ME" w:eastAsia="en-GB"/>
        </w:rPr>
      </w:pPr>
    </w:p>
    <w:p w14:paraId="3345FE1B" w14:textId="77777777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 ФАРМАЦЕУТСКИ ПОДАЦИ</w:t>
      </w:r>
    </w:p>
    <w:p w14:paraId="1F322FEC" w14:textId="77777777" w:rsidR="00DD4F2B" w:rsidRPr="00F10790" w:rsidRDefault="00DD4F2B" w:rsidP="00201E6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6365299A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6.1. Листа помоћних супстанци (ексципијенаса)</w:t>
      </w:r>
    </w:p>
    <w:p w14:paraId="3AF9F3FA" w14:textId="77777777" w:rsidR="00DD4F2B" w:rsidRPr="00F10790" w:rsidRDefault="00DD4F2B" w:rsidP="00862F46">
      <w:pPr>
        <w:pStyle w:val="Default"/>
        <w:jc w:val="both"/>
        <w:rPr>
          <w:color w:val="auto"/>
          <w:sz w:val="22"/>
          <w:szCs w:val="22"/>
          <w:lang w:val="sr-Cyrl-ME"/>
        </w:rPr>
      </w:pPr>
    </w:p>
    <w:p w14:paraId="2211A167" w14:textId="10A395A5" w:rsidR="00DD4F2B" w:rsidRPr="00F10790" w:rsidRDefault="00CB701B" w:rsidP="00862F46">
      <w:pPr>
        <w:pStyle w:val="Default"/>
        <w:jc w:val="both"/>
        <w:rPr>
          <w:color w:val="auto"/>
          <w:sz w:val="22"/>
          <w:szCs w:val="22"/>
          <w:lang w:val="sr-Cyrl-ME"/>
        </w:rPr>
      </w:pPr>
      <w:r w:rsidRPr="00F10790">
        <w:rPr>
          <w:color w:val="auto"/>
          <w:sz w:val="22"/>
          <w:szCs w:val="22"/>
          <w:lang w:val="sr-Cyrl-ME"/>
        </w:rPr>
        <w:t>М</w:t>
      </w:r>
      <w:r w:rsidR="00DD4F2B" w:rsidRPr="00F10790">
        <w:rPr>
          <w:color w:val="auto"/>
          <w:sz w:val="22"/>
          <w:szCs w:val="22"/>
          <w:lang w:val="sr-Cyrl-ME"/>
        </w:rPr>
        <w:t>агнезијум стеарат;</w:t>
      </w:r>
    </w:p>
    <w:p w14:paraId="1969AF42" w14:textId="6EB08AAB" w:rsidR="00DD4F2B" w:rsidRPr="00F10790" w:rsidRDefault="00CB701B" w:rsidP="00862F46">
      <w:pPr>
        <w:pStyle w:val="Default"/>
        <w:jc w:val="both"/>
        <w:rPr>
          <w:color w:val="auto"/>
          <w:sz w:val="22"/>
          <w:szCs w:val="22"/>
          <w:lang w:val="sr-Cyrl-ME"/>
        </w:rPr>
      </w:pPr>
      <w:r w:rsidRPr="00F10790">
        <w:rPr>
          <w:color w:val="auto"/>
          <w:sz w:val="22"/>
          <w:szCs w:val="22"/>
          <w:lang w:val="sr-Cyrl-ME"/>
        </w:rPr>
        <w:t>Л</w:t>
      </w:r>
      <w:r w:rsidR="00DD4F2B" w:rsidRPr="00F10790">
        <w:rPr>
          <w:color w:val="auto"/>
          <w:sz w:val="22"/>
          <w:szCs w:val="22"/>
          <w:lang w:val="sr-Cyrl-ME"/>
        </w:rPr>
        <w:t>актоза монохидрат;</w:t>
      </w:r>
    </w:p>
    <w:p w14:paraId="06752B5B" w14:textId="05C4B703" w:rsidR="00DD4F2B" w:rsidRPr="00F10790" w:rsidRDefault="00CB701B" w:rsidP="00862F46">
      <w:pPr>
        <w:pStyle w:val="Default"/>
        <w:jc w:val="both"/>
        <w:rPr>
          <w:color w:val="auto"/>
          <w:sz w:val="22"/>
          <w:szCs w:val="22"/>
          <w:lang w:val="sr-Cyrl-ME"/>
        </w:rPr>
      </w:pPr>
      <w:r w:rsidRPr="00F10790">
        <w:rPr>
          <w:color w:val="auto"/>
          <w:sz w:val="22"/>
          <w:szCs w:val="22"/>
          <w:lang w:val="sr-Cyrl-ME"/>
        </w:rPr>
        <w:t>Х</w:t>
      </w:r>
      <w:r w:rsidR="00DD4F2B" w:rsidRPr="00F10790">
        <w:rPr>
          <w:color w:val="auto"/>
          <w:sz w:val="22"/>
          <w:szCs w:val="22"/>
          <w:lang w:val="sr-Cyrl-ME"/>
        </w:rPr>
        <w:t>идрогенизовано рицинусово уље;</w:t>
      </w:r>
    </w:p>
    <w:p w14:paraId="580CF442" w14:textId="66ADAF5A" w:rsidR="00DD4F2B" w:rsidRPr="00F10790" w:rsidRDefault="00CB701B" w:rsidP="00862F46">
      <w:pPr>
        <w:pStyle w:val="Default"/>
        <w:jc w:val="both"/>
        <w:rPr>
          <w:color w:val="auto"/>
          <w:sz w:val="22"/>
          <w:szCs w:val="22"/>
          <w:lang w:val="sr-Cyrl-ME"/>
        </w:rPr>
      </w:pPr>
      <w:r w:rsidRPr="00F10790">
        <w:rPr>
          <w:color w:val="auto"/>
          <w:sz w:val="22"/>
          <w:szCs w:val="22"/>
          <w:lang w:val="sr-Cyrl-ME"/>
        </w:rPr>
        <w:t>М</w:t>
      </w:r>
      <w:r w:rsidR="00DD4F2B" w:rsidRPr="00F10790">
        <w:rPr>
          <w:color w:val="auto"/>
          <w:sz w:val="22"/>
          <w:szCs w:val="22"/>
          <w:lang w:val="sr-Cyrl-ME"/>
        </w:rPr>
        <w:t>акрогол 6000.</w:t>
      </w:r>
    </w:p>
    <w:p w14:paraId="04037CA5" w14:textId="77777777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14D1724D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6.2. Инкомпатибилности</w:t>
      </w:r>
    </w:p>
    <w:p w14:paraId="421ABBD4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16A49547" w14:textId="302CF18E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Није </w:t>
      </w:r>
      <w:r w:rsidR="00CB701B" w:rsidRPr="00F10790">
        <w:rPr>
          <w:rFonts w:ascii="Times New Roman" w:hAnsi="Times New Roman"/>
          <w:sz w:val="22"/>
          <w:szCs w:val="22"/>
          <w:lang w:val="sr-Cyrl-ME"/>
        </w:rPr>
        <w:t>примјенљиво</w:t>
      </w:r>
      <w:r w:rsidRPr="00F10790">
        <w:rPr>
          <w:rFonts w:ascii="Times New Roman" w:hAnsi="Times New Roman"/>
          <w:sz w:val="22"/>
          <w:szCs w:val="22"/>
          <w:lang w:val="sr-Cyrl-ME"/>
        </w:rPr>
        <w:t>.</w:t>
      </w:r>
    </w:p>
    <w:p w14:paraId="42FF6F6D" w14:textId="77777777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5C628FFF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6.3. Рок употребе</w:t>
      </w:r>
    </w:p>
    <w:p w14:paraId="4C3B1CF3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12D28506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Три (3) године.</w:t>
      </w:r>
    </w:p>
    <w:p w14:paraId="3145FC7D" w14:textId="77777777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64F421EC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6.4. Посебне мјере упозорења при чувањулијека</w:t>
      </w:r>
    </w:p>
    <w:p w14:paraId="04C644C3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4548A124" w14:textId="77777777" w:rsidR="00DD4F2B" w:rsidRPr="00F10790" w:rsidRDefault="00DD4F2B" w:rsidP="00862F46">
      <w:pPr>
        <w:rPr>
          <w:rFonts w:ascii="Times New Roman" w:hAnsi="Times New Roman"/>
          <w:i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Лијек не захтијева посебне услове чувања.</w:t>
      </w:r>
    </w:p>
    <w:p w14:paraId="0E5AB3AE" w14:textId="77777777" w:rsidR="00DD4F2B" w:rsidRPr="00F10790" w:rsidRDefault="00DD4F2B" w:rsidP="00862F46">
      <w:pPr>
        <w:tabs>
          <w:tab w:val="clear" w:pos="284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48ABC645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6.5. Врста и садржај паковања</w:t>
      </w:r>
    </w:p>
    <w:p w14:paraId="00E2176B" w14:textId="77777777" w:rsidR="00DD4F2B" w:rsidRPr="00F10790" w:rsidRDefault="00DD4F2B" w:rsidP="00201E64">
      <w:pPr>
        <w:rPr>
          <w:rFonts w:ascii="Times New Roman" w:hAnsi="Times New Roman"/>
          <w:spacing w:val="-2"/>
          <w:sz w:val="22"/>
          <w:szCs w:val="22"/>
          <w:lang w:val="sr-Cyrl-ME"/>
        </w:rPr>
      </w:pPr>
    </w:p>
    <w:p w14:paraId="5FE8AA39" w14:textId="15CA47F4" w:rsidR="00CB701B" w:rsidRPr="00F10790" w:rsidRDefault="00CB701B" w:rsidP="00201E64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Унутрашње паковање лијека је</w:t>
      </w:r>
      <w:r w:rsidR="00DD4F2B" w:rsidRPr="00F10790">
        <w:rPr>
          <w:rFonts w:ascii="Times New Roman" w:hAnsi="Times New Roman"/>
          <w:spacing w:val="-2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Al/PVC</w:t>
      </w:r>
      <w:r w:rsidRPr="00F10790">
        <w:rPr>
          <w:rFonts w:ascii="Times New Roman" w:hAnsi="Times New Roman"/>
          <w:spacing w:val="-2"/>
          <w:sz w:val="22"/>
          <w:szCs w:val="22"/>
          <w:lang w:val="sr-Cyrl-ME"/>
        </w:rPr>
        <w:t xml:space="preserve"> </w:t>
      </w:r>
      <w:r w:rsidR="00DD4F2B" w:rsidRPr="00F10790">
        <w:rPr>
          <w:rFonts w:ascii="Times New Roman" w:hAnsi="Times New Roman"/>
          <w:spacing w:val="-2"/>
          <w:sz w:val="22"/>
          <w:szCs w:val="22"/>
          <w:lang w:val="sr-Cyrl-ME"/>
        </w:rPr>
        <w:t>блистер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који 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садржи 10 таблета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 са продуженим ослобађањем.</w:t>
      </w:r>
    </w:p>
    <w:p w14:paraId="7CA908E2" w14:textId="4492EC19" w:rsidR="00DD4F2B" w:rsidRPr="00F10790" w:rsidRDefault="00CB701B" w:rsidP="00201E64">
      <w:pPr>
        <w:rPr>
          <w:rFonts w:ascii="Times New Roman" w:hAnsi="Times New Roman"/>
          <w:spacing w:val="-2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Спољашње паковање лијека је сложива к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артонска кутија 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која 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 xml:space="preserve">садржи </w:t>
      </w:r>
      <w:r w:rsidRPr="00F10790">
        <w:rPr>
          <w:rFonts w:ascii="Times New Roman" w:hAnsi="Times New Roman"/>
          <w:sz w:val="22"/>
          <w:szCs w:val="22"/>
          <w:lang w:val="sr-Cyrl-ME"/>
        </w:rPr>
        <w:t xml:space="preserve">3 блистера 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(</w:t>
      </w:r>
      <w:r w:rsidRPr="00F10790">
        <w:rPr>
          <w:rFonts w:ascii="Times New Roman" w:hAnsi="Times New Roman"/>
          <w:sz w:val="22"/>
          <w:szCs w:val="22"/>
          <w:lang w:val="sr-Cyrl-ME"/>
        </w:rPr>
        <w:t>укупно 30 таблета са продуженим ослобађањем</w:t>
      </w:r>
      <w:r w:rsidR="00DD4F2B" w:rsidRPr="00F10790">
        <w:rPr>
          <w:rFonts w:ascii="Times New Roman" w:hAnsi="Times New Roman"/>
          <w:sz w:val="22"/>
          <w:szCs w:val="22"/>
          <w:lang w:val="sr-Cyrl-ME"/>
        </w:rPr>
        <w:t>) и Упутство за лијек.</w:t>
      </w:r>
    </w:p>
    <w:p w14:paraId="7BC6BBF6" w14:textId="77777777" w:rsidR="00DD4F2B" w:rsidRPr="00F10790" w:rsidRDefault="00DD4F2B" w:rsidP="00862F46">
      <w:pPr>
        <w:tabs>
          <w:tab w:val="clear" w:pos="284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1225CD79" w14:textId="77777777" w:rsidR="00DD4F2B" w:rsidRPr="00F10790" w:rsidRDefault="00DD4F2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6.6. Посебне мјере опреза при одлагању материјала који треба одбацити након примјене лијека (и друга упутства за руковање лијеком)</w:t>
      </w:r>
    </w:p>
    <w:p w14:paraId="4F484D3C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42EC76C7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Сву неискоришћену количину лијека или отпадног материјала након његове употребе треба уклонити у складу са важећим прописима.</w:t>
      </w:r>
    </w:p>
    <w:p w14:paraId="04957887" w14:textId="3F510B2B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2326340F" w14:textId="77777777" w:rsidR="008D030E" w:rsidRPr="00F10790" w:rsidRDefault="008D030E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04DF61C1" w14:textId="77777777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 xml:space="preserve">7. НОСИЛАЦ ДОЗВОЛЕ </w:t>
      </w:r>
    </w:p>
    <w:p w14:paraId="42415105" w14:textId="77777777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</w:p>
    <w:p w14:paraId="22E4B58E" w14:textId="02844BA0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АЛКАЛОИД д.</w:t>
      </w:r>
      <w:r w:rsidR="000B6C32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о.о.</w:t>
      </w:r>
      <w:r w:rsidR="000452EB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Подгорица</w:t>
      </w:r>
      <w:r w:rsidR="000452EB" w:rsidRPr="00F10790">
        <w:rPr>
          <w:rFonts w:ascii="Times New Roman" w:hAnsi="Times New Roman"/>
          <w:sz w:val="22"/>
          <w:szCs w:val="22"/>
          <w:lang w:val="sr-Cyrl-ME"/>
        </w:rPr>
        <w:t>,</w:t>
      </w:r>
    </w:p>
    <w:p w14:paraId="503AB12D" w14:textId="18B59C90" w:rsidR="00DD4F2B" w:rsidRPr="00F10790" w:rsidRDefault="00DD4F2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 w:eastAsia="en-GB"/>
        </w:rPr>
        <w:t>Светлане Кане Радевић 3/V,</w:t>
      </w:r>
      <w:r w:rsidR="000452EB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81</w:t>
      </w:r>
      <w:r w:rsidR="000B6C32"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10790">
        <w:rPr>
          <w:rFonts w:ascii="Times New Roman" w:hAnsi="Times New Roman"/>
          <w:sz w:val="22"/>
          <w:szCs w:val="22"/>
          <w:lang w:val="sr-Cyrl-ME"/>
        </w:rPr>
        <w:t>000 Подгорица, Црна Гора</w:t>
      </w:r>
    </w:p>
    <w:p w14:paraId="76ABECE7" w14:textId="6E4383B5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2F20A3DA" w14:textId="77777777" w:rsidR="008D030E" w:rsidRPr="00F10790" w:rsidRDefault="008D030E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3CAC46CA" w14:textId="424320E2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8. БРОЈ ДОЗВОЛЕ ЗА СТАВЉАЊЕ ЛИЈЕКА У ПРОМЕТ</w:t>
      </w:r>
    </w:p>
    <w:p w14:paraId="38248A60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02DDCBC9" w14:textId="78857910" w:rsidR="00DD4F2B" w:rsidRPr="00F10790" w:rsidRDefault="00F10790" w:rsidP="00F10790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 w:eastAsia="sr-Latn-ME"/>
        </w:rPr>
      </w:pPr>
      <w:r w:rsidRPr="00F10790">
        <w:rPr>
          <w:rFonts w:ascii="Times New Roman" w:hAnsi="Times New Roman"/>
          <w:sz w:val="22"/>
          <w:szCs w:val="22"/>
          <w:lang w:val="sr-Cyrl-ME" w:eastAsia="sr-Latn-ME"/>
        </w:rPr>
        <w:t>2030/25/459 – 160</w:t>
      </w:r>
    </w:p>
    <w:p w14:paraId="33824A4F" w14:textId="77777777" w:rsidR="00F10790" w:rsidRPr="00F10790" w:rsidRDefault="00F10790" w:rsidP="00F10790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15D3B618" w14:textId="77777777" w:rsidR="008D030E" w:rsidRPr="00F10790" w:rsidRDefault="008D030E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11DF9E16" w14:textId="31D2F5D8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9. ДАТУМ ПРВЕ ДОЗВОЛЕ/ОБНОВЕ ДОЗВОЛЕ ЗА СТАВЉАЊЕ ЛИЈЕКА У ПРОМЕТ</w:t>
      </w:r>
    </w:p>
    <w:p w14:paraId="4AC07115" w14:textId="77777777" w:rsidR="00DD4F2B" w:rsidRPr="00F10790" w:rsidRDefault="00DD4F2B" w:rsidP="00862F4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3BF2139" w14:textId="5C0F4618" w:rsidR="00DD4F2B" w:rsidRPr="00F10790" w:rsidRDefault="000452EB" w:rsidP="00862F46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Датум прве дозволе: </w:t>
      </w:r>
      <w:r w:rsidR="009E5837" w:rsidRPr="00F10790">
        <w:rPr>
          <w:rFonts w:ascii="Times New Roman" w:hAnsi="Times New Roman"/>
          <w:sz w:val="22"/>
          <w:szCs w:val="22"/>
          <w:lang w:val="sr-Cyrl-ME"/>
        </w:rPr>
        <w:t>17.04.2015. године</w:t>
      </w:r>
    </w:p>
    <w:p w14:paraId="666A6571" w14:textId="60F6D863" w:rsidR="00DD4F2B" w:rsidRPr="00F10790" w:rsidRDefault="000452EB" w:rsidP="00201E64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Датум посљедње обнове дозволе: </w:t>
      </w:r>
      <w:r w:rsidR="00F10790" w:rsidRPr="00F10790">
        <w:rPr>
          <w:rFonts w:ascii="Times New Roman" w:hAnsi="Times New Roman"/>
          <w:sz w:val="22"/>
          <w:szCs w:val="22"/>
          <w:lang w:val="sr-Cyrl-ME" w:eastAsia="sr-Latn-ME"/>
        </w:rPr>
        <w:t>30.01.2025. године</w:t>
      </w:r>
    </w:p>
    <w:p w14:paraId="170C0AC3" w14:textId="5C7A3E53" w:rsidR="008D030E" w:rsidRPr="00F10790" w:rsidRDefault="008D030E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58B5DEAD" w14:textId="77777777" w:rsidR="000452EB" w:rsidRPr="00F10790" w:rsidRDefault="000452E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  <w:bookmarkStart w:id="0" w:name="_GoBack"/>
      <w:bookmarkEnd w:id="0"/>
    </w:p>
    <w:p w14:paraId="1AC282CF" w14:textId="51539503" w:rsidR="00DD4F2B" w:rsidRPr="00F10790" w:rsidRDefault="00DD4F2B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F10790">
        <w:rPr>
          <w:rFonts w:ascii="Times New Roman" w:hAnsi="Times New Roman"/>
          <w:b/>
          <w:bCs/>
          <w:sz w:val="22"/>
          <w:szCs w:val="22"/>
          <w:lang w:val="sr-Cyrl-ME"/>
        </w:rPr>
        <w:t>10. ДАТУМ РЕВИЗИЈЕ ТЕКСТА</w:t>
      </w:r>
    </w:p>
    <w:p w14:paraId="0E886BFC" w14:textId="77777777" w:rsidR="008D030E" w:rsidRPr="00F10790" w:rsidRDefault="008D030E" w:rsidP="00DA695D">
      <w:pPr>
        <w:pStyle w:val="Header"/>
        <w:tabs>
          <w:tab w:val="clear" w:pos="4536"/>
          <w:tab w:val="clear" w:pos="9072"/>
        </w:tabs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79C3DB8F" w14:textId="77777777" w:rsidR="00F10790" w:rsidRPr="00F10790" w:rsidRDefault="00F10790" w:rsidP="00F10790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>Јануар, 2025. године</w:t>
      </w:r>
    </w:p>
    <w:p w14:paraId="7A99052E" w14:textId="77777777" w:rsidR="00DD4F2B" w:rsidRPr="00F10790" w:rsidRDefault="00DD4F2B" w:rsidP="00862F46">
      <w:pPr>
        <w:pStyle w:val="Header"/>
        <w:tabs>
          <w:tab w:val="clear" w:pos="4536"/>
          <w:tab w:val="clear" w:pos="9072"/>
        </w:tabs>
        <w:ind w:left="108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71C597B3" w14:textId="77777777" w:rsidR="00834DBB" w:rsidRPr="00F10790" w:rsidRDefault="00CA10E9" w:rsidP="009F4449">
      <w:pPr>
        <w:rPr>
          <w:rFonts w:ascii="Times New Roman" w:hAnsi="Times New Roman"/>
          <w:sz w:val="22"/>
          <w:szCs w:val="22"/>
          <w:lang w:val="sr-Cyrl-ME"/>
        </w:rPr>
      </w:pPr>
      <w:r w:rsidRPr="00F10790">
        <w:rPr>
          <w:rFonts w:ascii="Times New Roman" w:hAnsi="Times New Roman"/>
          <w:sz w:val="22"/>
          <w:szCs w:val="22"/>
          <w:lang w:val="sr-Cyrl-ME"/>
        </w:rPr>
        <w:t xml:space="preserve"> </w:t>
      </w:r>
    </w:p>
    <w:sectPr w:rsidR="00834DBB" w:rsidRPr="00F10790" w:rsidSect="00F10790">
      <w:footerReference w:type="even" r:id="rId14"/>
      <w:footerReference w:type="default" r:id="rId15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284C2" w14:textId="77777777" w:rsidR="00D51637" w:rsidRDefault="00D51637">
      <w:r>
        <w:separator/>
      </w:r>
    </w:p>
  </w:endnote>
  <w:endnote w:type="continuationSeparator" w:id="0">
    <w:p w14:paraId="6140E725" w14:textId="77777777" w:rsidR="00D51637" w:rsidRDefault="00D5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3432" w14:textId="77777777" w:rsidR="005202F9" w:rsidRDefault="0052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64DB0" w14:textId="77777777" w:rsidR="005202F9" w:rsidRDefault="00520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noProof/>
        <w:sz w:val="22"/>
        <w:szCs w:val="22"/>
        <w:lang w:val="en-GB" w:eastAsia="hr-HR"/>
      </w:rPr>
      <w:id w:val="12286475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noProof/>
            <w:sz w:val="22"/>
            <w:szCs w:val="22"/>
            <w:lang w:val="en-GB" w:eastAsia="hr-HR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124CBC" w14:textId="77777777" w:rsidR="00CB701B" w:rsidRDefault="00CB701B">
            <w:pPr>
              <w:pStyle w:val="Footer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</w:pPr>
          </w:p>
          <w:p w14:paraId="03A86CCE" w14:textId="742D6C5F" w:rsidR="005202F9" w:rsidRPr="008E686C" w:rsidRDefault="005202F9">
            <w:pPr>
              <w:pStyle w:val="Footer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</w:pP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begin"/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instrText xml:space="preserve"> PAGE </w:instrTex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separate"/>
            </w:r>
            <w:r w:rsidR="00F10790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t>10</w: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end"/>
            </w:r>
            <w:r w:rsidR="00CB701B">
              <w:rPr>
                <w:rFonts w:ascii="Times New Roman" w:hAnsi="Times New Roman"/>
                <w:noProof/>
                <w:sz w:val="22"/>
                <w:szCs w:val="22"/>
                <w:lang w:val="sr-Cyrl-ME" w:eastAsia="hr-HR"/>
              </w:rPr>
              <w:t xml:space="preserve"> </w: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t>/</w:t>
            </w:r>
            <w:r w:rsidR="00CB701B">
              <w:rPr>
                <w:rFonts w:ascii="Times New Roman" w:hAnsi="Times New Roman"/>
                <w:noProof/>
                <w:sz w:val="22"/>
                <w:szCs w:val="22"/>
                <w:lang w:val="sr-Cyrl-ME" w:eastAsia="hr-HR"/>
              </w:rPr>
              <w:t xml:space="preserve"> </w: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begin"/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instrText xml:space="preserve"> NUMPAGES  </w:instrTex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separate"/>
            </w:r>
            <w:r w:rsidR="00F10790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t>10</w:t>
            </w:r>
            <w:r w:rsidRPr="008E686C">
              <w:rPr>
                <w:rFonts w:ascii="Times New Roman" w:hAnsi="Times New Roman"/>
                <w:noProof/>
                <w:sz w:val="22"/>
                <w:szCs w:val="22"/>
                <w:lang w:val="en-GB" w:eastAsia="hr-HR"/>
              </w:rPr>
              <w:fldChar w:fldCharType="end"/>
            </w:r>
          </w:p>
        </w:sdtContent>
      </w:sdt>
    </w:sdtContent>
  </w:sdt>
  <w:p w14:paraId="553ABBCA" w14:textId="77777777" w:rsidR="005202F9" w:rsidRDefault="00520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298E" w14:textId="77777777" w:rsidR="00D51637" w:rsidRDefault="00D51637">
      <w:r>
        <w:separator/>
      </w:r>
    </w:p>
  </w:footnote>
  <w:footnote w:type="continuationSeparator" w:id="0">
    <w:p w14:paraId="6EA05DBB" w14:textId="77777777" w:rsidR="00D51637" w:rsidRDefault="00D5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909"/>
    <w:multiLevelType w:val="hybridMultilevel"/>
    <w:tmpl w:val="54E6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CC5"/>
    <w:multiLevelType w:val="hybridMultilevel"/>
    <w:tmpl w:val="41F0F30E"/>
    <w:lvl w:ilvl="0" w:tplc="84F8866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2A75C8B"/>
    <w:multiLevelType w:val="hybridMultilevel"/>
    <w:tmpl w:val="FE349F34"/>
    <w:lvl w:ilvl="0" w:tplc="84F886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0EF"/>
    <w:multiLevelType w:val="hybridMultilevel"/>
    <w:tmpl w:val="01580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19D"/>
    <w:multiLevelType w:val="hybridMultilevel"/>
    <w:tmpl w:val="B94286FE"/>
    <w:lvl w:ilvl="0" w:tplc="84F88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5F5C"/>
    <w:rsid w:val="00006F79"/>
    <w:rsid w:val="00010CEC"/>
    <w:rsid w:val="0003411F"/>
    <w:rsid w:val="000371BB"/>
    <w:rsid w:val="000452EB"/>
    <w:rsid w:val="00052553"/>
    <w:rsid w:val="00054817"/>
    <w:rsid w:val="000554DD"/>
    <w:rsid w:val="00056535"/>
    <w:rsid w:val="000731CF"/>
    <w:rsid w:val="00073407"/>
    <w:rsid w:val="000767BD"/>
    <w:rsid w:val="00080066"/>
    <w:rsid w:val="000821EF"/>
    <w:rsid w:val="00083BE0"/>
    <w:rsid w:val="00087158"/>
    <w:rsid w:val="00090ACC"/>
    <w:rsid w:val="00097A03"/>
    <w:rsid w:val="000A2DBA"/>
    <w:rsid w:val="000B37DE"/>
    <w:rsid w:val="000B6C32"/>
    <w:rsid w:val="000C1983"/>
    <w:rsid w:val="000C2CA2"/>
    <w:rsid w:val="000D030A"/>
    <w:rsid w:val="000D184B"/>
    <w:rsid w:val="000D2FFD"/>
    <w:rsid w:val="000D6271"/>
    <w:rsid w:val="000E1A51"/>
    <w:rsid w:val="000E2D69"/>
    <w:rsid w:val="000E2FF8"/>
    <w:rsid w:val="000E4D81"/>
    <w:rsid w:val="000E6E32"/>
    <w:rsid w:val="000E7465"/>
    <w:rsid w:val="000F0474"/>
    <w:rsid w:val="0010109C"/>
    <w:rsid w:val="001067AC"/>
    <w:rsid w:val="00111EA0"/>
    <w:rsid w:val="001248D7"/>
    <w:rsid w:val="00126FBB"/>
    <w:rsid w:val="0012711D"/>
    <w:rsid w:val="001370D7"/>
    <w:rsid w:val="00140FF5"/>
    <w:rsid w:val="00141D51"/>
    <w:rsid w:val="001474D4"/>
    <w:rsid w:val="00153C36"/>
    <w:rsid w:val="00154276"/>
    <w:rsid w:val="0015542B"/>
    <w:rsid w:val="001623FA"/>
    <w:rsid w:val="00163832"/>
    <w:rsid w:val="00164A33"/>
    <w:rsid w:val="00171218"/>
    <w:rsid w:val="00175A8A"/>
    <w:rsid w:val="00175E36"/>
    <w:rsid w:val="00181986"/>
    <w:rsid w:val="001841AC"/>
    <w:rsid w:val="00184E01"/>
    <w:rsid w:val="00185BB2"/>
    <w:rsid w:val="00186879"/>
    <w:rsid w:val="00186A3E"/>
    <w:rsid w:val="00192852"/>
    <w:rsid w:val="001A1C9D"/>
    <w:rsid w:val="001B0BBA"/>
    <w:rsid w:val="001B2D7B"/>
    <w:rsid w:val="001B4E37"/>
    <w:rsid w:val="001B749B"/>
    <w:rsid w:val="001D0EE8"/>
    <w:rsid w:val="001D3610"/>
    <w:rsid w:val="001D50D8"/>
    <w:rsid w:val="001D58FB"/>
    <w:rsid w:val="001D7928"/>
    <w:rsid w:val="001D7A50"/>
    <w:rsid w:val="001E0747"/>
    <w:rsid w:val="001E3EDF"/>
    <w:rsid w:val="001E433F"/>
    <w:rsid w:val="001E6145"/>
    <w:rsid w:val="001E7E52"/>
    <w:rsid w:val="001F27F4"/>
    <w:rsid w:val="001F6939"/>
    <w:rsid w:val="001F7C3A"/>
    <w:rsid w:val="00201098"/>
    <w:rsid w:val="00201E64"/>
    <w:rsid w:val="00203790"/>
    <w:rsid w:val="0020408D"/>
    <w:rsid w:val="002076C5"/>
    <w:rsid w:val="00207787"/>
    <w:rsid w:val="00207D59"/>
    <w:rsid w:val="002117FF"/>
    <w:rsid w:val="00223840"/>
    <w:rsid w:val="0022544E"/>
    <w:rsid w:val="0022659D"/>
    <w:rsid w:val="00246232"/>
    <w:rsid w:val="00246F98"/>
    <w:rsid w:val="00247021"/>
    <w:rsid w:val="002519A4"/>
    <w:rsid w:val="002625B9"/>
    <w:rsid w:val="0026507B"/>
    <w:rsid w:val="00265E5B"/>
    <w:rsid w:val="00271B98"/>
    <w:rsid w:val="00273BE0"/>
    <w:rsid w:val="0028115C"/>
    <w:rsid w:val="00281A75"/>
    <w:rsid w:val="0028237E"/>
    <w:rsid w:val="00287D5D"/>
    <w:rsid w:val="00295167"/>
    <w:rsid w:val="002B267F"/>
    <w:rsid w:val="002B6F6A"/>
    <w:rsid w:val="002B72F6"/>
    <w:rsid w:val="002C1748"/>
    <w:rsid w:val="002C3F44"/>
    <w:rsid w:val="002D03E7"/>
    <w:rsid w:val="002D6740"/>
    <w:rsid w:val="002E2E81"/>
    <w:rsid w:val="002E4B65"/>
    <w:rsid w:val="002E556F"/>
    <w:rsid w:val="002F5242"/>
    <w:rsid w:val="002F57E8"/>
    <w:rsid w:val="002F70F9"/>
    <w:rsid w:val="003002AD"/>
    <w:rsid w:val="003020DF"/>
    <w:rsid w:val="00303A0E"/>
    <w:rsid w:val="00304E76"/>
    <w:rsid w:val="00306A77"/>
    <w:rsid w:val="00306CE1"/>
    <w:rsid w:val="00316DC0"/>
    <w:rsid w:val="00323313"/>
    <w:rsid w:val="003250B6"/>
    <w:rsid w:val="00325E18"/>
    <w:rsid w:val="00330C4F"/>
    <w:rsid w:val="00333843"/>
    <w:rsid w:val="00340114"/>
    <w:rsid w:val="0034033F"/>
    <w:rsid w:val="00353A0A"/>
    <w:rsid w:val="0036090D"/>
    <w:rsid w:val="00360D35"/>
    <w:rsid w:val="0036355F"/>
    <w:rsid w:val="00374C4C"/>
    <w:rsid w:val="00375658"/>
    <w:rsid w:val="003875C0"/>
    <w:rsid w:val="0038766F"/>
    <w:rsid w:val="00393E28"/>
    <w:rsid w:val="003A0B44"/>
    <w:rsid w:val="003A2B19"/>
    <w:rsid w:val="003A4830"/>
    <w:rsid w:val="003A485C"/>
    <w:rsid w:val="003A4FDA"/>
    <w:rsid w:val="003A73C7"/>
    <w:rsid w:val="003B2082"/>
    <w:rsid w:val="003B28C0"/>
    <w:rsid w:val="003B6E79"/>
    <w:rsid w:val="003C1234"/>
    <w:rsid w:val="003C14B1"/>
    <w:rsid w:val="003C3688"/>
    <w:rsid w:val="003C38D1"/>
    <w:rsid w:val="003D0640"/>
    <w:rsid w:val="003D2521"/>
    <w:rsid w:val="003D4940"/>
    <w:rsid w:val="003E65E1"/>
    <w:rsid w:val="003E7906"/>
    <w:rsid w:val="003F08EC"/>
    <w:rsid w:val="003F4AE5"/>
    <w:rsid w:val="00403C11"/>
    <w:rsid w:val="00404BE2"/>
    <w:rsid w:val="00407B4F"/>
    <w:rsid w:val="00411F81"/>
    <w:rsid w:val="004123CD"/>
    <w:rsid w:val="0041281D"/>
    <w:rsid w:val="0041684D"/>
    <w:rsid w:val="00421B60"/>
    <w:rsid w:val="00421B92"/>
    <w:rsid w:val="00423E09"/>
    <w:rsid w:val="004254D8"/>
    <w:rsid w:val="00426045"/>
    <w:rsid w:val="00426C51"/>
    <w:rsid w:val="00427D41"/>
    <w:rsid w:val="0043582A"/>
    <w:rsid w:val="00437BF3"/>
    <w:rsid w:val="004404C6"/>
    <w:rsid w:val="00441A1C"/>
    <w:rsid w:val="00445AC1"/>
    <w:rsid w:val="00447499"/>
    <w:rsid w:val="004474ED"/>
    <w:rsid w:val="00447C2E"/>
    <w:rsid w:val="00465D28"/>
    <w:rsid w:val="004836EB"/>
    <w:rsid w:val="00491AB5"/>
    <w:rsid w:val="004A38D6"/>
    <w:rsid w:val="004B23B9"/>
    <w:rsid w:val="004B2DA1"/>
    <w:rsid w:val="004B5313"/>
    <w:rsid w:val="004B6040"/>
    <w:rsid w:val="004C7216"/>
    <w:rsid w:val="004E0709"/>
    <w:rsid w:val="004E55CF"/>
    <w:rsid w:val="004F3C44"/>
    <w:rsid w:val="004F707D"/>
    <w:rsid w:val="0050133B"/>
    <w:rsid w:val="00506656"/>
    <w:rsid w:val="00510BC0"/>
    <w:rsid w:val="0051548C"/>
    <w:rsid w:val="00516F51"/>
    <w:rsid w:val="005202F9"/>
    <w:rsid w:val="005227A1"/>
    <w:rsid w:val="00524809"/>
    <w:rsid w:val="005325C4"/>
    <w:rsid w:val="00533BDA"/>
    <w:rsid w:val="00535D85"/>
    <w:rsid w:val="00540324"/>
    <w:rsid w:val="005428D4"/>
    <w:rsid w:val="00542F7C"/>
    <w:rsid w:val="0054310C"/>
    <w:rsid w:val="0054478B"/>
    <w:rsid w:val="00552B5F"/>
    <w:rsid w:val="00556745"/>
    <w:rsid w:val="0056065B"/>
    <w:rsid w:val="0056066B"/>
    <w:rsid w:val="005618F6"/>
    <w:rsid w:val="00561F3E"/>
    <w:rsid w:val="005650A8"/>
    <w:rsid w:val="0056719E"/>
    <w:rsid w:val="00567F0F"/>
    <w:rsid w:val="00574136"/>
    <w:rsid w:val="005A6168"/>
    <w:rsid w:val="005A650C"/>
    <w:rsid w:val="005B5254"/>
    <w:rsid w:val="005B5FAF"/>
    <w:rsid w:val="005B7784"/>
    <w:rsid w:val="005C3F73"/>
    <w:rsid w:val="005C5044"/>
    <w:rsid w:val="005C7891"/>
    <w:rsid w:val="005D3A7F"/>
    <w:rsid w:val="005D6986"/>
    <w:rsid w:val="005D6B47"/>
    <w:rsid w:val="005E7BA5"/>
    <w:rsid w:val="00602111"/>
    <w:rsid w:val="006054EE"/>
    <w:rsid w:val="00606352"/>
    <w:rsid w:val="00613862"/>
    <w:rsid w:val="00613FB5"/>
    <w:rsid w:val="0061464D"/>
    <w:rsid w:val="0062218B"/>
    <w:rsid w:val="00622E69"/>
    <w:rsid w:val="006313C9"/>
    <w:rsid w:val="00631F48"/>
    <w:rsid w:val="00641A83"/>
    <w:rsid w:val="00642E6B"/>
    <w:rsid w:val="00643185"/>
    <w:rsid w:val="00645AE2"/>
    <w:rsid w:val="00651388"/>
    <w:rsid w:val="006559AF"/>
    <w:rsid w:val="00656A4D"/>
    <w:rsid w:val="00661637"/>
    <w:rsid w:val="0066599E"/>
    <w:rsid w:val="0067085C"/>
    <w:rsid w:val="00677958"/>
    <w:rsid w:val="0068131D"/>
    <w:rsid w:val="0069367E"/>
    <w:rsid w:val="006A1C44"/>
    <w:rsid w:val="006A3D4F"/>
    <w:rsid w:val="006A6A06"/>
    <w:rsid w:val="006B12D6"/>
    <w:rsid w:val="006B256C"/>
    <w:rsid w:val="006B339B"/>
    <w:rsid w:val="006C11E5"/>
    <w:rsid w:val="006C1C1B"/>
    <w:rsid w:val="006C6DF4"/>
    <w:rsid w:val="006C7062"/>
    <w:rsid w:val="006D60F1"/>
    <w:rsid w:val="006E1ED7"/>
    <w:rsid w:val="006E56AE"/>
    <w:rsid w:val="006E5953"/>
    <w:rsid w:val="006E6532"/>
    <w:rsid w:val="006F463B"/>
    <w:rsid w:val="006F6B73"/>
    <w:rsid w:val="00701301"/>
    <w:rsid w:val="007116BA"/>
    <w:rsid w:val="00711BCE"/>
    <w:rsid w:val="007259B9"/>
    <w:rsid w:val="00725C51"/>
    <w:rsid w:val="00726FCC"/>
    <w:rsid w:val="00730F4A"/>
    <w:rsid w:val="007357AB"/>
    <w:rsid w:val="00742884"/>
    <w:rsid w:val="00742A26"/>
    <w:rsid w:val="00743599"/>
    <w:rsid w:val="00745379"/>
    <w:rsid w:val="0074747F"/>
    <w:rsid w:val="00747661"/>
    <w:rsid w:val="00750461"/>
    <w:rsid w:val="00751217"/>
    <w:rsid w:val="00753AC9"/>
    <w:rsid w:val="00762F8D"/>
    <w:rsid w:val="007631AF"/>
    <w:rsid w:val="0076390A"/>
    <w:rsid w:val="00764DC8"/>
    <w:rsid w:val="00770279"/>
    <w:rsid w:val="00770342"/>
    <w:rsid w:val="0077252B"/>
    <w:rsid w:val="00773454"/>
    <w:rsid w:val="00780773"/>
    <w:rsid w:val="007851EE"/>
    <w:rsid w:val="00790C13"/>
    <w:rsid w:val="007A06F0"/>
    <w:rsid w:val="007A61E9"/>
    <w:rsid w:val="007B1E5A"/>
    <w:rsid w:val="007B2331"/>
    <w:rsid w:val="007B3262"/>
    <w:rsid w:val="007B45D9"/>
    <w:rsid w:val="007B7059"/>
    <w:rsid w:val="007B7360"/>
    <w:rsid w:val="007B745C"/>
    <w:rsid w:val="007C36EE"/>
    <w:rsid w:val="007C5E0B"/>
    <w:rsid w:val="007C5FFE"/>
    <w:rsid w:val="007D0AC2"/>
    <w:rsid w:val="007D113B"/>
    <w:rsid w:val="007D3F38"/>
    <w:rsid w:val="007D63D9"/>
    <w:rsid w:val="007D79B1"/>
    <w:rsid w:val="007E111D"/>
    <w:rsid w:val="007E4B5F"/>
    <w:rsid w:val="007F0E8F"/>
    <w:rsid w:val="0080060B"/>
    <w:rsid w:val="008052B7"/>
    <w:rsid w:val="00806174"/>
    <w:rsid w:val="008102EF"/>
    <w:rsid w:val="00812815"/>
    <w:rsid w:val="00813788"/>
    <w:rsid w:val="00814219"/>
    <w:rsid w:val="00814F8E"/>
    <w:rsid w:val="00820F0D"/>
    <w:rsid w:val="00833D2B"/>
    <w:rsid w:val="00834DBB"/>
    <w:rsid w:val="008423ED"/>
    <w:rsid w:val="00842FFB"/>
    <w:rsid w:val="008471B4"/>
    <w:rsid w:val="008501A9"/>
    <w:rsid w:val="00851247"/>
    <w:rsid w:val="00853929"/>
    <w:rsid w:val="00860E1D"/>
    <w:rsid w:val="00861D04"/>
    <w:rsid w:val="00862F46"/>
    <w:rsid w:val="0086351A"/>
    <w:rsid w:val="00870863"/>
    <w:rsid w:val="0087486B"/>
    <w:rsid w:val="00892BEE"/>
    <w:rsid w:val="008A1273"/>
    <w:rsid w:val="008A1C15"/>
    <w:rsid w:val="008A207A"/>
    <w:rsid w:val="008A3EB9"/>
    <w:rsid w:val="008A6866"/>
    <w:rsid w:val="008A7261"/>
    <w:rsid w:val="008B0CA9"/>
    <w:rsid w:val="008B474C"/>
    <w:rsid w:val="008B6618"/>
    <w:rsid w:val="008B7A54"/>
    <w:rsid w:val="008C0626"/>
    <w:rsid w:val="008C1352"/>
    <w:rsid w:val="008C16BC"/>
    <w:rsid w:val="008D030E"/>
    <w:rsid w:val="008D3F68"/>
    <w:rsid w:val="008D5A47"/>
    <w:rsid w:val="008E0256"/>
    <w:rsid w:val="008E686C"/>
    <w:rsid w:val="008F22D8"/>
    <w:rsid w:val="008F4BCD"/>
    <w:rsid w:val="008F6352"/>
    <w:rsid w:val="0090076D"/>
    <w:rsid w:val="00904598"/>
    <w:rsid w:val="0092309A"/>
    <w:rsid w:val="009244C7"/>
    <w:rsid w:val="00930700"/>
    <w:rsid w:val="00932CE7"/>
    <w:rsid w:val="00934574"/>
    <w:rsid w:val="009463D1"/>
    <w:rsid w:val="00967EBC"/>
    <w:rsid w:val="009755BA"/>
    <w:rsid w:val="0098289F"/>
    <w:rsid w:val="00987B68"/>
    <w:rsid w:val="00992C42"/>
    <w:rsid w:val="00993AD2"/>
    <w:rsid w:val="0099484E"/>
    <w:rsid w:val="009A7F59"/>
    <w:rsid w:val="009B0354"/>
    <w:rsid w:val="009B188E"/>
    <w:rsid w:val="009B1FB1"/>
    <w:rsid w:val="009B2671"/>
    <w:rsid w:val="009B43A6"/>
    <w:rsid w:val="009B7C1F"/>
    <w:rsid w:val="009C6C58"/>
    <w:rsid w:val="009D218B"/>
    <w:rsid w:val="009D356B"/>
    <w:rsid w:val="009E0CF4"/>
    <w:rsid w:val="009E5837"/>
    <w:rsid w:val="009E6981"/>
    <w:rsid w:val="009F4174"/>
    <w:rsid w:val="009F4449"/>
    <w:rsid w:val="00A06423"/>
    <w:rsid w:val="00A07EFE"/>
    <w:rsid w:val="00A22185"/>
    <w:rsid w:val="00A24340"/>
    <w:rsid w:val="00A25286"/>
    <w:rsid w:val="00A26654"/>
    <w:rsid w:val="00A31ED5"/>
    <w:rsid w:val="00A41066"/>
    <w:rsid w:val="00A41AF4"/>
    <w:rsid w:val="00A43443"/>
    <w:rsid w:val="00A4371C"/>
    <w:rsid w:val="00A44AF1"/>
    <w:rsid w:val="00A47CC9"/>
    <w:rsid w:val="00A50C3F"/>
    <w:rsid w:val="00A52A54"/>
    <w:rsid w:val="00A53116"/>
    <w:rsid w:val="00A55323"/>
    <w:rsid w:val="00A556E0"/>
    <w:rsid w:val="00A55C0A"/>
    <w:rsid w:val="00A566C5"/>
    <w:rsid w:val="00A56913"/>
    <w:rsid w:val="00A56F6E"/>
    <w:rsid w:val="00A609E8"/>
    <w:rsid w:val="00A61E2C"/>
    <w:rsid w:val="00A64BC3"/>
    <w:rsid w:val="00A66885"/>
    <w:rsid w:val="00A70F02"/>
    <w:rsid w:val="00A75F8D"/>
    <w:rsid w:val="00A8201C"/>
    <w:rsid w:val="00A91280"/>
    <w:rsid w:val="00A9267D"/>
    <w:rsid w:val="00A945A0"/>
    <w:rsid w:val="00A9466A"/>
    <w:rsid w:val="00A95842"/>
    <w:rsid w:val="00A96E26"/>
    <w:rsid w:val="00AA1EC3"/>
    <w:rsid w:val="00AA2747"/>
    <w:rsid w:val="00AA2B52"/>
    <w:rsid w:val="00AA3F54"/>
    <w:rsid w:val="00AA70BC"/>
    <w:rsid w:val="00AB44F2"/>
    <w:rsid w:val="00AC093D"/>
    <w:rsid w:val="00AC35CE"/>
    <w:rsid w:val="00AC4E4A"/>
    <w:rsid w:val="00AC5418"/>
    <w:rsid w:val="00AC664A"/>
    <w:rsid w:val="00AD066F"/>
    <w:rsid w:val="00AD0EA1"/>
    <w:rsid w:val="00AD12FC"/>
    <w:rsid w:val="00AD1900"/>
    <w:rsid w:val="00AD1A85"/>
    <w:rsid w:val="00AD30B0"/>
    <w:rsid w:val="00AD3B52"/>
    <w:rsid w:val="00AD472A"/>
    <w:rsid w:val="00AE01A3"/>
    <w:rsid w:val="00AE123F"/>
    <w:rsid w:val="00AE16A1"/>
    <w:rsid w:val="00AE3862"/>
    <w:rsid w:val="00AE48E5"/>
    <w:rsid w:val="00AE5F25"/>
    <w:rsid w:val="00AE73FB"/>
    <w:rsid w:val="00AE75D5"/>
    <w:rsid w:val="00AF2856"/>
    <w:rsid w:val="00AF3DC8"/>
    <w:rsid w:val="00AF6875"/>
    <w:rsid w:val="00AF6EBE"/>
    <w:rsid w:val="00B04041"/>
    <w:rsid w:val="00B12849"/>
    <w:rsid w:val="00B1633B"/>
    <w:rsid w:val="00B16F08"/>
    <w:rsid w:val="00B3787F"/>
    <w:rsid w:val="00B406BE"/>
    <w:rsid w:val="00B41B0A"/>
    <w:rsid w:val="00B51944"/>
    <w:rsid w:val="00B63257"/>
    <w:rsid w:val="00B66ABE"/>
    <w:rsid w:val="00B72216"/>
    <w:rsid w:val="00B7314E"/>
    <w:rsid w:val="00B74064"/>
    <w:rsid w:val="00B77912"/>
    <w:rsid w:val="00B801EA"/>
    <w:rsid w:val="00B81AB6"/>
    <w:rsid w:val="00B834A4"/>
    <w:rsid w:val="00B9033E"/>
    <w:rsid w:val="00B92ABC"/>
    <w:rsid w:val="00B962BD"/>
    <w:rsid w:val="00BA4C06"/>
    <w:rsid w:val="00BA7287"/>
    <w:rsid w:val="00BA7FA0"/>
    <w:rsid w:val="00BB02C8"/>
    <w:rsid w:val="00BB5EB9"/>
    <w:rsid w:val="00BC37B5"/>
    <w:rsid w:val="00BC5033"/>
    <w:rsid w:val="00BD5388"/>
    <w:rsid w:val="00BD725A"/>
    <w:rsid w:val="00BE26D2"/>
    <w:rsid w:val="00BE2E98"/>
    <w:rsid w:val="00BE3573"/>
    <w:rsid w:val="00BF3AA3"/>
    <w:rsid w:val="00BF7458"/>
    <w:rsid w:val="00C1108E"/>
    <w:rsid w:val="00C11AAA"/>
    <w:rsid w:val="00C124FE"/>
    <w:rsid w:val="00C13577"/>
    <w:rsid w:val="00C14FB3"/>
    <w:rsid w:val="00C152D9"/>
    <w:rsid w:val="00C20A0F"/>
    <w:rsid w:val="00C229E5"/>
    <w:rsid w:val="00C23800"/>
    <w:rsid w:val="00C23A76"/>
    <w:rsid w:val="00C32558"/>
    <w:rsid w:val="00C334F7"/>
    <w:rsid w:val="00C33AB6"/>
    <w:rsid w:val="00C3625C"/>
    <w:rsid w:val="00C370C9"/>
    <w:rsid w:val="00C52694"/>
    <w:rsid w:val="00C55F47"/>
    <w:rsid w:val="00C62781"/>
    <w:rsid w:val="00C63A18"/>
    <w:rsid w:val="00C67191"/>
    <w:rsid w:val="00C75DCA"/>
    <w:rsid w:val="00C770DD"/>
    <w:rsid w:val="00C772B5"/>
    <w:rsid w:val="00C86ECD"/>
    <w:rsid w:val="00C9003E"/>
    <w:rsid w:val="00C908B9"/>
    <w:rsid w:val="00C932F7"/>
    <w:rsid w:val="00CA10E9"/>
    <w:rsid w:val="00CA1825"/>
    <w:rsid w:val="00CA1E44"/>
    <w:rsid w:val="00CA2EAF"/>
    <w:rsid w:val="00CB349B"/>
    <w:rsid w:val="00CB42F8"/>
    <w:rsid w:val="00CB5CF4"/>
    <w:rsid w:val="00CB701B"/>
    <w:rsid w:val="00CC4C88"/>
    <w:rsid w:val="00CC7D57"/>
    <w:rsid w:val="00CD2FB1"/>
    <w:rsid w:val="00CE05A4"/>
    <w:rsid w:val="00CE17B3"/>
    <w:rsid w:val="00CE1DE9"/>
    <w:rsid w:val="00CE76DA"/>
    <w:rsid w:val="00D023A0"/>
    <w:rsid w:val="00D023B1"/>
    <w:rsid w:val="00D02984"/>
    <w:rsid w:val="00D04383"/>
    <w:rsid w:val="00D07D71"/>
    <w:rsid w:val="00D107F5"/>
    <w:rsid w:val="00D108C1"/>
    <w:rsid w:val="00D11421"/>
    <w:rsid w:val="00D12E6C"/>
    <w:rsid w:val="00D13E20"/>
    <w:rsid w:val="00D174F7"/>
    <w:rsid w:val="00D22F85"/>
    <w:rsid w:val="00D25195"/>
    <w:rsid w:val="00D26CDD"/>
    <w:rsid w:val="00D309BE"/>
    <w:rsid w:val="00D43CE9"/>
    <w:rsid w:val="00D454D4"/>
    <w:rsid w:val="00D51637"/>
    <w:rsid w:val="00D53CC2"/>
    <w:rsid w:val="00D55F5A"/>
    <w:rsid w:val="00D56502"/>
    <w:rsid w:val="00D623CF"/>
    <w:rsid w:val="00D628B4"/>
    <w:rsid w:val="00D62AD0"/>
    <w:rsid w:val="00D6589B"/>
    <w:rsid w:val="00D70DE3"/>
    <w:rsid w:val="00D73AD2"/>
    <w:rsid w:val="00D73FEA"/>
    <w:rsid w:val="00D801F2"/>
    <w:rsid w:val="00D81167"/>
    <w:rsid w:val="00D85048"/>
    <w:rsid w:val="00D85C0C"/>
    <w:rsid w:val="00D966DA"/>
    <w:rsid w:val="00DA206E"/>
    <w:rsid w:val="00DA292A"/>
    <w:rsid w:val="00DA60C3"/>
    <w:rsid w:val="00DA6120"/>
    <w:rsid w:val="00DA695D"/>
    <w:rsid w:val="00DC2EED"/>
    <w:rsid w:val="00DC453D"/>
    <w:rsid w:val="00DC7A4A"/>
    <w:rsid w:val="00DD0035"/>
    <w:rsid w:val="00DD0721"/>
    <w:rsid w:val="00DD2331"/>
    <w:rsid w:val="00DD2B95"/>
    <w:rsid w:val="00DD2DE4"/>
    <w:rsid w:val="00DD4F2B"/>
    <w:rsid w:val="00DD6613"/>
    <w:rsid w:val="00DE355C"/>
    <w:rsid w:val="00DE3B49"/>
    <w:rsid w:val="00DE50AB"/>
    <w:rsid w:val="00DF0F9B"/>
    <w:rsid w:val="00DF2A7C"/>
    <w:rsid w:val="00DF4BE4"/>
    <w:rsid w:val="00DF744D"/>
    <w:rsid w:val="00E03EE7"/>
    <w:rsid w:val="00E1391F"/>
    <w:rsid w:val="00E17A44"/>
    <w:rsid w:val="00E20E1D"/>
    <w:rsid w:val="00E218B1"/>
    <w:rsid w:val="00E261F2"/>
    <w:rsid w:val="00E307B8"/>
    <w:rsid w:val="00E31CC0"/>
    <w:rsid w:val="00E41E7B"/>
    <w:rsid w:val="00E47C2F"/>
    <w:rsid w:val="00E56736"/>
    <w:rsid w:val="00E615E4"/>
    <w:rsid w:val="00E62D45"/>
    <w:rsid w:val="00E63A26"/>
    <w:rsid w:val="00E6545A"/>
    <w:rsid w:val="00E72892"/>
    <w:rsid w:val="00E732BB"/>
    <w:rsid w:val="00E74B9A"/>
    <w:rsid w:val="00E76E22"/>
    <w:rsid w:val="00E77FE5"/>
    <w:rsid w:val="00E83DF9"/>
    <w:rsid w:val="00E945DC"/>
    <w:rsid w:val="00E96D37"/>
    <w:rsid w:val="00EA020F"/>
    <w:rsid w:val="00EA355C"/>
    <w:rsid w:val="00EA6F28"/>
    <w:rsid w:val="00EA7BFF"/>
    <w:rsid w:val="00EB12AC"/>
    <w:rsid w:val="00EB5148"/>
    <w:rsid w:val="00EB5309"/>
    <w:rsid w:val="00EB78B4"/>
    <w:rsid w:val="00EC0D7C"/>
    <w:rsid w:val="00EC3114"/>
    <w:rsid w:val="00EC38AC"/>
    <w:rsid w:val="00ED2CC7"/>
    <w:rsid w:val="00ED5425"/>
    <w:rsid w:val="00EE6255"/>
    <w:rsid w:val="00EF5EDE"/>
    <w:rsid w:val="00EF68BF"/>
    <w:rsid w:val="00F0205F"/>
    <w:rsid w:val="00F1055F"/>
    <w:rsid w:val="00F10790"/>
    <w:rsid w:val="00F11492"/>
    <w:rsid w:val="00F119FA"/>
    <w:rsid w:val="00F22569"/>
    <w:rsid w:val="00F263C5"/>
    <w:rsid w:val="00F34FA3"/>
    <w:rsid w:val="00F43611"/>
    <w:rsid w:val="00F526D9"/>
    <w:rsid w:val="00F53229"/>
    <w:rsid w:val="00F54BC7"/>
    <w:rsid w:val="00F63EF2"/>
    <w:rsid w:val="00F73E76"/>
    <w:rsid w:val="00F81A81"/>
    <w:rsid w:val="00F82BF8"/>
    <w:rsid w:val="00F872D2"/>
    <w:rsid w:val="00F915FE"/>
    <w:rsid w:val="00F95D8B"/>
    <w:rsid w:val="00F969B9"/>
    <w:rsid w:val="00FA0182"/>
    <w:rsid w:val="00FA0E1B"/>
    <w:rsid w:val="00FB07CD"/>
    <w:rsid w:val="00FC034B"/>
    <w:rsid w:val="00FC35F1"/>
    <w:rsid w:val="00FC524C"/>
    <w:rsid w:val="00FC5357"/>
    <w:rsid w:val="00FE560E"/>
    <w:rsid w:val="00FF1C7E"/>
    <w:rsid w:val="00FF24DC"/>
    <w:rsid w:val="00FF3BF5"/>
    <w:rsid w:val="00FF6892"/>
    <w:rsid w:val="00FF6EC2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C2E0C"/>
  <w15:docId w15:val="{19916761-57C4-4934-93A5-11D1EBE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A1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1">
    <w:name w:val="heading 1"/>
    <w:basedOn w:val="Normal"/>
    <w:next w:val="Normal"/>
    <w:qFormat/>
    <w:rsid w:val="00AE16A1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AE16A1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AE16A1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AE16A1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6A1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E16A1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E16A1"/>
  </w:style>
  <w:style w:type="character" w:styleId="CommentReference">
    <w:name w:val="annotation reference"/>
    <w:semiHidden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945DC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lang w:val="en-GB" w:eastAsia="en-GB"/>
    </w:rPr>
  </w:style>
  <w:style w:type="paragraph" w:styleId="BodyText">
    <w:name w:val="Body Text"/>
    <w:basedOn w:val="Normal"/>
    <w:rsid w:val="00E6545A"/>
    <w:pPr>
      <w:widowControl w:val="0"/>
      <w:tabs>
        <w:tab w:val="clear" w:pos="284"/>
      </w:tabs>
    </w:pPr>
    <w:rPr>
      <w:rFonts w:ascii="Arial" w:hAnsi="Arial"/>
      <w:sz w:val="28"/>
      <w:szCs w:val="20"/>
      <w:lang w:val="en-GB" w:eastAsia="en-GB"/>
    </w:rPr>
  </w:style>
  <w:style w:type="paragraph" w:customStyle="1" w:styleId="Default">
    <w:name w:val="Default"/>
    <w:rsid w:val="00426045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ecxlongtext">
    <w:name w:val="ecxlongtext"/>
    <w:basedOn w:val="DefaultParagraphFont"/>
    <w:rsid w:val="00D85C0C"/>
  </w:style>
  <w:style w:type="paragraph" w:styleId="Revision">
    <w:name w:val="Revision"/>
    <w:hidden/>
    <w:uiPriority w:val="99"/>
    <w:semiHidden/>
    <w:rsid w:val="00E41E7B"/>
    <w:rPr>
      <w:rFonts w:ascii="Humanist777" w:hAnsi="Humanist777"/>
      <w:sz w:val="24"/>
      <w:szCs w:val="24"/>
    </w:rPr>
  </w:style>
  <w:style w:type="character" w:styleId="Hyperlink">
    <w:name w:val="Hyperlink"/>
    <w:rsid w:val="00606352"/>
    <w:rPr>
      <w:color w:val="0000FF"/>
      <w:u w:val="single"/>
    </w:rPr>
  </w:style>
  <w:style w:type="character" w:customStyle="1" w:styleId="hps">
    <w:name w:val="hps"/>
    <w:basedOn w:val="DefaultParagraphFont"/>
    <w:rsid w:val="00641A83"/>
  </w:style>
  <w:style w:type="character" w:styleId="Emphasis">
    <w:name w:val="Emphasis"/>
    <w:uiPriority w:val="20"/>
    <w:qFormat/>
    <w:rsid w:val="001370D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C0A"/>
    <w:rPr>
      <w:rFonts w:ascii="Humanist777" w:hAnsi="Humanist777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465"/>
    <w:pPr>
      <w:ind w:left="720"/>
      <w:contextualSpacing/>
    </w:pPr>
  </w:style>
  <w:style w:type="table" w:styleId="TableGrid">
    <w:name w:val="Table Grid"/>
    <w:basedOn w:val="TableNormal"/>
    <w:rsid w:val="0020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&#1077;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&#1077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ADNI\KOMISIJE%20SPC,PIL\Vodici%20i%20formulari%20za%20SmPC%20i%20PIL\Novi\SAZETAK%20KARAKTERISTIKA%20LE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6" ma:contentTypeDescription="Create a new document." ma:contentTypeScope="" ma:versionID="1ab04713649b0279deed7896309f5272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257c2d5c0b48a3766d58439e193deef0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</documentManagement>
</p:properties>
</file>

<file path=customXml/itemProps1.xml><?xml version="1.0" encoding="utf-8"?>
<ds:datastoreItem xmlns:ds="http://schemas.openxmlformats.org/officeDocument/2006/customXml" ds:itemID="{4741742B-F627-49D9-A9DF-3D728F60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3DC9-07A6-4488-8F41-CD3566599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89688-C5E8-4F90-B389-CC594F7EDF60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SAZETAK KARAKTERISTIKA LEKA</Template>
  <TotalTime>72</TotalTime>
  <Pages>10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Berts-pc</Company>
  <LinksUpToDate>false</LinksUpToDate>
  <CharactersWithSpaces>19283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35</cp:revision>
  <cp:lastPrinted>2016-12-23T10:22:00Z</cp:lastPrinted>
  <dcterms:created xsi:type="dcterms:W3CDTF">2024-09-12T07:16:00Z</dcterms:created>
  <dcterms:modified xsi:type="dcterms:W3CDTF">2025-01-30T07:36:00Z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