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326C2" w14:textId="77777777" w:rsidR="001A5518" w:rsidRPr="003D5E41" w:rsidRDefault="001A5518" w:rsidP="001A5518">
      <w:pPr>
        <w:rPr>
          <w:b/>
          <w:bCs/>
          <w:i/>
          <w:iCs/>
          <w:sz w:val="22"/>
          <w:szCs w:val="22"/>
          <w:u w:val="single"/>
          <w:lang w:val="sr-Latn-RS"/>
        </w:rPr>
      </w:pPr>
    </w:p>
    <w:p w14:paraId="4152CD7F" w14:textId="77777777" w:rsidR="00F91C7B" w:rsidRPr="00786071" w:rsidRDefault="00F91C7B" w:rsidP="001A5518">
      <w:pPr>
        <w:rPr>
          <w:b/>
          <w:bCs/>
          <w:i/>
          <w:iCs/>
          <w:sz w:val="22"/>
          <w:szCs w:val="22"/>
          <w:u w:val="single"/>
        </w:rPr>
      </w:pPr>
    </w:p>
    <w:p w14:paraId="20A265FE" w14:textId="77777777" w:rsidR="002510A5" w:rsidRPr="00234ECD" w:rsidRDefault="002510A5" w:rsidP="002510A5">
      <w:pPr>
        <w:jc w:val="center"/>
        <w:rPr>
          <w:b/>
          <w:bCs/>
          <w:iCs/>
          <w:sz w:val="22"/>
          <w:szCs w:val="22"/>
          <w:u w:val="single"/>
          <w:lang w:val="sr-Latn-RS"/>
        </w:rPr>
      </w:pPr>
      <w:r w:rsidRPr="00234ECD">
        <w:rPr>
          <w:b/>
          <w:bCs/>
          <w:iCs/>
          <w:sz w:val="22"/>
          <w:szCs w:val="22"/>
          <w:u w:val="single"/>
          <w:lang w:val="sr-Latn-RS"/>
        </w:rPr>
        <w:t>SAŽETAK KARAKTERISTIKA LIJEKA</w:t>
      </w:r>
    </w:p>
    <w:p w14:paraId="112F877C" w14:textId="77777777" w:rsidR="002510A5" w:rsidRPr="00234ECD" w:rsidRDefault="002510A5" w:rsidP="002510A5">
      <w:pPr>
        <w:rPr>
          <w:b/>
          <w:bCs/>
          <w:i/>
          <w:iCs/>
          <w:sz w:val="22"/>
          <w:szCs w:val="22"/>
          <w:u w:val="single"/>
          <w:lang w:val="sr-Latn-RS"/>
        </w:rPr>
      </w:pPr>
    </w:p>
    <w:p w14:paraId="676D5B17" w14:textId="77777777" w:rsidR="003C17AB" w:rsidRPr="00234ECD" w:rsidRDefault="003C17AB" w:rsidP="00CA1FEB">
      <w:pPr>
        <w:rPr>
          <w:sz w:val="22"/>
          <w:szCs w:val="22"/>
          <w:lang w:val="sr-Latn-RS"/>
        </w:rPr>
      </w:pPr>
    </w:p>
    <w:p w14:paraId="6E65615D" w14:textId="77777777" w:rsidR="00411B4B" w:rsidRPr="00234ECD" w:rsidRDefault="00411B4B" w:rsidP="00F5167F">
      <w:pPr>
        <w:tabs>
          <w:tab w:val="left" w:pos="540"/>
          <w:tab w:val="left" w:pos="569"/>
        </w:tabs>
        <w:rPr>
          <w:b/>
          <w:bCs/>
          <w:sz w:val="22"/>
          <w:szCs w:val="22"/>
          <w:lang w:val="sr-Latn-RS"/>
        </w:rPr>
      </w:pPr>
      <w:r w:rsidRPr="00234ECD">
        <w:rPr>
          <w:b/>
          <w:bCs/>
          <w:sz w:val="22"/>
          <w:szCs w:val="22"/>
          <w:lang w:val="sr-Latn-RS"/>
        </w:rPr>
        <w:t>1.</w:t>
      </w:r>
      <w:r w:rsidR="00F5167F" w:rsidRPr="00234ECD">
        <w:rPr>
          <w:b/>
          <w:bCs/>
          <w:sz w:val="22"/>
          <w:szCs w:val="22"/>
          <w:lang w:val="sr-Latn-RS"/>
        </w:rPr>
        <w:tab/>
      </w:r>
      <w:r w:rsidR="002846DB" w:rsidRPr="00234ECD">
        <w:rPr>
          <w:b/>
          <w:bCs/>
          <w:sz w:val="22"/>
          <w:szCs w:val="22"/>
          <w:lang w:val="sr-Latn-RS"/>
        </w:rPr>
        <w:t xml:space="preserve">NAZIV </w:t>
      </w:r>
      <w:r w:rsidRPr="00234ECD">
        <w:rPr>
          <w:b/>
          <w:bCs/>
          <w:sz w:val="22"/>
          <w:szCs w:val="22"/>
          <w:lang w:val="sr-Latn-RS"/>
        </w:rPr>
        <w:t>LIJEKA</w:t>
      </w:r>
    </w:p>
    <w:p w14:paraId="4255159C" w14:textId="77777777" w:rsidR="00EC2532" w:rsidRPr="00234ECD" w:rsidRDefault="00EC2532">
      <w:pPr>
        <w:rPr>
          <w:sz w:val="22"/>
          <w:szCs w:val="22"/>
          <w:lang w:val="sr-Latn-RS"/>
        </w:rPr>
      </w:pPr>
    </w:p>
    <w:p w14:paraId="0B45A639" w14:textId="57729123" w:rsidR="00D857AC" w:rsidRPr="00234ECD" w:rsidRDefault="00D857AC" w:rsidP="00D857AC">
      <w:pPr>
        <w:jc w:val="both"/>
        <w:rPr>
          <w:rFonts w:eastAsia="Calibri"/>
          <w:sz w:val="22"/>
          <w:szCs w:val="22"/>
          <w:lang w:val="sr-Latn-RS"/>
        </w:rPr>
      </w:pPr>
      <w:r w:rsidRPr="00234ECD">
        <w:rPr>
          <w:rFonts w:eastAsia="Calibri"/>
          <w:sz w:val="22"/>
          <w:szCs w:val="22"/>
          <w:lang w:val="sr-Latn-RS"/>
        </w:rPr>
        <w:t>Cabometyx, 20 mg, film tablet</w:t>
      </w:r>
      <w:r w:rsidR="003A5E3D" w:rsidRPr="00234ECD">
        <w:rPr>
          <w:rFonts w:eastAsia="Calibri"/>
          <w:sz w:val="22"/>
          <w:szCs w:val="22"/>
          <w:lang w:val="sr-Latn-RS"/>
        </w:rPr>
        <w:t>a</w:t>
      </w:r>
    </w:p>
    <w:p w14:paraId="0A069D6B" w14:textId="2696DD93" w:rsidR="00D857AC" w:rsidRPr="00234ECD" w:rsidRDefault="00D857AC" w:rsidP="00D857AC">
      <w:pPr>
        <w:jc w:val="both"/>
        <w:rPr>
          <w:rFonts w:eastAsia="Calibri"/>
          <w:sz w:val="22"/>
          <w:szCs w:val="22"/>
          <w:lang w:val="sr-Latn-RS"/>
        </w:rPr>
      </w:pPr>
      <w:r w:rsidRPr="00234ECD">
        <w:rPr>
          <w:rFonts w:eastAsia="Calibri"/>
          <w:sz w:val="22"/>
          <w:szCs w:val="22"/>
          <w:lang w:val="sr-Latn-RS"/>
        </w:rPr>
        <w:t>Cabometyx, 40 mg, film tablet</w:t>
      </w:r>
      <w:r w:rsidR="003A5E3D" w:rsidRPr="00234ECD">
        <w:rPr>
          <w:rFonts w:eastAsia="Calibri"/>
          <w:sz w:val="22"/>
          <w:szCs w:val="22"/>
          <w:lang w:val="sr-Latn-RS"/>
        </w:rPr>
        <w:t>a</w:t>
      </w:r>
    </w:p>
    <w:p w14:paraId="3AD1DB00" w14:textId="135A7A75" w:rsidR="00D857AC" w:rsidRPr="00234ECD" w:rsidRDefault="00D857AC" w:rsidP="00D857AC">
      <w:pPr>
        <w:jc w:val="both"/>
        <w:rPr>
          <w:rFonts w:eastAsia="Calibri"/>
          <w:sz w:val="22"/>
          <w:szCs w:val="22"/>
          <w:lang w:val="sr-Latn-RS"/>
        </w:rPr>
      </w:pPr>
      <w:r w:rsidRPr="00234ECD">
        <w:rPr>
          <w:rFonts w:eastAsia="Calibri"/>
          <w:sz w:val="22"/>
          <w:szCs w:val="22"/>
          <w:lang w:val="sr-Latn-RS"/>
        </w:rPr>
        <w:t>Cabometyx, 60 mg, film tablet</w:t>
      </w:r>
      <w:r w:rsidR="003A5E3D" w:rsidRPr="00234ECD">
        <w:rPr>
          <w:rFonts w:eastAsia="Calibri"/>
          <w:sz w:val="22"/>
          <w:szCs w:val="22"/>
          <w:lang w:val="sr-Latn-RS"/>
        </w:rPr>
        <w:t>a</w:t>
      </w:r>
    </w:p>
    <w:p w14:paraId="1FCB73A2" w14:textId="77777777" w:rsidR="00D857AC" w:rsidRPr="00234ECD" w:rsidRDefault="00D857AC" w:rsidP="00D857AC">
      <w:pPr>
        <w:jc w:val="both"/>
        <w:rPr>
          <w:rFonts w:eastAsia="Calibri"/>
          <w:sz w:val="22"/>
          <w:szCs w:val="22"/>
          <w:lang w:val="sr-Latn-RS"/>
        </w:rPr>
      </w:pPr>
    </w:p>
    <w:p w14:paraId="5B1FBF27" w14:textId="77777777" w:rsidR="00D857AC" w:rsidRPr="00234ECD" w:rsidRDefault="00D857AC" w:rsidP="00D857AC">
      <w:pPr>
        <w:jc w:val="both"/>
        <w:rPr>
          <w:rFonts w:eastAsia="Calibri"/>
          <w:sz w:val="22"/>
          <w:szCs w:val="22"/>
          <w:lang w:val="sr-Latn-RS"/>
        </w:rPr>
      </w:pPr>
      <w:r w:rsidRPr="00234ECD">
        <w:rPr>
          <w:rFonts w:eastAsia="Calibri"/>
          <w:sz w:val="22"/>
          <w:szCs w:val="22"/>
          <w:lang w:val="sr-Latn-RS"/>
        </w:rPr>
        <w:t>INN: kabozantinib</w:t>
      </w:r>
    </w:p>
    <w:p w14:paraId="525DA953" w14:textId="77777777" w:rsidR="006D20A5" w:rsidRPr="00234ECD" w:rsidRDefault="006D20A5">
      <w:pPr>
        <w:rPr>
          <w:bCs/>
          <w:sz w:val="22"/>
          <w:szCs w:val="22"/>
          <w:lang w:val="sr-Latn-RS"/>
        </w:rPr>
      </w:pPr>
    </w:p>
    <w:p w14:paraId="6E35B3C9" w14:textId="77777777" w:rsidR="00530BD7" w:rsidRPr="00234ECD" w:rsidRDefault="00530BD7">
      <w:pPr>
        <w:rPr>
          <w:bCs/>
          <w:sz w:val="22"/>
          <w:szCs w:val="22"/>
          <w:lang w:val="sr-Latn-RS"/>
        </w:rPr>
      </w:pPr>
    </w:p>
    <w:p w14:paraId="1D3F0FAC" w14:textId="77777777" w:rsidR="00411B4B" w:rsidRPr="00234ECD" w:rsidRDefault="00411B4B" w:rsidP="00F5167F">
      <w:pPr>
        <w:tabs>
          <w:tab w:val="left" w:pos="540"/>
          <w:tab w:val="left" w:pos="569"/>
        </w:tabs>
        <w:rPr>
          <w:b/>
          <w:bCs/>
          <w:sz w:val="22"/>
          <w:szCs w:val="22"/>
          <w:lang w:val="sr-Latn-RS"/>
        </w:rPr>
      </w:pPr>
      <w:r w:rsidRPr="00234ECD">
        <w:rPr>
          <w:b/>
          <w:bCs/>
          <w:sz w:val="22"/>
          <w:szCs w:val="22"/>
          <w:lang w:val="sr-Latn-RS"/>
        </w:rPr>
        <w:t xml:space="preserve">2. </w:t>
      </w:r>
      <w:r w:rsidR="00F5167F" w:rsidRPr="00234ECD">
        <w:rPr>
          <w:b/>
          <w:bCs/>
          <w:sz w:val="22"/>
          <w:szCs w:val="22"/>
          <w:lang w:val="sr-Latn-RS"/>
        </w:rPr>
        <w:tab/>
      </w:r>
      <w:r w:rsidRPr="00234ECD">
        <w:rPr>
          <w:b/>
          <w:bCs/>
          <w:sz w:val="22"/>
          <w:szCs w:val="22"/>
          <w:lang w:val="sr-Latn-RS"/>
        </w:rPr>
        <w:t>KVALITATIVNI I KVANTITATIVNI SASTAV</w:t>
      </w:r>
    </w:p>
    <w:p w14:paraId="7A4C8C20" w14:textId="77777777" w:rsidR="00D857AC" w:rsidRPr="00234ECD" w:rsidRDefault="00D857AC" w:rsidP="00D857AC">
      <w:pPr>
        <w:jc w:val="both"/>
        <w:rPr>
          <w:rFonts w:eastAsia="Calibri"/>
          <w:sz w:val="22"/>
          <w:szCs w:val="22"/>
          <w:u w:val="single"/>
          <w:lang w:val="sr-Latn-RS"/>
        </w:rPr>
      </w:pPr>
    </w:p>
    <w:p w14:paraId="2B767C67" w14:textId="5B84375B"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Cabometyx, 20 mg, film tableta</w:t>
      </w:r>
    </w:p>
    <w:p w14:paraId="7B8F497D" w14:textId="7BE3E362" w:rsidR="00D857AC" w:rsidRPr="00234ECD" w:rsidRDefault="00D857AC" w:rsidP="00D857AC">
      <w:pPr>
        <w:jc w:val="both"/>
        <w:rPr>
          <w:rFonts w:eastAsia="Calibri"/>
          <w:sz w:val="22"/>
          <w:szCs w:val="22"/>
          <w:lang w:val="sr-Latn-RS"/>
        </w:rPr>
      </w:pPr>
      <w:r w:rsidRPr="00234ECD">
        <w:rPr>
          <w:rFonts w:eastAsia="Calibri"/>
          <w:sz w:val="22"/>
          <w:szCs w:val="22"/>
          <w:lang w:val="sr-Latn-RS"/>
        </w:rPr>
        <w:t>Jedna film tableta sadrži 20 mg kabozantiniba u obliku kabozantinib (S)</w:t>
      </w:r>
      <w:r w:rsidR="001F6FDF" w:rsidRPr="00234ECD">
        <w:rPr>
          <w:rFonts w:eastAsia="Calibri"/>
          <w:sz w:val="22"/>
          <w:szCs w:val="22"/>
          <w:lang w:val="sr-Latn-RS"/>
        </w:rPr>
        <w:t>-</w:t>
      </w:r>
      <w:r w:rsidRPr="00234ECD">
        <w:rPr>
          <w:rFonts w:eastAsia="Calibri"/>
          <w:sz w:val="22"/>
          <w:szCs w:val="22"/>
          <w:lang w:val="sr-Latn-RS"/>
        </w:rPr>
        <w:t>malata.</w:t>
      </w:r>
    </w:p>
    <w:p w14:paraId="43034AF4" w14:textId="77777777" w:rsidR="00D857AC" w:rsidRPr="00234ECD" w:rsidRDefault="00D857AC" w:rsidP="00D857AC">
      <w:pPr>
        <w:jc w:val="both"/>
        <w:rPr>
          <w:rFonts w:eastAsia="Calibri"/>
          <w:sz w:val="22"/>
          <w:szCs w:val="22"/>
          <w:lang w:val="sr-Latn-RS"/>
        </w:rPr>
      </w:pPr>
    </w:p>
    <w:p w14:paraId="705F46EF"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 xml:space="preserve">Pomoćna supstanca sa potvrđenim dejstvom </w:t>
      </w:r>
    </w:p>
    <w:p w14:paraId="123125EE" w14:textId="77777777" w:rsidR="00D857AC" w:rsidRPr="00234ECD" w:rsidRDefault="00D857AC" w:rsidP="00D857AC">
      <w:pPr>
        <w:jc w:val="both"/>
        <w:rPr>
          <w:rFonts w:eastAsia="Calibri"/>
          <w:sz w:val="22"/>
          <w:szCs w:val="22"/>
          <w:lang w:val="sr-Latn-RS"/>
        </w:rPr>
      </w:pPr>
      <w:r w:rsidRPr="00234ECD">
        <w:rPr>
          <w:rFonts w:eastAsia="Calibri"/>
          <w:sz w:val="22"/>
          <w:szCs w:val="22"/>
          <w:lang w:val="sr-Latn-RS"/>
        </w:rPr>
        <w:t>Jedna film tableta sadrži 15,54 mg laktoze.</w:t>
      </w:r>
    </w:p>
    <w:p w14:paraId="0288CC8B" w14:textId="77777777" w:rsidR="00D857AC" w:rsidRPr="00234ECD" w:rsidRDefault="00D857AC" w:rsidP="00D857AC">
      <w:pPr>
        <w:jc w:val="both"/>
        <w:rPr>
          <w:rFonts w:eastAsia="Calibri"/>
          <w:sz w:val="22"/>
          <w:szCs w:val="22"/>
          <w:lang w:val="sr-Latn-RS"/>
        </w:rPr>
      </w:pPr>
    </w:p>
    <w:p w14:paraId="551BA2FF"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Cabometyx, 40 mg, film tableta</w:t>
      </w:r>
    </w:p>
    <w:p w14:paraId="2048FAD1" w14:textId="6FB03610" w:rsidR="00D857AC" w:rsidRPr="00234ECD" w:rsidRDefault="00D857AC" w:rsidP="00D857AC">
      <w:pPr>
        <w:jc w:val="both"/>
        <w:rPr>
          <w:rFonts w:eastAsia="Calibri"/>
          <w:sz w:val="22"/>
          <w:szCs w:val="22"/>
          <w:lang w:val="sr-Latn-RS"/>
        </w:rPr>
      </w:pPr>
      <w:r w:rsidRPr="00234ECD">
        <w:rPr>
          <w:rFonts w:eastAsia="Calibri"/>
          <w:sz w:val="22"/>
          <w:szCs w:val="22"/>
          <w:lang w:val="sr-Latn-RS"/>
        </w:rPr>
        <w:t>Jedna film tableta sadrži 40 mg kabozantiniba u obliku kabozantinib (S)</w:t>
      </w:r>
      <w:r w:rsidR="001F6FDF" w:rsidRPr="00234ECD">
        <w:rPr>
          <w:rFonts w:eastAsia="Calibri"/>
          <w:sz w:val="22"/>
          <w:szCs w:val="22"/>
          <w:lang w:val="sr-Latn-RS"/>
        </w:rPr>
        <w:t>-</w:t>
      </w:r>
      <w:r w:rsidRPr="00234ECD">
        <w:rPr>
          <w:rFonts w:eastAsia="Calibri"/>
          <w:sz w:val="22"/>
          <w:szCs w:val="22"/>
          <w:lang w:val="sr-Latn-RS"/>
        </w:rPr>
        <w:t>malata.</w:t>
      </w:r>
    </w:p>
    <w:p w14:paraId="2ACAD6CE" w14:textId="77777777" w:rsidR="00D857AC" w:rsidRPr="00234ECD" w:rsidRDefault="00D857AC" w:rsidP="00D857AC">
      <w:pPr>
        <w:jc w:val="both"/>
        <w:rPr>
          <w:rFonts w:eastAsia="Calibri"/>
          <w:sz w:val="22"/>
          <w:szCs w:val="22"/>
          <w:lang w:val="sr-Latn-RS"/>
        </w:rPr>
      </w:pPr>
    </w:p>
    <w:p w14:paraId="429F5D20"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 xml:space="preserve">Pomoćna supstanca sa potvrđenim dejstvom </w:t>
      </w:r>
    </w:p>
    <w:p w14:paraId="76C4689E" w14:textId="77777777" w:rsidR="00D857AC" w:rsidRPr="00234ECD" w:rsidRDefault="00D857AC" w:rsidP="00D857AC">
      <w:pPr>
        <w:jc w:val="both"/>
        <w:rPr>
          <w:rFonts w:eastAsia="Calibri"/>
          <w:sz w:val="22"/>
          <w:szCs w:val="22"/>
          <w:lang w:val="sr-Latn-RS"/>
        </w:rPr>
      </w:pPr>
      <w:r w:rsidRPr="00234ECD">
        <w:rPr>
          <w:rFonts w:eastAsia="Calibri"/>
          <w:sz w:val="22"/>
          <w:szCs w:val="22"/>
          <w:lang w:val="sr-Latn-RS"/>
        </w:rPr>
        <w:t>Jedna film tableta sadrži 31,07 mg laktoze.</w:t>
      </w:r>
    </w:p>
    <w:p w14:paraId="67EE66FD" w14:textId="77777777" w:rsidR="00D857AC" w:rsidRPr="00234ECD" w:rsidRDefault="00D857AC" w:rsidP="00D857AC">
      <w:pPr>
        <w:jc w:val="both"/>
        <w:rPr>
          <w:rFonts w:eastAsia="Calibri"/>
          <w:sz w:val="22"/>
          <w:szCs w:val="22"/>
          <w:lang w:val="sr-Latn-RS"/>
        </w:rPr>
      </w:pPr>
    </w:p>
    <w:p w14:paraId="3FF1DFD6"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Cabometyx, 60 mg, film tableta</w:t>
      </w:r>
    </w:p>
    <w:p w14:paraId="3D24EC1C" w14:textId="4AD6ECA6" w:rsidR="00D857AC" w:rsidRPr="00234ECD" w:rsidRDefault="00D857AC" w:rsidP="00D857AC">
      <w:pPr>
        <w:jc w:val="both"/>
        <w:rPr>
          <w:rFonts w:eastAsia="Calibri"/>
          <w:sz w:val="22"/>
          <w:szCs w:val="22"/>
          <w:lang w:val="sr-Latn-RS"/>
        </w:rPr>
      </w:pPr>
      <w:r w:rsidRPr="00234ECD">
        <w:rPr>
          <w:rFonts w:eastAsia="Calibri"/>
          <w:sz w:val="22"/>
          <w:szCs w:val="22"/>
          <w:lang w:val="sr-Latn-RS"/>
        </w:rPr>
        <w:t>Jedna film tableta sadrži 60 mg kabozantiniba u obliku kabozantinib (S)</w:t>
      </w:r>
      <w:r w:rsidR="001F6FDF" w:rsidRPr="00234ECD">
        <w:rPr>
          <w:rFonts w:eastAsia="Calibri"/>
          <w:sz w:val="22"/>
          <w:szCs w:val="22"/>
          <w:lang w:val="sr-Latn-RS"/>
        </w:rPr>
        <w:t>-</w:t>
      </w:r>
      <w:r w:rsidRPr="00234ECD">
        <w:rPr>
          <w:rFonts w:eastAsia="Calibri"/>
          <w:sz w:val="22"/>
          <w:szCs w:val="22"/>
          <w:lang w:val="sr-Latn-RS"/>
        </w:rPr>
        <w:t>malata.</w:t>
      </w:r>
    </w:p>
    <w:p w14:paraId="4C82C011" w14:textId="77777777" w:rsidR="00D857AC" w:rsidRPr="00234ECD" w:rsidRDefault="00D857AC" w:rsidP="00D857AC">
      <w:pPr>
        <w:jc w:val="both"/>
        <w:rPr>
          <w:rFonts w:eastAsia="Calibri"/>
          <w:sz w:val="22"/>
          <w:szCs w:val="22"/>
          <w:lang w:val="sr-Latn-RS"/>
        </w:rPr>
      </w:pPr>
    </w:p>
    <w:p w14:paraId="4F0F3A78"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 xml:space="preserve">Pomoćna supstanca sa potvrđenim dejstvom </w:t>
      </w:r>
    </w:p>
    <w:p w14:paraId="1642F5D2" w14:textId="77777777" w:rsidR="00D857AC" w:rsidRPr="00234ECD" w:rsidRDefault="00D857AC" w:rsidP="00D857AC">
      <w:pPr>
        <w:jc w:val="both"/>
        <w:rPr>
          <w:rFonts w:eastAsia="Calibri"/>
          <w:sz w:val="22"/>
          <w:szCs w:val="22"/>
          <w:lang w:val="sr-Latn-RS"/>
        </w:rPr>
      </w:pPr>
      <w:r w:rsidRPr="00234ECD">
        <w:rPr>
          <w:rFonts w:eastAsia="Calibri"/>
          <w:sz w:val="22"/>
          <w:szCs w:val="22"/>
          <w:lang w:val="sr-Latn-RS"/>
        </w:rPr>
        <w:t>Jedna film tableta sadrži 46,61 mg laktoze.</w:t>
      </w:r>
    </w:p>
    <w:p w14:paraId="1748F175" w14:textId="77777777" w:rsidR="005A0B2E" w:rsidRPr="00234ECD" w:rsidRDefault="005A0B2E">
      <w:pPr>
        <w:rPr>
          <w:sz w:val="22"/>
          <w:szCs w:val="22"/>
          <w:lang w:val="sr-Latn-RS"/>
        </w:rPr>
      </w:pPr>
    </w:p>
    <w:p w14:paraId="6463E347" w14:textId="77777777" w:rsidR="0003793F" w:rsidRPr="00234ECD" w:rsidRDefault="0003793F">
      <w:pPr>
        <w:rPr>
          <w:sz w:val="22"/>
          <w:szCs w:val="22"/>
          <w:lang w:val="sr-Latn-RS"/>
        </w:rPr>
      </w:pPr>
      <w:r w:rsidRPr="00234ECD">
        <w:rPr>
          <w:sz w:val="22"/>
          <w:szCs w:val="22"/>
          <w:lang w:val="sr-Latn-RS"/>
        </w:rPr>
        <w:t>Za spisak svih ekscipijenasa, pogledati dio 6.1.</w:t>
      </w:r>
    </w:p>
    <w:p w14:paraId="67130976" w14:textId="77777777" w:rsidR="0003793F" w:rsidRPr="00234ECD" w:rsidRDefault="0003793F">
      <w:pPr>
        <w:rPr>
          <w:sz w:val="22"/>
          <w:szCs w:val="22"/>
          <w:lang w:val="sr-Latn-RS"/>
        </w:rPr>
      </w:pPr>
    </w:p>
    <w:p w14:paraId="605ED892" w14:textId="77777777" w:rsidR="00C37FD7" w:rsidRPr="00234ECD" w:rsidRDefault="00C37FD7">
      <w:pPr>
        <w:rPr>
          <w:sz w:val="22"/>
          <w:szCs w:val="22"/>
          <w:lang w:val="sr-Latn-RS"/>
        </w:rPr>
      </w:pPr>
    </w:p>
    <w:p w14:paraId="31A737AD" w14:textId="77777777" w:rsidR="00411B4B" w:rsidRPr="00234ECD" w:rsidRDefault="00411B4B" w:rsidP="00F5167F">
      <w:pPr>
        <w:tabs>
          <w:tab w:val="left" w:pos="540"/>
          <w:tab w:val="left" w:pos="569"/>
        </w:tabs>
        <w:rPr>
          <w:b/>
          <w:bCs/>
          <w:sz w:val="22"/>
          <w:szCs w:val="22"/>
          <w:lang w:val="sr-Latn-RS"/>
        </w:rPr>
      </w:pPr>
      <w:r w:rsidRPr="00234ECD">
        <w:rPr>
          <w:b/>
          <w:bCs/>
          <w:sz w:val="22"/>
          <w:szCs w:val="22"/>
          <w:lang w:val="sr-Latn-RS"/>
        </w:rPr>
        <w:t xml:space="preserve">3. </w:t>
      </w:r>
      <w:r w:rsidR="00F5167F" w:rsidRPr="00234ECD">
        <w:rPr>
          <w:b/>
          <w:bCs/>
          <w:sz w:val="22"/>
          <w:szCs w:val="22"/>
          <w:lang w:val="sr-Latn-RS"/>
        </w:rPr>
        <w:tab/>
      </w:r>
      <w:r w:rsidRPr="00234ECD">
        <w:rPr>
          <w:b/>
          <w:bCs/>
          <w:sz w:val="22"/>
          <w:szCs w:val="22"/>
          <w:lang w:val="sr-Latn-RS"/>
        </w:rPr>
        <w:t>FARMACEUTSKI OBLIK</w:t>
      </w:r>
      <w:r w:rsidR="009F2D23" w:rsidRPr="00234ECD">
        <w:rPr>
          <w:b/>
          <w:bCs/>
          <w:sz w:val="22"/>
          <w:szCs w:val="22"/>
          <w:lang w:val="sr-Latn-RS"/>
        </w:rPr>
        <w:t xml:space="preserve"> </w:t>
      </w:r>
    </w:p>
    <w:p w14:paraId="7A6EC502" w14:textId="77777777" w:rsidR="00D857AC" w:rsidRPr="00234ECD" w:rsidRDefault="00D857AC" w:rsidP="00D857AC">
      <w:pPr>
        <w:jc w:val="both"/>
        <w:rPr>
          <w:rFonts w:eastAsia="Calibri"/>
          <w:sz w:val="22"/>
          <w:szCs w:val="22"/>
          <w:lang w:val="sr-Latn-RS"/>
        </w:rPr>
      </w:pPr>
    </w:p>
    <w:p w14:paraId="5BC329B0" w14:textId="16ACB37F" w:rsidR="00D857AC" w:rsidRPr="00234ECD" w:rsidRDefault="00D857AC" w:rsidP="00D857AC">
      <w:pPr>
        <w:jc w:val="both"/>
        <w:rPr>
          <w:rFonts w:eastAsia="Calibri"/>
          <w:sz w:val="22"/>
          <w:szCs w:val="22"/>
          <w:lang w:val="sr-Latn-RS"/>
        </w:rPr>
      </w:pPr>
      <w:r w:rsidRPr="00234ECD">
        <w:rPr>
          <w:rFonts w:eastAsia="Calibri"/>
          <w:sz w:val="22"/>
          <w:szCs w:val="22"/>
          <w:lang w:val="sr-Latn-RS"/>
        </w:rPr>
        <w:t>Film tableta.</w:t>
      </w:r>
    </w:p>
    <w:p w14:paraId="69231A5B" w14:textId="77777777" w:rsidR="00D857AC" w:rsidRPr="00234ECD" w:rsidRDefault="00D857AC" w:rsidP="00D857AC">
      <w:pPr>
        <w:jc w:val="both"/>
        <w:rPr>
          <w:rFonts w:eastAsia="Calibri"/>
          <w:sz w:val="22"/>
          <w:szCs w:val="22"/>
          <w:lang w:val="sr-Latn-RS"/>
        </w:rPr>
      </w:pPr>
    </w:p>
    <w:p w14:paraId="02B6F199"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Cabometyx, 20 mg, film tableta</w:t>
      </w:r>
    </w:p>
    <w:p w14:paraId="3F5F3A92" w14:textId="35CB45B0" w:rsidR="00D857AC" w:rsidRPr="00234ECD" w:rsidRDefault="00D857AC" w:rsidP="00D857AC">
      <w:pPr>
        <w:jc w:val="both"/>
        <w:rPr>
          <w:rFonts w:eastAsia="Calibri"/>
          <w:sz w:val="22"/>
          <w:szCs w:val="22"/>
          <w:lang w:val="sr-Latn-RS"/>
        </w:rPr>
      </w:pPr>
      <w:r w:rsidRPr="00234ECD">
        <w:rPr>
          <w:rFonts w:eastAsia="Calibri"/>
          <w:sz w:val="22"/>
          <w:szCs w:val="22"/>
          <w:lang w:val="sr-Latn-RS"/>
        </w:rPr>
        <w:t>Tablete su žute boje, okrugle</w:t>
      </w:r>
      <w:r w:rsidR="0009674F" w:rsidRPr="00234ECD">
        <w:rPr>
          <w:rFonts w:eastAsia="Calibri"/>
          <w:sz w:val="22"/>
          <w:szCs w:val="22"/>
          <w:lang w:val="sr-Latn-RS"/>
        </w:rPr>
        <w:t xml:space="preserve"> bez podione crte</w:t>
      </w:r>
      <w:r w:rsidRPr="00234ECD">
        <w:rPr>
          <w:rFonts w:eastAsia="Calibri"/>
          <w:sz w:val="22"/>
          <w:szCs w:val="22"/>
          <w:lang w:val="sr-Latn-RS"/>
        </w:rPr>
        <w:t>, sa utisnutom oznakom „XL“ na jednoj strani i „20“ na drugoj strani tablete.</w:t>
      </w:r>
    </w:p>
    <w:p w14:paraId="4356D187" w14:textId="77777777" w:rsidR="00D857AC" w:rsidRPr="00234ECD" w:rsidRDefault="00D857AC" w:rsidP="00D857AC">
      <w:pPr>
        <w:jc w:val="both"/>
        <w:rPr>
          <w:rFonts w:eastAsia="Calibri"/>
          <w:sz w:val="22"/>
          <w:szCs w:val="22"/>
          <w:lang w:val="sr-Latn-RS"/>
        </w:rPr>
      </w:pPr>
    </w:p>
    <w:p w14:paraId="74B0F464"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Cabometyx, 40 mg, film tableta</w:t>
      </w:r>
    </w:p>
    <w:p w14:paraId="439CA40D" w14:textId="450EA714" w:rsidR="00D857AC" w:rsidRPr="00234ECD" w:rsidRDefault="00D857AC" w:rsidP="00D857AC">
      <w:pPr>
        <w:jc w:val="both"/>
        <w:rPr>
          <w:rFonts w:eastAsia="Calibri"/>
          <w:sz w:val="22"/>
          <w:szCs w:val="22"/>
          <w:lang w:val="sr-Latn-RS"/>
        </w:rPr>
      </w:pPr>
      <w:r w:rsidRPr="00234ECD">
        <w:rPr>
          <w:rFonts w:eastAsia="Calibri"/>
          <w:sz w:val="22"/>
          <w:szCs w:val="22"/>
          <w:lang w:val="sr-Latn-RS"/>
        </w:rPr>
        <w:t>Tablete su žute boje, trouglastog oblika</w:t>
      </w:r>
      <w:r w:rsidR="0009674F" w:rsidRPr="00234ECD">
        <w:rPr>
          <w:rFonts w:eastAsia="Calibri"/>
          <w:sz w:val="22"/>
          <w:szCs w:val="22"/>
          <w:lang w:val="sr-Latn-RS"/>
        </w:rPr>
        <w:t xml:space="preserve"> bez podione crte</w:t>
      </w:r>
      <w:r w:rsidRPr="00234ECD">
        <w:rPr>
          <w:rFonts w:eastAsia="Calibri"/>
          <w:sz w:val="22"/>
          <w:szCs w:val="22"/>
          <w:lang w:val="sr-Latn-RS"/>
        </w:rPr>
        <w:t>, sa utisnutom oznakom „XL“ na jednoj strani i „40“ na drugoj strani tablete.</w:t>
      </w:r>
    </w:p>
    <w:p w14:paraId="6B4E6D26" w14:textId="77777777" w:rsidR="00D857AC" w:rsidRPr="00234ECD" w:rsidRDefault="00D857AC" w:rsidP="00D857AC">
      <w:pPr>
        <w:jc w:val="both"/>
        <w:rPr>
          <w:rFonts w:eastAsia="Calibri"/>
          <w:sz w:val="22"/>
          <w:szCs w:val="22"/>
          <w:lang w:val="sr-Latn-RS"/>
        </w:rPr>
      </w:pPr>
    </w:p>
    <w:p w14:paraId="3ABE3042"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Cabometyx, 60 mg, film tableta</w:t>
      </w:r>
    </w:p>
    <w:p w14:paraId="770FAB21" w14:textId="60D251DE" w:rsidR="00411B4B" w:rsidRPr="00234ECD" w:rsidRDefault="00D857AC" w:rsidP="00D857AC">
      <w:pPr>
        <w:jc w:val="both"/>
        <w:rPr>
          <w:rFonts w:eastAsia="Calibri"/>
          <w:sz w:val="22"/>
          <w:szCs w:val="22"/>
          <w:lang w:val="sr-Latn-RS"/>
        </w:rPr>
      </w:pPr>
      <w:r w:rsidRPr="00234ECD">
        <w:rPr>
          <w:rFonts w:eastAsia="Calibri"/>
          <w:sz w:val="22"/>
          <w:szCs w:val="22"/>
          <w:lang w:val="sr-Latn-RS"/>
        </w:rPr>
        <w:t>Tablete su žute boje, ovalnog oblika</w:t>
      </w:r>
      <w:r w:rsidR="0009674F" w:rsidRPr="00234ECD">
        <w:rPr>
          <w:rFonts w:eastAsia="Calibri"/>
          <w:sz w:val="22"/>
          <w:szCs w:val="22"/>
          <w:lang w:val="sr-Latn-RS"/>
        </w:rPr>
        <w:t xml:space="preserve"> bez podione crte</w:t>
      </w:r>
      <w:r w:rsidRPr="00234ECD">
        <w:rPr>
          <w:rFonts w:eastAsia="Calibri"/>
          <w:sz w:val="22"/>
          <w:szCs w:val="22"/>
          <w:lang w:val="sr-Latn-RS"/>
        </w:rPr>
        <w:t>, sa utisnutom oznakom „XL“ na jednoj strani i „60“ na drugoj strani tablete.</w:t>
      </w:r>
    </w:p>
    <w:p w14:paraId="2F25158A" w14:textId="54F7AA6B" w:rsidR="00EC2532" w:rsidRPr="00234ECD" w:rsidRDefault="00EC2532">
      <w:pPr>
        <w:rPr>
          <w:bCs/>
          <w:sz w:val="22"/>
          <w:szCs w:val="22"/>
          <w:lang w:val="sr-Latn-RS"/>
        </w:rPr>
      </w:pPr>
    </w:p>
    <w:p w14:paraId="3C51BB0A" w14:textId="11ECE285" w:rsidR="002C1F79" w:rsidRPr="00234ECD" w:rsidRDefault="002C1F79">
      <w:pPr>
        <w:rPr>
          <w:bCs/>
          <w:sz w:val="22"/>
          <w:szCs w:val="22"/>
          <w:lang w:val="sr-Latn-RS"/>
        </w:rPr>
      </w:pPr>
    </w:p>
    <w:p w14:paraId="47BACC47" w14:textId="61D6DD38" w:rsidR="002C1F79" w:rsidRPr="00234ECD" w:rsidRDefault="002C1F79">
      <w:pPr>
        <w:rPr>
          <w:bCs/>
          <w:sz w:val="22"/>
          <w:szCs w:val="22"/>
          <w:lang w:val="sr-Latn-RS"/>
        </w:rPr>
      </w:pPr>
    </w:p>
    <w:p w14:paraId="0AF1A24F" w14:textId="44B3B8A6" w:rsidR="002C1F79" w:rsidRPr="00234ECD" w:rsidRDefault="002C1F79">
      <w:pPr>
        <w:rPr>
          <w:bCs/>
          <w:sz w:val="22"/>
          <w:szCs w:val="22"/>
          <w:lang w:val="sr-Latn-RS"/>
        </w:rPr>
      </w:pPr>
    </w:p>
    <w:p w14:paraId="3DBF8BB3" w14:textId="77777777" w:rsidR="002C1F79" w:rsidRPr="00234ECD" w:rsidRDefault="002C1F79">
      <w:pPr>
        <w:rPr>
          <w:bCs/>
          <w:sz w:val="22"/>
          <w:szCs w:val="22"/>
          <w:lang w:val="sr-Latn-RS"/>
        </w:rPr>
      </w:pPr>
    </w:p>
    <w:p w14:paraId="3CB80F0C" w14:textId="77777777" w:rsidR="00411B4B" w:rsidRPr="00234ECD" w:rsidRDefault="00411B4B" w:rsidP="00F5167F">
      <w:pPr>
        <w:tabs>
          <w:tab w:val="left" w:pos="540"/>
          <w:tab w:val="left" w:pos="569"/>
        </w:tabs>
        <w:rPr>
          <w:b/>
          <w:bCs/>
          <w:sz w:val="22"/>
          <w:szCs w:val="22"/>
          <w:lang w:val="sr-Latn-RS"/>
        </w:rPr>
      </w:pPr>
      <w:r w:rsidRPr="00234ECD">
        <w:rPr>
          <w:b/>
          <w:bCs/>
          <w:sz w:val="22"/>
          <w:szCs w:val="22"/>
          <w:lang w:val="sr-Latn-RS"/>
        </w:rPr>
        <w:lastRenderedPageBreak/>
        <w:t xml:space="preserve">4. </w:t>
      </w:r>
      <w:r w:rsidR="00480FB1" w:rsidRPr="00234ECD">
        <w:rPr>
          <w:b/>
          <w:bCs/>
          <w:sz w:val="22"/>
          <w:szCs w:val="22"/>
          <w:lang w:val="sr-Latn-RS"/>
        </w:rPr>
        <w:tab/>
      </w:r>
      <w:r w:rsidRPr="00234ECD">
        <w:rPr>
          <w:b/>
          <w:bCs/>
          <w:sz w:val="22"/>
          <w:szCs w:val="22"/>
          <w:lang w:val="sr-Latn-RS"/>
        </w:rPr>
        <w:t>KLINIČKI PODACI</w:t>
      </w:r>
    </w:p>
    <w:p w14:paraId="7C2616DF" w14:textId="77777777" w:rsidR="00CD6F02" w:rsidRPr="00234ECD" w:rsidRDefault="00CD6F02" w:rsidP="00480FB1">
      <w:pPr>
        <w:tabs>
          <w:tab w:val="left" w:pos="540"/>
          <w:tab w:val="left" w:pos="569"/>
        </w:tabs>
        <w:rPr>
          <w:bCs/>
          <w:sz w:val="22"/>
          <w:szCs w:val="22"/>
          <w:lang w:val="sr-Latn-RS"/>
        </w:rPr>
      </w:pPr>
    </w:p>
    <w:p w14:paraId="5C486F35" w14:textId="39345FF0" w:rsidR="00411B4B" w:rsidRPr="00234ECD" w:rsidRDefault="00411B4B" w:rsidP="00480FB1">
      <w:pPr>
        <w:tabs>
          <w:tab w:val="left" w:pos="540"/>
          <w:tab w:val="left" w:pos="569"/>
        </w:tabs>
        <w:rPr>
          <w:b/>
          <w:bCs/>
          <w:sz w:val="22"/>
          <w:szCs w:val="22"/>
          <w:lang w:val="sr-Latn-RS"/>
        </w:rPr>
      </w:pPr>
      <w:r w:rsidRPr="00234ECD">
        <w:rPr>
          <w:b/>
          <w:bCs/>
          <w:sz w:val="22"/>
          <w:szCs w:val="22"/>
          <w:lang w:val="sr-Latn-RS"/>
        </w:rPr>
        <w:t xml:space="preserve">4.1. </w:t>
      </w:r>
      <w:r w:rsidR="00480FB1" w:rsidRPr="00234ECD">
        <w:rPr>
          <w:b/>
          <w:bCs/>
          <w:sz w:val="22"/>
          <w:szCs w:val="22"/>
          <w:lang w:val="sr-Latn-RS"/>
        </w:rPr>
        <w:tab/>
      </w:r>
      <w:r w:rsidRPr="00234ECD">
        <w:rPr>
          <w:b/>
          <w:bCs/>
          <w:sz w:val="22"/>
          <w:szCs w:val="22"/>
          <w:lang w:val="sr-Latn-RS"/>
        </w:rPr>
        <w:t>Terapijske indikacije</w:t>
      </w:r>
    </w:p>
    <w:p w14:paraId="29514EC9" w14:textId="77777777" w:rsidR="00D857AC" w:rsidRPr="00234ECD" w:rsidRDefault="00D857AC" w:rsidP="00480FB1">
      <w:pPr>
        <w:tabs>
          <w:tab w:val="left" w:pos="540"/>
          <w:tab w:val="left" w:pos="569"/>
        </w:tabs>
        <w:rPr>
          <w:b/>
          <w:bCs/>
          <w:sz w:val="22"/>
          <w:szCs w:val="22"/>
          <w:lang w:val="sr-Latn-RS"/>
        </w:rPr>
      </w:pPr>
    </w:p>
    <w:p w14:paraId="566B8DF8" w14:textId="751E67FA" w:rsidR="00D857AC" w:rsidRPr="00234ECD" w:rsidRDefault="00D857AC" w:rsidP="00D857AC">
      <w:pPr>
        <w:jc w:val="both"/>
        <w:rPr>
          <w:rFonts w:eastAsia="Calibri"/>
          <w:bCs/>
          <w:sz w:val="22"/>
          <w:szCs w:val="22"/>
          <w:u w:val="single"/>
          <w:lang w:val="sr-Latn-RS"/>
        </w:rPr>
      </w:pPr>
      <w:r w:rsidRPr="00234ECD">
        <w:rPr>
          <w:rFonts w:eastAsia="Calibri"/>
          <w:bCs/>
          <w:sz w:val="22"/>
          <w:szCs w:val="22"/>
          <w:u w:val="single"/>
          <w:lang w:val="sr-Latn-RS"/>
        </w:rPr>
        <w:t>Karcinom bubrežnih ćelija (eng</w:t>
      </w:r>
      <w:r w:rsidR="00781CEA" w:rsidRPr="00234ECD">
        <w:rPr>
          <w:rFonts w:eastAsia="Calibri"/>
          <w:bCs/>
          <w:sz w:val="22"/>
          <w:szCs w:val="22"/>
          <w:u w:val="single"/>
          <w:lang w:val="sr-Latn-RS"/>
        </w:rPr>
        <w:t>l</w:t>
      </w:r>
      <w:r w:rsidRPr="00234ECD">
        <w:rPr>
          <w:rFonts w:eastAsia="Calibri"/>
          <w:bCs/>
          <w:sz w:val="22"/>
          <w:szCs w:val="22"/>
          <w:u w:val="single"/>
          <w:lang w:val="sr-Latn-RS"/>
        </w:rPr>
        <w:t xml:space="preserve">. </w:t>
      </w:r>
      <w:r w:rsidRPr="00234ECD">
        <w:rPr>
          <w:rFonts w:eastAsia="Calibri"/>
          <w:bCs/>
          <w:i/>
          <w:sz w:val="22"/>
          <w:szCs w:val="22"/>
          <w:u w:val="single"/>
          <w:lang w:val="sr-Latn-RS"/>
        </w:rPr>
        <w:t>renal cell carcinoma,</w:t>
      </w:r>
      <w:r w:rsidRPr="00234ECD">
        <w:rPr>
          <w:rFonts w:eastAsia="Calibri"/>
          <w:bCs/>
          <w:i/>
          <w:iCs/>
          <w:sz w:val="22"/>
          <w:szCs w:val="22"/>
          <w:u w:val="single"/>
          <w:lang w:val="sr-Latn-RS"/>
        </w:rPr>
        <w:t xml:space="preserve"> </w:t>
      </w:r>
      <w:r w:rsidRPr="00234ECD">
        <w:rPr>
          <w:rFonts w:eastAsia="Calibri"/>
          <w:bCs/>
          <w:sz w:val="22"/>
          <w:szCs w:val="22"/>
          <w:u w:val="single"/>
          <w:lang w:val="sr-Latn-RS"/>
        </w:rPr>
        <w:t>RCC)</w:t>
      </w:r>
    </w:p>
    <w:p w14:paraId="77323417" w14:textId="77777777" w:rsidR="00D857AC" w:rsidRPr="00234ECD" w:rsidRDefault="00D857AC" w:rsidP="00D857AC">
      <w:pPr>
        <w:jc w:val="both"/>
        <w:rPr>
          <w:rFonts w:eastAsia="Calibri"/>
          <w:b/>
          <w:sz w:val="22"/>
          <w:szCs w:val="22"/>
          <w:u w:val="single"/>
          <w:lang w:val="sr-Latn-RS"/>
        </w:rPr>
      </w:pPr>
    </w:p>
    <w:p w14:paraId="5C053DC1" w14:textId="4134A7E8" w:rsidR="00D857AC" w:rsidRPr="00234ECD" w:rsidRDefault="00D857AC" w:rsidP="00D857AC">
      <w:pPr>
        <w:jc w:val="both"/>
        <w:rPr>
          <w:rFonts w:eastAsia="Calibri"/>
          <w:sz w:val="22"/>
          <w:szCs w:val="22"/>
          <w:lang w:val="sr-Latn-RS"/>
        </w:rPr>
      </w:pPr>
      <w:bookmarkStart w:id="0" w:name="_Hlk85180178"/>
      <w:r w:rsidRPr="00234ECD">
        <w:rPr>
          <w:rFonts w:eastAsia="Calibri"/>
          <w:sz w:val="22"/>
          <w:szCs w:val="22"/>
          <w:lang w:val="sr-Latn-RS"/>
        </w:rPr>
        <w:t>L</w:t>
      </w:r>
      <w:r w:rsidR="00915EBF" w:rsidRPr="00234ECD">
        <w:rPr>
          <w:rFonts w:eastAsia="Calibri"/>
          <w:sz w:val="22"/>
          <w:szCs w:val="22"/>
          <w:lang w:val="sr-Latn-RS"/>
        </w:rPr>
        <w:t>ij</w:t>
      </w:r>
      <w:r w:rsidRPr="00234ECD">
        <w:rPr>
          <w:rFonts w:eastAsia="Calibri"/>
          <w:sz w:val="22"/>
          <w:szCs w:val="22"/>
          <w:lang w:val="sr-Latn-RS"/>
        </w:rPr>
        <w:t xml:space="preserve">ek Cabometyx </w:t>
      </w:r>
      <w:bookmarkEnd w:id="0"/>
      <w:r w:rsidRPr="00234ECD">
        <w:rPr>
          <w:rFonts w:eastAsia="Calibri"/>
          <w:sz w:val="22"/>
          <w:szCs w:val="22"/>
          <w:lang w:val="sr-Latn-RS"/>
        </w:rPr>
        <w:t>je indikovan kao monoterapija za uznapredovali karcinom bubrežnih ćelija:</w:t>
      </w:r>
    </w:p>
    <w:p w14:paraId="501F086D" w14:textId="0D16ABD8" w:rsidR="00D857AC" w:rsidRPr="00234ECD" w:rsidRDefault="00D857AC" w:rsidP="00D857AC">
      <w:pPr>
        <w:ind w:left="567" w:hanging="141"/>
        <w:jc w:val="both"/>
        <w:rPr>
          <w:rFonts w:eastAsia="Calibri"/>
          <w:sz w:val="22"/>
          <w:szCs w:val="22"/>
          <w:lang w:val="sr-Latn-RS"/>
        </w:rPr>
      </w:pPr>
      <w:r w:rsidRPr="00234ECD">
        <w:rPr>
          <w:rFonts w:eastAsia="Calibri"/>
          <w:sz w:val="22"/>
          <w:szCs w:val="22"/>
          <w:lang w:val="sr-Latn-RS"/>
        </w:rPr>
        <w:t>-</w:t>
      </w:r>
      <w:r w:rsidRPr="00234ECD">
        <w:rPr>
          <w:rFonts w:eastAsia="Calibri"/>
          <w:sz w:val="22"/>
          <w:szCs w:val="22"/>
          <w:lang w:val="sr-Latn-RS"/>
        </w:rPr>
        <w:tab/>
        <w:t>kao prva linija l</w:t>
      </w:r>
      <w:r w:rsidR="00915EBF" w:rsidRPr="00234ECD">
        <w:rPr>
          <w:rFonts w:eastAsia="Calibri"/>
          <w:sz w:val="22"/>
          <w:szCs w:val="22"/>
          <w:lang w:val="sr-Latn-RS"/>
        </w:rPr>
        <w:t>ij</w:t>
      </w:r>
      <w:r w:rsidRPr="00234ECD">
        <w:rPr>
          <w:rFonts w:eastAsia="Calibri"/>
          <w:sz w:val="22"/>
          <w:szCs w:val="22"/>
          <w:lang w:val="sr-Latn-RS"/>
        </w:rPr>
        <w:t xml:space="preserve">ečenja odraslih pacijenata sa </w:t>
      </w:r>
      <w:bookmarkStart w:id="1" w:name="_Hlk23774318"/>
      <w:r w:rsidRPr="00234ECD">
        <w:rPr>
          <w:rFonts w:eastAsia="Calibri"/>
          <w:sz w:val="22"/>
          <w:szCs w:val="22"/>
          <w:lang w:val="sr-Latn-RS"/>
        </w:rPr>
        <w:t xml:space="preserve">srednjim </w:t>
      </w:r>
      <w:bookmarkEnd w:id="1"/>
      <w:r w:rsidRPr="00234ECD">
        <w:rPr>
          <w:rFonts w:eastAsia="Calibri"/>
          <w:sz w:val="22"/>
          <w:szCs w:val="22"/>
          <w:lang w:val="sr-Latn-RS"/>
        </w:rPr>
        <w:t>ili lošim rizikom (vid</w:t>
      </w:r>
      <w:r w:rsidR="00915EBF" w:rsidRPr="00234ECD">
        <w:rPr>
          <w:rFonts w:eastAsia="Calibri"/>
          <w:sz w:val="22"/>
          <w:szCs w:val="22"/>
          <w:lang w:val="sr-Latn-RS"/>
        </w:rPr>
        <w:t>j</w:t>
      </w:r>
      <w:r w:rsidRPr="00234ECD">
        <w:rPr>
          <w:rFonts w:eastAsia="Calibri"/>
          <w:sz w:val="22"/>
          <w:szCs w:val="22"/>
          <w:lang w:val="sr-Latn-RS"/>
        </w:rPr>
        <w:t xml:space="preserve">eti </w:t>
      </w:r>
      <w:r w:rsidR="00714DD0" w:rsidRPr="00234ECD">
        <w:rPr>
          <w:rFonts w:eastAsia="Calibri"/>
          <w:sz w:val="22"/>
          <w:szCs w:val="22"/>
          <w:lang w:val="sr-Latn-RS"/>
        </w:rPr>
        <w:t>dio</w:t>
      </w:r>
      <w:r w:rsidR="00352B29" w:rsidRPr="00234ECD">
        <w:rPr>
          <w:rFonts w:eastAsia="Calibri"/>
          <w:sz w:val="22"/>
          <w:szCs w:val="22"/>
          <w:lang w:val="sr-Latn-RS"/>
        </w:rPr>
        <w:t xml:space="preserve"> </w:t>
      </w:r>
      <w:r w:rsidRPr="00234ECD">
        <w:rPr>
          <w:rFonts w:eastAsia="Calibri"/>
          <w:sz w:val="22"/>
          <w:szCs w:val="22"/>
          <w:lang w:val="sr-Latn-RS"/>
        </w:rPr>
        <w:t>5.1)</w:t>
      </w:r>
    </w:p>
    <w:p w14:paraId="51932C57" w14:textId="6831875D" w:rsidR="00D857AC" w:rsidRPr="00234ECD" w:rsidRDefault="00D857AC" w:rsidP="00D857AC">
      <w:pPr>
        <w:ind w:left="567" w:hanging="141"/>
        <w:jc w:val="both"/>
        <w:rPr>
          <w:rFonts w:eastAsia="Calibri"/>
          <w:sz w:val="22"/>
          <w:szCs w:val="22"/>
          <w:lang w:val="sr-Latn-RS"/>
        </w:rPr>
      </w:pPr>
      <w:r w:rsidRPr="00234ECD">
        <w:rPr>
          <w:rFonts w:eastAsia="Calibri"/>
          <w:sz w:val="22"/>
          <w:szCs w:val="22"/>
          <w:lang w:val="sr-Latn-RS"/>
        </w:rPr>
        <w:t>-</w:t>
      </w:r>
      <w:r w:rsidRPr="00234ECD">
        <w:rPr>
          <w:rFonts w:eastAsia="Calibri"/>
          <w:sz w:val="22"/>
          <w:szCs w:val="22"/>
          <w:lang w:val="sr-Latn-RS"/>
        </w:rPr>
        <w:tab/>
        <w:t>kod odraslih osoba, nakon prethodne terapije usm</w:t>
      </w:r>
      <w:r w:rsidR="00915EBF" w:rsidRPr="00234ECD">
        <w:rPr>
          <w:rFonts w:eastAsia="Calibri"/>
          <w:sz w:val="22"/>
          <w:szCs w:val="22"/>
          <w:lang w:val="sr-Latn-RS"/>
        </w:rPr>
        <w:t>j</w:t>
      </w:r>
      <w:r w:rsidRPr="00234ECD">
        <w:rPr>
          <w:rFonts w:eastAsia="Calibri"/>
          <w:sz w:val="22"/>
          <w:szCs w:val="22"/>
          <w:lang w:val="sr-Latn-RS"/>
        </w:rPr>
        <w:t>erene na vaskularni endotelni faktor rasta (eng</w:t>
      </w:r>
      <w:r w:rsidR="002B19E7" w:rsidRPr="00234ECD">
        <w:rPr>
          <w:rFonts w:eastAsia="Calibri"/>
          <w:sz w:val="22"/>
          <w:szCs w:val="22"/>
          <w:lang w:val="sr-Latn-RS"/>
        </w:rPr>
        <w:t>l</w:t>
      </w:r>
      <w:r w:rsidRPr="00234ECD">
        <w:rPr>
          <w:rFonts w:eastAsia="Calibri"/>
          <w:sz w:val="22"/>
          <w:szCs w:val="22"/>
          <w:lang w:val="sr-Latn-RS"/>
        </w:rPr>
        <w:t xml:space="preserve">. </w:t>
      </w:r>
      <w:r w:rsidRPr="00234ECD">
        <w:rPr>
          <w:rFonts w:eastAsia="Calibri"/>
          <w:i/>
          <w:sz w:val="22"/>
          <w:szCs w:val="22"/>
          <w:lang w:val="sr-Latn-RS"/>
        </w:rPr>
        <w:t>vascular endothelial growth factor, VEGF</w:t>
      </w:r>
      <w:r w:rsidRPr="00234ECD">
        <w:rPr>
          <w:rFonts w:eastAsia="Calibri"/>
          <w:sz w:val="22"/>
          <w:szCs w:val="22"/>
          <w:lang w:val="sr-Latn-RS"/>
        </w:rPr>
        <w:t>) (vid</w:t>
      </w:r>
      <w:r w:rsidR="00915EBF" w:rsidRPr="00234ECD">
        <w:rPr>
          <w:rFonts w:eastAsia="Calibri"/>
          <w:sz w:val="22"/>
          <w:szCs w:val="22"/>
          <w:lang w:val="sr-Latn-RS"/>
        </w:rPr>
        <w:t>j</w:t>
      </w:r>
      <w:r w:rsidRPr="00234ECD">
        <w:rPr>
          <w:rFonts w:eastAsia="Calibri"/>
          <w:sz w:val="22"/>
          <w:szCs w:val="22"/>
          <w:lang w:val="sr-Latn-RS"/>
        </w:rPr>
        <w:t xml:space="preserve">eti </w:t>
      </w:r>
      <w:r w:rsidR="00313457" w:rsidRPr="00234ECD">
        <w:rPr>
          <w:rFonts w:eastAsia="Calibri"/>
          <w:sz w:val="22"/>
          <w:szCs w:val="22"/>
          <w:lang w:val="sr-Latn-RS"/>
        </w:rPr>
        <w:t xml:space="preserve">dio </w:t>
      </w:r>
      <w:r w:rsidRPr="00234ECD">
        <w:rPr>
          <w:rFonts w:eastAsia="Calibri"/>
          <w:sz w:val="22"/>
          <w:szCs w:val="22"/>
          <w:lang w:val="sr-Latn-RS"/>
        </w:rPr>
        <w:t>5.1).</w:t>
      </w:r>
    </w:p>
    <w:p w14:paraId="1618F148" w14:textId="77777777" w:rsidR="00D857AC" w:rsidRPr="00234ECD" w:rsidRDefault="00D857AC" w:rsidP="00D857AC">
      <w:pPr>
        <w:jc w:val="both"/>
        <w:rPr>
          <w:rFonts w:eastAsia="Calibri"/>
          <w:sz w:val="22"/>
          <w:szCs w:val="22"/>
          <w:lang w:val="sr-Latn-RS"/>
        </w:rPr>
      </w:pPr>
    </w:p>
    <w:p w14:paraId="55ED0B4E" w14:textId="34F4610C" w:rsidR="00D857AC" w:rsidRPr="00234ECD" w:rsidRDefault="00D857AC" w:rsidP="00D857AC">
      <w:pPr>
        <w:jc w:val="both"/>
        <w:rPr>
          <w:rFonts w:eastAsia="Calibri"/>
          <w:sz w:val="22"/>
          <w:szCs w:val="22"/>
          <w:lang w:val="sr-Latn-RS"/>
        </w:rPr>
      </w:pPr>
      <w:r w:rsidRPr="00234ECD">
        <w:rPr>
          <w:rFonts w:eastAsia="Calibri"/>
          <w:sz w:val="22"/>
          <w:szCs w:val="22"/>
          <w:lang w:val="sr-Latn-RS"/>
        </w:rPr>
        <w:t>L</w:t>
      </w:r>
      <w:r w:rsidR="00915EBF" w:rsidRPr="00234ECD">
        <w:rPr>
          <w:rFonts w:eastAsia="Calibri"/>
          <w:sz w:val="22"/>
          <w:szCs w:val="22"/>
          <w:lang w:val="sr-Latn-RS"/>
        </w:rPr>
        <w:t>ij</w:t>
      </w:r>
      <w:r w:rsidRPr="00234ECD">
        <w:rPr>
          <w:rFonts w:eastAsia="Calibri"/>
          <w:sz w:val="22"/>
          <w:szCs w:val="22"/>
          <w:lang w:val="sr-Latn-RS"/>
        </w:rPr>
        <w:t>ek Cabometyx je u kombinaciji s nivolumabom indikovan za prvu liniju l</w:t>
      </w:r>
      <w:r w:rsidR="00915EBF" w:rsidRPr="00234ECD">
        <w:rPr>
          <w:rFonts w:eastAsia="Calibri"/>
          <w:sz w:val="22"/>
          <w:szCs w:val="22"/>
          <w:lang w:val="sr-Latn-RS"/>
        </w:rPr>
        <w:t>ij</w:t>
      </w:r>
      <w:r w:rsidRPr="00234ECD">
        <w:rPr>
          <w:rFonts w:eastAsia="Calibri"/>
          <w:sz w:val="22"/>
          <w:szCs w:val="22"/>
          <w:lang w:val="sr-Latn-RS"/>
        </w:rPr>
        <w:t>ečenja uznapredovalog karcinoma bubrežnih ćelija kod odraslih (vid</w:t>
      </w:r>
      <w:r w:rsidR="00915EBF" w:rsidRPr="00234ECD">
        <w:rPr>
          <w:rFonts w:eastAsia="Calibri"/>
          <w:sz w:val="22"/>
          <w:szCs w:val="22"/>
          <w:lang w:val="sr-Latn-RS"/>
        </w:rPr>
        <w:t>j</w:t>
      </w:r>
      <w:r w:rsidRPr="00234ECD">
        <w:rPr>
          <w:rFonts w:eastAsia="Calibri"/>
          <w:sz w:val="22"/>
          <w:szCs w:val="22"/>
          <w:lang w:val="sr-Latn-RS"/>
        </w:rPr>
        <w:t xml:space="preserve">eti </w:t>
      </w:r>
      <w:r w:rsidR="00313457" w:rsidRPr="00234ECD">
        <w:rPr>
          <w:rFonts w:eastAsia="Calibri"/>
          <w:sz w:val="22"/>
          <w:szCs w:val="22"/>
          <w:lang w:val="sr-Latn-RS"/>
        </w:rPr>
        <w:t xml:space="preserve">dio </w:t>
      </w:r>
      <w:r w:rsidRPr="00234ECD">
        <w:rPr>
          <w:rFonts w:eastAsia="Calibri"/>
          <w:sz w:val="22"/>
          <w:szCs w:val="22"/>
          <w:lang w:val="sr-Latn-RS"/>
        </w:rPr>
        <w:t>5.1).</w:t>
      </w:r>
    </w:p>
    <w:p w14:paraId="01D7995D" w14:textId="77777777" w:rsidR="00D857AC" w:rsidRPr="00234ECD" w:rsidRDefault="00D857AC" w:rsidP="00D857AC">
      <w:pPr>
        <w:jc w:val="both"/>
        <w:rPr>
          <w:rFonts w:eastAsia="Calibri"/>
          <w:sz w:val="22"/>
          <w:szCs w:val="22"/>
          <w:lang w:val="sr-Latn-RS"/>
        </w:rPr>
      </w:pPr>
    </w:p>
    <w:p w14:paraId="47233916" w14:textId="77777777" w:rsidR="00D857AC" w:rsidRPr="00234ECD" w:rsidRDefault="00D857AC" w:rsidP="00D857AC">
      <w:pPr>
        <w:jc w:val="both"/>
        <w:rPr>
          <w:rFonts w:eastAsia="Calibri"/>
          <w:bCs/>
          <w:sz w:val="22"/>
          <w:szCs w:val="22"/>
          <w:u w:val="single"/>
          <w:lang w:val="sr-Latn-RS"/>
        </w:rPr>
      </w:pPr>
      <w:r w:rsidRPr="00234ECD">
        <w:rPr>
          <w:rFonts w:eastAsia="Calibri"/>
          <w:bCs/>
          <w:sz w:val="22"/>
          <w:szCs w:val="22"/>
          <w:u w:val="single"/>
          <w:lang w:val="sr-Latn-RS"/>
        </w:rPr>
        <w:t>Hepatocelularni karcinom (</w:t>
      </w:r>
      <w:r w:rsidRPr="00234ECD">
        <w:rPr>
          <w:rFonts w:eastAsia="Calibri"/>
          <w:sz w:val="22"/>
          <w:szCs w:val="22"/>
          <w:u w:val="single"/>
          <w:lang w:val="sr-Latn-RS"/>
        </w:rPr>
        <w:t xml:space="preserve">engl. </w:t>
      </w:r>
      <w:r w:rsidRPr="00234ECD">
        <w:rPr>
          <w:rFonts w:eastAsia="Calibri"/>
          <w:i/>
          <w:iCs/>
          <w:sz w:val="22"/>
          <w:szCs w:val="22"/>
          <w:u w:val="single"/>
          <w:lang w:val="sr-Latn-RS"/>
        </w:rPr>
        <w:t>hepatocellular carcinoma</w:t>
      </w:r>
      <w:r w:rsidRPr="00234ECD">
        <w:rPr>
          <w:rFonts w:eastAsia="Calibri"/>
          <w:sz w:val="22"/>
          <w:szCs w:val="22"/>
          <w:u w:val="single"/>
          <w:lang w:val="sr-Latn-RS"/>
        </w:rPr>
        <w:t xml:space="preserve">, </w:t>
      </w:r>
      <w:r w:rsidRPr="00234ECD">
        <w:rPr>
          <w:rFonts w:eastAsia="Calibri"/>
          <w:bCs/>
          <w:sz w:val="22"/>
          <w:szCs w:val="22"/>
          <w:u w:val="single"/>
          <w:lang w:val="sr-Latn-RS"/>
        </w:rPr>
        <w:t>HCC)</w:t>
      </w:r>
    </w:p>
    <w:p w14:paraId="2D51D298" w14:textId="77777777" w:rsidR="00D857AC" w:rsidRPr="00234ECD" w:rsidRDefault="00D857AC" w:rsidP="00D857AC">
      <w:pPr>
        <w:jc w:val="both"/>
        <w:rPr>
          <w:rFonts w:eastAsia="Calibri"/>
          <w:b/>
          <w:sz w:val="22"/>
          <w:szCs w:val="22"/>
          <w:u w:val="single"/>
          <w:lang w:val="sr-Latn-RS"/>
        </w:rPr>
      </w:pPr>
    </w:p>
    <w:p w14:paraId="3708D448" w14:textId="3A7314BF" w:rsidR="00D857AC" w:rsidRPr="00234ECD" w:rsidRDefault="00D857AC" w:rsidP="00D857AC">
      <w:pPr>
        <w:jc w:val="both"/>
        <w:rPr>
          <w:rFonts w:eastAsia="Calibri"/>
          <w:sz w:val="22"/>
          <w:szCs w:val="22"/>
          <w:lang w:val="sr-Latn-RS"/>
        </w:rPr>
      </w:pPr>
      <w:r w:rsidRPr="00234ECD">
        <w:rPr>
          <w:rFonts w:eastAsia="Calibri"/>
          <w:sz w:val="22"/>
          <w:szCs w:val="22"/>
          <w:lang w:val="sr-Latn-RS"/>
        </w:rPr>
        <w:t>L</w:t>
      </w:r>
      <w:r w:rsidR="00915EBF" w:rsidRPr="00234ECD">
        <w:rPr>
          <w:rFonts w:eastAsia="Calibri"/>
          <w:sz w:val="22"/>
          <w:szCs w:val="22"/>
          <w:lang w:val="sr-Latn-RS"/>
        </w:rPr>
        <w:t>ij</w:t>
      </w:r>
      <w:r w:rsidRPr="00234ECD">
        <w:rPr>
          <w:rFonts w:eastAsia="Calibri"/>
          <w:sz w:val="22"/>
          <w:szCs w:val="22"/>
          <w:lang w:val="sr-Latn-RS"/>
        </w:rPr>
        <w:t>ek Cabometyx je indikovan kao monoterapija za l</w:t>
      </w:r>
      <w:r w:rsidR="00915EBF" w:rsidRPr="00234ECD">
        <w:rPr>
          <w:rFonts w:eastAsia="Calibri"/>
          <w:sz w:val="22"/>
          <w:szCs w:val="22"/>
          <w:lang w:val="sr-Latn-RS"/>
        </w:rPr>
        <w:t>ij</w:t>
      </w:r>
      <w:r w:rsidRPr="00234ECD">
        <w:rPr>
          <w:rFonts w:eastAsia="Calibri"/>
          <w:sz w:val="22"/>
          <w:szCs w:val="22"/>
          <w:lang w:val="sr-Latn-RS"/>
        </w:rPr>
        <w:t>ečenje hepatocelularnog karcinoma (HCC) kod odraslih koji su prethodno l</w:t>
      </w:r>
      <w:r w:rsidR="00915EBF" w:rsidRPr="00234ECD">
        <w:rPr>
          <w:rFonts w:eastAsia="Calibri"/>
          <w:sz w:val="22"/>
          <w:szCs w:val="22"/>
          <w:lang w:val="sr-Latn-RS"/>
        </w:rPr>
        <w:t>ij</w:t>
      </w:r>
      <w:r w:rsidRPr="00234ECD">
        <w:rPr>
          <w:rFonts w:eastAsia="Calibri"/>
          <w:sz w:val="22"/>
          <w:szCs w:val="22"/>
          <w:lang w:val="sr-Latn-RS"/>
        </w:rPr>
        <w:t>ečeni sorafenibom.</w:t>
      </w:r>
    </w:p>
    <w:p w14:paraId="7426B802" w14:textId="77777777" w:rsidR="00DF171A" w:rsidRPr="00234ECD" w:rsidRDefault="00DF171A" w:rsidP="00D857AC">
      <w:pPr>
        <w:jc w:val="both"/>
        <w:rPr>
          <w:rFonts w:eastAsia="Calibri"/>
          <w:sz w:val="22"/>
          <w:szCs w:val="22"/>
          <w:lang w:val="sr-Latn-RS"/>
        </w:rPr>
      </w:pPr>
    </w:p>
    <w:p w14:paraId="5E7C08D5" w14:textId="0E95FF65" w:rsidR="00DF171A" w:rsidRPr="00234ECD" w:rsidRDefault="00DF171A" w:rsidP="00DF171A">
      <w:pPr>
        <w:pStyle w:val="C-BodyText"/>
        <w:keepNext/>
        <w:keepLines/>
        <w:jc w:val="both"/>
        <w:rPr>
          <w:rFonts w:eastAsia="MS Mincho"/>
          <w:sz w:val="22"/>
          <w:szCs w:val="22"/>
          <w:lang w:val="sr-Latn-RS" w:eastAsia="ja-JP"/>
        </w:rPr>
      </w:pPr>
      <w:r w:rsidRPr="00234ECD">
        <w:rPr>
          <w:rFonts w:eastAsia="Times New Roman"/>
          <w:sz w:val="22"/>
          <w:szCs w:val="22"/>
          <w:u w:val="single"/>
          <w:lang w:val="sr-Latn-RS"/>
        </w:rPr>
        <w:t>Diferencirani karcinom štit</w:t>
      </w:r>
      <w:r w:rsidR="00B67C9F" w:rsidRPr="00234ECD">
        <w:rPr>
          <w:rFonts w:eastAsia="Times New Roman"/>
          <w:sz w:val="22"/>
          <w:szCs w:val="22"/>
          <w:u w:val="single"/>
          <w:lang w:val="sr-Latn-RS"/>
        </w:rPr>
        <w:t>aste</w:t>
      </w:r>
      <w:r w:rsidRPr="00234ECD">
        <w:rPr>
          <w:rFonts w:eastAsia="Times New Roman"/>
          <w:sz w:val="22"/>
          <w:szCs w:val="22"/>
          <w:u w:val="single"/>
          <w:lang w:val="sr-Latn-RS"/>
        </w:rPr>
        <w:t xml:space="preserve"> žlijezde (engl. </w:t>
      </w:r>
      <w:r w:rsidR="00313457" w:rsidRPr="00234ECD">
        <w:rPr>
          <w:rFonts w:eastAsia="MS Mincho"/>
          <w:i/>
          <w:iCs/>
          <w:sz w:val="22"/>
          <w:szCs w:val="22"/>
          <w:u w:val="single"/>
          <w:lang w:val="sr-Latn-RS" w:eastAsia="ja-JP"/>
        </w:rPr>
        <w:t>d</w:t>
      </w:r>
      <w:r w:rsidRPr="00234ECD">
        <w:rPr>
          <w:rFonts w:eastAsia="MS Mincho"/>
          <w:i/>
          <w:iCs/>
          <w:sz w:val="22"/>
          <w:szCs w:val="22"/>
          <w:u w:val="single"/>
          <w:lang w:val="sr-Latn-RS" w:eastAsia="ja-JP"/>
        </w:rPr>
        <w:t>ifferentiated thyroid carcinoma</w:t>
      </w:r>
      <w:r w:rsidRPr="00234ECD">
        <w:rPr>
          <w:rFonts w:eastAsia="MS Mincho"/>
          <w:sz w:val="22"/>
          <w:szCs w:val="22"/>
          <w:u w:val="single"/>
          <w:lang w:val="sr-Latn-RS" w:eastAsia="ja-JP"/>
        </w:rPr>
        <w:t>, DTC</w:t>
      </w:r>
      <w:r w:rsidRPr="00234ECD">
        <w:rPr>
          <w:rFonts w:eastAsia="MS Mincho"/>
          <w:sz w:val="22"/>
          <w:szCs w:val="22"/>
          <w:lang w:val="sr-Latn-RS" w:eastAsia="ja-JP"/>
        </w:rPr>
        <w:t>)</w:t>
      </w:r>
    </w:p>
    <w:p w14:paraId="5AA17AD7" w14:textId="7BC29B60" w:rsidR="00DF171A" w:rsidRPr="00234ECD" w:rsidRDefault="00DF171A" w:rsidP="00DF171A">
      <w:pPr>
        <w:pStyle w:val="C-BodyText"/>
        <w:keepNext/>
        <w:keepLines/>
        <w:jc w:val="both"/>
        <w:rPr>
          <w:rFonts w:eastAsia="MS Mincho"/>
          <w:sz w:val="22"/>
          <w:szCs w:val="22"/>
          <w:lang w:val="sr-Latn-RS" w:eastAsia="ja-JP"/>
        </w:rPr>
      </w:pPr>
      <w:r w:rsidRPr="00234ECD">
        <w:rPr>
          <w:sz w:val="22"/>
          <w:szCs w:val="22"/>
          <w:lang w:val="sr-Latn-RS"/>
        </w:rPr>
        <w:t>Lijek Cabometyx je indikovan kao monoterapija za liječenje kod odraslih sa lokalno uznapredovalim ili metastatskim</w:t>
      </w:r>
      <w:r w:rsidR="00116490" w:rsidRPr="00234ECD">
        <w:rPr>
          <w:sz w:val="22"/>
          <w:szCs w:val="22"/>
          <w:lang w:val="sr-Latn-RS"/>
        </w:rPr>
        <w:t xml:space="preserve"> diferenciranim</w:t>
      </w:r>
      <w:r w:rsidRPr="00234ECD">
        <w:rPr>
          <w:sz w:val="22"/>
          <w:szCs w:val="22"/>
          <w:lang w:val="sr-Latn-RS"/>
        </w:rPr>
        <w:t xml:space="preserve"> karcinomom štit</w:t>
      </w:r>
      <w:r w:rsidR="00B67C9F" w:rsidRPr="00234ECD">
        <w:rPr>
          <w:sz w:val="22"/>
          <w:szCs w:val="22"/>
          <w:lang w:val="sr-Latn-RS"/>
        </w:rPr>
        <w:t>aste</w:t>
      </w:r>
      <w:r w:rsidRPr="00234ECD">
        <w:rPr>
          <w:sz w:val="22"/>
          <w:szCs w:val="22"/>
          <w:lang w:val="sr-Latn-RS"/>
        </w:rPr>
        <w:t xml:space="preserve"> žl</w:t>
      </w:r>
      <w:r w:rsidR="00380ED5" w:rsidRPr="00234ECD">
        <w:rPr>
          <w:sz w:val="22"/>
          <w:szCs w:val="22"/>
          <w:lang w:val="sr-Latn-RS"/>
        </w:rPr>
        <w:t>ij</w:t>
      </w:r>
      <w:r w:rsidRPr="00234ECD">
        <w:rPr>
          <w:sz w:val="22"/>
          <w:szCs w:val="22"/>
          <w:lang w:val="sr-Latn-RS"/>
        </w:rPr>
        <w:t>ezde (DTC), refraktornim ili koji ne ispunjava uslove za liječenje radioaktivnim jodom (RAI), koji je napredovao tokom ili posl</w:t>
      </w:r>
      <w:r w:rsidR="00380ED5" w:rsidRPr="00234ECD">
        <w:rPr>
          <w:sz w:val="22"/>
          <w:szCs w:val="22"/>
          <w:lang w:val="sr-Latn-RS"/>
        </w:rPr>
        <w:t>ij</w:t>
      </w:r>
      <w:r w:rsidRPr="00234ECD">
        <w:rPr>
          <w:sz w:val="22"/>
          <w:szCs w:val="22"/>
          <w:lang w:val="sr-Latn-RS"/>
        </w:rPr>
        <w:t>e prethodne sistemske terapije.</w:t>
      </w:r>
    </w:p>
    <w:p w14:paraId="61DF2A61" w14:textId="77777777" w:rsidR="00411B4B" w:rsidRPr="00234ECD" w:rsidRDefault="00411B4B" w:rsidP="00480FB1">
      <w:pPr>
        <w:tabs>
          <w:tab w:val="left" w:pos="540"/>
          <w:tab w:val="left" w:pos="569"/>
        </w:tabs>
        <w:rPr>
          <w:bCs/>
          <w:sz w:val="22"/>
          <w:szCs w:val="22"/>
          <w:lang w:val="sr-Latn-RS"/>
        </w:rPr>
      </w:pPr>
    </w:p>
    <w:p w14:paraId="4969BB2E" w14:textId="13E6D4C6" w:rsidR="00411B4B" w:rsidRPr="00234ECD" w:rsidRDefault="00411B4B" w:rsidP="00480FB1">
      <w:pPr>
        <w:tabs>
          <w:tab w:val="left" w:pos="540"/>
          <w:tab w:val="left" w:pos="569"/>
        </w:tabs>
        <w:rPr>
          <w:b/>
          <w:bCs/>
          <w:sz w:val="22"/>
          <w:szCs w:val="22"/>
          <w:lang w:val="sr-Latn-RS"/>
        </w:rPr>
      </w:pPr>
      <w:r w:rsidRPr="00234ECD">
        <w:rPr>
          <w:b/>
          <w:bCs/>
          <w:sz w:val="22"/>
          <w:szCs w:val="22"/>
          <w:lang w:val="sr-Latn-RS"/>
        </w:rPr>
        <w:t xml:space="preserve">4.2. </w:t>
      </w:r>
      <w:r w:rsidR="00480FB1" w:rsidRPr="00234ECD">
        <w:rPr>
          <w:b/>
          <w:bCs/>
          <w:sz w:val="22"/>
          <w:szCs w:val="22"/>
          <w:lang w:val="sr-Latn-RS"/>
        </w:rPr>
        <w:tab/>
      </w:r>
      <w:r w:rsidRPr="00234ECD">
        <w:rPr>
          <w:b/>
          <w:bCs/>
          <w:sz w:val="22"/>
          <w:szCs w:val="22"/>
          <w:lang w:val="sr-Latn-RS"/>
        </w:rPr>
        <w:t>Doziranje i način primjene</w:t>
      </w:r>
    </w:p>
    <w:p w14:paraId="197D6AE7" w14:textId="77777777" w:rsidR="00D857AC" w:rsidRPr="00234ECD" w:rsidRDefault="00D857AC" w:rsidP="00480FB1">
      <w:pPr>
        <w:tabs>
          <w:tab w:val="left" w:pos="540"/>
          <w:tab w:val="left" w:pos="569"/>
        </w:tabs>
        <w:rPr>
          <w:b/>
          <w:bCs/>
          <w:sz w:val="22"/>
          <w:szCs w:val="22"/>
          <w:lang w:val="sr-Latn-RS"/>
        </w:rPr>
      </w:pPr>
    </w:p>
    <w:p w14:paraId="43F76F42" w14:textId="04ABA346" w:rsidR="00D857AC" w:rsidRPr="00234ECD" w:rsidRDefault="00D857AC" w:rsidP="00D857AC">
      <w:pPr>
        <w:jc w:val="both"/>
        <w:rPr>
          <w:rFonts w:eastAsia="Calibri"/>
          <w:sz w:val="22"/>
          <w:szCs w:val="22"/>
          <w:lang w:val="sr-Latn-RS"/>
        </w:rPr>
      </w:pPr>
      <w:r w:rsidRPr="00234ECD">
        <w:rPr>
          <w:rFonts w:eastAsia="Calibri"/>
          <w:sz w:val="22"/>
          <w:szCs w:val="22"/>
          <w:lang w:val="sr-Latn-RS"/>
        </w:rPr>
        <w:t>Terapiju l</w:t>
      </w:r>
      <w:r w:rsidR="00915EBF" w:rsidRPr="00234ECD">
        <w:rPr>
          <w:rFonts w:eastAsia="Calibri"/>
          <w:sz w:val="22"/>
          <w:szCs w:val="22"/>
          <w:lang w:val="sr-Latn-RS"/>
        </w:rPr>
        <w:t>ij</w:t>
      </w:r>
      <w:r w:rsidRPr="00234ECD">
        <w:rPr>
          <w:rFonts w:eastAsia="Calibri"/>
          <w:sz w:val="22"/>
          <w:szCs w:val="22"/>
          <w:lang w:val="sr-Latn-RS"/>
        </w:rPr>
        <w:t>ekom Cabometyx treba da započne l</w:t>
      </w:r>
      <w:r w:rsidR="00915EBF" w:rsidRPr="00234ECD">
        <w:rPr>
          <w:rFonts w:eastAsia="Calibri"/>
          <w:sz w:val="22"/>
          <w:szCs w:val="22"/>
          <w:lang w:val="sr-Latn-RS"/>
        </w:rPr>
        <w:t>j</w:t>
      </w:r>
      <w:r w:rsidRPr="00234ECD">
        <w:rPr>
          <w:rFonts w:eastAsia="Calibri"/>
          <w:sz w:val="22"/>
          <w:szCs w:val="22"/>
          <w:lang w:val="sr-Latn-RS"/>
        </w:rPr>
        <w:t>ekar sa iskustvom u prim</w:t>
      </w:r>
      <w:r w:rsidR="00915EBF" w:rsidRPr="00234ECD">
        <w:rPr>
          <w:rFonts w:eastAsia="Calibri"/>
          <w:sz w:val="22"/>
          <w:szCs w:val="22"/>
          <w:lang w:val="sr-Latn-RS"/>
        </w:rPr>
        <w:t>j</w:t>
      </w:r>
      <w:r w:rsidRPr="00234ECD">
        <w:rPr>
          <w:rFonts w:eastAsia="Calibri"/>
          <w:sz w:val="22"/>
          <w:szCs w:val="22"/>
          <w:lang w:val="sr-Latn-RS"/>
        </w:rPr>
        <w:t>eni antikancerskih l</w:t>
      </w:r>
      <w:r w:rsidR="00915EBF" w:rsidRPr="00234ECD">
        <w:rPr>
          <w:rFonts w:eastAsia="Calibri"/>
          <w:sz w:val="22"/>
          <w:szCs w:val="22"/>
          <w:lang w:val="sr-Latn-RS"/>
        </w:rPr>
        <w:t>j</w:t>
      </w:r>
      <w:r w:rsidRPr="00234ECD">
        <w:rPr>
          <w:rFonts w:eastAsia="Calibri"/>
          <w:sz w:val="22"/>
          <w:szCs w:val="22"/>
          <w:lang w:val="sr-Latn-RS"/>
        </w:rPr>
        <w:t>ekova.</w:t>
      </w:r>
    </w:p>
    <w:p w14:paraId="0674043B" w14:textId="77777777" w:rsidR="00D857AC" w:rsidRPr="00234ECD" w:rsidRDefault="00D857AC" w:rsidP="00D857AC">
      <w:pPr>
        <w:jc w:val="both"/>
        <w:rPr>
          <w:rFonts w:eastAsia="Calibri"/>
          <w:sz w:val="22"/>
          <w:szCs w:val="22"/>
          <w:lang w:val="sr-Latn-RS"/>
        </w:rPr>
      </w:pPr>
    </w:p>
    <w:p w14:paraId="2BD30953"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Doziranje</w:t>
      </w:r>
    </w:p>
    <w:p w14:paraId="5A199057" w14:textId="2EDC1581" w:rsidR="00D857AC" w:rsidRPr="00234ECD" w:rsidRDefault="00D857AC" w:rsidP="00D857AC">
      <w:pPr>
        <w:rPr>
          <w:rFonts w:eastAsia="Calibri"/>
          <w:sz w:val="22"/>
          <w:szCs w:val="22"/>
          <w:lang w:val="sr-Latn-RS"/>
        </w:rPr>
      </w:pPr>
      <w:r w:rsidRPr="00234ECD">
        <w:rPr>
          <w:rFonts w:eastAsia="Calibri"/>
          <w:sz w:val="22"/>
          <w:szCs w:val="22"/>
          <w:lang w:val="sr-Latn-RS"/>
        </w:rPr>
        <w:t>Cabometyx tablete i kabozantinib kapsule nisu biološki ekvivalentne i ne sm</w:t>
      </w:r>
      <w:r w:rsidR="00915EBF" w:rsidRPr="00234ECD">
        <w:rPr>
          <w:rFonts w:eastAsia="Calibri"/>
          <w:sz w:val="22"/>
          <w:szCs w:val="22"/>
          <w:lang w:val="sr-Latn-RS"/>
        </w:rPr>
        <w:t>i</w:t>
      </w:r>
      <w:r w:rsidRPr="00234ECD">
        <w:rPr>
          <w:rFonts w:eastAsia="Calibri"/>
          <w:sz w:val="22"/>
          <w:szCs w:val="22"/>
          <w:lang w:val="sr-Latn-RS"/>
        </w:rPr>
        <w:t xml:space="preserve">ju da se međusobno </w:t>
      </w:r>
      <w:r w:rsidR="00132502" w:rsidRPr="00234ECD">
        <w:rPr>
          <w:rFonts w:eastAsia="Calibri"/>
          <w:sz w:val="22"/>
          <w:szCs w:val="22"/>
          <w:lang w:val="sr-Latn-RS"/>
        </w:rPr>
        <w:t xml:space="preserve">zamjenjuju </w:t>
      </w:r>
      <w:r w:rsidRPr="00234ECD">
        <w:rPr>
          <w:rFonts w:eastAsia="Calibri"/>
          <w:sz w:val="22"/>
          <w:szCs w:val="22"/>
          <w:lang w:val="sr-Latn-RS"/>
        </w:rPr>
        <w:t>(vid</w:t>
      </w:r>
      <w:r w:rsidR="00915EBF" w:rsidRPr="00234ECD">
        <w:rPr>
          <w:rFonts w:eastAsia="Calibri"/>
          <w:sz w:val="22"/>
          <w:szCs w:val="22"/>
          <w:lang w:val="sr-Latn-RS"/>
        </w:rPr>
        <w:t>j</w:t>
      </w:r>
      <w:r w:rsidRPr="00234ECD">
        <w:rPr>
          <w:rFonts w:eastAsia="Calibri"/>
          <w:sz w:val="22"/>
          <w:szCs w:val="22"/>
          <w:lang w:val="sr-Latn-RS"/>
        </w:rPr>
        <w:t xml:space="preserve">eti </w:t>
      </w:r>
      <w:r w:rsidR="00132502" w:rsidRPr="00234ECD">
        <w:rPr>
          <w:rFonts w:eastAsia="Calibri"/>
          <w:sz w:val="22"/>
          <w:szCs w:val="22"/>
          <w:lang w:val="sr-Latn-RS"/>
        </w:rPr>
        <w:t xml:space="preserve">dio </w:t>
      </w:r>
      <w:r w:rsidRPr="00234ECD">
        <w:rPr>
          <w:rFonts w:eastAsia="Calibri"/>
          <w:sz w:val="22"/>
          <w:szCs w:val="22"/>
          <w:lang w:val="sr-Latn-RS"/>
        </w:rPr>
        <w:t xml:space="preserve">5.2). </w:t>
      </w:r>
    </w:p>
    <w:p w14:paraId="21C3359F" w14:textId="77777777" w:rsidR="00D857AC" w:rsidRPr="00234ECD" w:rsidRDefault="00D857AC" w:rsidP="00D857AC">
      <w:pPr>
        <w:jc w:val="both"/>
        <w:rPr>
          <w:rFonts w:eastAsia="Calibri"/>
          <w:sz w:val="22"/>
          <w:szCs w:val="22"/>
          <w:lang w:val="sr-Latn-RS"/>
        </w:rPr>
      </w:pPr>
    </w:p>
    <w:p w14:paraId="58ECCA56" w14:textId="4254804A" w:rsidR="00D857AC" w:rsidRPr="00234ECD" w:rsidRDefault="00D857AC" w:rsidP="00D857AC">
      <w:pPr>
        <w:jc w:val="both"/>
        <w:rPr>
          <w:rFonts w:eastAsia="Calibri"/>
          <w:i/>
          <w:iCs/>
          <w:sz w:val="22"/>
          <w:szCs w:val="22"/>
          <w:lang w:val="sr-Latn-RS"/>
        </w:rPr>
      </w:pPr>
      <w:r w:rsidRPr="00234ECD">
        <w:rPr>
          <w:rFonts w:eastAsia="Calibri"/>
          <w:i/>
          <w:iCs/>
          <w:sz w:val="22"/>
          <w:szCs w:val="22"/>
          <w:lang w:val="sr-Latn-RS"/>
        </w:rPr>
        <w:t>L</w:t>
      </w:r>
      <w:r w:rsidR="00915EBF" w:rsidRPr="00234ECD">
        <w:rPr>
          <w:rFonts w:eastAsia="Calibri"/>
          <w:i/>
          <w:iCs/>
          <w:sz w:val="22"/>
          <w:szCs w:val="22"/>
          <w:lang w:val="sr-Latn-RS"/>
        </w:rPr>
        <w:t>ij</w:t>
      </w:r>
      <w:r w:rsidRPr="00234ECD">
        <w:rPr>
          <w:rFonts w:eastAsia="Calibri"/>
          <w:i/>
          <w:iCs/>
          <w:sz w:val="22"/>
          <w:szCs w:val="22"/>
          <w:lang w:val="sr-Latn-RS"/>
        </w:rPr>
        <w:t>ek Cabometyx kao monoterapija</w:t>
      </w:r>
    </w:p>
    <w:p w14:paraId="7C6D0BBB" w14:textId="4BF97C97" w:rsidR="00DA56D0" w:rsidRPr="00234ECD" w:rsidRDefault="00D857AC" w:rsidP="00D857AC">
      <w:pPr>
        <w:jc w:val="both"/>
        <w:rPr>
          <w:rFonts w:eastAsia="Calibri"/>
          <w:sz w:val="22"/>
          <w:szCs w:val="22"/>
          <w:lang w:val="sr-Latn-RS"/>
        </w:rPr>
      </w:pPr>
      <w:r w:rsidRPr="00234ECD">
        <w:rPr>
          <w:rFonts w:eastAsia="Calibri"/>
          <w:sz w:val="22"/>
          <w:szCs w:val="22"/>
          <w:lang w:val="sr-Latn-RS"/>
        </w:rPr>
        <w:t>U terapiji RCC</w:t>
      </w:r>
      <w:r w:rsidR="00DF171A" w:rsidRPr="00234ECD">
        <w:rPr>
          <w:rFonts w:eastAsia="Calibri"/>
          <w:sz w:val="22"/>
          <w:szCs w:val="22"/>
          <w:lang w:val="sr-Latn-RS"/>
        </w:rPr>
        <w:t xml:space="preserve">, </w:t>
      </w:r>
      <w:r w:rsidRPr="00234ECD">
        <w:rPr>
          <w:rFonts w:eastAsia="Calibri"/>
          <w:sz w:val="22"/>
          <w:szCs w:val="22"/>
          <w:lang w:val="sr-Latn-RS"/>
        </w:rPr>
        <w:t>HCC</w:t>
      </w:r>
      <w:r w:rsidR="00DF171A" w:rsidRPr="00234ECD">
        <w:rPr>
          <w:rFonts w:eastAsia="Calibri"/>
          <w:sz w:val="22"/>
          <w:szCs w:val="22"/>
          <w:lang w:val="sr-Latn-RS"/>
        </w:rPr>
        <w:t xml:space="preserve"> i DTC</w:t>
      </w:r>
      <w:r w:rsidRPr="00234ECD">
        <w:rPr>
          <w:rFonts w:eastAsia="Calibri"/>
          <w:sz w:val="22"/>
          <w:szCs w:val="22"/>
          <w:lang w:val="sr-Latn-RS"/>
        </w:rPr>
        <w:t>, preporučena doza l</w:t>
      </w:r>
      <w:r w:rsidR="00915EBF" w:rsidRPr="00234ECD">
        <w:rPr>
          <w:rFonts w:eastAsia="Calibri"/>
          <w:sz w:val="22"/>
          <w:szCs w:val="22"/>
          <w:lang w:val="sr-Latn-RS"/>
        </w:rPr>
        <w:t>ij</w:t>
      </w:r>
      <w:r w:rsidRPr="00234ECD">
        <w:rPr>
          <w:rFonts w:eastAsia="Calibri"/>
          <w:sz w:val="22"/>
          <w:szCs w:val="22"/>
          <w:lang w:val="sr-Latn-RS"/>
        </w:rPr>
        <w:t xml:space="preserve">eka Cabometyx je 60 mg jednom dnevno. </w:t>
      </w:r>
    </w:p>
    <w:p w14:paraId="7466A664" w14:textId="77777777" w:rsidR="00DA56D0" w:rsidRPr="00234ECD" w:rsidRDefault="00DA56D0" w:rsidP="00D857AC">
      <w:pPr>
        <w:jc w:val="both"/>
        <w:rPr>
          <w:rFonts w:eastAsia="Calibri"/>
          <w:sz w:val="22"/>
          <w:szCs w:val="22"/>
          <w:lang w:val="sr-Latn-RS"/>
        </w:rPr>
      </w:pPr>
    </w:p>
    <w:p w14:paraId="0F1B1A37" w14:textId="7E67EFC7" w:rsidR="00D857AC" w:rsidRPr="00234ECD" w:rsidRDefault="00D857AC" w:rsidP="00D857AC">
      <w:pPr>
        <w:jc w:val="both"/>
        <w:rPr>
          <w:rFonts w:eastAsia="Calibri"/>
          <w:sz w:val="22"/>
          <w:szCs w:val="22"/>
          <w:lang w:val="sr-Latn-RS"/>
        </w:rPr>
      </w:pPr>
      <w:r w:rsidRPr="00234ECD">
        <w:rPr>
          <w:rFonts w:eastAsia="Calibri"/>
          <w:sz w:val="22"/>
          <w:szCs w:val="22"/>
          <w:lang w:val="sr-Latn-RS"/>
        </w:rPr>
        <w:t>Terapiju treba nastaviti sve dok postoji klinička korist po pacijenta ili dok se ne pojavi neprihvatljiva toksičnost.</w:t>
      </w:r>
    </w:p>
    <w:p w14:paraId="1DC962B6" w14:textId="77777777" w:rsidR="00D857AC" w:rsidRPr="00234ECD" w:rsidRDefault="00D857AC" w:rsidP="00D857AC">
      <w:pPr>
        <w:jc w:val="both"/>
        <w:rPr>
          <w:rFonts w:eastAsia="Calibri"/>
          <w:sz w:val="22"/>
          <w:szCs w:val="22"/>
          <w:lang w:val="sr-Latn-RS"/>
        </w:rPr>
      </w:pPr>
    </w:p>
    <w:p w14:paraId="51DC9278" w14:textId="441F275F"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i/>
          <w:iCs/>
          <w:sz w:val="22"/>
          <w:szCs w:val="22"/>
          <w:lang w:val="sr-Latn-RS"/>
        </w:rPr>
        <w:t>L</w:t>
      </w:r>
      <w:r w:rsidR="00915EBF" w:rsidRPr="00234ECD">
        <w:rPr>
          <w:rFonts w:eastAsia="Calibri"/>
          <w:i/>
          <w:iCs/>
          <w:sz w:val="22"/>
          <w:szCs w:val="22"/>
          <w:lang w:val="sr-Latn-RS"/>
        </w:rPr>
        <w:t>ij</w:t>
      </w:r>
      <w:r w:rsidRPr="00234ECD">
        <w:rPr>
          <w:rFonts w:eastAsia="Calibri"/>
          <w:i/>
          <w:iCs/>
          <w:sz w:val="22"/>
          <w:szCs w:val="22"/>
          <w:lang w:val="sr-Latn-RS"/>
        </w:rPr>
        <w:t>ek Cabometyx</w:t>
      </w:r>
      <w:r w:rsidRPr="00234ECD">
        <w:rPr>
          <w:rFonts w:eastAsia="Calibri"/>
          <w:i/>
          <w:iCs/>
          <w:color w:val="000000"/>
          <w:sz w:val="22"/>
          <w:szCs w:val="22"/>
          <w:lang w:val="sr-Latn-RS"/>
        </w:rPr>
        <w:t xml:space="preserve"> u kombinaciji s nivolumabom kao prva linija l</w:t>
      </w:r>
      <w:r w:rsidR="00915EBF" w:rsidRPr="00234ECD">
        <w:rPr>
          <w:rFonts w:eastAsia="Calibri"/>
          <w:i/>
          <w:iCs/>
          <w:color w:val="000000"/>
          <w:sz w:val="22"/>
          <w:szCs w:val="22"/>
          <w:lang w:val="sr-Latn-RS"/>
        </w:rPr>
        <w:t>ij</w:t>
      </w:r>
      <w:r w:rsidRPr="00234ECD">
        <w:rPr>
          <w:rFonts w:eastAsia="Calibri"/>
          <w:i/>
          <w:iCs/>
          <w:color w:val="000000"/>
          <w:sz w:val="22"/>
          <w:szCs w:val="22"/>
          <w:lang w:val="sr-Latn-RS"/>
        </w:rPr>
        <w:t xml:space="preserve">ečenja uznapredovalog RCC-a </w:t>
      </w:r>
    </w:p>
    <w:p w14:paraId="15EBE1D5" w14:textId="061D3EB8" w:rsidR="00D857AC" w:rsidRPr="00234ECD" w:rsidRDefault="00D857AC" w:rsidP="00D857AC">
      <w:pPr>
        <w:jc w:val="both"/>
        <w:rPr>
          <w:rFonts w:eastAsia="Calibri"/>
          <w:color w:val="000000"/>
          <w:sz w:val="22"/>
          <w:szCs w:val="22"/>
          <w:lang w:val="sr-Latn-RS"/>
        </w:rPr>
      </w:pPr>
      <w:r w:rsidRPr="00234ECD">
        <w:rPr>
          <w:rFonts w:eastAsia="Calibri"/>
          <w:color w:val="000000"/>
          <w:sz w:val="22"/>
          <w:szCs w:val="22"/>
          <w:lang w:val="sr-Latn-RS"/>
        </w:rPr>
        <w:t xml:space="preserve">Preporučena doza </w:t>
      </w:r>
      <w:r w:rsidRPr="00234ECD">
        <w:rPr>
          <w:rFonts w:eastAsia="Calibri"/>
          <w:sz w:val="22"/>
          <w:szCs w:val="22"/>
          <w:lang w:val="sr-Latn-RS"/>
        </w:rPr>
        <w:t>l</w:t>
      </w:r>
      <w:r w:rsidR="00915EBF" w:rsidRPr="00234ECD">
        <w:rPr>
          <w:rFonts w:eastAsia="Calibri"/>
          <w:sz w:val="22"/>
          <w:szCs w:val="22"/>
          <w:lang w:val="sr-Latn-RS"/>
        </w:rPr>
        <w:t>ij</w:t>
      </w:r>
      <w:r w:rsidRPr="00234ECD">
        <w:rPr>
          <w:rFonts w:eastAsia="Calibri"/>
          <w:sz w:val="22"/>
          <w:szCs w:val="22"/>
          <w:lang w:val="sr-Latn-RS"/>
        </w:rPr>
        <w:t>eka Cabometyx</w:t>
      </w:r>
      <w:r w:rsidRPr="00234ECD">
        <w:rPr>
          <w:rFonts w:eastAsia="Calibri"/>
          <w:i/>
          <w:iCs/>
          <w:color w:val="000000"/>
          <w:sz w:val="22"/>
          <w:szCs w:val="22"/>
          <w:lang w:val="sr-Latn-RS"/>
        </w:rPr>
        <w:t xml:space="preserve"> </w:t>
      </w:r>
      <w:r w:rsidRPr="00234ECD">
        <w:rPr>
          <w:rFonts w:eastAsia="Calibri"/>
          <w:color w:val="000000"/>
          <w:sz w:val="22"/>
          <w:szCs w:val="22"/>
          <w:lang w:val="sr-Latn-RS"/>
        </w:rPr>
        <w:t>je 40 mg jednom dnevno u kombinaciji s nivolumabom koji se daje intravenski u dozi od 240 mg na svake 2 ned</w:t>
      </w:r>
      <w:r w:rsidR="00A8726C" w:rsidRPr="00234ECD">
        <w:rPr>
          <w:rFonts w:eastAsia="Calibri"/>
          <w:color w:val="000000"/>
          <w:sz w:val="22"/>
          <w:szCs w:val="22"/>
          <w:lang w:val="sr-Latn-RS"/>
        </w:rPr>
        <w:t>j</w:t>
      </w:r>
      <w:r w:rsidRPr="00234ECD">
        <w:rPr>
          <w:rFonts w:eastAsia="Calibri"/>
          <w:color w:val="000000"/>
          <w:sz w:val="22"/>
          <w:szCs w:val="22"/>
          <w:lang w:val="sr-Latn-RS"/>
        </w:rPr>
        <w:t xml:space="preserve">elje </w:t>
      </w:r>
      <w:r w:rsidRPr="00234ECD">
        <w:rPr>
          <w:rFonts w:eastAsia="Calibri"/>
          <w:bCs/>
          <w:color w:val="000000"/>
          <w:sz w:val="22"/>
          <w:szCs w:val="22"/>
          <w:lang w:val="sr-Latn-RS"/>
        </w:rPr>
        <w:t>ili</w:t>
      </w:r>
      <w:r w:rsidRPr="00234ECD">
        <w:rPr>
          <w:rFonts w:eastAsia="Calibri"/>
          <w:b/>
          <w:bCs/>
          <w:color w:val="000000"/>
          <w:sz w:val="22"/>
          <w:szCs w:val="22"/>
          <w:lang w:val="sr-Latn-RS"/>
        </w:rPr>
        <w:t xml:space="preserve"> </w:t>
      </w:r>
      <w:r w:rsidRPr="00234ECD">
        <w:rPr>
          <w:rFonts w:eastAsia="Calibri"/>
          <w:color w:val="000000"/>
          <w:sz w:val="22"/>
          <w:szCs w:val="22"/>
          <w:lang w:val="sr-Latn-RS"/>
        </w:rPr>
        <w:t>480 mg na svake 4 ned</w:t>
      </w:r>
      <w:r w:rsidR="00A8726C" w:rsidRPr="00234ECD">
        <w:rPr>
          <w:rFonts w:eastAsia="Calibri"/>
          <w:color w:val="000000"/>
          <w:sz w:val="22"/>
          <w:szCs w:val="22"/>
          <w:lang w:val="sr-Latn-RS"/>
        </w:rPr>
        <w:t>j</w:t>
      </w:r>
      <w:r w:rsidRPr="00234ECD">
        <w:rPr>
          <w:rFonts w:eastAsia="Calibri"/>
          <w:color w:val="000000"/>
          <w:sz w:val="22"/>
          <w:szCs w:val="22"/>
          <w:lang w:val="sr-Latn-RS"/>
        </w:rPr>
        <w:t>elje. L</w:t>
      </w:r>
      <w:r w:rsidR="00A8726C" w:rsidRPr="00234ECD">
        <w:rPr>
          <w:rFonts w:eastAsia="Calibri"/>
          <w:color w:val="000000"/>
          <w:sz w:val="22"/>
          <w:szCs w:val="22"/>
          <w:lang w:val="sr-Latn-RS"/>
        </w:rPr>
        <w:t>ij</w:t>
      </w:r>
      <w:r w:rsidRPr="00234ECD">
        <w:rPr>
          <w:rFonts w:eastAsia="Calibri"/>
          <w:color w:val="000000"/>
          <w:sz w:val="22"/>
          <w:szCs w:val="22"/>
          <w:lang w:val="sr-Latn-RS"/>
        </w:rPr>
        <w:t xml:space="preserve">ečenje treba nastaviti sve do progresije bolesti ili do pojave neprihvatljive toksičnosti. Nivolumab treba nastaviti do progresije bolesti, pojave neprihvatljive toksičnosti ili do 24 mjeseca kod </w:t>
      </w:r>
      <w:r w:rsidR="009F5464" w:rsidRPr="00234ECD">
        <w:rPr>
          <w:rFonts w:eastAsia="Calibri"/>
          <w:color w:val="000000"/>
          <w:sz w:val="22"/>
          <w:szCs w:val="22"/>
          <w:lang w:val="sr-Latn-RS"/>
        </w:rPr>
        <w:t xml:space="preserve">pacijenata </w:t>
      </w:r>
      <w:r w:rsidRPr="00234ECD">
        <w:rPr>
          <w:rFonts w:eastAsia="Calibri"/>
          <w:color w:val="000000"/>
          <w:sz w:val="22"/>
          <w:szCs w:val="22"/>
          <w:lang w:val="sr-Latn-RS"/>
        </w:rPr>
        <w:t>bez progresije bolesti (vid</w:t>
      </w:r>
      <w:r w:rsidR="00A8726C" w:rsidRPr="00234ECD">
        <w:rPr>
          <w:rFonts w:eastAsia="Calibri"/>
          <w:color w:val="000000"/>
          <w:sz w:val="22"/>
          <w:szCs w:val="22"/>
          <w:lang w:val="sr-Latn-RS"/>
        </w:rPr>
        <w:t>j</w:t>
      </w:r>
      <w:r w:rsidRPr="00234ECD">
        <w:rPr>
          <w:rFonts w:eastAsia="Calibri"/>
          <w:color w:val="000000"/>
          <w:sz w:val="22"/>
          <w:szCs w:val="22"/>
          <w:lang w:val="sr-Latn-RS"/>
        </w:rPr>
        <w:t>eti Sažetak karakteristika l</w:t>
      </w:r>
      <w:r w:rsidR="00A8726C" w:rsidRPr="00234ECD">
        <w:rPr>
          <w:rFonts w:eastAsia="Calibri"/>
          <w:color w:val="000000"/>
          <w:sz w:val="22"/>
          <w:szCs w:val="22"/>
          <w:lang w:val="sr-Latn-RS"/>
        </w:rPr>
        <w:t>ij</w:t>
      </w:r>
      <w:r w:rsidRPr="00234ECD">
        <w:rPr>
          <w:rFonts w:eastAsia="Calibri"/>
          <w:color w:val="000000"/>
          <w:sz w:val="22"/>
          <w:szCs w:val="22"/>
          <w:lang w:val="sr-Latn-RS"/>
        </w:rPr>
        <w:t xml:space="preserve">eka za doziranje nivolumaba). </w:t>
      </w:r>
    </w:p>
    <w:p w14:paraId="154372DC" w14:textId="77777777" w:rsidR="00D857AC" w:rsidRPr="00234ECD" w:rsidRDefault="00D857AC" w:rsidP="00D857AC">
      <w:pPr>
        <w:jc w:val="both"/>
        <w:rPr>
          <w:rFonts w:eastAsia="Calibri"/>
          <w:color w:val="000000"/>
          <w:sz w:val="22"/>
          <w:szCs w:val="22"/>
          <w:lang w:val="sr-Latn-RS"/>
        </w:rPr>
      </w:pPr>
    </w:p>
    <w:p w14:paraId="579A2A87" w14:textId="77777777" w:rsidR="00D857AC" w:rsidRPr="00234ECD" w:rsidRDefault="00D857AC" w:rsidP="00D857AC">
      <w:pPr>
        <w:jc w:val="both"/>
        <w:rPr>
          <w:rFonts w:eastAsia="Calibri"/>
          <w:i/>
          <w:iCs/>
          <w:color w:val="000000"/>
          <w:sz w:val="22"/>
          <w:szCs w:val="22"/>
          <w:lang w:val="sr-Latn-RS"/>
        </w:rPr>
      </w:pPr>
      <w:r w:rsidRPr="00234ECD">
        <w:rPr>
          <w:rFonts w:eastAsia="Calibri"/>
          <w:i/>
          <w:iCs/>
          <w:color w:val="000000"/>
          <w:sz w:val="22"/>
          <w:szCs w:val="22"/>
          <w:lang w:val="sr-Latn-RS"/>
        </w:rPr>
        <w:t>Prilagođavanje terapije</w:t>
      </w:r>
    </w:p>
    <w:p w14:paraId="0D3456E8" w14:textId="56BBA09C" w:rsidR="00DA56D0" w:rsidRPr="00234ECD" w:rsidRDefault="00D857AC" w:rsidP="00D857AC">
      <w:pPr>
        <w:jc w:val="both"/>
        <w:rPr>
          <w:rFonts w:eastAsia="Calibri"/>
          <w:sz w:val="22"/>
          <w:szCs w:val="22"/>
          <w:lang w:val="sr-Latn-RS"/>
        </w:rPr>
      </w:pPr>
      <w:r w:rsidRPr="00234ECD">
        <w:rPr>
          <w:rFonts w:eastAsia="Calibri"/>
          <w:sz w:val="22"/>
          <w:szCs w:val="22"/>
          <w:lang w:val="sr-Latn-RS"/>
        </w:rPr>
        <w:t>U slučaju sumnje na pojavu neželjenih reakcija na l</w:t>
      </w:r>
      <w:r w:rsidR="00A8726C" w:rsidRPr="00234ECD">
        <w:rPr>
          <w:rFonts w:eastAsia="Calibri"/>
          <w:sz w:val="22"/>
          <w:szCs w:val="22"/>
          <w:lang w:val="sr-Latn-RS"/>
        </w:rPr>
        <w:t>ij</w:t>
      </w:r>
      <w:r w:rsidRPr="00234ECD">
        <w:rPr>
          <w:rFonts w:eastAsia="Calibri"/>
          <w:sz w:val="22"/>
          <w:szCs w:val="22"/>
          <w:lang w:val="sr-Latn-RS"/>
        </w:rPr>
        <w:t>ek može se zaht</w:t>
      </w:r>
      <w:r w:rsidR="00A8726C" w:rsidRPr="00234ECD">
        <w:rPr>
          <w:rFonts w:eastAsia="Calibri"/>
          <w:sz w:val="22"/>
          <w:szCs w:val="22"/>
          <w:lang w:val="sr-Latn-RS"/>
        </w:rPr>
        <w:t>j</w:t>
      </w:r>
      <w:r w:rsidRPr="00234ECD">
        <w:rPr>
          <w:rFonts w:eastAsia="Calibri"/>
          <w:sz w:val="22"/>
          <w:szCs w:val="22"/>
          <w:lang w:val="sr-Latn-RS"/>
        </w:rPr>
        <w:t>evati privrem</w:t>
      </w:r>
      <w:r w:rsidR="00A8726C" w:rsidRPr="00234ECD">
        <w:rPr>
          <w:rFonts w:eastAsia="Calibri"/>
          <w:sz w:val="22"/>
          <w:szCs w:val="22"/>
          <w:lang w:val="sr-Latn-RS"/>
        </w:rPr>
        <w:t>en</w:t>
      </w:r>
      <w:r w:rsidRPr="00234ECD">
        <w:rPr>
          <w:rFonts w:eastAsia="Calibri"/>
          <w:sz w:val="22"/>
          <w:szCs w:val="22"/>
          <w:lang w:val="sr-Latn-RS"/>
        </w:rPr>
        <w:t>i prekid terapije i/ili smanjenje doze (vid</w:t>
      </w:r>
      <w:r w:rsidR="00A8726C" w:rsidRPr="00234ECD">
        <w:rPr>
          <w:rFonts w:eastAsia="Calibri"/>
          <w:sz w:val="22"/>
          <w:szCs w:val="22"/>
          <w:lang w:val="sr-Latn-RS"/>
        </w:rPr>
        <w:t>j</w:t>
      </w:r>
      <w:r w:rsidRPr="00234ECD">
        <w:rPr>
          <w:rFonts w:eastAsia="Calibri"/>
          <w:sz w:val="22"/>
          <w:szCs w:val="22"/>
          <w:lang w:val="sr-Latn-RS"/>
        </w:rPr>
        <w:t xml:space="preserve">eti </w:t>
      </w:r>
      <w:r w:rsidR="00132502" w:rsidRPr="00234ECD">
        <w:rPr>
          <w:rFonts w:eastAsia="Calibri"/>
          <w:sz w:val="22"/>
          <w:szCs w:val="22"/>
          <w:lang w:val="sr-Latn-RS"/>
        </w:rPr>
        <w:t>T</w:t>
      </w:r>
      <w:r w:rsidRPr="00234ECD">
        <w:rPr>
          <w:rFonts w:eastAsia="Calibri"/>
          <w:sz w:val="22"/>
          <w:szCs w:val="22"/>
          <w:lang w:val="sr-Latn-RS"/>
        </w:rPr>
        <w:t xml:space="preserve">abelu 1). Kada je potrebno smanjenje doze u monoterapiji, preporučuje se smanjenje na 40 mg dnevno, a zatim na 20 mg dnevno. </w:t>
      </w:r>
    </w:p>
    <w:p w14:paraId="334B7DC7" w14:textId="77777777" w:rsidR="00DA56D0" w:rsidRPr="00234ECD" w:rsidRDefault="00DA56D0" w:rsidP="00D857AC">
      <w:pPr>
        <w:jc w:val="both"/>
        <w:rPr>
          <w:rFonts w:eastAsia="Calibri"/>
          <w:sz w:val="22"/>
          <w:szCs w:val="22"/>
          <w:lang w:val="sr-Latn-RS"/>
        </w:rPr>
      </w:pPr>
    </w:p>
    <w:p w14:paraId="4E464D20" w14:textId="2BF6BA08" w:rsidR="00D857AC" w:rsidRPr="00234ECD" w:rsidRDefault="00D857AC" w:rsidP="00D857AC">
      <w:pPr>
        <w:jc w:val="both"/>
        <w:rPr>
          <w:rFonts w:eastAsia="Calibri"/>
          <w:sz w:val="22"/>
          <w:szCs w:val="22"/>
          <w:lang w:val="sr-Latn-RS"/>
        </w:rPr>
      </w:pPr>
      <w:r w:rsidRPr="00234ECD">
        <w:rPr>
          <w:rFonts w:eastAsia="Calibri"/>
          <w:sz w:val="22"/>
          <w:szCs w:val="22"/>
          <w:lang w:val="sr-Latn-RS"/>
        </w:rPr>
        <w:t>Kada se l</w:t>
      </w:r>
      <w:r w:rsidR="00A8726C" w:rsidRPr="00234ECD">
        <w:rPr>
          <w:rFonts w:eastAsia="Calibri"/>
          <w:sz w:val="22"/>
          <w:szCs w:val="22"/>
          <w:lang w:val="sr-Latn-RS"/>
        </w:rPr>
        <w:t>ij</w:t>
      </w:r>
      <w:r w:rsidRPr="00234ECD">
        <w:rPr>
          <w:rFonts w:eastAsia="Calibri"/>
          <w:sz w:val="22"/>
          <w:szCs w:val="22"/>
          <w:lang w:val="sr-Latn-RS"/>
        </w:rPr>
        <w:t>ek Cabometyx daje u kombinaciji s nivolumabom, preporučuje se smanjenje doze na 20 mg l</w:t>
      </w:r>
      <w:r w:rsidR="00A8726C" w:rsidRPr="00234ECD">
        <w:rPr>
          <w:rFonts w:eastAsia="Calibri"/>
          <w:sz w:val="22"/>
          <w:szCs w:val="22"/>
          <w:lang w:val="sr-Latn-RS"/>
        </w:rPr>
        <w:t>ij</w:t>
      </w:r>
      <w:r w:rsidRPr="00234ECD">
        <w:rPr>
          <w:rFonts w:eastAsia="Calibri"/>
          <w:sz w:val="22"/>
          <w:szCs w:val="22"/>
          <w:lang w:val="sr-Latn-RS"/>
        </w:rPr>
        <w:t>eka Cabometix jednom dnevno, a potom na 20 mg svaki drugi dan (vid</w:t>
      </w:r>
      <w:r w:rsidR="00A8726C" w:rsidRPr="00234ECD">
        <w:rPr>
          <w:rFonts w:eastAsia="Calibri"/>
          <w:sz w:val="22"/>
          <w:szCs w:val="22"/>
          <w:lang w:val="sr-Latn-RS"/>
        </w:rPr>
        <w:t>j</w:t>
      </w:r>
      <w:r w:rsidRPr="00234ECD">
        <w:rPr>
          <w:rFonts w:eastAsia="Calibri"/>
          <w:sz w:val="22"/>
          <w:szCs w:val="22"/>
          <w:lang w:val="sr-Latn-RS"/>
        </w:rPr>
        <w:t xml:space="preserve">eti </w:t>
      </w:r>
      <w:r w:rsidRPr="00234ECD">
        <w:rPr>
          <w:rFonts w:eastAsia="Calibri"/>
          <w:color w:val="000000"/>
          <w:sz w:val="22"/>
          <w:szCs w:val="22"/>
          <w:lang w:val="sr-Latn-RS"/>
        </w:rPr>
        <w:t>Sažetak karakteristika l</w:t>
      </w:r>
      <w:r w:rsidR="00A8726C" w:rsidRPr="00234ECD">
        <w:rPr>
          <w:rFonts w:eastAsia="Calibri"/>
          <w:color w:val="000000"/>
          <w:sz w:val="22"/>
          <w:szCs w:val="22"/>
          <w:lang w:val="sr-Latn-RS"/>
        </w:rPr>
        <w:t>ij</w:t>
      </w:r>
      <w:r w:rsidRPr="00234ECD">
        <w:rPr>
          <w:rFonts w:eastAsia="Calibri"/>
          <w:color w:val="000000"/>
          <w:sz w:val="22"/>
          <w:szCs w:val="22"/>
          <w:lang w:val="sr-Latn-RS"/>
        </w:rPr>
        <w:t>eka za nivolumab</w:t>
      </w:r>
      <w:r w:rsidRPr="00234ECD">
        <w:rPr>
          <w:rFonts w:eastAsia="Calibri"/>
          <w:sz w:val="22"/>
          <w:szCs w:val="22"/>
          <w:lang w:val="sr-Latn-RS"/>
        </w:rPr>
        <w:t xml:space="preserve"> radi preporučenog prilagođavanja terapije nivolumabom). </w:t>
      </w:r>
    </w:p>
    <w:p w14:paraId="7A09AFC5" w14:textId="77777777" w:rsidR="00D857AC" w:rsidRPr="00234ECD" w:rsidRDefault="00D857AC" w:rsidP="00D857AC">
      <w:pPr>
        <w:jc w:val="both"/>
        <w:rPr>
          <w:rFonts w:eastAsia="Calibri"/>
          <w:sz w:val="22"/>
          <w:szCs w:val="22"/>
          <w:lang w:val="sr-Latn-RS"/>
        </w:rPr>
      </w:pPr>
    </w:p>
    <w:p w14:paraId="60A90F07" w14:textId="77777777" w:rsidR="00D857AC" w:rsidRPr="00234ECD" w:rsidRDefault="00D857AC" w:rsidP="00D857AC">
      <w:pPr>
        <w:jc w:val="both"/>
        <w:rPr>
          <w:rFonts w:eastAsia="Calibri"/>
          <w:sz w:val="22"/>
          <w:szCs w:val="22"/>
          <w:lang w:val="sr-Latn-RS"/>
        </w:rPr>
      </w:pPr>
      <w:r w:rsidRPr="00234ECD">
        <w:rPr>
          <w:rFonts w:eastAsia="Calibri"/>
          <w:sz w:val="22"/>
          <w:szCs w:val="22"/>
          <w:lang w:val="sr-Latn-RS"/>
        </w:rPr>
        <w:lastRenderedPageBreak/>
        <w:t>Prekid terapije preporučuje se u slučaju zbrinjavanja toksičnosti 3. stepena ili višeg stepena prema kriterijumima CTCAE ili u slučaju nepodnošljive toksičnosti 2. stepena. Smanjenje doze se preporučuje u slučaju neželjenih reakcija koje, ako potraju, mogu postati ozbiljne ili nepodnošljive.</w:t>
      </w:r>
    </w:p>
    <w:p w14:paraId="12E233F3" w14:textId="77777777" w:rsidR="00DA56D0" w:rsidRPr="00234ECD" w:rsidRDefault="00DA56D0" w:rsidP="00D857AC">
      <w:pPr>
        <w:jc w:val="both"/>
        <w:rPr>
          <w:rFonts w:eastAsia="Calibri"/>
          <w:sz w:val="22"/>
          <w:szCs w:val="22"/>
          <w:lang w:val="sr-Latn-RS"/>
        </w:rPr>
      </w:pPr>
    </w:p>
    <w:p w14:paraId="50B26020" w14:textId="60659853" w:rsidR="00D857AC" w:rsidRPr="00234ECD" w:rsidRDefault="00D857AC" w:rsidP="00D857AC">
      <w:pPr>
        <w:jc w:val="both"/>
        <w:rPr>
          <w:rFonts w:eastAsia="Calibri"/>
          <w:sz w:val="22"/>
          <w:szCs w:val="22"/>
          <w:lang w:val="sr-Latn-RS"/>
        </w:rPr>
      </w:pPr>
      <w:r w:rsidRPr="00234ECD">
        <w:rPr>
          <w:rFonts w:eastAsia="Calibri"/>
          <w:sz w:val="22"/>
          <w:szCs w:val="22"/>
          <w:lang w:val="sr-Latn-RS"/>
        </w:rPr>
        <w:t xml:space="preserve">Ukoliko propusti da uzme dozu, pacijent </w:t>
      </w:r>
      <w:r w:rsidR="00250BB8" w:rsidRPr="00234ECD">
        <w:rPr>
          <w:rFonts w:eastAsia="Calibri"/>
          <w:sz w:val="22"/>
          <w:szCs w:val="22"/>
          <w:lang w:val="sr-Latn-RS"/>
        </w:rPr>
        <w:t>ne smije</w:t>
      </w:r>
      <w:r w:rsidRPr="00234ECD">
        <w:rPr>
          <w:rFonts w:eastAsia="Calibri"/>
          <w:sz w:val="22"/>
          <w:szCs w:val="22"/>
          <w:lang w:val="sr-Latn-RS"/>
        </w:rPr>
        <w:t xml:space="preserve"> da uzme propuštenu dozu ako je do sl</w:t>
      </w:r>
      <w:r w:rsidR="00A8726C" w:rsidRPr="00234ECD">
        <w:rPr>
          <w:rFonts w:eastAsia="Calibri"/>
          <w:sz w:val="22"/>
          <w:szCs w:val="22"/>
          <w:lang w:val="sr-Latn-RS"/>
        </w:rPr>
        <w:t>j</w:t>
      </w:r>
      <w:r w:rsidRPr="00234ECD">
        <w:rPr>
          <w:rFonts w:eastAsia="Calibri"/>
          <w:sz w:val="22"/>
          <w:szCs w:val="22"/>
          <w:lang w:val="sr-Latn-RS"/>
        </w:rPr>
        <w:t>edeće doze preostalo manje od 12 sati.</w:t>
      </w:r>
    </w:p>
    <w:p w14:paraId="661E8AA2" w14:textId="77777777" w:rsidR="00D857AC" w:rsidRPr="00234ECD" w:rsidRDefault="00D857AC" w:rsidP="00D857AC">
      <w:pPr>
        <w:jc w:val="both"/>
        <w:rPr>
          <w:rFonts w:eastAsia="Calibri"/>
          <w:sz w:val="22"/>
          <w:szCs w:val="22"/>
          <w:lang w:val="sr-Latn-RS"/>
        </w:rPr>
      </w:pPr>
    </w:p>
    <w:p w14:paraId="3CB94EFB" w14:textId="73275890" w:rsidR="00D857AC" w:rsidRPr="00234ECD" w:rsidRDefault="00D857AC" w:rsidP="00D857AC">
      <w:pPr>
        <w:jc w:val="both"/>
        <w:rPr>
          <w:rFonts w:eastAsia="Calibri"/>
          <w:b/>
          <w:sz w:val="22"/>
          <w:szCs w:val="22"/>
          <w:lang w:val="sr-Latn-RS"/>
        </w:rPr>
      </w:pPr>
      <w:r w:rsidRPr="00234ECD">
        <w:rPr>
          <w:rFonts w:eastAsia="Calibri"/>
          <w:b/>
          <w:sz w:val="22"/>
          <w:szCs w:val="22"/>
          <w:lang w:val="sr-Latn-RS"/>
        </w:rPr>
        <w:t>Tabela 1: Preporučeno prilagođavanje doza l</w:t>
      </w:r>
      <w:r w:rsidR="00A8726C" w:rsidRPr="00234ECD">
        <w:rPr>
          <w:rFonts w:eastAsia="Calibri"/>
          <w:b/>
          <w:sz w:val="22"/>
          <w:szCs w:val="22"/>
          <w:lang w:val="sr-Latn-RS"/>
        </w:rPr>
        <w:t>ij</w:t>
      </w:r>
      <w:r w:rsidRPr="00234ECD">
        <w:rPr>
          <w:rFonts w:eastAsia="Calibri"/>
          <w:b/>
          <w:sz w:val="22"/>
          <w:szCs w:val="22"/>
          <w:lang w:val="sr-Latn-RS"/>
        </w:rPr>
        <w:t>eka Cabometyx u slučaju neželjenih reakcija</w:t>
      </w:r>
    </w:p>
    <w:tbl>
      <w:tblPr>
        <w:tblW w:w="9885" w:type="dxa"/>
        <w:tblInd w:w="-108" w:type="dxa"/>
        <w:tblBorders>
          <w:top w:val="single" w:sz="12" w:space="0" w:color="auto"/>
          <w:left w:val="single" w:sz="2" w:space="0" w:color="auto"/>
          <w:bottom w:val="single" w:sz="12" w:space="0" w:color="auto"/>
          <w:right w:val="single" w:sz="2" w:space="0" w:color="auto"/>
          <w:insideH w:val="single" w:sz="12" w:space="0" w:color="auto"/>
          <w:insideV w:val="single" w:sz="2" w:space="0" w:color="auto"/>
        </w:tblBorders>
        <w:tblLayout w:type="fixed"/>
        <w:tblLook w:val="04A0" w:firstRow="1" w:lastRow="0" w:firstColumn="1" w:lastColumn="0" w:noHBand="0" w:noVBand="1"/>
      </w:tblPr>
      <w:tblGrid>
        <w:gridCol w:w="3652"/>
        <w:gridCol w:w="6233"/>
      </w:tblGrid>
      <w:tr w:rsidR="00D857AC" w:rsidRPr="00234ECD" w14:paraId="22AC3250" w14:textId="77777777" w:rsidTr="00D857AC">
        <w:trPr>
          <w:trHeight w:val="98"/>
        </w:trPr>
        <w:tc>
          <w:tcPr>
            <w:tcW w:w="3652" w:type="dxa"/>
            <w:tcBorders>
              <w:top w:val="single" w:sz="12" w:space="0" w:color="auto"/>
              <w:left w:val="single" w:sz="2" w:space="0" w:color="auto"/>
              <w:bottom w:val="single" w:sz="12" w:space="0" w:color="auto"/>
              <w:right w:val="single" w:sz="2" w:space="0" w:color="auto"/>
            </w:tcBorders>
            <w:hideMark/>
          </w:tcPr>
          <w:p w14:paraId="2C17BCC4" w14:textId="77777777" w:rsidR="00D857AC" w:rsidRPr="00234ECD" w:rsidRDefault="00D857AC" w:rsidP="00D857AC">
            <w:pPr>
              <w:autoSpaceDE w:val="0"/>
              <w:autoSpaceDN w:val="0"/>
              <w:adjustRightInd w:val="0"/>
              <w:spacing w:before="60" w:after="60"/>
              <w:rPr>
                <w:rFonts w:eastAsia="Calibri"/>
                <w:color w:val="000000"/>
                <w:sz w:val="22"/>
                <w:szCs w:val="22"/>
                <w:lang w:val="sr-Latn-RS"/>
              </w:rPr>
            </w:pPr>
            <w:r w:rsidRPr="00234ECD">
              <w:rPr>
                <w:rFonts w:eastAsia="Calibri"/>
                <w:b/>
                <w:bCs/>
                <w:color w:val="000000"/>
                <w:sz w:val="22"/>
                <w:szCs w:val="22"/>
                <w:lang w:val="sr-Latn-RS"/>
              </w:rPr>
              <w:t xml:space="preserve">Neželjena reakcija i težina </w:t>
            </w:r>
          </w:p>
        </w:tc>
        <w:tc>
          <w:tcPr>
            <w:tcW w:w="6234" w:type="dxa"/>
            <w:tcBorders>
              <w:top w:val="single" w:sz="12" w:space="0" w:color="auto"/>
              <w:left w:val="single" w:sz="2" w:space="0" w:color="auto"/>
              <w:bottom w:val="single" w:sz="12" w:space="0" w:color="auto"/>
              <w:right w:val="single" w:sz="2" w:space="0" w:color="auto"/>
            </w:tcBorders>
            <w:hideMark/>
          </w:tcPr>
          <w:p w14:paraId="25B16CEB" w14:textId="77777777" w:rsidR="00D857AC" w:rsidRPr="00234ECD" w:rsidRDefault="00D857AC" w:rsidP="00D857AC">
            <w:pPr>
              <w:autoSpaceDE w:val="0"/>
              <w:autoSpaceDN w:val="0"/>
              <w:adjustRightInd w:val="0"/>
              <w:spacing w:before="60" w:after="60"/>
              <w:rPr>
                <w:rFonts w:eastAsia="Calibri"/>
                <w:color w:val="000000"/>
                <w:sz w:val="22"/>
                <w:szCs w:val="22"/>
                <w:lang w:val="sr-Latn-RS"/>
              </w:rPr>
            </w:pPr>
            <w:r w:rsidRPr="00234ECD">
              <w:rPr>
                <w:rFonts w:eastAsia="Calibri"/>
                <w:b/>
                <w:bCs/>
                <w:color w:val="000000"/>
                <w:sz w:val="22"/>
                <w:szCs w:val="22"/>
                <w:lang w:val="sr-Latn-RS"/>
              </w:rPr>
              <w:t>Prilagođavanje terapije</w:t>
            </w:r>
          </w:p>
        </w:tc>
      </w:tr>
      <w:tr w:rsidR="00D857AC" w:rsidRPr="00234ECD" w14:paraId="48420C50" w14:textId="77777777" w:rsidTr="00D857AC">
        <w:trPr>
          <w:trHeight w:val="671"/>
        </w:trPr>
        <w:tc>
          <w:tcPr>
            <w:tcW w:w="3652" w:type="dxa"/>
            <w:tcBorders>
              <w:top w:val="single" w:sz="12" w:space="0" w:color="auto"/>
              <w:left w:val="single" w:sz="2" w:space="0" w:color="auto"/>
              <w:bottom w:val="single" w:sz="12" w:space="0" w:color="auto"/>
              <w:right w:val="single" w:sz="2" w:space="0" w:color="auto"/>
            </w:tcBorders>
            <w:hideMark/>
          </w:tcPr>
          <w:p w14:paraId="4312F0B8" w14:textId="77777777" w:rsidR="00D857AC" w:rsidRPr="00234ECD" w:rsidRDefault="00D857AC" w:rsidP="00D857AC">
            <w:pPr>
              <w:autoSpaceDE w:val="0"/>
              <w:autoSpaceDN w:val="0"/>
              <w:adjustRightInd w:val="0"/>
              <w:spacing w:before="60" w:after="60"/>
              <w:rPr>
                <w:rFonts w:eastAsia="Calibri"/>
                <w:color w:val="000000"/>
                <w:sz w:val="22"/>
                <w:szCs w:val="22"/>
                <w:lang w:val="sr-Latn-RS"/>
              </w:rPr>
            </w:pPr>
            <w:r w:rsidRPr="00234ECD">
              <w:rPr>
                <w:rFonts w:eastAsia="Calibri"/>
                <w:color w:val="000000"/>
                <w:sz w:val="22"/>
                <w:szCs w:val="22"/>
                <w:lang w:val="sr-Latn-RS"/>
              </w:rPr>
              <w:t xml:space="preserve">Neželjene reakcije 1. i 2. stepena koje su podnošljive i lako se zbrinjavaju </w:t>
            </w:r>
          </w:p>
        </w:tc>
        <w:tc>
          <w:tcPr>
            <w:tcW w:w="6234" w:type="dxa"/>
            <w:tcBorders>
              <w:top w:val="single" w:sz="12" w:space="0" w:color="auto"/>
              <w:left w:val="single" w:sz="2" w:space="0" w:color="auto"/>
              <w:bottom w:val="single" w:sz="12" w:space="0" w:color="auto"/>
              <w:right w:val="single" w:sz="2" w:space="0" w:color="auto"/>
            </w:tcBorders>
            <w:hideMark/>
          </w:tcPr>
          <w:p w14:paraId="48A98B86" w14:textId="77777777" w:rsidR="00D857AC" w:rsidRPr="00234ECD" w:rsidRDefault="00D857AC" w:rsidP="00D857AC">
            <w:pPr>
              <w:autoSpaceDE w:val="0"/>
              <w:autoSpaceDN w:val="0"/>
              <w:adjustRightInd w:val="0"/>
              <w:spacing w:before="60" w:after="60"/>
              <w:rPr>
                <w:rFonts w:eastAsia="Calibri"/>
                <w:color w:val="000000"/>
                <w:sz w:val="22"/>
                <w:szCs w:val="22"/>
                <w:lang w:val="sr-Latn-RS"/>
              </w:rPr>
            </w:pPr>
            <w:r w:rsidRPr="00234ECD">
              <w:rPr>
                <w:rFonts w:eastAsia="Calibri"/>
                <w:color w:val="000000"/>
                <w:sz w:val="22"/>
                <w:szCs w:val="22"/>
                <w:lang w:val="sr-Latn-RS"/>
              </w:rPr>
              <w:t xml:space="preserve">Prilagođavanje doze obično nije potrebno. </w:t>
            </w:r>
          </w:p>
          <w:p w14:paraId="2B5A74DD" w14:textId="477D7E81" w:rsidR="00D857AC" w:rsidRPr="00234ECD" w:rsidRDefault="00D857AC" w:rsidP="00D857AC">
            <w:pPr>
              <w:autoSpaceDE w:val="0"/>
              <w:autoSpaceDN w:val="0"/>
              <w:adjustRightInd w:val="0"/>
              <w:spacing w:before="60" w:after="60"/>
              <w:rPr>
                <w:rFonts w:eastAsia="Calibri"/>
                <w:color w:val="000000"/>
                <w:sz w:val="22"/>
                <w:szCs w:val="22"/>
                <w:lang w:val="sr-Latn-RS"/>
              </w:rPr>
            </w:pPr>
            <w:r w:rsidRPr="00234ECD">
              <w:rPr>
                <w:rFonts w:eastAsia="Calibri"/>
                <w:color w:val="000000"/>
                <w:sz w:val="22"/>
                <w:szCs w:val="22"/>
                <w:lang w:val="sr-Latn-RS"/>
              </w:rPr>
              <w:t>Uvesti suportivne m</w:t>
            </w:r>
            <w:r w:rsidR="00A8726C" w:rsidRPr="00234ECD">
              <w:rPr>
                <w:rFonts w:eastAsia="Calibri"/>
                <w:color w:val="000000"/>
                <w:sz w:val="22"/>
                <w:szCs w:val="22"/>
                <w:lang w:val="sr-Latn-RS"/>
              </w:rPr>
              <w:t>j</w:t>
            </w:r>
            <w:r w:rsidRPr="00234ECD">
              <w:rPr>
                <w:rFonts w:eastAsia="Calibri"/>
                <w:color w:val="000000"/>
                <w:sz w:val="22"/>
                <w:szCs w:val="22"/>
                <w:lang w:val="sr-Latn-RS"/>
              </w:rPr>
              <w:t xml:space="preserve">ere kako je naznačeno. </w:t>
            </w:r>
          </w:p>
        </w:tc>
      </w:tr>
      <w:tr w:rsidR="00D857AC" w:rsidRPr="00234ECD" w14:paraId="60AE595E" w14:textId="77777777" w:rsidTr="00D857AC">
        <w:trPr>
          <w:trHeight w:val="414"/>
        </w:trPr>
        <w:tc>
          <w:tcPr>
            <w:tcW w:w="3652" w:type="dxa"/>
            <w:tcBorders>
              <w:top w:val="single" w:sz="12" w:space="0" w:color="auto"/>
              <w:left w:val="single" w:sz="2" w:space="0" w:color="auto"/>
              <w:bottom w:val="single" w:sz="12" w:space="0" w:color="auto"/>
              <w:right w:val="single" w:sz="2" w:space="0" w:color="auto"/>
            </w:tcBorders>
            <w:hideMark/>
          </w:tcPr>
          <w:p w14:paraId="28DF4496" w14:textId="346AEDCF" w:rsidR="00D857AC" w:rsidRPr="00234ECD" w:rsidRDefault="00D857AC" w:rsidP="00D857AC">
            <w:pPr>
              <w:autoSpaceDE w:val="0"/>
              <w:autoSpaceDN w:val="0"/>
              <w:adjustRightInd w:val="0"/>
              <w:spacing w:before="60" w:after="60"/>
              <w:rPr>
                <w:rFonts w:eastAsia="Calibri"/>
                <w:color w:val="000000"/>
                <w:sz w:val="22"/>
                <w:szCs w:val="22"/>
                <w:lang w:val="sr-Latn-RS"/>
              </w:rPr>
            </w:pPr>
            <w:r w:rsidRPr="00234ECD">
              <w:rPr>
                <w:rFonts w:eastAsia="Calibri"/>
                <w:color w:val="000000"/>
                <w:sz w:val="22"/>
                <w:szCs w:val="22"/>
                <w:lang w:val="sr-Latn-RS"/>
              </w:rPr>
              <w:t>Neželjene reakcije 2. stepena koje nisu podnošljive i ne mogu da se zbrinu smanjenjem doze ili suportivnim m</w:t>
            </w:r>
            <w:r w:rsidR="00A8726C" w:rsidRPr="00234ECD">
              <w:rPr>
                <w:rFonts w:eastAsia="Calibri"/>
                <w:color w:val="000000"/>
                <w:sz w:val="22"/>
                <w:szCs w:val="22"/>
                <w:lang w:val="sr-Latn-RS"/>
              </w:rPr>
              <w:t>j</w:t>
            </w:r>
            <w:r w:rsidRPr="00234ECD">
              <w:rPr>
                <w:rFonts w:eastAsia="Calibri"/>
                <w:color w:val="000000"/>
                <w:sz w:val="22"/>
                <w:szCs w:val="22"/>
                <w:lang w:val="sr-Latn-RS"/>
              </w:rPr>
              <w:t>erama</w:t>
            </w:r>
          </w:p>
        </w:tc>
        <w:tc>
          <w:tcPr>
            <w:tcW w:w="6234" w:type="dxa"/>
            <w:tcBorders>
              <w:top w:val="single" w:sz="12" w:space="0" w:color="auto"/>
              <w:left w:val="single" w:sz="2" w:space="0" w:color="auto"/>
              <w:bottom w:val="single" w:sz="12" w:space="0" w:color="auto"/>
              <w:right w:val="single" w:sz="2" w:space="0" w:color="auto"/>
            </w:tcBorders>
            <w:hideMark/>
          </w:tcPr>
          <w:p w14:paraId="1856FB12" w14:textId="77777777" w:rsidR="00D857AC" w:rsidRPr="00234ECD" w:rsidRDefault="00D857AC" w:rsidP="00D857AC">
            <w:pPr>
              <w:autoSpaceDE w:val="0"/>
              <w:autoSpaceDN w:val="0"/>
              <w:adjustRightInd w:val="0"/>
              <w:spacing w:before="60" w:after="60"/>
              <w:rPr>
                <w:rFonts w:eastAsia="Calibri"/>
                <w:color w:val="000000"/>
                <w:sz w:val="22"/>
                <w:szCs w:val="22"/>
                <w:lang w:val="sr-Latn-RS"/>
              </w:rPr>
            </w:pPr>
            <w:r w:rsidRPr="00234ECD">
              <w:rPr>
                <w:rFonts w:eastAsia="Calibri"/>
                <w:color w:val="000000"/>
                <w:sz w:val="22"/>
                <w:szCs w:val="22"/>
                <w:lang w:val="sr-Latn-RS"/>
              </w:rPr>
              <w:t xml:space="preserve">Prekinuti terapiju dok se neželjene reakcije ne povuku do ≤ 1. stepena. </w:t>
            </w:r>
          </w:p>
          <w:p w14:paraId="5BEAAD71" w14:textId="0531FAF7" w:rsidR="00D857AC" w:rsidRPr="00234ECD" w:rsidRDefault="00D857AC" w:rsidP="00D857AC">
            <w:pPr>
              <w:autoSpaceDE w:val="0"/>
              <w:autoSpaceDN w:val="0"/>
              <w:adjustRightInd w:val="0"/>
              <w:spacing w:before="60" w:after="60"/>
              <w:rPr>
                <w:rFonts w:eastAsia="Calibri"/>
                <w:color w:val="000000"/>
                <w:sz w:val="22"/>
                <w:szCs w:val="22"/>
                <w:lang w:val="sr-Latn-RS"/>
              </w:rPr>
            </w:pPr>
            <w:r w:rsidRPr="00234ECD">
              <w:rPr>
                <w:rFonts w:eastAsia="Calibri"/>
                <w:color w:val="000000"/>
                <w:sz w:val="22"/>
                <w:szCs w:val="22"/>
                <w:lang w:val="sr-Latn-RS"/>
              </w:rPr>
              <w:t>Uvesti suportivne m</w:t>
            </w:r>
            <w:r w:rsidR="00A8726C" w:rsidRPr="00234ECD">
              <w:rPr>
                <w:rFonts w:eastAsia="Calibri"/>
                <w:color w:val="000000"/>
                <w:sz w:val="22"/>
                <w:szCs w:val="22"/>
                <w:lang w:val="sr-Latn-RS"/>
              </w:rPr>
              <w:t>j</w:t>
            </w:r>
            <w:r w:rsidRPr="00234ECD">
              <w:rPr>
                <w:rFonts w:eastAsia="Calibri"/>
                <w:color w:val="000000"/>
                <w:sz w:val="22"/>
                <w:szCs w:val="22"/>
                <w:lang w:val="sr-Latn-RS"/>
              </w:rPr>
              <w:t xml:space="preserve">ere kako je naznačeno. </w:t>
            </w:r>
          </w:p>
          <w:p w14:paraId="550CA1F7" w14:textId="77777777" w:rsidR="00D857AC" w:rsidRPr="00234ECD" w:rsidRDefault="00D857AC" w:rsidP="00D857AC">
            <w:pPr>
              <w:autoSpaceDE w:val="0"/>
              <w:autoSpaceDN w:val="0"/>
              <w:adjustRightInd w:val="0"/>
              <w:spacing w:before="60" w:after="60"/>
              <w:rPr>
                <w:rFonts w:eastAsia="Calibri"/>
                <w:color w:val="000000"/>
                <w:sz w:val="22"/>
                <w:szCs w:val="22"/>
                <w:lang w:val="sr-Latn-RS"/>
              </w:rPr>
            </w:pPr>
            <w:r w:rsidRPr="00234ECD">
              <w:rPr>
                <w:rFonts w:eastAsia="Calibri"/>
                <w:color w:val="000000"/>
                <w:sz w:val="22"/>
                <w:szCs w:val="22"/>
                <w:lang w:val="sr-Latn-RS"/>
              </w:rPr>
              <w:t xml:space="preserve">Razmotriti ponovno uvođenje terapije sa smanjenom dozom. </w:t>
            </w:r>
          </w:p>
        </w:tc>
      </w:tr>
      <w:tr w:rsidR="00D857AC" w:rsidRPr="00234ECD" w14:paraId="0420E60E" w14:textId="77777777" w:rsidTr="00D857AC">
        <w:trPr>
          <w:trHeight w:val="414"/>
        </w:trPr>
        <w:tc>
          <w:tcPr>
            <w:tcW w:w="3652" w:type="dxa"/>
            <w:tcBorders>
              <w:top w:val="single" w:sz="12" w:space="0" w:color="auto"/>
              <w:left w:val="single" w:sz="2" w:space="0" w:color="auto"/>
              <w:bottom w:val="single" w:sz="12" w:space="0" w:color="auto"/>
              <w:right w:val="single" w:sz="2" w:space="0" w:color="auto"/>
            </w:tcBorders>
            <w:hideMark/>
          </w:tcPr>
          <w:p w14:paraId="1BA766C8" w14:textId="77777777" w:rsidR="00D857AC" w:rsidRPr="00234ECD" w:rsidRDefault="00D857AC" w:rsidP="00D857AC">
            <w:pPr>
              <w:autoSpaceDE w:val="0"/>
              <w:autoSpaceDN w:val="0"/>
              <w:adjustRightInd w:val="0"/>
              <w:spacing w:before="60" w:after="60"/>
              <w:rPr>
                <w:rFonts w:eastAsia="Calibri"/>
                <w:color w:val="000000"/>
                <w:sz w:val="22"/>
                <w:szCs w:val="22"/>
                <w:lang w:val="sr-Latn-RS"/>
              </w:rPr>
            </w:pPr>
            <w:r w:rsidRPr="00234ECD">
              <w:rPr>
                <w:rFonts w:eastAsia="Calibri"/>
                <w:color w:val="000000"/>
                <w:sz w:val="22"/>
                <w:szCs w:val="22"/>
                <w:lang w:val="sr-Latn-RS"/>
              </w:rPr>
              <w:t xml:space="preserve">Neželjene reakcije 3. stepena (osim abnormalnih laboratorijskih nalaza koji nisu klinički značajni) </w:t>
            </w:r>
          </w:p>
        </w:tc>
        <w:tc>
          <w:tcPr>
            <w:tcW w:w="6234" w:type="dxa"/>
            <w:tcBorders>
              <w:top w:val="single" w:sz="12" w:space="0" w:color="auto"/>
              <w:left w:val="single" w:sz="2" w:space="0" w:color="auto"/>
              <w:bottom w:val="single" w:sz="12" w:space="0" w:color="auto"/>
              <w:right w:val="single" w:sz="2" w:space="0" w:color="auto"/>
            </w:tcBorders>
            <w:hideMark/>
          </w:tcPr>
          <w:p w14:paraId="001ED543" w14:textId="77777777" w:rsidR="00D857AC" w:rsidRPr="00234ECD" w:rsidRDefault="00D857AC" w:rsidP="00D857AC">
            <w:pPr>
              <w:autoSpaceDE w:val="0"/>
              <w:autoSpaceDN w:val="0"/>
              <w:adjustRightInd w:val="0"/>
              <w:spacing w:before="60" w:after="60"/>
              <w:rPr>
                <w:rFonts w:eastAsia="Calibri"/>
                <w:color w:val="000000"/>
                <w:sz w:val="22"/>
                <w:szCs w:val="22"/>
                <w:lang w:val="sr-Latn-RS"/>
              </w:rPr>
            </w:pPr>
            <w:r w:rsidRPr="00234ECD">
              <w:rPr>
                <w:rFonts w:eastAsia="Calibri"/>
                <w:color w:val="000000"/>
                <w:sz w:val="22"/>
                <w:szCs w:val="22"/>
                <w:lang w:val="sr-Latn-RS"/>
              </w:rPr>
              <w:t xml:space="preserve">Prekinuti terapiju dok se neželjene reakcije ne povuku do ≤ 1. stepena. </w:t>
            </w:r>
          </w:p>
          <w:p w14:paraId="39E80D35" w14:textId="69758442" w:rsidR="00D857AC" w:rsidRPr="00234ECD" w:rsidRDefault="00D857AC" w:rsidP="00D857AC">
            <w:pPr>
              <w:autoSpaceDE w:val="0"/>
              <w:autoSpaceDN w:val="0"/>
              <w:adjustRightInd w:val="0"/>
              <w:spacing w:before="60" w:after="60"/>
              <w:rPr>
                <w:rFonts w:eastAsia="Calibri"/>
                <w:color w:val="000000"/>
                <w:sz w:val="22"/>
                <w:szCs w:val="22"/>
                <w:lang w:val="sr-Latn-RS"/>
              </w:rPr>
            </w:pPr>
            <w:r w:rsidRPr="00234ECD">
              <w:rPr>
                <w:rFonts w:eastAsia="Calibri"/>
                <w:color w:val="000000"/>
                <w:sz w:val="22"/>
                <w:szCs w:val="22"/>
                <w:lang w:val="sr-Latn-RS"/>
              </w:rPr>
              <w:t>Uvesti suportivne m</w:t>
            </w:r>
            <w:r w:rsidR="00A8726C" w:rsidRPr="00234ECD">
              <w:rPr>
                <w:rFonts w:eastAsia="Calibri"/>
                <w:color w:val="000000"/>
                <w:sz w:val="22"/>
                <w:szCs w:val="22"/>
                <w:lang w:val="sr-Latn-RS"/>
              </w:rPr>
              <w:t>j</w:t>
            </w:r>
            <w:r w:rsidRPr="00234ECD">
              <w:rPr>
                <w:rFonts w:eastAsia="Calibri"/>
                <w:color w:val="000000"/>
                <w:sz w:val="22"/>
                <w:szCs w:val="22"/>
                <w:lang w:val="sr-Latn-RS"/>
              </w:rPr>
              <w:t xml:space="preserve">ere kako je naznačeno. </w:t>
            </w:r>
          </w:p>
          <w:p w14:paraId="164F87FE" w14:textId="77777777" w:rsidR="00D857AC" w:rsidRPr="00234ECD" w:rsidRDefault="00D857AC" w:rsidP="00D857AC">
            <w:pPr>
              <w:autoSpaceDE w:val="0"/>
              <w:autoSpaceDN w:val="0"/>
              <w:adjustRightInd w:val="0"/>
              <w:spacing w:before="60" w:after="60"/>
              <w:rPr>
                <w:rFonts w:eastAsia="Calibri"/>
                <w:color w:val="000000"/>
                <w:sz w:val="22"/>
                <w:szCs w:val="22"/>
                <w:lang w:val="sr-Latn-RS"/>
              </w:rPr>
            </w:pPr>
            <w:r w:rsidRPr="00234ECD">
              <w:rPr>
                <w:rFonts w:eastAsia="Calibri"/>
                <w:color w:val="000000"/>
                <w:sz w:val="22"/>
                <w:szCs w:val="22"/>
                <w:lang w:val="sr-Latn-RS"/>
              </w:rPr>
              <w:t xml:space="preserve">Ponovo uvesti terapiju sa smanjenom dozom. </w:t>
            </w:r>
          </w:p>
        </w:tc>
      </w:tr>
      <w:tr w:rsidR="00D857AC" w:rsidRPr="00234ECD" w14:paraId="2AFE68D9" w14:textId="77777777" w:rsidTr="00D857AC">
        <w:trPr>
          <w:trHeight w:val="396"/>
        </w:trPr>
        <w:tc>
          <w:tcPr>
            <w:tcW w:w="3652" w:type="dxa"/>
            <w:tcBorders>
              <w:top w:val="single" w:sz="12" w:space="0" w:color="auto"/>
              <w:left w:val="single" w:sz="2" w:space="0" w:color="auto"/>
              <w:bottom w:val="single" w:sz="12" w:space="0" w:color="auto"/>
              <w:right w:val="single" w:sz="2" w:space="0" w:color="auto"/>
            </w:tcBorders>
            <w:hideMark/>
          </w:tcPr>
          <w:p w14:paraId="7D266533" w14:textId="77777777" w:rsidR="00D857AC" w:rsidRPr="00234ECD" w:rsidRDefault="00D857AC" w:rsidP="00D857AC">
            <w:pPr>
              <w:autoSpaceDE w:val="0"/>
              <w:autoSpaceDN w:val="0"/>
              <w:adjustRightInd w:val="0"/>
              <w:spacing w:before="60" w:after="60"/>
              <w:rPr>
                <w:rFonts w:eastAsia="Calibri"/>
                <w:color w:val="000000"/>
                <w:sz w:val="22"/>
                <w:szCs w:val="22"/>
                <w:lang w:val="sr-Latn-RS"/>
              </w:rPr>
            </w:pPr>
            <w:r w:rsidRPr="00234ECD">
              <w:rPr>
                <w:rFonts w:eastAsia="Calibri"/>
                <w:color w:val="000000"/>
                <w:sz w:val="22"/>
                <w:szCs w:val="22"/>
                <w:lang w:val="sr-Latn-RS"/>
              </w:rPr>
              <w:t xml:space="preserve">Neželjene reakcije 4. stepena (osim abnormalnih laboratorijskih nalaza koji nisu klinički značajni) </w:t>
            </w:r>
          </w:p>
        </w:tc>
        <w:tc>
          <w:tcPr>
            <w:tcW w:w="6234" w:type="dxa"/>
            <w:tcBorders>
              <w:top w:val="single" w:sz="12" w:space="0" w:color="auto"/>
              <w:left w:val="single" w:sz="2" w:space="0" w:color="auto"/>
              <w:bottom w:val="single" w:sz="12" w:space="0" w:color="auto"/>
              <w:right w:val="single" w:sz="2" w:space="0" w:color="auto"/>
            </w:tcBorders>
            <w:hideMark/>
          </w:tcPr>
          <w:p w14:paraId="4505459F" w14:textId="77777777" w:rsidR="00D857AC" w:rsidRPr="00234ECD" w:rsidRDefault="00D857AC" w:rsidP="00D857AC">
            <w:pPr>
              <w:autoSpaceDE w:val="0"/>
              <w:autoSpaceDN w:val="0"/>
              <w:adjustRightInd w:val="0"/>
              <w:spacing w:before="60" w:after="60"/>
              <w:rPr>
                <w:rFonts w:eastAsia="Calibri"/>
                <w:color w:val="000000"/>
                <w:sz w:val="22"/>
                <w:szCs w:val="22"/>
                <w:lang w:val="sr-Latn-RS"/>
              </w:rPr>
            </w:pPr>
            <w:r w:rsidRPr="00234ECD">
              <w:rPr>
                <w:rFonts w:eastAsia="Calibri"/>
                <w:color w:val="000000"/>
                <w:sz w:val="22"/>
                <w:szCs w:val="22"/>
                <w:lang w:val="sr-Latn-RS"/>
              </w:rPr>
              <w:t xml:space="preserve">Prekinuti terapiju. </w:t>
            </w:r>
          </w:p>
          <w:p w14:paraId="764CB468" w14:textId="5C5FD076" w:rsidR="00D857AC" w:rsidRPr="00234ECD" w:rsidRDefault="00D857AC" w:rsidP="00D857AC">
            <w:pPr>
              <w:autoSpaceDE w:val="0"/>
              <w:autoSpaceDN w:val="0"/>
              <w:adjustRightInd w:val="0"/>
              <w:spacing w:before="60" w:after="60"/>
              <w:rPr>
                <w:rFonts w:eastAsia="Calibri"/>
                <w:color w:val="000000"/>
                <w:sz w:val="22"/>
                <w:szCs w:val="22"/>
                <w:lang w:val="sr-Latn-RS"/>
              </w:rPr>
            </w:pPr>
            <w:r w:rsidRPr="00234ECD">
              <w:rPr>
                <w:rFonts w:eastAsia="Calibri"/>
                <w:color w:val="000000"/>
                <w:sz w:val="22"/>
                <w:szCs w:val="22"/>
                <w:lang w:val="sr-Latn-RS"/>
              </w:rPr>
              <w:t>Uvesti odgovarajuću medicinsku n</w:t>
            </w:r>
            <w:r w:rsidR="00A8726C" w:rsidRPr="00234ECD">
              <w:rPr>
                <w:rFonts w:eastAsia="Calibri"/>
                <w:color w:val="000000"/>
                <w:sz w:val="22"/>
                <w:szCs w:val="22"/>
                <w:lang w:val="sr-Latn-RS"/>
              </w:rPr>
              <w:t>j</w:t>
            </w:r>
            <w:r w:rsidRPr="00234ECD">
              <w:rPr>
                <w:rFonts w:eastAsia="Calibri"/>
                <w:color w:val="000000"/>
                <w:sz w:val="22"/>
                <w:szCs w:val="22"/>
                <w:lang w:val="sr-Latn-RS"/>
              </w:rPr>
              <w:t xml:space="preserve">egu. </w:t>
            </w:r>
          </w:p>
          <w:p w14:paraId="77B1FD34" w14:textId="77777777" w:rsidR="00D857AC" w:rsidRPr="00234ECD" w:rsidRDefault="00D857AC" w:rsidP="00D857AC">
            <w:pPr>
              <w:autoSpaceDE w:val="0"/>
              <w:autoSpaceDN w:val="0"/>
              <w:adjustRightInd w:val="0"/>
              <w:spacing w:before="60" w:after="60"/>
              <w:rPr>
                <w:rFonts w:eastAsia="Calibri"/>
                <w:color w:val="000000"/>
                <w:sz w:val="22"/>
                <w:szCs w:val="22"/>
                <w:lang w:val="sr-Latn-RS"/>
              </w:rPr>
            </w:pPr>
            <w:r w:rsidRPr="00234ECD">
              <w:rPr>
                <w:rFonts w:eastAsia="Calibri"/>
                <w:color w:val="000000"/>
                <w:sz w:val="22"/>
                <w:szCs w:val="22"/>
                <w:lang w:val="sr-Latn-RS"/>
              </w:rPr>
              <w:t xml:space="preserve">Ako se neželjena reakcija povuče do ≤ 1. stepena, ponovo započeti terapiju sa smanjenom dozom. </w:t>
            </w:r>
          </w:p>
          <w:p w14:paraId="024BA4D0" w14:textId="60315C16" w:rsidR="00D857AC" w:rsidRPr="00234ECD" w:rsidRDefault="00D857AC" w:rsidP="00D857AC">
            <w:pPr>
              <w:autoSpaceDE w:val="0"/>
              <w:autoSpaceDN w:val="0"/>
              <w:adjustRightInd w:val="0"/>
              <w:spacing w:before="60" w:after="60"/>
              <w:rPr>
                <w:rFonts w:eastAsia="Calibri"/>
                <w:color w:val="000000"/>
                <w:sz w:val="22"/>
                <w:szCs w:val="22"/>
                <w:lang w:val="sr-Latn-RS"/>
              </w:rPr>
            </w:pPr>
            <w:r w:rsidRPr="00234ECD">
              <w:rPr>
                <w:rFonts w:eastAsia="Calibri"/>
                <w:color w:val="000000"/>
                <w:sz w:val="22"/>
                <w:szCs w:val="22"/>
                <w:lang w:val="sr-Latn-RS"/>
              </w:rPr>
              <w:t xml:space="preserve">Ako se neželjena reakcija ne povuče, trajno obustaviti terapiju. </w:t>
            </w:r>
          </w:p>
        </w:tc>
      </w:tr>
      <w:tr w:rsidR="00D857AC" w:rsidRPr="00234ECD" w14:paraId="032B2785" w14:textId="77777777" w:rsidTr="00D857AC">
        <w:trPr>
          <w:trHeight w:val="396"/>
        </w:trPr>
        <w:tc>
          <w:tcPr>
            <w:tcW w:w="3652" w:type="dxa"/>
            <w:tcBorders>
              <w:top w:val="single" w:sz="12" w:space="0" w:color="auto"/>
              <w:left w:val="single" w:sz="2" w:space="0" w:color="auto"/>
              <w:bottom w:val="single" w:sz="12" w:space="0" w:color="auto"/>
              <w:right w:val="single" w:sz="2" w:space="0" w:color="auto"/>
            </w:tcBorders>
            <w:hideMark/>
          </w:tcPr>
          <w:p w14:paraId="7D0929E4" w14:textId="02D99319" w:rsidR="00D857AC" w:rsidRPr="00234ECD" w:rsidRDefault="00D857AC" w:rsidP="009F5464">
            <w:pPr>
              <w:autoSpaceDE w:val="0"/>
              <w:autoSpaceDN w:val="0"/>
              <w:adjustRightInd w:val="0"/>
              <w:spacing w:before="60" w:after="60"/>
              <w:rPr>
                <w:rFonts w:eastAsia="Calibri"/>
                <w:color w:val="000000"/>
                <w:sz w:val="22"/>
                <w:szCs w:val="22"/>
                <w:lang w:val="sr-Latn-RS"/>
              </w:rPr>
            </w:pPr>
            <w:r w:rsidRPr="00234ECD">
              <w:rPr>
                <w:rFonts w:eastAsia="Calibri"/>
                <w:color w:val="000000"/>
                <w:sz w:val="22"/>
                <w:szCs w:val="22"/>
                <w:lang w:val="sr-Latn-RS"/>
              </w:rPr>
              <w:t xml:space="preserve">Povećanje enzima jetre kod </w:t>
            </w:r>
            <w:r w:rsidR="009F5464" w:rsidRPr="00234ECD">
              <w:rPr>
                <w:rFonts w:eastAsia="Calibri"/>
                <w:color w:val="000000"/>
                <w:sz w:val="22"/>
                <w:szCs w:val="22"/>
                <w:lang w:val="sr-Latn-RS"/>
              </w:rPr>
              <w:t xml:space="preserve">pacijenata </w:t>
            </w:r>
            <w:r w:rsidRPr="00234ECD">
              <w:rPr>
                <w:rFonts w:eastAsia="Calibri"/>
                <w:color w:val="000000"/>
                <w:sz w:val="22"/>
                <w:szCs w:val="22"/>
                <w:lang w:val="sr-Latn-RS"/>
              </w:rPr>
              <w:t>s karcinomom bubrežnih ćelija l</w:t>
            </w:r>
            <w:r w:rsidR="00A8726C" w:rsidRPr="00234ECD">
              <w:rPr>
                <w:rFonts w:eastAsia="Calibri"/>
                <w:color w:val="000000"/>
                <w:sz w:val="22"/>
                <w:szCs w:val="22"/>
                <w:lang w:val="sr-Latn-RS"/>
              </w:rPr>
              <w:t>ij</w:t>
            </w:r>
            <w:r w:rsidRPr="00234ECD">
              <w:rPr>
                <w:rFonts w:eastAsia="Calibri"/>
                <w:color w:val="000000"/>
                <w:sz w:val="22"/>
                <w:szCs w:val="22"/>
                <w:lang w:val="sr-Latn-RS"/>
              </w:rPr>
              <w:t>ečenih l</w:t>
            </w:r>
            <w:r w:rsidR="00A8726C" w:rsidRPr="00234ECD">
              <w:rPr>
                <w:rFonts w:eastAsia="Calibri"/>
                <w:color w:val="000000"/>
                <w:sz w:val="22"/>
                <w:szCs w:val="22"/>
                <w:lang w:val="sr-Latn-RS"/>
              </w:rPr>
              <w:t>ij</w:t>
            </w:r>
            <w:r w:rsidRPr="00234ECD">
              <w:rPr>
                <w:rFonts w:eastAsia="Calibri"/>
                <w:color w:val="000000"/>
                <w:sz w:val="22"/>
                <w:szCs w:val="22"/>
                <w:lang w:val="sr-Latn-RS"/>
              </w:rPr>
              <w:t>ekom Cabomet</w:t>
            </w:r>
            <w:r w:rsidR="00A8726C" w:rsidRPr="00234ECD">
              <w:rPr>
                <w:rFonts w:eastAsia="Calibri"/>
                <w:color w:val="000000"/>
                <w:sz w:val="22"/>
                <w:szCs w:val="22"/>
                <w:lang w:val="sr-Latn-RS"/>
              </w:rPr>
              <w:t>y</w:t>
            </w:r>
            <w:r w:rsidRPr="00234ECD">
              <w:rPr>
                <w:rFonts w:eastAsia="Calibri"/>
                <w:color w:val="000000"/>
                <w:sz w:val="22"/>
                <w:szCs w:val="22"/>
                <w:lang w:val="sr-Latn-RS"/>
              </w:rPr>
              <w:t>x u kombinaciji sa nivolumabom</w:t>
            </w:r>
          </w:p>
        </w:tc>
        <w:tc>
          <w:tcPr>
            <w:tcW w:w="6234" w:type="dxa"/>
            <w:tcBorders>
              <w:top w:val="single" w:sz="12" w:space="0" w:color="auto"/>
              <w:left w:val="single" w:sz="2" w:space="0" w:color="auto"/>
              <w:bottom w:val="single" w:sz="12" w:space="0" w:color="auto"/>
              <w:right w:val="single" w:sz="2" w:space="0" w:color="auto"/>
            </w:tcBorders>
          </w:tcPr>
          <w:p w14:paraId="63991799" w14:textId="77777777" w:rsidR="00D857AC" w:rsidRPr="00234ECD" w:rsidRDefault="00D857AC" w:rsidP="00D857AC">
            <w:pPr>
              <w:autoSpaceDE w:val="0"/>
              <w:autoSpaceDN w:val="0"/>
              <w:adjustRightInd w:val="0"/>
              <w:spacing w:before="60" w:after="60"/>
              <w:rPr>
                <w:rFonts w:eastAsia="Calibri"/>
                <w:color w:val="000000"/>
                <w:sz w:val="22"/>
                <w:szCs w:val="22"/>
                <w:lang w:val="sr-Latn-RS"/>
              </w:rPr>
            </w:pPr>
          </w:p>
        </w:tc>
      </w:tr>
      <w:tr w:rsidR="00D857AC" w:rsidRPr="00234ECD" w14:paraId="51D3535C" w14:textId="77777777" w:rsidTr="00D857AC">
        <w:trPr>
          <w:trHeight w:val="396"/>
        </w:trPr>
        <w:tc>
          <w:tcPr>
            <w:tcW w:w="3652" w:type="dxa"/>
            <w:tcBorders>
              <w:top w:val="single" w:sz="12" w:space="0" w:color="auto"/>
              <w:left w:val="single" w:sz="2" w:space="0" w:color="auto"/>
              <w:bottom w:val="single" w:sz="12" w:space="0" w:color="auto"/>
              <w:right w:val="single" w:sz="2" w:space="0" w:color="auto"/>
            </w:tcBorders>
            <w:hideMark/>
          </w:tcPr>
          <w:tbl>
            <w:tblPr>
              <w:tblW w:w="0" w:type="auto"/>
              <w:tblLayout w:type="fixed"/>
              <w:tblLook w:val="04A0" w:firstRow="1" w:lastRow="0" w:firstColumn="1" w:lastColumn="0" w:noHBand="0" w:noVBand="1"/>
            </w:tblPr>
            <w:tblGrid>
              <w:gridCol w:w="3156"/>
            </w:tblGrid>
            <w:tr w:rsidR="00D857AC" w:rsidRPr="00234ECD" w14:paraId="4064703D" w14:textId="77777777">
              <w:trPr>
                <w:trHeight w:val="396"/>
              </w:trPr>
              <w:tc>
                <w:tcPr>
                  <w:tcW w:w="3156" w:type="dxa"/>
                  <w:tcBorders>
                    <w:top w:val="nil"/>
                    <w:left w:val="nil"/>
                    <w:bottom w:val="nil"/>
                    <w:right w:val="nil"/>
                  </w:tcBorders>
                  <w:hideMark/>
                </w:tcPr>
                <w:p w14:paraId="2997D21D" w14:textId="2444E02F" w:rsidR="00D857AC" w:rsidRPr="00234ECD" w:rsidRDefault="00D857AC" w:rsidP="00D857AC">
                  <w:pPr>
                    <w:autoSpaceDE w:val="0"/>
                    <w:autoSpaceDN w:val="0"/>
                    <w:adjustRightInd w:val="0"/>
                    <w:ind w:left="-113"/>
                    <w:jc w:val="both"/>
                    <w:rPr>
                      <w:rFonts w:eastAsia="Calibri"/>
                      <w:color w:val="000000"/>
                      <w:sz w:val="22"/>
                      <w:szCs w:val="22"/>
                      <w:lang w:val="sr-Latn-RS"/>
                    </w:rPr>
                  </w:pPr>
                  <w:r w:rsidRPr="00234ECD">
                    <w:rPr>
                      <w:rFonts w:eastAsia="Calibri"/>
                      <w:color w:val="000000"/>
                      <w:sz w:val="22"/>
                      <w:szCs w:val="22"/>
                      <w:lang w:val="sr-Latn-RS"/>
                    </w:rPr>
                    <w:t xml:space="preserve">ALT ili AST &gt; 3 puta </w:t>
                  </w:r>
                  <w:r w:rsidR="007E3E0E" w:rsidRPr="00234ECD">
                    <w:rPr>
                      <w:rFonts w:eastAsia="Calibri"/>
                      <w:color w:val="000000"/>
                      <w:sz w:val="22"/>
                      <w:szCs w:val="22"/>
                      <w:lang w:val="sr-Latn-RS"/>
                    </w:rPr>
                    <w:t>gornje granice normalnih vrijednosti (</w:t>
                  </w:r>
                  <w:r w:rsidRPr="00234ECD">
                    <w:rPr>
                      <w:rFonts w:eastAsia="Calibri"/>
                      <w:color w:val="000000"/>
                      <w:sz w:val="22"/>
                      <w:szCs w:val="22"/>
                      <w:lang w:val="sr-Latn-RS"/>
                    </w:rPr>
                    <w:t>GGN</w:t>
                  </w:r>
                  <w:r w:rsidR="007E3E0E" w:rsidRPr="00234ECD">
                    <w:rPr>
                      <w:rFonts w:eastAsia="Calibri"/>
                      <w:color w:val="000000"/>
                      <w:sz w:val="22"/>
                      <w:szCs w:val="22"/>
                      <w:lang w:val="sr-Latn-RS"/>
                    </w:rPr>
                    <w:t>)</w:t>
                  </w:r>
                  <w:r w:rsidRPr="00234ECD">
                    <w:rPr>
                      <w:rFonts w:eastAsia="Calibri"/>
                      <w:color w:val="000000"/>
                      <w:sz w:val="22"/>
                      <w:szCs w:val="22"/>
                      <w:lang w:val="sr-Latn-RS"/>
                    </w:rPr>
                    <w:t xml:space="preserve">, ali ≤10 puta GGN bez istovremeno ukupnog bilirubina ≥ 2 puta GGN </w:t>
                  </w:r>
                </w:p>
              </w:tc>
            </w:tr>
          </w:tbl>
          <w:p w14:paraId="6832AC80" w14:textId="77777777" w:rsidR="00D857AC" w:rsidRPr="00234ECD" w:rsidRDefault="00D857AC" w:rsidP="00D857AC">
            <w:pPr>
              <w:autoSpaceDE w:val="0"/>
              <w:autoSpaceDN w:val="0"/>
              <w:adjustRightInd w:val="0"/>
              <w:rPr>
                <w:rFonts w:eastAsia="Calibri"/>
                <w:color w:val="000000"/>
                <w:sz w:val="22"/>
                <w:szCs w:val="22"/>
                <w:lang w:val="sr-Latn-RS"/>
              </w:rPr>
            </w:pPr>
          </w:p>
        </w:tc>
        <w:tc>
          <w:tcPr>
            <w:tcW w:w="6234" w:type="dxa"/>
            <w:tcBorders>
              <w:top w:val="single" w:sz="12" w:space="0" w:color="auto"/>
              <w:left w:val="single" w:sz="2" w:space="0" w:color="auto"/>
              <w:bottom w:val="single" w:sz="12" w:space="0" w:color="auto"/>
              <w:right w:val="single" w:sz="2" w:space="0" w:color="auto"/>
            </w:tcBorders>
            <w:hideMark/>
          </w:tcPr>
          <w:tbl>
            <w:tblPr>
              <w:tblW w:w="0" w:type="auto"/>
              <w:tblLayout w:type="fixed"/>
              <w:tblLook w:val="04A0" w:firstRow="1" w:lastRow="0" w:firstColumn="1" w:lastColumn="0" w:noHBand="0" w:noVBand="1"/>
            </w:tblPr>
            <w:tblGrid>
              <w:gridCol w:w="5015"/>
            </w:tblGrid>
            <w:tr w:rsidR="00D857AC" w:rsidRPr="00234ECD" w14:paraId="51286930" w14:textId="77777777">
              <w:trPr>
                <w:trHeight w:val="1203"/>
              </w:trPr>
              <w:tc>
                <w:tcPr>
                  <w:tcW w:w="5015" w:type="dxa"/>
                  <w:tcBorders>
                    <w:top w:val="nil"/>
                    <w:left w:val="nil"/>
                    <w:bottom w:val="nil"/>
                    <w:right w:val="nil"/>
                  </w:tcBorders>
                  <w:hideMark/>
                </w:tcPr>
                <w:p w14:paraId="7B108A41" w14:textId="2B24A04C" w:rsidR="00D857AC" w:rsidRPr="00234ECD" w:rsidRDefault="00D857AC" w:rsidP="00D857AC">
                  <w:pPr>
                    <w:autoSpaceDE w:val="0"/>
                    <w:autoSpaceDN w:val="0"/>
                    <w:adjustRightInd w:val="0"/>
                    <w:spacing w:after="120"/>
                    <w:ind w:left="-113"/>
                    <w:jc w:val="both"/>
                    <w:rPr>
                      <w:rFonts w:eastAsia="Calibri"/>
                      <w:color w:val="000000"/>
                      <w:sz w:val="22"/>
                      <w:szCs w:val="22"/>
                      <w:lang w:val="sr-Latn-RS"/>
                    </w:rPr>
                  </w:pPr>
                  <w:r w:rsidRPr="00234ECD">
                    <w:rPr>
                      <w:rFonts w:eastAsia="Calibri"/>
                      <w:color w:val="000000"/>
                      <w:sz w:val="22"/>
                      <w:szCs w:val="22"/>
                      <w:lang w:val="sr-Latn-RS"/>
                    </w:rPr>
                    <w:t xml:space="preserve">Prekinuti </w:t>
                  </w:r>
                  <w:r w:rsidR="00E4272A" w:rsidRPr="00234ECD">
                    <w:rPr>
                      <w:rFonts w:eastAsia="Calibri"/>
                      <w:color w:val="000000"/>
                      <w:sz w:val="22"/>
                      <w:szCs w:val="22"/>
                      <w:lang w:val="sr-Latn-RS"/>
                    </w:rPr>
                    <w:t xml:space="preserve">liječenje </w:t>
                  </w:r>
                  <w:r w:rsidRPr="00234ECD">
                    <w:rPr>
                      <w:rFonts w:eastAsia="Calibri"/>
                      <w:color w:val="000000"/>
                      <w:sz w:val="22"/>
                      <w:szCs w:val="22"/>
                      <w:lang w:val="sr-Latn-RS"/>
                    </w:rPr>
                    <w:t>l</w:t>
                  </w:r>
                  <w:r w:rsidR="00A8726C" w:rsidRPr="00234ECD">
                    <w:rPr>
                      <w:rFonts w:eastAsia="Calibri"/>
                      <w:color w:val="000000"/>
                      <w:sz w:val="22"/>
                      <w:szCs w:val="22"/>
                      <w:lang w:val="sr-Latn-RS"/>
                    </w:rPr>
                    <w:t>ij</w:t>
                  </w:r>
                  <w:r w:rsidRPr="00234ECD">
                    <w:rPr>
                      <w:rFonts w:eastAsia="Calibri"/>
                      <w:color w:val="000000"/>
                      <w:sz w:val="22"/>
                      <w:szCs w:val="22"/>
                      <w:lang w:val="sr-Latn-RS"/>
                    </w:rPr>
                    <w:t>ek</w:t>
                  </w:r>
                  <w:r w:rsidR="00E4272A" w:rsidRPr="00234ECD">
                    <w:rPr>
                      <w:rFonts w:eastAsia="Calibri"/>
                      <w:color w:val="000000"/>
                      <w:sz w:val="22"/>
                      <w:szCs w:val="22"/>
                      <w:lang w:val="sr-Latn-RS"/>
                    </w:rPr>
                    <w:t>om</w:t>
                  </w:r>
                  <w:r w:rsidRPr="00234ECD">
                    <w:rPr>
                      <w:rFonts w:eastAsia="Calibri"/>
                      <w:color w:val="000000"/>
                      <w:sz w:val="22"/>
                      <w:szCs w:val="22"/>
                      <w:lang w:val="sr-Latn-RS"/>
                    </w:rPr>
                    <w:t xml:space="preserve"> Cabometyx i nivolumab</w:t>
                  </w:r>
                  <w:r w:rsidR="00E4272A" w:rsidRPr="00234ECD">
                    <w:rPr>
                      <w:rFonts w:eastAsia="Calibri"/>
                      <w:color w:val="000000"/>
                      <w:sz w:val="22"/>
                      <w:szCs w:val="22"/>
                      <w:lang w:val="sr-Latn-RS"/>
                    </w:rPr>
                    <w:t>om</w:t>
                  </w:r>
                  <w:r w:rsidRPr="00234ECD">
                    <w:rPr>
                      <w:rFonts w:eastAsia="Calibri"/>
                      <w:color w:val="000000"/>
                      <w:sz w:val="22"/>
                      <w:szCs w:val="22"/>
                      <w:lang w:val="sr-Latn-RS"/>
                    </w:rPr>
                    <w:t xml:space="preserve"> dok se neželjene reakcije ne povuku do ≤ 1. stepena.</w:t>
                  </w:r>
                </w:p>
                <w:p w14:paraId="4494E510" w14:textId="2000992B" w:rsidR="00D857AC" w:rsidRPr="00234ECD" w:rsidRDefault="00D857AC" w:rsidP="00D857AC">
                  <w:pPr>
                    <w:autoSpaceDE w:val="0"/>
                    <w:autoSpaceDN w:val="0"/>
                    <w:adjustRightInd w:val="0"/>
                    <w:spacing w:after="120"/>
                    <w:ind w:left="-113"/>
                    <w:jc w:val="both"/>
                    <w:rPr>
                      <w:rFonts w:eastAsia="Calibri"/>
                      <w:color w:val="000000"/>
                      <w:sz w:val="22"/>
                      <w:szCs w:val="22"/>
                      <w:lang w:val="sr-Latn-RS"/>
                    </w:rPr>
                  </w:pPr>
                  <w:r w:rsidRPr="00234ECD">
                    <w:rPr>
                      <w:rFonts w:eastAsia="Calibri"/>
                      <w:color w:val="000000"/>
                      <w:sz w:val="22"/>
                      <w:szCs w:val="22"/>
                      <w:lang w:val="sr-Latn-RS"/>
                    </w:rPr>
                    <w:t>Ako se sumnja na imunološki posredovanu reakciju, može se razmotriti terapija kortikosteroidima (vid</w:t>
                  </w:r>
                  <w:r w:rsidR="00A8726C" w:rsidRPr="00234ECD">
                    <w:rPr>
                      <w:rFonts w:eastAsia="Calibri"/>
                      <w:color w:val="000000"/>
                      <w:sz w:val="22"/>
                      <w:szCs w:val="22"/>
                      <w:lang w:val="sr-Latn-RS"/>
                    </w:rPr>
                    <w:t>j</w:t>
                  </w:r>
                  <w:r w:rsidRPr="00234ECD">
                    <w:rPr>
                      <w:rFonts w:eastAsia="Calibri"/>
                      <w:color w:val="000000"/>
                      <w:sz w:val="22"/>
                      <w:szCs w:val="22"/>
                      <w:lang w:val="sr-Latn-RS"/>
                    </w:rPr>
                    <w:t>eti Sažetak karakteristika l</w:t>
                  </w:r>
                  <w:r w:rsidR="00A8726C" w:rsidRPr="00234ECD">
                    <w:rPr>
                      <w:rFonts w:eastAsia="Calibri"/>
                      <w:color w:val="000000"/>
                      <w:sz w:val="22"/>
                      <w:szCs w:val="22"/>
                      <w:lang w:val="sr-Latn-RS"/>
                    </w:rPr>
                    <w:t>ij</w:t>
                  </w:r>
                  <w:r w:rsidRPr="00234ECD">
                    <w:rPr>
                      <w:rFonts w:eastAsia="Calibri"/>
                      <w:color w:val="000000"/>
                      <w:sz w:val="22"/>
                      <w:szCs w:val="22"/>
                      <w:lang w:val="sr-Latn-RS"/>
                    </w:rPr>
                    <w:t xml:space="preserve">eka za nivolumab). </w:t>
                  </w:r>
                </w:p>
                <w:p w14:paraId="1F245D9F" w14:textId="74FBA1B1" w:rsidR="00D857AC" w:rsidRPr="00234ECD" w:rsidRDefault="00D857AC" w:rsidP="00D857AC">
                  <w:pPr>
                    <w:autoSpaceDE w:val="0"/>
                    <w:autoSpaceDN w:val="0"/>
                    <w:adjustRightInd w:val="0"/>
                    <w:spacing w:after="120"/>
                    <w:ind w:left="-113"/>
                    <w:jc w:val="both"/>
                    <w:rPr>
                      <w:rFonts w:eastAsia="Calibri"/>
                      <w:color w:val="000000"/>
                      <w:sz w:val="22"/>
                      <w:szCs w:val="22"/>
                      <w:lang w:val="sr-Latn-RS"/>
                    </w:rPr>
                  </w:pPr>
                  <w:r w:rsidRPr="00234ECD">
                    <w:rPr>
                      <w:rFonts w:eastAsia="Calibri"/>
                      <w:color w:val="000000"/>
                      <w:sz w:val="22"/>
                      <w:szCs w:val="22"/>
                      <w:lang w:val="sr-Latn-RS"/>
                    </w:rPr>
                    <w:t>Nakon oporavka, može se razmotriti ponovno uvođenje l</w:t>
                  </w:r>
                  <w:r w:rsidR="00394E14" w:rsidRPr="00234ECD">
                    <w:rPr>
                      <w:rFonts w:eastAsia="Calibri"/>
                      <w:color w:val="000000"/>
                      <w:sz w:val="22"/>
                      <w:szCs w:val="22"/>
                      <w:lang w:val="sr-Latn-RS"/>
                    </w:rPr>
                    <w:t>ij</w:t>
                  </w:r>
                  <w:r w:rsidRPr="00234ECD">
                    <w:rPr>
                      <w:rFonts w:eastAsia="Calibri"/>
                      <w:color w:val="000000"/>
                      <w:sz w:val="22"/>
                      <w:szCs w:val="22"/>
                      <w:lang w:val="sr-Latn-RS"/>
                    </w:rPr>
                    <w:t>ečenja jednim l</w:t>
                  </w:r>
                  <w:r w:rsidR="00A8726C" w:rsidRPr="00234ECD">
                    <w:rPr>
                      <w:rFonts w:eastAsia="Calibri"/>
                      <w:color w:val="000000"/>
                      <w:sz w:val="22"/>
                      <w:szCs w:val="22"/>
                      <w:lang w:val="sr-Latn-RS"/>
                    </w:rPr>
                    <w:t>ij</w:t>
                  </w:r>
                  <w:r w:rsidRPr="00234ECD">
                    <w:rPr>
                      <w:rFonts w:eastAsia="Calibri"/>
                      <w:color w:val="000000"/>
                      <w:sz w:val="22"/>
                      <w:szCs w:val="22"/>
                      <w:lang w:val="sr-Latn-RS"/>
                    </w:rPr>
                    <w:t>ekom ili uzastopno sa oba l</w:t>
                  </w:r>
                  <w:r w:rsidR="00A8726C" w:rsidRPr="00234ECD">
                    <w:rPr>
                      <w:rFonts w:eastAsia="Calibri"/>
                      <w:color w:val="000000"/>
                      <w:sz w:val="22"/>
                      <w:szCs w:val="22"/>
                      <w:lang w:val="sr-Latn-RS"/>
                    </w:rPr>
                    <w:t>ij</w:t>
                  </w:r>
                  <w:r w:rsidRPr="00234ECD">
                    <w:rPr>
                      <w:rFonts w:eastAsia="Calibri"/>
                      <w:color w:val="000000"/>
                      <w:sz w:val="22"/>
                      <w:szCs w:val="22"/>
                      <w:lang w:val="sr-Latn-RS"/>
                    </w:rPr>
                    <w:t>eka. Ukoliko se ponovno započinje s nivolumabom, vid</w:t>
                  </w:r>
                  <w:r w:rsidR="00A8726C" w:rsidRPr="00234ECD">
                    <w:rPr>
                      <w:rFonts w:eastAsia="Calibri"/>
                      <w:color w:val="000000"/>
                      <w:sz w:val="22"/>
                      <w:szCs w:val="22"/>
                      <w:lang w:val="sr-Latn-RS"/>
                    </w:rPr>
                    <w:t>j</w:t>
                  </w:r>
                  <w:r w:rsidRPr="00234ECD">
                    <w:rPr>
                      <w:rFonts w:eastAsia="Calibri"/>
                      <w:color w:val="000000"/>
                      <w:sz w:val="22"/>
                      <w:szCs w:val="22"/>
                      <w:lang w:val="sr-Latn-RS"/>
                    </w:rPr>
                    <w:t>eti Sažetak karakteristika l</w:t>
                  </w:r>
                  <w:r w:rsidR="00A8726C" w:rsidRPr="00234ECD">
                    <w:rPr>
                      <w:rFonts w:eastAsia="Calibri"/>
                      <w:color w:val="000000"/>
                      <w:sz w:val="22"/>
                      <w:szCs w:val="22"/>
                      <w:lang w:val="sr-Latn-RS"/>
                    </w:rPr>
                    <w:t>ij</w:t>
                  </w:r>
                  <w:r w:rsidRPr="00234ECD">
                    <w:rPr>
                      <w:rFonts w:eastAsia="Calibri"/>
                      <w:color w:val="000000"/>
                      <w:sz w:val="22"/>
                      <w:szCs w:val="22"/>
                      <w:lang w:val="sr-Latn-RS"/>
                    </w:rPr>
                    <w:t xml:space="preserve">eka za nivolumab. </w:t>
                  </w:r>
                </w:p>
              </w:tc>
            </w:tr>
          </w:tbl>
          <w:p w14:paraId="16583AC5" w14:textId="77777777" w:rsidR="00D857AC" w:rsidRPr="00234ECD" w:rsidRDefault="00D857AC" w:rsidP="00D857AC">
            <w:pPr>
              <w:autoSpaceDE w:val="0"/>
              <w:autoSpaceDN w:val="0"/>
              <w:adjustRightInd w:val="0"/>
              <w:rPr>
                <w:rFonts w:eastAsia="Calibri"/>
                <w:color w:val="000000"/>
                <w:sz w:val="22"/>
                <w:szCs w:val="22"/>
                <w:lang w:val="sr-Latn-RS"/>
              </w:rPr>
            </w:pPr>
          </w:p>
        </w:tc>
      </w:tr>
      <w:tr w:rsidR="00D857AC" w:rsidRPr="00234ECD" w14:paraId="75249D76" w14:textId="77777777" w:rsidTr="00D857AC">
        <w:trPr>
          <w:trHeight w:val="396"/>
        </w:trPr>
        <w:tc>
          <w:tcPr>
            <w:tcW w:w="3652" w:type="dxa"/>
            <w:tcBorders>
              <w:top w:val="single" w:sz="12" w:space="0" w:color="auto"/>
              <w:left w:val="single" w:sz="2" w:space="0" w:color="auto"/>
              <w:bottom w:val="single" w:sz="12" w:space="0" w:color="auto"/>
              <w:right w:val="single" w:sz="2" w:space="0" w:color="auto"/>
            </w:tcBorders>
            <w:hideMark/>
          </w:tcPr>
          <w:tbl>
            <w:tblPr>
              <w:tblW w:w="0" w:type="auto"/>
              <w:tblLayout w:type="fixed"/>
              <w:tblLook w:val="04A0" w:firstRow="1" w:lastRow="0" w:firstColumn="1" w:lastColumn="0" w:noHBand="0" w:noVBand="1"/>
            </w:tblPr>
            <w:tblGrid>
              <w:gridCol w:w="3141"/>
            </w:tblGrid>
            <w:tr w:rsidR="00D857AC" w:rsidRPr="00234ECD" w14:paraId="17DE8160" w14:textId="77777777">
              <w:trPr>
                <w:trHeight w:val="355"/>
              </w:trPr>
              <w:tc>
                <w:tcPr>
                  <w:tcW w:w="3141" w:type="dxa"/>
                  <w:tcBorders>
                    <w:top w:val="nil"/>
                    <w:left w:val="nil"/>
                    <w:bottom w:val="nil"/>
                    <w:right w:val="nil"/>
                  </w:tcBorders>
                  <w:hideMark/>
                </w:tcPr>
                <w:p w14:paraId="3331C850" w14:textId="77777777" w:rsidR="00D857AC" w:rsidRPr="00234ECD" w:rsidRDefault="00D857AC" w:rsidP="00D857AC">
                  <w:pPr>
                    <w:autoSpaceDE w:val="0"/>
                    <w:autoSpaceDN w:val="0"/>
                    <w:adjustRightInd w:val="0"/>
                    <w:ind w:left="-113"/>
                    <w:rPr>
                      <w:rFonts w:eastAsia="Calibri"/>
                      <w:color w:val="000000"/>
                      <w:sz w:val="22"/>
                      <w:szCs w:val="22"/>
                      <w:lang w:val="sr-Latn-RS"/>
                    </w:rPr>
                  </w:pPr>
                  <w:r w:rsidRPr="00234ECD">
                    <w:rPr>
                      <w:rFonts w:eastAsia="Calibri"/>
                      <w:color w:val="000000"/>
                      <w:sz w:val="22"/>
                      <w:szCs w:val="22"/>
                      <w:lang w:val="sr-Latn-RS"/>
                    </w:rPr>
                    <w:t xml:space="preserve">ALT ili AST &gt; 10 puta GGN ili &gt; 3 puta GGN uz istovremeni ukupni bilirubin ≥ 2 puta GGN </w:t>
                  </w:r>
                </w:p>
              </w:tc>
            </w:tr>
          </w:tbl>
          <w:p w14:paraId="4E161152" w14:textId="77777777" w:rsidR="00D857AC" w:rsidRPr="00234ECD" w:rsidRDefault="00D857AC" w:rsidP="00D857AC">
            <w:pPr>
              <w:autoSpaceDE w:val="0"/>
              <w:autoSpaceDN w:val="0"/>
              <w:adjustRightInd w:val="0"/>
              <w:spacing w:before="60" w:after="60"/>
              <w:rPr>
                <w:rFonts w:eastAsia="Calibri"/>
                <w:color w:val="000000"/>
                <w:sz w:val="22"/>
                <w:szCs w:val="22"/>
                <w:lang w:val="sr-Latn-RS"/>
              </w:rPr>
            </w:pPr>
          </w:p>
        </w:tc>
        <w:tc>
          <w:tcPr>
            <w:tcW w:w="6234" w:type="dxa"/>
            <w:tcBorders>
              <w:top w:val="single" w:sz="12" w:space="0" w:color="auto"/>
              <w:left w:val="single" w:sz="2" w:space="0" w:color="auto"/>
              <w:bottom w:val="single" w:sz="12" w:space="0" w:color="auto"/>
              <w:right w:val="single" w:sz="2" w:space="0" w:color="auto"/>
            </w:tcBorders>
            <w:hideMark/>
          </w:tcPr>
          <w:p w14:paraId="3FA361A3" w14:textId="7BF6D1ED" w:rsidR="00D857AC" w:rsidRPr="00234ECD" w:rsidRDefault="00D857AC" w:rsidP="00D857AC">
            <w:pPr>
              <w:autoSpaceDE w:val="0"/>
              <w:autoSpaceDN w:val="0"/>
              <w:adjustRightInd w:val="0"/>
              <w:jc w:val="both"/>
              <w:rPr>
                <w:rFonts w:eastAsia="Calibri"/>
                <w:color w:val="000000"/>
                <w:sz w:val="22"/>
                <w:szCs w:val="22"/>
                <w:lang w:val="sr-Latn-RS"/>
              </w:rPr>
            </w:pPr>
            <w:r w:rsidRPr="00234ECD">
              <w:rPr>
                <w:rFonts w:eastAsia="Calibri"/>
                <w:color w:val="000000"/>
                <w:sz w:val="22"/>
                <w:szCs w:val="22"/>
                <w:lang w:val="sr-Latn-RS"/>
              </w:rPr>
              <w:t>Trajno obustaviti terapiju l</w:t>
            </w:r>
            <w:r w:rsidR="00A8726C" w:rsidRPr="00234ECD">
              <w:rPr>
                <w:rFonts w:eastAsia="Calibri"/>
                <w:color w:val="000000"/>
                <w:sz w:val="22"/>
                <w:szCs w:val="22"/>
                <w:lang w:val="sr-Latn-RS"/>
              </w:rPr>
              <w:t>ij</w:t>
            </w:r>
            <w:r w:rsidRPr="00234ECD">
              <w:rPr>
                <w:rFonts w:eastAsia="Calibri"/>
                <w:color w:val="000000"/>
                <w:sz w:val="22"/>
                <w:szCs w:val="22"/>
                <w:lang w:val="sr-Latn-RS"/>
              </w:rPr>
              <w:t xml:space="preserve">ekom Cabometyx i nivolumabom. </w:t>
            </w:r>
          </w:p>
          <w:p w14:paraId="79E584CD" w14:textId="1FF331F2" w:rsidR="00D857AC" w:rsidRPr="00234ECD" w:rsidRDefault="00D857AC" w:rsidP="00D857AC">
            <w:pPr>
              <w:autoSpaceDE w:val="0"/>
              <w:autoSpaceDN w:val="0"/>
              <w:adjustRightInd w:val="0"/>
              <w:spacing w:before="60" w:after="60"/>
              <w:jc w:val="both"/>
              <w:rPr>
                <w:rFonts w:eastAsia="Calibri"/>
                <w:color w:val="000000"/>
                <w:sz w:val="22"/>
                <w:szCs w:val="22"/>
                <w:lang w:val="sr-Latn-RS"/>
              </w:rPr>
            </w:pPr>
            <w:r w:rsidRPr="00234ECD">
              <w:rPr>
                <w:rFonts w:eastAsia="Calibri"/>
                <w:sz w:val="22"/>
                <w:szCs w:val="22"/>
                <w:lang w:val="sr-Latn-RS"/>
              </w:rPr>
              <w:t>Ako se sumnja na imunološki posredovanu reakciju, može se razmotriti terapija kortikosteroidima (</w:t>
            </w:r>
            <w:r w:rsidRPr="00234ECD">
              <w:rPr>
                <w:rFonts w:eastAsia="Calibri"/>
                <w:color w:val="000000"/>
                <w:sz w:val="22"/>
                <w:szCs w:val="22"/>
                <w:lang w:val="sr-Latn-RS"/>
              </w:rPr>
              <w:t>vid</w:t>
            </w:r>
            <w:r w:rsidR="00A8726C" w:rsidRPr="00234ECD">
              <w:rPr>
                <w:rFonts w:eastAsia="Calibri"/>
                <w:color w:val="000000"/>
                <w:sz w:val="22"/>
                <w:szCs w:val="22"/>
                <w:lang w:val="sr-Latn-RS"/>
              </w:rPr>
              <w:t>j</w:t>
            </w:r>
            <w:r w:rsidRPr="00234ECD">
              <w:rPr>
                <w:rFonts w:eastAsia="Calibri"/>
                <w:color w:val="000000"/>
                <w:sz w:val="22"/>
                <w:szCs w:val="22"/>
                <w:lang w:val="sr-Latn-RS"/>
              </w:rPr>
              <w:t>eti Sažetak karakteristika l</w:t>
            </w:r>
            <w:r w:rsidR="00A8726C" w:rsidRPr="00234ECD">
              <w:rPr>
                <w:rFonts w:eastAsia="Calibri"/>
                <w:color w:val="000000"/>
                <w:sz w:val="22"/>
                <w:szCs w:val="22"/>
                <w:lang w:val="sr-Latn-RS"/>
              </w:rPr>
              <w:t>ij</w:t>
            </w:r>
            <w:r w:rsidRPr="00234ECD">
              <w:rPr>
                <w:rFonts w:eastAsia="Calibri"/>
                <w:color w:val="000000"/>
                <w:sz w:val="22"/>
                <w:szCs w:val="22"/>
                <w:lang w:val="sr-Latn-RS"/>
              </w:rPr>
              <w:t>eka za nivolumab</w:t>
            </w:r>
            <w:r w:rsidRPr="00234ECD">
              <w:rPr>
                <w:rFonts w:eastAsia="Calibri"/>
                <w:sz w:val="22"/>
                <w:szCs w:val="22"/>
                <w:lang w:val="sr-Latn-RS"/>
              </w:rPr>
              <w:t xml:space="preserve">). </w:t>
            </w:r>
          </w:p>
        </w:tc>
      </w:tr>
    </w:tbl>
    <w:p w14:paraId="18B9B4C6" w14:textId="7486E934" w:rsidR="00D857AC" w:rsidRPr="00234ECD" w:rsidRDefault="00D857AC" w:rsidP="00D857AC">
      <w:pPr>
        <w:jc w:val="both"/>
        <w:rPr>
          <w:rFonts w:eastAsia="Calibri"/>
          <w:sz w:val="22"/>
          <w:szCs w:val="22"/>
          <w:lang w:val="sr-Latn-RS"/>
        </w:rPr>
      </w:pPr>
      <w:r w:rsidRPr="00234ECD">
        <w:rPr>
          <w:rFonts w:eastAsia="Calibri"/>
          <w:sz w:val="22"/>
          <w:szCs w:val="22"/>
          <w:lang w:val="sr-Latn-RS"/>
        </w:rPr>
        <w:t>Napomena: Stepeni toksičnosti određeni su u skladu sa Kriterijumima standardne terminologije za neželjena dejstva Nacionalnog instituta za karcinom, verzija 4.0 (eng</w:t>
      </w:r>
      <w:r w:rsidR="00781CEA" w:rsidRPr="00234ECD">
        <w:rPr>
          <w:rFonts w:eastAsia="Calibri"/>
          <w:sz w:val="22"/>
          <w:szCs w:val="22"/>
          <w:lang w:val="sr-Latn-RS"/>
        </w:rPr>
        <w:t>l</w:t>
      </w:r>
      <w:r w:rsidRPr="00234ECD">
        <w:rPr>
          <w:rFonts w:eastAsia="Calibri"/>
          <w:sz w:val="22"/>
          <w:szCs w:val="22"/>
          <w:lang w:val="sr-Latn-RS"/>
        </w:rPr>
        <w:t xml:space="preserve">. </w:t>
      </w:r>
      <w:r w:rsidRPr="00234ECD">
        <w:rPr>
          <w:rFonts w:eastAsia="Calibri"/>
          <w:i/>
          <w:sz w:val="22"/>
          <w:szCs w:val="22"/>
          <w:lang w:val="sr-Latn-RS"/>
        </w:rPr>
        <w:t>National Cancer Institute Common Terminology Criteria for Adverse Events, NCI-CTCAE, v4.0</w:t>
      </w:r>
      <w:r w:rsidRPr="00234ECD">
        <w:rPr>
          <w:rFonts w:eastAsia="Calibri"/>
          <w:sz w:val="22"/>
          <w:szCs w:val="22"/>
          <w:lang w:val="sr-Latn-RS"/>
        </w:rPr>
        <w:t>)</w:t>
      </w:r>
    </w:p>
    <w:p w14:paraId="2758E1FA" w14:textId="77777777" w:rsidR="00D857AC" w:rsidRPr="00234ECD" w:rsidRDefault="00D857AC" w:rsidP="00D857AC">
      <w:pPr>
        <w:jc w:val="both"/>
        <w:rPr>
          <w:rFonts w:eastAsia="Calibri"/>
          <w:sz w:val="22"/>
          <w:szCs w:val="22"/>
          <w:lang w:val="sr-Latn-RS"/>
        </w:rPr>
      </w:pPr>
    </w:p>
    <w:p w14:paraId="17E209B1" w14:textId="73E41D03" w:rsidR="00D857AC" w:rsidRPr="00234ECD" w:rsidRDefault="00D857AC" w:rsidP="00D857AC">
      <w:pPr>
        <w:jc w:val="both"/>
        <w:rPr>
          <w:rFonts w:eastAsia="Calibri"/>
          <w:i/>
          <w:sz w:val="22"/>
          <w:szCs w:val="22"/>
          <w:u w:val="single"/>
          <w:lang w:val="sr-Latn-RS"/>
        </w:rPr>
      </w:pPr>
      <w:r w:rsidRPr="00234ECD">
        <w:rPr>
          <w:rFonts w:eastAsia="Calibri"/>
          <w:i/>
          <w:sz w:val="22"/>
          <w:szCs w:val="22"/>
          <w:u w:val="single"/>
          <w:lang w:val="sr-Latn-RS"/>
        </w:rPr>
        <w:t>Istovremena prim</w:t>
      </w:r>
      <w:r w:rsidR="00A8726C" w:rsidRPr="00234ECD">
        <w:rPr>
          <w:rFonts w:eastAsia="Calibri"/>
          <w:i/>
          <w:sz w:val="22"/>
          <w:szCs w:val="22"/>
          <w:u w:val="single"/>
          <w:lang w:val="sr-Latn-RS"/>
        </w:rPr>
        <w:t>j</w:t>
      </w:r>
      <w:r w:rsidRPr="00234ECD">
        <w:rPr>
          <w:rFonts w:eastAsia="Calibri"/>
          <w:i/>
          <w:sz w:val="22"/>
          <w:szCs w:val="22"/>
          <w:u w:val="single"/>
          <w:lang w:val="sr-Latn-RS"/>
        </w:rPr>
        <w:t>ena drugih l</w:t>
      </w:r>
      <w:r w:rsidR="00A8726C" w:rsidRPr="00234ECD">
        <w:rPr>
          <w:rFonts w:eastAsia="Calibri"/>
          <w:i/>
          <w:sz w:val="22"/>
          <w:szCs w:val="22"/>
          <w:u w:val="single"/>
          <w:lang w:val="sr-Latn-RS"/>
        </w:rPr>
        <w:t>j</w:t>
      </w:r>
      <w:r w:rsidRPr="00234ECD">
        <w:rPr>
          <w:rFonts w:eastAsia="Calibri"/>
          <w:i/>
          <w:sz w:val="22"/>
          <w:szCs w:val="22"/>
          <w:u w:val="single"/>
          <w:lang w:val="sr-Latn-RS"/>
        </w:rPr>
        <w:t>ekova</w:t>
      </w:r>
    </w:p>
    <w:p w14:paraId="559A84EB" w14:textId="219815FF" w:rsidR="00D857AC" w:rsidRPr="00234ECD" w:rsidRDefault="00D857AC" w:rsidP="00D857AC">
      <w:pPr>
        <w:jc w:val="both"/>
        <w:rPr>
          <w:rFonts w:eastAsia="Calibri"/>
          <w:sz w:val="22"/>
          <w:szCs w:val="22"/>
          <w:lang w:val="sr-Latn-RS"/>
        </w:rPr>
      </w:pPr>
      <w:r w:rsidRPr="00234ECD">
        <w:rPr>
          <w:rFonts w:eastAsia="Calibri"/>
          <w:sz w:val="22"/>
          <w:szCs w:val="22"/>
          <w:lang w:val="sr-Latn-RS"/>
        </w:rPr>
        <w:t>Istovremenu prim</w:t>
      </w:r>
      <w:r w:rsidR="00A8726C" w:rsidRPr="00234ECD">
        <w:rPr>
          <w:rFonts w:eastAsia="Calibri"/>
          <w:sz w:val="22"/>
          <w:szCs w:val="22"/>
          <w:lang w:val="sr-Latn-RS"/>
        </w:rPr>
        <w:t>j</w:t>
      </w:r>
      <w:r w:rsidRPr="00234ECD">
        <w:rPr>
          <w:rFonts w:eastAsia="Calibri"/>
          <w:sz w:val="22"/>
          <w:szCs w:val="22"/>
          <w:lang w:val="sr-Latn-RS"/>
        </w:rPr>
        <w:t>enu l</w:t>
      </w:r>
      <w:r w:rsidR="00A8726C" w:rsidRPr="00234ECD">
        <w:rPr>
          <w:rFonts w:eastAsia="Calibri"/>
          <w:sz w:val="22"/>
          <w:szCs w:val="22"/>
          <w:lang w:val="sr-Latn-RS"/>
        </w:rPr>
        <w:t>j</w:t>
      </w:r>
      <w:r w:rsidRPr="00234ECD">
        <w:rPr>
          <w:rFonts w:eastAsia="Calibri"/>
          <w:sz w:val="22"/>
          <w:szCs w:val="22"/>
          <w:lang w:val="sr-Latn-RS"/>
        </w:rPr>
        <w:t>ekova koji su jaki inhibitori CYP3A4 treba sprovoditi uz oprez, a hroničnu istovremenu prim</w:t>
      </w:r>
      <w:r w:rsidR="00A8726C" w:rsidRPr="00234ECD">
        <w:rPr>
          <w:rFonts w:eastAsia="Calibri"/>
          <w:sz w:val="22"/>
          <w:szCs w:val="22"/>
          <w:lang w:val="sr-Latn-RS"/>
        </w:rPr>
        <w:t>j</w:t>
      </w:r>
      <w:r w:rsidRPr="00234ECD">
        <w:rPr>
          <w:rFonts w:eastAsia="Calibri"/>
          <w:sz w:val="22"/>
          <w:szCs w:val="22"/>
          <w:lang w:val="sr-Latn-RS"/>
        </w:rPr>
        <w:t>enu l</w:t>
      </w:r>
      <w:r w:rsidR="00A8726C" w:rsidRPr="00234ECD">
        <w:rPr>
          <w:rFonts w:eastAsia="Calibri"/>
          <w:sz w:val="22"/>
          <w:szCs w:val="22"/>
          <w:lang w:val="sr-Latn-RS"/>
        </w:rPr>
        <w:t>j</w:t>
      </w:r>
      <w:r w:rsidRPr="00234ECD">
        <w:rPr>
          <w:rFonts w:eastAsia="Calibri"/>
          <w:sz w:val="22"/>
          <w:szCs w:val="22"/>
          <w:lang w:val="sr-Latn-RS"/>
        </w:rPr>
        <w:t>ekova koji su jaki induktori CYP3A4 treba izb</w:t>
      </w:r>
      <w:r w:rsidR="00A8726C" w:rsidRPr="00234ECD">
        <w:rPr>
          <w:rFonts w:eastAsia="Calibri"/>
          <w:sz w:val="22"/>
          <w:szCs w:val="22"/>
          <w:lang w:val="sr-Latn-RS"/>
        </w:rPr>
        <w:t>j</w:t>
      </w:r>
      <w:r w:rsidRPr="00234ECD">
        <w:rPr>
          <w:rFonts w:eastAsia="Calibri"/>
          <w:sz w:val="22"/>
          <w:szCs w:val="22"/>
          <w:lang w:val="sr-Latn-RS"/>
        </w:rPr>
        <w:t>egavati (vid</w:t>
      </w:r>
      <w:r w:rsidR="00A8726C" w:rsidRPr="00234ECD">
        <w:rPr>
          <w:rFonts w:eastAsia="Calibri"/>
          <w:sz w:val="22"/>
          <w:szCs w:val="22"/>
          <w:lang w:val="sr-Latn-RS"/>
        </w:rPr>
        <w:t>j</w:t>
      </w:r>
      <w:r w:rsidRPr="00234ECD">
        <w:rPr>
          <w:rFonts w:eastAsia="Calibri"/>
          <w:sz w:val="22"/>
          <w:szCs w:val="22"/>
          <w:lang w:val="sr-Latn-RS"/>
        </w:rPr>
        <w:t xml:space="preserve">eti </w:t>
      </w:r>
      <w:r w:rsidR="007E3E0E" w:rsidRPr="00234ECD">
        <w:rPr>
          <w:rFonts w:eastAsia="Calibri"/>
          <w:sz w:val="22"/>
          <w:szCs w:val="22"/>
          <w:lang w:val="sr-Latn-RS"/>
        </w:rPr>
        <w:t xml:space="preserve">djelove </w:t>
      </w:r>
      <w:r w:rsidRPr="00234ECD">
        <w:rPr>
          <w:rFonts w:eastAsia="Calibri"/>
          <w:sz w:val="22"/>
          <w:szCs w:val="22"/>
          <w:lang w:val="sr-Latn-RS"/>
        </w:rPr>
        <w:t>4.4 i 4.5).</w:t>
      </w:r>
    </w:p>
    <w:p w14:paraId="23EA1F5D" w14:textId="77777777" w:rsidR="00D857AC" w:rsidRPr="00234ECD" w:rsidRDefault="00D857AC" w:rsidP="00D857AC">
      <w:pPr>
        <w:jc w:val="both"/>
        <w:rPr>
          <w:rFonts w:eastAsia="Calibri"/>
          <w:sz w:val="22"/>
          <w:szCs w:val="22"/>
          <w:lang w:val="sr-Latn-RS"/>
        </w:rPr>
      </w:pPr>
    </w:p>
    <w:p w14:paraId="67C1ED27" w14:textId="1254BE84" w:rsidR="00D857AC" w:rsidRPr="00234ECD" w:rsidRDefault="00D857AC" w:rsidP="00D857AC">
      <w:pPr>
        <w:jc w:val="both"/>
        <w:rPr>
          <w:rFonts w:eastAsia="Calibri"/>
          <w:sz w:val="22"/>
          <w:szCs w:val="22"/>
          <w:lang w:val="sr-Latn-RS"/>
        </w:rPr>
      </w:pPr>
      <w:r w:rsidRPr="00234ECD">
        <w:rPr>
          <w:rFonts w:eastAsia="Calibri"/>
          <w:sz w:val="22"/>
          <w:szCs w:val="22"/>
          <w:lang w:val="sr-Latn-RS"/>
        </w:rPr>
        <w:lastRenderedPageBreak/>
        <w:t>Treba razmotriti istovremenu upotrebu alternativnog l</w:t>
      </w:r>
      <w:r w:rsidR="00A8726C" w:rsidRPr="00234ECD">
        <w:rPr>
          <w:rFonts w:eastAsia="Calibri"/>
          <w:sz w:val="22"/>
          <w:szCs w:val="22"/>
          <w:lang w:val="sr-Latn-RS"/>
        </w:rPr>
        <w:t>ij</w:t>
      </w:r>
      <w:r w:rsidRPr="00234ECD">
        <w:rPr>
          <w:rFonts w:eastAsia="Calibri"/>
          <w:sz w:val="22"/>
          <w:szCs w:val="22"/>
          <w:lang w:val="sr-Latn-RS"/>
        </w:rPr>
        <w:t>eka koji nema ili ima minimalan potencijal za indukciju ili inhibiciju CYP3A4.</w:t>
      </w:r>
    </w:p>
    <w:p w14:paraId="15B3DE1E" w14:textId="77777777" w:rsidR="00D857AC" w:rsidRPr="00234ECD" w:rsidRDefault="00D857AC" w:rsidP="00D857AC">
      <w:pPr>
        <w:jc w:val="both"/>
        <w:rPr>
          <w:rFonts w:eastAsia="Calibri"/>
          <w:sz w:val="22"/>
          <w:szCs w:val="22"/>
          <w:lang w:val="sr-Latn-RS"/>
        </w:rPr>
      </w:pPr>
    </w:p>
    <w:p w14:paraId="305CDC6C"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Posebne populacije</w:t>
      </w:r>
    </w:p>
    <w:p w14:paraId="7580E58F" w14:textId="77777777" w:rsidR="00D857AC" w:rsidRPr="00234ECD" w:rsidRDefault="00D857AC" w:rsidP="00D857AC">
      <w:pPr>
        <w:jc w:val="both"/>
        <w:rPr>
          <w:rFonts w:eastAsia="Calibri"/>
          <w:sz w:val="22"/>
          <w:szCs w:val="22"/>
          <w:lang w:val="sr-Latn-RS"/>
        </w:rPr>
      </w:pPr>
    </w:p>
    <w:p w14:paraId="6CF3A658" w14:textId="5837B953" w:rsidR="00D857AC" w:rsidRPr="00234ECD" w:rsidRDefault="00D857AC" w:rsidP="00D857AC">
      <w:pPr>
        <w:jc w:val="both"/>
        <w:rPr>
          <w:rFonts w:eastAsia="Calibri"/>
          <w:i/>
          <w:sz w:val="22"/>
          <w:szCs w:val="22"/>
          <w:u w:val="single"/>
          <w:lang w:val="sr-Latn-RS"/>
        </w:rPr>
      </w:pPr>
      <w:r w:rsidRPr="00234ECD">
        <w:rPr>
          <w:rFonts w:eastAsia="Calibri"/>
          <w:i/>
          <w:sz w:val="22"/>
          <w:szCs w:val="22"/>
          <w:u w:val="single"/>
          <w:lang w:val="sr-Latn-RS"/>
        </w:rPr>
        <w:t xml:space="preserve">Stariji </w:t>
      </w:r>
      <w:r w:rsidR="008B2FEF" w:rsidRPr="00234ECD">
        <w:rPr>
          <w:rFonts w:eastAsia="Calibri"/>
          <w:i/>
          <w:sz w:val="22"/>
          <w:szCs w:val="22"/>
          <w:u w:val="single"/>
          <w:lang w:val="sr-Latn-RS"/>
        </w:rPr>
        <w:t>pacijenti</w:t>
      </w:r>
    </w:p>
    <w:p w14:paraId="5A416080" w14:textId="581D86F9" w:rsidR="00D857AC" w:rsidRPr="00234ECD" w:rsidRDefault="00D857AC" w:rsidP="00D857AC">
      <w:pPr>
        <w:jc w:val="both"/>
        <w:rPr>
          <w:rFonts w:eastAsia="Calibri"/>
          <w:sz w:val="22"/>
          <w:szCs w:val="22"/>
          <w:lang w:val="sr-Latn-RS"/>
        </w:rPr>
      </w:pPr>
      <w:r w:rsidRPr="00234ECD">
        <w:rPr>
          <w:rFonts w:eastAsia="Calibri"/>
          <w:sz w:val="22"/>
          <w:szCs w:val="22"/>
          <w:lang w:val="sr-Latn-RS"/>
        </w:rPr>
        <w:t>Nije potrebno posebno prilagođavanje doze kod prim</w:t>
      </w:r>
      <w:r w:rsidR="00A8726C" w:rsidRPr="00234ECD">
        <w:rPr>
          <w:rFonts w:eastAsia="Calibri"/>
          <w:sz w:val="22"/>
          <w:szCs w:val="22"/>
          <w:lang w:val="sr-Latn-RS"/>
        </w:rPr>
        <w:t>j</w:t>
      </w:r>
      <w:r w:rsidRPr="00234ECD">
        <w:rPr>
          <w:rFonts w:eastAsia="Calibri"/>
          <w:sz w:val="22"/>
          <w:szCs w:val="22"/>
          <w:lang w:val="sr-Latn-RS"/>
        </w:rPr>
        <w:t>ene kabozantiniba kod starijih osoba (≥ 65 godina).</w:t>
      </w:r>
    </w:p>
    <w:p w14:paraId="191FE2F2" w14:textId="77777777" w:rsidR="00D857AC" w:rsidRPr="00234ECD" w:rsidRDefault="00D857AC" w:rsidP="00D857AC">
      <w:pPr>
        <w:jc w:val="both"/>
        <w:rPr>
          <w:rFonts w:eastAsia="Calibri"/>
          <w:sz w:val="22"/>
          <w:szCs w:val="22"/>
          <w:lang w:val="sr-Latn-RS"/>
        </w:rPr>
      </w:pPr>
    </w:p>
    <w:p w14:paraId="77522C96" w14:textId="77777777" w:rsidR="00D857AC" w:rsidRPr="00234ECD" w:rsidRDefault="00D857AC" w:rsidP="00D857AC">
      <w:pPr>
        <w:jc w:val="both"/>
        <w:rPr>
          <w:rFonts w:eastAsia="Calibri"/>
          <w:i/>
          <w:sz w:val="22"/>
          <w:szCs w:val="22"/>
          <w:u w:val="single"/>
          <w:lang w:val="sr-Latn-RS"/>
        </w:rPr>
      </w:pPr>
      <w:r w:rsidRPr="00234ECD">
        <w:rPr>
          <w:rFonts w:eastAsia="Calibri"/>
          <w:i/>
          <w:sz w:val="22"/>
          <w:szCs w:val="22"/>
          <w:u w:val="single"/>
          <w:lang w:val="sr-Latn-RS"/>
        </w:rPr>
        <w:t>Rasa</w:t>
      </w:r>
    </w:p>
    <w:p w14:paraId="26856C0E" w14:textId="73AF05D6" w:rsidR="00D857AC" w:rsidRPr="00234ECD" w:rsidRDefault="00D857AC" w:rsidP="00D857AC">
      <w:pPr>
        <w:jc w:val="both"/>
        <w:rPr>
          <w:rFonts w:eastAsia="Calibri"/>
          <w:sz w:val="22"/>
          <w:szCs w:val="22"/>
          <w:lang w:val="sr-Latn-RS"/>
        </w:rPr>
      </w:pPr>
      <w:r w:rsidRPr="00234ECD">
        <w:rPr>
          <w:rFonts w:eastAsia="Calibri"/>
          <w:sz w:val="22"/>
          <w:szCs w:val="22"/>
          <w:lang w:val="sr-Latn-RS"/>
        </w:rPr>
        <w:t>Prilagođavanje doze prema rasnoj pripadnosti nije potrebno</w:t>
      </w:r>
      <w:r w:rsidR="00DA56D0" w:rsidRPr="00234ECD">
        <w:rPr>
          <w:rFonts w:eastAsia="Calibri"/>
          <w:sz w:val="22"/>
          <w:szCs w:val="22"/>
          <w:lang w:val="sr-Latn-RS"/>
        </w:rPr>
        <w:t xml:space="preserve"> (vidjeti </w:t>
      </w:r>
      <w:r w:rsidR="007E3E0E" w:rsidRPr="00234ECD">
        <w:rPr>
          <w:rFonts w:eastAsia="Calibri"/>
          <w:sz w:val="22"/>
          <w:szCs w:val="22"/>
          <w:lang w:val="sr-Latn-RS"/>
        </w:rPr>
        <w:t xml:space="preserve">dio </w:t>
      </w:r>
      <w:r w:rsidR="00DA56D0" w:rsidRPr="00234ECD">
        <w:rPr>
          <w:rFonts w:eastAsia="Calibri"/>
          <w:sz w:val="22"/>
          <w:szCs w:val="22"/>
          <w:lang w:val="sr-Latn-RS"/>
        </w:rPr>
        <w:t>5.2)</w:t>
      </w:r>
      <w:r w:rsidRPr="00234ECD">
        <w:rPr>
          <w:rFonts w:eastAsia="Calibri"/>
          <w:sz w:val="22"/>
          <w:szCs w:val="22"/>
          <w:lang w:val="sr-Latn-RS"/>
        </w:rPr>
        <w:t xml:space="preserve">. </w:t>
      </w:r>
    </w:p>
    <w:p w14:paraId="678F2EC6" w14:textId="77777777" w:rsidR="00D857AC" w:rsidRPr="00234ECD" w:rsidRDefault="00D857AC" w:rsidP="00D857AC">
      <w:pPr>
        <w:jc w:val="both"/>
        <w:rPr>
          <w:rFonts w:eastAsia="Calibri"/>
          <w:sz w:val="22"/>
          <w:szCs w:val="22"/>
          <w:lang w:val="sr-Latn-RS"/>
        </w:rPr>
      </w:pPr>
    </w:p>
    <w:p w14:paraId="7B024C06" w14:textId="77777777" w:rsidR="00D857AC" w:rsidRPr="00234ECD" w:rsidRDefault="00D857AC" w:rsidP="00D857AC">
      <w:pPr>
        <w:jc w:val="both"/>
        <w:rPr>
          <w:rFonts w:eastAsia="Calibri"/>
          <w:i/>
          <w:sz w:val="22"/>
          <w:szCs w:val="22"/>
          <w:u w:val="single"/>
          <w:lang w:val="sr-Latn-RS"/>
        </w:rPr>
      </w:pPr>
      <w:r w:rsidRPr="00234ECD">
        <w:rPr>
          <w:rFonts w:eastAsia="Calibri"/>
          <w:i/>
          <w:sz w:val="22"/>
          <w:szCs w:val="22"/>
          <w:u w:val="single"/>
          <w:lang w:val="sr-Latn-RS"/>
        </w:rPr>
        <w:t>Oštećenje funkcije bubrega</w:t>
      </w:r>
    </w:p>
    <w:p w14:paraId="222B8A2D" w14:textId="64F9FE26" w:rsidR="00D857AC" w:rsidRPr="00234ECD" w:rsidRDefault="00D857AC" w:rsidP="00D857AC">
      <w:pPr>
        <w:jc w:val="both"/>
        <w:rPr>
          <w:rFonts w:eastAsia="Calibri"/>
          <w:sz w:val="22"/>
          <w:szCs w:val="22"/>
          <w:lang w:val="sr-Latn-RS"/>
        </w:rPr>
      </w:pPr>
      <w:r w:rsidRPr="00234ECD">
        <w:rPr>
          <w:rFonts w:eastAsia="Calibri"/>
          <w:sz w:val="22"/>
          <w:szCs w:val="22"/>
          <w:lang w:val="sr-Latn-RS"/>
        </w:rPr>
        <w:t>Kabozantinib treba prim</w:t>
      </w:r>
      <w:r w:rsidR="00A8726C" w:rsidRPr="00234ECD">
        <w:rPr>
          <w:rFonts w:eastAsia="Calibri"/>
          <w:sz w:val="22"/>
          <w:szCs w:val="22"/>
          <w:lang w:val="sr-Latn-RS"/>
        </w:rPr>
        <w:t>j</w:t>
      </w:r>
      <w:r w:rsidRPr="00234ECD">
        <w:rPr>
          <w:rFonts w:eastAsia="Calibri"/>
          <w:sz w:val="22"/>
          <w:szCs w:val="22"/>
          <w:lang w:val="sr-Latn-RS"/>
        </w:rPr>
        <w:t>enjivati sa oprezom kod pacijenata sa blagim ili um</w:t>
      </w:r>
      <w:r w:rsidR="00A8726C" w:rsidRPr="00234ECD">
        <w:rPr>
          <w:rFonts w:eastAsia="Calibri"/>
          <w:sz w:val="22"/>
          <w:szCs w:val="22"/>
          <w:lang w:val="sr-Latn-RS"/>
        </w:rPr>
        <w:t>j</w:t>
      </w:r>
      <w:r w:rsidRPr="00234ECD">
        <w:rPr>
          <w:rFonts w:eastAsia="Calibri"/>
          <w:sz w:val="22"/>
          <w:szCs w:val="22"/>
          <w:lang w:val="sr-Latn-RS"/>
        </w:rPr>
        <w:t>erenim oštećenjem funkcije bubrega.</w:t>
      </w:r>
    </w:p>
    <w:p w14:paraId="7B60ADE5" w14:textId="5E5350CE" w:rsidR="00D857AC" w:rsidRPr="00234ECD" w:rsidRDefault="00D857AC" w:rsidP="00D857AC">
      <w:pPr>
        <w:jc w:val="both"/>
        <w:rPr>
          <w:rFonts w:eastAsia="Calibri"/>
          <w:sz w:val="22"/>
          <w:szCs w:val="22"/>
          <w:lang w:val="sr-Latn-RS"/>
        </w:rPr>
      </w:pPr>
      <w:r w:rsidRPr="00234ECD">
        <w:rPr>
          <w:rFonts w:eastAsia="Calibri"/>
          <w:sz w:val="22"/>
          <w:szCs w:val="22"/>
          <w:lang w:val="sr-Latn-RS"/>
        </w:rPr>
        <w:t>Prim</w:t>
      </w:r>
      <w:r w:rsidR="00A8726C" w:rsidRPr="00234ECD">
        <w:rPr>
          <w:rFonts w:eastAsia="Calibri"/>
          <w:sz w:val="22"/>
          <w:szCs w:val="22"/>
          <w:lang w:val="sr-Latn-RS"/>
        </w:rPr>
        <w:t>j</w:t>
      </w:r>
      <w:r w:rsidRPr="00234ECD">
        <w:rPr>
          <w:rFonts w:eastAsia="Calibri"/>
          <w:sz w:val="22"/>
          <w:szCs w:val="22"/>
          <w:lang w:val="sr-Latn-RS"/>
        </w:rPr>
        <w:t>ena kabozantiniba se ne preporučuje kod pacijenata sa teškim oštećenjem funkcije bubrega pošto bezb</w:t>
      </w:r>
      <w:r w:rsidR="00A8726C" w:rsidRPr="00234ECD">
        <w:rPr>
          <w:rFonts w:eastAsia="Calibri"/>
          <w:sz w:val="22"/>
          <w:szCs w:val="22"/>
          <w:lang w:val="sr-Latn-RS"/>
        </w:rPr>
        <w:t>j</w:t>
      </w:r>
      <w:r w:rsidRPr="00234ECD">
        <w:rPr>
          <w:rFonts w:eastAsia="Calibri"/>
          <w:sz w:val="22"/>
          <w:szCs w:val="22"/>
          <w:lang w:val="sr-Latn-RS"/>
        </w:rPr>
        <w:t>ednost i efikasnost prim</w:t>
      </w:r>
      <w:r w:rsidR="00A8726C" w:rsidRPr="00234ECD">
        <w:rPr>
          <w:rFonts w:eastAsia="Calibri"/>
          <w:sz w:val="22"/>
          <w:szCs w:val="22"/>
          <w:lang w:val="sr-Latn-RS"/>
        </w:rPr>
        <w:t>j</w:t>
      </w:r>
      <w:r w:rsidRPr="00234ECD">
        <w:rPr>
          <w:rFonts w:eastAsia="Calibri"/>
          <w:sz w:val="22"/>
          <w:szCs w:val="22"/>
          <w:lang w:val="sr-Latn-RS"/>
        </w:rPr>
        <w:t>ene kod ove populacije nisu utvrđene.</w:t>
      </w:r>
    </w:p>
    <w:p w14:paraId="46FC2A52" w14:textId="77777777" w:rsidR="00D857AC" w:rsidRPr="00234ECD" w:rsidRDefault="00D857AC" w:rsidP="00D857AC">
      <w:pPr>
        <w:jc w:val="both"/>
        <w:rPr>
          <w:rFonts w:eastAsia="Calibri"/>
          <w:sz w:val="22"/>
          <w:szCs w:val="22"/>
          <w:lang w:val="sr-Latn-RS"/>
        </w:rPr>
      </w:pPr>
    </w:p>
    <w:p w14:paraId="52F056A4" w14:textId="77777777" w:rsidR="00D857AC" w:rsidRPr="00234ECD" w:rsidRDefault="00D857AC" w:rsidP="00D857AC">
      <w:pPr>
        <w:jc w:val="both"/>
        <w:rPr>
          <w:rFonts w:eastAsia="Calibri"/>
          <w:i/>
          <w:sz w:val="22"/>
          <w:szCs w:val="22"/>
          <w:u w:val="single"/>
          <w:lang w:val="sr-Latn-RS"/>
        </w:rPr>
      </w:pPr>
      <w:r w:rsidRPr="00234ECD">
        <w:rPr>
          <w:rFonts w:eastAsia="Calibri"/>
          <w:i/>
          <w:sz w:val="22"/>
          <w:szCs w:val="22"/>
          <w:u w:val="single"/>
          <w:lang w:val="sr-Latn-RS"/>
        </w:rPr>
        <w:t>Oštećenje funkcije jetre</w:t>
      </w:r>
    </w:p>
    <w:p w14:paraId="6938BD06" w14:textId="0E37F00D" w:rsidR="00D857AC" w:rsidRPr="00234ECD" w:rsidRDefault="00D857AC" w:rsidP="00D857AC">
      <w:pPr>
        <w:jc w:val="both"/>
        <w:rPr>
          <w:rFonts w:eastAsia="Calibri"/>
          <w:sz w:val="22"/>
          <w:szCs w:val="22"/>
          <w:lang w:val="sr-Latn-RS"/>
        </w:rPr>
      </w:pPr>
      <w:r w:rsidRPr="00234ECD">
        <w:rPr>
          <w:rFonts w:eastAsia="Calibri"/>
          <w:sz w:val="22"/>
          <w:szCs w:val="22"/>
          <w:lang w:val="sr-Latn-RS"/>
        </w:rPr>
        <w:t>Kod pacijenata sa blagim oštećenjem funkcije jetre prilagođavanje doze nije potrebno. S obzirom da su dostupni samo ograničeni podaci za pacijente sa um</w:t>
      </w:r>
      <w:r w:rsidR="00A8726C" w:rsidRPr="00234ECD">
        <w:rPr>
          <w:rFonts w:eastAsia="Calibri"/>
          <w:sz w:val="22"/>
          <w:szCs w:val="22"/>
          <w:lang w:val="sr-Latn-RS"/>
        </w:rPr>
        <w:t>j</w:t>
      </w:r>
      <w:r w:rsidRPr="00234ECD">
        <w:rPr>
          <w:rFonts w:eastAsia="Calibri"/>
          <w:sz w:val="22"/>
          <w:szCs w:val="22"/>
          <w:lang w:val="sr-Latn-RS"/>
        </w:rPr>
        <w:t>erenim oštećenjem funkcije jetre (Child Pugh B), preporuke za doziranje se ne mogu dati. Stoga se kod ovih pacijenata preporučuje pažljivo praćenje c</w:t>
      </w:r>
      <w:r w:rsidR="00A8726C" w:rsidRPr="00234ECD">
        <w:rPr>
          <w:rFonts w:eastAsia="Calibri"/>
          <w:sz w:val="22"/>
          <w:szCs w:val="22"/>
          <w:lang w:val="sr-Latn-RS"/>
        </w:rPr>
        <w:t>j</w:t>
      </w:r>
      <w:r w:rsidRPr="00234ECD">
        <w:rPr>
          <w:rFonts w:eastAsia="Calibri"/>
          <w:sz w:val="22"/>
          <w:szCs w:val="22"/>
          <w:lang w:val="sr-Latn-RS"/>
        </w:rPr>
        <w:t>elokupne bezb</w:t>
      </w:r>
      <w:r w:rsidR="00A8726C" w:rsidRPr="00234ECD">
        <w:rPr>
          <w:rFonts w:eastAsia="Calibri"/>
          <w:sz w:val="22"/>
          <w:szCs w:val="22"/>
          <w:lang w:val="sr-Latn-RS"/>
        </w:rPr>
        <w:t>j</w:t>
      </w:r>
      <w:r w:rsidRPr="00234ECD">
        <w:rPr>
          <w:rFonts w:eastAsia="Calibri"/>
          <w:sz w:val="22"/>
          <w:szCs w:val="22"/>
          <w:lang w:val="sr-Latn-RS"/>
        </w:rPr>
        <w:t>ednosti (vid</w:t>
      </w:r>
      <w:r w:rsidR="00A8726C" w:rsidRPr="00234ECD">
        <w:rPr>
          <w:rFonts w:eastAsia="Calibri"/>
          <w:sz w:val="22"/>
          <w:szCs w:val="22"/>
          <w:lang w:val="sr-Latn-RS"/>
        </w:rPr>
        <w:t>j</w:t>
      </w:r>
      <w:r w:rsidRPr="00234ECD">
        <w:rPr>
          <w:rFonts w:eastAsia="Calibri"/>
          <w:sz w:val="22"/>
          <w:szCs w:val="22"/>
          <w:lang w:val="sr-Latn-RS"/>
        </w:rPr>
        <w:t xml:space="preserve">eti </w:t>
      </w:r>
      <w:r w:rsidR="0041724E" w:rsidRPr="00234ECD">
        <w:rPr>
          <w:rFonts w:eastAsia="Calibri"/>
          <w:sz w:val="22"/>
          <w:szCs w:val="22"/>
          <w:lang w:val="sr-Latn-RS"/>
        </w:rPr>
        <w:t xml:space="preserve">djelove </w:t>
      </w:r>
      <w:r w:rsidRPr="00234ECD">
        <w:rPr>
          <w:rFonts w:eastAsia="Calibri"/>
          <w:sz w:val="22"/>
          <w:szCs w:val="22"/>
          <w:lang w:val="sr-Latn-RS"/>
        </w:rPr>
        <w:t>4.4 i 5.2). Prim</w:t>
      </w:r>
      <w:r w:rsidR="00A8726C" w:rsidRPr="00234ECD">
        <w:rPr>
          <w:rFonts w:eastAsia="Calibri"/>
          <w:sz w:val="22"/>
          <w:szCs w:val="22"/>
          <w:lang w:val="sr-Latn-RS"/>
        </w:rPr>
        <w:t>j</w:t>
      </w:r>
      <w:r w:rsidRPr="00234ECD">
        <w:rPr>
          <w:rFonts w:eastAsia="Calibri"/>
          <w:sz w:val="22"/>
          <w:szCs w:val="22"/>
          <w:lang w:val="sr-Latn-RS"/>
        </w:rPr>
        <w:t>ena kabozantiniba se ne preporučuje kod pacijenata sa teškim oštećenjem funkcije (Child Pugh C) jetre jer ne postoji kliničko iskustvo kod ovih pacijenata (vid</w:t>
      </w:r>
      <w:r w:rsidR="00A8726C" w:rsidRPr="00234ECD">
        <w:rPr>
          <w:rFonts w:eastAsia="Calibri"/>
          <w:sz w:val="22"/>
          <w:szCs w:val="22"/>
          <w:lang w:val="sr-Latn-RS"/>
        </w:rPr>
        <w:t>j</w:t>
      </w:r>
      <w:r w:rsidRPr="00234ECD">
        <w:rPr>
          <w:rFonts w:eastAsia="Calibri"/>
          <w:sz w:val="22"/>
          <w:szCs w:val="22"/>
          <w:lang w:val="sr-Latn-RS"/>
        </w:rPr>
        <w:t xml:space="preserve">eti </w:t>
      </w:r>
      <w:r w:rsidR="00A442F3" w:rsidRPr="00234ECD">
        <w:rPr>
          <w:rFonts w:eastAsia="Calibri"/>
          <w:sz w:val="22"/>
          <w:szCs w:val="22"/>
          <w:lang w:val="sr-Latn-RS"/>
        </w:rPr>
        <w:t xml:space="preserve">dio </w:t>
      </w:r>
      <w:r w:rsidRPr="00234ECD">
        <w:rPr>
          <w:rFonts w:eastAsia="Calibri"/>
          <w:sz w:val="22"/>
          <w:szCs w:val="22"/>
          <w:lang w:val="sr-Latn-RS"/>
        </w:rPr>
        <w:t>5.2).</w:t>
      </w:r>
    </w:p>
    <w:p w14:paraId="40B87B27" w14:textId="77777777" w:rsidR="00D857AC" w:rsidRPr="00234ECD" w:rsidRDefault="00D857AC" w:rsidP="00D857AC">
      <w:pPr>
        <w:jc w:val="both"/>
        <w:rPr>
          <w:rFonts w:eastAsia="Calibri"/>
          <w:sz w:val="22"/>
          <w:szCs w:val="22"/>
          <w:lang w:val="sr-Latn-RS"/>
        </w:rPr>
      </w:pPr>
    </w:p>
    <w:p w14:paraId="00595732" w14:textId="77777777" w:rsidR="00D857AC" w:rsidRPr="00234ECD" w:rsidRDefault="00D857AC" w:rsidP="00D857AC">
      <w:pPr>
        <w:jc w:val="both"/>
        <w:rPr>
          <w:rFonts w:eastAsia="Calibri"/>
          <w:i/>
          <w:sz w:val="22"/>
          <w:szCs w:val="22"/>
          <w:u w:val="single"/>
          <w:lang w:val="sr-Latn-RS"/>
        </w:rPr>
      </w:pPr>
      <w:r w:rsidRPr="00234ECD">
        <w:rPr>
          <w:rFonts w:eastAsia="Calibri"/>
          <w:i/>
          <w:sz w:val="22"/>
          <w:szCs w:val="22"/>
          <w:u w:val="single"/>
          <w:lang w:val="sr-Latn-RS"/>
        </w:rPr>
        <w:t>Oštećenje funkcije srca</w:t>
      </w:r>
    </w:p>
    <w:p w14:paraId="7E72CC56" w14:textId="77777777" w:rsidR="00D857AC" w:rsidRPr="00234ECD" w:rsidRDefault="00D857AC" w:rsidP="00D857AC">
      <w:pPr>
        <w:jc w:val="both"/>
        <w:rPr>
          <w:rFonts w:eastAsia="Calibri"/>
          <w:sz w:val="22"/>
          <w:szCs w:val="22"/>
          <w:lang w:val="sr-Latn-RS"/>
        </w:rPr>
      </w:pPr>
      <w:r w:rsidRPr="00234ECD">
        <w:rPr>
          <w:rFonts w:eastAsia="Calibri"/>
          <w:sz w:val="22"/>
          <w:szCs w:val="22"/>
          <w:lang w:val="sr-Latn-RS"/>
        </w:rPr>
        <w:t>Postoje ograničeni podaci o pacijentima sa oštećenjem funkcije srca. Nije moguće dati posebne preporuke za doziranje.</w:t>
      </w:r>
    </w:p>
    <w:p w14:paraId="151601C6" w14:textId="77777777" w:rsidR="00D857AC" w:rsidRPr="00234ECD" w:rsidRDefault="00D857AC" w:rsidP="00D857AC">
      <w:pPr>
        <w:jc w:val="both"/>
        <w:rPr>
          <w:rFonts w:eastAsia="Calibri"/>
          <w:sz w:val="22"/>
          <w:szCs w:val="22"/>
          <w:lang w:val="sr-Latn-RS"/>
        </w:rPr>
      </w:pPr>
    </w:p>
    <w:p w14:paraId="084EB477" w14:textId="77777777" w:rsidR="00D857AC" w:rsidRPr="00234ECD" w:rsidRDefault="00D857AC" w:rsidP="00D857AC">
      <w:pPr>
        <w:jc w:val="both"/>
        <w:rPr>
          <w:rFonts w:eastAsia="Calibri"/>
          <w:i/>
          <w:sz w:val="22"/>
          <w:szCs w:val="22"/>
          <w:u w:val="single"/>
          <w:lang w:val="sr-Latn-RS"/>
        </w:rPr>
      </w:pPr>
      <w:r w:rsidRPr="00234ECD">
        <w:rPr>
          <w:rFonts w:eastAsia="Calibri"/>
          <w:i/>
          <w:sz w:val="22"/>
          <w:szCs w:val="22"/>
          <w:u w:val="single"/>
          <w:lang w:val="sr-Latn-RS"/>
        </w:rPr>
        <w:t>Pedijatrijska populacija</w:t>
      </w:r>
    </w:p>
    <w:p w14:paraId="6D2F6A1E" w14:textId="26810824" w:rsidR="00D857AC" w:rsidRPr="00234ECD" w:rsidRDefault="00D857AC" w:rsidP="00D857AC">
      <w:pPr>
        <w:jc w:val="both"/>
        <w:rPr>
          <w:rFonts w:eastAsia="Calibri"/>
          <w:sz w:val="22"/>
          <w:szCs w:val="22"/>
          <w:lang w:val="sr-Latn-RS"/>
        </w:rPr>
      </w:pPr>
      <w:r w:rsidRPr="00234ECD">
        <w:rPr>
          <w:rFonts w:eastAsia="Calibri"/>
          <w:sz w:val="22"/>
          <w:szCs w:val="22"/>
          <w:lang w:val="sr-Latn-RS"/>
        </w:rPr>
        <w:t>Bezb</w:t>
      </w:r>
      <w:r w:rsidR="00A8726C" w:rsidRPr="00234ECD">
        <w:rPr>
          <w:rFonts w:eastAsia="Calibri"/>
          <w:sz w:val="22"/>
          <w:szCs w:val="22"/>
          <w:lang w:val="sr-Latn-RS"/>
        </w:rPr>
        <w:t>j</w:t>
      </w:r>
      <w:r w:rsidRPr="00234ECD">
        <w:rPr>
          <w:rFonts w:eastAsia="Calibri"/>
          <w:sz w:val="22"/>
          <w:szCs w:val="22"/>
          <w:lang w:val="sr-Latn-RS"/>
        </w:rPr>
        <w:t>ednost i efikasnost kabozantiniba kod d</w:t>
      </w:r>
      <w:r w:rsidR="00A8726C" w:rsidRPr="00234ECD">
        <w:rPr>
          <w:rFonts w:eastAsia="Calibri"/>
          <w:sz w:val="22"/>
          <w:szCs w:val="22"/>
          <w:lang w:val="sr-Latn-RS"/>
        </w:rPr>
        <w:t>j</w:t>
      </w:r>
      <w:r w:rsidRPr="00234ECD">
        <w:rPr>
          <w:rFonts w:eastAsia="Calibri"/>
          <w:sz w:val="22"/>
          <w:szCs w:val="22"/>
          <w:lang w:val="sr-Latn-RS"/>
        </w:rPr>
        <w:t xml:space="preserve">ece i adolescenata uzrasta </w:t>
      </w:r>
      <w:r w:rsidR="000837E0" w:rsidRPr="00234ECD">
        <w:rPr>
          <w:rFonts w:eastAsia="Calibri"/>
          <w:sz w:val="22"/>
          <w:szCs w:val="22"/>
          <w:lang w:val="sr-Latn-RS"/>
        </w:rPr>
        <w:t xml:space="preserve">do </w:t>
      </w:r>
      <w:r w:rsidRPr="00234ECD">
        <w:rPr>
          <w:rFonts w:eastAsia="Calibri"/>
          <w:sz w:val="22"/>
          <w:szCs w:val="22"/>
          <w:lang w:val="sr-Latn-RS"/>
        </w:rPr>
        <w:t>18 godina još uv</w:t>
      </w:r>
      <w:r w:rsidR="00A8726C" w:rsidRPr="00234ECD">
        <w:rPr>
          <w:rFonts w:eastAsia="Calibri"/>
          <w:sz w:val="22"/>
          <w:szCs w:val="22"/>
          <w:lang w:val="sr-Latn-RS"/>
        </w:rPr>
        <w:t>ij</w:t>
      </w:r>
      <w:r w:rsidRPr="00234ECD">
        <w:rPr>
          <w:rFonts w:eastAsia="Calibri"/>
          <w:sz w:val="22"/>
          <w:szCs w:val="22"/>
          <w:lang w:val="sr-Latn-RS"/>
        </w:rPr>
        <w:t>ek ni</w:t>
      </w:r>
      <w:r w:rsidR="005C59B4" w:rsidRPr="00234ECD">
        <w:rPr>
          <w:rFonts w:eastAsia="Calibri"/>
          <w:sz w:val="22"/>
          <w:szCs w:val="22"/>
          <w:lang w:val="sr-Latn-RS"/>
        </w:rPr>
        <w:t>je</w:t>
      </w:r>
      <w:r w:rsidRPr="00234ECD">
        <w:rPr>
          <w:rFonts w:eastAsia="Calibri"/>
          <w:sz w:val="22"/>
          <w:szCs w:val="22"/>
          <w:lang w:val="sr-Latn-RS"/>
        </w:rPr>
        <w:t xml:space="preserve">su utvrđene. </w:t>
      </w:r>
      <w:r w:rsidR="00202F80" w:rsidRPr="00234ECD">
        <w:rPr>
          <w:rFonts w:eastAsia="Calibri"/>
          <w:sz w:val="22"/>
          <w:szCs w:val="22"/>
          <w:lang w:val="sr-Latn-RS"/>
        </w:rPr>
        <w:t xml:space="preserve">Trenutno dostupni podaci opisani su u </w:t>
      </w:r>
      <w:r w:rsidR="005C59B4" w:rsidRPr="00234ECD">
        <w:rPr>
          <w:rFonts w:eastAsia="Calibri"/>
          <w:sz w:val="22"/>
          <w:szCs w:val="22"/>
          <w:lang w:val="sr-Latn-RS"/>
        </w:rPr>
        <w:t xml:space="preserve">djelovima </w:t>
      </w:r>
      <w:r w:rsidR="00202F80" w:rsidRPr="00234ECD">
        <w:rPr>
          <w:rFonts w:eastAsia="Calibri"/>
          <w:sz w:val="22"/>
          <w:szCs w:val="22"/>
          <w:lang w:val="sr-Latn-RS"/>
        </w:rPr>
        <w:t>4.8, 5.1 i 5.2, ali se ne može dati preporuka o doziranju.</w:t>
      </w:r>
    </w:p>
    <w:p w14:paraId="2614DDDC" w14:textId="77777777" w:rsidR="00202F80" w:rsidRPr="00234ECD" w:rsidRDefault="00202F80" w:rsidP="00D857AC">
      <w:pPr>
        <w:jc w:val="both"/>
        <w:rPr>
          <w:rFonts w:eastAsia="Calibri"/>
          <w:sz w:val="22"/>
          <w:szCs w:val="22"/>
          <w:lang w:val="sr-Latn-RS"/>
        </w:rPr>
      </w:pPr>
    </w:p>
    <w:p w14:paraId="4F06F423" w14:textId="7B7AD184" w:rsidR="00D857AC" w:rsidRPr="00234ECD" w:rsidRDefault="00D857AC" w:rsidP="00D857AC">
      <w:pPr>
        <w:jc w:val="both"/>
        <w:rPr>
          <w:rFonts w:eastAsia="Calibri"/>
          <w:iCs/>
          <w:sz w:val="22"/>
          <w:szCs w:val="22"/>
          <w:u w:val="single"/>
          <w:lang w:val="sr-Latn-RS"/>
        </w:rPr>
      </w:pPr>
      <w:r w:rsidRPr="00234ECD">
        <w:rPr>
          <w:rFonts w:eastAsia="Calibri"/>
          <w:iCs/>
          <w:sz w:val="22"/>
          <w:szCs w:val="22"/>
          <w:u w:val="single"/>
          <w:lang w:val="sr-Latn-RS"/>
        </w:rPr>
        <w:t>Način primjene</w:t>
      </w:r>
    </w:p>
    <w:p w14:paraId="58D0CAA4" w14:textId="75BE194E" w:rsidR="00D857AC" w:rsidRPr="00234ECD" w:rsidRDefault="00D857AC" w:rsidP="00D857AC">
      <w:pPr>
        <w:jc w:val="both"/>
        <w:rPr>
          <w:rFonts w:eastAsia="Calibri"/>
          <w:sz w:val="22"/>
          <w:szCs w:val="22"/>
          <w:lang w:val="sr-Latn-RS"/>
        </w:rPr>
      </w:pPr>
      <w:r w:rsidRPr="00234ECD">
        <w:rPr>
          <w:rFonts w:eastAsia="Calibri"/>
          <w:sz w:val="22"/>
          <w:szCs w:val="22"/>
          <w:lang w:val="sr-Latn-RS"/>
        </w:rPr>
        <w:t>L</w:t>
      </w:r>
      <w:r w:rsidR="00A8726C" w:rsidRPr="00234ECD">
        <w:rPr>
          <w:rFonts w:eastAsia="Calibri"/>
          <w:sz w:val="22"/>
          <w:szCs w:val="22"/>
          <w:lang w:val="sr-Latn-RS"/>
        </w:rPr>
        <w:t>ij</w:t>
      </w:r>
      <w:r w:rsidRPr="00234ECD">
        <w:rPr>
          <w:rFonts w:eastAsia="Calibri"/>
          <w:sz w:val="22"/>
          <w:szCs w:val="22"/>
          <w:lang w:val="sr-Latn-RS"/>
        </w:rPr>
        <w:t>ek Cabometyx je nam</w:t>
      </w:r>
      <w:r w:rsidR="00A8726C" w:rsidRPr="00234ECD">
        <w:rPr>
          <w:rFonts w:eastAsia="Calibri"/>
          <w:sz w:val="22"/>
          <w:szCs w:val="22"/>
          <w:lang w:val="sr-Latn-RS"/>
        </w:rPr>
        <w:t>ij</w:t>
      </w:r>
      <w:r w:rsidRPr="00234ECD">
        <w:rPr>
          <w:rFonts w:eastAsia="Calibri"/>
          <w:sz w:val="22"/>
          <w:szCs w:val="22"/>
          <w:lang w:val="sr-Latn-RS"/>
        </w:rPr>
        <w:t>enjen za oralnu prim</w:t>
      </w:r>
      <w:r w:rsidR="00A8726C" w:rsidRPr="00234ECD">
        <w:rPr>
          <w:rFonts w:eastAsia="Calibri"/>
          <w:sz w:val="22"/>
          <w:szCs w:val="22"/>
          <w:lang w:val="sr-Latn-RS"/>
        </w:rPr>
        <w:t>j</w:t>
      </w:r>
      <w:r w:rsidRPr="00234ECD">
        <w:rPr>
          <w:rFonts w:eastAsia="Calibri"/>
          <w:sz w:val="22"/>
          <w:szCs w:val="22"/>
          <w:lang w:val="sr-Latn-RS"/>
        </w:rPr>
        <w:t>enu. Tablete treba progutati c</w:t>
      </w:r>
      <w:r w:rsidR="00A8726C" w:rsidRPr="00234ECD">
        <w:rPr>
          <w:rFonts w:eastAsia="Calibri"/>
          <w:sz w:val="22"/>
          <w:szCs w:val="22"/>
          <w:lang w:val="sr-Latn-RS"/>
        </w:rPr>
        <w:t>ij</w:t>
      </w:r>
      <w:r w:rsidRPr="00234ECD">
        <w:rPr>
          <w:rFonts w:eastAsia="Calibri"/>
          <w:sz w:val="22"/>
          <w:szCs w:val="22"/>
          <w:lang w:val="sr-Latn-RS"/>
        </w:rPr>
        <w:t>ele i ne drobiti ih. Pacijente treba posav</w:t>
      </w:r>
      <w:r w:rsidR="00A8726C" w:rsidRPr="00234ECD">
        <w:rPr>
          <w:rFonts w:eastAsia="Calibri"/>
          <w:sz w:val="22"/>
          <w:szCs w:val="22"/>
          <w:lang w:val="sr-Latn-RS"/>
        </w:rPr>
        <w:t>j</w:t>
      </w:r>
      <w:r w:rsidRPr="00234ECD">
        <w:rPr>
          <w:rFonts w:eastAsia="Calibri"/>
          <w:sz w:val="22"/>
          <w:szCs w:val="22"/>
          <w:lang w:val="sr-Latn-RS"/>
        </w:rPr>
        <w:t>etovati da ništa ne jedu najmanje 2 sata pr</w:t>
      </w:r>
      <w:r w:rsidR="00A8726C" w:rsidRPr="00234ECD">
        <w:rPr>
          <w:rFonts w:eastAsia="Calibri"/>
          <w:sz w:val="22"/>
          <w:szCs w:val="22"/>
          <w:lang w:val="sr-Latn-RS"/>
        </w:rPr>
        <w:t>ij</w:t>
      </w:r>
      <w:r w:rsidRPr="00234ECD">
        <w:rPr>
          <w:rFonts w:eastAsia="Calibri"/>
          <w:sz w:val="22"/>
          <w:szCs w:val="22"/>
          <w:lang w:val="sr-Latn-RS"/>
        </w:rPr>
        <w:t>e i jedan sat posl</w:t>
      </w:r>
      <w:r w:rsidR="00A8726C" w:rsidRPr="00234ECD">
        <w:rPr>
          <w:rFonts w:eastAsia="Calibri"/>
          <w:sz w:val="22"/>
          <w:szCs w:val="22"/>
          <w:lang w:val="sr-Latn-RS"/>
        </w:rPr>
        <w:t>ij</w:t>
      </w:r>
      <w:r w:rsidRPr="00234ECD">
        <w:rPr>
          <w:rFonts w:eastAsia="Calibri"/>
          <w:sz w:val="22"/>
          <w:szCs w:val="22"/>
          <w:lang w:val="sr-Latn-RS"/>
        </w:rPr>
        <w:t>e uzimanja l</w:t>
      </w:r>
      <w:r w:rsidR="00A8726C" w:rsidRPr="00234ECD">
        <w:rPr>
          <w:rFonts w:eastAsia="Calibri"/>
          <w:sz w:val="22"/>
          <w:szCs w:val="22"/>
          <w:lang w:val="sr-Latn-RS"/>
        </w:rPr>
        <w:t>ij</w:t>
      </w:r>
      <w:r w:rsidRPr="00234ECD">
        <w:rPr>
          <w:rFonts w:eastAsia="Calibri"/>
          <w:sz w:val="22"/>
          <w:szCs w:val="22"/>
          <w:lang w:val="sr-Latn-RS"/>
        </w:rPr>
        <w:t>eka Cabometyx.</w:t>
      </w:r>
    </w:p>
    <w:p w14:paraId="1ED391EC" w14:textId="77777777" w:rsidR="00452E9D" w:rsidRPr="00234ECD" w:rsidRDefault="00452E9D" w:rsidP="00480FB1">
      <w:pPr>
        <w:tabs>
          <w:tab w:val="left" w:pos="540"/>
          <w:tab w:val="left" w:pos="569"/>
        </w:tabs>
        <w:rPr>
          <w:bCs/>
          <w:sz w:val="22"/>
          <w:szCs w:val="22"/>
          <w:lang w:val="sr-Latn-RS"/>
        </w:rPr>
      </w:pPr>
    </w:p>
    <w:p w14:paraId="3591D4C4" w14:textId="1A84196E" w:rsidR="00411B4B" w:rsidRPr="00234ECD" w:rsidRDefault="00411B4B" w:rsidP="00480FB1">
      <w:pPr>
        <w:tabs>
          <w:tab w:val="left" w:pos="540"/>
          <w:tab w:val="left" w:pos="569"/>
        </w:tabs>
        <w:rPr>
          <w:b/>
          <w:bCs/>
          <w:sz w:val="22"/>
          <w:szCs w:val="22"/>
          <w:lang w:val="sr-Latn-RS"/>
        </w:rPr>
      </w:pPr>
      <w:r w:rsidRPr="00234ECD">
        <w:rPr>
          <w:b/>
          <w:bCs/>
          <w:sz w:val="22"/>
          <w:szCs w:val="22"/>
          <w:lang w:val="sr-Latn-RS"/>
        </w:rPr>
        <w:t xml:space="preserve">4.3. </w:t>
      </w:r>
      <w:r w:rsidR="00480FB1" w:rsidRPr="00234ECD">
        <w:rPr>
          <w:b/>
          <w:bCs/>
          <w:sz w:val="22"/>
          <w:szCs w:val="22"/>
          <w:lang w:val="sr-Latn-RS"/>
        </w:rPr>
        <w:tab/>
      </w:r>
      <w:r w:rsidRPr="00234ECD">
        <w:rPr>
          <w:b/>
          <w:bCs/>
          <w:sz w:val="22"/>
          <w:szCs w:val="22"/>
          <w:lang w:val="sr-Latn-RS"/>
        </w:rPr>
        <w:t>Kontraindikacije</w:t>
      </w:r>
    </w:p>
    <w:p w14:paraId="58D03FA4" w14:textId="77777777" w:rsidR="00D857AC" w:rsidRPr="00234ECD" w:rsidRDefault="00D857AC" w:rsidP="00480FB1">
      <w:pPr>
        <w:tabs>
          <w:tab w:val="left" w:pos="540"/>
          <w:tab w:val="left" w:pos="569"/>
        </w:tabs>
        <w:rPr>
          <w:b/>
          <w:bCs/>
          <w:sz w:val="22"/>
          <w:szCs w:val="22"/>
          <w:lang w:val="sr-Latn-RS"/>
        </w:rPr>
      </w:pPr>
    </w:p>
    <w:p w14:paraId="57A6D09E" w14:textId="4AA46436" w:rsidR="00D857AC" w:rsidRPr="00234ECD" w:rsidRDefault="00D857AC" w:rsidP="00D857AC">
      <w:pPr>
        <w:jc w:val="both"/>
        <w:rPr>
          <w:rFonts w:eastAsia="Calibri"/>
          <w:sz w:val="22"/>
          <w:szCs w:val="22"/>
          <w:lang w:val="sr-Latn-RS"/>
        </w:rPr>
      </w:pPr>
      <w:r w:rsidRPr="00234ECD">
        <w:rPr>
          <w:rFonts w:eastAsia="Calibri"/>
          <w:sz w:val="22"/>
          <w:szCs w:val="22"/>
          <w:lang w:val="sr-Latn-RS"/>
        </w:rPr>
        <w:t>Preos</w:t>
      </w:r>
      <w:r w:rsidR="00727299" w:rsidRPr="00234ECD">
        <w:rPr>
          <w:rFonts w:eastAsia="Calibri"/>
          <w:sz w:val="22"/>
          <w:szCs w:val="22"/>
          <w:lang w:val="sr-Latn-RS"/>
        </w:rPr>
        <w:t>j</w:t>
      </w:r>
      <w:r w:rsidRPr="00234ECD">
        <w:rPr>
          <w:rFonts w:eastAsia="Calibri"/>
          <w:sz w:val="22"/>
          <w:szCs w:val="22"/>
          <w:lang w:val="sr-Latn-RS"/>
        </w:rPr>
        <w:t xml:space="preserve">etljivost na aktivnu supstancu ili na bilo koju od pomoćnih supstanci navedenih u </w:t>
      </w:r>
      <w:r w:rsidR="00AB45E3" w:rsidRPr="00234ECD">
        <w:rPr>
          <w:rFonts w:eastAsia="Calibri"/>
          <w:sz w:val="22"/>
          <w:szCs w:val="22"/>
          <w:lang w:val="sr-Latn-RS"/>
        </w:rPr>
        <w:t xml:space="preserve">dijelu </w:t>
      </w:r>
      <w:r w:rsidRPr="00234ECD">
        <w:rPr>
          <w:rFonts w:eastAsia="Calibri"/>
          <w:sz w:val="22"/>
          <w:szCs w:val="22"/>
          <w:lang w:val="sr-Latn-RS"/>
        </w:rPr>
        <w:t>6.1.</w:t>
      </w:r>
    </w:p>
    <w:p w14:paraId="369C285D" w14:textId="77777777" w:rsidR="0072020E" w:rsidRPr="00234ECD" w:rsidRDefault="0072020E" w:rsidP="00480FB1">
      <w:pPr>
        <w:tabs>
          <w:tab w:val="left" w:pos="540"/>
          <w:tab w:val="left" w:pos="569"/>
        </w:tabs>
        <w:rPr>
          <w:bCs/>
          <w:sz w:val="22"/>
          <w:szCs w:val="22"/>
          <w:lang w:val="sr-Latn-RS"/>
        </w:rPr>
      </w:pPr>
    </w:p>
    <w:p w14:paraId="1FC5445D" w14:textId="697072B2" w:rsidR="00411B4B" w:rsidRPr="00234ECD" w:rsidRDefault="00411B4B" w:rsidP="00480FB1">
      <w:pPr>
        <w:tabs>
          <w:tab w:val="left" w:pos="540"/>
          <w:tab w:val="left" w:pos="569"/>
        </w:tabs>
        <w:rPr>
          <w:b/>
          <w:bCs/>
          <w:sz w:val="22"/>
          <w:szCs w:val="22"/>
          <w:lang w:val="sr-Latn-RS"/>
        </w:rPr>
      </w:pPr>
      <w:r w:rsidRPr="00234ECD">
        <w:rPr>
          <w:b/>
          <w:bCs/>
          <w:sz w:val="22"/>
          <w:szCs w:val="22"/>
          <w:lang w:val="sr-Latn-RS"/>
        </w:rPr>
        <w:t xml:space="preserve">4.4. </w:t>
      </w:r>
      <w:r w:rsidR="00480FB1" w:rsidRPr="00234ECD">
        <w:rPr>
          <w:b/>
          <w:bCs/>
          <w:sz w:val="22"/>
          <w:szCs w:val="22"/>
          <w:lang w:val="sr-Latn-RS"/>
        </w:rPr>
        <w:tab/>
      </w:r>
      <w:r w:rsidRPr="00234ECD">
        <w:rPr>
          <w:b/>
          <w:bCs/>
          <w:sz w:val="22"/>
          <w:szCs w:val="22"/>
          <w:lang w:val="sr-Latn-RS"/>
        </w:rPr>
        <w:t>Posebna upozorenja i mjere opreza pri upotrebi lijeka</w:t>
      </w:r>
    </w:p>
    <w:p w14:paraId="19ED0BB4" w14:textId="77777777" w:rsidR="00D857AC" w:rsidRPr="00234ECD" w:rsidRDefault="00D857AC" w:rsidP="00480FB1">
      <w:pPr>
        <w:tabs>
          <w:tab w:val="left" w:pos="540"/>
          <w:tab w:val="left" w:pos="569"/>
        </w:tabs>
        <w:rPr>
          <w:b/>
          <w:bCs/>
          <w:sz w:val="22"/>
          <w:szCs w:val="22"/>
          <w:lang w:val="sr-Latn-RS"/>
        </w:rPr>
      </w:pPr>
    </w:p>
    <w:p w14:paraId="71269330" w14:textId="074F1A2C" w:rsidR="00D857AC" w:rsidRPr="00234ECD" w:rsidRDefault="00D857AC" w:rsidP="00D857AC">
      <w:pPr>
        <w:jc w:val="both"/>
        <w:rPr>
          <w:rFonts w:eastAsia="Calibri"/>
          <w:sz w:val="22"/>
          <w:szCs w:val="22"/>
          <w:lang w:val="sr-Latn-RS"/>
        </w:rPr>
      </w:pPr>
      <w:r w:rsidRPr="00234ECD">
        <w:rPr>
          <w:rFonts w:eastAsia="Calibri"/>
          <w:sz w:val="22"/>
          <w:szCs w:val="22"/>
          <w:lang w:val="sr-Latn-RS"/>
        </w:rPr>
        <w:t>S obzirom na to da većina neželjenih reakcija nastupa u ranoj fazi l</w:t>
      </w:r>
      <w:r w:rsidR="00727299" w:rsidRPr="00234ECD">
        <w:rPr>
          <w:rFonts w:eastAsia="Calibri"/>
          <w:sz w:val="22"/>
          <w:szCs w:val="22"/>
          <w:lang w:val="sr-Latn-RS"/>
        </w:rPr>
        <w:t>ij</w:t>
      </w:r>
      <w:r w:rsidRPr="00234ECD">
        <w:rPr>
          <w:rFonts w:eastAsia="Calibri"/>
          <w:sz w:val="22"/>
          <w:szCs w:val="22"/>
          <w:lang w:val="sr-Latn-RS"/>
        </w:rPr>
        <w:t>ečenja, l</w:t>
      </w:r>
      <w:r w:rsidR="00727299" w:rsidRPr="00234ECD">
        <w:rPr>
          <w:rFonts w:eastAsia="Calibri"/>
          <w:sz w:val="22"/>
          <w:szCs w:val="22"/>
          <w:lang w:val="sr-Latn-RS"/>
        </w:rPr>
        <w:t>j</w:t>
      </w:r>
      <w:r w:rsidRPr="00234ECD">
        <w:rPr>
          <w:rFonts w:eastAsia="Calibri"/>
          <w:sz w:val="22"/>
          <w:szCs w:val="22"/>
          <w:lang w:val="sr-Latn-RS"/>
        </w:rPr>
        <w:t>ekar mora pažljivo da prati pacijenta tokom prvih osam ned</w:t>
      </w:r>
      <w:r w:rsidR="00727299" w:rsidRPr="00234ECD">
        <w:rPr>
          <w:rFonts w:eastAsia="Calibri"/>
          <w:sz w:val="22"/>
          <w:szCs w:val="22"/>
          <w:lang w:val="sr-Latn-RS"/>
        </w:rPr>
        <w:t>j</w:t>
      </w:r>
      <w:r w:rsidRPr="00234ECD">
        <w:rPr>
          <w:rFonts w:eastAsia="Calibri"/>
          <w:sz w:val="22"/>
          <w:szCs w:val="22"/>
          <w:lang w:val="sr-Latn-RS"/>
        </w:rPr>
        <w:t>elja terapije kako bi odredio da li je potrebno prilagođavanje doze. Neželjene reakcije koje se uglavnom javljaju rano uključuju hipokalcemiju, hipokalemiju, trombocitopeniju, hipertenziju, sindrom palmarno-plantarne eritrodizestezije (PPES), proteinuriju i gastrointestinalne (GI) događaje (bol u abdomenu, upala sluzokože, konstipacija, proliv, povraćanje).</w:t>
      </w:r>
    </w:p>
    <w:p w14:paraId="6FE97E30" w14:textId="77777777" w:rsidR="00D857AC" w:rsidRPr="00234ECD" w:rsidRDefault="00D857AC" w:rsidP="00D857AC">
      <w:pPr>
        <w:jc w:val="both"/>
        <w:rPr>
          <w:rFonts w:eastAsia="Calibri"/>
          <w:sz w:val="22"/>
          <w:szCs w:val="22"/>
          <w:lang w:val="sr-Latn-RS"/>
        </w:rPr>
      </w:pPr>
    </w:p>
    <w:p w14:paraId="6B9AEB0D" w14:textId="03BD0DA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U slučaju sumnje na neželjene reakcije, može biti potrebno privremeno prekinuti prim</w:t>
      </w:r>
      <w:r w:rsidR="00727299" w:rsidRPr="00234ECD">
        <w:rPr>
          <w:rFonts w:eastAsia="Calibri"/>
          <w:sz w:val="22"/>
          <w:szCs w:val="22"/>
          <w:u w:val="single"/>
          <w:lang w:val="sr-Latn-RS"/>
        </w:rPr>
        <w:t>j</w:t>
      </w:r>
      <w:r w:rsidRPr="00234ECD">
        <w:rPr>
          <w:rFonts w:eastAsia="Calibri"/>
          <w:sz w:val="22"/>
          <w:szCs w:val="22"/>
          <w:u w:val="single"/>
          <w:lang w:val="sr-Latn-RS"/>
        </w:rPr>
        <w:t>enu ili smanjiti dozu kabozantiniba (vid</w:t>
      </w:r>
      <w:r w:rsidR="00727299" w:rsidRPr="00234ECD">
        <w:rPr>
          <w:rFonts w:eastAsia="Calibri"/>
          <w:sz w:val="22"/>
          <w:szCs w:val="22"/>
          <w:u w:val="single"/>
          <w:lang w:val="sr-Latn-RS"/>
        </w:rPr>
        <w:t>j</w:t>
      </w:r>
      <w:r w:rsidRPr="00234ECD">
        <w:rPr>
          <w:rFonts w:eastAsia="Calibri"/>
          <w:sz w:val="22"/>
          <w:szCs w:val="22"/>
          <w:u w:val="single"/>
          <w:lang w:val="sr-Latn-RS"/>
        </w:rPr>
        <w:t xml:space="preserve">eti </w:t>
      </w:r>
      <w:r w:rsidR="00A442F3" w:rsidRPr="00234ECD">
        <w:rPr>
          <w:rFonts w:eastAsia="Calibri"/>
          <w:sz w:val="22"/>
          <w:szCs w:val="22"/>
          <w:u w:val="single"/>
          <w:lang w:val="sr-Latn-RS"/>
        </w:rPr>
        <w:t xml:space="preserve">dio </w:t>
      </w:r>
      <w:r w:rsidRPr="00234ECD">
        <w:rPr>
          <w:rFonts w:eastAsia="Calibri"/>
          <w:sz w:val="22"/>
          <w:szCs w:val="22"/>
          <w:u w:val="single"/>
          <w:lang w:val="sr-Latn-RS"/>
        </w:rPr>
        <w:t>4.2):</w:t>
      </w:r>
    </w:p>
    <w:p w14:paraId="3138360E" w14:textId="69F342F3" w:rsidR="00D857AC" w:rsidRPr="00234ECD" w:rsidRDefault="00D857AC" w:rsidP="00D857AC">
      <w:pPr>
        <w:jc w:val="both"/>
        <w:rPr>
          <w:rFonts w:eastAsia="Calibri"/>
          <w:sz w:val="22"/>
          <w:szCs w:val="22"/>
          <w:lang w:val="sr-Latn-RS"/>
        </w:rPr>
      </w:pPr>
      <w:r w:rsidRPr="00234ECD">
        <w:rPr>
          <w:rFonts w:eastAsia="Calibri"/>
          <w:i/>
          <w:iCs/>
          <w:sz w:val="22"/>
          <w:szCs w:val="22"/>
          <w:lang w:val="sr-Latn-RS"/>
        </w:rPr>
        <w:t>Kod l</w:t>
      </w:r>
      <w:r w:rsidR="00727299" w:rsidRPr="00234ECD">
        <w:rPr>
          <w:rFonts w:eastAsia="Calibri"/>
          <w:i/>
          <w:iCs/>
          <w:sz w:val="22"/>
          <w:szCs w:val="22"/>
          <w:lang w:val="sr-Latn-RS"/>
        </w:rPr>
        <w:t>ij</w:t>
      </w:r>
      <w:r w:rsidRPr="00234ECD">
        <w:rPr>
          <w:rFonts w:eastAsia="Calibri"/>
          <w:i/>
          <w:iCs/>
          <w:sz w:val="22"/>
          <w:szCs w:val="22"/>
          <w:lang w:val="sr-Latn-RS"/>
        </w:rPr>
        <w:t>ečenja karcinoma bubrežnih ćelija nakon prethodne terapije usm</w:t>
      </w:r>
      <w:r w:rsidR="00727299" w:rsidRPr="00234ECD">
        <w:rPr>
          <w:rFonts w:eastAsia="Calibri"/>
          <w:i/>
          <w:iCs/>
          <w:sz w:val="22"/>
          <w:szCs w:val="22"/>
          <w:lang w:val="sr-Latn-RS"/>
        </w:rPr>
        <w:t>j</w:t>
      </w:r>
      <w:r w:rsidRPr="00234ECD">
        <w:rPr>
          <w:rFonts w:eastAsia="Calibri"/>
          <w:i/>
          <w:iCs/>
          <w:sz w:val="22"/>
          <w:szCs w:val="22"/>
          <w:lang w:val="sr-Latn-RS"/>
        </w:rPr>
        <w:t>erene na vaskularni endotelni faktor rasta (VEGF)</w:t>
      </w:r>
      <w:r w:rsidRPr="00234ECD">
        <w:rPr>
          <w:rFonts w:eastAsia="Calibri"/>
          <w:sz w:val="22"/>
          <w:szCs w:val="22"/>
          <w:lang w:val="sr-Latn-RS"/>
        </w:rPr>
        <w:t xml:space="preserve">, doza je zbog neželjenih događaja bila smanjena kod 59,8%, a doziranje prekinuto kod 70% pacijenata koji su primali kabozantinib u pivotalnoj kliničkoj studiji (METEOR). Bila su </w:t>
      </w:r>
      <w:r w:rsidRPr="00234ECD">
        <w:rPr>
          <w:rFonts w:eastAsia="Calibri"/>
          <w:sz w:val="22"/>
          <w:szCs w:val="22"/>
          <w:lang w:val="sr-Latn-RS"/>
        </w:rPr>
        <w:lastRenderedPageBreak/>
        <w:t>potrebna dva smanjenja doze kod 19,3% pacijenata. Medijana vremena do prvog smanjenja doze iznosila je 55 dana, a do prvog prekida doziranja 38 dana.</w:t>
      </w:r>
    </w:p>
    <w:p w14:paraId="547E72F4" w14:textId="77777777" w:rsidR="00D857AC" w:rsidRPr="00234ECD" w:rsidRDefault="00D857AC" w:rsidP="00D857AC">
      <w:pPr>
        <w:jc w:val="both"/>
        <w:rPr>
          <w:rFonts w:eastAsia="Calibri"/>
          <w:sz w:val="22"/>
          <w:szCs w:val="22"/>
          <w:lang w:val="sr-Latn-RS"/>
        </w:rPr>
      </w:pPr>
    </w:p>
    <w:p w14:paraId="120CD981" w14:textId="555CCD50" w:rsidR="00D857AC" w:rsidRPr="00234ECD" w:rsidRDefault="00D857AC" w:rsidP="00D857AC">
      <w:pPr>
        <w:jc w:val="both"/>
        <w:rPr>
          <w:rFonts w:eastAsia="Calibri"/>
          <w:sz w:val="22"/>
          <w:szCs w:val="22"/>
          <w:lang w:val="sr-Latn-RS"/>
        </w:rPr>
      </w:pPr>
      <w:r w:rsidRPr="00234ECD">
        <w:rPr>
          <w:rFonts w:eastAsia="Calibri"/>
          <w:i/>
          <w:iCs/>
          <w:sz w:val="22"/>
          <w:szCs w:val="22"/>
          <w:lang w:val="sr-Latn-RS"/>
        </w:rPr>
        <w:t>Kod l</w:t>
      </w:r>
      <w:r w:rsidR="00727299" w:rsidRPr="00234ECD">
        <w:rPr>
          <w:rFonts w:eastAsia="Calibri"/>
          <w:i/>
          <w:iCs/>
          <w:sz w:val="22"/>
          <w:szCs w:val="22"/>
          <w:lang w:val="sr-Latn-RS"/>
        </w:rPr>
        <w:t>ij</w:t>
      </w:r>
      <w:r w:rsidRPr="00234ECD">
        <w:rPr>
          <w:rFonts w:eastAsia="Calibri"/>
          <w:i/>
          <w:iCs/>
          <w:sz w:val="22"/>
          <w:szCs w:val="22"/>
          <w:lang w:val="sr-Latn-RS"/>
        </w:rPr>
        <w:t>ečenja prethodno netretiranog karcinoma</w:t>
      </w:r>
      <w:r w:rsidRPr="00234ECD">
        <w:rPr>
          <w:rFonts w:eastAsia="Calibri"/>
          <w:sz w:val="22"/>
          <w:szCs w:val="22"/>
          <w:lang w:val="sr-Latn-RS"/>
        </w:rPr>
        <w:t xml:space="preserve"> </w:t>
      </w:r>
      <w:r w:rsidRPr="00234ECD">
        <w:rPr>
          <w:rFonts w:eastAsia="Calibri"/>
          <w:i/>
          <w:iCs/>
          <w:sz w:val="22"/>
          <w:szCs w:val="22"/>
          <w:lang w:val="sr-Latn-RS"/>
        </w:rPr>
        <w:t>bubrežnih ćelija</w:t>
      </w:r>
      <w:r w:rsidRPr="00234ECD">
        <w:rPr>
          <w:rFonts w:eastAsia="Calibri"/>
          <w:sz w:val="22"/>
          <w:szCs w:val="22"/>
          <w:lang w:val="sr-Latn-RS"/>
        </w:rPr>
        <w:t>, doza je bila smanjena kod 46%, a doziranje prekinuto kod 73% pacijenata koji su primali kabozantinib u kliničkoj studiji (CABOSUN).</w:t>
      </w:r>
    </w:p>
    <w:p w14:paraId="1200DBB2" w14:textId="77777777" w:rsidR="00D857AC" w:rsidRPr="00234ECD" w:rsidRDefault="00D857AC" w:rsidP="00D857AC">
      <w:pPr>
        <w:jc w:val="both"/>
        <w:rPr>
          <w:rFonts w:eastAsia="Calibri"/>
          <w:sz w:val="22"/>
          <w:szCs w:val="22"/>
          <w:lang w:val="sr-Latn-RS"/>
        </w:rPr>
      </w:pPr>
    </w:p>
    <w:p w14:paraId="45F8E71F" w14:textId="2353D2DF" w:rsidR="00D857AC" w:rsidRPr="00234ECD" w:rsidRDefault="00D857AC" w:rsidP="00D857AC">
      <w:pPr>
        <w:jc w:val="both"/>
        <w:rPr>
          <w:rFonts w:eastAsia="Calibri"/>
          <w:sz w:val="22"/>
          <w:szCs w:val="22"/>
          <w:lang w:val="sr-Latn-RS"/>
        </w:rPr>
      </w:pPr>
      <w:r w:rsidRPr="00234ECD">
        <w:rPr>
          <w:rFonts w:eastAsia="Calibri"/>
          <w:i/>
          <w:iCs/>
          <w:sz w:val="22"/>
          <w:szCs w:val="22"/>
          <w:lang w:val="sr-Latn-RS"/>
        </w:rPr>
        <w:t>Kada se kabozantinib daje u kombinaciji s nivolumabom kao prva linija l</w:t>
      </w:r>
      <w:r w:rsidR="00727299" w:rsidRPr="00234ECD">
        <w:rPr>
          <w:rFonts w:eastAsia="Calibri"/>
          <w:i/>
          <w:iCs/>
          <w:sz w:val="22"/>
          <w:szCs w:val="22"/>
          <w:lang w:val="sr-Latn-RS"/>
        </w:rPr>
        <w:t>ij</w:t>
      </w:r>
      <w:r w:rsidRPr="00234ECD">
        <w:rPr>
          <w:rFonts w:eastAsia="Calibri"/>
          <w:i/>
          <w:iCs/>
          <w:sz w:val="22"/>
          <w:szCs w:val="22"/>
          <w:lang w:val="sr-Latn-RS"/>
        </w:rPr>
        <w:t>ečenja kod uznapredovalog karcinoma bubrežnih ćelija</w:t>
      </w:r>
      <w:r w:rsidRPr="00234ECD">
        <w:rPr>
          <w:rFonts w:eastAsia="Calibri"/>
          <w:sz w:val="22"/>
          <w:szCs w:val="22"/>
          <w:lang w:val="sr-Latn-RS"/>
        </w:rPr>
        <w:t>, doza je zbog neželjenih događaja bila smanjena kod 54,1%, a doziranje prekinuto kod 73,4% pacijenata koji su primali kabozantinib u kliničkoj studiji (CA2099ER). Bila su potrebna dva smanjenja doze kod 9,4% pacijenata. Medijana vremena do prvog smanjenja doze iznosila je 106 dana, a do prvog prekida doziranja 68 dana.</w:t>
      </w:r>
    </w:p>
    <w:p w14:paraId="78C77796" w14:textId="77777777" w:rsidR="00D857AC" w:rsidRPr="00234ECD" w:rsidRDefault="00D857AC" w:rsidP="00D857AC">
      <w:pPr>
        <w:jc w:val="both"/>
        <w:rPr>
          <w:rFonts w:eastAsia="Calibri"/>
          <w:sz w:val="22"/>
          <w:szCs w:val="22"/>
          <w:lang w:val="sr-Latn-RS"/>
        </w:rPr>
      </w:pPr>
    </w:p>
    <w:p w14:paraId="1743A1D7" w14:textId="46A77ECC" w:rsidR="00D857AC" w:rsidRPr="00234ECD" w:rsidRDefault="00D857AC" w:rsidP="00D857AC">
      <w:pPr>
        <w:jc w:val="both"/>
        <w:rPr>
          <w:bCs/>
          <w:iCs/>
          <w:sz w:val="22"/>
          <w:szCs w:val="22"/>
          <w:lang w:val="sr-Latn-RS"/>
        </w:rPr>
      </w:pPr>
      <w:r w:rsidRPr="00234ECD">
        <w:rPr>
          <w:bCs/>
          <w:i/>
          <w:sz w:val="22"/>
          <w:szCs w:val="22"/>
          <w:lang w:val="sr-Latn-RS"/>
        </w:rPr>
        <w:t>Kod l</w:t>
      </w:r>
      <w:r w:rsidR="00727299" w:rsidRPr="00234ECD">
        <w:rPr>
          <w:bCs/>
          <w:i/>
          <w:sz w:val="22"/>
          <w:szCs w:val="22"/>
          <w:lang w:val="sr-Latn-RS"/>
        </w:rPr>
        <w:t>ij</w:t>
      </w:r>
      <w:r w:rsidRPr="00234ECD">
        <w:rPr>
          <w:bCs/>
          <w:i/>
          <w:sz w:val="22"/>
          <w:szCs w:val="22"/>
          <w:lang w:val="sr-Latn-RS"/>
        </w:rPr>
        <w:t>ečenja hepatocelularnog karcinoma nakon prethodne sistemske terapije</w:t>
      </w:r>
      <w:r w:rsidRPr="00234ECD">
        <w:rPr>
          <w:bCs/>
          <w:iCs/>
          <w:sz w:val="22"/>
          <w:szCs w:val="22"/>
          <w:lang w:val="sr-Latn-RS"/>
        </w:rPr>
        <w:t>, doza je bila smanjena kod 62 %, a doziranje prekinuto kod 84% pacijenata l</w:t>
      </w:r>
      <w:r w:rsidR="00727299" w:rsidRPr="00234ECD">
        <w:rPr>
          <w:bCs/>
          <w:iCs/>
          <w:sz w:val="22"/>
          <w:szCs w:val="22"/>
          <w:lang w:val="sr-Latn-RS"/>
        </w:rPr>
        <w:t>ij</w:t>
      </w:r>
      <w:r w:rsidRPr="00234ECD">
        <w:rPr>
          <w:bCs/>
          <w:iCs/>
          <w:sz w:val="22"/>
          <w:szCs w:val="22"/>
          <w:lang w:val="sr-Latn-RS"/>
        </w:rPr>
        <w:t>ečenih kabozantinibom u kliničkoj studiji (CELESTIAL). Dva smanjenja doze bila su potrebna kod 33% pacijenata. Medijana vremena do prvog smanjenja doze iznosila je 38 dana, a do prvog prekida doziranja 28 dana. Preporučuje se pažljivo praćenje pacijenata sa blagim ili um</w:t>
      </w:r>
      <w:r w:rsidR="00727299" w:rsidRPr="00234ECD">
        <w:rPr>
          <w:bCs/>
          <w:iCs/>
          <w:sz w:val="22"/>
          <w:szCs w:val="22"/>
          <w:lang w:val="sr-Latn-RS"/>
        </w:rPr>
        <w:t>j</w:t>
      </w:r>
      <w:r w:rsidRPr="00234ECD">
        <w:rPr>
          <w:bCs/>
          <w:iCs/>
          <w:sz w:val="22"/>
          <w:szCs w:val="22"/>
          <w:lang w:val="sr-Latn-RS"/>
        </w:rPr>
        <w:t xml:space="preserve">erenim oštećenjem funkcije jetre. </w:t>
      </w:r>
    </w:p>
    <w:p w14:paraId="18A481C3" w14:textId="77777777" w:rsidR="00D857AC" w:rsidRPr="00234ECD" w:rsidRDefault="00D857AC" w:rsidP="00D857AC">
      <w:pPr>
        <w:rPr>
          <w:bCs/>
          <w:iCs/>
          <w:sz w:val="22"/>
          <w:szCs w:val="22"/>
          <w:lang w:val="sr-Latn-RS"/>
        </w:rPr>
      </w:pPr>
    </w:p>
    <w:p w14:paraId="06A448F9" w14:textId="6CEB64DD" w:rsidR="00DB4F73" w:rsidRPr="00234ECD" w:rsidRDefault="00DB4F73" w:rsidP="000803EC">
      <w:pPr>
        <w:jc w:val="both"/>
        <w:rPr>
          <w:bCs/>
          <w:iCs/>
          <w:sz w:val="22"/>
          <w:szCs w:val="22"/>
          <w:lang w:val="sr-Latn-RS"/>
        </w:rPr>
      </w:pPr>
      <w:r w:rsidRPr="00234ECD">
        <w:rPr>
          <w:bCs/>
          <w:i/>
          <w:sz w:val="22"/>
          <w:szCs w:val="22"/>
          <w:lang w:val="sr-Latn-RS"/>
        </w:rPr>
        <w:t>Kod l</w:t>
      </w:r>
      <w:r w:rsidR="005600B3" w:rsidRPr="00234ECD">
        <w:rPr>
          <w:bCs/>
          <w:i/>
          <w:sz w:val="22"/>
          <w:szCs w:val="22"/>
          <w:lang w:val="sr-Latn-RS"/>
        </w:rPr>
        <w:t>ij</w:t>
      </w:r>
      <w:r w:rsidRPr="00234ECD">
        <w:rPr>
          <w:bCs/>
          <w:i/>
          <w:sz w:val="22"/>
          <w:szCs w:val="22"/>
          <w:lang w:val="sr-Latn-RS"/>
        </w:rPr>
        <w:t>ečenja diferenciranog karcinoma štit</w:t>
      </w:r>
      <w:r w:rsidR="004E11D9" w:rsidRPr="00234ECD">
        <w:rPr>
          <w:bCs/>
          <w:i/>
          <w:sz w:val="22"/>
          <w:szCs w:val="22"/>
          <w:lang w:val="sr-Latn-RS"/>
        </w:rPr>
        <w:t>aste</w:t>
      </w:r>
      <w:r w:rsidRPr="00234ECD">
        <w:rPr>
          <w:bCs/>
          <w:i/>
          <w:sz w:val="22"/>
          <w:szCs w:val="22"/>
          <w:lang w:val="sr-Latn-RS"/>
        </w:rPr>
        <w:t xml:space="preserve"> žl</w:t>
      </w:r>
      <w:r w:rsidR="005600B3" w:rsidRPr="00234ECD">
        <w:rPr>
          <w:bCs/>
          <w:i/>
          <w:sz w:val="22"/>
          <w:szCs w:val="22"/>
          <w:lang w:val="sr-Latn-RS"/>
        </w:rPr>
        <w:t>ij</w:t>
      </w:r>
      <w:r w:rsidRPr="00234ECD">
        <w:rPr>
          <w:bCs/>
          <w:i/>
          <w:sz w:val="22"/>
          <w:szCs w:val="22"/>
          <w:lang w:val="sr-Latn-RS"/>
        </w:rPr>
        <w:t>ezde</w:t>
      </w:r>
      <w:r w:rsidRPr="00234ECD">
        <w:rPr>
          <w:bCs/>
          <w:iCs/>
          <w:sz w:val="22"/>
          <w:szCs w:val="22"/>
          <w:lang w:val="sr-Latn-RS"/>
        </w:rPr>
        <w:t xml:space="preserve">, doza je bila smanjena kod </w:t>
      </w:r>
      <w:r w:rsidR="00955B88" w:rsidRPr="00234ECD">
        <w:rPr>
          <w:bCs/>
          <w:iCs/>
          <w:sz w:val="22"/>
          <w:szCs w:val="22"/>
          <w:lang w:val="sr-Latn-RS"/>
        </w:rPr>
        <w:t>67</w:t>
      </w:r>
      <w:r w:rsidRPr="00234ECD">
        <w:rPr>
          <w:bCs/>
          <w:iCs/>
          <w:sz w:val="22"/>
          <w:szCs w:val="22"/>
          <w:lang w:val="sr-Latn-RS"/>
        </w:rPr>
        <w:t xml:space="preserve"> %, a doziranje prekinuto kod 7</w:t>
      </w:r>
      <w:r w:rsidR="00955B88" w:rsidRPr="00234ECD">
        <w:rPr>
          <w:bCs/>
          <w:iCs/>
          <w:sz w:val="22"/>
          <w:szCs w:val="22"/>
          <w:lang w:val="sr-Latn-RS"/>
        </w:rPr>
        <w:t>1</w:t>
      </w:r>
      <w:r w:rsidRPr="00234ECD">
        <w:rPr>
          <w:bCs/>
          <w:iCs/>
          <w:sz w:val="22"/>
          <w:szCs w:val="22"/>
          <w:lang w:val="sr-Latn-RS"/>
        </w:rPr>
        <w:t xml:space="preserve"> % pacijenata l</w:t>
      </w:r>
      <w:r w:rsidR="005600B3" w:rsidRPr="00234ECD">
        <w:rPr>
          <w:bCs/>
          <w:iCs/>
          <w:sz w:val="22"/>
          <w:szCs w:val="22"/>
          <w:lang w:val="sr-Latn-RS"/>
        </w:rPr>
        <w:t>ij</w:t>
      </w:r>
      <w:r w:rsidRPr="00234ECD">
        <w:rPr>
          <w:bCs/>
          <w:iCs/>
          <w:sz w:val="22"/>
          <w:szCs w:val="22"/>
          <w:lang w:val="sr-Latn-RS"/>
        </w:rPr>
        <w:t xml:space="preserve">ečenih kabozantinibom u kliničkoj studiji (COSMIC-311). Dva smanjenja doze bila su potrebna kod </w:t>
      </w:r>
      <w:r w:rsidR="00955B88" w:rsidRPr="00234ECD">
        <w:rPr>
          <w:bCs/>
          <w:iCs/>
          <w:sz w:val="22"/>
          <w:szCs w:val="22"/>
          <w:lang w:val="sr-Latn-RS"/>
        </w:rPr>
        <w:t>33</w:t>
      </w:r>
      <w:r w:rsidRPr="00234ECD">
        <w:rPr>
          <w:bCs/>
          <w:iCs/>
          <w:sz w:val="22"/>
          <w:szCs w:val="22"/>
          <w:lang w:val="sr-Latn-RS"/>
        </w:rPr>
        <w:t xml:space="preserve"> % pacijenata. Medijana vremena do prvog smanjenja doze iznosila je 57 dana, a do prvog prekida doziranja 3</w:t>
      </w:r>
      <w:r w:rsidR="00955B88" w:rsidRPr="00234ECD">
        <w:rPr>
          <w:bCs/>
          <w:iCs/>
          <w:sz w:val="22"/>
          <w:szCs w:val="22"/>
          <w:lang w:val="sr-Latn-RS"/>
        </w:rPr>
        <w:t>8,5</w:t>
      </w:r>
      <w:r w:rsidRPr="00234ECD">
        <w:rPr>
          <w:bCs/>
          <w:iCs/>
          <w:sz w:val="22"/>
          <w:szCs w:val="22"/>
          <w:lang w:val="sr-Latn-RS"/>
        </w:rPr>
        <w:t xml:space="preserve"> dana.</w:t>
      </w:r>
    </w:p>
    <w:p w14:paraId="7EE3AABC" w14:textId="77777777" w:rsidR="00DB4F73" w:rsidRPr="00234ECD" w:rsidRDefault="00DB4F73" w:rsidP="00D857AC">
      <w:pPr>
        <w:rPr>
          <w:bCs/>
          <w:iCs/>
          <w:sz w:val="22"/>
          <w:szCs w:val="22"/>
          <w:lang w:val="sr-Latn-RS"/>
        </w:rPr>
      </w:pPr>
    </w:p>
    <w:p w14:paraId="7A12C258" w14:textId="77777777" w:rsidR="00D857AC" w:rsidRPr="00234ECD" w:rsidRDefault="00D857AC" w:rsidP="00D857AC">
      <w:pPr>
        <w:keepNext/>
        <w:rPr>
          <w:sz w:val="22"/>
          <w:szCs w:val="22"/>
          <w:u w:val="single"/>
          <w:lang w:val="sr-Latn-RS"/>
        </w:rPr>
      </w:pPr>
      <w:r w:rsidRPr="00234ECD">
        <w:rPr>
          <w:sz w:val="22"/>
          <w:szCs w:val="22"/>
          <w:u w:val="single"/>
          <w:lang w:val="sr-Latn-RS"/>
        </w:rPr>
        <w:t>Hepatotoksičnost</w:t>
      </w:r>
    </w:p>
    <w:p w14:paraId="3CB6A620" w14:textId="3C61DBEF" w:rsidR="00D857AC" w:rsidRPr="00234ECD" w:rsidRDefault="00D857AC" w:rsidP="00D857AC">
      <w:pPr>
        <w:jc w:val="both"/>
        <w:rPr>
          <w:rFonts w:eastAsia="SimSun"/>
          <w:sz w:val="22"/>
          <w:szCs w:val="22"/>
          <w:lang w:val="sr-Latn-RS"/>
        </w:rPr>
      </w:pPr>
      <w:r w:rsidRPr="00234ECD">
        <w:rPr>
          <w:rFonts w:eastAsia="SimSun"/>
          <w:sz w:val="22"/>
          <w:szCs w:val="22"/>
          <w:lang w:val="sr-Latn-RS"/>
        </w:rPr>
        <w:t>Kod pacijenata l</w:t>
      </w:r>
      <w:r w:rsidR="00727299" w:rsidRPr="00234ECD">
        <w:rPr>
          <w:rFonts w:eastAsia="SimSun"/>
          <w:sz w:val="22"/>
          <w:szCs w:val="22"/>
          <w:lang w:val="sr-Latn-RS"/>
        </w:rPr>
        <w:t>ij</w:t>
      </w:r>
      <w:r w:rsidRPr="00234ECD">
        <w:rPr>
          <w:rFonts w:eastAsia="SimSun"/>
          <w:sz w:val="22"/>
          <w:szCs w:val="22"/>
          <w:lang w:val="sr-Latn-RS"/>
        </w:rPr>
        <w:t>ečenih kabozantinibom često su bile prim</w:t>
      </w:r>
      <w:r w:rsidR="00727299" w:rsidRPr="00234ECD">
        <w:rPr>
          <w:rFonts w:eastAsia="SimSun"/>
          <w:sz w:val="22"/>
          <w:szCs w:val="22"/>
          <w:lang w:val="sr-Latn-RS"/>
        </w:rPr>
        <w:t>ij</w:t>
      </w:r>
      <w:r w:rsidRPr="00234ECD">
        <w:rPr>
          <w:rFonts w:eastAsia="SimSun"/>
          <w:sz w:val="22"/>
          <w:szCs w:val="22"/>
          <w:lang w:val="sr-Latn-RS"/>
        </w:rPr>
        <w:t>ećene abnormalnosti testova funkcije jetre (povećanja alanin aminotransferaze [ALT], aspartat aminotransferaze [AST] i bilirubina). Preporučuje se sprovođenje testova funkcije jetre (ALT, AST i bilirubin) pr</w:t>
      </w:r>
      <w:r w:rsidR="00727299" w:rsidRPr="00234ECD">
        <w:rPr>
          <w:rFonts w:eastAsia="SimSun"/>
          <w:sz w:val="22"/>
          <w:szCs w:val="22"/>
          <w:lang w:val="sr-Latn-RS"/>
        </w:rPr>
        <w:t>ij</w:t>
      </w:r>
      <w:r w:rsidRPr="00234ECD">
        <w:rPr>
          <w:rFonts w:eastAsia="SimSun"/>
          <w:sz w:val="22"/>
          <w:szCs w:val="22"/>
          <w:lang w:val="sr-Latn-RS"/>
        </w:rPr>
        <w:t>e uvođenja terapije kabozantinibom i pažljivo praćenje tokom terapije. Kod pacijenata sa pogoršanjem testova funkcije jetre za koje se smatra da je povezano sa terapijom kabozantinibom (odnosno, ako nema jasnog drugog razloga), potrebno je pratiti sav</w:t>
      </w:r>
      <w:r w:rsidR="00727299" w:rsidRPr="00234ECD">
        <w:rPr>
          <w:rFonts w:eastAsia="SimSun"/>
          <w:sz w:val="22"/>
          <w:szCs w:val="22"/>
          <w:lang w:val="sr-Latn-RS"/>
        </w:rPr>
        <w:t>j</w:t>
      </w:r>
      <w:r w:rsidRPr="00234ECD">
        <w:rPr>
          <w:rFonts w:eastAsia="SimSun"/>
          <w:sz w:val="22"/>
          <w:szCs w:val="22"/>
          <w:lang w:val="sr-Latn-RS"/>
        </w:rPr>
        <w:t xml:space="preserve">ete za prilagođavanje doze navedene u </w:t>
      </w:r>
      <w:r w:rsidR="00871BFA" w:rsidRPr="00234ECD">
        <w:rPr>
          <w:rFonts w:eastAsia="SimSun"/>
          <w:sz w:val="22"/>
          <w:szCs w:val="22"/>
          <w:lang w:val="sr-Latn-RS"/>
        </w:rPr>
        <w:t>T</w:t>
      </w:r>
      <w:r w:rsidRPr="00234ECD">
        <w:rPr>
          <w:rFonts w:eastAsia="SimSun"/>
          <w:sz w:val="22"/>
          <w:szCs w:val="22"/>
          <w:lang w:val="sr-Latn-RS"/>
        </w:rPr>
        <w:t>abeli 1 (vid</w:t>
      </w:r>
      <w:r w:rsidR="00727299" w:rsidRPr="00234ECD">
        <w:rPr>
          <w:rFonts w:eastAsia="SimSun"/>
          <w:sz w:val="22"/>
          <w:szCs w:val="22"/>
          <w:lang w:val="sr-Latn-RS"/>
        </w:rPr>
        <w:t>j</w:t>
      </w:r>
      <w:r w:rsidRPr="00234ECD">
        <w:rPr>
          <w:rFonts w:eastAsia="SimSun"/>
          <w:sz w:val="22"/>
          <w:szCs w:val="22"/>
          <w:lang w:val="sr-Latn-RS"/>
        </w:rPr>
        <w:t xml:space="preserve">eti </w:t>
      </w:r>
      <w:r w:rsidR="00871BFA" w:rsidRPr="00234ECD">
        <w:rPr>
          <w:rFonts w:eastAsia="SimSun"/>
          <w:sz w:val="22"/>
          <w:szCs w:val="22"/>
          <w:lang w:val="sr-Latn-RS"/>
        </w:rPr>
        <w:t xml:space="preserve">dio </w:t>
      </w:r>
      <w:r w:rsidRPr="00234ECD">
        <w:rPr>
          <w:rFonts w:eastAsia="SimSun"/>
          <w:sz w:val="22"/>
          <w:szCs w:val="22"/>
          <w:lang w:val="sr-Latn-RS"/>
        </w:rPr>
        <w:t>4.2).</w:t>
      </w:r>
    </w:p>
    <w:p w14:paraId="460FF2B7" w14:textId="7517AD14" w:rsidR="00D857AC" w:rsidRPr="00234ECD" w:rsidRDefault="00D857AC" w:rsidP="00D857AC">
      <w:pPr>
        <w:jc w:val="both"/>
        <w:rPr>
          <w:rFonts w:eastAsia="Calibri"/>
          <w:sz w:val="22"/>
          <w:szCs w:val="22"/>
          <w:lang w:val="sr-Latn-RS"/>
        </w:rPr>
      </w:pPr>
      <w:r w:rsidRPr="00234ECD">
        <w:rPr>
          <w:rFonts w:eastAsia="Calibri"/>
          <w:sz w:val="22"/>
          <w:szCs w:val="22"/>
          <w:lang w:val="sr-Latn-RS"/>
        </w:rPr>
        <w:t>Kada se kabozantinib daje u kombinaciji s nivolumabom, zab</w:t>
      </w:r>
      <w:r w:rsidR="00727299" w:rsidRPr="00234ECD">
        <w:rPr>
          <w:rFonts w:eastAsia="Calibri"/>
          <w:sz w:val="22"/>
          <w:szCs w:val="22"/>
          <w:lang w:val="sr-Latn-RS"/>
        </w:rPr>
        <w:t>i</w:t>
      </w:r>
      <w:r w:rsidRPr="00234ECD">
        <w:rPr>
          <w:rFonts w:eastAsia="Calibri"/>
          <w:sz w:val="22"/>
          <w:szCs w:val="22"/>
          <w:lang w:val="sr-Latn-RS"/>
        </w:rPr>
        <w:t>l</w:t>
      </w:r>
      <w:r w:rsidR="00727299" w:rsidRPr="00234ECD">
        <w:rPr>
          <w:rFonts w:eastAsia="Calibri"/>
          <w:sz w:val="22"/>
          <w:szCs w:val="22"/>
          <w:lang w:val="sr-Latn-RS"/>
        </w:rPr>
        <w:t>je</w:t>
      </w:r>
      <w:r w:rsidRPr="00234ECD">
        <w:rPr>
          <w:rFonts w:eastAsia="Calibri"/>
          <w:sz w:val="22"/>
          <w:szCs w:val="22"/>
          <w:lang w:val="sr-Latn-RS"/>
        </w:rPr>
        <w:t xml:space="preserve">žene su veće učestalosti povišenja ALT i AST stepena 3 i 4 u odnosu na monoterapiju kabozantinibom kod </w:t>
      </w:r>
      <w:r w:rsidR="009F5464" w:rsidRPr="00234ECD">
        <w:rPr>
          <w:rFonts w:eastAsia="Calibri"/>
          <w:sz w:val="22"/>
          <w:szCs w:val="22"/>
          <w:lang w:val="sr-Latn-RS"/>
        </w:rPr>
        <w:t xml:space="preserve">pacijenata </w:t>
      </w:r>
      <w:r w:rsidRPr="00234ECD">
        <w:rPr>
          <w:rFonts w:eastAsia="Calibri"/>
          <w:sz w:val="22"/>
          <w:szCs w:val="22"/>
          <w:lang w:val="sr-Latn-RS"/>
        </w:rPr>
        <w:t>sa uznapredovalim RCC (vid</w:t>
      </w:r>
      <w:r w:rsidR="00727299" w:rsidRPr="00234ECD">
        <w:rPr>
          <w:rFonts w:eastAsia="Calibri"/>
          <w:sz w:val="22"/>
          <w:szCs w:val="22"/>
          <w:lang w:val="sr-Latn-RS"/>
        </w:rPr>
        <w:t>j</w:t>
      </w:r>
      <w:r w:rsidRPr="00234ECD">
        <w:rPr>
          <w:rFonts w:eastAsia="Calibri"/>
          <w:sz w:val="22"/>
          <w:szCs w:val="22"/>
          <w:lang w:val="sr-Latn-RS"/>
        </w:rPr>
        <w:t xml:space="preserve">eti </w:t>
      </w:r>
      <w:r w:rsidR="00871BFA" w:rsidRPr="00234ECD">
        <w:rPr>
          <w:rFonts w:eastAsia="Calibri"/>
          <w:sz w:val="22"/>
          <w:szCs w:val="22"/>
          <w:lang w:val="sr-Latn-RS"/>
        </w:rPr>
        <w:t xml:space="preserve">dio </w:t>
      </w:r>
      <w:r w:rsidRPr="00234ECD">
        <w:rPr>
          <w:rFonts w:eastAsia="Calibri"/>
          <w:sz w:val="22"/>
          <w:szCs w:val="22"/>
          <w:lang w:val="sr-Latn-RS"/>
        </w:rPr>
        <w:t>4.8). Enzime jetre treba pratiti pr</w:t>
      </w:r>
      <w:r w:rsidR="00727299" w:rsidRPr="00234ECD">
        <w:rPr>
          <w:rFonts w:eastAsia="Calibri"/>
          <w:sz w:val="22"/>
          <w:szCs w:val="22"/>
          <w:lang w:val="sr-Latn-RS"/>
        </w:rPr>
        <w:t>ij</w:t>
      </w:r>
      <w:r w:rsidRPr="00234ECD">
        <w:rPr>
          <w:rFonts w:eastAsia="Calibri"/>
          <w:sz w:val="22"/>
          <w:szCs w:val="22"/>
          <w:lang w:val="sr-Latn-RS"/>
        </w:rPr>
        <w:t>e početka i periodično tokom l</w:t>
      </w:r>
      <w:r w:rsidR="00727299" w:rsidRPr="00234ECD">
        <w:rPr>
          <w:rFonts w:eastAsia="Calibri"/>
          <w:sz w:val="22"/>
          <w:szCs w:val="22"/>
          <w:lang w:val="sr-Latn-RS"/>
        </w:rPr>
        <w:t>ij</w:t>
      </w:r>
      <w:r w:rsidRPr="00234ECD">
        <w:rPr>
          <w:rFonts w:eastAsia="Calibri"/>
          <w:sz w:val="22"/>
          <w:szCs w:val="22"/>
          <w:lang w:val="sr-Latn-RS"/>
        </w:rPr>
        <w:t>ečenja. Treba se pridržavati terapijskih sm</w:t>
      </w:r>
      <w:r w:rsidR="00727299" w:rsidRPr="00234ECD">
        <w:rPr>
          <w:rFonts w:eastAsia="Calibri"/>
          <w:sz w:val="22"/>
          <w:szCs w:val="22"/>
          <w:lang w:val="sr-Latn-RS"/>
        </w:rPr>
        <w:t>j</w:t>
      </w:r>
      <w:r w:rsidRPr="00234ECD">
        <w:rPr>
          <w:rFonts w:eastAsia="Calibri"/>
          <w:sz w:val="22"/>
          <w:szCs w:val="22"/>
          <w:lang w:val="sr-Latn-RS"/>
        </w:rPr>
        <w:t>ernica za oba l</w:t>
      </w:r>
      <w:r w:rsidR="00727299" w:rsidRPr="00234ECD">
        <w:rPr>
          <w:rFonts w:eastAsia="Calibri"/>
          <w:sz w:val="22"/>
          <w:szCs w:val="22"/>
          <w:lang w:val="sr-Latn-RS"/>
        </w:rPr>
        <w:t>ij</w:t>
      </w:r>
      <w:r w:rsidRPr="00234ECD">
        <w:rPr>
          <w:rFonts w:eastAsia="Calibri"/>
          <w:sz w:val="22"/>
          <w:szCs w:val="22"/>
          <w:lang w:val="sr-Latn-RS"/>
        </w:rPr>
        <w:t>eka (vid</w:t>
      </w:r>
      <w:r w:rsidR="00727299" w:rsidRPr="00234ECD">
        <w:rPr>
          <w:rFonts w:eastAsia="Calibri"/>
          <w:sz w:val="22"/>
          <w:szCs w:val="22"/>
          <w:lang w:val="sr-Latn-RS"/>
        </w:rPr>
        <w:t>j</w:t>
      </w:r>
      <w:r w:rsidRPr="00234ECD">
        <w:rPr>
          <w:rFonts w:eastAsia="Calibri"/>
          <w:sz w:val="22"/>
          <w:szCs w:val="22"/>
          <w:lang w:val="sr-Latn-RS"/>
        </w:rPr>
        <w:t xml:space="preserve">eti </w:t>
      </w:r>
      <w:r w:rsidR="00871BFA" w:rsidRPr="00234ECD">
        <w:rPr>
          <w:rFonts w:eastAsia="Calibri"/>
          <w:sz w:val="22"/>
          <w:szCs w:val="22"/>
          <w:lang w:val="sr-Latn-RS"/>
        </w:rPr>
        <w:t xml:space="preserve">dio </w:t>
      </w:r>
      <w:r w:rsidRPr="00234ECD">
        <w:rPr>
          <w:rFonts w:eastAsia="Calibri"/>
          <w:sz w:val="22"/>
          <w:szCs w:val="22"/>
          <w:lang w:val="sr-Latn-RS"/>
        </w:rPr>
        <w:t xml:space="preserve">4.2 i </w:t>
      </w:r>
      <w:r w:rsidRPr="00234ECD">
        <w:rPr>
          <w:rFonts w:eastAsia="Calibri"/>
          <w:color w:val="000000"/>
          <w:sz w:val="22"/>
          <w:szCs w:val="22"/>
          <w:lang w:val="sr-Latn-RS"/>
        </w:rPr>
        <w:t>Sažetak karakteristika l</w:t>
      </w:r>
      <w:r w:rsidR="00727299" w:rsidRPr="00234ECD">
        <w:rPr>
          <w:rFonts w:eastAsia="Calibri"/>
          <w:color w:val="000000"/>
          <w:sz w:val="22"/>
          <w:szCs w:val="22"/>
          <w:lang w:val="sr-Latn-RS"/>
        </w:rPr>
        <w:t>ij</w:t>
      </w:r>
      <w:r w:rsidRPr="00234ECD">
        <w:rPr>
          <w:rFonts w:eastAsia="Calibri"/>
          <w:color w:val="000000"/>
          <w:sz w:val="22"/>
          <w:szCs w:val="22"/>
          <w:lang w:val="sr-Latn-RS"/>
        </w:rPr>
        <w:t>eka za nivolumab</w:t>
      </w:r>
      <w:r w:rsidRPr="00234ECD">
        <w:rPr>
          <w:rFonts w:eastAsia="Calibri"/>
          <w:sz w:val="22"/>
          <w:szCs w:val="22"/>
          <w:lang w:val="sr-Latn-RS"/>
        </w:rPr>
        <w:t>).</w:t>
      </w:r>
    </w:p>
    <w:p w14:paraId="04D0DA0C" w14:textId="3A5E8926" w:rsidR="00C74188" w:rsidRPr="00234ECD" w:rsidRDefault="00C74188" w:rsidP="00D857AC">
      <w:pPr>
        <w:jc w:val="both"/>
        <w:rPr>
          <w:rFonts w:eastAsia="SimSun"/>
          <w:sz w:val="22"/>
          <w:szCs w:val="22"/>
          <w:lang w:val="sr-Latn-RS"/>
        </w:rPr>
      </w:pPr>
      <w:r w:rsidRPr="00234ECD">
        <w:rPr>
          <w:rFonts w:eastAsia="SimSun"/>
          <w:sz w:val="22"/>
          <w:szCs w:val="22"/>
          <w:lang w:val="sr-Latn-RS"/>
        </w:rPr>
        <w:t>Prijavljeni su r</w:t>
      </w:r>
      <w:r w:rsidR="00040602" w:rsidRPr="00234ECD">
        <w:rPr>
          <w:rFonts w:eastAsia="SimSun"/>
          <w:sz w:val="22"/>
          <w:szCs w:val="22"/>
          <w:lang w:val="sr-Latn-RS"/>
        </w:rPr>
        <w:t>ij</w:t>
      </w:r>
      <w:r w:rsidRPr="00234ECD">
        <w:rPr>
          <w:rFonts w:eastAsia="SimSun"/>
          <w:sz w:val="22"/>
          <w:szCs w:val="22"/>
          <w:lang w:val="sr-Latn-RS"/>
        </w:rPr>
        <w:t xml:space="preserve">etki slučajevi </w:t>
      </w:r>
      <w:r w:rsidR="00B52F92" w:rsidRPr="00234ECD">
        <w:rPr>
          <w:rFonts w:eastAsia="SimSun"/>
          <w:sz w:val="22"/>
          <w:szCs w:val="22"/>
          <w:lang w:val="sr-Latn-RS"/>
        </w:rPr>
        <w:t xml:space="preserve">sindroma </w:t>
      </w:r>
      <w:r w:rsidRPr="00234ECD">
        <w:rPr>
          <w:rFonts w:eastAsia="SimSun"/>
          <w:sz w:val="22"/>
          <w:szCs w:val="22"/>
          <w:lang w:val="sr-Latn-RS"/>
        </w:rPr>
        <w:t>nestajanja žučnih kanala. Svi slučajevi su se pojavili kod pacijenata koji su primali inhibitore imunološk</w:t>
      </w:r>
      <w:r w:rsidR="00143E1D" w:rsidRPr="00234ECD">
        <w:rPr>
          <w:rFonts w:eastAsia="SimSun"/>
          <w:sz w:val="22"/>
          <w:szCs w:val="22"/>
          <w:lang w:val="sr-Latn-RS"/>
        </w:rPr>
        <w:t>ih</w:t>
      </w:r>
      <w:r w:rsidRPr="00234ECD">
        <w:rPr>
          <w:rFonts w:eastAsia="SimSun"/>
          <w:sz w:val="22"/>
          <w:szCs w:val="22"/>
          <w:lang w:val="sr-Latn-RS"/>
        </w:rPr>
        <w:t xml:space="preserve"> kontroln</w:t>
      </w:r>
      <w:r w:rsidR="00143E1D" w:rsidRPr="00234ECD">
        <w:rPr>
          <w:rFonts w:eastAsia="SimSun"/>
          <w:sz w:val="22"/>
          <w:szCs w:val="22"/>
          <w:lang w:val="sr-Latn-RS"/>
        </w:rPr>
        <w:t>ih</w:t>
      </w:r>
      <w:r w:rsidRPr="00234ECD">
        <w:rPr>
          <w:rFonts w:eastAsia="SimSun"/>
          <w:sz w:val="22"/>
          <w:szCs w:val="22"/>
          <w:lang w:val="sr-Latn-RS"/>
        </w:rPr>
        <w:t xml:space="preserve"> tač</w:t>
      </w:r>
      <w:r w:rsidR="00143E1D" w:rsidRPr="00234ECD">
        <w:rPr>
          <w:rFonts w:eastAsia="SimSun"/>
          <w:sz w:val="22"/>
          <w:szCs w:val="22"/>
          <w:lang w:val="sr-Latn-RS"/>
        </w:rPr>
        <w:t>aka</w:t>
      </w:r>
      <w:r w:rsidRPr="00234ECD">
        <w:rPr>
          <w:rFonts w:eastAsia="SimSun"/>
          <w:sz w:val="22"/>
          <w:szCs w:val="22"/>
          <w:lang w:val="sr-Latn-RS"/>
        </w:rPr>
        <w:t>, bilo pr</w:t>
      </w:r>
      <w:r w:rsidR="001A71B0" w:rsidRPr="00234ECD">
        <w:rPr>
          <w:rFonts w:eastAsia="SimSun"/>
          <w:sz w:val="22"/>
          <w:szCs w:val="22"/>
          <w:lang w:val="sr-Latn-RS"/>
        </w:rPr>
        <w:t>ij</w:t>
      </w:r>
      <w:r w:rsidRPr="00234ECD">
        <w:rPr>
          <w:rFonts w:eastAsia="SimSun"/>
          <w:sz w:val="22"/>
          <w:szCs w:val="22"/>
          <w:lang w:val="sr-Latn-RS"/>
        </w:rPr>
        <w:t>e ili istovremeno sa l</w:t>
      </w:r>
      <w:r w:rsidR="001A71B0" w:rsidRPr="00234ECD">
        <w:rPr>
          <w:rFonts w:eastAsia="SimSun"/>
          <w:sz w:val="22"/>
          <w:szCs w:val="22"/>
          <w:lang w:val="sr-Latn-RS"/>
        </w:rPr>
        <w:t>ij</w:t>
      </w:r>
      <w:r w:rsidRPr="00234ECD">
        <w:rPr>
          <w:rFonts w:eastAsia="SimSun"/>
          <w:sz w:val="22"/>
          <w:szCs w:val="22"/>
          <w:lang w:val="sr-Latn-RS"/>
        </w:rPr>
        <w:t>ečenjem kabozantinibom</w:t>
      </w:r>
      <w:r w:rsidR="001A71B0" w:rsidRPr="00234ECD">
        <w:rPr>
          <w:rFonts w:eastAsia="SimSun"/>
          <w:sz w:val="22"/>
          <w:szCs w:val="22"/>
          <w:lang w:val="sr-Latn-RS"/>
        </w:rPr>
        <w:t>.</w:t>
      </w:r>
    </w:p>
    <w:p w14:paraId="6CDF2F31" w14:textId="4206D698" w:rsidR="00D857AC" w:rsidRPr="00234ECD" w:rsidRDefault="00D857AC" w:rsidP="00D857AC">
      <w:pPr>
        <w:jc w:val="both"/>
        <w:rPr>
          <w:rFonts w:eastAsia="SimSun"/>
          <w:sz w:val="22"/>
          <w:szCs w:val="22"/>
          <w:lang w:val="sr-Latn-RS"/>
        </w:rPr>
      </w:pPr>
      <w:r w:rsidRPr="00234ECD">
        <w:rPr>
          <w:rFonts w:eastAsia="SimSun"/>
          <w:sz w:val="22"/>
          <w:szCs w:val="22"/>
          <w:lang w:val="sr-Latn-RS"/>
        </w:rPr>
        <w:t>Kabozantinib se uglavnom eliminiše kroz jetru. Preporučuje se pažljivo praćenje ukupne bezb</w:t>
      </w:r>
      <w:r w:rsidR="00727299" w:rsidRPr="00234ECD">
        <w:rPr>
          <w:rFonts w:eastAsia="SimSun"/>
          <w:sz w:val="22"/>
          <w:szCs w:val="22"/>
          <w:lang w:val="sr-Latn-RS"/>
        </w:rPr>
        <w:t>j</w:t>
      </w:r>
      <w:r w:rsidRPr="00234ECD">
        <w:rPr>
          <w:rFonts w:eastAsia="SimSun"/>
          <w:sz w:val="22"/>
          <w:szCs w:val="22"/>
          <w:lang w:val="sr-Latn-RS"/>
        </w:rPr>
        <w:t>ednosti kod pacijenata sa blagim ili um</w:t>
      </w:r>
      <w:r w:rsidR="00727299" w:rsidRPr="00234ECD">
        <w:rPr>
          <w:rFonts w:eastAsia="SimSun"/>
          <w:sz w:val="22"/>
          <w:szCs w:val="22"/>
          <w:lang w:val="sr-Latn-RS"/>
        </w:rPr>
        <w:t>j</w:t>
      </w:r>
      <w:r w:rsidRPr="00234ECD">
        <w:rPr>
          <w:rFonts w:eastAsia="SimSun"/>
          <w:sz w:val="22"/>
          <w:szCs w:val="22"/>
          <w:lang w:val="sr-Latn-RS"/>
        </w:rPr>
        <w:t>erenim oštećenjem funkcije jetre (vid</w:t>
      </w:r>
      <w:r w:rsidR="00727299" w:rsidRPr="00234ECD">
        <w:rPr>
          <w:rFonts w:eastAsia="SimSun"/>
          <w:sz w:val="22"/>
          <w:szCs w:val="22"/>
          <w:lang w:val="sr-Latn-RS"/>
        </w:rPr>
        <w:t>j</w:t>
      </w:r>
      <w:r w:rsidRPr="00234ECD">
        <w:rPr>
          <w:rFonts w:eastAsia="SimSun"/>
          <w:sz w:val="22"/>
          <w:szCs w:val="22"/>
          <w:lang w:val="sr-Latn-RS"/>
        </w:rPr>
        <w:t xml:space="preserve">eti i </w:t>
      </w:r>
      <w:r w:rsidR="00B52F92" w:rsidRPr="00234ECD">
        <w:rPr>
          <w:rFonts w:eastAsia="SimSun"/>
          <w:sz w:val="22"/>
          <w:szCs w:val="22"/>
          <w:lang w:val="sr-Latn-RS"/>
        </w:rPr>
        <w:t xml:space="preserve">djelove </w:t>
      </w:r>
      <w:r w:rsidRPr="00234ECD">
        <w:rPr>
          <w:rFonts w:eastAsia="SimSun"/>
          <w:sz w:val="22"/>
          <w:szCs w:val="22"/>
          <w:lang w:val="sr-Latn-RS"/>
        </w:rPr>
        <w:t>4.2 i 5.2). Kod relativno većeg ud</w:t>
      </w:r>
      <w:r w:rsidR="00727299" w:rsidRPr="00234ECD">
        <w:rPr>
          <w:rFonts w:eastAsia="SimSun"/>
          <w:sz w:val="22"/>
          <w:szCs w:val="22"/>
          <w:lang w:val="sr-Latn-RS"/>
        </w:rPr>
        <w:t>j</w:t>
      </w:r>
      <w:r w:rsidRPr="00234ECD">
        <w:rPr>
          <w:rFonts w:eastAsia="SimSun"/>
          <w:sz w:val="22"/>
          <w:szCs w:val="22"/>
          <w:lang w:val="sr-Latn-RS"/>
        </w:rPr>
        <w:t>ela pacijenata sa um</w:t>
      </w:r>
      <w:r w:rsidR="00727299" w:rsidRPr="00234ECD">
        <w:rPr>
          <w:rFonts w:eastAsia="SimSun"/>
          <w:sz w:val="22"/>
          <w:szCs w:val="22"/>
          <w:lang w:val="sr-Latn-RS"/>
        </w:rPr>
        <w:t>j</w:t>
      </w:r>
      <w:r w:rsidRPr="00234ECD">
        <w:rPr>
          <w:rFonts w:eastAsia="SimSun"/>
          <w:sz w:val="22"/>
          <w:szCs w:val="22"/>
          <w:lang w:val="sr-Latn-RS"/>
        </w:rPr>
        <w:t xml:space="preserve">erenim oštećenjem funkcije jetre (Child-Pugh B) došlo je do razvoja hepatičke encefalopatije uz terapiju kabozantinibom. Upotreba </w:t>
      </w:r>
      <w:r w:rsidR="00083448" w:rsidRPr="00234ECD">
        <w:rPr>
          <w:rFonts w:eastAsia="SimSun"/>
          <w:sz w:val="22"/>
          <w:szCs w:val="22"/>
          <w:lang w:val="sr-Latn-RS"/>
        </w:rPr>
        <w:t>kabozantiniba</w:t>
      </w:r>
      <w:r w:rsidRPr="00234ECD">
        <w:rPr>
          <w:rFonts w:eastAsia="SimSun"/>
          <w:sz w:val="22"/>
          <w:szCs w:val="22"/>
          <w:lang w:val="sr-Latn-RS"/>
        </w:rPr>
        <w:t xml:space="preserve"> se ne preporučuje kod pacijenata sa teškim oštećenjem funkcije jetre (Child-Pugh C, vid</w:t>
      </w:r>
      <w:r w:rsidR="00727299" w:rsidRPr="00234ECD">
        <w:rPr>
          <w:rFonts w:eastAsia="SimSun"/>
          <w:sz w:val="22"/>
          <w:szCs w:val="22"/>
          <w:lang w:val="sr-Latn-RS"/>
        </w:rPr>
        <w:t>j</w:t>
      </w:r>
      <w:r w:rsidRPr="00234ECD">
        <w:rPr>
          <w:rFonts w:eastAsia="SimSun"/>
          <w:sz w:val="22"/>
          <w:szCs w:val="22"/>
          <w:lang w:val="sr-Latn-RS"/>
        </w:rPr>
        <w:t xml:space="preserve">eti </w:t>
      </w:r>
      <w:r w:rsidR="00B52F92" w:rsidRPr="00234ECD">
        <w:rPr>
          <w:rFonts w:eastAsia="SimSun"/>
          <w:sz w:val="22"/>
          <w:szCs w:val="22"/>
          <w:lang w:val="sr-Latn-RS"/>
        </w:rPr>
        <w:t xml:space="preserve">dio </w:t>
      </w:r>
      <w:r w:rsidRPr="00234ECD">
        <w:rPr>
          <w:rFonts w:eastAsia="SimSun"/>
          <w:sz w:val="22"/>
          <w:szCs w:val="22"/>
          <w:lang w:val="sr-Latn-RS"/>
        </w:rPr>
        <w:t>4.2).</w:t>
      </w:r>
    </w:p>
    <w:p w14:paraId="49226D67" w14:textId="77777777" w:rsidR="00D857AC" w:rsidRPr="00234ECD" w:rsidRDefault="00D857AC" w:rsidP="00D857AC">
      <w:pPr>
        <w:keepNext/>
        <w:rPr>
          <w:sz w:val="22"/>
          <w:szCs w:val="22"/>
          <w:u w:val="single"/>
          <w:lang w:val="sr-Latn-RS"/>
        </w:rPr>
      </w:pPr>
    </w:p>
    <w:p w14:paraId="48CBD2F9" w14:textId="50F1A90E" w:rsidR="00D857AC" w:rsidRPr="00234ECD" w:rsidRDefault="00D857AC" w:rsidP="00D857AC">
      <w:pPr>
        <w:keepNext/>
        <w:rPr>
          <w:sz w:val="22"/>
          <w:szCs w:val="22"/>
          <w:u w:val="single"/>
          <w:lang w:val="sr-Latn-RS"/>
        </w:rPr>
      </w:pPr>
      <w:r w:rsidRPr="00234ECD">
        <w:rPr>
          <w:sz w:val="22"/>
          <w:szCs w:val="22"/>
          <w:u w:val="single"/>
          <w:lang w:val="sr-Latn-RS"/>
        </w:rPr>
        <w:t>Hepatička encefalopatija</w:t>
      </w:r>
    </w:p>
    <w:p w14:paraId="4E696A08" w14:textId="165FEFD7" w:rsidR="00D857AC" w:rsidRPr="00234ECD" w:rsidRDefault="00D857AC" w:rsidP="00D857AC">
      <w:pPr>
        <w:jc w:val="both"/>
        <w:rPr>
          <w:bCs/>
          <w:sz w:val="22"/>
          <w:szCs w:val="22"/>
          <w:lang w:val="sr-Latn-RS"/>
        </w:rPr>
      </w:pPr>
      <w:r w:rsidRPr="00234ECD">
        <w:rPr>
          <w:bCs/>
          <w:sz w:val="22"/>
          <w:szCs w:val="22"/>
          <w:lang w:val="sr-Latn-RS"/>
        </w:rPr>
        <w:t>U studiji</w:t>
      </w:r>
      <w:r w:rsidRPr="00234ECD">
        <w:rPr>
          <w:bCs/>
          <w:iCs/>
          <w:sz w:val="22"/>
          <w:szCs w:val="22"/>
          <w:lang w:val="sr-Latn-RS"/>
        </w:rPr>
        <w:t xml:space="preserve"> hepatocelularnog karcinoma </w:t>
      </w:r>
      <w:r w:rsidRPr="00234ECD">
        <w:rPr>
          <w:bCs/>
          <w:sz w:val="22"/>
          <w:szCs w:val="22"/>
          <w:lang w:val="sr-Latn-RS"/>
        </w:rPr>
        <w:t>(CELESTIAL), hepatička encefalopatija prijavljena je češće u grupi koja je primala kabozantinib nego u grupi koja je primala placebo. Kabozantinib je povezan sa dijarejom, povraćanjem, smanjenim apetitom i abnormalnostima elektrolita. Kod pacijenata sa hepatocelularnim karcinomom kod kojih je oštećena funkcija jetre, navedeni efekti koji nisu povezani sa jetrom mogu biti precipitirajući faktori za razvoj hepatičke encefalopatije. Pacijente treba pratiti radi znakova i simptoma hepatičke encefalopatije.</w:t>
      </w:r>
    </w:p>
    <w:p w14:paraId="3D158B00" w14:textId="77777777" w:rsidR="00D857AC" w:rsidRPr="00234ECD" w:rsidRDefault="00D857AC" w:rsidP="00D857AC">
      <w:pPr>
        <w:jc w:val="both"/>
        <w:rPr>
          <w:rFonts w:eastAsia="Calibri"/>
          <w:sz w:val="22"/>
          <w:szCs w:val="22"/>
          <w:lang w:val="sr-Latn-RS"/>
        </w:rPr>
      </w:pPr>
    </w:p>
    <w:p w14:paraId="7E824D85"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Perforacije i fistule</w:t>
      </w:r>
    </w:p>
    <w:p w14:paraId="67E4F54E" w14:textId="02B664E3" w:rsidR="00D857AC" w:rsidRPr="00234ECD" w:rsidRDefault="00D857AC" w:rsidP="00D857AC">
      <w:pPr>
        <w:jc w:val="both"/>
        <w:rPr>
          <w:rFonts w:eastAsia="Calibri"/>
          <w:sz w:val="22"/>
          <w:szCs w:val="22"/>
          <w:lang w:val="sr-Latn-RS"/>
        </w:rPr>
      </w:pPr>
      <w:r w:rsidRPr="00234ECD">
        <w:rPr>
          <w:rFonts w:eastAsia="Calibri"/>
          <w:sz w:val="22"/>
          <w:szCs w:val="22"/>
          <w:lang w:val="sr-Latn-RS"/>
        </w:rPr>
        <w:t>Prilikom prim</w:t>
      </w:r>
      <w:r w:rsidR="00727299" w:rsidRPr="00234ECD">
        <w:rPr>
          <w:rFonts w:eastAsia="Calibri"/>
          <w:sz w:val="22"/>
          <w:szCs w:val="22"/>
          <w:lang w:val="sr-Latn-RS"/>
        </w:rPr>
        <w:t>j</w:t>
      </w:r>
      <w:r w:rsidRPr="00234ECD">
        <w:rPr>
          <w:rFonts w:eastAsia="Calibri"/>
          <w:sz w:val="22"/>
          <w:szCs w:val="22"/>
          <w:lang w:val="sr-Latn-RS"/>
        </w:rPr>
        <w:t>ene kabozantiniba prim</w:t>
      </w:r>
      <w:r w:rsidR="00727299" w:rsidRPr="00234ECD">
        <w:rPr>
          <w:rFonts w:eastAsia="Calibri"/>
          <w:sz w:val="22"/>
          <w:szCs w:val="22"/>
          <w:lang w:val="sr-Latn-RS"/>
        </w:rPr>
        <w:t>ij</w:t>
      </w:r>
      <w:r w:rsidRPr="00234ECD">
        <w:rPr>
          <w:rFonts w:eastAsia="Calibri"/>
          <w:sz w:val="22"/>
          <w:szCs w:val="22"/>
          <w:lang w:val="sr-Latn-RS"/>
        </w:rPr>
        <w:t>ećene su ozbiljne, u nekim slučajevima i smrtonosne, GI perforacije i fistule. Kod pacijenata koji imaju inflamatornu bolest cr</w:t>
      </w:r>
      <w:r w:rsidR="00727299" w:rsidRPr="00234ECD">
        <w:rPr>
          <w:rFonts w:eastAsia="Calibri"/>
          <w:sz w:val="22"/>
          <w:szCs w:val="22"/>
          <w:lang w:val="sr-Latn-RS"/>
        </w:rPr>
        <w:t>ij</w:t>
      </w:r>
      <w:r w:rsidRPr="00234ECD">
        <w:rPr>
          <w:rFonts w:eastAsia="Calibri"/>
          <w:sz w:val="22"/>
          <w:szCs w:val="22"/>
          <w:lang w:val="sr-Latn-RS"/>
        </w:rPr>
        <w:t>eva (npr. Kronovu bolest, ulcerozni kolitis, peritonitis, divertikulitis ili apendicitis), infiltraciju GI trakta tumorom ili komplikacije posl</w:t>
      </w:r>
      <w:r w:rsidR="00727299" w:rsidRPr="00234ECD">
        <w:rPr>
          <w:rFonts w:eastAsia="Calibri"/>
          <w:sz w:val="22"/>
          <w:szCs w:val="22"/>
          <w:lang w:val="sr-Latn-RS"/>
        </w:rPr>
        <w:t>ij</w:t>
      </w:r>
      <w:r w:rsidRPr="00234ECD">
        <w:rPr>
          <w:rFonts w:eastAsia="Calibri"/>
          <w:sz w:val="22"/>
          <w:szCs w:val="22"/>
          <w:lang w:val="sr-Latn-RS"/>
        </w:rPr>
        <w:t>e operacije GI trakta (naročito komplikacije koje su povezane sa usporenim ili nepotpunim zarastanjem) treba napraviti pažljivu proc</w:t>
      </w:r>
      <w:r w:rsidR="00727299" w:rsidRPr="00234ECD">
        <w:rPr>
          <w:rFonts w:eastAsia="Calibri"/>
          <w:sz w:val="22"/>
          <w:szCs w:val="22"/>
          <w:lang w:val="sr-Latn-RS"/>
        </w:rPr>
        <w:t>j</w:t>
      </w:r>
      <w:r w:rsidRPr="00234ECD">
        <w:rPr>
          <w:rFonts w:eastAsia="Calibri"/>
          <w:sz w:val="22"/>
          <w:szCs w:val="22"/>
          <w:lang w:val="sr-Latn-RS"/>
        </w:rPr>
        <w:t>enu pr</w:t>
      </w:r>
      <w:r w:rsidR="00727299" w:rsidRPr="00234ECD">
        <w:rPr>
          <w:rFonts w:eastAsia="Calibri"/>
          <w:sz w:val="22"/>
          <w:szCs w:val="22"/>
          <w:lang w:val="sr-Latn-RS"/>
        </w:rPr>
        <w:t>ij</w:t>
      </w:r>
      <w:r w:rsidRPr="00234ECD">
        <w:rPr>
          <w:rFonts w:eastAsia="Calibri"/>
          <w:sz w:val="22"/>
          <w:szCs w:val="22"/>
          <w:lang w:val="sr-Latn-RS"/>
        </w:rPr>
        <w:t xml:space="preserve">e početka terapije kabozantinibom, a nakon toga </w:t>
      </w:r>
      <w:r w:rsidRPr="00234ECD">
        <w:rPr>
          <w:rFonts w:eastAsia="Calibri"/>
          <w:sz w:val="22"/>
          <w:szCs w:val="22"/>
          <w:lang w:val="sr-Latn-RS"/>
        </w:rPr>
        <w:lastRenderedPageBreak/>
        <w:t>pacijente treba pažljivo pratiti zbog moguće pojave simptoma perforacija i fistula, uključujući i apscese i sepsu. Perzistentna ili ponavljajuća dijareja za vr</w:t>
      </w:r>
      <w:r w:rsidR="00727299" w:rsidRPr="00234ECD">
        <w:rPr>
          <w:rFonts w:eastAsia="Calibri"/>
          <w:sz w:val="22"/>
          <w:szCs w:val="22"/>
          <w:lang w:val="sr-Latn-RS"/>
        </w:rPr>
        <w:t>ij</w:t>
      </w:r>
      <w:r w:rsidRPr="00234ECD">
        <w:rPr>
          <w:rFonts w:eastAsia="Calibri"/>
          <w:sz w:val="22"/>
          <w:szCs w:val="22"/>
          <w:lang w:val="sr-Latn-RS"/>
        </w:rPr>
        <w:t>eme terapije može biti faktor rizika za razvoj analne fistule. Kod pacijenata kod kojih se pojavi GI perforacija ili fistula koja ne može odgovarajuće da se zbrine, treba obustaviti prim</w:t>
      </w:r>
      <w:r w:rsidR="00727299" w:rsidRPr="00234ECD">
        <w:rPr>
          <w:rFonts w:eastAsia="Calibri"/>
          <w:sz w:val="22"/>
          <w:szCs w:val="22"/>
          <w:lang w:val="sr-Latn-RS"/>
        </w:rPr>
        <w:t>j</w:t>
      </w:r>
      <w:r w:rsidRPr="00234ECD">
        <w:rPr>
          <w:rFonts w:eastAsia="Calibri"/>
          <w:sz w:val="22"/>
          <w:szCs w:val="22"/>
          <w:lang w:val="sr-Latn-RS"/>
        </w:rPr>
        <w:t>enu kabozantiniba.</w:t>
      </w:r>
    </w:p>
    <w:p w14:paraId="55A39344" w14:textId="77777777" w:rsidR="00D857AC" w:rsidRPr="00234ECD" w:rsidRDefault="00D857AC" w:rsidP="00D857AC">
      <w:pPr>
        <w:jc w:val="both"/>
        <w:rPr>
          <w:rFonts w:eastAsia="Calibri"/>
          <w:sz w:val="22"/>
          <w:szCs w:val="22"/>
          <w:lang w:val="sr-Latn-RS"/>
        </w:rPr>
      </w:pPr>
    </w:p>
    <w:p w14:paraId="7F55810C" w14:textId="6EDD1FAF" w:rsidR="00D857AC" w:rsidRPr="00234ECD" w:rsidRDefault="00D857AC" w:rsidP="00D857AC">
      <w:pPr>
        <w:keepNext/>
        <w:rPr>
          <w:sz w:val="22"/>
          <w:szCs w:val="22"/>
          <w:u w:val="single"/>
          <w:lang w:val="sr-Latn-RS"/>
        </w:rPr>
      </w:pPr>
      <w:r w:rsidRPr="00234ECD">
        <w:rPr>
          <w:sz w:val="22"/>
          <w:szCs w:val="22"/>
          <w:u w:val="single"/>
          <w:lang w:val="sr-Latn-RS"/>
        </w:rPr>
        <w:t>Gastrointestinalni poremećaji</w:t>
      </w:r>
    </w:p>
    <w:p w14:paraId="0E44B867" w14:textId="2CCC745B" w:rsidR="00D857AC" w:rsidRPr="00234ECD" w:rsidRDefault="00D857AC" w:rsidP="00D857AC">
      <w:pPr>
        <w:jc w:val="both"/>
        <w:rPr>
          <w:sz w:val="22"/>
          <w:szCs w:val="22"/>
          <w:lang w:val="sr-Latn-RS"/>
        </w:rPr>
      </w:pPr>
      <w:r w:rsidRPr="00234ECD">
        <w:rPr>
          <w:sz w:val="22"/>
          <w:szCs w:val="22"/>
          <w:lang w:val="sr-Latn-RS"/>
        </w:rPr>
        <w:t>Dijareja, mučnina/povraćanje, smanjeni apetit i stomatitis/bol u ustima bil</w:t>
      </w:r>
      <w:r w:rsidR="0011444E" w:rsidRPr="00234ECD">
        <w:rPr>
          <w:sz w:val="22"/>
          <w:szCs w:val="22"/>
          <w:lang w:val="sr-Latn-RS"/>
        </w:rPr>
        <w:t>i</w:t>
      </w:r>
      <w:r w:rsidRPr="00234ECD">
        <w:rPr>
          <w:sz w:val="22"/>
          <w:szCs w:val="22"/>
          <w:lang w:val="sr-Latn-RS"/>
        </w:rPr>
        <w:t xml:space="preserve"> su nek</w:t>
      </w:r>
      <w:r w:rsidR="0011444E" w:rsidRPr="00234ECD">
        <w:rPr>
          <w:sz w:val="22"/>
          <w:szCs w:val="22"/>
          <w:lang w:val="sr-Latn-RS"/>
        </w:rPr>
        <w:t>i</w:t>
      </w:r>
      <w:r w:rsidRPr="00234ECD">
        <w:rPr>
          <w:sz w:val="22"/>
          <w:szCs w:val="22"/>
          <w:lang w:val="sr-Latn-RS"/>
        </w:rPr>
        <w:t xml:space="preserve"> od najčešće prijavljenih gastrointestinalnih neželjenih događaja (vid</w:t>
      </w:r>
      <w:r w:rsidR="00727299" w:rsidRPr="00234ECD">
        <w:rPr>
          <w:sz w:val="22"/>
          <w:szCs w:val="22"/>
          <w:lang w:val="sr-Latn-RS"/>
        </w:rPr>
        <w:t>j</w:t>
      </w:r>
      <w:r w:rsidRPr="00234ECD">
        <w:rPr>
          <w:sz w:val="22"/>
          <w:szCs w:val="22"/>
          <w:lang w:val="sr-Latn-RS"/>
        </w:rPr>
        <w:t xml:space="preserve">eti </w:t>
      </w:r>
      <w:r w:rsidR="0011444E" w:rsidRPr="00234ECD">
        <w:rPr>
          <w:sz w:val="22"/>
          <w:szCs w:val="22"/>
          <w:lang w:val="sr-Latn-RS"/>
        </w:rPr>
        <w:t xml:space="preserve">dio </w:t>
      </w:r>
      <w:r w:rsidRPr="00234ECD">
        <w:rPr>
          <w:sz w:val="22"/>
          <w:szCs w:val="22"/>
          <w:lang w:val="sr-Latn-RS"/>
        </w:rPr>
        <w:t>4.8). Potrebno je prim</w:t>
      </w:r>
      <w:r w:rsidR="00727299" w:rsidRPr="00234ECD">
        <w:rPr>
          <w:sz w:val="22"/>
          <w:szCs w:val="22"/>
          <w:lang w:val="sr-Latn-RS"/>
        </w:rPr>
        <w:t>ij</w:t>
      </w:r>
      <w:r w:rsidRPr="00234ECD">
        <w:rPr>
          <w:sz w:val="22"/>
          <w:szCs w:val="22"/>
          <w:lang w:val="sr-Latn-RS"/>
        </w:rPr>
        <w:t>eniti hitno medicinsko l</w:t>
      </w:r>
      <w:r w:rsidR="00727299" w:rsidRPr="00234ECD">
        <w:rPr>
          <w:sz w:val="22"/>
          <w:szCs w:val="22"/>
          <w:lang w:val="sr-Latn-RS"/>
        </w:rPr>
        <w:t>ij</w:t>
      </w:r>
      <w:r w:rsidRPr="00234ECD">
        <w:rPr>
          <w:sz w:val="22"/>
          <w:szCs w:val="22"/>
          <w:lang w:val="sr-Latn-RS"/>
        </w:rPr>
        <w:t>ečenje, uključujući i suportivnu n</w:t>
      </w:r>
      <w:r w:rsidR="00727299" w:rsidRPr="00234ECD">
        <w:rPr>
          <w:sz w:val="22"/>
          <w:szCs w:val="22"/>
          <w:lang w:val="sr-Latn-RS"/>
        </w:rPr>
        <w:t>j</w:t>
      </w:r>
      <w:r w:rsidRPr="00234ECD">
        <w:rPr>
          <w:sz w:val="22"/>
          <w:szCs w:val="22"/>
          <w:lang w:val="sr-Latn-RS"/>
        </w:rPr>
        <w:t>egu antiemeticima, antidijaroicima ili antacidima, kako bi se spr</w:t>
      </w:r>
      <w:r w:rsidR="00727299" w:rsidRPr="00234ECD">
        <w:rPr>
          <w:sz w:val="22"/>
          <w:szCs w:val="22"/>
          <w:lang w:val="sr-Latn-RS"/>
        </w:rPr>
        <w:t>ij</w:t>
      </w:r>
      <w:r w:rsidRPr="00234ECD">
        <w:rPr>
          <w:sz w:val="22"/>
          <w:szCs w:val="22"/>
          <w:lang w:val="sr-Latn-RS"/>
        </w:rPr>
        <w:t>ečili dehidracija, disbalans elektrolita i gubitak t</w:t>
      </w:r>
      <w:r w:rsidR="00727299" w:rsidRPr="00234ECD">
        <w:rPr>
          <w:sz w:val="22"/>
          <w:szCs w:val="22"/>
          <w:lang w:val="sr-Latn-RS"/>
        </w:rPr>
        <w:t>j</w:t>
      </w:r>
      <w:r w:rsidRPr="00234ECD">
        <w:rPr>
          <w:sz w:val="22"/>
          <w:szCs w:val="22"/>
          <w:lang w:val="sr-Latn-RS"/>
        </w:rPr>
        <w:t>elesne mase. Potrebno je razmotriti privremeni prekid doziranja ili smanjenje doze ili trajni prekid doziranja kabozantiniba u slučaju perzistentnih ili rekurentnih značajnih gastrointestinalnih neželjenih reakcija (vid</w:t>
      </w:r>
      <w:r w:rsidR="00727299" w:rsidRPr="00234ECD">
        <w:rPr>
          <w:sz w:val="22"/>
          <w:szCs w:val="22"/>
          <w:lang w:val="sr-Latn-RS"/>
        </w:rPr>
        <w:t>j</w:t>
      </w:r>
      <w:r w:rsidRPr="00234ECD">
        <w:rPr>
          <w:sz w:val="22"/>
          <w:szCs w:val="22"/>
          <w:lang w:val="sr-Latn-RS"/>
        </w:rPr>
        <w:t xml:space="preserve">eti </w:t>
      </w:r>
      <w:r w:rsidR="008E40B8" w:rsidRPr="00234ECD">
        <w:rPr>
          <w:sz w:val="22"/>
          <w:szCs w:val="22"/>
          <w:lang w:val="sr-Latn-RS"/>
        </w:rPr>
        <w:t>T</w:t>
      </w:r>
      <w:r w:rsidRPr="00234ECD">
        <w:rPr>
          <w:sz w:val="22"/>
          <w:szCs w:val="22"/>
          <w:lang w:val="sr-Latn-RS"/>
        </w:rPr>
        <w:t>abelu 1).</w:t>
      </w:r>
    </w:p>
    <w:p w14:paraId="7D62F173" w14:textId="77777777" w:rsidR="00D857AC" w:rsidRPr="00234ECD" w:rsidRDefault="00D857AC" w:rsidP="00D857AC">
      <w:pPr>
        <w:jc w:val="both"/>
        <w:rPr>
          <w:rFonts w:eastAsia="Calibri"/>
          <w:sz w:val="22"/>
          <w:szCs w:val="22"/>
          <w:lang w:val="sr-Latn-RS"/>
        </w:rPr>
      </w:pPr>
    </w:p>
    <w:p w14:paraId="57D5C528"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Tromboembolijski događaji</w:t>
      </w:r>
    </w:p>
    <w:p w14:paraId="3EF97D74" w14:textId="76C52D9C" w:rsidR="00D857AC" w:rsidRPr="00234ECD" w:rsidRDefault="00D857AC" w:rsidP="00D857AC">
      <w:pPr>
        <w:jc w:val="both"/>
        <w:rPr>
          <w:rFonts w:eastAsia="Calibri"/>
          <w:sz w:val="22"/>
          <w:szCs w:val="22"/>
          <w:lang w:val="sr-Latn-RS"/>
        </w:rPr>
      </w:pPr>
      <w:r w:rsidRPr="00234ECD">
        <w:rPr>
          <w:rFonts w:eastAsia="Calibri"/>
          <w:sz w:val="22"/>
          <w:szCs w:val="22"/>
          <w:lang w:val="sr-Latn-RS"/>
        </w:rPr>
        <w:t>Prilikom prim</w:t>
      </w:r>
      <w:r w:rsidR="00727299" w:rsidRPr="00234ECD">
        <w:rPr>
          <w:rFonts w:eastAsia="Calibri"/>
          <w:sz w:val="22"/>
          <w:szCs w:val="22"/>
          <w:lang w:val="sr-Latn-RS"/>
        </w:rPr>
        <w:t>j</w:t>
      </w:r>
      <w:r w:rsidRPr="00234ECD">
        <w:rPr>
          <w:rFonts w:eastAsia="Calibri"/>
          <w:sz w:val="22"/>
          <w:szCs w:val="22"/>
          <w:lang w:val="sr-Latn-RS"/>
        </w:rPr>
        <w:t>ene kabozantiniba prim</w:t>
      </w:r>
      <w:r w:rsidR="00727299" w:rsidRPr="00234ECD">
        <w:rPr>
          <w:rFonts w:eastAsia="Calibri"/>
          <w:sz w:val="22"/>
          <w:szCs w:val="22"/>
          <w:lang w:val="sr-Latn-RS"/>
        </w:rPr>
        <w:t>ij</w:t>
      </w:r>
      <w:r w:rsidRPr="00234ECD">
        <w:rPr>
          <w:rFonts w:eastAsia="Calibri"/>
          <w:sz w:val="22"/>
          <w:szCs w:val="22"/>
          <w:lang w:val="sr-Latn-RS"/>
        </w:rPr>
        <w:t>ećeni su događaji venske tromboembolije, uključujući i plućnu emboliju, kao i arterijske tromboembolije, ponekad fatalni. Kabozantinib treba prim</w:t>
      </w:r>
      <w:r w:rsidR="00727299" w:rsidRPr="00234ECD">
        <w:rPr>
          <w:rFonts w:eastAsia="Calibri"/>
          <w:sz w:val="22"/>
          <w:szCs w:val="22"/>
          <w:lang w:val="sr-Latn-RS"/>
        </w:rPr>
        <w:t>j</w:t>
      </w:r>
      <w:r w:rsidRPr="00234ECD">
        <w:rPr>
          <w:rFonts w:eastAsia="Calibri"/>
          <w:sz w:val="22"/>
          <w:szCs w:val="22"/>
          <w:lang w:val="sr-Latn-RS"/>
        </w:rPr>
        <w:t xml:space="preserve">enjivati sa oprezom kod pacijenata koji imaju povećan rizik od ovakvih događaja ili ih imaju u anamnezi. U studiji hepatocelularnog karcinoma (CELESTIAL) </w:t>
      </w:r>
      <w:r w:rsidR="008E40B8" w:rsidRPr="00234ECD">
        <w:rPr>
          <w:rFonts w:eastAsia="Calibri"/>
          <w:sz w:val="22"/>
          <w:szCs w:val="22"/>
          <w:lang w:val="sr-Latn-RS"/>
        </w:rPr>
        <w:t>prijavljena je tromboza portne vene, kao i jedan fatalni događaj u grupi</w:t>
      </w:r>
      <w:r w:rsidRPr="00234ECD">
        <w:rPr>
          <w:rFonts w:eastAsia="Calibri"/>
          <w:sz w:val="22"/>
          <w:szCs w:val="22"/>
          <w:lang w:val="sr-Latn-RS"/>
        </w:rPr>
        <w:t xml:space="preserve"> pacije</w:t>
      </w:r>
      <w:r w:rsidR="008E40B8" w:rsidRPr="00234ECD">
        <w:rPr>
          <w:rFonts w:eastAsia="Calibri"/>
          <w:sz w:val="22"/>
          <w:szCs w:val="22"/>
          <w:lang w:val="sr-Latn-RS"/>
        </w:rPr>
        <w:t>nata</w:t>
      </w:r>
      <w:r w:rsidRPr="00234ECD">
        <w:rPr>
          <w:rFonts w:eastAsia="Calibri"/>
          <w:sz w:val="22"/>
          <w:szCs w:val="22"/>
          <w:lang w:val="sr-Latn-RS"/>
        </w:rPr>
        <w:t xml:space="preserve"> koji su l</w:t>
      </w:r>
      <w:r w:rsidR="00727299" w:rsidRPr="00234ECD">
        <w:rPr>
          <w:rFonts w:eastAsia="Calibri"/>
          <w:sz w:val="22"/>
          <w:szCs w:val="22"/>
          <w:lang w:val="sr-Latn-RS"/>
        </w:rPr>
        <w:t>ij</w:t>
      </w:r>
      <w:r w:rsidRPr="00234ECD">
        <w:rPr>
          <w:rFonts w:eastAsia="Calibri"/>
          <w:sz w:val="22"/>
          <w:szCs w:val="22"/>
          <w:lang w:val="sr-Latn-RS"/>
        </w:rPr>
        <w:t>ečeni kabozantinibom. Pokazalo se da su pacijenti sa invazijom portne vene u anamnezi bili u većem riziku od razvoja tromboze portne vene. Kod pacijenata koji razviju akutni infarkt miokarda ili bilo koju drugu klinički značajnu tromboembolijsku komplikaciju, treba obustaviti prim</w:t>
      </w:r>
      <w:r w:rsidR="00727299" w:rsidRPr="00234ECD">
        <w:rPr>
          <w:rFonts w:eastAsia="Calibri"/>
          <w:sz w:val="22"/>
          <w:szCs w:val="22"/>
          <w:lang w:val="sr-Latn-RS"/>
        </w:rPr>
        <w:t>j</w:t>
      </w:r>
      <w:r w:rsidRPr="00234ECD">
        <w:rPr>
          <w:rFonts w:eastAsia="Calibri"/>
          <w:sz w:val="22"/>
          <w:szCs w:val="22"/>
          <w:lang w:val="sr-Latn-RS"/>
        </w:rPr>
        <w:t>enu kabozantiniba.</w:t>
      </w:r>
    </w:p>
    <w:p w14:paraId="044E9087" w14:textId="77777777" w:rsidR="00D857AC" w:rsidRPr="00234ECD" w:rsidRDefault="00D857AC" w:rsidP="00D857AC">
      <w:pPr>
        <w:jc w:val="both"/>
        <w:rPr>
          <w:rFonts w:eastAsia="Calibri"/>
          <w:sz w:val="22"/>
          <w:szCs w:val="22"/>
          <w:lang w:val="sr-Latn-RS"/>
        </w:rPr>
      </w:pPr>
    </w:p>
    <w:p w14:paraId="550B4629"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Hemoragija</w:t>
      </w:r>
    </w:p>
    <w:p w14:paraId="2C8F78CC" w14:textId="22A339B2" w:rsidR="00D857AC" w:rsidRPr="00234ECD" w:rsidRDefault="00D857AC" w:rsidP="00D857AC">
      <w:pPr>
        <w:jc w:val="both"/>
        <w:rPr>
          <w:rFonts w:eastAsia="Calibri"/>
          <w:sz w:val="22"/>
          <w:szCs w:val="22"/>
          <w:lang w:val="sr-Latn-RS"/>
        </w:rPr>
      </w:pPr>
      <w:r w:rsidRPr="00234ECD">
        <w:rPr>
          <w:rFonts w:eastAsia="Calibri"/>
          <w:sz w:val="22"/>
          <w:szCs w:val="22"/>
          <w:lang w:val="sr-Latn-RS"/>
        </w:rPr>
        <w:t>Prilikom prim</w:t>
      </w:r>
      <w:r w:rsidR="00727299" w:rsidRPr="00234ECD">
        <w:rPr>
          <w:rFonts w:eastAsia="Calibri"/>
          <w:sz w:val="22"/>
          <w:szCs w:val="22"/>
          <w:lang w:val="sr-Latn-RS"/>
        </w:rPr>
        <w:t>j</w:t>
      </w:r>
      <w:r w:rsidRPr="00234ECD">
        <w:rPr>
          <w:rFonts w:eastAsia="Calibri"/>
          <w:sz w:val="22"/>
          <w:szCs w:val="22"/>
          <w:lang w:val="sr-Latn-RS"/>
        </w:rPr>
        <w:t>ene kabozantiniba prim</w:t>
      </w:r>
      <w:r w:rsidR="00727299" w:rsidRPr="00234ECD">
        <w:rPr>
          <w:rFonts w:eastAsia="Calibri"/>
          <w:sz w:val="22"/>
          <w:szCs w:val="22"/>
          <w:lang w:val="sr-Latn-RS"/>
        </w:rPr>
        <w:t>ij</w:t>
      </w:r>
      <w:r w:rsidRPr="00234ECD">
        <w:rPr>
          <w:rFonts w:eastAsia="Calibri"/>
          <w:sz w:val="22"/>
          <w:szCs w:val="22"/>
          <w:lang w:val="sr-Latn-RS"/>
        </w:rPr>
        <w:t>ećena su teška krvarenja, koja su ponekad bila fatalna. Kod pacijenata koji u anamnezi imaju teška krvarenja potrebno je napraviti pažljivu proc</w:t>
      </w:r>
      <w:r w:rsidR="00727299" w:rsidRPr="00234ECD">
        <w:rPr>
          <w:rFonts w:eastAsia="Calibri"/>
          <w:sz w:val="22"/>
          <w:szCs w:val="22"/>
          <w:lang w:val="sr-Latn-RS"/>
        </w:rPr>
        <w:t>j</w:t>
      </w:r>
      <w:r w:rsidRPr="00234ECD">
        <w:rPr>
          <w:rFonts w:eastAsia="Calibri"/>
          <w:sz w:val="22"/>
          <w:szCs w:val="22"/>
          <w:lang w:val="sr-Latn-RS"/>
        </w:rPr>
        <w:t>enu pr</w:t>
      </w:r>
      <w:r w:rsidR="00727299" w:rsidRPr="00234ECD">
        <w:rPr>
          <w:rFonts w:eastAsia="Calibri"/>
          <w:sz w:val="22"/>
          <w:szCs w:val="22"/>
          <w:lang w:val="sr-Latn-RS"/>
        </w:rPr>
        <w:t>ij</w:t>
      </w:r>
      <w:r w:rsidRPr="00234ECD">
        <w:rPr>
          <w:rFonts w:eastAsia="Calibri"/>
          <w:sz w:val="22"/>
          <w:szCs w:val="22"/>
          <w:lang w:val="sr-Latn-RS"/>
        </w:rPr>
        <w:t>e početka terapije kabozantinibom. Kabozantinib se ne sm</w:t>
      </w:r>
      <w:r w:rsidR="00727299" w:rsidRPr="00234ECD">
        <w:rPr>
          <w:rFonts w:eastAsia="Calibri"/>
          <w:sz w:val="22"/>
          <w:szCs w:val="22"/>
          <w:lang w:val="sr-Latn-RS"/>
        </w:rPr>
        <w:t>ij</w:t>
      </w:r>
      <w:r w:rsidRPr="00234ECD">
        <w:rPr>
          <w:rFonts w:eastAsia="Calibri"/>
          <w:sz w:val="22"/>
          <w:szCs w:val="22"/>
          <w:lang w:val="sr-Latn-RS"/>
        </w:rPr>
        <w:t>e davati pacijenatima sa teškim krvarenjem ili sa rizikom od teškog krvarenja.</w:t>
      </w:r>
    </w:p>
    <w:p w14:paraId="171A0526" w14:textId="09902F62" w:rsidR="00D857AC" w:rsidRPr="00234ECD" w:rsidRDefault="00D857AC" w:rsidP="00D857AC">
      <w:pPr>
        <w:jc w:val="both"/>
        <w:rPr>
          <w:rFonts w:eastAsia="SimSun"/>
          <w:sz w:val="22"/>
          <w:szCs w:val="22"/>
          <w:lang w:val="sr-Latn-RS"/>
        </w:rPr>
      </w:pPr>
      <w:r w:rsidRPr="00234ECD">
        <w:rPr>
          <w:rFonts w:eastAsia="SimSun"/>
          <w:bCs/>
          <w:sz w:val="22"/>
          <w:szCs w:val="22"/>
          <w:lang w:val="sr-Latn-RS"/>
        </w:rPr>
        <w:t>U studiji</w:t>
      </w:r>
      <w:r w:rsidRPr="00234ECD">
        <w:rPr>
          <w:rFonts w:eastAsia="SimSun"/>
          <w:bCs/>
          <w:iCs/>
          <w:sz w:val="22"/>
          <w:szCs w:val="22"/>
          <w:lang w:val="sr-Latn-RS"/>
        </w:rPr>
        <w:t xml:space="preserve"> hepatocelularnog karcinoma </w:t>
      </w:r>
      <w:r w:rsidRPr="00234ECD">
        <w:rPr>
          <w:rFonts w:eastAsia="SimSun"/>
          <w:sz w:val="22"/>
          <w:szCs w:val="22"/>
          <w:lang w:val="sr-Latn-RS"/>
        </w:rPr>
        <w:t>(CELESTIAL), smrtonosni hemorhagijski događaji prijavljeni su u većoj incidenci u grupi koja je primala kabozantinib nego u grupi koja je primala placebo. Predisponirajući faktori rizika od teške hemoragije kod populacije sa uznapredovalim hepatocelularnim karcinomom mogu uključivati invaziju tumora u velike krvne sudove i prisustvo ciroze jetre što dovodi do varikoziteta jednjaka, portne hipertenzije i trombocitopenije. Iz studije CELESTIAL bili su isključeni pacijenti koji su istovremeno l</w:t>
      </w:r>
      <w:r w:rsidR="00321794" w:rsidRPr="00234ECD">
        <w:rPr>
          <w:rFonts w:eastAsia="SimSun"/>
          <w:sz w:val="22"/>
          <w:szCs w:val="22"/>
          <w:lang w:val="sr-Latn-RS"/>
        </w:rPr>
        <w:t>ij</w:t>
      </w:r>
      <w:r w:rsidRPr="00234ECD">
        <w:rPr>
          <w:rFonts w:eastAsia="SimSun"/>
          <w:sz w:val="22"/>
          <w:szCs w:val="22"/>
          <w:lang w:val="sr-Latn-RS"/>
        </w:rPr>
        <w:t>ečeni antikoagulansima ili antitrombocitnim l</w:t>
      </w:r>
      <w:r w:rsidR="00321794" w:rsidRPr="00234ECD">
        <w:rPr>
          <w:rFonts w:eastAsia="SimSun"/>
          <w:sz w:val="22"/>
          <w:szCs w:val="22"/>
          <w:lang w:val="sr-Latn-RS"/>
        </w:rPr>
        <w:t>j</w:t>
      </w:r>
      <w:r w:rsidRPr="00234ECD">
        <w:rPr>
          <w:rFonts w:eastAsia="SimSun"/>
          <w:sz w:val="22"/>
          <w:szCs w:val="22"/>
          <w:lang w:val="sr-Latn-RS"/>
        </w:rPr>
        <w:t>ekovima. Ispitanici sa nel</w:t>
      </w:r>
      <w:r w:rsidR="00321794" w:rsidRPr="00234ECD">
        <w:rPr>
          <w:rFonts w:eastAsia="SimSun"/>
          <w:sz w:val="22"/>
          <w:szCs w:val="22"/>
          <w:lang w:val="sr-Latn-RS"/>
        </w:rPr>
        <w:t>ij</w:t>
      </w:r>
      <w:r w:rsidRPr="00234ECD">
        <w:rPr>
          <w:rFonts w:eastAsia="SimSun"/>
          <w:sz w:val="22"/>
          <w:szCs w:val="22"/>
          <w:lang w:val="sr-Latn-RS"/>
        </w:rPr>
        <w:t>ečenim ili nepotpuno izl</w:t>
      </w:r>
      <w:r w:rsidR="00321794" w:rsidRPr="00234ECD">
        <w:rPr>
          <w:rFonts w:eastAsia="SimSun"/>
          <w:sz w:val="22"/>
          <w:szCs w:val="22"/>
          <w:lang w:val="sr-Latn-RS"/>
        </w:rPr>
        <w:t>ij</w:t>
      </w:r>
      <w:r w:rsidRPr="00234ECD">
        <w:rPr>
          <w:rFonts w:eastAsia="SimSun"/>
          <w:sz w:val="22"/>
          <w:szCs w:val="22"/>
          <w:lang w:val="sr-Latn-RS"/>
        </w:rPr>
        <w:t>ečenim varikozitetima sa krvarenjem ili visokim rizikom od krvarenja takođe su bili isključeni iz studije.</w:t>
      </w:r>
    </w:p>
    <w:p w14:paraId="5C4450E1" w14:textId="0C49072C" w:rsidR="00D857AC" w:rsidRPr="00234ECD" w:rsidRDefault="00D857AC" w:rsidP="00D857AC">
      <w:pPr>
        <w:jc w:val="both"/>
        <w:rPr>
          <w:rFonts w:eastAsia="Calibri"/>
          <w:sz w:val="22"/>
          <w:szCs w:val="22"/>
          <w:lang w:val="sr-Latn-RS"/>
        </w:rPr>
      </w:pPr>
      <w:r w:rsidRPr="00234ECD">
        <w:rPr>
          <w:rFonts w:eastAsia="Calibri"/>
          <w:sz w:val="22"/>
          <w:szCs w:val="22"/>
          <w:lang w:val="sr-Latn-RS"/>
        </w:rPr>
        <w:t>Studija kabozantiniba u kombinaciji sa nivolumabom kao prve linije l</w:t>
      </w:r>
      <w:r w:rsidR="00321794" w:rsidRPr="00234ECD">
        <w:rPr>
          <w:rFonts w:eastAsia="Calibri"/>
          <w:sz w:val="22"/>
          <w:szCs w:val="22"/>
          <w:lang w:val="sr-Latn-RS"/>
        </w:rPr>
        <w:t>ij</w:t>
      </w:r>
      <w:r w:rsidRPr="00234ECD">
        <w:rPr>
          <w:rFonts w:eastAsia="Calibri"/>
          <w:sz w:val="22"/>
          <w:szCs w:val="22"/>
          <w:lang w:val="sr-Latn-RS"/>
        </w:rPr>
        <w:t>ečenja kod uznapredovalog RCC-a (CA2099ER) isključila je pacijente sa antikoagulansima u terapijskim dozama.</w:t>
      </w:r>
    </w:p>
    <w:p w14:paraId="43DFABEB" w14:textId="77777777" w:rsidR="00D857AC" w:rsidRPr="00234ECD" w:rsidRDefault="00D857AC" w:rsidP="00D857AC">
      <w:pPr>
        <w:jc w:val="both"/>
        <w:rPr>
          <w:rFonts w:eastAsia="SimSun"/>
          <w:sz w:val="22"/>
          <w:szCs w:val="22"/>
          <w:u w:val="single"/>
          <w:lang w:val="sr-Latn-RS"/>
        </w:rPr>
      </w:pPr>
    </w:p>
    <w:p w14:paraId="76D32A96" w14:textId="77777777" w:rsidR="00D857AC" w:rsidRPr="00234ECD" w:rsidRDefault="00D857AC" w:rsidP="00D857AC">
      <w:pPr>
        <w:jc w:val="both"/>
        <w:rPr>
          <w:rFonts w:eastAsia="SimSun"/>
          <w:sz w:val="22"/>
          <w:szCs w:val="22"/>
          <w:u w:val="single"/>
          <w:lang w:val="sr-Latn-RS" w:eastAsia="sr-Latn-ME"/>
        </w:rPr>
      </w:pPr>
      <w:r w:rsidRPr="00234ECD">
        <w:rPr>
          <w:rFonts w:eastAsia="SimSun"/>
          <w:sz w:val="22"/>
          <w:szCs w:val="22"/>
          <w:u w:val="single"/>
          <w:lang w:val="sr-Latn-RS" w:eastAsia="sr-Latn-ME"/>
        </w:rPr>
        <w:t>Aneurizme i disekcije arterije</w:t>
      </w:r>
    </w:p>
    <w:p w14:paraId="1E15C2FE" w14:textId="04DA3C68" w:rsidR="00D857AC" w:rsidRPr="00234ECD" w:rsidRDefault="00D857AC" w:rsidP="00D857AC">
      <w:pPr>
        <w:jc w:val="both"/>
        <w:rPr>
          <w:rFonts w:eastAsia="SimSun"/>
          <w:sz w:val="22"/>
          <w:szCs w:val="22"/>
          <w:lang w:val="sr-Latn-RS" w:eastAsia="sr-Latn-ME"/>
        </w:rPr>
      </w:pPr>
      <w:r w:rsidRPr="00234ECD">
        <w:rPr>
          <w:rFonts w:eastAsia="SimSun"/>
          <w:sz w:val="22"/>
          <w:szCs w:val="22"/>
          <w:lang w:val="sr-Latn-RS" w:eastAsia="sr-Latn-ME"/>
        </w:rPr>
        <w:t>Prim</w:t>
      </w:r>
      <w:r w:rsidR="00321794" w:rsidRPr="00234ECD">
        <w:rPr>
          <w:rFonts w:eastAsia="SimSun"/>
          <w:sz w:val="22"/>
          <w:szCs w:val="22"/>
          <w:lang w:val="sr-Latn-RS" w:eastAsia="sr-Latn-ME"/>
        </w:rPr>
        <w:t>j</w:t>
      </w:r>
      <w:r w:rsidRPr="00234ECD">
        <w:rPr>
          <w:rFonts w:eastAsia="SimSun"/>
          <w:sz w:val="22"/>
          <w:szCs w:val="22"/>
          <w:lang w:val="sr-Latn-RS" w:eastAsia="sr-Latn-ME"/>
        </w:rPr>
        <w:t xml:space="preserve">ena inhibitora VEGF puta </w:t>
      </w:r>
      <w:bookmarkStart w:id="2" w:name="_Hlk25332473"/>
      <w:r w:rsidRPr="00234ECD">
        <w:rPr>
          <w:rFonts w:eastAsia="SimSun"/>
          <w:sz w:val="22"/>
          <w:szCs w:val="22"/>
          <w:lang w:val="sr-Latn-RS" w:eastAsia="sr-Latn-ME"/>
        </w:rPr>
        <w:t xml:space="preserve">kod pacijenata </w:t>
      </w:r>
      <w:bookmarkEnd w:id="2"/>
      <w:r w:rsidRPr="00234ECD">
        <w:rPr>
          <w:rFonts w:eastAsia="SimSun"/>
          <w:sz w:val="22"/>
          <w:szCs w:val="22"/>
          <w:lang w:val="sr-Latn-RS" w:eastAsia="sr-Latn-ME"/>
        </w:rPr>
        <w:t>sa ili bez hipertenzije može da podstakne stvaranje aneurizama i/ili disekcija arterije. Pr</w:t>
      </w:r>
      <w:r w:rsidR="00406DA7" w:rsidRPr="00234ECD">
        <w:rPr>
          <w:rFonts w:eastAsia="SimSun"/>
          <w:sz w:val="22"/>
          <w:szCs w:val="22"/>
          <w:lang w:val="sr-Latn-RS" w:eastAsia="sr-Latn-ME"/>
        </w:rPr>
        <w:t>ij</w:t>
      </w:r>
      <w:r w:rsidRPr="00234ECD">
        <w:rPr>
          <w:rFonts w:eastAsia="SimSun"/>
          <w:sz w:val="22"/>
          <w:szCs w:val="22"/>
          <w:lang w:val="sr-Latn-RS" w:eastAsia="sr-Latn-ME"/>
        </w:rPr>
        <w:t>e početka prim</w:t>
      </w:r>
      <w:r w:rsidR="00406DA7" w:rsidRPr="00234ECD">
        <w:rPr>
          <w:rFonts w:eastAsia="SimSun"/>
          <w:sz w:val="22"/>
          <w:szCs w:val="22"/>
          <w:lang w:val="sr-Latn-RS" w:eastAsia="sr-Latn-ME"/>
        </w:rPr>
        <w:t>j</w:t>
      </w:r>
      <w:r w:rsidRPr="00234ECD">
        <w:rPr>
          <w:rFonts w:eastAsia="SimSun"/>
          <w:sz w:val="22"/>
          <w:szCs w:val="22"/>
          <w:lang w:val="sr-Latn-RS" w:eastAsia="sr-Latn-ME"/>
        </w:rPr>
        <w:t>ene kabozantiniba potrebno je pažljivo razmotriti ovaj rizik kod pacijenata sa faktorima rizika kao što su hipertenzija ili aneurizma u anamnezi.</w:t>
      </w:r>
    </w:p>
    <w:p w14:paraId="43E63F8C" w14:textId="77777777" w:rsidR="00D857AC" w:rsidRPr="00234ECD" w:rsidRDefault="00D857AC" w:rsidP="00D857AC">
      <w:pPr>
        <w:rPr>
          <w:rFonts w:eastAsia="SimSun"/>
          <w:sz w:val="22"/>
          <w:szCs w:val="22"/>
          <w:u w:val="single"/>
          <w:lang w:val="sr-Latn-RS"/>
        </w:rPr>
      </w:pPr>
    </w:p>
    <w:p w14:paraId="7320BD51" w14:textId="77777777" w:rsidR="00D857AC" w:rsidRPr="00234ECD" w:rsidRDefault="00D857AC" w:rsidP="00D857AC">
      <w:pPr>
        <w:rPr>
          <w:rFonts w:eastAsia="SimSun"/>
          <w:sz w:val="22"/>
          <w:szCs w:val="22"/>
          <w:u w:val="single"/>
          <w:lang w:val="sr-Latn-RS"/>
        </w:rPr>
      </w:pPr>
      <w:r w:rsidRPr="00234ECD">
        <w:rPr>
          <w:rFonts w:eastAsia="SimSun"/>
          <w:sz w:val="22"/>
          <w:szCs w:val="22"/>
          <w:u w:val="single"/>
          <w:lang w:val="sr-Latn-RS"/>
        </w:rPr>
        <w:t>Trombocitopenija</w:t>
      </w:r>
    </w:p>
    <w:p w14:paraId="4A0BB600" w14:textId="14C60069" w:rsidR="00D857AC" w:rsidRPr="00234ECD" w:rsidRDefault="00D857AC" w:rsidP="00D857AC">
      <w:pPr>
        <w:jc w:val="both"/>
        <w:rPr>
          <w:rFonts w:eastAsia="Calibri"/>
          <w:sz w:val="22"/>
          <w:szCs w:val="22"/>
          <w:lang w:val="sr-Latn-RS"/>
        </w:rPr>
      </w:pPr>
      <w:r w:rsidRPr="00234ECD">
        <w:rPr>
          <w:bCs/>
          <w:sz w:val="22"/>
          <w:szCs w:val="22"/>
          <w:lang w:val="sr-Latn-RS"/>
        </w:rPr>
        <w:t>U studiji</w:t>
      </w:r>
      <w:r w:rsidRPr="00234ECD">
        <w:rPr>
          <w:bCs/>
          <w:iCs/>
          <w:sz w:val="22"/>
          <w:szCs w:val="22"/>
          <w:lang w:val="sr-Latn-RS"/>
        </w:rPr>
        <w:t xml:space="preserve"> hepatocelularnog karcinoma </w:t>
      </w:r>
      <w:r w:rsidRPr="00234ECD">
        <w:rPr>
          <w:sz w:val="22"/>
          <w:szCs w:val="22"/>
          <w:lang w:val="sr-Latn-RS"/>
        </w:rPr>
        <w:t>(CELESTIAL)</w:t>
      </w:r>
      <w:r w:rsidR="00083448" w:rsidRPr="00234ECD">
        <w:rPr>
          <w:sz w:val="22"/>
          <w:szCs w:val="22"/>
          <w:lang w:val="sr-Latn-RS"/>
        </w:rPr>
        <w:t xml:space="preserve"> </w:t>
      </w:r>
      <w:r w:rsidR="00640EB4" w:rsidRPr="00234ECD">
        <w:rPr>
          <w:sz w:val="22"/>
          <w:szCs w:val="22"/>
          <w:lang w:val="sr-Latn-RS"/>
        </w:rPr>
        <w:t>i u studiji diferenciranog karcinoma štit</w:t>
      </w:r>
      <w:r w:rsidR="00152359" w:rsidRPr="00234ECD">
        <w:rPr>
          <w:sz w:val="22"/>
          <w:szCs w:val="22"/>
          <w:lang w:val="sr-Latn-RS"/>
        </w:rPr>
        <w:t>aste</w:t>
      </w:r>
      <w:r w:rsidR="00640EB4" w:rsidRPr="00234ECD">
        <w:rPr>
          <w:sz w:val="22"/>
          <w:szCs w:val="22"/>
          <w:lang w:val="sr-Latn-RS"/>
        </w:rPr>
        <w:t xml:space="preserve"> žl</w:t>
      </w:r>
      <w:r w:rsidR="008D62D7" w:rsidRPr="00234ECD">
        <w:rPr>
          <w:sz w:val="22"/>
          <w:szCs w:val="22"/>
          <w:lang w:val="sr-Latn-RS"/>
        </w:rPr>
        <w:t>ij</w:t>
      </w:r>
      <w:r w:rsidR="00640EB4" w:rsidRPr="00234ECD">
        <w:rPr>
          <w:sz w:val="22"/>
          <w:szCs w:val="22"/>
          <w:lang w:val="sr-Latn-RS"/>
        </w:rPr>
        <w:t>ezde (COSMIC-311)</w:t>
      </w:r>
      <w:r w:rsidRPr="00234ECD">
        <w:rPr>
          <w:sz w:val="22"/>
          <w:szCs w:val="22"/>
          <w:lang w:val="sr-Latn-RS"/>
        </w:rPr>
        <w:t>, prijavljene su trombocitopenija i smanjeni broj trombocita. Potrebno je pratiti nivoe trombocita za vr</w:t>
      </w:r>
      <w:r w:rsidR="00406DA7" w:rsidRPr="00234ECD">
        <w:rPr>
          <w:sz w:val="22"/>
          <w:szCs w:val="22"/>
          <w:lang w:val="sr-Latn-RS"/>
        </w:rPr>
        <w:t>ij</w:t>
      </w:r>
      <w:r w:rsidRPr="00234ECD">
        <w:rPr>
          <w:sz w:val="22"/>
          <w:szCs w:val="22"/>
          <w:lang w:val="sr-Latn-RS"/>
        </w:rPr>
        <w:t>eme terapije kabozantinibom i prilagoditi dozu u skladu sa težinom trombocitopenije (vid</w:t>
      </w:r>
      <w:r w:rsidR="00406DA7" w:rsidRPr="00234ECD">
        <w:rPr>
          <w:sz w:val="22"/>
          <w:szCs w:val="22"/>
          <w:lang w:val="sr-Latn-RS"/>
        </w:rPr>
        <w:t>j</w:t>
      </w:r>
      <w:r w:rsidRPr="00234ECD">
        <w:rPr>
          <w:sz w:val="22"/>
          <w:szCs w:val="22"/>
          <w:lang w:val="sr-Latn-RS"/>
        </w:rPr>
        <w:t xml:space="preserve">eti </w:t>
      </w:r>
      <w:r w:rsidR="009A01F0" w:rsidRPr="00234ECD">
        <w:rPr>
          <w:sz w:val="22"/>
          <w:szCs w:val="22"/>
          <w:lang w:val="sr-Latn-RS"/>
        </w:rPr>
        <w:t>T</w:t>
      </w:r>
      <w:r w:rsidRPr="00234ECD">
        <w:rPr>
          <w:sz w:val="22"/>
          <w:szCs w:val="22"/>
          <w:lang w:val="sr-Latn-RS"/>
        </w:rPr>
        <w:t>abelu 1).</w:t>
      </w:r>
    </w:p>
    <w:p w14:paraId="3E51F54B" w14:textId="77777777" w:rsidR="00D857AC" w:rsidRPr="00234ECD" w:rsidRDefault="00D857AC" w:rsidP="00D857AC">
      <w:pPr>
        <w:jc w:val="both"/>
        <w:rPr>
          <w:rFonts w:eastAsia="Calibri"/>
          <w:sz w:val="22"/>
          <w:szCs w:val="22"/>
          <w:lang w:val="sr-Latn-RS"/>
        </w:rPr>
      </w:pPr>
    </w:p>
    <w:p w14:paraId="693C092C"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Komplikacije sa ranama</w:t>
      </w:r>
    </w:p>
    <w:p w14:paraId="3F38CF66" w14:textId="2A872BAB" w:rsidR="00D857AC" w:rsidRPr="00234ECD" w:rsidRDefault="00D857AC" w:rsidP="00D857AC">
      <w:pPr>
        <w:jc w:val="both"/>
        <w:rPr>
          <w:rFonts w:eastAsia="Calibri"/>
          <w:sz w:val="22"/>
          <w:szCs w:val="22"/>
          <w:lang w:val="sr-Latn-RS"/>
        </w:rPr>
      </w:pPr>
      <w:r w:rsidRPr="00234ECD">
        <w:rPr>
          <w:rFonts w:eastAsia="Calibri"/>
          <w:sz w:val="22"/>
          <w:szCs w:val="22"/>
          <w:lang w:val="sr-Latn-RS"/>
        </w:rPr>
        <w:t>Prilikom prim</w:t>
      </w:r>
      <w:r w:rsidR="00406DA7" w:rsidRPr="00234ECD">
        <w:rPr>
          <w:rFonts w:eastAsia="Calibri"/>
          <w:sz w:val="22"/>
          <w:szCs w:val="22"/>
          <w:lang w:val="sr-Latn-RS"/>
        </w:rPr>
        <w:t>j</w:t>
      </w:r>
      <w:r w:rsidRPr="00234ECD">
        <w:rPr>
          <w:rFonts w:eastAsia="Calibri"/>
          <w:sz w:val="22"/>
          <w:szCs w:val="22"/>
          <w:lang w:val="sr-Latn-RS"/>
        </w:rPr>
        <w:t>ene kabozantiniba prim</w:t>
      </w:r>
      <w:r w:rsidR="00406DA7" w:rsidRPr="00234ECD">
        <w:rPr>
          <w:rFonts w:eastAsia="Calibri"/>
          <w:sz w:val="22"/>
          <w:szCs w:val="22"/>
          <w:lang w:val="sr-Latn-RS"/>
        </w:rPr>
        <w:t>ij</w:t>
      </w:r>
      <w:r w:rsidRPr="00234ECD">
        <w:rPr>
          <w:rFonts w:eastAsia="Calibri"/>
          <w:sz w:val="22"/>
          <w:szCs w:val="22"/>
          <w:lang w:val="sr-Latn-RS"/>
        </w:rPr>
        <w:t>ećene su komplikacije sa ranama. Ako je moguće, terapiju kabozantinibom treba prekinuti najmanje 28 dana pr</w:t>
      </w:r>
      <w:r w:rsidR="00406DA7" w:rsidRPr="00234ECD">
        <w:rPr>
          <w:rFonts w:eastAsia="Calibri"/>
          <w:sz w:val="22"/>
          <w:szCs w:val="22"/>
          <w:lang w:val="sr-Latn-RS"/>
        </w:rPr>
        <w:t>ij</w:t>
      </w:r>
      <w:r w:rsidRPr="00234ECD">
        <w:rPr>
          <w:rFonts w:eastAsia="Calibri"/>
          <w:sz w:val="22"/>
          <w:szCs w:val="22"/>
          <w:lang w:val="sr-Latn-RS"/>
        </w:rPr>
        <w:t>e zakazane operacije, uključujući i stomatološke operacije ili  invazivne stomatološke procedure. Odluku o nastavku terapije kabozantinibom nakon operacije treba don</w:t>
      </w:r>
      <w:r w:rsidR="00406DA7" w:rsidRPr="00234ECD">
        <w:rPr>
          <w:rFonts w:eastAsia="Calibri"/>
          <w:sz w:val="22"/>
          <w:szCs w:val="22"/>
          <w:lang w:val="sr-Latn-RS"/>
        </w:rPr>
        <w:t>ij</w:t>
      </w:r>
      <w:r w:rsidRPr="00234ECD">
        <w:rPr>
          <w:rFonts w:eastAsia="Calibri"/>
          <w:sz w:val="22"/>
          <w:szCs w:val="22"/>
          <w:lang w:val="sr-Latn-RS"/>
        </w:rPr>
        <w:t>eti na osnovu kliničke proc</w:t>
      </w:r>
      <w:r w:rsidR="00406DA7" w:rsidRPr="00234ECD">
        <w:rPr>
          <w:rFonts w:eastAsia="Calibri"/>
          <w:sz w:val="22"/>
          <w:szCs w:val="22"/>
          <w:lang w:val="sr-Latn-RS"/>
        </w:rPr>
        <w:t>j</w:t>
      </w:r>
      <w:r w:rsidRPr="00234ECD">
        <w:rPr>
          <w:rFonts w:eastAsia="Calibri"/>
          <w:sz w:val="22"/>
          <w:szCs w:val="22"/>
          <w:lang w:val="sr-Latn-RS"/>
        </w:rPr>
        <w:t>ene o adekvatnom zarastanju rane. Prim</w:t>
      </w:r>
      <w:r w:rsidR="00406DA7" w:rsidRPr="00234ECD">
        <w:rPr>
          <w:rFonts w:eastAsia="Calibri"/>
          <w:sz w:val="22"/>
          <w:szCs w:val="22"/>
          <w:lang w:val="sr-Latn-RS"/>
        </w:rPr>
        <w:t>j</w:t>
      </w:r>
      <w:r w:rsidRPr="00234ECD">
        <w:rPr>
          <w:rFonts w:eastAsia="Calibri"/>
          <w:sz w:val="22"/>
          <w:szCs w:val="22"/>
          <w:lang w:val="sr-Latn-RS"/>
        </w:rPr>
        <w:t>enu kabozantiniba treba obustaviti kod pacijenata kod kojih se jave komplikacije sa zarastanjem rana koje zaht</w:t>
      </w:r>
      <w:r w:rsidR="00406DA7" w:rsidRPr="00234ECD">
        <w:rPr>
          <w:rFonts w:eastAsia="Calibri"/>
          <w:sz w:val="22"/>
          <w:szCs w:val="22"/>
          <w:lang w:val="sr-Latn-RS"/>
        </w:rPr>
        <w:t>ij</w:t>
      </w:r>
      <w:r w:rsidRPr="00234ECD">
        <w:rPr>
          <w:rFonts w:eastAsia="Calibri"/>
          <w:sz w:val="22"/>
          <w:szCs w:val="22"/>
          <w:lang w:val="sr-Latn-RS"/>
        </w:rPr>
        <w:t>evaju medicinsku intervenciju.</w:t>
      </w:r>
    </w:p>
    <w:p w14:paraId="017963E9" w14:textId="77777777" w:rsidR="00D857AC" w:rsidRPr="00234ECD" w:rsidRDefault="00D857AC" w:rsidP="00D857AC">
      <w:pPr>
        <w:jc w:val="both"/>
        <w:rPr>
          <w:rFonts w:eastAsia="Calibri"/>
          <w:sz w:val="22"/>
          <w:szCs w:val="22"/>
          <w:lang w:val="sr-Latn-RS"/>
        </w:rPr>
      </w:pPr>
    </w:p>
    <w:p w14:paraId="28FA8BAE"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Hipertenzija</w:t>
      </w:r>
    </w:p>
    <w:p w14:paraId="2ECD683B" w14:textId="253F68DF" w:rsidR="00D857AC" w:rsidRPr="00234ECD" w:rsidRDefault="00D857AC" w:rsidP="00D857AC">
      <w:pPr>
        <w:jc w:val="both"/>
        <w:rPr>
          <w:rFonts w:eastAsia="Calibri"/>
          <w:sz w:val="22"/>
          <w:szCs w:val="22"/>
          <w:lang w:val="sr-Latn-RS"/>
        </w:rPr>
      </w:pPr>
      <w:r w:rsidRPr="00234ECD">
        <w:rPr>
          <w:rFonts w:eastAsia="Calibri"/>
          <w:sz w:val="22"/>
          <w:szCs w:val="22"/>
          <w:lang w:val="sr-Latn-RS"/>
        </w:rPr>
        <w:t>Prilikom prim</w:t>
      </w:r>
      <w:r w:rsidR="00406DA7" w:rsidRPr="00234ECD">
        <w:rPr>
          <w:rFonts w:eastAsia="Calibri"/>
          <w:sz w:val="22"/>
          <w:szCs w:val="22"/>
          <w:lang w:val="sr-Latn-RS"/>
        </w:rPr>
        <w:t>j</w:t>
      </w:r>
      <w:r w:rsidRPr="00234ECD">
        <w:rPr>
          <w:rFonts w:eastAsia="Calibri"/>
          <w:sz w:val="22"/>
          <w:szCs w:val="22"/>
          <w:lang w:val="sr-Latn-RS"/>
        </w:rPr>
        <w:t>ene kabozantiniba prim</w:t>
      </w:r>
      <w:r w:rsidR="00406DA7" w:rsidRPr="00234ECD">
        <w:rPr>
          <w:rFonts w:eastAsia="Calibri"/>
          <w:sz w:val="22"/>
          <w:szCs w:val="22"/>
          <w:lang w:val="sr-Latn-RS"/>
        </w:rPr>
        <w:t>ij</w:t>
      </w:r>
      <w:r w:rsidRPr="00234ECD">
        <w:rPr>
          <w:rFonts w:eastAsia="Calibri"/>
          <w:sz w:val="22"/>
          <w:szCs w:val="22"/>
          <w:lang w:val="sr-Latn-RS"/>
        </w:rPr>
        <w:t>ećena je hipertenzija</w:t>
      </w:r>
      <w:r w:rsidR="00890841" w:rsidRPr="00234ECD">
        <w:rPr>
          <w:rFonts w:eastAsia="Calibri"/>
          <w:sz w:val="22"/>
          <w:szCs w:val="22"/>
          <w:lang w:val="sr-Latn-RS"/>
        </w:rPr>
        <w:t>, uključujući hipertenzivnu krizu</w:t>
      </w:r>
      <w:r w:rsidRPr="00234ECD">
        <w:rPr>
          <w:rFonts w:eastAsia="Calibri"/>
          <w:sz w:val="22"/>
          <w:szCs w:val="22"/>
          <w:lang w:val="sr-Latn-RS"/>
        </w:rPr>
        <w:t>. Pr</w:t>
      </w:r>
      <w:r w:rsidR="00406DA7" w:rsidRPr="00234ECD">
        <w:rPr>
          <w:rFonts w:eastAsia="Calibri"/>
          <w:sz w:val="22"/>
          <w:szCs w:val="22"/>
          <w:lang w:val="sr-Latn-RS"/>
        </w:rPr>
        <w:t>ij</w:t>
      </w:r>
      <w:r w:rsidRPr="00234ECD">
        <w:rPr>
          <w:rFonts w:eastAsia="Calibri"/>
          <w:sz w:val="22"/>
          <w:szCs w:val="22"/>
          <w:lang w:val="sr-Latn-RS"/>
        </w:rPr>
        <w:t xml:space="preserve">e uvođenja kabozantiniba krvni pritisak treba dobro kontrolisati. </w:t>
      </w:r>
      <w:r w:rsidR="00496454" w:rsidRPr="00234ECD">
        <w:rPr>
          <w:rFonts w:eastAsia="Calibri"/>
          <w:sz w:val="22"/>
          <w:szCs w:val="22"/>
          <w:lang w:val="sr-Latn-RS"/>
        </w:rPr>
        <w:t xml:space="preserve">Ubrzo nakon uvođenja kabozantiniba, krvni pritisak treba pratiti redovno i po potrebi liječiti odgovarajućom antihipertenzivnom terapijom. U slučaju perzistentne hipertenzije prisutne bez obzira na primjenu antihipertenziva, liječenje kabozantinibom treba prekinuti sve dok se ne uspostavi kontrola krvnog pritiska, nakon čega se može nastaviti sa primjenom kabozantiniba u smanjenoj dozi. </w:t>
      </w:r>
      <w:r w:rsidRPr="00234ECD">
        <w:rPr>
          <w:rFonts w:eastAsia="Calibri"/>
          <w:sz w:val="22"/>
          <w:szCs w:val="22"/>
          <w:lang w:val="sr-Latn-RS"/>
        </w:rPr>
        <w:t>Ako je hipertenzija teška i perzistentna bez obzira na prim</w:t>
      </w:r>
      <w:r w:rsidR="00406DA7" w:rsidRPr="00234ECD">
        <w:rPr>
          <w:rFonts w:eastAsia="Calibri"/>
          <w:sz w:val="22"/>
          <w:szCs w:val="22"/>
          <w:lang w:val="sr-Latn-RS"/>
        </w:rPr>
        <w:t>j</w:t>
      </w:r>
      <w:r w:rsidRPr="00234ECD">
        <w:rPr>
          <w:rFonts w:eastAsia="Calibri"/>
          <w:sz w:val="22"/>
          <w:szCs w:val="22"/>
          <w:lang w:val="sr-Latn-RS"/>
        </w:rPr>
        <w:t>enu antihipertenzivne terapije i smanjenja doze kabozantiniba, prim</w:t>
      </w:r>
      <w:r w:rsidR="00406DA7" w:rsidRPr="00234ECD">
        <w:rPr>
          <w:rFonts w:eastAsia="Calibri"/>
          <w:sz w:val="22"/>
          <w:szCs w:val="22"/>
          <w:lang w:val="sr-Latn-RS"/>
        </w:rPr>
        <w:t>j</w:t>
      </w:r>
      <w:r w:rsidRPr="00234ECD">
        <w:rPr>
          <w:rFonts w:eastAsia="Calibri"/>
          <w:sz w:val="22"/>
          <w:szCs w:val="22"/>
          <w:lang w:val="sr-Latn-RS"/>
        </w:rPr>
        <w:t>enu kabozantiniba treba obustaviti. Ako se javi hipertenzivna kriza, prim</w:t>
      </w:r>
      <w:r w:rsidR="00406DA7" w:rsidRPr="00234ECD">
        <w:rPr>
          <w:rFonts w:eastAsia="Calibri"/>
          <w:sz w:val="22"/>
          <w:szCs w:val="22"/>
          <w:lang w:val="sr-Latn-RS"/>
        </w:rPr>
        <w:t>j</w:t>
      </w:r>
      <w:r w:rsidRPr="00234ECD">
        <w:rPr>
          <w:rFonts w:eastAsia="Calibri"/>
          <w:sz w:val="22"/>
          <w:szCs w:val="22"/>
          <w:lang w:val="sr-Latn-RS"/>
        </w:rPr>
        <w:t>enu kabozantiniba treba obustaviti.</w:t>
      </w:r>
    </w:p>
    <w:p w14:paraId="1924727F" w14:textId="77777777" w:rsidR="00D857AC" w:rsidRPr="00234ECD" w:rsidRDefault="00D857AC" w:rsidP="00D857AC">
      <w:pPr>
        <w:jc w:val="both"/>
        <w:rPr>
          <w:rFonts w:eastAsia="Calibri"/>
          <w:sz w:val="22"/>
          <w:szCs w:val="22"/>
          <w:lang w:val="sr-Latn-RS"/>
        </w:rPr>
      </w:pPr>
    </w:p>
    <w:p w14:paraId="26491FCF"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Osteonekroza</w:t>
      </w:r>
    </w:p>
    <w:p w14:paraId="5E5603BA" w14:textId="515C501C" w:rsidR="00D857AC" w:rsidRPr="00234ECD" w:rsidRDefault="00D857AC" w:rsidP="00D857AC">
      <w:pPr>
        <w:jc w:val="both"/>
        <w:rPr>
          <w:rFonts w:eastAsia="Calibri"/>
          <w:sz w:val="22"/>
          <w:szCs w:val="22"/>
          <w:lang w:val="sr-Latn-RS"/>
        </w:rPr>
      </w:pPr>
      <w:r w:rsidRPr="00234ECD">
        <w:rPr>
          <w:rFonts w:eastAsia="Calibri"/>
          <w:sz w:val="22"/>
          <w:szCs w:val="22"/>
          <w:lang w:val="sr-Latn-RS"/>
        </w:rPr>
        <w:t>Prilikom prim</w:t>
      </w:r>
      <w:r w:rsidR="00406DA7" w:rsidRPr="00234ECD">
        <w:rPr>
          <w:rFonts w:eastAsia="Calibri"/>
          <w:sz w:val="22"/>
          <w:szCs w:val="22"/>
          <w:lang w:val="sr-Latn-RS"/>
        </w:rPr>
        <w:t>j</w:t>
      </w:r>
      <w:r w:rsidRPr="00234ECD">
        <w:rPr>
          <w:rFonts w:eastAsia="Calibri"/>
          <w:sz w:val="22"/>
          <w:szCs w:val="22"/>
          <w:lang w:val="sr-Latn-RS"/>
        </w:rPr>
        <w:t>ene kabozantiniba zab</w:t>
      </w:r>
      <w:r w:rsidR="00406DA7" w:rsidRPr="00234ECD">
        <w:rPr>
          <w:rFonts w:eastAsia="Calibri"/>
          <w:sz w:val="22"/>
          <w:szCs w:val="22"/>
          <w:lang w:val="sr-Latn-RS"/>
        </w:rPr>
        <w:t>i</w:t>
      </w:r>
      <w:r w:rsidRPr="00234ECD">
        <w:rPr>
          <w:rFonts w:eastAsia="Calibri"/>
          <w:sz w:val="22"/>
          <w:szCs w:val="22"/>
          <w:lang w:val="sr-Latn-RS"/>
        </w:rPr>
        <w:t>l</w:t>
      </w:r>
      <w:r w:rsidR="00406DA7" w:rsidRPr="00234ECD">
        <w:rPr>
          <w:rFonts w:eastAsia="Calibri"/>
          <w:sz w:val="22"/>
          <w:szCs w:val="22"/>
          <w:lang w:val="sr-Latn-RS"/>
        </w:rPr>
        <w:t>j</w:t>
      </w:r>
      <w:r w:rsidRPr="00234ECD">
        <w:rPr>
          <w:rFonts w:eastAsia="Calibri"/>
          <w:sz w:val="22"/>
          <w:szCs w:val="22"/>
          <w:lang w:val="sr-Latn-RS"/>
        </w:rPr>
        <w:t xml:space="preserve">eženi su slučajevi osteonekroze vilice (engl. </w:t>
      </w:r>
      <w:r w:rsidR="002C640E" w:rsidRPr="00234ECD">
        <w:rPr>
          <w:rFonts w:eastAsia="Calibri"/>
          <w:i/>
          <w:sz w:val="22"/>
          <w:szCs w:val="22"/>
          <w:lang w:val="sr-Latn-RS"/>
        </w:rPr>
        <w:t>o</w:t>
      </w:r>
      <w:r w:rsidRPr="00234ECD">
        <w:rPr>
          <w:rFonts w:eastAsia="Calibri"/>
          <w:i/>
          <w:sz w:val="22"/>
          <w:szCs w:val="22"/>
          <w:lang w:val="sr-Latn-RS"/>
        </w:rPr>
        <w:t>steonecrosis of the jaw</w:t>
      </w:r>
      <w:r w:rsidRPr="00234ECD">
        <w:rPr>
          <w:rFonts w:eastAsia="Calibri"/>
          <w:sz w:val="22"/>
          <w:szCs w:val="22"/>
          <w:lang w:val="sr-Latn-RS"/>
        </w:rPr>
        <w:t>, ONJ). Pr</w:t>
      </w:r>
      <w:r w:rsidR="00406DA7" w:rsidRPr="00234ECD">
        <w:rPr>
          <w:rFonts w:eastAsia="Calibri"/>
          <w:sz w:val="22"/>
          <w:szCs w:val="22"/>
          <w:lang w:val="sr-Latn-RS"/>
        </w:rPr>
        <w:t>ij</w:t>
      </w:r>
      <w:r w:rsidRPr="00234ECD">
        <w:rPr>
          <w:rFonts w:eastAsia="Calibri"/>
          <w:sz w:val="22"/>
          <w:szCs w:val="22"/>
          <w:lang w:val="sr-Latn-RS"/>
        </w:rPr>
        <w:t>e početka prim</w:t>
      </w:r>
      <w:r w:rsidR="00406DA7" w:rsidRPr="00234ECD">
        <w:rPr>
          <w:rFonts w:eastAsia="Calibri"/>
          <w:sz w:val="22"/>
          <w:szCs w:val="22"/>
          <w:lang w:val="sr-Latn-RS"/>
        </w:rPr>
        <w:t>j</w:t>
      </w:r>
      <w:r w:rsidRPr="00234ECD">
        <w:rPr>
          <w:rFonts w:eastAsia="Calibri"/>
          <w:sz w:val="22"/>
          <w:szCs w:val="22"/>
          <w:lang w:val="sr-Latn-RS"/>
        </w:rPr>
        <w:t>ene kabozantiniba i periodično tokom terapije kabozantinibom treba obaviti oralni pregled. Pacijente treba sav</w:t>
      </w:r>
      <w:r w:rsidR="00406DA7" w:rsidRPr="00234ECD">
        <w:rPr>
          <w:rFonts w:eastAsia="Calibri"/>
          <w:sz w:val="22"/>
          <w:szCs w:val="22"/>
          <w:lang w:val="sr-Latn-RS"/>
        </w:rPr>
        <w:t>j</w:t>
      </w:r>
      <w:r w:rsidRPr="00234ECD">
        <w:rPr>
          <w:rFonts w:eastAsia="Calibri"/>
          <w:sz w:val="22"/>
          <w:szCs w:val="22"/>
          <w:lang w:val="sr-Latn-RS"/>
        </w:rPr>
        <w:t>etovati o održavanju oralne higijene. Ako je moguće, l</w:t>
      </w:r>
      <w:r w:rsidR="00406DA7" w:rsidRPr="00234ECD">
        <w:rPr>
          <w:rFonts w:eastAsia="Calibri"/>
          <w:sz w:val="22"/>
          <w:szCs w:val="22"/>
          <w:lang w:val="sr-Latn-RS"/>
        </w:rPr>
        <w:t>ij</w:t>
      </w:r>
      <w:r w:rsidRPr="00234ECD">
        <w:rPr>
          <w:rFonts w:eastAsia="Calibri"/>
          <w:sz w:val="22"/>
          <w:szCs w:val="22"/>
          <w:lang w:val="sr-Latn-RS"/>
        </w:rPr>
        <w:t>ečenje kabozantinibom treba prekinuti najmanje 28 dana pr</w:t>
      </w:r>
      <w:r w:rsidR="00406DA7" w:rsidRPr="00234ECD">
        <w:rPr>
          <w:rFonts w:eastAsia="Calibri"/>
          <w:sz w:val="22"/>
          <w:szCs w:val="22"/>
          <w:lang w:val="sr-Latn-RS"/>
        </w:rPr>
        <w:t>ij</w:t>
      </w:r>
      <w:r w:rsidRPr="00234ECD">
        <w:rPr>
          <w:rFonts w:eastAsia="Calibri"/>
          <w:sz w:val="22"/>
          <w:szCs w:val="22"/>
          <w:lang w:val="sr-Latn-RS"/>
        </w:rPr>
        <w:t>e zakazane stomatološke operacije ili invazivne stomatološke procedure. Potreban je oprez kod pacijenata koji primaju l</w:t>
      </w:r>
      <w:r w:rsidR="00406DA7" w:rsidRPr="00234ECD">
        <w:rPr>
          <w:rFonts w:eastAsia="Calibri"/>
          <w:sz w:val="22"/>
          <w:szCs w:val="22"/>
          <w:lang w:val="sr-Latn-RS"/>
        </w:rPr>
        <w:t>j</w:t>
      </w:r>
      <w:r w:rsidRPr="00234ECD">
        <w:rPr>
          <w:rFonts w:eastAsia="Calibri"/>
          <w:sz w:val="22"/>
          <w:szCs w:val="22"/>
          <w:lang w:val="sr-Latn-RS"/>
        </w:rPr>
        <w:t>ekove povezane sa osteonekrozom vilice, poput bisfosfonata. Prim</w:t>
      </w:r>
      <w:r w:rsidR="00406DA7" w:rsidRPr="00234ECD">
        <w:rPr>
          <w:rFonts w:eastAsia="Calibri"/>
          <w:sz w:val="22"/>
          <w:szCs w:val="22"/>
          <w:lang w:val="sr-Latn-RS"/>
        </w:rPr>
        <w:t>j</w:t>
      </w:r>
      <w:r w:rsidRPr="00234ECD">
        <w:rPr>
          <w:rFonts w:eastAsia="Calibri"/>
          <w:sz w:val="22"/>
          <w:szCs w:val="22"/>
          <w:lang w:val="sr-Latn-RS"/>
        </w:rPr>
        <w:t>ena kabozantiniba mora da se prekine kod pacijenata kod kojih se pojavi osteonekroza vilice.</w:t>
      </w:r>
    </w:p>
    <w:p w14:paraId="24D9EF9E" w14:textId="77777777" w:rsidR="00D857AC" w:rsidRPr="00234ECD" w:rsidRDefault="00D857AC" w:rsidP="00D857AC">
      <w:pPr>
        <w:jc w:val="both"/>
        <w:rPr>
          <w:rFonts w:eastAsia="Calibri"/>
          <w:sz w:val="22"/>
          <w:szCs w:val="22"/>
          <w:lang w:val="sr-Latn-RS"/>
        </w:rPr>
      </w:pPr>
    </w:p>
    <w:p w14:paraId="57CA57EA"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Sindrom palmarno-plantarne eritrodizestezije</w:t>
      </w:r>
    </w:p>
    <w:p w14:paraId="089B8BD8" w14:textId="49573B2B" w:rsidR="00D857AC" w:rsidRPr="00234ECD" w:rsidRDefault="00D857AC" w:rsidP="00D857AC">
      <w:pPr>
        <w:jc w:val="both"/>
        <w:rPr>
          <w:rFonts w:eastAsia="Calibri"/>
          <w:sz w:val="22"/>
          <w:szCs w:val="22"/>
          <w:lang w:val="sr-Latn-RS"/>
        </w:rPr>
      </w:pPr>
      <w:r w:rsidRPr="00234ECD">
        <w:rPr>
          <w:rFonts w:eastAsia="Calibri"/>
          <w:sz w:val="22"/>
          <w:szCs w:val="22"/>
          <w:lang w:val="sr-Latn-RS"/>
        </w:rPr>
        <w:t>Prilikom prim</w:t>
      </w:r>
      <w:r w:rsidR="00406DA7" w:rsidRPr="00234ECD">
        <w:rPr>
          <w:rFonts w:eastAsia="Calibri"/>
          <w:sz w:val="22"/>
          <w:szCs w:val="22"/>
          <w:lang w:val="sr-Latn-RS"/>
        </w:rPr>
        <w:t>j</w:t>
      </w:r>
      <w:r w:rsidRPr="00234ECD">
        <w:rPr>
          <w:rFonts w:eastAsia="Calibri"/>
          <w:sz w:val="22"/>
          <w:szCs w:val="22"/>
          <w:lang w:val="sr-Latn-RS"/>
        </w:rPr>
        <w:t>ene kabozantiniba prim</w:t>
      </w:r>
      <w:r w:rsidR="00406DA7" w:rsidRPr="00234ECD">
        <w:rPr>
          <w:rFonts w:eastAsia="Calibri"/>
          <w:sz w:val="22"/>
          <w:szCs w:val="22"/>
          <w:lang w:val="sr-Latn-RS"/>
        </w:rPr>
        <w:t>ij</w:t>
      </w:r>
      <w:r w:rsidRPr="00234ECD">
        <w:rPr>
          <w:rFonts w:eastAsia="Calibri"/>
          <w:sz w:val="22"/>
          <w:szCs w:val="22"/>
          <w:lang w:val="sr-Latn-RS"/>
        </w:rPr>
        <w:t>ećen je sindrom palmarno-plantarne eritrodizestezije (PPES). U teškim slučajevima PPES, treba razmotriti prekid terapije kabozantinibom. Kada se PPES povuče do 1. stepena, prim</w:t>
      </w:r>
      <w:r w:rsidR="00406DA7" w:rsidRPr="00234ECD">
        <w:rPr>
          <w:rFonts w:eastAsia="Calibri"/>
          <w:sz w:val="22"/>
          <w:szCs w:val="22"/>
          <w:lang w:val="sr-Latn-RS"/>
        </w:rPr>
        <w:t>j</w:t>
      </w:r>
      <w:r w:rsidRPr="00234ECD">
        <w:rPr>
          <w:rFonts w:eastAsia="Calibri"/>
          <w:sz w:val="22"/>
          <w:szCs w:val="22"/>
          <w:lang w:val="sr-Latn-RS"/>
        </w:rPr>
        <w:t>enu kabozantiniba treba nastaviti sa smanjenom dozom.</w:t>
      </w:r>
    </w:p>
    <w:p w14:paraId="52509D28" w14:textId="77777777" w:rsidR="00D857AC" w:rsidRPr="00234ECD" w:rsidRDefault="00D857AC" w:rsidP="00D857AC">
      <w:pPr>
        <w:jc w:val="both"/>
        <w:rPr>
          <w:rFonts w:eastAsia="Calibri"/>
          <w:sz w:val="22"/>
          <w:szCs w:val="22"/>
          <w:lang w:val="sr-Latn-RS"/>
        </w:rPr>
      </w:pPr>
    </w:p>
    <w:p w14:paraId="79A9F081"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Proteinurija</w:t>
      </w:r>
    </w:p>
    <w:p w14:paraId="077C7110" w14:textId="7403C874" w:rsidR="00D857AC" w:rsidRPr="00234ECD" w:rsidRDefault="00D857AC" w:rsidP="00D857AC">
      <w:pPr>
        <w:jc w:val="both"/>
        <w:rPr>
          <w:rFonts w:eastAsia="Calibri"/>
          <w:sz w:val="22"/>
          <w:szCs w:val="22"/>
          <w:lang w:val="sr-Latn-RS"/>
        </w:rPr>
      </w:pPr>
      <w:r w:rsidRPr="00234ECD">
        <w:rPr>
          <w:rFonts w:eastAsia="Calibri"/>
          <w:sz w:val="22"/>
          <w:szCs w:val="22"/>
          <w:lang w:val="sr-Latn-RS"/>
        </w:rPr>
        <w:t>Prilikom prim</w:t>
      </w:r>
      <w:r w:rsidR="00406DA7" w:rsidRPr="00234ECD">
        <w:rPr>
          <w:rFonts w:eastAsia="Calibri"/>
          <w:sz w:val="22"/>
          <w:szCs w:val="22"/>
          <w:lang w:val="sr-Latn-RS"/>
        </w:rPr>
        <w:t>j</w:t>
      </w:r>
      <w:r w:rsidRPr="00234ECD">
        <w:rPr>
          <w:rFonts w:eastAsia="Calibri"/>
          <w:sz w:val="22"/>
          <w:szCs w:val="22"/>
          <w:lang w:val="sr-Latn-RS"/>
        </w:rPr>
        <w:t>ene kabozantiniba prim</w:t>
      </w:r>
      <w:r w:rsidR="00406DA7" w:rsidRPr="00234ECD">
        <w:rPr>
          <w:rFonts w:eastAsia="Calibri"/>
          <w:sz w:val="22"/>
          <w:szCs w:val="22"/>
          <w:lang w:val="sr-Latn-RS"/>
        </w:rPr>
        <w:t>ij</w:t>
      </w:r>
      <w:r w:rsidRPr="00234ECD">
        <w:rPr>
          <w:rFonts w:eastAsia="Calibri"/>
          <w:sz w:val="22"/>
          <w:szCs w:val="22"/>
          <w:lang w:val="sr-Latn-RS"/>
        </w:rPr>
        <w:t>ećena je proteinurija. Za vr</w:t>
      </w:r>
      <w:r w:rsidR="00406DA7" w:rsidRPr="00234ECD">
        <w:rPr>
          <w:rFonts w:eastAsia="Calibri"/>
          <w:sz w:val="22"/>
          <w:szCs w:val="22"/>
          <w:lang w:val="sr-Latn-RS"/>
        </w:rPr>
        <w:t>ij</w:t>
      </w:r>
      <w:r w:rsidRPr="00234ECD">
        <w:rPr>
          <w:rFonts w:eastAsia="Calibri"/>
          <w:sz w:val="22"/>
          <w:szCs w:val="22"/>
          <w:lang w:val="sr-Latn-RS"/>
        </w:rPr>
        <w:t>eme terapije kabozantinibom treba redovno kontrolisati proteine u urinu. Kod pacijenata kod kojih se razvije nefrotski sindrom, prim</w:t>
      </w:r>
      <w:r w:rsidR="00406DA7" w:rsidRPr="00234ECD">
        <w:rPr>
          <w:rFonts w:eastAsia="Calibri"/>
          <w:sz w:val="22"/>
          <w:szCs w:val="22"/>
          <w:lang w:val="sr-Latn-RS"/>
        </w:rPr>
        <w:t>j</w:t>
      </w:r>
      <w:r w:rsidRPr="00234ECD">
        <w:rPr>
          <w:rFonts w:eastAsia="Calibri"/>
          <w:sz w:val="22"/>
          <w:szCs w:val="22"/>
          <w:lang w:val="sr-Latn-RS"/>
        </w:rPr>
        <w:t>enu kabozantiniba treba obustaviti.</w:t>
      </w:r>
    </w:p>
    <w:p w14:paraId="4C0A3161" w14:textId="77777777" w:rsidR="00D857AC" w:rsidRPr="00234ECD" w:rsidRDefault="00D857AC" w:rsidP="00D857AC">
      <w:pPr>
        <w:jc w:val="both"/>
        <w:rPr>
          <w:rFonts w:eastAsia="Calibri"/>
          <w:sz w:val="22"/>
          <w:szCs w:val="22"/>
          <w:lang w:val="sr-Latn-RS"/>
        </w:rPr>
      </w:pPr>
    </w:p>
    <w:p w14:paraId="3E15236A"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Sindrom posteriorne reverzibilne encefalopatije</w:t>
      </w:r>
    </w:p>
    <w:p w14:paraId="4BFC76CB" w14:textId="312A133C" w:rsidR="00D857AC" w:rsidRPr="00234ECD" w:rsidRDefault="00D857AC" w:rsidP="00D857AC">
      <w:pPr>
        <w:jc w:val="both"/>
        <w:rPr>
          <w:rFonts w:eastAsia="Calibri"/>
          <w:sz w:val="22"/>
          <w:szCs w:val="22"/>
          <w:lang w:val="sr-Latn-RS"/>
        </w:rPr>
      </w:pPr>
      <w:r w:rsidRPr="00234ECD">
        <w:rPr>
          <w:rFonts w:eastAsia="Calibri"/>
          <w:sz w:val="22"/>
          <w:szCs w:val="22"/>
          <w:lang w:val="sr-Latn-RS"/>
        </w:rPr>
        <w:t>Prilikom prim</w:t>
      </w:r>
      <w:r w:rsidR="00406DA7" w:rsidRPr="00234ECD">
        <w:rPr>
          <w:rFonts w:eastAsia="Calibri"/>
          <w:sz w:val="22"/>
          <w:szCs w:val="22"/>
          <w:lang w:val="sr-Latn-RS"/>
        </w:rPr>
        <w:t>j</w:t>
      </w:r>
      <w:r w:rsidRPr="00234ECD">
        <w:rPr>
          <w:rFonts w:eastAsia="Calibri"/>
          <w:sz w:val="22"/>
          <w:szCs w:val="22"/>
          <w:lang w:val="sr-Latn-RS"/>
        </w:rPr>
        <w:t>ene kabozantiniba prim</w:t>
      </w:r>
      <w:r w:rsidR="00406DA7" w:rsidRPr="00234ECD">
        <w:rPr>
          <w:rFonts w:eastAsia="Calibri"/>
          <w:sz w:val="22"/>
          <w:szCs w:val="22"/>
          <w:lang w:val="sr-Latn-RS"/>
        </w:rPr>
        <w:t>ij</w:t>
      </w:r>
      <w:r w:rsidRPr="00234ECD">
        <w:rPr>
          <w:rFonts w:eastAsia="Calibri"/>
          <w:sz w:val="22"/>
          <w:szCs w:val="22"/>
          <w:lang w:val="sr-Latn-RS"/>
        </w:rPr>
        <w:t>ećen je sindrom posteriorne reverzibilne encefalopatije (</w:t>
      </w:r>
      <w:r w:rsidR="0079459D" w:rsidRPr="00234ECD">
        <w:rPr>
          <w:rFonts w:eastAsia="Calibri"/>
          <w:sz w:val="22"/>
          <w:szCs w:val="22"/>
          <w:lang w:val="sr-Latn-RS"/>
        </w:rPr>
        <w:t xml:space="preserve">engl. </w:t>
      </w:r>
      <w:r w:rsidR="0079459D" w:rsidRPr="00234ECD">
        <w:rPr>
          <w:rFonts w:eastAsia="Calibri"/>
          <w:i/>
          <w:sz w:val="22"/>
          <w:szCs w:val="22"/>
          <w:lang w:val="sr-Latn-RS"/>
        </w:rPr>
        <w:t xml:space="preserve">posterior reversible encephalopathy syndrome, </w:t>
      </w:r>
      <w:r w:rsidRPr="00234ECD">
        <w:rPr>
          <w:rFonts w:eastAsia="Calibri"/>
          <w:sz w:val="22"/>
          <w:szCs w:val="22"/>
          <w:lang w:val="sr-Latn-RS"/>
        </w:rPr>
        <w:t xml:space="preserve">PRES). Mogućnost postojanja ovog sindroma treba razmotriti kod svakog pacijenta kod kog je prisutno više simptoma, uključujući i </w:t>
      </w:r>
      <w:r w:rsidR="0079459D" w:rsidRPr="00234ECD">
        <w:rPr>
          <w:rFonts w:eastAsia="Calibri"/>
          <w:sz w:val="22"/>
          <w:szCs w:val="22"/>
          <w:lang w:val="sr-Latn-RS"/>
        </w:rPr>
        <w:t xml:space="preserve">epileptične </w:t>
      </w:r>
      <w:r w:rsidRPr="00234ECD">
        <w:rPr>
          <w:rFonts w:eastAsia="Calibri"/>
          <w:sz w:val="22"/>
          <w:szCs w:val="22"/>
          <w:lang w:val="sr-Latn-RS"/>
        </w:rPr>
        <w:t>napade, glavobolju, poremećaje vida, konfuziju ili prom</w:t>
      </w:r>
      <w:r w:rsidR="00406DA7" w:rsidRPr="00234ECD">
        <w:rPr>
          <w:rFonts w:eastAsia="Calibri"/>
          <w:sz w:val="22"/>
          <w:szCs w:val="22"/>
          <w:lang w:val="sr-Latn-RS"/>
        </w:rPr>
        <w:t>j</w:t>
      </w:r>
      <w:r w:rsidRPr="00234ECD">
        <w:rPr>
          <w:rFonts w:eastAsia="Calibri"/>
          <w:sz w:val="22"/>
          <w:szCs w:val="22"/>
          <w:lang w:val="sr-Latn-RS"/>
        </w:rPr>
        <w:t>enu mentalne funkcije. Kod pacijenata sa PRES  treba obustaviti terapiju kabozantinibom.</w:t>
      </w:r>
    </w:p>
    <w:p w14:paraId="2F66290E" w14:textId="77777777" w:rsidR="00D857AC" w:rsidRPr="00234ECD" w:rsidRDefault="00D857AC" w:rsidP="00D857AC">
      <w:pPr>
        <w:jc w:val="both"/>
        <w:rPr>
          <w:rFonts w:eastAsia="Calibri"/>
          <w:sz w:val="22"/>
          <w:szCs w:val="22"/>
          <w:lang w:val="sr-Latn-RS"/>
        </w:rPr>
      </w:pPr>
    </w:p>
    <w:p w14:paraId="7D41D9B8"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Produženje QT intervala</w:t>
      </w:r>
    </w:p>
    <w:p w14:paraId="624A6DAA" w14:textId="69E711EC" w:rsidR="00D857AC" w:rsidRPr="00234ECD" w:rsidRDefault="00D857AC" w:rsidP="00D857AC">
      <w:pPr>
        <w:jc w:val="both"/>
        <w:rPr>
          <w:rFonts w:eastAsia="Calibri"/>
          <w:sz w:val="22"/>
          <w:szCs w:val="22"/>
          <w:lang w:val="sr-Latn-RS"/>
        </w:rPr>
      </w:pPr>
      <w:r w:rsidRPr="00234ECD">
        <w:rPr>
          <w:rFonts w:eastAsia="Calibri"/>
          <w:sz w:val="22"/>
          <w:szCs w:val="22"/>
          <w:lang w:val="sr-Latn-RS"/>
        </w:rPr>
        <w:t>Kabozantinib treba prim</w:t>
      </w:r>
      <w:r w:rsidR="00406DA7" w:rsidRPr="00234ECD">
        <w:rPr>
          <w:rFonts w:eastAsia="Calibri"/>
          <w:sz w:val="22"/>
          <w:szCs w:val="22"/>
          <w:lang w:val="sr-Latn-RS"/>
        </w:rPr>
        <w:t>j</w:t>
      </w:r>
      <w:r w:rsidRPr="00234ECD">
        <w:rPr>
          <w:rFonts w:eastAsia="Calibri"/>
          <w:sz w:val="22"/>
          <w:szCs w:val="22"/>
          <w:lang w:val="sr-Latn-RS"/>
        </w:rPr>
        <w:t xml:space="preserve">enjivati uz oprez kod pacijenata sa produženjem QT intervala u anamnezi, kod pacijenata koji uzimaju antiaritmike ili kod pacijenata sa relevantnim prethodno postojećim oboljenjima srca, bradikardijom </w:t>
      </w:r>
      <w:r w:rsidRPr="00234ECD">
        <w:rPr>
          <w:rFonts w:eastAsia="Calibri"/>
          <w:bCs/>
          <w:sz w:val="22"/>
          <w:szCs w:val="22"/>
          <w:lang w:val="sr-Latn-RS"/>
        </w:rPr>
        <w:t>ili</w:t>
      </w:r>
      <w:r w:rsidRPr="00234ECD">
        <w:rPr>
          <w:rFonts w:eastAsia="Calibri"/>
          <w:sz w:val="22"/>
          <w:szCs w:val="22"/>
          <w:lang w:val="sr-Latn-RS"/>
        </w:rPr>
        <w:t xml:space="preserve"> disbalansom elektrolita. Kada se prim</w:t>
      </w:r>
      <w:r w:rsidR="00406DA7" w:rsidRPr="00234ECD">
        <w:rPr>
          <w:rFonts w:eastAsia="Calibri"/>
          <w:sz w:val="22"/>
          <w:szCs w:val="22"/>
          <w:lang w:val="sr-Latn-RS"/>
        </w:rPr>
        <w:t>j</w:t>
      </w:r>
      <w:r w:rsidRPr="00234ECD">
        <w:rPr>
          <w:rFonts w:eastAsia="Calibri"/>
          <w:sz w:val="22"/>
          <w:szCs w:val="22"/>
          <w:lang w:val="sr-Latn-RS"/>
        </w:rPr>
        <w:t>enjuje kabozantinib, treba razmotriti povremeno praćenje EKG-a i elektrolita tokom l</w:t>
      </w:r>
      <w:r w:rsidR="00406DA7" w:rsidRPr="00234ECD">
        <w:rPr>
          <w:rFonts w:eastAsia="Calibri"/>
          <w:sz w:val="22"/>
          <w:szCs w:val="22"/>
          <w:lang w:val="sr-Latn-RS"/>
        </w:rPr>
        <w:t>ij</w:t>
      </w:r>
      <w:r w:rsidRPr="00234ECD">
        <w:rPr>
          <w:rFonts w:eastAsia="Calibri"/>
          <w:sz w:val="22"/>
          <w:szCs w:val="22"/>
          <w:lang w:val="sr-Latn-RS"/>
        </w:rPr>
        <w:t>ečenja (kalcijum, kalijum i magnezijum u serumu).</w:t>
      </w:r>
    </w:p>
    <w:p w14:paraId="5C5DFC7B" w14:textId="77777777" w:rsidR="00D857AC" w:rsidRPr="00234ECD" w:rsidRDefault="00D857AC" w:rsidP="00D857AC">
      <w:pPr>
        <w:jc w:val="both"/>
        <w:rPr>
          <w:rFonts w:eastAsia="Calibri"/>
          <w:sz w:val="22"/>
          <w:szCs w:val="22"/>
          <w:lang w:val="sr-Latn-RS"/>
        </w:rPr>
      </w:pPr>
    </w:p>
    <w:p w14:paraId="1CABDFD7" w14:textId="77777777" w:rsidR="00D857AC" w:rsidRPr="00234ECD" w:rsidRDefault="00D857AC" w:rsidP="00D857AC">
      <w:pPr>
        <w:autoSpaceDE w:val="0"/>
        <w:autoSpaceDN w:val="0"/>
        <w:adjustRightInd w:val="0"/>
        <w:rPr>
          <w:rFonts w:eastAsia="Calibri"/>
          <w:color w:val="000000"/>
          <w:sz w:val="22"/>
          <w:szCs w:val="22"/>
          <w:u w:val="single"/>
          <w:lang w:val="sr-Latn-RS"/>
        </w:rPr>
      </w:pPr>
      <w:r w:rsidRPr="00234ECD">
        <w:rPr>
          <w:rFonts w:eastAsia="Calibri"/>
          <w:color w:val="000000"/>
          <w:sz w:val="22"/>
          <w:szCs w:val="22"/>
          <w:u w:val="single"/>
          <w:lang w:val="sr-Latn-RS"/>
        </w:rPr>
        <w:t xml:space="preserve">Disfunkcija tireoidee </w:t>
      </w:r>
    </w:p>
    <w:p w14:paraId="08B6F6D4" w14:textId="3499CE4B" w:rsidR="00D857AC" w:rsidRPr="00234ECD" w:rsidRDefault="00D857AC" w:rsidP="00D857AC">
      <w:pPr>
        <w:jc w:val="both"/>
        <w:rPr>
          <w:rFonts w:eastAsia="Calibri"/>
          <w:color w:val="000000"/>
          <w:sz w:val="22"/>
          <w:szCs w:val="22"/>
          <w:lang w:val="sr-Latn-RS"/>
        </w:rPr>
      </w:pPr>
      <w:r w:rsidRPr="00234ECD">
        <w:rPr>
          <w:rFonts w:eastAsia="Calibri"/>
          <w:color w:val="000000"/>
          <w:sz w:val="22"/>
          <w:szCs w:val="22"/>
          <w:lang w:val="sr-Latn-RS"/>
        </w:rPr>
        <w:t>Početno laboratorijsko m</w:t>
      </w:r>
      <w:r w:rsidR="00406DA7" w:rsidRPr="00234ECD">
        <w:rPr>
          <w:rFonts w:eastAsia="Calibri"/>
          <w:color w:val="000000"/>
          <w:sz w:val="22"/>
          <w:szCs w:val="22"/>
          <w:lang w:val="sr-Latn-RS"/>
        </w:rPr>
        <w:t>j</w:t>
      </w:r>
      <w:r w:rsidRPr="00234ECD">
        <w:rPr>
          <w:rFonts w:eastAsia="Calibri"/>
          <w:color w:val="000000"/>
          <w:sz w:val="22"/>
          <w:szCs w:val="22"/>
          <w:lang w:val="sr-Latn-RS"/>
        </w:rPr>
        <w:t>erenje funkcije tireoidee preporučuje se kod svih pacijenata. Pacijent</w:t>
      </w:r>
      <w:r w:rsidR="00855A1A" w:rsidRPr="00234ECD">
        <w:rPr>
          <w:rFonts w:eastAsia="Calibri"/>
          <w:color w:val="000000"/>
          <w:sz w:val="22"/>
          <w:szCs w:val="22"/>
          <w:lang w:val="sr-Latn-RS"/>
        </w:rPr>
        <w:t>e</w:t>
      </w:r>
      <w:r w:rsidRPr="00234ECD">
        <w:rPr>
          <w:rFonts w:eastAsia="Calibri"/>
          <w:color w:val="000000"/>
          <w:sz w:val="22"/>
          <w:szCs w:val="22"/>
          <w:lang w:val="sr-Latn-RS"/>
        </w:rPr>
        <w:t xml:space="preserve"> sa već postojećom hipotireozom ili hipertireozom treba l</w:t>
      </w:r>
      <w:r w:rsidR="00406DA7" w:rsidRPr="00234ECD">
        <w:rPr>
          <w:rFonts w:eastAsia="Calibri"/>
          <w:color w:val="000000"/>
          <w:sz w:val="22"/>
          <w:szCs w:val="22"/>
          <w:lang w:val="sr-Latn-RS"/>
        </w:rPr>
        <w:t>ij</w:t>
      </w:r>
      <w:r w:rsidRPr="00234ECD">
        <w:rPr>
          <w:rFonts w:eastAsia="Calibri"/>
          <w:color w:val="000000"/>
          <w:sz w:val="22"/>
          <w:szCs w:val="22"/>
          <w:lang w:val="sr-Latn-RS"/>
        </w:rPr>
        <w:t>ečiti prema uobičajenoj medicinskoj praksi pr</w:t>
      </w:r>
      <w:r w:rsidR="00B77FEC" w:rsidRPr="00234ECD">
        <w:rPr>
          <w:rFonts w:eastAsia="Calibri"/>
          <w:color w:val="000000"/>
          <w:sz w:val="22"/>
          <w:szCs w:val="22"/>
          <w:lang w:val="sr-Latn-RS"/>
        </w:rPr>
        <w:t>ij</w:t>
      </w:r>
      <w:r w:rsidRPr="00234ECD">
        <w:rPr>
          <w:rFonts w:eastAsia="Calibri"/>
          <w:color w:val="000000"/>
          <w:sz w:val="22"/>
          <w:szCs w:val="22"/>
          <w:lang w:val="sr-Latn-RS"/>
        </w:rPr>
        <w:t>e početka l</w:t>
      </w:r>
      <w:r w:rsidR="00B77FEC" w:rsidRPr="00234ECD">
        <w:rPr>
          <w:rFonts w:eastAsia="Calibri"/>
          <w:color w:val="000000"/>
          <w:sz w:val="22"/>
          <w:szCs w:val="22"/>
          <w:lang w:val="sr-Latn-RS"/>
        </w:rPr>
        <w:t>ij</w:t>
      </w:r>
      <w:r w:rsidRPr="00234ECD">
        <w:rPr>
          <w:rFonts w:eastAsia="Calibri"/>
          <w:color w:val="000000"/>
          <w:sz w:val="22"/>
          <w:szCs w:val="22"/>
          <w:lang w:val="sr-Latn-RS"/>
        </w:rPr>
        <w:t>ečenja kabozantinibom. Tokom l</w:t>
      </w:r>
      <w:r w:rsidR="00B77FEC" w:rsidRPr="00234ECD">
        <w:rPr>
          <w:rFonts w:eastAsia="Calibri"/>
          <w:color w:val="000000"/>
          <w:sz w:val="22"/>
          <w:szCs w:val="22"/>
          <w:lang w:val="sr-Latn-RS"/>
        </w:rPr>
        <w:t>ij</w:t>
      </w:r>
      <w:r w:rsidRPr="00234ECD">
        <w:rPr>
          <w:rFonts w:eastAsia="Calibri"/>
          <w:color w:val="000000"/>
          <w:sz w:val="22"/>
          <w:szCs w:val="22"/>
          <w:lang w:val="sr-Latn-RS"/>
        </w:rPr>
        <w:t>ečenja kabozantinibom sve pacijente treba pažljivo pratiti zbog znakova i simptoma poremećaja funkcije tireoidee. Tokom l</w:t>
      </w:r>
      <w:r w:rsidR="00B77FEC" w:rsidRPr="00234ECD">
        <w:rPr>
          <w:rFonts w:eastAsia="Calibri"/>
          <w:color w:val="000000"/>
          <w:sz w:val="22"/>
          <w:szCs w:val="22"/>
          <w:lang w:val="sr-Latn-RS"/>
        </w:rPr>
        <w:t>ij</w:t>
      </w:r>
      <w:r w:rsidRPr="00234ECD">
        <w:rPr>
          <w:rFonts w:eastAsia="Calibri"/>
          <w:color w:val="000000"/>
          <w:sz w:val="22"/>
          <w:szCs w:val="22"/>
          <w:lang w:val="sr-Latn-RS"/>
        </w:rPr>
        <w:t>ečenja kabozantinibom potrebno je periodično prov</w:t>
      </w:r>
      <w:r w:rsidR="00B77FEC" w:rsidRPr="00234ECD">
        <w:rPr>
          <w:rFonts w:eastAsia="Calibri"/>
          <w:color w:val="000000"/>
          <w:sz w:val="22"/>
          <w:szCs w:val="22"/>
          <w:lang w:val="sr-Latn-RS"/>
        </w:rPr>
        <w:t>j</w:t>
      </w:r>
      <w:r w:rsidRPr="00234ECD">
        <w:rPr>
          <w:rFonts w:eastAsia="Calibri"/>
          <w:color w:val="000000"/>
          <w:sz w:val="22"/>
          <w:szCs w:val="22"/>
          <w:lang w:val="sr-Latn-RS"/>
        </w:rPr>
        <w:t>eravati funkciju tireoidee. Pacijenti koji razviju disfunkciju tireoidee treba da se l</w:t>
      </w:r>
      <w:r w:rsidR="00B77FEC" w:rsidRPr="00234ECD">
        <w:rPr>
          <w:rFonts w:eastAsia="Calibri"/>
          <w:color w:val="000000"/>
          <w:sz w:val="22"/>
          <w:szCs w:val="22"/>
          <w:lang w:val="sr-Latn-RS"/>
        </w:rPr>
        <w:t>ij</w:t>
      </w:r>
      <w:r w:rsidRPr="00234ECD">
        <w:rPr>
          <w:rFonts w:eastAsia="Calibri"/>
          <w:color w:val="000000"/>
          <w:sz w:val="22"/>
          <w:szCs w:val="22"/>
          <w:lang w:val="sr-Latn-RS"/>
        </w:rPr>
        <w:t>eče prema standardnoj medicinskoj praksi.</w:t>
      </w:r>
    </w:p>
    <w:p w14:paraId="6E27CD93" w14:textId="77777777" w:rsidR="00D857AC" w:rsidRPr="00234ECD" w:rsidRDefault="00D857AC" w:rsidP="00D857AC">
      <w:pPr>
        <w:jc w:val="both"/>
        <w:rPr>
          <w:rFonts w:eastAsia="Calibri"/>
          <w:sz w:val="22"/>
          <w:szCs w:val="22"/>
          <w:lang w:val="sr-Latn-RS"/>
        </w:rPr>
      </w:pPr>
    </w:p>
    <w:p w14:paraId="080660D7" w14:textId="77777777" w:rsidR="00D857AC" w:rsidRPr="00234ECD" w:rsidRDefault="00D857AC" w:rsidP="00D857AC">
      <w:pPr>
        <w:rPr>
          <w:rFonts w:eastAsia="SimSun"/>
          <w:sz w:val="22"/>
          <w:szCs w:val="22"/>
          <w:u w:val="single"/>
          <w:lang w:val="sr-Latn-RS"/>
        </w:rPr>
      </w:pPr>
      <w:r w:rsidRPr="00234ECD">
        <w:rPr>
          <w:rFonts w:eastAsia="SimSun"/>
          <w:sz w:val="22"/>
          <w:szCs w:val="22"/>
          <w:u w:val="single"/>
          <w:lang w:val="sr-Latn-RS"/>
        </w:rPr>
        <w:t xml:space="preserve">Abnormalnosti biohemijskih laboratorijskih testova </w:t>
      </w:r>
    </w:p>
    <w:p w14:paraId="77BDC2E3" w14:textId="31DA1B61" w:rsidR="00D857AC" w:rsidRPr="00234ECD" w:rsidRDefault="00D857AC" w:rsidP="00D857AC">
      <w:pPr>
        <w:jc w:val="both"/>
        <w:rPr>
          <w:rFonts w:eastAsia="Calibri"/>
          <w:sz w:val="22"/>
          <w:szCs w:val="22"/>
          <w:lang w:val="sr-Latn-RS"/>
        </w:rPr>
      </w:pPr>
      <w:r w:rsidRPr="00234ECD">
        <w:rPr>
          <w:sz w:val="22"/>
          <w:szCs w:val="22"/>
          <w:lang w:val="sr-Latn-RS"/>
        </w:rPr>
        <w:t>Kabozantinib je povezan sa povećanom incidencom abnormalnosti elektrolita (uključujući i hipokalemiju, hiperkalemiju, hipomagnez</w:t>
      </w:r>
      <w:r w:rsidR="00686047" w:rsidRPr="00234ECD">
        <w:rPr>
          <w:sz w:val="22"/>
          <w:szCs w:val="22"/>
          <w:lang w:val="sr-Latn-RS"/>
        </w:rPr>
        <w:t>ij</w:t>
      </w:r>
      <w:r w:rsidRPr="00234ECD">
        <w:rPr>
          <w:sz w:val="22"/>
          <w:szCs w:val="22"/>
          <w:lang w:val="sr-Latn-RS"/>
        </w:rPr>
        <w:t>emiju, hipokalcemiju, hiponatr</w:t>
      </w:r>
      <w:r w:rsidR="00686047" w:rsidRPr="00234ECD">
        <w:rPr>
          <w:sz w:val="22"/>
          <w:szCs w:val="22"/>
          <w:lang w:val="sr-Latn-RS"/>
        </w:rPr>
        <w:t>ij</w:t>
      </w:r>
      <w:r w:rsidRPr="00234ECD">
        <w:rPr>
          <w:sz w:val="22"/>
          <w:szCs w:val="22"/>
          <w:lang w:val="sr-Latn-RS"/>
        </w:rPr>
        <w:t>emiju).</w:t>
      </w:r>
      <w:r w:rsidR="00E324FC" w:rsidRPr="00234ECD">
        <w:rPr>
          <w:sz w:val="22"/>
          <w:szCs w:val="22"/>
          <w:lang w:val="sr-Latn-RS"/>
        </w:rPr>
        <w:t xml:space="preserve"> Pri primjeni kabozantiniba kod pacijenata sa karcinomom štit</w:t>
      </w:r>
      <w:r w:rsidR="00536801" w:rsidRPr="00234ECD">
        <w:rPr>
          <w:sz w:val="22"/>
          <w:szCs w:val="22"/>
          <w:lang w:val="sr-Latn-RS"/>
        </w:rPr>
        <w:t>aste</w:t>
      </w:r>
      <w:r w:rsidR="00E324FC" w:rsidRPr="00234ECD">
        <w:rPr>
          <w:sz w:val="22"/>
          <w:szCs w:val="22"/>
          <w:lang w:val="sr-Latn-RS"/>
        </w:rPr>
        <w:t xml:space="preserve"> žlijezde, prim</w:t>
      </w:r>
      <w:r w:rsidR="00B73D41" w:rsidRPr="00234ECD">
        <w:rPr>
          <w:sz w:val="22"/>
          <w:szCs w:val="22"/>
          <w:lang w:val="sr-Latn-RS"/>
        </w:rPr>
        <w:t>i</w:t>
      </w:r>
      <w:r w:rsidR="00E324FC" w:rsidRPr="00234ECD">
        <w:rPr>
          <w:sz w:val="22"/>
          <w:szCs w:val="22"/>
          <w:lang w:val="sr-Latn-RS"/>
        </w:rPr>
        <w:t xml:space="preserve">jećena je veća učestalost i/ili veći stepen težine hipokalcijemije (uključujući stepen 3 i 4), u poređenju sa pacijenatima koji boluju od nekog drugog karcinoma. </w:t>
      </w:r>
      <w:r w:rsidRPr="00234ECD">
        <w:rPr>
          <w:sz w:val="22"/>
          <w:szCs w:val="22"/>
          <w:lang w:val="sr-Latn-RS"/>
        </w:rPr>
        <w:t xml:space="preserve"> Preporučuje se praćenje biohemijskih parametara tokom terapije kabozantinibom i, </w:t>
      </w:r>
      <w:r w:rsidRPr="00234ECD">
        <w:rPr>
          <w:sz w:val="22"/>
          <w:szCs w:val="22"/>
          <w:lang w:val="sr-Latn-RS"/>
        </w:rPr>
        <w:lastRenderedPageBreak/>
        <w:t>po potrebi, uvođenje odgovarajuće supstitucione terapije u skladu sa standardnom kliničkom praksom. Slučajevi hepatičke encefalopatije kod pacijenata sa hepatocelularnim karcinomom mogu se pripisati razvoju poremećaja elektrolita. Potrebno je razmotriti privremeni prekid doziranja ili smanjenje doze ili trajni prekid doziranja kabozantiniba u slučaju perzistentnih ili rekurentnih značajnih abnormalnosti (vid</w:t>
      </w:r>
      <w:r w:rsidR="00B77FEC" w:rsidRPr="00234ECD">
        <w:rPr>
          <w:sz w:val="22"/>
          <w:szCs w:val="22"/>
          <w:lang w:val="sr-Latn-RS"/>
        </w:rPr>
        <w:t>j</w:t>
      </w:r>
      <w:r w:rsidRPr="00234ECD">
        <w:rPr>
          <w:sz w:val="22"/>
          <w:szCs w:val="22"/>
          <w:lang w:val="sr-Latn-RS"/>
        </w:rPr>
        <w:t xml:space="preserve">eti </w:t>
      </w:r>
      <w:r w:rsidR="000E36C9" w:rsidRPr="00234ECD">
        <w:rPr>
          <w:sz w:val="22"/>
          <w:szCs w:val="22"/>
          <w:lang w:val="sr-Latn-RS"/>
        </w:rPr>
        <w:t>T</w:t>
      </w:r>
      <w:r w:rsidRPr="00234ECD">
        <w:rPr>
          <w:sz w:val="22"/>
          <w:szCs w:val="22"/>
          <w:lang w:val="sr-Latn-RS"/>
        </w:rPr>
        <w:t>abelu 1).</w:t>
      </w:r>
    </w:p>
    <w:p w14:paraId="45EA73CD" w14:textId="77777777" w:rsidR="00D857AC" w:rsidRPr="00234ECD" w:rsidRDefault="00D857AC" w:rsidP="00D857AC">
      <w:pPr>
        <w:jc w:val="both"/>
        <w:rPr>
          <w:rFonts w:eastAsia="Calibri"/>
          <w:sz w:val="22"/>
          <w:szCs w:val="22"/>
          <w:lang w:val="sr-Latn-RS"/>
        </w:rPr>
      </w:pPr>
    </w:p>
    <w:p w14:paraId="4E696AB2"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Induktori i inhibitori CYP3A4</w:t>
      </w:r>
    </w:p>
    <w:p w14:paraId="3D2F05BB" w14:textId="68926391" w:rsidR="00D857AC" w:rsidRPr="00234ECD" w:rsidRDefault="00D857AC" w:rsidP="00D857AC">
      <w:pPr>
        <w:jc w:val="both"/>
        <w:rPr>
          <w:rFonts w:eastAsia="Calibri"/>
          <w:sz w:val="22"/>
          <w:szCs w:val="22"/>
          <w:lang w:val="sr-Latn-RS"/>
        </w:rPr>
      </w:pPr>
      <w:r w:rsidRPr="00234ECD">
        <w:rPr>
          <w:rFonts w:eastAsia="Calibri"/>
          <w:sz w:val="22"/>
          <w:szCs w:val="22"/>
          <w:lang w:val="sr-Latn-RS"/>
        </w:rPr>
        <w:t>Kabozantinib je supstrat CYP3A4. Istovremena prim</w:t>
      </w:r>
      <w:r w:rsidR="00B77FEC" w:rsidRPr="00234ECD">
        <w:rPr>
          <w:rFonts w:eastAsia="Calibri"/>
          <w:sz w:val="22"/>
          <w:szCs w:val="22"/>
          <w:lang w:val="sr-Latn-RS"/>
        </w:rPr>
        <w:t>j</w:t>
      </w:r>
      <w:r w:rsidRPr="00234ECD">
        <w:rPr>
          <w:rFonts w:eastAsia="Calibri"/>
          <w:sz w:val="22"/>
          <w:szCs w:val="22"/>
          <w:lang w:val="sr-Latn-RS"/>
        </w:rPr>
        <w:t>ena kabozantiniba sa jakim inhibitorom CYP3A4 ketokonazolom dovela je do povećanja izloženosti plazme kabozantinibu. Potreban je oprez prilikom prim</w:t>
      </w:r>
      <w:r w:rsidR="00B77FEC" w:rsidRPr="00234ECD">
        <w:rPr>
          <w:rFonts w:eastAsia="Calibri"/>
          <w:sz w:val="22"/>
          <w:szCs w:val="22"/>
          <w:lang w:val="sr-Latn-RS"/>
        </w:rPr>
        <w:t>j</w:t>
      </w:r>
      <w:r w:rsidRPr="00234ECD">
        <w:rPr>
          <w:rFonts w:eastAsia="Calibri"/>
          <w:sz w:val="22"/>
          <w:szCs w:val="22"/>
          <w:lang w:val="sr-Latn-RS"/>
        </w:rPr>
        <w:t>ene kabozantiniba sa l</w:t>
      </w:r>
      <w:r w:rsidR="00B77FEC" w:rsidRPr="00234ECD">
        <w:rPr>
          <w:rFonts w:eastAsia="Calibri"/>
          <w:sz w:val="22"/>
          <w:szCs w:val="22"/>
          <w:lang w:val="sr-Latn-RS"/>
        </w:rPr>
        <w:t>j</w:t>
      </w:r>
      <w:r w:rsidRPr="00234ECD">
        <w:rPr>
          <w:rFonts w:eastAsia="Calibri"/>
          <w:sz w:val="22"/>
          <w:szCs w:val="22"/>
          <w:lang w:val="sr-Latn-RS"/>
        </w:rPr>
        <w:t>ekovima koji su jaki inhibitori CYP3A4. Istovremena prim</w:t>
      </w:r>
      <w:r w:rsidR="00B77FEC" w:rsidRPr="00234ECD">
        <w:rPr>
          <w:rFonts w:eastAsia="Calibri"/>
          <w:sz w:val="22"/>
          <w:szCs w:val="22"/>
          <w:lang w:val="sr-Latn-RS"/>
        </w:rPr>
        <w:t>j</w:t>
      </w:r>
      <w:r w:rsidRPr="00234ECD">
        <w:rPr>
          <w:rFonts w:eastAsia="Calibri"/>
          <w:sz w:val="22"/>
          <w:szCs w:val="22"/>
          <w:lang w:val="sr-Latn-RS"/>
        </w:rPr>
        <w:t>ena kabozantiniba sa jakim induktorom CYP3A4 rifampicinom dovela je do smanjenja izloženosti plazme kabozantinibu. Stoga, treba izb</w:t>
      </w:r>
      <w:r w:rsidR="00B77FEC" w:rsidRPr="00234ECD">
        <w:rPr>
          <w:rFonts w:eastAsia="Calibri"/>
          <w:sz w:val="22"/>
          <w:szCs w:val="22"/>
          <w:lang w:val="sr-Latn-RS"/>
        </w:rPr>
        <w:t>j</w:t>
      </w:r>
      <w:r w:rsidRPr="00234ECD">
        <w:rPr>
          <w:rFonts w:eastAsia="Calibri"/>
          <w:sz w:val="22"/>
          <w:szCs w:val="22"/>
          <w:lang w:val="sr-Latn-RS"/>
        </w:rPr>
        <w:t>egavati hroničnu prim</w:t>
      </w:r>
      <w:r w:rsidR="00B77FEC" w:rsidRPr="00234ECD">
        <w:rPr>
          <w:rFonts w:eastAsia="Calibri"/>
          <w:sz w:val="22"/>
          <w:szCs w:val="22"/>
          <w:lang w:val="sr-Latn-RS"/>
        </w:rPr>
        <w:t>j</w:t>
      </w:r>
      <w:r w:rsidRPr="00234ECD">
        <w:rPr>
          <w:rFonts w:eastAsia="Calibri"/>
          <w:sz w:val="22"/>
          <w:szCs w:val="22"/>
          <w:lang w:val="sr-Latn-RS"/>
        </w:rPr>
        <w:t>enu l</w:t>
      </w:r>
      <w:r w:rsidR="00B77FEC" w:rsidRPr="00234ECD">
        <w:rPr>
          <w:rFonts w:eastAsia="Calibri"/>
          <w:sz w:val="22"/>
          <w:szCs w:val="22"/>
          <w:lang w:val="sr-Latn-RS"/>
        </w:rPr>
        <w:t>j</w:t>
      </w:r>
      <w:r w:rsidRPr="00234ECD">
        <w:rPr>
          <w:rFonts w:eastAsia="Calibri"/>
          <w:sz w:val="22"/>
          <w:szCs w:val="22"/>
          <w:lang w:val="sr-Latn-RS"/>
        </w:rPr>
        <w:t>ekova koji su jaki induktori CYP3A4 sa kabozantinibom (vid</w:t>
      </w:r>
      <w:r w:rsidR="00B77FEC" w:rsidRPr="00234ECD">
        <w:rPr>
          <w:rFonts w:eastAsia="Calibri"/>
          <w:sz w:val="22"/>
          <w:szCs w:val="22"/>
          <w:lang w:val="sr-Latn-RS"/>
        </w:rPr>
        <w:t>j</w:t>
      </w:r>
      <w:r w:rsidRPr="00234ECD">
        <w:rPr>
          <w:rFonts w:eastAsia="Calibri"/>
          <w:sz w:val="22"/>
          <w:szCs w:val="22"/>
          <w:lang w:val="sr-Latn-RS"/>
        </w:rPr>
        <w:t xml:space="preserve">eti </w:t>
      </w:r>
      <w:r w:rsidR="00425FF3" w:rsidRPr="00234ECD">
        <w:rPr>
          <w:rFonts w:eastAsia="Calibri"/>
          <w:sz w:val="22"/>
          <w:szCs w:val="22"/>
          <w:lang w:val="sr-Latn-RS"/>
        </w:rPr>
        <w:t xml:space="preserve">djelove </w:t>
      </w:r>
      <w:r w:rsidRPr="00234ECD">
        <w:rPr>
          <w:rFonts w:eastAsia="Calibri"/>
          <w:sz w:val="22"/>
          <w:szCs w:val="22"/>
          <w:lang w:val="sr-Latn-RS"/>
        </w:rPr>
        <w:t>4.2 i 4.5).</w:t>
      </w:r>
    </w:p>
    <w:p w14:paraId="4FFBB352" w14:textId="77777777" w:rsidR="00D857AC" w:rsidRPr="00234ECD" w:rsidRDefault="00D857AC" w:rsidP="00D857AC">
      <w:pPr>
        <w:jc w:val="both"/>
        <w:rPr>
          <w:rFonts w:eastAsia="Calibri"/>
          <w:sz w:val="22"/>
          <w:szCs w:val="22"/>
          <w:lang w:val="sr-Latn-RS"/>
        </w:rPr>
      </w:pPr>
    </w:p>
    <w:p w14:paraId="061B2935"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Supstrati P-glikoproteina</w:t>
      </w:r>
    </w:p>
    <w:p w14:paraId="5B08969E" w14:textId="0573C2CB" w:rsidR="00D857AC" w:rsidRPr="00234ECD" w:rsidRDefault="00D857AC" w:rsidP="00D857AC">
      <w:pPr>
        <w:jc w:val="both"/>
        <w:rPr>
          <w:rFonts w:eastAsia="Calibri"/>
          <w:sz w:val="22"/>
          <w:szCs w:val="22"/>
          <w:lang w:val="sr-Latn-RS"/>
        </w:rPr>
      </w:pPr>
      <w:r w:rsidRPr="00234ECD">
        <w:rPr>
          <w:rFonts w:eastAsia="Calibri"/>
          <w:sz w:val="22"/>
          <w:szCs w:val="22"/>
          <w:lang w:val="sr-Latn-RS"/>
        </w:rPr>
        <w:t>U sistemu za ispitivanje prolaska u oba sm</w:t>
      </w:r>
      <w:r w:rsidR="00B77FEC" w:rsidRPr="00234ECD">
        <w:rPr>
          <w:rFonts w:eastAsia="Calibri"/>
          <w:sz w:val="22"/>
          <w:szCs w:val="22"/>
          <w:lang w:val="sr-Latn-RS"/>
        </w:rPr>
        <w:t>j</w:t>
      </w:r>
      <w:r w:rsidRPr="00234ECD">
        <w:rPr>
          <w:rFonts w:eastAsia="Calibri"/>
          <w:sz w:val="22"/>
          <w:szCs w:val="22"/>
          <w:lang w:val="sr-Latn-RS"/>
        </w:rPr>
        <w:t>era na MDCK-MDR1 ćelijama, kabozantinib se pokazao kao inhibitor (IC</w:t>
      </w:r>
      <w:r w:rsidRPr="00234ECD">
        <w:rPr>
          <w:rFonts w:eastAsia="Calibri"/>
          <w:sz w:val="22"/>
          <w:szCs w:val="22"/>
          <w:vertAlign w:val="subscript"/>
          <w:lang w:val="sr-Latn-RS"/>
        </w:rPr>
        <w:t>50</w:t>
      </w:r>
      <w:r w:rsidRPr="00234ECD">
        <w:rPr>
          <w:rFonts w:eastAsia="Calibri"/>
          <w:sz w:val="22"/>
          <w:szCs w:val="22"/>
          <w:lang w:val="sr-Latn-RS"/>
        </w:rPr>
        <w:t xml:space="preserve"> = 7,0 </w:t>
      </w:r>
      <w:r w:rsidR="00146073" w:rsidRPr="00234ECD">
        <w:rPr>
          <w:sz w:val="22"/>
          <w:szCs w:val="22"/>
          <w:lang w:val="sr-Latn-RS"/>
        </w:rPr>
        <w:t>μ</w:t>
      </w:r>
      <w:r w:rsidRPr="00234ECD">
        <w:rPr>
          <w:rFonts w:eastAsia="Calibri"/>
          <w:sz w:val="22"/>
          <w:szCs w:val="22"/>
          <w:lang w:val="sr-Latn-RS"/>
        </w:rPr>
        <w:t>M) ali ne i supstrat transportne aktivnosti P-glikoproteina (P-gp). Stoga, moguće je da kabozantinib može povećati koncentracije supstrata P-gp u plazmi koji se prim</w:t>
      </w:r>
      <w:r w:rsidR="00B77FEC" w:rsidRPr="00234ECD">
        <w:rPr>
          <w:rFonts w:eastAsia="Calibri"/>
          <w:sz w:val="22"/>
          <w:szCs w:val="22"/>
          <w:lang w:val="sr-Latn-RS"/>
        </w:rPr>
        <w:t>j</w:t>
      </w:r>
      <w:r w:rsidRPr="00234ECD">
        <w:rPr>
          <w:rFonts w:eastAsia="Calibri"/>
          <w:sz w:val="22"/>
          <w:szCs w:val="22"/>
          <w:lang w:val="sr-Latn-RS"/>
        </w:rPr>
        <w:t>enjuju istovremeno sa kabozantinibom. Ispitanike treba upozoriti u vezi sa uzimanjem supstrata P-gp (npr. feksofenadina, aliskirena, ambrisentana, dabigatraneteksilata, digoksina, kolhicina, maraviroka, posakonazola, ranolazina, saksagliptina, sitagliptina, talinolola, tolvaptana) tokom prim</w:t>
      </w:r>
      <w:r w:rsidR="00B77FEC" w:rsidRPr="00234ECD">
        <w:rPr>
          <w:rFonts w:eastAsia="Calibri"/>
          <w:sz w:val="22"/>
          <w:szCs w:val="22"/>
          <w:lang w:val="sr-Latn-RS"/>
        </w:rPr>
        <w:t>j</w:t>
      </w:r>
      <w:r w:rsidRPr="00234ECD">
        <w:rPr>
          <w:rFonts w:eastAsia="Calibri"/>
          <w:sz w:val="22"/>
          <w:szCs w:val="22"/>
          <w:lang w:val="sr-Latn-RS"/>
        </w:rPr>
        <w:t>ene kabozantiniba (vid</w:t>
      </w:r>
      <w:r w:rsidR="00B77FEC" w:rsidRPr="00234ECD">
        <w:rPr>
          <w:rFonts w:eastAsia="Calibri"/>
          <w:sz w:val="22"/>
          <w:szCs w:val="22"/>
          <w:lang w:val="sr-Latn-RS"/>
        </w:rPr>
        <w:t>j</w:t>
      </w:r>
      <w:r w:rsidRPr="00234ECD">
        <w:rPr>
          <w:rFonts w:eastAsia="Calibri"/>
          <w:sz w:val="22"/>
          <w:szCs w:val="22"/>
          <w:lang w:val="sr-Latn-RS"/>
        </w:rPr>
        <w:t xml:space="preserve">eti </w:t>
      </w:r>
      <w:r w:rsidR="00146073" w:rsidRPr="00234ECD">
        <w:rPr>
          <w:rFonts w:eastAsia="Calibri"/>
          <w:sz w:val="22"/>
          <w:szCs w:val="22"/>
          <w:lang w:val="sr-Latn-RS"/>
        </w:rPr>
        <w:t xml:space="preserve">dio </w:t>
      </w:r>
      <w:r w:rsidRPr="00234ECD">
        <w:rPr>
          <w:rFonts w:eastAsia="Calibri"/>
          <w:sz w:val="22"/>
          <w:szCs w:val="22"/>
          <w:lang w:val="sr-Latn-RS"/>
        </w:rPr>
        <w:t>4.5).</w:t>
      </w:r>
    </w:p>
    <w:p w14:paraId="7387065C" w14:textId="77777777" w:rsidR="00D857AC" w:rsidRPr="00234ECD" w:rsidRDefault="00D857AC" w:rsidP="00D857AC">
      <w:pPr>
        <w:jc w:val="both"/>
        <w:rPr>
          <w:rFonts w:eastAsia="Calibri"/>
          <w:sz w:val="22"/>
          <w:szCs w:val="22"/>
          <w:lang w:val="sr-Latn-RS"/>
        </w:rPr>
      </w:pPr>
    </w:p>
    <w:p w14:paraId="1E0BE4E5"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Inhibitori MRP2</w:t>
      </w:r>
    </w:p>
    <w:p w14:paraId="4958E734" w14:textId="5BEFE8F5" w:rsidR="00D857AC" w:rsidRPr="00234ECD" w:rsidRDefault="00D857AC" w:rsidP="00D857AC">
      <w:pPr>
        <w:jc w:val="both"/>
        <w:rPr>
          <w:rFonts w:eastAsia="Calibri"/>
          <w:sz w:val="22"/>
          <w:szCs w:val="22"/>
          <w:lang w:val="sr-Latn-RS"/>
        </w:rPr>
      </w:pPr>
      <w:r w:rsidRPr="00234ECD">
        <w:rPr>
          <w:rFonts w:eastAsia="Calibri"/>
          <w:sz w:val="22"/>
          <w:szCs w:val="22"/>
          <w:lang w:val="sr-Latn-RS"/>
        </w:rPr>
        <w:t>Prim</w:t>
      </w:r>
      <w:r w:rsidR="00B77FEC" w:rsidRPr="00234ECD">
        <w:rPr>
          <w:rFonts w:eastAsia="Calibri"/>
          <w:sz w:val="22"/>
          <w:szCs w:val="22"/>
          <w:lang w:val="sr-Latn-RS"/>
        </w:rPr>
        <w:t>j</w:t>
      </w:r>
      <w:r w:rsidRPr="00234ECD">
        <w:rPr>
          <w:rFonts w:eastAsia="Calibri"/>
          <w:sz w:val="22"/>
          <w:szCs w:val="22"/>
          <w:lang w:val="sr-Latn-RS"/>
        </w:rPr>
        <w:t>ena inhibitora MRP2 može dovesti do povećanja koncentracija kabozantiniba u plazmi. Stoga, istovremenoj prim</w:t>
      </w:r>
      <w:r w:rsidR="00B77FEC" w:rsidRPr="00234ECD">
        <w:rPr>
          <w:rFonts w:eastAsia="Calibri"/>
          <w:sz w:val="22"/>
          <w:szCs w:val="22"/>
          <w:lang w:val="sr-Latn-RS"/>
        </w:rPr>
        <w:t>j</w:t>
      </w:r>
      <w:r w:rsidRPr="00234ECD">
        <w:rPr>
          <w:rFonts w:eastAsia="Calibri"/>
          <w:sz w:val="22"/>
          <w:szCs w:val="22"/>
          <w:lang w:val="sr-Latn-RS"/>
        </w:rPr>
        <w:t>eni inhibitora MRP2 (npr. ciklosporina, efavirenza, emtricitabina) treba pristupiti sa oprezom (vid</w:t>
      </w:r>
      <w:r w:rsidR="00B77FEC" w:rsidRPr="00234ECD">
        <w:rPr>
          <w:rFonts w:eastAsia="Calibri"/>
          <w:sz w:val="22"/>
          <w:szCs w:val="22"/>
          <w:lang w:val="sr-Latn-RS"/>
        </w:rPr>
        <w:t>j</w:t>
      </w:r>
      <w:r w:rsidRPr="00234ECD">
        <w:rPr>
          <w:rFonts w:eastAsia="Calibri"/>
          <w:sz w:val="22"/>
          <w:szCs w:val="22"/>
          <w:lang w:val="sr-Latn-RS"/>
        </w:rPr>
        <w:t xml:space="preserve">eti </w:t>
      </w:r>
      <w:r w:rsidR="00146073" w:rsidRPr="00234ECD">
        <w:rPr>
          <w:rFonts w:eastAsia="Calibri"/>
          <w:sz w:val="22"/>
          <w:szCs w:val="22"/>
          <w:lang w:val="sr-Latn-RS"/>
        </w:rPr>
        <w:t xml:space="preserve">dio </w:t>
      </w:r>
      <w:r w:rsidRPr="00234ECD">
        <w:rPr>
          <w:rFonts w:eastAsia="Calibri"/>
          <w:sz w:val="22"/>
          <w:szCs w:val="22"/>
          <w:lang w:val="sr-Latn-RS"/>
        </w:rPr>
        <w:t>4.5).</w:t>
      </w:r>
    </w:p>
    <w:p w14:paraId="72AA90B3" w14:textId="77777777" w:rsidR="00D857AC" w:rsidRPr="00234ECD" w:rsidRDefault="00D857AC" w:rsidP="00D857AC">
      <w:pPr>
        <w:jc w:val="both"/>
        <w:rPr>
          <w:rFonts w:eastAsia="Calibri"/>
          <w:sz w:val="22"/>
          <w:szCs w:val="22"/>
          <w:lang w:val="sr-Latn-RS"/>
        </w:rPr>
      </w:pPr>
    </w:p>
    <w:p w14:paraId="147E28ED"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Ekscipijensi</w:t>
      </w:r>
    </w:p>
    <w:p w14:paraId="46F4D65A" w14:textId="77777777" w:rsidR="00D857AC" w:rsidRPr="00234ECD" w:rsidRDefault="00D857AC" w:rsidP="00D857AC">
      <w:pPr>
        <w:jc w:val="both"/>
        <w:rPr>
          <w:rFonts w:eastAsia="Calibri"/>
          <w:i/>
          <w:iCs/>
          <w:sz w:val="22"/>
          <w:szCs w:val="22"/>
          <w:lang w:val="sr-Latn-RS"/>
        </w:rPr>
      </w:pPr>
      <w:r w:rsidRPr="00234ECD">
        <w:rPr>
          <w:rFonts w:eastAsia="Calibri"/>
          <w:i/>
          <w:iCs/>
          <w:sz w:val="22"/>
          <w:szCs w:val="22"/>
          <w:lang w:val="sr-Latn-RS"/>
        </w:rPr>
        <w:t>Laktoza</w:t>
      </w:r>
    </w:p>
    <w:p w14:paraId="39D014C3" w14:textId="48A67981" w:rsidR="00D857AC" w:rsidRPr="00234ECD" w:rsidRDefault="00D857AC" w:rsidP="00D857AC">
      <w:pPr>
        <w:jc w:val="both"/>
        <w:rPr>
          <w:rFonts w:eastAsia="Calibri"/>
          <w:sz w:val="22"/>
          <w:szCs w:val="22"/>
          <w:lang w:val="sr-Latn-RS"/>
        </w:rPr>
      </w:pPr>
      <w:r w:rsidRPr="00234ECD">
        <w:rPr>
          <w:rFonts w:eastAsia="Calibri"/>
          <w:sz w:val="22"/>
          <w:szCs w:val="22"/>
          <w:lang w:val="sr-Latn-RS"/>
        </w:rPr>
        <w:t>Pacijenti sa r</w:t>
      </w:r>
      <w:r w:rsidR="00B77FEC" w:rsidRPr="00234ECD">
        <w:rPr>
          <w:rFonts w:eastAsia="Calibri"/>
          <w:sz w:val="22"/>
          <w:szCs w:val="22"/>
          <w:lang w:val="sr-Latn-RS"/>
        </w:rPr>
        <w:t>ij</w:t>
      </w:r>
      <w:r w:rsidRPr="00234ECD">
        <w:rPr>
          <w:rFonts w:eastAsia="Calibri"/>
          <w:sz w:val="22"/>
          <w:szCs w:val="22"/>
          <w:lang w:val="sr-Latn-RS"/>
        </w:rPr>
        <w:t>etkim nasl</w:t>
      </w:r>
      <w:r w:rsidR="00B77FEC" w:rsidRPr="00234ECD">
        <w:rPr>
          <w:rFonts w:eastAsia="Calibri"/>
          <w:sz w:val="22"/>
          <w:szCs w:val="22"/>
          <w:lang w:val="sr-Latn-RS"/>
        </w:rPr>
        <w:t>j</w:t>
      </w:r>
      <w:r w:rsidRPr="00234ECD">
        <w:rPr>
          <w:rFonts w:eastAsia="Calibri"/>
          <w:sz w:val="22"/>
          <w:szCs w:val="22"/>
          <w:lang w:val="sr-Latn-RS"/>
        </w:rPr>
        <w:t xml:space="preserve">ednim oboljenjem intolerancije na galaktozu, </w:t>
      </w:r>
      <w:r w:rsidR="00146073" w:rsidRPr="00234ECD">
        <w:rPr>
          <w:sz w:val="22"/>
          <w:szCs w:val="22"/>
          <w:lang w:val="sr-Latn-RS"/>
        </w:rPr>
        <w:t xml:space="preserve">potpunim </w:t>
      </w:r>
      <w:r w:rsidRPr="00234ECD">
        <w:rPr>
          <w:rFonts w:eastAsia="Calibri"/>
          <w:sz w:val="22"/>
          <w:szCs w:val="22"/>
          <w:lang w:val="sr-Latn-RS"/>
        </w:rPr>
        <w:t>nedostatkom laktaze ili glukozno-galaktoznom malapsorpcijom ne sm</w:t>
      </w:r>
      <w:r w:rsidR="00B77FEC" w:rsidRPr="00234ECD">
        <w:rPr>
          <w:rFonts w:eastAsia="Calibri"/>
          <w:sz w:val="22"/>
          <w:szCs w:val="22"/>
          <w:lang w:val="sr-Latn-RS"/>
        </w:rPr>
        <w:t>i</w:t>
      </w:r>
      <w:r w:rsidRPr="00234ECD">
        <w:rPr>
          <w:rFonts w:eastAsia="Calibri"/>
          <w:sz w:val="22"/>
          <w:szCs w:val="22"/>
          <w:lang w:val="sr-Latn-RS"/>
        </w:rPr>
        <w:t>ju da uzimaju ovaj l</w:t>
      </w:r>
      <w:r w:rsidR="00B77FEC" w:rsidRPr="00234ECD">
        <w:rPr>
          <w:rFonts w:eastAsia="Calibri"/>
          <w:sz w:val="22"/>
          <w:szCs w:val="22"/>
          <w:lang w:val="sr-Latn-RS"/>
        </w:rPr>
        <w:t>ij</w:t>
      </w:r>
      <w:r w:rsidRPr="00234ECD">
        <w:rPr>
          <w:rFonts w:eastAsia="Calibri"/>
          <w:sz w:val="22"/>
          <w:szCs w:val="22"/>
          <w:lang w:val="sr-Latn-RS"/>
        </w:rPr>
        <w:t>ek.</w:t>
      </w:r>
    </w:p>
    <w:p w14:paraId="7EB93D0D" w14:textId="77777777" w:rsidR="00D857AC" w:rsidRPr="00234ECD" w:rsidRDefault="00D857AC" w:rsidP="00D857AC">
      <w:pPr>
        <w:jc w:val="both"/>
        <w:rPr>
          <w:rFonts w:eastAsia="Calibri"/>
          <w:sz w:val="22"/>
          <w:szCs w:val="22"/>
          <w:lang w:val="sr-Latn-RS"/>
        </w:rPr>
      </w:pPr>
    </w:p>
    <w:p w14:paraId="23680F1D" w14:textId="77777777" w:rsidR="00D857AC" w:rsidRPr="00234ECD" w:rsidRDefault="00D857AC" w:rsidP="00D857AC">
      <w:pPr>
        <w:jc w:val="both"/>
        <w:rPr>
          <w:rFonts w:eastAsia="Calibri"/>
          <w:i/>
          <w:iCs/>
          <w:sz w:val="22"/>
          <w:szCs w:val="22"/>
          <w:lang w:val="sr-Latn-RS"/>
        </w:rPr>
      </w:pPr>
      <w:r w:rsidRPr="00234ECD">
        <w:rPr>
          <w:rFonts w:eastAsia="Calibri"/>
          <w:i/>
          <w:iCs/>
          <w:sz w:val="22"/>
          <w:szCs w:val="22"/>
          <w:lang w:val="sr-Latn-RS"/>
        </w:rPr>
        <w:t>Natrijum</w:t>
      </w:r>
    </w:p>
    <w:p w14:paraId="6A189AE2" w14:textId="76775928" w:rsidR="00D857AC" w:rsidRPr="00234ECD" w:rsidRDefault="00D857AC" w:rsidP="00D857AC">
      <w:pPr>
        <w:jc w:val="both"/>
        <w:rPr>
          <w:rFonts w:eastAsia="Calibri"/>
          <w:sz w:val="22"/>
          <w:szCs w:val="22"/>
          <w:lang w:val="sr-Latn-RS"/>
        </w:rPr>
      </w:pPr>
      <w:r w:rsidRPr="00234ECD">
        <w:rPr>
          <w:rFonts w:eastAsia="Calibri"/>
          <w:sz w:val="22"/>
          <w:szCs w:val="22"/>
          <w:lang w:val="sr-Latn-RS"/>
        </w:rPr>
        <w:t>Ovaj l</w:t>
      </w:r>
      <w:r w:rsidR="00B77FEC" w:rsidRPr="00234ECD">
        <w:rPr>
          <w:rFonts w:eastAsia="Calibri"/>
          <w:sz w:val="22"/>
          <w:szCs w:val="22"/>
          <w:lang w:val="sr-Latn-RS"/>
        </w:rPr>
        <w:t>ij</w:t>
      </w:r>
      <w:r w:rsidRPr="00234ECD">
        <w:rPr>
          <w:rFonts w:eastAsia="Calibri"/>
          <w:sz w:val="22"/>
          <w:szCs w:val="22"/>
          <w:lang w:val="sr-Latn-RS"/>
        </w:rPr>
        <w:t>ek sadrži manje od 1 mmol natrijuma (23 mg) po tableti, tj. zanemar</w:t>
      </w:r>
      <w:r w:rsidR="00AD0E19" w:rsidRPr="00234ECD">
        <w:rPr>
          <w:rFonts w:eastAsia="Calibri"/>
          <w:sz w:val="22"/>
          <w:szCs w:val="22"/>
          <w:lang w:val="sr-Latn-RS"/>
        </w:rPr>
        <w:t>lj</w:t>
      </w:r>
      <w:r w:rsidRPr="00234ECD">
        <w:rPr>
          <w:rFonts w:eastAsia="Calibri"/>
          <w:sz w:val="22"/>
          <w:szCs w:val="22"/>
          <w:lang w:val="sr-Latn-RS"/>
        </w:rPr>
        <w:t>ive količine, te se može smatrati da je bez natrijuma.</w:t>
      </w:r>
    </w:p>
    <w:p w14:paraId="1BE95FD7" w14:textId="77777777" w:rsidR="00057E35" w:rsidRPr="00234ECD" w:rsidRDefault="00057E35" w:rsidP="00480FB1">
      <w:pPr>
        <w:tabs>
          <w:tab w:val="left" w:pos="540"/>
          <w:tab w:val="left" w:pos="569"/>
        </w:tabs>
        <w:rPr>
          <w:bCs/>
          <w:sz w:val="22"/>
          <w:szCs w:val="22"/>
          <w:lang w:val="sr-Latn-RS"/>
        </w:rPr>
      </w:pPr>
    </w:p>
    <w:p w14:paraId="630E6A02" w14:textId="13105AF1" w:rsidR="00411B4B" w:rsidRPr="00234ECD" w:rsidRDefault="00411B4B" w:rsidP="00480FB1">
      <w:pPr>
        <w:tabs>
          <w:tab w:val="left" w:pos="540"/>
          <w:tab w:val="left" w:pos="569"/>
        </w:tabs>
        <w:rPr>
          <w:b/>
          <w:bCs/>
          <w:sz w:val="22"/>
          <w:szCs w:val="22"/>
          <w:lang w:val="sr-Latn-RS"/>
        </w:rPr>
      </w:pPr>
      <w:r w:rsidRPr="00234ECD">
        <w:rPr>
          <w:b/>
          <w:bCs/>
          <w:sz w:val="22"/>
          <w:szCs w:val="22"/>
          <w:lang w:val="sr-Latn-RS"/>
        </w:rPr>
        <w:t>4.5.</w:t>
      </w:r>
      <w:r w:rsidR="000D60CC" w:rsidRPr="00234ECD">
        <w:rPr>
          <w:b/>
          <w:bCs/>
          <w:sz w:val="22"/>
          <w:szCs w:val="22"/>
          <w:lang w:val="sr-Latn-RS"/>
        </w:rPr>
        <w:tab/>
      </w:r>
      <w:r w:rsidRPr="00234ECD">
        <w:rPr>
          <w:b/>
          <w:bCs/>
          <w:sz w:val="22"/>
          <w:szCs w:val="22"/>
          <w:lang w:val="sr-Latn-RS"/>
        </w:rPr>
        <w:t>Interakcije sa drugim ljekovima i druge vrste interakcija</w:t>
      </w:r>
    </w:p>
    <w:p w14:paraId="757D9E13" w14:textId="77777777" w:rsidR="00D857AC" w:rsidRPr="00234ECD" w:rsidRDefault="00D857AC" w:rsidP="00480FB1">
      <w:pPr>
        <w:tabs>
          <w:tab w:val="left" w:pos="540"/>
          <w:tab w:val="left" w:pos="569"/>
        </w:tabs>
        <w:rPr>
          <w:b/>
          <w:bCs/>
          <w:sz w:val="22"/>
          <w:szCs w:val="22"/>
          <w:lang w:val="sr-Latn-RS"/>
        </w:rPr>
      </w:pPr>
    </w:p>
    <w:p w14:paraId="4FA1D3A9" w14:textId="6749B2A1"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Efekat drugih l</w:t>
      </w:r>
      <w:r w:rsidR="00B77FEC" w:rsidRPr="00234ECD">
        <w:rPr>
          <w:rFonts w:eastAsia="Calibri"/>
          <w:sz w:val="22"/>
          <w:szCs w:val="22"/>
          <w:u w:val="single"/>
          <w:lang w:val="sr-Latn-RS"/>
        </w:rPr>
        <w:t>j</w:t>
      </w:r>
      <w:r w:rsidRPr="00234ECD">
        <w:rPr>
          <w:rFonts w:eastAsia="Calibri"/>
          <w:sz w:val="22"/>
          <w:szCs w:val="22"/>
          <w:u w:val="single"/>
          <w:lang w:val="sr-Latn-RS"/>
        </w:rPr>
        <w:t>ekova na kabozantinib</w:t>
      </w:r>
    </w:p>
    <w:p w14:paraId="0E41D583" w14:textId="77777777" w:rsidR="00D857AC" w:rsidRPr="00234ECD" w:rsidRDefault="00D857AC" w:rsidP="00D857AC">
      <w:pPr>
        <w:jc w:val="both"/>
        <w:rPr>
          <w:rFonts w:eastAsia="Calibri"/>
          <w:sz w:val="22"/>
          <w:szCs w:val="22"/>
          <w:lang w:val="sr-Latn-RS"/>
        </w:rPr>
      </w:pPr>
    </w:p>
    <w:p w14:paraId="0EA8B146" w14:textId="77777777" w:rsidR="00D857AC" w:rsidRPr="00234ECD" w:rsidRDefault="00D857AC" w:rsidP="00D857AC">
      <w:pPr>
        <w:jc w:val="both"/>
        <w:rPr>
          <w:rFonts w:eastAsia="Calibri"/>
          <w:i/>
          <w:sz w:val="22"/>
          <w:szCs w:val="22"/>
          <w:lang w:val="sr-Latn-RS"/>
        </w:rPr>
      </w:pPr>
      <w:r w:rsidRPr="00234ECD">
        <w:rPr>
          <w:rFonts w:eastAsia="Calibri"/>
          <w:i/>
          <w:sz w:val="22"/>
          <w:szCs w:val="22"/>
          <w:lang w:val="sr-Latn-RS"/>
        </w:rPr>
        <w:t>Inhibitori i induktori CYP3A4</w:t>
      </w:r>
    </w:p>
    <w:p w14:paraId="78A5841F" w14:textId="04ABBBF9" w:rsidR="00D857AC" w:rsidRPr="00234ECD" w:rsidRDefault="00D857AC" w:rsidP="00D857AC">
      <w:pPr>
        <w:jc w:val="both"/>
        <w:rPr>
          <w:rFonts w:eastAsia="Calibri"/>
          <w:sz w:val="22"/>
          <w:szCs w:val="22"/>
          <w:lang w:val="sr-Latn-RS"/>
        </w:rPr>
      </w:pPr>
      <w:r w:rsidRPr="00234ECD">
        <w:rPr>
          <w:rFonts w:eastAsia="Calibri"/>
          <w:sz w:val="22"/>
          <w:szCs w:val="22"/>
          <w:lang w:val="sr-Latn-RS"/>
        </w:rPr>
        <w:t>Prim</w:t>
      </w:r>
      <w:r w:rsidR="00B77FEC" w:rsidRPr="00234ECD">
        <w:rPr>
          <w:rFonts w:eastAsia="Calibri"/>
          <w:sz w:val="22"/>
          <w:szCs w:val="22"/>
          <w:lang w:val="sr-Latn-RS"/>
        </w:rPr>
        <w:t>j</w:t>
      </w:r>
      <w:r w:rsidRPr="00234ECD">
        <w:rPr>
          <w:rFonts w:eastAsia="Calibri"/>
          <w:sz w:val="22"/>
          <w:szCs w:val="22"/>
          <w:lang w:val="sr-Latn-RS"/>
        </w:rPr>
        <w:t>ena jakog inhibitora CYP3A4 ketokonazola (400 mg dnevno tokom 27 dana) kod zdravih dobrovoljaca izazvala je smanjenje klirensa kabozantiniba (za 29%) i povećanje izloženosti plazme kabozantinibu (PIK) nakon prim</w:t>
      </w:r>
      <w:r w:rsidR="00B77FEC" w:rsidRPr="00234ECD">
        <w:rPr>
          <w:rFonts w:eastAsia="Calibri"/>
          <w:sz w:val="22"/>
          <w:szCs w:val="22"/>
          <w:lang w:val="sr-Latn-RS"/>
        </w:rPr>
        <w:t>j</w:t>
      </w:r>
      <w:r w:rsidRPr="00234ECD">
        <w:rPr>
          <w:rFonts w:eastAsia="Calibri"/>
          <w:sz w:val="22"/>
          <w:szCs w:val="22"/>
          <w:lang w:val="sr-Latn-RS"/>
        </w:rPr>
        <w:t>ene jedne doze za 38%. Stoga, istovremenoj prim</w:t>
      </w:r>
      <w:r w:rsidR="00B77FEC" w:rsidRPr="00234ECD">
        <w:rPr>
          <w:rFonts w:eastAsia="Calibri"/>
          <w:sz w:val="22"/>
          <w:szCs w:val="22"/>
          <w:lang w:val="sr-Latn-RS"/>
        </w:rPr>
        <w:t>j</w:t>
      </w:r>
      <w:r w:rsidRPr="00234ECD">
        <w:rPr>
          <w:rFonts w:eastAsia="Calibri"/>
          <w:sz w:val="22"/>
          <w:szCs w:val="22"/>
          <w:lang w:val="sr-Latn-RS"/>
        </w:rPr>
        <w:t>eni jakih inhibitora CYP3A4 (npr. ritonavira, itrakonazola, eritromicina, klaritromicina, soka od grejpfruta) sa kabozantinibom treba pristupiti uz oprez.</w:t>
      </w:r>
    </w:p>
    <w:p w14:paraId="00CA9439" w14:textId="77777777" w:rsidR="00D857AC" w:rsidRPr="00234ECD" w:rsidRDefault="00D857AC" w:rsidP="00D857AC">
      <w:pPr>
        <w:jc w:val="both"/>
        <w:rPr>
          <w:rFonts w:eastAsia="Calibri"/>
          <w:sz w:val="22"/>
          <w:szCs w:val="22"/>
          <w:lang w:val="sr-Latn-RS"/>
        </w:rPr>
      </w:pPr>
    </w:p>
    <w:p w14:paraId="76A50507" w14:textId="6CEE3A18" w:rsidR="00D857AC" w:rsidRPr="00234ECD" w:rsidRDefault="00D857AC" w:rsidP="00D857AC">
      <w:pPr>
        <w:jc w:val="both"/>
        <w:rPr>
          <w:rFonts w:eastAsia="Calibri"/>
          <w:sz w:val="22"/>
          <w:szCs w:val="22"/>
          <w:lang w:val="sr-Latn-RS"/>
        </w:rPr>
      </w:pPr>
      <w:r w:rsidRPr="00234ECD">
        <w:rPr>
          <w:rFonts w:eastAsia="Calibri"/>
          <w:sz w:val="22"/>
          <w:szCs w:val="22"/>
          <w:lang w:val="sr-Latn-RS"/>
        </w:rPr>
        <w:t>Prim</w:t>
      </w:r>
      <w:r w:rsidR="00B77FEC" w:rsidRPr="00234ECD">
        <w:rPr>
          <w:rFonts w:eastAsia="Calibri"/>
          <w:sz w:val="22"/>
          <w:szCs w:val="22"/>
          <w:lang w:val="sr-Latn-RS"/>
        </w:rPr>
        <w:t>j</w:t>
      </w:r>
      <w:r w:rsidRPr="00234ECD">
        <w:rPr>
          <w:rFonts w:eastAsia="Calibri"/>
          <w:sz w:val="22"/>
          <w:szCs w:val="22"/>
          <w:lang w:val="sr-Latn-RS"/>
        </w:rPr>
        <w:t>ena jakog induktora CYP3A4 rifampicina (600 mg dnevno tokom 31 dana) kod zdravih dobrovoljaca izazvala je povećanje klirensa kabozantiniba (za 4,3 puta) i smanjenje izloženosti plazme kabozantinibu (PIK) za 77%. Stoga, istovremenu hroničnu prim</w:t>
      </w:r>
      <w:r w:rsidR="00B77FEC" w:rsidRPr="00234ECD">
        <w:rPr>
          <w:rFonts w:eastAsia="Calibri"/>
          <w:sz w:val="22"/>
          <w:szCs w:val="22"/>
          <w:lang w:val="sr-Latn-RS"/>
        </w:rPr>
        <w:t>j</w:t>
      </w:r>
      <w:r w:rsidRPr="00234ECD">
        <w:rPr>
          <w:rFonts w:eastAsia="Calibri"/>
          <w:sz w:val="22"/>
          <w:szCs w:val="22"/>
          <w:lang w:val="sr-Latn-RS"/>
        </w:rPr>
        <w:t>enu jakih induktora CYP3A4 (npr. fenitoina, karbamazepina, rifampicina, fenobarbitala ili biljnih preparata koji sadrže kantarion [</w:t>
      </w:r>
      <w:r w:rsidRPr="00234ECD">
        <w:rPr>
          <w:rFonts w:eastAsia="Calibri"/>
          <w:i/>
          <w:sz w:val="22"/>
          <w:szCs w:val="22"/>
          <w:lang w:val="sr-Latn-RS"/>
        </w:rPr>
        <w:t>Hypericum perforatum</w:t>
      </w:r>
      <w:r w:rsidRPr="00234ECD">
        <w:rPr>
          <w:rFonts w:eastAsia="Calibri"/>
          <w:sz w:val="22"/>
          <w:szCs w:val="22"/>
          <w:lang w:val="sr-Latn-RS"/>
        </w:rPr>
        <w:t>]) sa kabozantinibom treba izb</w:t>
      </w:r>
      <w:r w:rsidR="00B77FEC" w:rsidRPr="00234ECD">
        <w:rPr>
          <w:rFonts w:eastAsia="Calibri"/>
          <w:sz w:val="22"/>
          <w:szCs w:val="22"/>
          <w:lang w:val="sr-Latn-RS"/>
        </w:rPr>
        <w:t>j</w:t>
      </w:r>
      <w:r w:rsidRPr="00234ECD">
        <w:rPr>
          <w:rFonts w:eastAsia="Calibri"/>
          <w:sz w:val="22"/>
          <w:szCs w:val="22"/>
          <w:lang w:val="sr-Latn-RS"/>
        </w:rPr>
        <w:t>egavati.</w:t>
      </w:r>
    </w:p>
    <w:p w14:paraId="33BED1D5" w14:textId="77777777" w:rsidR="00D857AC" w:rsidRPr="00234ECD" w:rsidRDefault="00D857AC" w:rsidP="00D857AC">
      <w:pPr>
        <w:jc w:val="both"/>
        <w:rPr>
          <w:rFonts w:eastAsia="Calibri"/>
          <w:sz w:val="22"/>
          <w:szCs w:val="22"/>
          <w:lang w:val="sr-Latn-RS"/>
        </w:rPr>
      </w:pPr>
    </w:p>
    <w:p w14:paraId="3A84BA29" w14:textId="0BA5BDE0" w:rsidR="00D857AC" w:rsidRPr="00234ECD" w:rsidRDefault="00D857AC" w:rsidP="00D857AC">
      <w:pPr>
        <w:jc w:val="both"/>
        <w:rPr>
          <w:rFonts w:eastAsia="Calibri"/>
          <w:i/>
          <w:sz w:val="22"/>
          <w:szCs w:val="22"/>
          <w:lang w:val="sr-Latn-RS"/>
        </w:rPr>
      </w:pPr>
      <w:r w:rsidRPr="00234ECD">
        <w:rPr>
          <w:rFonts w:eastAsia="Calibri"/>
          <w:i/>
          <w:sz w:val="22"/>
          <w:szCs w:val="22"/>
          <w:lang w:val="sr-Latn-RS"/>
        </w:rPr>
        <w:t>L</w:t>
      </w:r>
      <w:r w:rsidR="00B77FEC" w:rsidRPr="00234ECD">
        <w:rPr>
          <w:rFonts w:eastAsia="Calibri"/>
          <w:i/>
          <w:sz w:val="22"/>
          <w:szCs w:val="22"/>
          <w:lang w:val="sr-Latn-RS"/>
        </w:rPr>
        <w:t>j</w:t>
      </w:r>
      <w:r w:rsidRPr="00234ECD">
        <w:rPr>
          <w:rFonts w:eastAsia="Calibri"/>
          <w:i/>
          <w:sz w:val="22"/>
          <w:szCs w:val="22"/>
          <w:lang w:val="sr-Latn-RS"/>
        </w:rPr>
        <w:t>ekovi koji m</w:t>
      </w:r>
      <w:r w:rsidR="00B77FEC" w:rsidRPr="00234ECD">
        <w:rPr>
          <w:rFonts w:eastAsia="Calibri"/>
          <w:i/>
          <w:sz w:val="22"/>
          <w:szCs w:val="22"/>
          <w:lang w:val="sr-Latn-RS"/>
        </w:rPr>
        <w:t>ij</w:t>
      </w:r>
      <w:r w:rsidRPr="00234ECD">
        <w:rPr>
          <w:rFonts w:eastAsia="Calibri"/>
          <w:i/>
          <w:sz w:val="22"/>
          <w:szCs w:val="22"/>
          <w:lang w:val="sr-Latn-RS"/>
        </w:rPr>
        <w:t>enjaju pH želuca</w:t>
      </w:r>
    </w:p>
    <w:p w14:paraId="10E6924F" w14:textId="04B1E376" w:rsidR="00D857AC" w:rsidRPr="00234ECD" w:rsidRDefault="00D857AC" w:rsidP="00D857AC">
      <w:pPr>
        <w:jc w:val="both"/>
        <w:rPr>
          <w:rFonts w:eastAsia="Calibri"/>
          <w:sz w:val="22"/>
          <w:szCs w:val="22"/>
          <w:lang w:val="sr-Latn-RS"/>
        </w:rPr>
      </w:pPr>
      <w:r w:rsidRPr="00234ECD">
        <w:rPr>
          <w:rFonts w:eastAsia="Calibri"/>
          <w:sz w:val="22"/>
          <w:szCs w:val="22"/>
          <w:lang w:val="sr-Latn-RS"/>
        </w:rPr>
        <w:t>Istovremena prim</w:t>
      </w:r>
      <w:r w:rsidR="00B77FEC" w:rsidRPr="00234ECD">
        <w:rPr>
          <w:rFonts w:eastAsia="Calibri"/>
          <w:sz w:val="22"/>
          <w:szCs w:val="22"/>
          <w:lang w:val="sr-Latn-RS"/>
        </w:rPr>
        <w:t>j</w:t>
      </w:r>
      <w:r w:rsidRPr="00234ECD">
        <w:rPr>
          <w:rFonts w:eastAsia="Calibri"/>
          <w:sz w:val="22"/>
          <w:szCs w:val="22"/>
          <w:lang w:val="sr-Latn-RS"/>
        </w:rPr>
        <w:t xml:space="preserve">ena inhibitora protonske pumpe (IPP) esomeprazola (40 mg dnevno tokom 6 dana) sa jednokratnom dozom od 100 mg kabozantiniba kod zdravih dobrovoljaca nije imala klinički značajan </w:t>
      </w:r>
      <w:r w:rsidRPr="00234ECD">
        <w:rPr>
          <w:rFonts w:eastAsia="Calibri"/>
          <w:sz w:val="22"/>
          <w:szCs w:val="22"/>
          <w:lang w:val="sr-Latn-RS"/>
        </w:rPr>
        <w:lastRenderedPageBreak/>
        <w:t>efekat na izloženost plazme kabozantinibu (PIK). Nije potrebno prilagođavanje doze kada se l</w:t>
      </w:r>
      <w:r w:rsidR="00B77FEC" w:rsidRPr="00234ECD">
        <w:rPr>
          <w:rFonts w:eastAsia="Calibri"/>
          <w:sz w:val="22"/>
          <w:szCs w:val="22"/>
          <w:lang w:val="sr-Latn-RS"/>
        </w:rPr>
        <w:t>j</w:t>
      </w:r>
      <w:r w:rsidRPr="00234ECD">
        <w:rPr>
          <w:rFonts w:eastAsia="Calibri"/>
          <w:sz w:val="22"/>
          <w:szCs w:val="22"/>
          <w:lang w:val="sr-Latn-RS"/>
        </w:rPr>
        <w:t>ekovi koji m</w:t>
      </w:r>
      <w:r w:rsidR="00B77FEC" w:rsidRPr="00234ECD">
        <w:rPr>
          <w:rFonts w:eastAsia="Calibri"/>
          <w:sz w:val="22"/>
          <w:szCs w:val="22"/>
          <w:lang w:val="sr-Latn-RS"/>
        </w:rPr>
        <w:t>ij</w:t>
      </w:r>
      <w:r w:rsidRPr="00234ECD">
        <w:rPr>
          <w:rFonts w:eastAsia="Calibri"/>
          <w:sz w:val="22"/>
          <w:szCs w:val="22"/>
          <w:lang w:val="sr-Latn-RS"/>
        </w:rPr>
        <w:t>enjaju pH želuca (tj. inhibitori protonske pumpe, antagonisti H2 receptora i antacidi) prim</w:t>
      </w:r>
      <w:r w:rsidR="00B77FEC" w:rsidRPr="00234ECD">
        <w:rPr>
          <w:rFonts w:eastAsia="Calibri"/>
          <w:sz w:val="22"/>
          <w:szCs w:val="22"/>
          <w:lang w:val="sr-Latn-RS"/>
        </w:rPr>
        <w:t>j</w:t>
      </w:r>
      <w:r w:rsidRPr="00234ECD">
        <w:rPr>
          <w:rFonts w:eastAsia="Calibri"/>
          <w:sz w:val="22"/>
          <w:szCs w:val="22"/>
          <w:lang w:val="sr-Latn-RS"/>
        </w:rPr>
        <w:t>enjuju istovremeno sa kabozantinibom.</w:t>
      </w:r>
    </w:p>
    <w:p w14:paraId="7887AB40" w14:textId="77777777" w:rsidR="00D857AC" w:rsidRPr="00234ECD" w:rsidRDefault="00D857AC" w:rsidP="00D857AC">
      <w:pPr>
        <w:jc w:val="both"/>
        <w:rPr>
          <w:rFonts w:eastAsia="Calibri"/>
          <w:sz w:val="22"/>
          <w:szCs w:val="22"/>
          <w:lang w:val="sr-Latn-RS"/>
        </w:rPr>
      </w:pPr>
    </w:p>
    <w:p w14:paraId="07C1AC31" w14:textId="77777777" w:rsidR="00D857AC" w:rsidRPr="00234ECD" w:rsidRDefault="00D857AC" w:rsidP="00D857AC">
      <w:pPr>
        <w:jc w:val="both"/>
        <w:rPr>
          <w:rFonts w:eastAsia="Calibri"/>
          <w:i/>
          <w:sz w:val="22"/>
          <w:szCs w:val="22"/>
          <w:lang w:val="sr-Latn-RS"/>
        </w:rPr>
      </w:pPr>
      <w:r w:rsidRPr="00234ECD">
        <w:rPr>
          <w:rFonts w:eastAsia="Calibri"/>
          <w:i/>
          <w:sz w:val="22"/>
          <w:szCs w:val="22"/>
          <w:lang w:val="sr-Latn-RS"/>
        </w:rPr>
        <w:t>Inhibitori MRP2</w:t>
      </w:r>
    </w:p>
    <w:p w14:paraId="2BF783AE" w14:textId="376FD9DE" w:rsidR="00D857AC" w:rsidRPr="00234ECD" w:rsidRDefault="00D857AC" w:rsidP="00D857AC">
      <w:pPr>
        <w:jc w:val="both"/>
        <w:rPr>
          <w:rFonts w:eastAsia="Calibri"/>
          <w:sz w:val="22"/>
          <w:szCs w:val="22"/>
          <w:lang w:val="sr-Latn-RS"/>
        </w:rPr>
      </w:pPr>
      <w:r w:rsidRPr="00234ECD">
        <w:rPr>
          <w:rFonts w:eastAsia="Calibri"/>
          <w:i/>
          <w:sz w:val="22"/>
          <w:szCs w:val="22"/>
          <w:lang w:val="sr-Latn-RS"/>
        </w:rPr>
        <w:t>In vitro</w:t>
      </w:r>
      <w:r w:rsidRPr="00234ECD">
        <w:rPr>
          <w:rFonts w:eastAsia="Calibri"/>
          <w:sz w:val="22"/>
          <w:szCs w:val="22"/>
          <w:lang w:val="sr-Latn-RS"/>
        </w:rPr>
        <w:t xml:space="preserve"> podaci pokazuju da je kabozantinib supstrat MRP2. Stoga, prim</w:t>
      </w:r>
      <w:r w:rsidR="00B77FEC" w:rsidRPr="00234ECD">
        <w:rPr>
          <w:rFonts w:eastAsia="Calibri"/>
          <w:sz w:val="22"/>
          <w:szCs w:val="22"/>
          <w:lang w:val="sr-Latn-RS"/>
        </w:rPr>
        <w:t>j</w:t>
      </w:r>
      <w:r w:rsidRPr="00234ECD">
        <w:rPr>
          <w:rFonts w:eastAsia="Calibri"/>
          <w:sz w:val="22"/>
          <w:szCs w:val="22"/>
          <w:lang w:val="sr-Latn-RS"/>
        </w:rPr>
        <w:t>ena inhibitora MRP2 može dovesti do povećanja koncentracija kabozantiniba u plazmi.</w:t>
      </w:r>
    </w:p>
    <w:p w14:paraId="518386AC" w14:textId="77777777" w:rsidR="00D857AC" w:rsidRPr="00234ECD" w:rsidRDefault="00D857AC" w:rsidP="00D857AC">
      <w:pPr>
        <w:jc w:val="both"/>
        <w:rPr>
          <w:rFonts w:eastAsia="Calibri"/>
          <w:sz w:val="22"/>
          <w:szCs w:val="22"/>
          <w:lang w:val="sr-Latn-RS"/>
        </w:rPr>
      </w:pPr>
    </w:p>
    <w:p w14:paraId="3DD253DE" w14:textId="77777777" w:rsidR="00D857AC" w:rsidRPr="00234ECD" w:rsidRDefault="00D857AC" w:rsidP="00D857AC">
      <w:pPr>
        <w:jc w:val="both"/>
        <w:rPr>
          <w:rFonts w:eastAsia="Calibri"/>
          <w:i/>
          <w:sz w:val="22"/>
          <w:szCs w:val="22"/>
          <w:lang w:val="sr-Latn-RS"/>
        </w:rPr>
      </w:pPr>
      <w:r w:rsidRPr="00234ECD">
        <w:rPr>
          <w:rFonts w:eastAsia="Calibri"/>
          <w:i/>
          <w:sz w:val="22"/>
          <w:szCs w:val="22"/>
          <w:lang w:val="sr-Latn-RS"/>
        </w:rPr>
        <w:t>Sekvestranti žučne kiseline</w:t>
      </w:r>
    </w:p>
    <w:p w14:paraId="48E84E41" w14:textId="5373442A" w:rsidR="00D857AC" w:rsidRPr="00234ECD" w:rsidRDefault="00D857AC" w:rsidP="00D857AC">
      <w:pPr>
        <w:jc w:val="both"/>
        <w:rPr>
          <w:rFonts w:eastAsia="Calibri"/>
          <w:sz w:val="22"/>
          <w:szCs w:val="22"/>
          <w:lang w:val="sr-Latn-RS"/>
        </w:rPr>
      </w:pPr>
      <w:r w:rsidRPr="00234ECD">
        <w:rPr>
          <w:rFonts w:eastAsia="Calibri"/>
          <w:sz w:val="22"/>
          <w:szCs w:val="22"/>
          <w:lang w:val="sr-Latn-RS"/>
        </w:rPr>
        <w:t xml:space="preserve">Sekvestranti žučne kiseline, kao što su </w:t>
      </w:r>
      <w:r w:rsidR="00AD0E19" w:rsidRPr="00234ECD">
        <w:rPr>
          <w:rFonts w:eastAsia="Calibri"/>
          <w:sz w:val="22"/>
          <w:szCs w:val="22"/>
          <w:lang w:val="sr-Latn-RS"/>
        </w:rPr>
        <w:t>h</w:t>
      </w:r>
      <w:r w:rsidRPr="00234ECD">
        <w:rPr>
          <w:rFonts w:eastAsia="Calibri"/>
          <w:sz w:val="22"/>
          <w:szCs w:val="22"/>
          <w:lang w:val="sr-Latn-RS"/>
        </w:rPr>
        <w:t>olestiramin i holestagel, mogu imati interakciju sa kabozantinibom i uticati na apsorpciju (ili reapsorpciju) i dovesti do mogućeg smanjenja izloženosti (vid</w:t>
      </w:r>
      <w:r w:rsidR="000A3929" w:rsidRPr="00234ECD">
        <w:rPr>
          <w:rFonts w:eastAsia="Calibri"/>
          <w:sz w:val="22"/>
          <w:szCs w:val="22"/>
          <w:lang w:val="sr-Latn-RS"/>
        </w:rPr>
        <w:t>j</w:t>
      </w:r>
      <w:r w:rsidRPr="00234ECD">
        <w:rPr>
          <w:rFonts w:eastAsia="Calibri"/>
          <w:sz w:val="22"/>
          <w:szCs w:val="22"/>
          <w:lang w:val="sr-Latn-RS"/>
        </w:rPr>
        <w:t xml:space="preserve">eti </w:t>
      </w:r>
      <w:r w:rsidR="006413E1" w:rsidRPr="00234ECD">
        <w:rPr>
          <w:rFonts w:eastAsia="Calibri"/>
          <w:sz w:val="22"/>
          <w:szCs w:val="22"/>
          <w:lang w:val="sr-Latn-RS"/>
        </w:rPr>
        <w:t xml:space="preserve">dio </w:t>
      </w:r>
      <w:r w:rsidRPr="00234ECD">
        <w:rPr>
          <w:rFonts w:eastAsia="Calibri"/>
          <w:sz w:val="22"/>
          <w:szCs w:val="22"/>
          <w:lang w:val="sr-Latn-RS"/>
        </w:rPr>
        <w:t>5.2). Klinički značaj ovih mogućih interakcija nije poznat.</w:t>
      </w:r>
    </w:p>
    <w:p w14:paraId="130EEEF4" w14:textId="77777777" w:rsidR="00D857AC" w:rsidRPr="00234ECD" w:rsidRDefault="00D857AC" w:rsidP="00D857AC">
      <w:pPr>
        <w:jc w:val="both"/>
        <w:rPr>
          <w:rFonts w:eastAsia="Calibri"/>
          <w:sz w:val="22"/>
          <w:szCs w:val="22"/>
          <w:lang w:val="sr-Latn-RS"/>
        </w:rPr>
      </w:pPr>
    </w:p>
    <w:p w14:paraId="3EF1CA3A" w14:textId="59FBE6F4"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Efekat kabozantiniba na druge l</w:t>
      </w:r>
      <w:r w:rsidR="000A3929" w:rsidRPr="00234ECD">
        <w:rPr>
          <w:rFonts w:eastAsia="Calibri"/>
          <w:sz w:val="22"/>
          <w:szCs w:val="22"/>
          <w:u w:val="single"/>
          <w:lang w:val="sr-Latn-RS"/>
        </w:rPr>
        <w:t>j</w:t>
      </w:r>
      <w:r w:rsidRPr="00234ECD">
        <w:rPr>
          <w:rFonts w:eastAsia="Calibri"/>
          <w:sz w:val="22"/>
          <w:szCs w:val="22"/>
          <w:u w:val="single"/>
          <w:lang w:val="sr-Latn-RS"/>
        </w:rPr>
        <w:t>ekove</w:t>
      </w:r>
    </w:p>
    <w:p w14:paraId="5CE7E6C4" w14:textId="20DDC4A3" w:rsidR="00D857AC" w:rsidRPr="00234ECD" w:rsidRDefault="00D857AC" w:rsidP="00D857AC">
      <w:pPr>
        <w:jc w:val="both"/>
        <w:rPr>
          <w:rFonts w:eastAsia="Calibri"/>
          <w:sz w:val="22"/>
          <w:szCs w:val="22"/>
          <w:lang w:val="sr-Latn-RS"/>
        </w:rPr>
      </w:pPr>
      <w:r w:rsidRPr="00234ECD">
        <w:rPr>
          <w:rFonts w:eastAsia="Calibri"/>
          <w:sz w:val="22"/>
          <w:szCs w:val="22"/>
          <w:lang w:val="sr-Latn-RS"/>
        </w:rPr>
        <w:t>Efekat kabozantiniba na farmakokinetiku kontracepcijskih steroida nije ispitan. Budući da nije sigurno da se kontracepcijski efekat neće prom</w:t>
      </w:r>
      <w:r w:rsidR="000A3929" w:rsidRPr="00234ECD">
        <w:rPr>
          <w:rFonts w:eastAsia="Calibri"/>
          <w:sz w:val="22"/>
          <w:szCs w:val="22"/>
          <w:lang w:val="sr-Latn-RS"/>
        </w:rPr>
        <w:t>ij</w:t>
      </w:r>
      <w:r w:rsidRPr="00234ECD">
        <w:rPr>
          <w:rFonts w:eastAsia="Calibri"/>
          <w:sz w:val="22"/>
          <w:szCs w:val="22"/>
          <w:lang w:val="sr-Latn-RS"/>
        </w:rPr>
        <w:t>eniti, preporučuje se prim</w:t>
      </w:r>
      <w:r w:rsidR="000A3929" w:rsidRPr="00234ECD">
        <w:rPr>
          <w:rFonts w:eastAsia="Calibri"/>
          <w:sz w:val="22"/>
          <w:szCs w:val="22"/>
          <w:lang w:val="sr-Latn-RS"/>
        </w:rPr>
        <w:t>j</w:t>
      </w:r>
      <w:r w:rsidRPr="00234ECD">
        <w:rPr>
          <w:rFonts w:eastAsia="Calibri"/>
          <w:sz w:val="22"/>
          <w:szCs w:val="22"/>
          <w:lang w:val="sr-Latn-RS"/>
        </w:rPr>
        <w:t>ena dodatnih metoda kontracepcije, kao što su mehanička sredstva kontracepcije.</w:t>
      </w:r>
    </w:p>
    <w:p w14:paraId="478CC2EC" w14:textId="0EC19634" w:rsidR="00D857AC" w:rsidRPr="00234ECD" w:rsidRDefault="00D857AC" w:rsidP="00D857AC">
      <w:pPr>
        <w:jc w:val="both"/>
        <w:rPr>
          <w:rFonts w:eastAsia="Calibri"/>
          <w:sz w:val="22"/>
          <w:szCs w:val="22"/>
          <w:lang w:val="sr-Latn-RS"/>
        </w:rPr>
      </w:pPr>
      <w:r w:rsidRPr="00234ECD">
        <w:rPr>
          <w:rFonts w:eastAsia="Calibri"/>
          <w:sz w:val="22"/>
          <w:szCs w:val="22"/>
          <w:lang w:val="sr-Latn-RS"/>
        </w:rPr>
        <w:t>Uticaj kabozantiniba na farmakokinetiku varfarina nije ispitivan. Moguća je interakcija sa varfarinom. U slučaju takve kombinacije, treba pratiti vr</w:t>
      </w:r>
      <w:r w:rsidR="000A3929" w:rsidRPr="00234ECD">
        <w:rPr>
          <w:rFonts w:eastAsia="Calibri"/>
          <w:sz w:val="22"/>
          <w:szCs w:val="22"/>
          <w:lang w:val="sr-Latn-RS"/>
        </w:rPr>
        <w:t>ij</w:t>
      </w:r>
      <w:r w:rsidRPr="00234ECD">
        <w:rPr>
          <w:rFonts w:eastAsia="Calibri"/>
          <w:sz w:val="22"/>
          <w:szCs w:val="22"/>
          <w:lang w:val="sr-Latn-RS"/>
        </w:rPr>
        <w:t>ednosti INR</w:t>
      </w:r>
      <w:r w:rsidR="00EB7E38" w:rsidRPr="00234ECD">
        <w:rPr>
          <w:rFonts w:eastAsia="Calibri"/>
          <w:sz w:val="22"/>
          <w:szCs w:val="22"/>
          <w:lang w:val="sr-Latn-RS"/>
        </w:rPr>
        <w:t xml:space="preserve"> (engl. </w:t>
      </w:r>
      <w:r w:rsidR="00EB7E38" w:rsidRPr="00234ECD">
        <w:rPr>
          <w:rFonts w:eastAsia="Calibri"/>
          <w:i/>
          <w:sz w:val="22"/>
          <w:szCs w:val="22"/>
          <w:lang w:val="sr-Latn-RS"/>
        </w:rPr>
        <w:t>international normalised ratio</w:t>
      </w:r>
      <w:r w:rsidR="00EB7E38" w:rsidRPr="00234ECD">
        <w:rPr>
          <w:rFonts w:eastAsia="Calibri"/>
          <w:sz w:val="22"/>
          <w:szCs w:val="22"/>
          <w:lang w:val="sr-Latn-RS"/>
        </w:rPr>
        <w:t>)</w:t>
      </w:r>
      <w:r w:rsidRPr="00234ECD">
        <w:rPr>
          <w:rFonts w:eastAsia="Calibri"/>
          <w:sz w:val="22"/>
          <w:szCs w:val="22"/>
          <w:lang w:val="sr-Latn-RS"/>
        </w:rPr>
        <w:t>.</w:t>
      </w:r>
    </w:p>
    <w:p w14:paraId="7E1EA9C7" w14:textId="77777777" w:rsidR="00D857AC" w:rsidRPr="00234ECD" w:rsidRDefault="00D857AC" w:rsidP="00D857AC">
      <w:pPr>
        <w:jc w:val="both"/>
        <w:rPr>
          <w:rFonts w:eastAsia="Calibri"/>
          <w:sz w:val="22"/>
          <w:szCs w:val="22"/>
          <w:lang w:val="sr-Latn-RS"/>
        </w:rPr>
      </w:pPr>
    </w:p>
    <w:p w14:paraId="79643385" w14:textId="77777777" w:rsidR="00D857AC" w:rsidRPr="00234ECD" w:rsidRDefault="00D857AC" w:rsidP="00D857AC">
      <w:pPr>
        <w:jc w:val="both"/>
        <w:rPr>
          <w:rFonts w:eastAsia="Calibri"/>
          <w:i/>
          <w:sz w:val="22"/>
          <w:szCs w:val="22"/>
          <w:lang w:val="sr-Latn-RS"/>
        </w:rPr>
      </w:pPr>
      <w:r w:rsidRPr="00234ECD">
        <w:rPr>
          <w:rFonts w:eastAsia="Calibri"/>
          <w:i/>
          <w:sz w:val="22"/>
          <w:szCs w:val="22"/>
          <w:lang w:val="sr-Latn-RS"/>
        </w:rPr>
        <w:t>Supstrati P-glikoproteina</w:t>
      </w:r>
    </w:p>
    <w:p w14:paraId="14197BD1" w14:textId="279A869E" w:rsidR="00D857AC" w:rsidRPr="00234ECD" w:rsidRDefault="00D857AC" w:rsidP="00D857AC">
      <w:pPr>
        <w:jc w:val="both"/>
        <w:rPr>
          <w:rFonts w:eastAsia="Calibri"/>
          <w:sz w:val="22"/>
          <w:szCs w:val="22"/>
          <w:lang w:val="sr-Latn-RS"/>
        </w:rPr>
      </w:pPr>
      <w:r w:rsidRPr="00234ECD">
        <w:rPr>
          <w:rFonts w:eastAsia="Calibri"/>
          <w:sz w:val="22"/>
          <w:szCs w:val="22"/>
          <w:lang w:val="sr-Latn-RS"/>
        </w:rPr>
        <w:t>U sistemu za ispitivanje prolaska u oba sm</w:t>
      </w:r>
      <w:r w:rsidR="000A3929" w:rsidRPr="00234ECD">
        <w:rPr>
          <w:rFonts w:eastAsia="Calibri"/>
          <w:sz w:val="22"/>
          <w:szCs w:val="22"/>
          <w:lang w:val="sr-Latn-RS"/>
        </w:rPr>
        <w:t>j</w:t>
      </w:r>
      <w:r w:rsidRPr="00234ECD">
        <w:rPr>
          <w:rFonts w:eastAsia="Calibri"/>
          <w:sz w:val="22"/>
          <w:szCs w:val="22"/>
          <w:lang w:val="sr-Latn-RS"/>
        </w:rPr>
        <w:t>era na MDCK-MDR1 ćelijama, kabozantinib se pokazao kao inhibitor (IC</w:t>
      </w:r>
      <w:r w:rsidRPr="00234ECD">
        <w:rPr>
          <w:rFonts w:eastAsia="Calibri"/>
          <w:sz w:val="22"/>
          <w:szCs w:val="22"/>
          <w:vertAlign w:val="subscript"/>
          <w:lang w:val="sr-Latn-RS"/>
        </w:rPr>
        <w:t>50</w:t>
      </w:r>
      <w:r w:rsidRPr="00234ECD">
        <w:rPr>
          <w:rFonts w:eastAsia="Calibri"/>
          <w:sz w:val="22"/>
          <w:szCs w:val="22"/>
          <w:lang w:val="sr-Latn-RS"/>
        </w:rPr>
        <w:t xml:space="preserve"> = 7,0 mikroM), ali ne i supstrat transportne aktivnosti P-gp. Stoga, moguće je da kabozantinib može povećati koncentracije supstrata P-gp u plazmi koji se prim</w:t>
      </w:r>
      <w:r w:rsidR="000A3929" w:rsidRPr="00234ECD">
        <w:rPr>
          <w:rFonts w:eastAsia="Calibri"/>
          <w:sz w:val="22"/>
          <w:szCs w:val="22"/>
          <w:lang w:val="sr-Latn-RS"/>
        </w:rPr>
        <w:t>j</w:t>
      </w:r>
      <w:r w:rsidRPr="00234ECD">
        <w:rPr>
          <w:rFonts w:eastAsia="Calibri"/>
          <w:sz w:val="22"/>
          <w:szCs w:val="22"/>
          <w:lang w:val="sr-Latn-RS"/>
        </w:rPr>
        <w:t>enjuju istovremeno sa kabozantinibom. Ispitanike treba upozoriti u vezi sa uzimanjem supstrata P-gp (npr. feksofenadina, aliskirena, ambrisentana, dabigatraneteksilata, digoksina, kolhicina, maraviroka, posakonazola, ranolazina, saksagliptina, sitagliptina, talinolola, tolvaptana) tokom prim</w:t>
      </w:r>
      <w:r w:rsidR="000A3929" w:rsidRPr="00234ECD">
        <w:rPr>
          <w:rFonts w:eastAsia="Calibri"/>
          <w:sz w:val="22"/>
          <w:szCs w:val="22"/>
          <w:lang w:val="sr-Latn-RS"/>
        </w:rPr>
        <w:t>j</w:t>
      </w:r>
      <w:r w:rsidRPr="00234ECD">
        <w:rPr>
          <w:rFonts w:eastAsia="Calibri"/>
          <w:sz w:val="22"/>
          <w:szCs w:val="22"/>
          <w:lang w:val="sr-Latn-RS"/>
        </w:rPr>
        <w:t>ene kabozantiniba.</w:t>
      </w:r>
    </w:p>
    <w:p w14:paraId="3B05C3B1" w14:textId="77777777" w:rsidR="0072020E" w:rsidRPr="00234ECD" w:rsidRDefault="0072020E" w:rsidP="00480FB1">
      <w:pPr>
        <w:tabs>
          <w:tab w:val="left" w:pos="540"/>
          <w:tab w:val="left" w:pos="569"/>
        </w:tabs>
        <w:rPr>
          <w:bCs/>
          <w:sz w:val="22"/>
          <w:szCs w:val="22"/>
          <w:lang w:val="sr-Latn-RS"/>
        </w:rPr>
      </w:pPr>
    </w:p>
    <w:p w14:paraId="67312588" w14:textId="77777777" w:rsidR="0072020E" w:rsidRPr="00234ECD" w:rsidRDefault="0072020E" w:rsidP="00480FB1">
      <w:pPr>
        <w:tabs>
          <w:tab w:val="left" w:pos="540"/>
          <w:tab w:val="left" w:pos="569"/>
        </w:tabs>
        <w:rPr>
          <w:b/>
          <w:sz w:val="22"/>
          <w:szCs w:val="22"/>
          <w:lang w:val="sr-Latn-RS"/>
        </w:rPr>
      </w:pPr>
      <w:r w:rsidRPr="00234ECD">
        <w:rPr>
          <w:b/>
          <w:bCs/>
          <w:sz w:val="22"/>
          <w:szCs w:val="22"/>
          <w:lang w:val="sr-Latn-RS"/>
        </w:rPr>
        <w:t xml:space="preserve">4.6. </w:t>
      </w:r>
      <w:r w:rsidR="00480FB1" w:rsidRPr="00234ECD">
        <w:rPr>
          <w:b/>
          <w:bCs/>
          <w:sz w:val="22"/>
          <w:szCs w:val="22"/>
          <w:lang w:val="sr-Latn-RS"/>
        </w:rPr>
        <w:tab/>
      </w:r>
      <w:r w:rsidR="006D20A5" w:rsidRPr="00234ECD">
        <w:rPr>
          <w:b/>
          <w:sz w:val="22"/>
          <w:szCs w:val="22"/>
          <w:lang w:val="sr-Latn-RS"/>
        </w:rPr>
        <w:t>Plodnost, trudnoća i dojenje</w:t>
      </w:r>
    </w:p>
    <w:p w14:paraId="6A85CCCD"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Žene u reproduktivnom periodu/Kontracepcija kod muškaraca i žena</w:t>
      </w:r>
    </w:p>
    <w:p w14:paraId="1ED729B2" w14:textId="40B90833" w:rsidR="00583691" w:rsidRPr="00234ECD" w:rsidRDefault="00D857AC" w:rsidP="00D857AC">
      <w:pPr>
        <w:jc w:val="both"/>
        <w:rPr>
          <w:rFonts w:eastAsia="Calibri"/>
          <w:sz w:val="22"/>
          <w:szCs w:val="22"/>
          <w:lang w:val="sr-Latn-RS"/>
        </w:rPr>
      </w:pPr>
      <w:r w:rsidRPr="00234ECD">
        <w:rPr>
          <w:rFonts w:eastAsia="Calibri"/>
          <w:sz w:val="22"/>
          <w:szCs w:val="22"/>
          <w:lang w:val="sr-Latn-RS"/>
        </w:rPr>
        <w:t>Žen</w:t>
      </w:r>
      <w:r w:rsidR="00DB303B" w:rsidRPr="00234ECD">
        <w:rPr>
          <w:rFonts w:eastAsia="Calibri"/>
          <w:sz w:val="22"/>
          <w:szCs w:val="22"/>
          <w:lang w:val="sr-Latn-RS"/>
        </w:rPr>
        <w:t>ama</w:t>
      </w:r>
      <w:r w:rsidRPr="00234ECD">
        <w:rPr>
          <w:rFonts w:eastAsia="Calibri"/>
          <w:sz w:val="22"/>
          <w:szCs w:val="22"/>
          <w:lang w:val="sr-Latn-RS"/>
        </w:rPr>
        <w:t xml:space="preserve"> u reproduktivnom periodu </w:t>
      </w:r>
      <w:r w:rsidR="00DB303B" w:rsidRPr="00234ECD">
        <w:rPr>
          <w:rFonts w:eastAsia="Calibri"/>
          <w:sz w:val="22"/>
          <w:szCs w:val="22"/>
          <w:lang w:val="sr-Latn-RS"/>
        </w:rPr>
        <w:t xml:space="preserve">mora se </w:t>
      </w:r>
      <w:r w:rsidRPr="00234ECD">
        <w:rPr>
          <w:rFonts w:eastAsia="Calibri"/>
          <w:sz w:val="22"/>
          <w:szCs w:val="22"/>
          <w:lang w:val="sr-Latn-RS"/>
        </w:rPr>
        <w:t>sav</w:t>
      </w:r>
      <w:r w:rsidR="000A3929" w:rsidRPr="00234ECD">
        <w:rPr>
          <w:rFonts w:eastAsia="Calibri"/>
          <w:sz w:val="22"/>
          <w:szCs w:val="22"/>
          <w:lang w:val="sr-Latn-RS"/>
        </w:rPr>
        <w:t>j</w:t>
      </w:r>
      <w:r w:rsidRPr="00234ECD">
        <w:rPr>
          <w:rFonts w:eastAsia="Calibri"/>
          <w:sz w:val="22"/>
          <w:szCs w:val="22"/>
          <w:lang w:val="sr-Latn-RS"/>
        </w:rPr>
        <w:t>etovati da izb</w:t>
      </w:r>
      <w:r w:rsidR="000A3929" w:rsidRPr="00234ECD">
        <w:rPr>
          <w:rFonts w:eastAsia="Calibri"/>
          <w:sz w:val="22"/>
          <w:szCs w:val="22"/>
          <w:lang w:val="sr-Latn-RS"/>
        </w:rPr>
        <w:t>j</w:t>
      </w:r>
      <w:r w:rsidRPr="00234ECD">
        <w:rPr>
          <w:rFonts w:eastAsia="Calibri"/>
          <w:sz w:val="22"/>
          <w:szCs w:val="22"/>
          <w:lang w:val="sr-Latn-RS"/>
        </w:rPr>
        <w:t>egavaju trudnoću dok primaju kabozantinib. Partnerke muškaraca koji primaju kabozantinib takođe moraju da izb</w:t>
      </w:r>
      <w:r w:rsidR="000A3929" w:rsidRPr="00234ECD">
        <w:rPr>
          <w:rFonts w:eastAsia="Calibri"/>
          <w:sz w:val="22"/>
          <w:szCs w:val="22"/>
          <w:lang w:val="sr-Latn-RS"/>
        </w:rPr>
        <w:t>j</w:t>
      </w:r>
      <w:r w:rsidRPr="00234ECD">
        <w:rPr>
          <w:rFonts w:eastAsia="Calibri"/>
          <w:sz w:val="22"/>
          <w:szCs w:val="22"/>
          <w:lang w:val="sr-Latn-RS"/>
        </w:rPr>
        <w:t>egavaju trudnoću. Muški i ženski pacijenti i njihovi partneri moraju da koriste efikasne metode kontracepcije tokom terapije i najmanje 4 m</w:t>
      </w:r>
      <w:r w:rsidR="000A3929" w:rsidRPr="00234ECD">
        <w:rPr>
          <w:rFonts w:eastAsia="Calibri"/>
          <w:sz w:val="22"/>
          <w:szCs w:val="22"/>
          <w:lang w:val="sr-Latn-RS"/>
        </w:rPr>
        <w:t>j</w:t>
      </w:r>
      <w:r w:rsidRPr="00234ECD">
        <w:rPr>
          <w:rFonts w:eastAsia="Calibri"/>
          <w:sz w:val="22"/>
          <w:szCs w:val="22"/>
          <w:lang w:val="sr-Latn-RS"/>
        </w:rPr>
        <w:t>eseca nakon završetka terapije. Budući da postoji mogućnost da oralni kontraceptivi ne predstavljaju „efikasnu metodu kontracepcije“, treba ih koristiti uz prim</w:t>
      </w:r>
      <w:r w:rsidR="000A3929" w:rsidRPr="00234ECD">
        <w:rPr>
          <w:rFonts w:eastAsia="Calibri"/>
          <w:sz w:val="22"/>
          <w:szCs w:val="22"/>
          <w:lang w:val="sr-Latn-RS"/>
        </w:rPr>
        <w:t>j</w:t>
      </w:r>
      <w:r w:rsidRPr="00234ECD">
        <w:rPr>
          <w:rFonts w:eastAsia="Calibri"/>
          <w:sz w:val="22"/>
          <w:szCs w:val="22"/>
          <w:lang w:val="sr-Latn-RS"/>
        </w:rPr>
        <w:t>enu dodatne metode, kao što su mehanička sredstva kontracepcije (vid</w:t>
      </w:r>
      <w:r w:rsidR="001C5F21" w:rsidRPr="00234ECD">
        <w:rPr>
          <w:rFonts w:eastAsia="Calibri"/>
          <w:sz w:val="22"/>
          <w:szCs w:val="22"/>
          <w:lang w:val="sr-Latn-RS"/>
        </w:rPr>
        <w:t>j</w:t>
      </w:r>
      <w:r w:rsidRPr="00234ECD">
        <w:rPr>
          <w:rFonts w:eastAsia="Calibri"/>
          <w:sz w:val="22"/>
          <w:szCs w:val="22"/>
          <w:lang w:val="sr-Latn-RS"/>
        </w:rPr>
        <w:t xml:space="preserve">eti </w:t>
      </w:r>
      <w:r w:rsidR="00DB303B" w:rsidRPr="00234ECD">
        <w:rPr>
          <w:rFonts w:eastAsia="Calibri"/>
          <w:sz w:val="22"/>
          <w:szCs w:val="22"/>
          <w:lang w:val="sr-Latn-RS"/>
        </w:rPr>
        <w:t xml:space="preserve">dio </w:t>
      </w:r>
      <w:r w:rsidRPr="00234ECD">
        <w:rPr>
          <w:rFonts w:eastAsia="Calibri"/>
          <w:sz w:val="22"/>
          <w:szCs w:val="22"/>
          <w:lang w:val="sr-Latn-RS"/>
        </w:rPr>
        <w:t>4.5).</w:t>
      </w:r>
    </w:p>
    <w:p w14:paraId="15B9E5C1" w14:textId="77777777" w:rsidR="00D857AC" w:rsidRPr="00234ECD" w:rsidRDefault="00D857AC" w:rsidP="00D857AC">
      <w:pPr>
        <w:jc w:val="both"/>
        <w:rPr>
          <w:rFonts w:eastAsia="Calibri"/>
          <w:sz w:val="22"/>
          <w:szCs w:val="22"/>
          <w:lang w:val="sr-Latn-RS"/>
        </w:rPr>
      </w:pPr>
    </w:p>
    <w:p w14:paraId="1F0AC859"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Plodnost</w:t>
      </w:r>
    </w:p>
    <w:p w14:paraId="41671CF1" w14:textId="313F74A6" w:rsidR="00583691" w:rsidRPr="00234ECD" w:rsidRDefault="00D857AC" w:rsidP="00D857AC">
      <w:pPr>
        <w:jc w:val="both"/>
        <w:rPr>
          <w:rFonts w:eastAsia="Calibri"/>
          <w:sz w:val="22"/>
          <w:szCs w:val="22"/>
          <w:lang w:val="sr-Latn-RS"/>
        </w:rPr>
      </w:pPr>
      <w:r w:rsidRPr="00234ECD">
        <w:rPr>
          <w:rFonts w:eastAsia="Calibri"/>
          <w:sz w:val="22"/>
          <w:szCs w:val="22"/>
          <w:lang w:val="sr-Latn-RS"/>
        </w:rPr>
        <w:t xml:space="preserve">Nema podataka o </w:t>
      </w:r>
      <w:r w:rsidR="00A13EFF" w:rsidRPr="00234ECD">
        <w:rPr>
          <w:rFonts w:eastAsia="Calibri"/>
          <w:sz w:val="22"/>
          <w:szCs w:val="22"/>
          <w:lang w:val="sr-Latn-RS"/>
        </w:rPr>
        <w:t xml:space="preserve">uticaju na </w:t>
      </w:r>
      <w:r w:rsidRPr="00234ECD">
        <w:rPr>
          <w:rFonts w:eastAsia="Calibri"/>
          <w:sz w:val="22"/>
          <w:szCs w:val="22"/>
          <w:lang w:val="sr-Latn-RS"/>
        </w:rPr>
        <w:t>plodnost kod ljudi. Na osnovu pretkliničkih podataka o bezb</w:t>
      </w:r>
      <w:r w:rsidR="000A3929" w:rsidRPr="00234ECD">
        <w:rPr>
          <w:rFonts w:eastAsia="Calibri"/>
          <w:sz w:val="22"/>
          <w:szCs w:val="22"/>
          <w:lang w:val="sr-Latn-RS"/>
        </w:rPr>
        <w:t>j</w:t>
      </w:r>
      <w:r w:rsidRPr="00234ECD">
        <w:rPr>
          <w:rFonts w:eastAsia="Calibri"/>
          <w:sz w:val="22"/>
          <w:szCs w:val="22"/>
          <w:lang w:val="sr-Latn-RS"/>
        </w:rPr>
        <w:t>ednosti prim</w:t>
      </w:r>
      <w:r w:rsidR="000A3929" w:rsidRPr="00234ECD">
        <w:rPr>
          <w:rFonts w:eastAsia="Calibri"/>
          <w:sz w:val="22"/>
          <w:szCs w:val="22"/>
          <w:lang w:val="sr-Latn-RS"/>
        </w:rPr>
        <w:t>j</w:t>
      </w:r>
      <w:r w:rsidRPr="00234ECD">
        <w:rPr>
          <w:rFonts w:eastAsia="Calibri"/>
          <w:sz w:val="22"/>
          <w:szCs w:val="22"/>
          <w:lang w:val="sr-Latn-RS"/>
        </w:rPr>
        <w:t>ene, plodnost kod muškaraca i žena može biti ugrožena terapijom kabozantinibom (vid</w:t>
      </w:r>
      <w:r w:rsidR="000A3929" w:rsidRPr="00234ECD">
        <w:rPr>
          <w:rFonts w:eastAsia="Calibri"/>
          <w:sz w:val="22"/>
          <w:szCs w:val="22"/>
          <w:lang w:val="sr-Latn-RS"/>
        </w:rPr>
        <w:t>j</w:t>
      </w:r>
      <w:r w:rsidRPr="00234ECD">
        <w:rPr>
          <w:rFonts w:eastAsia="Calibri"/>
          <w:sz w:val="22"/>
          <w:szCs w:val="22"/>
          <w:lang w:val="sr-Latn-RS"/>
        </w:rPr>
        <w:t xml:space="preserve">eti </w:t>
      </w:r>
      <w:r w:rsidR="00AF73B2" w:rsidRPr="00234ECD">
        <w:rPr>
          <w:rFonts w:eastAsia="Calibri"/>
          <w:sz w:val="22"/>
          <w:szCs w:val="22"/>
          <w:lang w:val="sr-Latn-RS"/>
        </w:rPr>
        <w:t xml:space="preserve">dio </w:t>
      </w:r>
      <w:r w:rsidRPr="00234ECD">
        <w:rPr>
          <w:rFonts w:eastAsia="Calibri"/>
          <w:sz w:val="22"/>
          <w:szCs w:val="22"/>
          <w:lang w:val="sr-Latn-RS"/>
        </w:rPr>
        <w:t>5.3). Muškarce i žene treba sav</w:t>
      </w:r>
      <w:r w:rsidR="000A3929" w:rsidRPr="00234ECD">
        <w:rPr>
          <w:rFonts w:eastAsia="Calibri"/>
          <w:sz w:val="22"/>
          <w:szCs w:val="22"/>
          <w:lang w:val="sr-Latn-RS"/>
        </w:rPr>
        <w:t>j</w:t>
      </w:r>
      <w:r w:rsidRPr="00234ECD">
        <w:rPr>
          <w:rFonts w:eastAsia="Calibri"/>
          <w:sz w:val="22"/>
          <w:szCs w:val="22"/>
          <w:lang w:val="sr-Latn-RS"/>
        </w:rPr>
        <w:t>etovati da potraže sav</w:t>
      </w:r>
      <w:r w:rsidR="000A3929" w:rsidRPr="00234ECD">
        <w:rPr>
          <w:rFonts w:eastAsia="Calibri"/>
          <w:sz w:val="22"/>
          <w:szCs w:val="22"/>
          <w:lang w:val="sr-Latn-RS"/>
        </w:rPr>
        <w:t>j</w:t>
      </w:r>
      <w:r w:rsidRPr="00234ECD">
        <w:rPr>
          <w:rFonts w:eastAsia="Calibri"/>
          <w:sz w:val="22"/>
          <w:szCs w:val="22"/>
          <w:lang w:val="sr-Latn-RS"/>
        </w:rPr>
        <w:t>et i razmisle o očuvanju plodnosti pr</w:t>
      </w:r>
      <w:r w:rsidR="000A3929" w:rsidRPr="00234ECD">
        <w:rPr>
          <w:rFonts w:eastAsia="Calibri"/>
          <w:sz w:val="22"/>
          <w:szCs w:val="22"/>
          <w:lang w:val="sr-Latn-RS"/>
        </w:rPr>
        <w:t>ij</w:t>
      </w:r>
      <w:r w:rsidRPr="00234ECD">
        <w:rPr>
          <w:rFonts w:eastAsia="Calibri"/>
          <w:sz w:val="22"/>
          <w:szCs w:val="22"/>
          <w:lang w:val="sr-Latn-RS"/>
        </w:rPr>
        <w:t>e započinjanja terapije.</w:t>
      </w:r>
    </w:p>
    <w:p w14:paraId="65850FBA" w14:textId="77777777" w:rsidR="00583691" w:rsidRPr="00234ECD" w:rsidRDefault="00583691" w:rsidP="00D857AC">
      <w:pPr>
        <w:jc w:val="both"/>
        <w:rPr>
          <w:rFonts w:eastAsia="Calibri"/>
          <w:sz w:val="22"/>
          <w:szCs w:val="22"/>
          <w:lang w:val="sr-Latn-RS"/>
        </w:rPr>
      </w:pPr>
    </w:p>
    <w:p w14:paraId="17AFEA71" w14:textId="38ECC0A9" w:rsidR="00D857AC" w:rsidRPr="00234ECD" w:rsidDel="00D00CA3" w:rsidRDefault="00D857AC" w:rsidP="00D857AC">
      <w:pPr>
        <w:jc w:val="both"/>
        <w:rPr>
          <w:rFonts w:eastAsia="Calibri"/>
          <w:sz w:val="22"/>
          <w:szCs w:val="22"/>
          <w:u w:val="single"/>
          <w:lang w:val="sr-Latn-RS"/>
        </w:rPr>
      </w:pPr>
      <w:r w:rsidRPr="00234ECD" w:rsidDel="00D00CA3">
        <w:rPr>
          <w:rFonts w:eastAsia="Calibri"/>
          <w:sz w:val="22"/>
          <w:szCs w:val="22"/>
          <w:u w:val="single"/>
          <w:lang w:val="sr-Latn-RS"/>
        </w:rPr>
        <w:t>Trudnoća</w:t>
      </w:r>
    </w:p>
    <w:p w14:paraId="52C1B5E9" w14:textId="7CDEEEAF" w:rsidR="00D857AC" w:rsidRPr="00234ECD" w:rsidDel="00D00CA3" w:rsidRDefault="00D857AC" w:rsidP="00D857AC">
      <w:pPr>
        <w:jc w:val="both"/>
        <w:rPr>
          <w:rFonts w:eastAsia="Calibri"/>
          <w:sz w:val="22"/>
          <w:szCs w:val="22"/>
          <w:lang w:val="sr-Latn-RS"/>
        </w:rPr>
      </w:pPr>
      <w:r w:rsidRPr="00234ECD" w:rsidDel="00D00CA3">
        <w:rPr>
          <w:rFonts w:eastAsia="Calibri"/>
          <w:sz w:val="22"/>
          <w:szCs w:val="22"/>
          <w:lang w:val="sr-Latn-RS"/>
        </w:rPr>
        <w:t>Nisu sprovedene studije prim</w:t>
      </w:r>
      <w:r w:rsidR="000A3929" w:rsidRPr="00234ECD" w:rsidDel="00D00CA3">
        <w:rPr>
          <w:rFonts w:eastAsia="Calibri"/>
          <w:sz w:val="22"/>
          <w:szCs w:val="22"/>
          <w:lang w:val="sr-Latn-RS"/>
        </w:rPr>
        <w:t>j</w:t>
      </w:r>
      <w:r w:rsidRPr="00234ECD" w:rsidDel="00D00CA3">
        <w:rPr>
          <w:rFonts w:eastAsia="Calibri"/>
          <w:sz w:val="22"/>
          <w:szCs w:val="22"/>
          <w:lang w:val="sr-Latn-RS"/>
        </w:rPr>
        <w:t>ene kabozantiniba kod trudnica. Ispitivanja na životinjama su pokazala embriofetalne i teratogene efekte (vid</w:t>
      </w:r>
      <w:r w:rsidR="000A3929" w:rsidRPr="00234ECD" w:rsidDel="00D00CA3">
        <w:rPr>
          <w:rFonts w:eastAsia="Calibri"/>
          <w:sz w:val="22"/>
          <w:szCs w:val="22"/>
          <w:lang w:val="sr-Latn-RS"/>
        </w:rPr>
        <w:t>j</w:t>
      </w:r>
      <w:r w:rsidRPr="00234ECD" w:rsidDel="00D00CA3">
        <w:rPr>
          <w:rFonts w:eastAsia="Calibri"/>
          <w:sz w:val="22"/>
          <w:szCs w:val="22"/>
          <w:lang w:val="sr-Latn-RS"/>
        </w:rPr>
        <w:t xml:space="preserve">eti </w:t>
      </w:r>
      <w:r w:rsidR="00A13EFF" w:rsidRPr="00234ECD">
        <w:rPr>
          <w:rFonts w:eastAsia="Calibri"/>
          <w:sz w:val="22"/>
          <w:szCs w:val="22"/>
          <w:lang w:val="sr-Latn-RS"/>
        </w:rPr>
        <w:t xml:space="preserve">dio </w:t>
      </w:r>
      <w:r w:rsidRPr="00234ECD" w:rsidDel="00D00CA3">
        <w:rPr>
          <w:rFonts w:eastAsia="Calibri"/>
          <w:sz w:val="22"/>
          <w:szCs w:val="22"/>
          <w:lang w:val="sr-Latn-RS"/>
        </w:rPr>
        <w:t xml:space="preserve">5.3). Mogući rizik za ljude nije poznat. Kabozantinib </w:t>
      </w:r>
      <w:r w:rsidR="00AF73B2" w:rsidRPr="00234ECD">
        <w:rPr>
          <w:rFonts w:eastAsia="Calibri"/>
          <w:sz w:val="22"/>
          <w:szCs w:val="22"/>
          <w:lang w:val="sr-Latn-RS"/>
        </w:rPr>
        <w:t>se ne smije</w:t>
      </w:r>
      <w:r w:rsidRPr="00234ECD" w:rsidDel="00D00CA3">
        <w:rPr>
          <w:rFonts w:eastAsia="Calibri"/>
          <w:sz w:val="22"/>
          <w:szCs w:val="22"/>
          <w:lang w:val="sr-Latn-RS"/>
        </w:rPr>
        <w:t xml:space="preserve"> prim</w:t>
      </w:r>
      <w:r w:rsidR="000A3929" w:rsidRPr="00234ECD" w:rsidDel="00D00CA3">
        <w:rPr>
          <w:rFonts w:eastAsia="Calibri"/>
          <w:sz w:val="22"/>
          <w:szCs w:val="22"/>
          <w:lang w:val="sr-Latn-RS"/>
        </w:rPr>
        <w:t>j</w:t>
      </w:r>
      <w:r w:rsidRPr="00234ECD" w:rsidDel="00D00CA3">
        <w:rPr>
          <w:rFonts w:eastAsia="Calibri"/>
          <w:sz w:val="22"/>
          <w:szCs w:val="22"/>
          <w:lang w:val="sr-Latn-RS"/>
        </w:rPr>
        <w:t>enjivati tokom trudnoće osim ako kliničko stanje žene ne zaht</w:t>
      </w:r>
      <w:r w:rsidR="000A3929" w:rsidRPr="00234ECD" w:rsidDel="00D00CA3">
        <w:rPr>
          <w:rFonts w:eastAsia="Calibri"/>
          <w:sz w:val="22"/>
          <w:szCs w:val="22"/>
          <w:lang w:val="sr-Latn-RS"/>
        </w:rPr>
        <w:t>j</w:t>
      </w:r>
      <w:r w:rsidRPr="00234ECD" w:rsidDel="00D00CA3">
        <w:rPr>
          <w:rFonts w:eastAsia="Calibri"/>
          <w:sz w:val="22"/>
          <w:szCs w:val="22"/>
          <w:lang w:val="sr-Latn-RS"/>
        </w:rPr>
        <w:t>eva l</w:t>
      </w:r>
      <w:r w:rsidR="000A3929" w:rsidRPr="00234ECD" w:rsidDel="00D00CA3">
        <w:rPr>
          <w:rFonts w:eastAsia="Calibri"/>
          <w:sz w:val="22"/>
          <w:szCs w:val="22"/>
          <w:lang w:val="sr-Latn-RS"/>
        </w:rPr>
        <w:t>ij</w:t>
      </w:r>
      <w:r w:rsidRPr="00234ECD" w:rsidDel="00D00CA3">
        <w:rPr>
          <w:rFonts w:eastAsia="Calibri"/>
          <w:sz w:val="22"/>
          <w:szCs w:val="22"/>
          <w:lang w:val="sr-Latn-RS"/>
        </w:rPr>
        <w:t>ečenje kabozantinibom.</w:t>
      </w:r>
    </w:p>
    <w:p w14:paraId="6C6C82B5" w14:textId="77777777" w:rsidR="00D857AC" w:rsidRPr="00234ECD" w:rsidRDefault="00D857AC" w:rsidP="00D857AC">
      <w:pPr>
        <w:jc w:val="both"/>
        <w:rPr>
          <w:rFonts w:eastAsia="Calibri"/>
          <w:sz w:val="22"/>
          <w:szCs w:val="22"/>
          <w:lang w:val="sr-Latn-RS"/>
        </w:rPr>
      </w:pPr>
    </w:p>
    <w:p w14:paraId="19DF5C82" w14:textId="15405C76" w:rsidR="00D857AC" w:rsidRPr="00234ECD" w:rsidDel="00D00CA3" w:rsidRDefault="00D857AC" w:rsidP="00D857AC">
      <w:pPr>
        <w:jc w:val="both"/>
        <w:rPr>
          <w:rFonts w:eastAsia="Calibri"/>
          <w:sz w:val="22"/>
          <w:szCs w:val="22"/>
          <w:u w:val="single"/>
          <w:lang w:val="sr-Latn-RS"/>
        </w:rPr>
      </w:pPr>
      <w:r w:rsidRPr="00234ECD" w:rsidDel="00D00CA3">
        <w:rPr>
          <w:rFonts w:eastAsia="Calibri"/>
          <w:sz w:val="22"/>
          <w:szCs w:val="22"/>
          <w:u w:val="single"/>
          <w:lang w:val="sr-Latn-RS"/>
        </w:rPr>
        <w:t>Dojenje</w:t>
      </w:r>
    </w:p>
    <w:p w14:paraId="28EC995B" w14:textId="04C21B3F" w:rsidR="00D857AC" w:rsidRPr="00234ECD" w:rsidDel="00D00CA3" w:rsidRDefault="00D857AC" w:rsidP="00D857AC">
      <w:pPr>
        <w:jc w:val="both"/>
        <w:rPr>
          <w:rFonts w:eastAsia="Calibri"/>
          <w:sz w:val="22"/>
          <w:szCs w:val="22"/>
          <w:lang w:val="sr-Latn-RS"/>
        </w:rPr>
      </w:pPr>
      <w:r w:rsidRPr="00234ECD" w:rsidDel="00D00CA3">
        <w:rPr>
          <w:rFonts w:eastAsia="Calibri"/>
          <w:sz w:val="22"/>
          <w:szCs w:val="22"/>
          <w:lang w:val="sr-Latn-RS"/>
        </w:rPr>
        <w:t>Nije poznato da li se kabozantinib i/ili njegovi metaboliti izlučuju u majčino ml</w:t>
      </w:r>
      <w:r w:rsidR="000A3929" w:rsidRPr="00234ECD" w:rsidDel="00D00CA3">
        <w:rPr>
          <w:rFonts w:eastAsia="Calibri"/>
          <w:sz w:val="22"/>
          <w:szCs w:val="22"/>
          <w:lang w:val="sr-Latn-RS"/>
        </w:rPr>
        <w:t>ij</w:t>
      </w:r>
      <w:r w:rsidRPr="00234ECD" w:rsidDel="00D00CA3">
        <w:rPr>
          <w:rFonts w:eastAsia="Calibri"/>
          <w:sz w:val="22"/>
          <w:szCs w:val="22"/>
          <w:lang w:val="sr-Latn-RS"/>
        </w:rPr>
        <w:t>eko. Zbog potencijalne opasnosti za odojče, majke treba da obustave dojenje tokom terapije kabozantinibom i najmanje 4 m</w:t>
      </w:r>
      <w:r w:rsidR="000A3929" w:rsidRPr="00234ECD" w:rsidDel="00D00CA3">
        <w:rPr>
          <w:rFonts w:eastAsia="Calibri"/>
          <w:sz w:val="22"/>
          <w:szCs w:val="22"/>
          <w:lang w:val="sr-Latn-RS"/>
        </w:rPr>
        <w:t>j</w:t>
      </w:r>
      <w:r w:rsidRPr="00234ECD" w:rsidDel="00D00CA3">
        <w:rPr>
          <w:rFonts w:eastAsia="Calibri"/>
          <w:sz w:val="22"/>
          <w:szCs w:val="22"/>
          <w:lang w:val="sr-Latn-RS"/>
        </w:rPr>
        <w:t>eseca posl</w:t>
      </w:r>
      <w:r w:rsidR="000A3929" w:rsidRPr="00234ECD" w:rsidDel="00D00CA3">
        <w:rPr>
          <w:rFonts w:eastAsia="Calibri"/>
          <w:sz w:val="22"/>
          <w:szCs w:val="22"/>
          <w:lang w:val="sr-Latn-RS"/>
        </w:rPr>
        <w:t>ij</w:t>
      </w:r>
      <w:r w:rsidRPr="00234ECD" w:rsidDel="00D00CA3">
        <w:rPr>
          <w:rFonts w:eastAsia="Calibri"/>
          <w:sz w:val="22"/>
          <w:szCs w:val="22"/>
          <w:lang w:val="sr-Latn-RS"/>
        </w:rPr>
        <w:t>e završetka terapije.</w:t>
      </w:r>
    </w:p>
    <w:p w14:paraId="6F9CF24C" w14:textId="77777777" w:rsidR="00227BDB" w:rsidRPr="00234ECD" w:rsidRDefault="00227BDB" w:rsidP="00396DFD">
      <w:pPr>
        <w:tabs>
          <w:tab w:val="left" w:pos="540"/>
          <w:tab w:val="left" w:pos="569"/>
        </w:tabs>
        <w:ind w:left="540" w:hanging="540"/>
        <w:rPr>
          <w:b/>
          <w:bCs/>
          <w:sz w:val="22"/>
          <w:szCs w:val="22"/>
          <w:lang w:val="sr-Latn-RS"/>
        </w:rPr>
      </w:pPr>
    </w:p>
    <w:p w14:paraId="73084977" w14:textId="1074829E" w:rsidR="0072020E" w:rsidRPr="00234ECD" w:rsidRDefault="0072020E" w:rsidP="00396DFD">
      <w:pPr>
        <w:tabs>
          <w:tab w:val="left" w:pos="540"/>
          <w:tab w:val="left" w:pos="569"/>
        </w:tabs>
        <w:ind w:left="540" w:hanging="540"/>
        <w:rPr>
          <w:b/>
          <w:bCs/>
          <w:sz w:val="22"/>
          <w:szCs w:val="22"/>
          <w:lang w:val="sr-Latn-RS"/>
        </w:rPr>
      </w:pPr>
      <w:r w:rsidRPr="00234ECD">
        <w:rPr>
          <w:b/>
          <w:bCs/>
          <w:sz w:val="22"/>
          <w:szCs w:val="22"/>
          <w:lang w:val="sr-Latn-RS"/>
        </w:rPr>
        <w:t xml:space="preserve">4.7. </w:t>
      </w:r>
      <w:r w:rsidR="00480FB1" w:rsidRPr="00234ECD">
        <w:rPr>
          <w:b/>
          <w:bCs/>
          <w:sz w:val="22"/>
          <w:szCs w:val="22"/>
          <w:lang w:val="sr-Latn-RS"/>
        </w:rPr>
        <w:tab/>
      </w:r>
      <w:r w:rsidRPr="00234ECD">
        <w:rPr>
          <w:b/>
          <w:bCs/>
          <w:sz w:val="22"/>
          <w:szCs w:val="22"/>
          <w:lang w:val="sr-Latn-RS"/>
        </w:rPr>
        <w:t xml:space="preserve">Uticaj na </w:t>
      </w:r>
      <w:r w:rsidR="002031B3" w:rsidRPr="00234ECD">
        <w:rPr>
          <w:b/>
          <w:bCs/>
          <w:sz w:val="22"/>
          <w:szCs w:val="22"/>
          <w:lang w:val="sr-Latn-RS"/>
        </w:rPr>
        <w:t xml:space="preserve">sposobnost </w:t>
      </w:r>
      <w:r w:rsidR="00F34554" w:rsidRPr="00234ECD">
        <w:rPr>
          <w:b/>
          <w:bCs/>
          <w:sz w:val="22"/>
          <w:szCs w:val="22"/>
          <w:lang w:val="sr-Latn-RS"/>
        </w:rPr>
        <w:t>upravljanja vozili</w:t>
      </w:r>
      <w:r w:rsidRPr="00234ECD">
        <w:rPr>
          <w:b/>
          <w:bCs/>
          <w:sz w:val="22"/>
          <w:szCs w:val="22"/>
          <w:lang w:val="sr-Latn-RS"/>
        </w:rPr>
        <w:t>m</w:t>
      </w:r>
      <w:r w:rsidR="00F34554" w:rsidRPr="00234ECD">
        <w:rPr>
          <w:b/>
          <w:bCs/>
          <w:sz w:val="22"/>
          <w:szCs w:val="22"/>
          <w:lang w:val="sr-Latn-RS"/>
        </w:rPr>
        <w:t>a</w:t>
      </w:r>
      <w:r w:rsidRPr="00234ECD">
        <w:rPr>
          <w:b/>
          <w:bCs/>
          <w:sz w:val="22"/>
          <w:szCs w:val="22"/>
          <w:lang w:val="sr-Latn-RS"/>
        </w:rPr>
        <w:t xml:space="preserve"> i </w:t>
      </w:r>
      <w:r w:rsidR="000D3449" w:rsidRPr="00234ECD">
        <w:rPr>
          <w:b/>
          <w:bCs/>
          <w:sz w:val="22"/>
          <w:szCs w:val="22"/>
          <w:lang w:val="sr-Latn-RS"/>
        </w:rPr>
        <w:t xml:space="preserve">rukovanje </w:t>
      </w:r>
      <w:r w:rsidRPr="00234ECD">
        <w:rPr>
          <w:b/>
          <w:bCs/>
          <w:sz w:val="22"/>
          <w:szCs w:val="22"/>
          <w:lang w:val="sr-Latn-RS"/>
        </w:rPr>
        <w:t>mašinama</w:t>
      </w:r>
    </w:p>
    <w:p w14:paraId="60C3A763" w14:textId="77777777" w:rsidR="00D857AC" w:rsidRPr="00234ECD" w:rsidRDefault="00D857AC" w:rsidP="00396DFD">
      <w:pPr>
        <w:tabs>
          <w:tab w:val="left" w:pos="540"/>
          <w:tab w:val="left" w:pos="569"/>
        </w:tabs>
        <w:ind w:left="540" w:hanging="540"/>
        <w:rPr>
          <w:b/>
          <w:bCs/>
          <w:sz w:val="22"/>
          <w:szCs w:val="22"/>
          <w:lang w:val="sr-Latn-RS"/>
        </w:rPr>
      </w:pPr>
    </w:p>
    <w:p w14:paraId="70A9DC07" w14:textId="0A203AA2" w:rsidR="00D857AC" w:rsidRPr="00234ECD" w:rsidRDefault="00D857AC" w:rsidP="00D857AC">
      <w:pPr>
        <w:jc w:val="both"/>
        <w:rPr>
          <w:rFonts w:eastAsia="Calibri"/>
          <w:sz w:val="22"/>
          <w:szCs w:val="22"/>
          <w:lang w:val="sr-Latn-RS"/>
        </w:rPr>
      </w:pPr>
      <w:r w:rsidRPr="00234ECD">
        <w:rPr>
          <w:rFonts w:eastAsia="Calibri"/>
          <w:sz w:val="22"/>
          <w:szCs w:val="22"/>
          <w:lang w:val="sr-Latn-RS"/>
        </w:rPr>
        <w:lastRenderedPageBreak/>
        <w:t>Kabozantinib ima mali uticaj na sposobnost upravljanja vozilima i rukovanja mašinama. Neželjene reakcije kao što su umor i slabost se povezuju sa kabozantinibom. Zbog toga, pacijente treba sav</w:t>
      </w:r>
      <w:r w:rsidR="000A3929" w:rsidRPr="00234ECD">
        <w:rPr>
          <w:rFonts w:eastAsia="Calibri"/>
          <w:sz w:val="22"/>
          <w:szCs w:val="22"/>
          <w:lang w:val="sr-Latn-RS"/>
        </w:rPr>
        <w:t>j</w:t>
      </w:r>
      <w:r w:rsidRPr="00234ECD">
        <w:rPr>
          <w:rFonts w:eastAsia="Calibri"/>
          <w:sz w:val="22"/>
          <w:szCs w:val="22"/>
          <w:lang w:val="sr-Latn-RS"/>
        </w:rPr>
        <w:t>etovati da budu oprezni prilikom upravljanja vozilima ili rukovanja mašinama.</w:t>
      </w:r>
    </w:p>
    <w:p w14:paraId="3F6AE1AB" w14:textId="77777777" w:rsidR="00D857AC" w:rsidRPr="00234ECD" w:rsidRDefault="00D857AC" w:rsidP="00D857AC">
      <w:pPr>
        <w:jc w:val="both"/>
        <w:rPr>
          <w:rFonts w:eastAsia="Calibri"/>
          <w:sz w:val="22"/>
          <w:szCs w:val="22"/>
          <w:lang w:val="sr-Latn-RS"/>
        </w:rPr>
      </w:pPr>
    </w:p>
    <w:p w14:paraId="1FF73DD0" w14:textId="77777777" w:rsidR="0072020E" w:rsidRPr="00234ECD" w:rsidRDefault="0072020E" w:rsidP="00480FB1">
      <w:pPr>
        <w:tabs>
          <w:tab w:val="left" w:pos="540"/>
          <w:tab w:val="left" w:pos="569"/>
        </w:tabs>
        <w:rPr>
          <w:b/>
          <w:bCs/>
          <w:sz w:val="22"/>
          <w:szCs w:val="22"/>
          <w:lang w:val="sr-Latn-RS"/>
        </w:rPr>
      </w:pPr>
    </w:p>
    <w:p w14:paraId="6B0B1779" w14:textId="322EB067" w:rsidR="0072020E" w:rsidRPr="00234ECD" w:rsidRDefault="0072020E" w:rsidP="00480FB1">
      <w:pPr>
        <w:tabs>
          <w:tab w:val="left" w:pos="540"/>
          <w:tab w:val="left" w:pos="569"/>
        </w:tabs>
        <w:rPr>
          <w:b/>
          <w:bCs/>
          <w:sz w:val="22"/>
          <w:szCs w:val="22"/>
          <w:lang w:val="sr-Latn-RS"/>
        </w:rPr>
      </w:pPr>
      <w:r w:rsidRPr="00234ECD">
        <w:rPr>
          <w:b/>
          <w:bCs/>
          <w:sz w:val="22"/>
          <w:szCs w:val="22"/>
          <w:lang w:val="sr-Latn-RS"/>
        </w:rPr>
        <w:t xml:space="preserve">4.8. </w:t>
      </w:r>
      <w:r w:rsidR="00480FB1" w:rsidRPr="00234ECD">
        <w:rPr>
          <w:b/>
          <w:bCs/>
          <w:sz w:val="22"/>
          <w:szCs w:val="22"/>
          <w:lang w:val="sr-Latn-RS"/>
        </w:rPr>
        <w:tab/>
      </w:r>
      <w:r w:rsidRPr="00234ECD">
        <w:rPr>
          <w:b/>
          <w:bCs/>
          <w:sz w:val="22"/>
          <w:szCs w:val="22"/>
          <w:lang w:val="sr-Latn-RS"/>
        </w:rPr>
        <w:t>Neželjena dejstva</w:t>
      </w:r>
    </w:p>
    <w:p w14:paraId="44322D7E" w14:textId="77777777" w:rsidR="00D857AC" w:rsidRPr="00234ECD" w:rsidRDefault="00D857AC" w:rsidP="00480FB1">
      <w:pPr>
        <w:tabs>
          <w:tab w:val="left" w:pos="540"/>
          <w:tab w:val="left" w:pos="569"/>
        </w:tabs>
        <w:rPr>
          <w:b/>
          <w:bCs/>
          <w:sz w:val="22"/>
          <w:szCs w:val="22"/>
          <w:lang w:val="sr-Latn-RS"/>
        </w:rPr>
      </w:pPr>
    </w:p>
    <w:p w14:paraId="53CEBE0A" w14:textId="77777777" w:rsidR="00D857AC" w:rsidRPr="00234ECD" w:rsidRDefault="00D857AC" w:rsidP="00D857AC">
      <w:pPr>
        <w:jc w:val="both"/>
        <w:rPr>
          <w:rFonts w:eastAsia="Calibri"/>
          <w:i/>
          <w:iCs/>
          <w:sz w:val="22"/>
          <w:szCs w:val="22"/>
          <w:lang w:val="sr-Latn-RS"/>
        </w:rPr>
      </w:pPr>
      <w:r w:rsidRPr="00234ECD">
        <w:rPr>
          <w:rFonts w:eastAsia="Calibri"/>
          <w:i/>
          <w:iCs/>
          <w:sz w:val="22"/>
          <w:szCs w:val="22"/>
          <w:lang w:val="sr-Latn-RS"/>
        </w:rPr>
        <w:t>Kabozantinib kao monoterapija</w:t>
      </w:r>
    </w:p>
    <w:p w14:paraId="3D5D746A" w14:textId="117608F5"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Sažetak bezb</w:t>
      </w:r>
      <w:r w:rsidR="000A3929" w:rsidRPr="00234ECD">
        <w:rPr>
          <w:rFonts w:eastAsia="Calibri"/>
          <w:sz w:val="22"/>
          <w:szCs w:val="22"/>
          <w:u w:val="single"/>
          <w:lang w:val="sr-Latn-RS"/>
        </w:rPr>
        <w:t>j</w:t>
      </w:r>
      <w:r w:rsidRPr="00234ECD">
        <w:rPr>
          <w:rFonts w:eastAsia="Calibri"/>
          <w:sz w:val="22"/>
          <w:szCs w:val="22"/>
          <w:u w:val="single"/>
          <w:lang w:val="sr-Latn-RS"/>
        </w:rPr>
        <w:t>ednosnog profila</w:t>
      </w:r>
    </w:p>
    <w:p w14:paraId="4547E285" w14:textId="77777777" w:rsidR="00D857AC" w:rsidRPr="00234ECD" w:rsidRDefault="00D857AC" w:rsidP="00D857AC">
      <w:pPr>
        <w:jc w:val="both"/>
        <w:rPr>
          <w:rFonts w:eastAsia="Calibri"/>
          <w:sz w:val="22"/>
          <w:szCs w:val="22"/>
          <w:lang w:val="sr-Latn-RS"/>
        </w:rPr>
      </w:pPr>
    </w:p>
    <w:p w14:paraId="71C9E440" w14:textId="1DD7DA2E" w:rsidR="00D857AC" w:rsidRPr="00234ECD" w:rsidRDefault="00D857AC" w:rsidP="00D857AC">
      <w:pPr>
        <w:jc w:val="both"/>
        <w:rPr>
          <w:rFonts w:eastAsia="Calibri"/>
          <w:sz w:val="22"/>
          <w:szCs w:val="22"/>
          <w:lang w:val="sr-Latn-RS"/>
        </w:rPr>
      </w:pPr>
      <w:r w:rsidRPr="00234ECD">
        <w:rPr>
          <w:rFonts w:eastAsia="Calibri"/>
          <w:sz w:val="22"/>
          <w:szCs w:val="22"/>
          <w:lang w:val="sr-Latn-RS"/>
        </w:rPr>
        <w:t>Najčešće ozbiljne neželjene reakcije na l</w:t>
      </w:r>
      <w:r w:rsidR="000A3929" w:rsidRPr="00234ECD">
        <w:rPr>
          <w:rFonts w:eastAsia="Calibri"/>
          <w:sz w:val="22"/>
          <w:szCs w:val="22"/>
          <w:lang w:val="sr-Latn-RS"/>
        </w:rPr>
        <w:t>ij</w:t>
      </w:r>
      <w:r w:rsidRPr="00234ECD">
        <w:rPr>
          <w:rFonts w:eastAsia="Calibri"/>
          <w:sz w:val="22"/>
          <w:szCs w:val="22"/>
          <w:lang w:val="sr-Latn-RS"/>
        </w:rPr>
        <w:t>ek kod pacijenata sa karcinomom bubrežnih ćelija (</w:t>
      </w:r>
      <w:r w:rsidRPr="00234ECD">
        <w:rPr>
          <w:sz w:val="22"/>
          <w:szCs w:val="22"/>
          <w:lang w:val="sr-Latn-RS"/>
        </w:rPr>
        <w:t xml:space="preserve">incidenca ≥1%) </w:t>
      </w:r>
      <w:r w:rsidRPr="00234ECD">
        <w:rPr>
          <w:rFonts w:eastAsia="Calibri"/>
          <w:sz w:val="22"/>
          <w:szCs w:val="22"/>
          <w:lang w:val="sr-Latn-RS"/>
        </w:rPr>
        <w:t xml:space="preserve">bile su </w:t>
      </w:r>
      <w:r w:rsidR="00A25E52" w:rsidRPr="00234ECD">
        <w:rPr>
          <w:rFonts w:eastAsia="Calibri"/>
          <w:sz w:val="22"/>
          <w:szCs w:val="22"/>
          <w:lang w:val="sr-Latn-RS"/>
        </w:rPr>
        <w:t xml:space="preserve">pneumonija, </w:t>
      </w:r>
      <w:r w:rsidRPr="00234ECD">
        <w:rPr>
          <w:rFonts w:eastAsia="Calibri"/>
          <w:sz w:val="22"/>
          <w:szCs w:val="22"/>
          <w:lang w:val="sr-Latn-RS"/>
        </w:rPr>
        <w:t>bol u abdomenu, dijareja, mučnina, hipertenzija, embolija, hiponatrijemija, plućna embolija, povraćanje, dehidracija, umor, astenija, smanjen apetit, tromboza dubokih vena, vrtoglavica, hipomagnezijemija i sindrom palmarno-plantarne eritrodizestezije (PPES).</w:t>
      </w:r>
    </w:p>
    <w:p w14:paraId="69466694" w14:textId="77777777" w:rsidR="00D857AC" w:rsidRPr="00234ECD" w:rsidRDefault="00D857AC" w:rsidP="00D857AC">
      <w:pPr>
        <w:jc w:val="both"/>
        <w:rPr>
          <w:rFonts w:eastAsia="Calibri"/>
          <w:sz w:val="22"/>
          <w:szCs w:val="22"/>
          <w:lang w:val="sr-Latn-RS"/>
        </w:rPr>
      </w:pPr>
    </w:p>
    <w:p w14:paraId="4CDA3B5E" w14:textId="0B5EEF2C" w:rsidR="00D857AC" w:rsidRPr="00234ECD" w:rsidRDefault="00D857AC" w:rsidP="00D857AC">
      <w:pPr>
        <w:jc w:val="both"/>
        <w:rPr>
          <w:rFonts w:eastAsia="Calibri"/>
          <w:sz w:val="22"/>
          <w:szCs w:val="22"/>
          <w:lang w:val="sr-Latn-RS"/>
        </w:rPr>
      </w:pPr>
      <w:r w:rsidRPr="00234ECD">
        <w:rPr>
          <w:rFonts w:eastAsia="Calibri"/>
          <w:sz w:val="22"/>
          <w:szCs w:val="22"/>
          <w:lang w:val="sr-Latn-RS"/>
        </w:rPr>
        <w:t>Najčešće neželjene reakcije bilo kog stepena (pojavile su se kod najmanje 25% pacijenata) kod pacijenata sa karcinomom bubrežnih ćelija uključivale su dijareju, umor, mučninu, smanjeni apetit, PPES, hipertenziju, smanjenje t</w:t>
      </w:r>
      <w:r w:rsidR="000A3929" w:rsidRPr="00234ECD">
        <w:rPr>
          <w:rFonts w:eastAsia="Calibri"/>
          <w:sz w:val="22"/>
          <w:szCs w:val="22"/>
          <w:lang w:val="sr-Latn-RS"/>
        </w:rPr>
        <w:t>j</w:t>
      </w:r>
      <w:r w:rsidRPr="00234ECD">
        <w:rPr>
          <w:rFonts w:eastAsia="Calibri"/>
          <w:sz w:val="22"/>
          <w:szCs w:val="22"/>
          <w:lang w:val="sr-Latn-RS"/>
        </w:rPr>
        <w:t>elesne težine, povraćanje, disgeuziju, konstipaciju i povišene vr</w:t>
      </w:r>
      <w:r w:rsidR="000A3929" w:rsidRPr="00234ECD">
        <w:rPr>
          <w:rFonts w:eastAsia="Calibri"/>
          <w:sz w:val="22"/>
          <w:szCs w:val="22"/>
          <w:lang w:val="sr-Latn-RS"/>
        </w:rPr>
        <w:t>ij</w:t>
      </w:r>
      <w:r w:rsidRPr="00234ECD">
        <w:rPr>
          <w:rFonts w:eastAsia="Calibri"/>
          <w:sz w:val="22"/>
          <w:szCs w:val="22"/>
          <w:lang w:val="sr-Latn-RS"/>
        </w:rPr>
        <w:t>ednosti AST. Hipertenzija je bila češće prim</w:t>
      </w:r>
      <w:r w:rsidR="000A3929" w:rsidRPr="00234ECD">
        <w:rPr>
          <w:rFonts w:eastAsia="Calibri"/>
          <w:sz w:val="22"/>
          <w:szCs w:val="22"/>
          <w:lang w:val="sr-Latn-RS"/>
        </w:rPr>
        <w:t>ij</w:t>
      </w:r>
      <w:r w:rsidRPr="00234ECD">
        <w:rPr>
          <w:rFonts w:eastAsia="Calibri"/>
          <w:sz w:val="22"/>
          <w:szCs w:val="22"/>
          <w:lang w:val="sr-Latn-RS"/>
        </w:rPr>
        <w:t>ećena kod populacije prethodno nel</w:t>
      </w:r>
      <w:r w:rsidR="000A3929" w:rsidRPr="00234ECD">
        <w:rPr>
          <w:rFonts w:eastAsia="Calibri"/>
          <w:sz w:val="22"/>
          <w:szCs w:val="22"/>
          <w:lang w:val="sr-Latn-RS"/>
        </w:rPr>
        <w:t>ij</w:t>
      </w:r>
      <w:r w:rsidRPr="00234ECD">
        <w:rPr>
          <w:rFonts w:eastAsia="Calibri"/>
          <w:sz w:val="22"/>
          <w:szCs w:val="22"/>
          <w:lang w:val="sr-Latn-RS"/>
        </w:rPr>
        <w:t>ečenih pacijenata sa RCC (67%) nego kod pacijenata sa RCC koji su prethodno l</w:t>
      </w:r>
      <w:r w:rsidR="000A3929" w:rsidRPr="00234ECD">
        <w:rPr>
          <w:rFonts w:eastAsia="Calibri"/>
          <w:sz w:val="22"/>
          <w:szCs w:val="22"/>
          <w:lang w:val="sr-Latn-RS"/>
        </w:rPr>
        <w:t>ij</w:t>
      </w:r>
      <w:r w:rsidRPr="00234ECD">
        <w:rPr>
          <w:rFonts w:eastAsia="Calibri"/>
          <w:sz w:val="22"/>
          <w:szCs w:val="22"/>
          <w:lang w:val="sr-Latn-RS"/>
        </w:rPr>
        <w:t>ečeni terapijom usm</w:t>
      </w:r>
      <w:r w:rsidR="000A3929" w:rsidRPr="00234ECD">
        <w:rPr>
          <w:rFonts w:eastAsia="Calibri"/>
          <w:sz w:val="22"/>
          <w:szCs w:val="22"/>
          <w:lang w:val="sr-Latn-RS"/>
        </w:rPr>
        <w:t>j</w:t>
      </w:r>
      <w:r w:rsidRPr="00234ECD">
        <w:rPr>
          <w:rFonts w:eastAsia="Calibri"/>
          <w:sz w:val="22"/>
          <w:szCs w:val="22"/>
          <w:lang w:val="sr-Latn-RS"/>
        </w:rPr>
        <w:t>erenom na VEGF (37%).</w:t>
      </w:r>
    </w:p>
    <w:p w14:paraId="6B246BCC" w14:textId="77777777" w:rsidR="00D857AC" w:rsidRPr="00234ECD" w:rsidRDefault="00D857AC" w:rsidP="00D857AC">
      <w:pPr>
        <w:jc w:val="both"/>
        <w:rPr>
          <w:rFonts w:eastAsia="Calibri"/>
          <w:sz w:val="22"/>
          <w:szCs w:val="22"/>
          <w:lang w:val="sr-Latn-RS"/>
        </w:rPr>
      </w:pPr>
    </w:p>
    <w:p w14:paraId="6F486B77" w14:textId="223E343B" w:rsidR="00D857AC" w:rsidRPr="00234ECD" w:rsidRDefault="00D857AC" w:rsidP="003D5E41">
      <w:pPr>
        <w:jc w:val="both"/>
        <w:rPr>
          <w:rFonts w:eastAsia="SimSun"/>
          <w:sz w:val="22"/>
          <w:szCs w:val="22"/>
          <w:lang w:val="sr-Latn-RS"/>
        </w:rPr>
      </w:pPr>
      <w:r w:rsidRPr="00234ECD">
        <w:rPr>
          <w:rFonts w:eastAsia="SimSun"/>
          <w:sz w:val="22"/>
          <w:szCs w:val="22"/>
          <w:lang w:val="sr-Latn-RS"/>
        </w:rPr>
        <w:t>Najčešće ozbiljne neželjene reakcije na l</w:t>
      </w:r>
      <w:r w:rsidR="000A3929" w:rsidRPr="00234ECD">
        <w:rPr>
          <w:rFonts w:eastAsia="SimSun"/>
          <w:sz w:val="22"/>
          <w:szCs w:val="22"/>
          <w:lang w:val="sr-Latn-RS"/>
        </w:rPr>
        <w:t>ij</w:t>
      </w:r>
      <w:r w:rsidRPr="00234ECD">
        <w:rPr>
          <w:rFonts w:eastAsia="SimSun"/>
          <w:sz w:val="22"/>
          <w:szCs w:val="22"/>
          <w:lang w:val="sr-Latn-RS"/>
        </w:rPr>
        <w:t xml:space="preserve">ek kod populacije pacijenata sa </w:t>
      </w:r>
      <w:r w:rsidRPr="00234ECD">
        <w:rPr>
          <w:rFonts w:eastAsia="SimSun"/>
          <w:bCs/>
          <w:iCs/>
          <w:sz w:val="22"/>
          <w:szCs w:val="22"/>
          <w:lang w:val="sr-Latn-RS"/>
        </w:rPr>
        <w:t xml:space="preserve">hepatocelularnim </w:t>
      </w:r>
      <w:r w:rsidRPr="00234ECD">
        <w:rPr>
          <w:rFonts w:eastAsia="SimSun"/>
          <w:sz w:val="22"/>
          <w:szCs w:val="22"/>
          <w:lang w:val="sr-Latn-RS"/>
        </w:rPr>
        <w:t>karcinomom (incidenca ≥1%) su hepatič</w:t>
      </w:r>
      <w:r w:rsidR="008244E0" w:rsidRPr="00234ECD">
        <w:rPr>
          <w:rFonts w:eastAsia="SimSun"/>
          <w:sz w:val="22"/>
          <w:szCs w:val="22"/>
          <w:lang w:val="sr-Latn-RS"/>
        </w:rPr>
        <w:t>k</w:t>
      </w:r>
      <w:r w:rsidRPr="00234ECD">
        <w:rPr>
          <w:rFonts w:eastAsia="SimSun"/>
          <w:sz w:val="22"/>
          <w:szCs w:val="22"/>
          <w:lang w:val="sr-Latn-RS"/>
        </w:rPr>
        <w:t>a encefalopatija, astenija, umor, PPES, dijareja, hiponatrijemija, povraćanje, bol u abdomenu i trombocitopenija</w:t>
      </w:r>
      <w:r w:rsidRPr="00234ECD">
        <w:rPr>
          <w:rFonts w:eastAsia="SimSun"/>
          <w:sz w:val="22"/>
          <w:szCs w:val="22"/>
          <w:lang w:val="sr-Latn-RS" w:eastAsia="en-GB"/>
        </w:rPr>
        <w:t>.</w:t>
      </w:r>
    </w:p>
    <w:p w14:paraId="484FA5E6" w14:textId="77777777" w:rsidR="00D857AC" w:rsidRPr="00234ECD" w:rsidRDefault="00D857AC" w:rsidP="00D857AC">
      <w:pPr>
        <w:rPr>
          <w:rFonts w:eastAsia="SimSun"/>
          <w:sz w:val="22"/>
          <w:szCs w:val="22"/>
          <w:lang w:val="sr-Latn-RS"/>
        </w:rPr>
      </w:pPr>
    </w:p>
    <w:p w14:paraId="329C3129" w14:textId="77777777" w:rsidR="00D857AC" w:rsidRPr="00234ECD" w:rsidRDefault="00D857AC" w:rsidP="003D5E41">
      <w:pPr>
        <w:jc w:val="both"/>
        <w:rPr>
          <w:rFonts w:eastAsia="SimSun"/>
          <w:sz w:val="22"/>
          <w:szCs w:val="22"/>
          <w:lang w:val="sr-Latn-RS"/>
        </w:rPr>
      </w:pPr>
      <w:r w:rsidRPr="00234ECD">
        <w:rPr>
          <w:rFonts w:eastAsia="SimSun"/>
          <w:sz w:val="22"/>
          <w:szCs w:val="22"/>
          <w:lang w:val="sr-Latn-RS"/>
        </w:rPr>
        <w:t xml:space="preserve">Najčešće neželjene reakcije bilo kog stepena (pojavile su se kod najmanje 25% pacijenata) kod populacije pacijenata sa </w:t>
      </w:r>
      <w:r w:rsidRPr="00234ECD">
        <w:rPr>
          <w:rFonts w:eastAsia="SimSun"/>
          <w:bCs/>
          <w:iCs/>
          <w:sz w:val="22"/>
          <w:szCs w:val="22"/>
          <w:lang w:val="sr-Latn-RS"/>
        </w:rPr>
        <w:t xml:space="preserve">hepatocelularnim </w:t>
      </w:r>
      <w:r w:rsidRPr="00234ECD">
        <w:rPr>
          <w:rFonts w:eastAsia="SimSun"/>
          <w:sz w:val="22"/>
          <w:szCs w:val="22"/>
          <w:lang w:val="sr-Latn-RS"/>
        </w:rPr>
        <w:t xml:space="preserve">karcinomom uključivale su dijareju, </w:t>
      </w:r>
      <w:r w:rsidRPr="00234ECD">
        <w:rPr>
          <w:rFonts w:eastAsia="SimSun"/>
          <w:sz w:val="22"/>
          <w:szCs w:val="22"/>
          <w:lang w:val="sr-Latn-RS" w:eastAsia="en-GB"/>
        </w:rPr>
        <w:t>smanjen apetit, PPES, umor, mučninu, hipertenziju i povraćanje.</w:t>
      </w:r>
    </w:p>
    <w:p w14:paraId="2D16CC1C" w14:textId="77777777" w:rsidR="00D857AC" w:rsidRPr="00234ECD" w:rsidRDefault="00D857AC" w:rsidP="00D857AC">
      <w:pPr>
        <w:jc w:val="both"/>
        <w:rPr>
          <w:rFonts w:eastAsia="Calibri"/>
          <w:sz w:val="22"/>
          <w:szCs w:val="22"/>
          <w:lang w:val="sr-Latn-RS"/>
        </w:rPr>
      </w:pPr>
    </w:p>
    <w:p w14:paraId="10C44F1D" w14:textId="3A9365EE" w:rsidR="007F61BF" w:rsidRPr="00234ECD" w:rsidRDefault="007F61BF" w:rsidP="007F61BF">
      <w:pPr>
        <w:jc w:val="both"/>
        <w:rPr>
          <w:rFonts w:eastAsia="SimSun"/>
          <w:sz w:val="22"/>
          <w:szCs w:val="22"/>
          <w:lang w:val="sr-Latn-RS"/>
        </w:rPr>
      </w:pPr>
      <w:r w:rsidRPr="00234ECD">
        <w:rPr>
          <w:rFonts w:eastAsia="SimSun"/>
          <w:sz w:val="22"/>
          <w:szCs w:val="22"/>
          <w:lang w:val="sr-Latn-RS"/>
        </w:rPr>
        <w:t>Najčešće ozbiljne neželjene reakcije na l</w:t>
      </w:r>
      <w:r w:rsidR="00B73D41" w:rsidRPr="00234ECD">
        <w:rPr>
          <w:rFonts w:eastAsia="SimSun"/>
          <w:sz w:val="22"/>
          <w:szCs w:val="22"/>
          <w:lang w:val="sr-Latn-RS"/>
        </w:rPr>
        <w:t>ij</w:t>
      </w:r>
      <w:r w:rsidRPr="00234ECD">
        <w:rPr>
          <w:rFonts w:eastAsia="SimSun"/>
          <w:sz w:val="22"/>
          <w:szCs w:val="22"/>
          <w:lang w:val="sr-Latn-RS"/>
        </w:rPr>
        <w:t xml:space="preserve">ek kod populacije pacijenata sa </w:t>
      </w:r>
      <w:r w:rsidRPr="00234ECD">
        <w:rPr>
          <w:rFonts w:eastAsia="SimSun"/>
          <w:bCs/>
          <w:iCs/>
          <w:sz w:val="22"/>
          <w:szCs w:val="22"/>
          <w:lang w:val="sr-Latn-RS"/>
        </w:rPr>
        <w:t xml:space="preserve">diferenciranim </w:t>
      </w:r>
      <w:r w:rsidRPr="00234ECD">
        <w:rPr>
          <w:rFonts w:eastAsia="SimSun"/>
          <w:sz w:val="22"/>
          <w:szCs w:val="22"/>
          <w:lang w:val="sr-Latn-RS"/>
        </w:rPr>
        <w:t>karcinomom štit</w:t>
      </w:r>
      <w:r w:rsidR="00536801" w:rsidRPr="00234ECD">
        <w:rPr>
          <w:rFonts w:eastAsia="SimSun"/>
          <w:sz w:val="22"/>
          <w:szCs w:val="22"/>
          <w:lang w:val="sr-Latn-RS"/>
        </w:rPr>
        <w:t>aste</w:t>
      </w:r>
      <w:r w:rsidRPr="00234ECD">
        <w:rPr>
          <w:rFonts w:eastAsia="SimSun"/>
          <w:sz w:val="22"/>
          <w:szCs w:val="22"/>
          <w:lang w:val="sr-Latn-RS"/>
        </w:rPr>
        <w:t xml:space="preserve"> žl</w:t>
      </w:r>
      <w:r w:rsidR="00B73D41" w:rsidRPr="00234ECD">
        <w:rPr>
          <w:rFonts w:eastAsia="SimSun"/>
          <w:sz w:val="22"/>
          <w:szCs w:val="22"/>
          <w:lang w:val="sr-Latn-RS"/>
        </w:rPr>
        <w:t>ij</w:t>
      </w:r>
      <w:r w:rsidRPr="00234ECD">
        <w:rPr>
          <w:rFonts w:eastAsia="SimSun"/>
          <w:sz w:val="22"/>
          <w:szCs w:val="22"/>
          <w:lang w:val="sr-Latn-RS"/>
        </w:rPr>
        <w:t xml:space="preserve">ezde (incidenca ≥1 %) su dijareja, pleuralna efuzija, pneumonija, plućna embolija, hipertenzija, anemija, duboka venska tromboza, hipokalcijemija, osteonekroza vilice, bol, </w:t>
      </w:r>
      <w:r w:rsidRPr="00234ECD">
        <w:rPr>
          <w:rFonts w:eastAsiaTheme="minorHAnsi"/>
          <w:color w:val="000000"/>
          <w:sz w:val="22"/>
          <w:szCs w:val="22"/>
          <w:lang w:val="sr-Latn-RS"/>
        </w:rPr>
        <w:t>sindrom palmarno-plantarne eritrodizestezije, povraćanje i oštećenje funkcije bubrega.</w:t>
      </w:r>
    </w:p>
    <w:p w14:paraId="561BBABD" w14:textId="77777777" w:rsidR="007F61BF" w:rsidRPr="00234ECD" w:rsidRDefault="007F61BF" w:rsidP="007F61BF">
      <w:pPr>
        <w:jc w:val="both"/>
        <w:rPr>
          <w:rFonts w:eastAsia="SimSun"/>
          <w:sz w:val="22"/>
          <w:szCs w:val="22"/>
          <w:lang w:val="sr-Latn-RS"/>
        </w:rPr>
      </w:pPr>
    </w:p>
    <w:p w14:paraId="00D7CF23" w14:textId="7BDD9353" w:rsidR="007F61BF" w:rsidRPr="00234ECD" w:rsidRDefault="007F61BF" w:rsidP="007F61BF">
      <w:pPr>
        <w:jc w:val="both"/>
        <w:rPr>
          <w:rFonts w:eastAsia="SimSun"/>
          <w:sz w:val="22"/>
          <w:szCs w:val="22"/>
          <w:lang w:val="sr-Latn-RS"/>
        </w:rPr>
      </w:pPr>
      <w:r w:rsidRPr="00234ECD">
        <w:rPr>
          <w:rFonts w:eastAsia="SimSun"/>
          <w:sz w:val="22"/>
          <w:szCs w:val="22"/>
          <w:lang w:val="sr-Latn-RS"/>
        </w:rPr>
        <w:t xml:space="preserve">Najčešće neželjene reakcije bilo kog stepena (pojavile su se kod najmanje 25% pacijenata) kod populacije pacijenata sa </w:t>
      </w:r>
      <w:r w:rsidRPr="00234ECD">
        <w:rPr>
          <w:rFonts w:eastAsia="SimSun"/>
          <w:bCs/>
          <w:iCs/>
          <w:sz w:val="22"/>
          <w:szCs w:val="22"/>
          <w:lang w:val="sr-Latn-RS"/>
        </w:rPr>
        <w:t xml:space="preserve">diferenciranim </w:t>
      </w:r>
      <w:r w:rsidRPr="00234ECD">
        <w:rPr>
          <w:rFonts w:eastAsia="SimSun"/>
          <w:sz w:val="22"/>
          <w:szCs w:val="22"/>
          <w:lang w:val="sr-Latn-RS"/>
        </w:rPr>
        <w:t>karcinomom štit</w:t>
      </w:r>
      <w:r w:rsidR="00536801" w:rsidRPr="00234ECD">
        <w:rPr>
          <w:rFonts w:eastAsia="SimSun"/>
          <w:sz w:val="22"/>
          <w:szCs w:val="22"/>
          <w:lang w:val="sr-Latn-RS"/>
        </w:rPr>
        <w:t>aste</w:t>
      </w:r>
      <w:r w:rsidRPr="00234ECD">
        <w:rPr>
          <w:rFonts w:eastAsia="SimSun"/>
          <w:sz w:val="22"/>
          <w:szCs w:val="22"/>
          <w:lang w:val="sr-Latn-RS"/>
        </w:rPr>
        <w:t xml:space="preserve"> žl</w:t>
      </w:r>
      <w:r w:rsidR="00B73D41" w:rsidRPr="00234ECD">
        <w:rPr>
          <w:rFonts w:eastAsia="SimSun"/>
          <w:sz w:val="22"/>
          <w:szCs w:val="22"/>
          <w:lang w:val="sr-Latn-RS"/>
        </w:rPr>
        <w:t>ij</w:t>
      </w:r>
      <w:r w:rsidRPr="00234ECD">
        <w:rPr>
          <w:rFonts w:eastAsia="SimSun"/>
          <w:sz w:val="22"/>
          <w:szCs w:val="22"/>
          <w:lang w:val="sr-Latn-RS"/>
        </w:rPr>
        <w:t xml:space="preserve">ezde uključivale su dijareju, </w:t>
      </w:r>
      <w:r w:rsidRPr="00234ECD">
        <w:rPr>
          <w:rFonts w:eastAsia="SimSun"/>
          <w:sz w:val="22"/>
          <w:szCs w:val="22"/>
          <w:lang w:val="sr-Latn-RS" w:eastAsia="en-GB"/>
        </w:rPr>
        <w:t xml:space="preserve">PPES, hipertenziju, umor, smanjeni apetit, mučninu, povećanje alanin aminotransferaze, povećanje aspartat aminotransferaze i </w:t>
      </w:r>
      <w:r w:rsidRPr="00234ECD">
        <w:rPr>
          <w:rFonts w:eastAsia="SimSun"/>
          <w:sz w:val="22"/>
          <w:szCs w:val="22"/>
          <w:lang w:val="sr-Latn-RS"/>
        </w:rPr>
        <w:t>hipokalcijemiju</w:t>
      </w:r>
      <w:r w:rsidRPr="00234ECD">
        <w:rPr>
          <w:rFonts w:eastAsia="SimSun"/>
          <w:sz w:val="22"/>
          <w:szCs w:val="22"/>
          <w:lang w:val="sr-Latn-RS" w:eastAsia="en-GB"/>
        </w:rPr>
        <w:t>.</w:t>
      </w:r>
    </w:p>
    <w:p w14:paraId="74E1A482" w14:textId="77777777" w:rsidR="009C255C" w:rsidRPr="00234ECD" w:rsidRDefault="009C255C" w:rsidP="00D857AC">
      <w:pPr>
        <w:jc w:val="both"/>
        <w:rPr>
          <w:rFonts w:eastAsia="Calibri"/>
          <w:sz w:val="22"/>
          <w:szCs w:val="22"/>
          <w:lang w:val="sr-Latn-RS"/>
        </w:rPr>
      </w:pPr>
    </w:p>
    <w:p w14:paraId="5EA11C52"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Tabelarni spisak neželjenih reakcija</w:t>
      </w:r>
    </w:p>
    <w:p w14:paraId="65C860EF" w14:textId="09C0CA81" w:rsidR="00D857AC" w:rsidRPr="00234ECD" w:rsidRDefault="00D857AC" w:rsidP="00D857AC">
      <w:pPr>
        <w:jc w:val="both"/>
        <w:rPr>
          <w:rFonts w:eastAsia="Calibri"/>
          <w:sz w:val="22"/>
          <w:szCs w:val="22"/>
          <w:lang w:val="sr-Latn-RS"/>
        </w:rPr>
      </w:pPr>
      <w:r w:rsidRPr="00234ECD">
        <w:rPr>
          <w:rFonts w:eastAsia="Calibri"/>
          <w:sz w:val="22"/>
          <w:szCs w:val="22"/>
          <w:lang w:val="sr-Latn-RS"/>
        </w:rPr>
        <w:t xml:space="preserve">Neželjene reakcije </w:t>
      </w:r>
      <w:r w:rsidR="004F5752" w:rsidRPr="00234ECD">
        <w:rPr>
          <w:rFonts w:eastAsia="Calibri"/>
          <w:sz w:val="22"/>
          <w:szCs w:val="22"/>
          <w:lang w:val="sr-Latn-RS"/>
        </w:rPr>
        <w:t>u skupu podataka za pacijent</w:t>
      </w:r>
      <w:r w:rsidR="004A1DAF" w:rsidRPr="00234ECD">
        <w:rPr>
          <w:rFonts w:eastAsia="Calibri"/>
          <w:sz w:val="22"/>
          <w:szCs w:val="22"/>
          <w:lang w:val="sr-Latn-RS"/>
        </w:rPr>
        <w:t>e</w:t>
      </w:r>
      <w:r w:rsidR="004F5752" w:rsidRPr="00234ECD">
        <w:rPr>
          <w:rFonts w:eastAsia="Calibri"/>
          <w:sz w:val="22"/>
          <w:szCs w:val="22"/>
          <w:lang w:val="sr-Latn-RS"/>
        </w:rPr>
        <w:t xml:space="preserve"> liječene</w:t>
      </w:r>
      <w:r w:rsidRPr="00234ECD">
        <w:rPr>
          <w:rFonts w:eastAsia="Calibri"/>
          <w:sz w:val="22"/>
          <w:szCs w:val="22"/>
          <w:lang w:val="sr-Latn-RS"/>
        </w:rPr>
        <w:t xml:space="preserve"> monoterapij</w:t>
      </w:r>
      <w:r w:rsidR="004F5752" w:rsidRPr="00234ECD">
        <w:rPr>
          <w:rFonts w:eastAsia="Calibri"/>
          <w:sz w:val="22"/>
          <w:szCs w:val="22"/>
          <w:lang w:val="sr-Latn-RS"/>
        </w:rPr>
        <w:t>om kabozantiniba u RCC-u, HCC-u i DTC-u (n=1128)</w:t>
      </w:r>
      <w:r w:rsidRPr="00234ECD">
        <w:rPr>
          <w:rFonts w:eastAsia="Calibri"/>
          <w:sz w:val="22"/>
          <w:szCs w:val="22"/>
          <w:lang w:val="sr-Latn-RS"/>
        </w:rPr>
        <w:t xml:space="preserve"> ili prijavljene nakon stavljanja kabozantiniba u promet, navedene su u Tabeli 2</w:t>
      </w:r>
      <w:r w:rsidR="004F5752" w:rsidRPr="00234ECD">
        <w:rPr>
          <w:rFonts w:eastAsia="Calibri"/>
          <w:sz w:val="22"/>
          <w:szCs w:val="22"/>
          <w:lang w:val="sr-Latn-RS"/>
        </w:rPr>
        <w:t>.</w:t>
      </w:r>
      <w:r w:rsidR="00CC4693" w:rsidRPr="00234ECD">
        <w:rPr>
          <w:rFonts w:eastAsia="Calibri"/>
          <w:sz w:val="22"/>
          <w:szCs w:val="22"/>
          <w:lang w:val="sr-Latn-RS"/>
        </w:rPr>
        <w:t xml:space="preserve"> Ove neželjene reakcije navode se</w:t>
      </w:r>
      <w:r w:rsidRPr="00234ECD">
        <w:rPr>
          <w:rFonts w:eastAsia="Calibri"/>
          <w:sz w:val="22"/>
          <w:szCs w:val="22"/>
          <w:lang w:val="sr-Latn-RS"/>
        </w:rPr>
        <w:t xml:space="preserve"> prema MedDRA klasifikaciji sistema organa i kategorijama učestalosti. Učestalost se zasniva na svim stepenima i definiše se kao: veoma česta (≥1/10), česta (≥1/100 i</w:t>
      </w:r>
      <w:r w:rsidR="007E3FD3" w:rsidRPr="00234ECD">
        <w:rPr>
          <w:rFonts w:eastAsia="Calibri"/>
          <w:sz w:val="22"/>
          <w:szCs w:val="22"/>
          <w:lang w:val="sr-Latn-RS"/>
        </w:rPr>
        <w:t xml:space="preserve"> </w:t>
      </w:r>
      <w:r w:rsidRPr="00234ECD">
        <w:rPr>
          <w:rFonts w:eastAsia="Calibri"/>
          <w:sz w:val="22"/>
          <w:szCs w:val="22"/>
          <w:lang w:val="sr-Latn-RS"/>
        </w:rPr>
        <w:t>&lt;1/10); povremena (≥1/1000 i</w:t>
      </w:r>
      <w:r w:rsidR="007E3FD3" w:rsidRPr="00234ECD">
        <w:rPr>
          <w:rFonts w:eastAsia="Calibri"/>
          <w:sz w:val="22"/>
          <w:szCs w:val="22"/>
          <w:lang w:val="sr-Latn-RS"/>
        </w:rPr>
        <w:t xml:space="preserve"> </w:t>
      </w:r>
      <w:r w:rsidRPr="00234ECD">
        <w:rPr>
          <w:rFonts w:eastAsia="Calibri"/>
          <w:sz w:val="22"/>
          <w:szCs w:val="22"/>
          <w:lang w:val="sr-Latn-RS"/>
        </w:rPr>
        <w:t>&lt;1/100), nepoznata (ne može se proc</w:t>
      </w:r>
      <w:r w:rsidR="000A3929" w:rsidRPr="00234ECD">
        <w:rPr>
          <w:rFonts w:eastAsia="Calibri"/>
          <w:sz w:val="22"/>
          <w:szCs w:val="22"/>
          <w:lang w:val="sr-Latn-RS"/>
        </w:rPr>
        <w:t>ij</w:t>
      </w:r>
      <w:r w:rsidRPr="00234ECD">
        <w:rPr>
          <w:rFonts w:eastAsia="Calibri"/>
          <w:sz w:val="22"/>
          <w:szCs w:val="22"/>
          <w:lang w:val="sr-Latn-RS"/>
        </w:rPr>
        <w:t>eniti na osnovu dostupnih podataka). U svakoj grupi učestalosti, neželjene r</w:t>
      </w:r>
      <w:r w:rsidR="00AB661A" w:rsidRPr="00234ECD">
        <w:rPr>
          <w:rFonts w:eastAsia="Calibri"/>
          <w:sz w:val="22"/>
          <w:szCs w:val="22"/>
          <w:lang w:val="sr-Latn-RS"/>
        </w:rPr>
        <w:t>e</w:t>
      </w:r>
      <w:r w:rsidRPr="00234ECD">
        <w:rPr>
          <w:rFonts w:eastAsia="Calibri"/>
          <w:sz w:val="22"/>
          <w:szCs w:val="22"/>
          <w:lang w:val="sr-Latn-RS"/>
        </w:rPr>
        <w:t>akcije su date prema opadajućoj težini.</w:t>
      </w:r>
    </w:p>
    <w:p w14:paraId="533BA749" w14:textId="77777777" w:rsidR="00D857AC" w:rsidRPr="00234ECD" w:rsidRDefault="00D857AC" w:rsidP="00D857AC">
      <w:pPr>
        <w:jc w:val="both"/>
        <w:rPr>
          <w:rFonts w:eastAsia="Calibri"/>
          <w:sz w:val="22"/>
          <w:szCs w:val="22"/>
          <w:lang w:val="sr-Latn-RS"/>
        </w:rPr>
      </w:pPr>
    </w:p>
    <w:p w14:paraId="328D7C07" w14:textId="77777777" w:rsidR="00D857AC" w:rsidRPr="00234ECD" w:rsidRDefault="00D857AC" w:rsidP="00D857AC">
      <w:pPr>
        <w:jc w:val="both"/>
        <w:rPr>
          <w:rFonts w:eastAsia="Calibri"/>
          <w:b/>
          <w:sz w:val="22"/>
          <w:szCs w:val="22"/>
          <w:lang w:val="sr-Latn-RS"/>
        </w:rPr>
      </w:pPr>
    </w:p>
    <w:p w14:paraId="06FC4899" w14:textId="05629911" w:rsidR="00D857AC" w:rsidRPr="00234ECD" w:rsidRDefault="00D857AC" w:rsidP="00D857AC">
      <w:pPr>
        <w:jc w:val="both"/>
        <w:rPr>
          <w:rFonts w:eastAsia="Calibri"/>
          <w:b/>
          <w:sz w:val="22"/>
          <w:szCs w:val="22"/>
          <w:lang w:val="sr-Latn-RS"/>
        </w:rPr>
      </w:pPr>
      <w:r w:rsidRPr="00234ECD">
        <w:rPr>
          <w:rFonts w:eastAsia="Calibri"/>
          <w:b/>
          <w:sz w:val="22"/>
          <w:szCs w:val="22"/>
          <w:lang w:val="sr-Latn-RS"/>
        </w:rPr>
        <w:t>Tabela 2: Neželjene reakcije prijavljene u kliničkim studijama ili nakon stavljanja l</w:t>
      </w:r>
      <w:r w:rsidR="000A3929" w:rsidRPr="00234ECD">
        <w:rPr>
          <w:rFonts w:eastAsia="Calibri"/>
          <w:b/>
          <w:sz w:val="22"/>
          <w:szCs w:val="22"/>
          <w:lang w:val="sr-Latn-RS"/>
        </w:rPr>
        <w:t>ij</w:t>
      </w:r>
      <w:r w:rsidRPr="00234ECD">
        <w:rPr>
          <w:rFonts w:eastAsia="Calibri"/>
          <w:b/>
          <w:sz w:val="22"/>
          <w:szCs w:val="22"/>
          <w:lang w:val="sr-Latn-RS"/>
        </w:rPr>
        <w:t>eka u promet kod pacijenata l</w:t>
      </w:r>
      <w:r w:rsidR="000A3929" w:rsidRPr="00234ECD">
        <w:rPr>
          <w:rFonts w:eastAsia="Calibri"/>
          <w:b/>
          <w:sz w:val="22"/>
          <w:szCs w:val="22"/>
          <w:lang w:val="sr-Latn-RS"/>
        </w:rPr>
        <w:t>ij</w:t>
      </w:r>
      <w:r w:rsidRPr="00234ECD">
        <w:rPr>
          <w:rFonts w:eastAsia="Calibri"/>
          <w:b/>
          <w:sz w:val="22"/>
          <w:szCs w:val="22"/>
          <w:lang w:val="sr-Latn-RS"/>
        </w:rPr>
        <w:t>ečenih kabozantinibom u monoterapiji</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199"/>
        <w:gridCol w:w="7791"/>
      </w:tblGrid>
      <w:tr w:rsidR="00D857AC" w:rsidRPr="00234ECD" w14:paraId="352341A2" w14:textId="77777777" w:rsidTr="000803EC">
        <w:trPr>
          <w:trHeight w:val="100"/>
        </w:trPr>
        <w:tc>
          <w:tcPr>
            <w:tcW w:w="9990" w:type="dxa"/>
            <w:gridSpan w:val="2"/>
            <w:tcBorders>
              <w:top w:val="single" w:sz="4" w:space="0" w:color="auto"/>
              <w:left w:val="single" w:sz="4" w:space="0" w:color="auto"/>
              <w:bottom w:val="single" w:sz="4" w:space="0" w:color="auto"/>
              <w:right w:val="single" w:sz="4" w:space="0" w:color="auto"/>
            </w:tcBorders>
            <w:hideMark/>
          </w:tcPr>
          <w:p w14:paraId="1779C264"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b/>
                <w:bCs/>
                <w:color w:val="000000"/>
                <w:sz w:val="22"/>
                <w:szCs w:val="22"/>
                <w:lang w:val="sr-Latn-RS"/>
              </w:rPr>
              <w:t xml:space="preserve">Infekcije i infestacije </w:t>
            </w:r>
          </w:p>
        </w:tc>
      </w:tr>
      <w:tr w:rsidR="00D857AC" w:rsidRPr="00234ECD" w14:paraId="0E1B9D1B" w14:textId="77777777" w:rsidTr="000803EC">
        <w:trPr>
          <w:trHeight w:val="100"/>
        </w:trPr>
        <w:tc>
          <w:tcPr>
            <w:tcW w:w="2199" w:type="dxa"/>
            <w:tcBorders>
              <w:top w:val="single" w:sz="4" w:space="0" w:color="auto"/>
              <w:left w:val="single" w:sz="4" w:space="0" w:color="auto"/>
              <w:bottom w:val="single" w:sz="4" w:space="0" w:color="auto"/>
              <w:right w:val="single" w:sz="4" w:space="0" w:color="auto"/>
            </w:tcBorders>
            <w:hideMark/>
          </w:tcPr>
          <w:p w14:paraId="2499AC62"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Često</w:t>
            </w:r>
          </w:p>
        </w:tc>
        <w:tc>
          <w:tcPr>
            <w:tcW w:w="7791" w:type="dxa"/>
            <w:tcBorders>
              <w:top w:val="single" w:sz="4" w:space="0" w:color="auto"/>
              <w:left w:val="single" w:sz="4" w:space="0" w:color="auto"/>
              <w:bottom w:val="single" w:sz="4" w:space="0" w:color="auto"/>
              <w:right w:val="single" w:sz="4" w:space="0" w:color="auto"/>
            </w:tcBorders>
            <w:hideMark/>
          </w:tcPr>
          <w:p w14:paraId="3676FED9" w14:textId="6266AAC0" w:rsidR="00D857AC" w:rsidRPr="00234ECD" w:rsidRDefault="00A25E52"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a</w:t>
            </w:r>
            <w:r w:rsidR="00D857AC" w:rsidRPr="00234ECD">
              <w:rPr>
                <w:rFonts w:eastAsia="Calibri"/>
                <w:color w:val="000000"/>
                <w:sz w:val="22"/>
                <w:szCs w:val="22"/>
                <w:lang w:val="sr-Latn-RS"/>
              </w:rPr>
              <w:t>psces</w:t>
            </w:r>
            <w:r w:rsidRPr="00234ECD">
              <w:rPr>
                <w:rFonts w:eastAsia="Calibri"/>
                <w:color w:val="000000"/>
                <w:sz w:val="22"/>
                <w:szCs w:val="22"/>
                <w:lang w:val="sr-Latn-RS"/>
              </w:rPr>
              <w:t>, pneumonija</w:t>
            </w:r>
          </w:p>
        </w:tc>
      </w:tr>
      <w:tr w:rsidR="00D857AC" w:rsidRPr="00234ECD" w14:paraId="08A80CF8" w14:textId="77777777" w:rsidTr="000803EC">
        <w:trPr>
          <w:trHeight w:val="386"/>
        </w:trPr>
        <w:tc>
          <w:tcPr>
            <w:tcW w:w="9990" w:type="dxa"/>
            <w:gridSpan w:val="2"/>
            <w:tcBorders>
              <w:top w:val="single" w:sz="4" w:space="0" w:color="auto"/>
              <w:left w:val="single" w:sz="4" w:space="0" w:color="auto"/>
              <w:bottom w:val="single" w:sz="4" w:space="0" w:color="auto"/>
              <w:right w:val="single" w:sz="4" w:space="0" w:color="auto"/>
            </w:tcBorders>
            <w:hideMark/>
          </w:tcPr>
          <w:p w14:paraId="5466D938"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b/>
                <w:bCs/>
                <w:color w:val="000000"/>
                <w:sz w:val="22"/>
                <w:szCs w:val="22"/>
                <w:lang w:val="sr-Latn-RS"/>
              </w:rPr>
              <w:t xml:space="preserve">Poremećaji krvi i limfnog sistema </w:t>
            </w:r>
          </w:p>
        </w:tc>
      </w:tr>
      <w:tr w:rsidR="00D857AC" w:rsidRPr="00234ECD" w14:paraId="427152B0" w14:textId="77777777" w:rsidTr="000803EC">
        <w:trPr>
          <w:trHeight w:val="340"/>
        </w:trPr>
        <w:tc>
          <w:tcPr>
            <w:tcW w:w="2199" w:type="dxa"/>
            <w:tcBorders>
              <w:top w:val="single" w:sz="4" w:space="0" w:color="auto"/>
              <w:left w:val="single" w:sz="4" w:space="0" w:color="auto"/>
              <w:bottom w:val="single" w:sz="4" w:space="0" w:color="auto"/>
              <w:right w:val="single" w:sz="4" w:space="0" w:color="auto"/>
            </w:tcBorders>
            <w:hideMark/>
          </w:tcPr>
          <w:p w14:paraId="32062E7B"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Veoma često</w:t>
            </w:r>
          </w:p>
        </w:tc>
        <w:tc>
          <w:tcPr>
            <w:tcW w:w="7791" w:type="dxa"/>
            <w:tcBorders>
              <w:top w:val="single" w:sz="4" w:space="0" w:color="auto"/>
              <w:left w:val="single" w:sz="4" w:space="0" w:color="auto"/>
              <w:bottom w:val="single" w:sz="4" w:space="0" w:color="auto"/>
              <w:right w:val="single" w:sz="4" w:space="0" w:color="auto"/>
            </w:tcBorders>
            <w:hideMark/>
          </w:tcPr>
          <w:p w14:paraId="3231FADA"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anemija, trombocitopenija</w:t>
            </w:r>
          </w:p>
        </w:tc>
      </w:tr>
      <w:tr w:rsidR="00D857AC" w:rsidRPr="00234ECD" w14:paraId="1783CB05" w14:textId="77777777" w:rsidTr="000803EC">
        <w:trPr>
          <w:trHeight w:val="359"/>
        </w:trPr>
        <w:tc>
          <w:tcPr>
            <w:tcW w:w="2199" w:type="dxa"/>
            <w:tcBorders>
              <w:top w:val="single" w:sz="4" w:space="0" w:color="auto"/>
              <w:left w:val="single" w:sz="4" w:space="0" w:color="auto"/>
              <w:bottom w:val="single" w:sz="4" w:space="0" w:color="auto"/>
              <w:right w:val="single" w:sz="4" w:space="0" w:color="auto"/>
            </w:tcBorders>
            <w:hideMark/>
          </w:tcPr>
          <w:p w14:paraId="107E0D72"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Često</w:t>
            </w:r>
          </w:p>
        </w:tc>
        <w:tc>
          <w:tcPr>
            <w:tcW w:w="7791" w:type="dxa"/>
            <w:tcBorders>
              <w:top w:val="single" w:sz="4" w:space="0" w:color="auto"/>
              <w:left w:val="single" w:sz="4" w:space="0" w:color="auto"/>
              <w:bottom w:val="single" w:sz="4" w:space="0" w:color="auto"/>
              <w:right w:val="single" w:sz="4" w:space="0" w:color="auto"/>
            </w:tcBorders>
            <w:hideMark/>
          </w:tcPr>
          <w:p w14:paraId="4ED68A48"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neutropenija, limfopenija</w:t>
            </w:r>
          </w:p>
        </w:tc>
      </w:tr>
      <w:tr w:rsidR="00D857AC" w:rsidRPr="00234ECD" w14:paraId="2626FBC4" w14:textId="77777777" w:rsidTr="000803EC">
        <w:trPr>
          <w:trHeight w:val="100"/>
        </w:trPr>
        <w:tc>
          <w:tcPr>
            <w:tcW w:w="9990" w:type="dxa"/>
            <w:gridSpan w:val="2"/>
            <w:tcBorders>
              <w:top w:val="single" w:sz="4" w:space="0" w:color="auto"/>
              <w:left w:val="single" w:sz="4" w:space="0" w:color="auto"/>
              <w:bottom w:val="single" w:sz="4" w:space="0" w:color="auto"/>
              <w:right w:val="single" w:sz="4" w:space="0" w:color="auto"/>
            </w:tcBorders>
            <w:hideMark/>
          </w:tcPr>
          <w:p w14:paraId="361030A5"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b/>
                <w:bCs/>
                <w:color w:val="000000"/>
                <w:sz w:val="22"/>
                <w:szCs w:val="22"/>
                <w:lang w:val="sr-Latn-RS"/>
              </w:rPr>
              <w:t xml:space="preserve">Endokrini poremećaji </w:t>
            </w:r>
          </w:p>
        </w:tc>
      </w:tr>
      <w:tr w:rsidR="00D857AC" w:rsidRPr="00234ECD" w14:paraId="2CD708D0" w14:textId="77777777" w:rsidTr="000803EC">
        <w:trPr>
          <w:trHeight w:val="100"/>
        </w:trPr>
        <w:tc>
          <w:tcPr>
            <w:tcW w:w="2199" w:type="dxa"/>
            <w:tcBorders>
              <w:top w:val="single" w:sz="4" w:space="0" w:color="auto"/>
              <w:left w:val="single" w:sz="4" w:space="0" w:color="auto"/>
              <w:bottom w:val="single" w:sz="4" w:space="0" w:color="auto"/>
              <w:right w:val="single" w:sz="4" w:space="0" w:color="auto"/>
            </w:tcBorders>
            <w:hideMark/>
          </w:tcPr>
          <w:p w14:paraId="40954F2B"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lastRenderedPageBreak/>
              <w:t>Veoma često</w:t>
            </w:r>
          </w:p>
        </w:tc>
        <w:tc>
          <w:tcPr>
            <w:tcW w:w="7791" w:type="dxa"/>
            <w:tcBorders>
              <w:top w:val="single" w:sz="4" w:space="0" w:color="auto"/>
              <w:left w:val="single" w:sz="4" w:space="0" w:color="auto"/>
              <w:bottom w:val="single" w:sz="4" w:space="0" w:color="auto"/>
              <w:right w:val="single" w:sz="4" w:space="0" w:color="auto"/>
            </w:tcBorders>
            <w:hideMark/>
          </w:tcPr>
          <w:p w14:paraId="3B0AEA9B" w14:textId="6092BEA9" w:rsidR="00D857AC" w:rsidRPr="00234ECD" w:rsidRDefault="00CC4693"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h</w:t>
            </w:r>
            <w:r w:rsidR="00D857AC" w:rsidRPr="00234ECD">
              <w:rPr>
                <w:rFonts w:eastAsia="Calibri"/>
                <w:color w:val="000000"/>
                <w:sz w:val="22"/>
                <w:szCs w:val="22"/>
                <w:lang w:val="sr-Latn-RS"/>
              </w:rPr>
              <w:t>ipotireoza</w:t>
            </w:r>
            <w:r w:rsidRPr="00234ECD">
              <w:rPr>
                <w:rFonts w:eastAsia="Calibri"/>
                <w:color w:val="000000"/>
                <w:sz w:val="22"/>
                <w:szCs w:val="22"/>
                <w:lang w:val="sr-Latn-RS"/>
              </w:rPr>
              <w:t>*</w:t>
            </w:r>
          </w:p>
        </w:tc>
      </w:tr>
      <w:tr w:rsidR="00D857AC" w:rsidRPr="00234ECD" w14:paraId="6D735E2B" w14:textId="77777777" w:rsidTr="000803EC">
        <w:trPr>
          <w:trHeight w:val="338"/>
        </w:trPr>
        <w:tc>
          <w:tcPr>
            <w:tcW w:w="9990" w:type="dxa"/>
            <w:gridSpan w:val="2"/>
            <w:tcBorders>
              <w:top w:val="single" w:sz="4" w:space="0" w:color="auto"/>
              <w:left w:val="single" w:sz="4" w:space="0" w:color="auto"/>
              <w:bottom w:val="single" w:sz="4" w:space="0" w:color="auto"/>
              <w:right w:val="single" w:sz="4" w:space="0" w:color="auto"/>
            </w:tcBorders>
            <w:hideMark/>
          </w:tcPr>
          <w:p w14:paraId="5079D87F"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b/>
                <w:bCs/>
                <w:color w:val="000000"/>
                <w:sz w:val="22"/>
                <w:szCs w:val="22"/>
                <w:lang w:val="sr-Latn-RS"/>
              </w:rPr>
              <w:t xml:space="preserve">Poremećaji metabolizma i ishrane </w:t>
            </w:r>
          </w:p>
        </w:tc>
      </w:tr>
      <w:tr w:rsidR="00D857AC" w:rsidRPr="00234ECD" w14:paraId="317E98A8" w14:textId="77777777" w:rsidTr="000803EC">
        <w:trPr>
          <w:trHeight w:val="263"/>
        </w:trPr>
        <w:tc>
          <w:tcPr>
            <w:tcW w:w="2199" w:type="dxa"/>
            <w:tcBorders>
              <w:top w:val="single" w:sz="4" w:space="0" w:color="auto"/>
              <w:left w:val="single" w:sz="4" w:space="0" w:color="auto"/>
              <w:bottom w:val="single" w:sz="4" w:space="0" w:color="auto"/>
              <w:right w:val="single" w:sz="4" w:space="0" w:color="auto"/>
            </w:tcBorders>
            <w:hideMark/>
          </w:tcPr>
          <w:p w14:paraId="7DF0963F" w14:textId="77777777" w:rsidR="00D857AC" w:rsidRPr="00234ECD" w:rsidRDefault="00D857AC" w:rsidP="00D857AC">
            <w:pPr>
              <w:autoSpaceDE w:val="0"/>
              <w:autoSpaceDN w:val="0"/>
              <w:adjustRightInd w:val="0"/>
              <w:rPr>
                <w:rFonts w:eastAsia="Calibri"/>
                <w:b/>
                <w:bCs/>
                <w:color w:val="000000"/>
                <w:sz w:val="22"/>
                <w:szCs w:val="22"/>
                <w:lang w:val="sr-Latn-RS"/>
              </w:rPr>
            </w:pPr>
            <w:r w:rsidRPr="00234ECD">
              <w:rPr>
                <w:rFonts w:eastAsia="Calibri"/>
                <w:color w:val="000000"/>
                <w:sz w:val="22"/>
                <w:szCs w:val="22"/>
                <w:lang w:val="sr-Latn-RS"/>
              </w:rPr>
              <w:t>Veoma često</w:t>
            </w:r>
          </w:p>
        </w:tc>
        <w:tc>
          <w:tcPr>
            <w:tcW w:w="7791" w:type="dxa"/>
            <w:tcBorders>
              <w:top w:val="single" w:sz="4" w:space="0" w:color="auto"/>
              <w:left w:val="single" w:sz="4" w:space="0" w:color="auto"/>
              <w:bottom w:val="single" w:sz="4" w:space="0" w:color="auto"/>
              <w:right w:val="single" w:sz="4" w:space="0" w:color="auto"/>
            </w:tcBorders>
            <w:hideMark/>
          </w:tcPr>
          <w:p w14:paraId="11C0EE31"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smanjen apetit, hipomagnezijemija, hipokalijemija, hipoalbuminemija</w:t>
            </w:r>
          </w:p>
        </w:tc>
      </w:tr>
      <w:tr w:rsidR="00D857AC" w:rsidRPr="00234ECD" w14:paraId="7705E5C9" w14:textId="77777777" w:rsidTr="000803EC">
        <w:trPr>
          <w:trHeight w:val="565"/>
        </w:trPr>
        <w:tc>
          <w:tcPr>
            <w:tcW w:w="2199" w:type="dxa"/>
            <w:tcBorders>
              <w:top w:val="single" w:sz="4" w:space="0" w:color="auto"/>
              <w:left w:val="single" w:sz="4" w:space="0" w:color="auto"/>
              <w:bottom w:val="single" w:sz="4" w:space="0" w:color="auto"/>
              <w:right w:val="single" w:sz="4" w:space="0" w:color="auto"/>
            </w:tcBorders>
            <w:hideMark/>
          </w:tcPr>
          <w:p w14:paraId="60B32A1D"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Često</w:t>
            </w:r>
          </w:p>
        </w:tc>
        <w:tc>
          <w:tcPr>
            <w:tcW w:w="7791" w:type="dxa"/>
            <w:tcBorders>
              <w:top w:val="single" w:sz="4" w:space="0" w:color="auto"/>
              <w:left w:val="single" w:sz="4" w:space="0" w:color="auto"/>
              <w:bottom w:val="single" w:sz="4" w:space="0" w:color="auto"/>
              <w:right w:val="single" w:sz="4" w:space="0" w:color="auto"/>
            </w:tcBorders>
            <w:hideMark/>
          </w:tcPr>
          <w:p w14:paraId="54638682"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dehidracija, hipofosfatemija, hiponatrijemija,  hipokalcijemija, hiperkalijemija</w:t>
            </w:r>
          </w:p>
          <w:p w14:paraId="092BF941"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hiperbilirubinemija, hiperglikemija, hipoglikemija</w:t>
            </w:r>
          </w:p>
        </w:tc>
      </w:tr>
      <w:tr w:rsidR="00D857AC" w:rsidRPr="00234ECD" w14:paraId="09648886" w14:textId="77777777" w:rsidTr="000803EC">
        <w:trPr>
          <w:trHeight w:val="355"/>
        </w:trPr>
        <w:tc>
          <w:tcPr>
            <w:tcW w:w="9990" w:type="dxa"/>
            <w:gridSpan w:val="2"/>
            <w:tcBorders>
              <w:top w:val="single" w:sz="4" w:space="0" w:color="auto"/>
              <w:left w:val="single" w:sz="4" w:space="0" w:color="auto"/>
              <w:bottom w:val="single" w:sz="4" w:space="0" w:color="auto"/>
              <w:right w:val="single" w:sz="4" w:space="0" w:color="auto"/>
            </w:tcBorders>
            <w:hideMark/>
          </w:tcPr>
          <w:p w14:paraId="384D528C"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b/>
                <w:bCs/>
                <w:color w:val="000000"/>
                <w:sz w:val="22"/>
                <w:szCs w:val="22"/>
                <w:lang w:val="sr-Latn-RS"/>
              </w:rPr>
              <w:t xml:space="preserve">Poremećaji nervnog sistema </w:t>
            </w:r>
          </w:p>
        </w:tc>
      </w:tr>
      <w:tr w:rsidR="00D857AC" w:rsidRPr="00234ECD" w14:paraId="026C7128" w14:textId="77777777" w:rsidTr="000803EC">
        <w:trPr>
          <w:trHeight w:val="355"/>
        </w:trPr>
        <w:tc>
          <w:tcPr>
            <w:tcW w:w="2199" w:type="dxa"/>
            <w:tcBorders>
              <w:top w:val="single" w:sz="4" w:space="0" w:color="auto"/>
              <w:left w:val="single" w:sz="4" w:space="0" w:color="auto"/>
              <w:bottom w:val="single" w:sz="4" w:space="0" w:color="auto"/>
              <w:right w:val="single" w:sz="4" w:space="0" w:color="auto"/>
            </w:tcBorders>
            <w:hideMark/>
          </w:tcPr>
          <w:p w14:paraId="70D630FA" w14:textId="77777777" w:rsidR="00D857AC" w:rsidRPr="00234ECD" w:rsidRDefault="00D857AC" w:rsidP="00D857AC">
            <w:pPr>
              <w:autoSpaceDE w:val="0"/>
              <w:autoSpaceDN w:val="0"/>
              <w:adjustRightInd w:val="0"/>
              <w:rPr>
                <w:rFonts w:eastAsia="Calibri"/>
                <w:b/>
                <w:bCs/>
                <w:color w:val="000000"/>
                <w:sz w:val="22"/>
                <w:szCs w:val="22"/>
                <w:lang w:val="sr-Latn-RS"/>
              </w:rPr>
            </w:pPr>
            <w:r w:rsidRPr="00234ECD">
              <w:rPr>
                <w:rFonts w:eastAsia="Calibri"/>
                <w:color w:val="000000"/>
                <w:sz w:val="22"/>
                <w:szCs w:val="22"/>
                <w:lang w:val="sr-Latn-RS"/>
              </w:rPr>
              <w:t>Veoma često</w:t>
            </w:r>
          </w:p>
        </w:tc>
        <w:tc>
          <w:tcPr>
            <w:tcW w:w="7791" w:type="dxa"/>
            <w:tcBorders>
              <w:top w:val="single" w:sz="4" w:space="0" w:color="auto"/>
              <w:left w:val="single" w:sz="4" w:space="0" w:color="auto"/>
              <w:bottom w:val="single" w:sz="4" w:space="0" w:color="auto"/>
              <w:right w:val="single" w:sz="4" w:space="0" w:color="auto"/>
            </w:tcBorders>
            <w:hideMark/>
          </w:tcPr>
          <w:p w14:paraId="6421DEC7" w14:textId="77777777" w:rsidR="00D857AC" w:rsidRPr="00234ECD" w:rsidRDefault="00D857AC" w:rsidP="00D857AC">
            <w:pPr>
              <w:autoSpaceDE w:val="0"/>
              <w:autoSpaceDN w:val="0"/>
              <w:adjustRightInd w:val="0"/>
              <w:jc w:val="both"/>
              <w:rPr>
                <w:rFonts w:eastAsia="Calibri"/>
                <w:color w:val="000000"/>
                <w:sz w:val="22"/>
                <w:szCs w:val="22"/>
                <w:lang w:val="sr-Latn-RS"/>
              </w:rPr>
            </w:pPr>
            <w:r w:rsidRPr="00234ECD">
              <w:rPr>
                <w:rFonts w:eastAsia="Calibri"/>
                <w:color w:val="000000"/>
                <w:sz w:val="22"/>
                <w:szCs w:val="22"/>
                <w:lang w:val="sr-Latn-RS"/>
              </w:rPr>
              <w:t>disgeuzija, glavobolja, vrtoglavica</w:t>
            </w:r>
          </w:p>
        </w:tc>
      </w:tr>
      <w:tr w:rsidR="00D857AC" w:rsidRPr="00234ECD" w14:paraId="21E53137" w14:textId="77777777" w:rsidTr="000803EC">
        <w:trPr>
          <w:trHeight w:val="355"/>
        </w:trPr>
        <w:tc>
          <w:tcPr>
            <w:tcW w:w="2199" w:type="dxa"/>
            <w:tcBorders>
              <w:top w:val="single" w:sz="4" w:space="0" w:color="auto"/>
              <w:left w:val="single" w:sz="4" w:space="0" w:color="auto"/>
              <w:bottom w:val="single" w:sz="4" w:space="0" w:color="auto"/>
              <w:right w:val="single" w:sz="4" w:space="0" w:color="auto"/>
            </w:tcBorders>
            <w:hideMark/>
          </w:tcPr>
          <w:p w14:paraId="153DBE7C" w14:textId="77777777" w:rsidR="00D857AC" w:rsidRPr="00234ECD" w:rsidRDefault="00D857AC" w:rsidP="00D857AC">
            <w:pPr>
              <w:autoSpaceDE w:val="0"/>
              <w:autoSpaceDN w:val="0"/>
              <w:adjustRightInd w:val="0"/>
              <w:rPr>
                <w:rFonts w:eastAsia="Calibri"/>
                <w:b/>
                <w:bCs/>
                <w:color w:val="000000"/>
                <w:sz w:val="22"/>
                <w:szCs w:val="22"/>
                <w:lang w:val="sr-Latn-RS"/>
              </w:rPr>
            </w:pPr>
            <w:r w:rsidRPr="00234ECD">
              <w:rPr>
                <w:rFonts w:eastAsia="Calibri"/>
                <w:color w:val="000000"/>
                <w:sz w:val="22"/>
                <w:szCs w:val="22"/>
                <w:lang w:val="sr-Latn-RS"/>
              </w:rPr>
              <w:t>Često</w:t>
            </w:r>
          </w:p>
        </w:tc>
        <w:tc>
          <w:tcPr>
            <w:tcW w:w="7791" w:type="dxa"/>
            <w:tcBorders>
              <w:top w:val="single" w:sz="4" w:space="0" w:color="auto"/>
              <w:left w:val="single" w:sz="4" w:space="0" w:color="auto"/>
              <w:bottom w:val="single" w:sz="4" w:space="0" w:color="auto"/>
              <w:right w:val="single" w:sz="4" w:space="0" w:color="auto"/>
            </w:tcBorders>
            <w:hideMark/>
          </w:tcPr>
          <w:p w14:paraId="7CC1624D" w14:textId="6F4C9713"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periferna neuropatija</w:t>
            </w:r>
            <w:r w:rsidR="00CC4693" w:rsidRPr="00234ECD">
              <w:rPr>
                <w:rFonts w:eastAsia="Calibri"/>
                <w:color w:val="000000"/>
                <w:sz w:val="22"/>
                <w:szCs w:val="22"/>
                <w:vertAlign w:val="superscript"/>
                <w:lang w:val="sr-Latn-RS"/>
              </w:rPr>
              <w:t>a</w:t>
            </w:r>
          </w:p>
        </w:tc>
      </w:tr>
      <w:tr w:rsidR="00D857AC" w:rsidRPr="00234ECD" w14:paraId="1D2605A7" w14:textId="77777777" w:rsidTr="000803EC">
        <w:trPr>
          <w:trHeight w:val="355"/>
        </w:trPr>
        <w:tc>
          <w:tcPr>
            <w:tcW w:w="2199" w:type="dxa"/>
            <w:tcBorders>
              <w:top w:val="single" w:sz="4" w:space="0" w:color="auto"/>
              <w:left w:val="single" w:sz="4" w:space="0" w:color="auto"/>
              <w:bottom w:val="single" w:sz="4" w:space="0" w:color="auto"/>
              <w:right w:val="single" w:sz="4" w:space="0" w:color="auto"/>
            </w:tcBorders>
            <w:hideMark/>
          </w:tcPr>
          <w:p w14:paraId="709DCD97"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Povremeno</w:t>
            </w:r>
          </w:p>
        </w:tc>
        <w:tc>
          <w:tcPr>
            <w:tcW w:w="7791" w:type="dxa"/>
            <w:tcBorders>
              <w:top w:val="single" w:sz="4" w:space="0" w:color="auto"/>
              <w:left w:val="single" w:sz="4" w:space="0" w:color="auto"/>
              <w:bottom w:val="single" w:sz="4" w:space="0" w:color="auto"/>
              <w:right w:val="single" w:sz="4" w:space="0" w:color="auto"/>
            </w:tcBorders>
            <w:hideMark/>
          </w:tcPr>
          <w:p w14:paraId="70E5060D" w14:textId="3BF85585" w:rsidR="00D857AC" w:rsidRPr="00234ECD" w:rsidRDefault="00CC4693"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k</w:t>
            </w:r>
            <w:r w:rsidR="00D857AC" w:rsidRPr="00234ECD">
              <w:rPr>
                <w:rFonts w:eastAsia="Calibri"/>
                <w:color w:val="000000"/>
                <w:sz w:val="22"/>
                <w:szCs w:val="22"/>
                <w:lang w:val="sr-Latn-RS"/>
              </w:rPr>
              <w:t>onvulzije</w:t>
            </w:r>
            <w:r w:rsidRPr="00234ECD">
              <w:rPr>
                <w:rFonts w:eastAsia="Calibri"/>
                <w:color w:val="000000"/>
                <w:sz w:val="22"/>
                <w:szCs w:val="22"/>
                <w:lang w:val="sr-Latn-RS"/>
              </w:rPr>
              <w:t>, cerebrovaskularni insult</w:t>
            </w:r>
            <w:r w:rsidR="0022717B" w:rsidRPr="00234ECD">
              <w:rPr>
                <w:rFonts w:eastAsia="Calibri"/>
                <w:color w:val="000000"/>
                <w:sz w:val="22"/>
                <w:szCs w:val="22"/>
                <w:lang w:val="sr-Latn-RS"/>
              </w:rPr>
              <w:t>, sindrom posteriorne reverzibilne encefalopatije</w:t>
            </w:r>
          </w:p>
        </w:tc>
      </w:tr>
      <w:tr w:rsidR="00D857AC" w:rsidRPr="00234ECD" w14:paraId="7D2631D6" w14:textId="77777777" w:rsidTr="000803EC">
        <w:trPr>
          <w:trHeight w:val="227"/>
        </w:trPr>
        <w:tc>
          <w:tcPr>
            <w:tcW w:w="9990" w:type="dxa"/>
            <w:gridSpan w:val="2"/>
            <w:tcBorders>
              <w:top w:val="single" w:sz="4" w:space="0" w:color="auto"/>
              <w:left w:val="single" w:sz="4" w:space="0" w:color="auto"/>
              <w:bottom w:val="single" w:sz="4" w:space="0" w:color="auto"/>
              <w:right w:val="single" w:sz="4" w:space="0" w:color="auto"/>
            </w:tcBorders>
            <w:hideMark/>
          </w:tcPr>
          <w:p w14:paraId="266EA114"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b/>
                <w:bCs/>
                <w:color w:val="000000"/>
                <w:sz w:val="22"/>
                <w:szCs w:val="22"/>
                <w:lang w:val="sr-Latn-RS"/>
              </w:rPr>
              <w:t>Poremećaji uha i labirinta</w:t>
            </w:r>
          </w:p>
        </w:tc>
      </w:tr>
      <w:tr w:rsidR="00D857AC" w:rsidRPr="00234ECD" w14:paraId="3B311FBB" w14:textId="77777777" w:rsidTr="000803EC">
        <w:trPr>
          <w:trHeight w:val="227"/>
        </w:trPr>
        <w:tc>
          <w:tcPr>
            <w:tcW w:w="2199" w:type="dxa"/>
            <w:tcBorders>
              <w:top w:val="single" w:sz="4" w:space="0" w:color="auto"/>
              <w:left w:val="single" w:sz="4" w:space="0" w:color="auto"/>
              <w:bottom w:val="single" w:sz="4" w:space="0" w:color="auto"/>
              <w:right w:val="single" w:sz="4" w:space="0" w:color="auto"/>
            </w:tcBorders>
            <w:hideMark/>
          </w:tcPr>
          <w:p w14:paraId="3D52DA13" w14:textId="77777777" w:rsidR="00D857AC" w:rsidRPr="00234ECD" w:rsidRDefault="00D857AC" w:rsidP="00D857AC">
            <w:pPr>
              <w:autoSpaceDE w:val="0"/>
              <w:autoSpaceDN w:val="0"/>
              <w:adjustRightInd w:val="0"/>
              <w:rPr>
                <w:rFonts w:eastAsia="Calibri"/>
                <w:b/>
                <w:bCs/>
                <w:color w:val="000000"/>
                <w:sz w:val="22"/>
                <w:szCs w:val="22"/>
                <w:lang w:val="sr-Latn-RS"/>
              </w:rPr>
            </w:pPr>
            <w:r w:rsidRPr="00234ECD">
              <w:rPr>
                <w:rFonts w:eastAsia="Calibri"/>
                <w:color w:val="000000"/>
                <w:sz w:val="22"/>
                <w:szCs w:val="22"/>
                <w:lang w:val="sr-Latn-RS"/>
              </w:rPr>
              <w:t>Često</w:t>
            </w:r>
          </w:p>
        </w:tc>
        <w:tc>
          <w:tcPr>
            <w:tcW w:w="7791" w:type="dxa"/>
            <w:tcBorders>
              <w:top w:val="single" w:sz="4" w:space="0" w:color="auto"/>
              <w:left w:val="single" w:sz="4" w:space="0" w:color="auto"/>
              <w:bottom w:val="single" w:sz="4" w:space="0" w:color="auto"/>
              <w:right w:val="single" w:sz="4" w:space="0" w:color="auto"/>
            </w:tcBorders>
            <w:hideMark/>
          </w:tcPr>
          <w:p w14:paraId="2E84E425"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tinitus</w:t>
            </w:r>
          </w:p>
        </w:tc>
      </w:tr>
      <w:tr w:rsidR="00D857AC" w:rsidRPr="00234ECD" w14:paraId="67B1A1B0" w14:textId="77777777" w:rsidTr="000803EC">
        <w:trPr>
          <w:trHeight w:val="227"/>
        </w:trPr>
        <w:tc>
          <w:tcPr>
            <w:tcW w:w="9990" w:type="dxa"/>
            <w:gridSpan w:val="2"/>
            <w:tcBorders>
              <w:top w:val="single" w:sz="4" w:space="0" w:color="auto"/>
              <w:left w:val="single" w:sz="4" w:space="0" w:color="auto"/>
              <w:bottom w:val="single" w:sz="4" w:space="0" w:color="auto"/>
              <w:right w:val="single" w:sz="4" w:space="0" w:color="auto"/>
            </w:tcBorders>
            <w:hideMark/>
          </w:tcPr>
          <w:p w14:paraId="669B1CED"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b/>
                <w:bCs/>
                <w:color w:val="000000"/>
                <w:sz w:val="22"/>
                <w:szCs w:val="22"/>
                <w:lang w:val="sr-Latn-RS"/>
              </w:rPr>
              <w:t>Kardiološki poremećaji</w:t>
            </w:r>
          </w:p>
        </w:tc>
      </w:tr>
      <w:tr w:rsidR="00D857AC" w:rsidRPr="00234ECD" w14:paraId="16B7BD91" w14:textId="77777777" w:rsidTr="000803EC">
        <w:trPr>
          <w:trHeight w:val="227"/>
        </w:trPr>
        <w:tc>
          <w:tcPr>
            <w:tcW w:w="2199" w:type="dxa"/>
            <w:tcBorders>
              <w:top w:val="single" w:sz="4" w:space="0" w:color="auto"/>
              <w:left w:val="single" w:sz="4" w:space="0" w:color="auto"/>
              <w:bottom w:val="single" w:sz="4" w:space="0" w:color="auto"/>
              <w:right w:val="single" w:sz="4" w:space="0" w:color="auto"/>
            </w:tcBorders>
            <w:hideMark/>
          </w:tcPr>
          <w:p w14:paraId="2494C4DD" w14:textId="5DC5D2F8" w:rsidR="00D857AC" w:rsidRPr="00234ECD" w:rsidRDefault="0022717B" w:rsidP="00D857AC">
            <w:pPr>
              <w:autoSpaceDE w:val="0"/>
              <w:autoSpaceDN w:val="0"/>
              <w:adjustRightInd w:val="0"/>
              <w:rPr>
                <w:rFonts w:eastAsia="Calibri"/>
                <w:b/>
                <w:bCs/>
                <w:color w:val="000000"/>
                <w:sz w:val="22"/>
                <w:szCs w:val="22"/>
                <w:lang w:val="sr-Latn-RS"/>
              </w:rPr>
            </w:pPr>
            <w:r w:rsidRPr="00234ECD">
              <w:rPr>
                <w:rFonts w:eastAsia="Calibri"/>
                <w:color w:val="000000"/>
                <w:sz w:val="22"/>
                <w:szCs w:val="22"/>
                <w:lang w:val="sr-Latn-RS"/>
              </w:rPr>
              <w:t>Povremeno</w:t>
            </w:r>
          </w:p>
        </w:tc>
        <w:tc>
          <w:tcPr>
            <w:tcW w:w="7791" w:type="dxa"/>
            <w:tcBorders>
              <w:top w:val="single" w:sz="4" w:space="0" w:color="auto"/>
              <w:left w:val="single" w:sz="4" w:space="0" w:color="auto"/>
              <w:bottom w:val="single" w:sz="4" w:space="0" w:color="auto"/>
              <w:right w:val="single" w:sz="4" w:space="0" w:color="auto"/>
            </w:tcBorders>
            <w:hideMark/>
          </w:tcPr>
          <w:p w14:paraId="7A5129A6" w14:textId="5A36B01C" w:rsidR="00D857AC" w:rsidRPr="00234ECD" w:rsidRDefault="0022717B"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akutni </w:t>
            </w:r>
            <w:r w:rsidR="00D857AC" w:rsidRPr="00234ECD">
              <w:rPr>
                <w:rFonts w:eastAsia="Calibri"/>
                <w:color w:val="000000"/>
                <w:sz w:val="22"/>
                <w:szCs w:val="22"/>
                <w:lang w:val="sr-Latn-RS"/>
              </w:rPr>
              <w:t>infarkt miokarda</w:t>
            </w:r>
          </w:p>
        </w:tc>
      </w:tr>
      <w:tr w:rsidR="00D857AC" w:rsidRPr="00234ECD" w14:paraId="15C8A168" w14:textId="77777777" w:rsidTr="000803EC">
        <w:trPr>
          <w:trHeight w:val="100"/>
        </w:trPr>
        <w:tc>
          <w:tcPr>
            <w:tcW w:w="9990" w:type="dxa"/>
            <w:gridSpan w:val="2"/>
            <w:tcBorders>
              <w:top w:val="single" w:sz="4" w:space="0" w:color="auto"/>
              <w:left w:val="single" w:sz="4" w:space="0" w:color="auto"/>
              <w:bottom w:val="single" w:sz="4" w:space="0" w:color="auto"/>
              <w:right w:val="single" w:sz="4" w:space="0" w:color="auto"/>
            </w:tcBorders>
            <w:hideMark/>
          </w:tcPr>
          <w:p w14:paraId="21F02BAF"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b/>
                <w:bCs/>
                <w:color w:val="000000"/>
                <w:sz w:val="22"/>
                <w:szCs w:val="22"/>
                <w:lang w:val="sr-Latn-RS"/>
              </w:rPr>
              <w:t xml:space="preserve">Vaskularni poremećaji </w:t>
            </w:r>
          </w:p>
        </w:tc>
      </w:tr>
      <w:tr w:rsidR="00D857AC" w:rsidRPr="00234ECD" w14:paraId="272E69A5" w14:textId="77777777" w:rsidTr="000803EC">
        <w:trPr>
          <w:trHeight w:val="100"/>
        </w:trPr>
        <w:tc>
          <w:tcPr>
            <w:tcW w:w="2199" w:type="dxa"/>
            <w:tcBorders>
              <w:top w:val="single" w:sz="4" w:space="0" w:color="auto"/>
              <w:left w:val="single" w:sz="4" w:space="0" w:color="auto"/>
              <w:bottom w:val="single" w:sz="4" w:space="0" w:color="auto"/>
              <w:right w:val="single" w:sz="4" w:space="0" w:color="auto"/>
            </w:tcBorders>
            <w:hideMark/>
          </w:tcPr>
          <w:p w14:paraId="4CE4DB89" w14:textId="77777777" w:rsidR="00D857AC" w:rsidRPr="00234ECD" w:rsidRDefault="00D857AC" w:rsidP="00D857AC">
            <w:pPr>
              <w:autoSpaceDE w:val="0"/>
              <w:autoSpaceDN w:val="0"/>
              <w:adjustRightInd w:val="0"/>
              <w:rPr>
                <w:rFonts w:eastAsia="Calibri"/>
                <w:b/>
                <w:bCs/>
                <w:color w:val="000000"/>
                <w:sz w:val="22"/>
                <w:szCs w:val="22"/>
                <w:lang w:val="sr-Latn-RS"/>
              </w:rPr>
            </w:pPr>
            <w:r w:rsidRPr="00234ECD">
              <w:rPr>
                <w:rFonts w:eastAsia="Calibri"/>
                <w:color w:val="000000"/>
                <w:sz w:val="22"/>
                <w:szCs w:val="22"/>
                <w:lang w:val="sr-Latn-RS"/>
              </w:rPr>
              <w:t>Veoma često</w:t>
            </w:r>
          </w:p>
        </w:tc>
        <w:tc>
          <w:tcPr>
            <w:tcW w:w="7791" w:type="dxa"/>
            <w:tcBorders>
              <w:top w:val="single" w:sz="4" w:space="0" w:color="auto"/>
              <w:left w:val="single" w:sz="4" w:space="0" w:color="auto"/>
              <w:bottom w:val="single" w:sz="4" w:space="0" w:color="auto"/>
              <w:right w:val="single" w:sz="4" w:space="0" w:color="auto"/>
            </w:tcBorders>
            <w:hideMark/>
          </w:tcPr>
          <w:p w14:paraId="02C6FEED" w14:textId="17A81512"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hipertenzija, krvarenje</w:t>
            </w:r>
            <w:r w:rsidR="0022717B" w:rsidRPr="00234ECD">
              <w:rPr>
                <w:rFonts w:eastAsia="Calibri"/>
                <w:color w:val="000000"/>
                <w:sz w:val="22"/>
                <w:szCs w:val="22"/>
                <w:vertAlign w:val="superscript"/>
                <w:lang w:val="sr-Latn-RS"/>
              </w:rPr>
              <w:t>b</w:t>
            </w:r>
            <w:r w:rsidRPr="00234ECD">
              <w:rPr>
                <w:rFonts w:eastAsia="Calibri"/>
                <w:color w:val="000000"/>
                <w:sz w:val="22"/>
                <w:szCs w:val="22"/>
                <w:lang w:val="sr-Latn-RS"/>
              </w:rPr>
              <w:t>*</w:t>
            </w:r>
          </w:p>
        </w:tc>
      </w:tr>
      <w:tr w:rsidR="00D857AC" w:rsidRPr="00234ECD" w14:paraId="6680A9D5" w14:textId="77777777" w:rsidTr="000803EC">
        <w:trPr>
          <w:trHeight w:val="100"/>
        </w:trPr>
        <w:tc>
          <w:tcPr>
            <w:tcW w:w="2199" w:type="dxa"/>
            <w:tcBorders>
              <w:top w:val="single" w:sz="4" w:space="0" w:color="auto"/>
              <w:left w:val="single" w:sz="4" w:space="0" w:color="auto"/>
              <w:bottom w:val="single" w:sz="4" w:space="0" w:color="auto"/>
              <w:right w:val="single" w:sz="4" w:space="0" w:color="auto"/>
            </w:tcBorders>
            <w:hideMark/>
          </w:tcPr>
          <w:p w14:paraId="3A97A47A"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Često</w:t>
            </w:r>
          </w:p>
        </w:tc>
        <w:tc>
          <w:tcPr>
            <w:tcW w:w="7791" w:type="dxa"/>
            <w:tcBorders>
              <w:top w:val="single" w:sz="4" w:space="0" w:color="auto"/>
              <w:left w:val="single" w:sz="4" w:space="0" w:color="auto"/>
              <w:bottom w:val="single" w:sz="4" w:space="0" w:color="auto"/>
              <w:right w:val="single" w:sz="4" w:space="0" w:color="auto"/>
            </w:tcBorders>
            <w:hideMark/>
          </w:tcPr>
          <w:p w14:paraId="668DBC60" w14:textId="3CE1CF16"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venska tromboza</w:t>
            </w:r>
            <w:r w:rsidR="0022717B" w:rsidRPr="00234ECD">
              <w:rPr>
                <w:rFonts w:eastAsia="Calibri"/>
                <w:color w:val="000000"/>
                <w:sz w:val="22"/>
                <w:szCs w:val="22"/>
                <w:vertAlign w:val="superscript"/>
                <w:lang w:val="sr-Latn-RS"/>
              </w:rPr>
              <w:t>c</w:t>
            </w:r>
          </w:p>
        </w:tc>
      </w:tr>
      <w:tr w:rsidR="00761BC8" w:rsidRPr="00234ECD" w14:paraId="3D8D5DA3" w14:textId="77777777" w:rsidTr="000803EC">
        <w:trPr>
          <w:trHeight w:val="100"/>
        </w:trPr>
        <w:tc>
          <w:tcPr>
            <w:tcW w:w="2199" w:type="dxa"/>
            <w:tcBorders>
              <w:top w:val="single" w:sz="4" w:space="0" w:color="auto"/>
              <w:left w:val="single" w:sz="4" w:space="0" w:color="auto"/>
              <w:bottom w:val="single" w:sz="4" w:space="0" w:color="auto"/>
              <w:right w:val="single" w:sz="4" w:space="0" w:color="auto"/>
            </w:tcBorders>
          </w:tcPr>
          <w:p w14:paraId="7263A676" w14:textId="2BEFE3D8" w:rsidR="00761BC8" w:rsidRPr="00234ECD" w:rsidRDefault="00761BC8"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Povremeno</w:t>
            </w:r>
          </w:p>
        </w:tc>
        <w:tc>
          <w:tcPr>
            <w:tcW w:w="7791" w:type="dxa"/>
            <w:tcBorders>
              <w:top w:val="single" w:sz="4" w:space="0" w:color="auto"/>
              <w:left w:val="single" w:sz="4" w:space="0" w:color="auto"/>
              <w:bottom w:val="single" w:sz="4" w:space="0" w:color="auto"/>
              <w:right w:val="single" w:sz="4" w:space="0" w:color="auto"/>
            </w:tcBorders>
          </w:tcPr>
          <w:p w14:paraId="73F5F38D" w14:textId="58230B94" w:rsidR="00761BC8" w:rsidRPr="00234ECD" w:rsidRDefault="00A25E52"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h</w:t>
            </w:r>
            <w:r w:rsidR="00761BC8" w:rsidRPr="00234ECD">
              <w:rPr>
                <w:rFonts w:eastAsia="Calibri"/>
                <w:color w:val="000000"/>
                <w:sz w:val="22"/>
                <w:szCs w:val="22"/>
                <w:lang w:val="sr-Latn-RS"/>
              </w:rPr>
              <w:t>ipertenzivna kriza</w:t>
            </w:r>
            <w:r w:rsidRPr="00234ECD">
              <w:rPr>
                <w:rFonts w:eastAsia="Calibri"/>
                <w:color w:val="000000"/>
                <w:sz w:val="22"/>
                <w:szCs w:val="22"/>
                <w:lang w:val="sr-Latn-RS"/>
              </w:rPr>
              <w:t xml:space="preserve">, </w:t>
            </w:r>
            <w:r w:rsidR="001D3FD4" w:rsidRPr="00234ECD">
              <w:rPr>
                <w:rFonts w:eastAsia="Calibri"/>
                <w:color w:val="000000"/>
                <w:sz w:val="22"/>
                <w:szCs w:val="22"/>
                <w:lang w:val="sr-Latn-RS"/>
              </w:rPr>
              <w:t xml:space="preserve">arterijska tromboza, </w:t>
            </w:r>
            <w:r w:rsidRPr="00234ECD">
              <w:rPr>
                <w:rFonts w:eastAsia="Calibri"/>
                <w:color w:val="000000"/>
                <w:sz w:val="22"/>
                <w:szCs w:val="22"/>
                <w:lang w:val="sr-Latn-RS"/>
              </w:rPr>
              <w:t>arterijska embolija</w:t>
            </w:r>
          </w:p>
        </w:tc>
      </w:tr>
      <w:tr w:rsidR="00D857AC" w:rsidRPr="00234ECD" w14:paraId="361658DF" w14:textId="77777777" w:rsidTr="000803EC">
        <w:trPr>
          <w:trHeight w:val="100"/>
        </w:trPr>
        <w:tc>
          <w:tcPr>
            <w:tcW w:w="2199" w:type="dxa"/>
            <w:tcBorders>
              <w:top w:val="single" w:sz="4" w:space="0" w:color="auto"/>
              <w:left w:val="single" w:sz="4" w:space="0" w:color="auto"/>
              <w:bottom w:val="single" w:sz="4" w:space="0" w:color="auto"/>
              <w:right w:val="single" w:sz="4" w:space="0" w:color="auto"/>
            </w:tcBorders>
            <w:hideMark/>
          </w:tcPr>
          <w:p w14:paraId="71002CFD"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Nepoznato</w:t>
            </w:r>
          </w:p>
        </w:tc>
        <w:tc>
          <w:tcPr>
            <w:tcW w:w="7791" w:type="dxa"/>
            <w:tcBorders>
              <w:top w:val="single" w:sz="4" w:space="0" w:color="auto"/>
              <w:left w:val="single" w:sz="4" w:space="0" w:color="auto"/>
              <w:bottom w:val="single" w:sz="4" w:space="0" w:color="auto"/>
              <w:right w:val="single" w:sz="4" w:space="0" w:color="auto"/>
            </w:tcBorders>
            <w:hideMark/>
          </w:tcPr>
          <w:p w14:paraId="2ECAD33B"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aneurizme i disekcije arterije</w:t>
            </w:r>
          </w:p>
        </w:tc>
      </w:tr>
      <w:tr w:rsidR="00D857AC" w:rsidRPr="00234ECD" w14:paraId="78F8D8F5" w14:textId="77777777" w:rsidTr="000803EC">
        <w:trPr>
          <w:trHeight w:val="354"/>
        </w:trPr>
        <w:tc>
          <w:tcPr>
            <w:tcW w:w="9990" w:type="dxa"/>
            <w:gridSpan w:val="2"/>
            <w:tcBorders>
              <w:top w:val="single" w:sz="4" w:space="0" w:color="auto"/>
              <w:left w:val="single" w:sz="4" w:space="0" w:color="auto"/>
              <w:bottom w:val="single" w:sz="4" w:space="0" w:color="auto"/>
              <w:right w:val="single" w:sz="4" w:space="0" w:color="auto"/>
            </w:tcBorders>
            <w:hideMark/>
          </w:tcPr>
          <w:p w14:paraId="125C4612"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b/>
                <w:bCs/>
                <w:color w:val="000000"/>
                <w:sz w:val="22"/>
                <w:szCs w:val="22"/>
                <w:lang w:val="sr-Latn-RS"/>
              </w:rPr>
              <w:t>Respiratorni, torakalni i medijastinalni poremećaji</w:t>
            </w:r>
          </w:p>
        </w:tc>
      </w:tr>
      <w:tr w:rsidR="00D857AC" w:rsidRPr="00234ECD" w14:paraId="61A52D22" w14:textId="77777777" w:rsidTr="000803EC">
        <w:trPr>
          <w:trHeight w:val="354"/>
        </w:trPr>
        <w:tc>
          <w:tcPr>
            <w:tcW w:w="2199" w:type="dxa"/>
            <w:tcBorders>
              <w:top w:val="single" w:sz="4" w:space="0" w:color="auto"/>
              <w:left w:val="single" w:sz="4" w:space="0" w:color="auto"/>
              <w:bottom w:val="single" w:sz="4" w:space="0" w:color="auto"/>
              <w:right w:val="single" w:sz="4" w:space="0" w:color="auto"/>
            </w:tcBorders>
            <w:hideMark/>
          </w:tcPr>
          <w:p w14:paraId="7DA82696" w14:textId="77777777" w:rsidR="00D857AC" w:rsidRPr="00234ECD" w:rsidRDefault="00D857AC" w:rsidP="00D857AC">
            <w:pPr>
              <w:autoSpaceDE w:val="0"/>
              <w:autoSpaceDN w:val="0"/>
              <w:adjustRightInd w:val="0"/>
              <w:rPr>
                <w:rFonts w:eastAsia="Calibri"/>
                <w:b/>
                <w:bCs/>
                <w:color w:val="000000"/>
                <w:sz w:val="22"/>
                <w:szCs w:val="22"/>
                <w:lang w:val="sr-Latn-RS"/>
              </w:rPr>
            </w:pPr>
            <w:r w:rsidRPr="00234ECD">
              <w:rPr>
                <w:rFonts w:eastAsia="Calibri"/>
                <w:color w:val="000000"/>
                <w:sz w:val="22"/>
                <w:szCs w:val="22"/>
                <w:lang w:val="sr-Latn-RS"/>
              </w:rPr>
              <w:t>Veoma često</w:t>
            </w:r>
          </w:p>
        </w:tc>
        <w:tc>
          <w:tcPr>
            <w:tcW w:w="7791" w:type="dxa"/>
            <w:tcBorders>
              <w:top w:val="single" w:sz="4" w:space="0" w:color="auto"/>
              <w:left w:val="single" w:sz="4" w:space="0" w:color="auto"/>
              <w:bottom w:val="single" w:sz="4" w:space="0" w:color="auto"/>
              <w:right w:val="single" w:sz="4" w:space="0" w:color="auto"/>
            </w:tcBorders>
            <w:hideMark/>
          </w:tcPr>
          <w:p w14:paraId="36DD44CD"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disfonija, dispneja, kašalj</w:t>
            </w:r>
          </w:p>
        </w:tc>
      </w:tr>
      <w:tr w:rsidR="00D857AC" w:rsidRPr="00234ECD" w14:paraId="3D1CD709" w14:textId="77777777" w:rsidTr="000803EC">
        <w:trPr>
          <w:trHeight w:val="354"/>
        </w:trPr>
        <w:tc>
          <w:tcPr>
            <w:tcW w:w="2199" w:type="dxa"/>
            <w:tcBorders>
              <w:top w:val="single" w:sz="4" w:space="0" w:color="auto"/>
              <w:left w:val="single" w:sz="4" w:space="0" w:color="auto"/>
              <w:bottom w:val="single" w:sz="4" w:space="0" w:color="auto"/>
              <w:right w:val="single" w:sz="4" w:space="0" w:color="auto"/>
            </w:tcBorders>
            <w:hideMark/>
          </w:tcPr>
          <w:p w14:paraId="18C16831" w14:textId="77777777" w:rsidR="00D857AC" w:rsidRPr="00234ECD" w:rsidRDefault="00D857AC" w:rsidP="00D857AC">
            <w:pPr>
              <w:autoSpaceDE w:val="0"/>
              <w:autoSpaceDN w:val="0"/>
              <w:adjustRightInd w:val="0"/>
              <w:rPr>
                <w:rFonts w:eastAsia="Calibri"/>
                <w:b/>
                <w:bCs/>
                <w:color w:val="000000"/>
                <w:sz w:val="22"/>
                <w:szCs w:val="22"/>
                <w:lang w:val="sr-Latn-RS"/>
              </w:rPr>
            </w:pPr>
            <w:r w:rsidRPr="00234ECD">
              <w:rPr>
                <w:rFonts w:eastAsia="Calibri"/>
                <w:color w:val="000000"/>
                <w:sz w:val="22"/>
                <w:szCs w:val="22"/>
                <w:lang w:val="sr-Latn-RS"/>
              </w:rPr>
              <w:t>Često</w:t>
            </w:r>
          </w:p>
        </w:tc>
        <w:tc>
          <w:tcPr>
            <w:tcW w:w="7791" w:type="dxa"/>
            <w:tcBorders>
              <w:top w:val="single" w:sz="4" w:space="0" w:color="auto"/>
              <w:left w:val="single" w:sz="4" w:space="0" w:color="auto"/>
              <w:bottom w:val="single" w:sz="4" w:space="0" w:color="auto"/>
              <w:right w:val="single" w:sz="4" w:space="0" w:color="auto"/>
            </w:tcBorders>
            <w:hideMark/>
          </w:tcPr>
          <w:p w14:paraId="4EC6D66C"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plućna embolija</w:t>
            </w:r>
          </w:p>
        </w:tc>
      </w:tr>
      <w:tr w:rsidR="001E1D73" w:rsidRPr="00234ECD" w14:paraId="2118AC18" w14:textId="77777777" w:rsidTr="000803EC">
        <w:trPr>
          <w:trHeight w:val="354"/>
        </w:trPr>
        <w:tc>
          <w:tcPr>
            <w:tcW w:w="2199" w:type="dxa"/>
            <w:tcBorders>
              <w:top w:val="single" w:sz="4" w:space="0" w:color="auto"/>
              <w:left w:val="single" w:sz="4" w:space="0" w:color="auto"/>
              <w:bottom w:val="single" w:sz="4" w:space="0" w:color="auto"/>
              <w:right w:val="single" w:sz="4" w:space="0" w:color="auto"/>
            </w:tcBorders>
          </w:tcPr>
          <w:p w14:paraId="058EA7B4" w14:textId="63DE169E" w:rsidR="001E1D73" w:rsidRPr="00234ECD" w:rsidRDefault="001E1D73"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Povremeno</w:t>
            </w:r>
          </w:p>
        </w:tc>
        <w:tc>
          <w:tcPr>
            <w:tcW w:w="7791" w:type="dxa"/>
            <w:tcBorders>
              <w:top w:val="single" w:sz="4" w:space="0" w:color="auto"/>
              <w:left w:val="single" w:sz="4" w:space="0" w:color="auto"/>
              <w:bottom w:val="single" w:sz="4" w:space="0" w:color="auto"/>
              <w:right w:val="single" w:sz="4" w:space="0" w:color="auto"/>
            </w:tcBorders>
          </w:tcPr>
          <w:p w14:paraId="4CC4485B" w14:textId="20305E82" w:rsidR="001E1D73" w:rsidRPr="00234ECD" w:rsidRDefault="001E1D73"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pneumotoraks</w:t>
            </w:r>
          </w:p>
        </w:tc>
      </w:tr>
      <w:tr w:rsidR="00D857AC" w:rsidRPr="00234ECD" w14:paraId="3728FC81" w14:textId="77777777" w:rsidTr="000803EC">
        <w:trPr>
          <w:trHeight w:val="342"/>
        </w:trPr>
        <w:tc>
          <w:tcPr>
            <w:tcW w:w="9990" w:type="dxa"/>
            <w:gridSpan w:val="2"/>
            <w:tcBorders>
              <w:top w:val="single" w:sz="4" w:space="0" w:color="auto"/>
              <w:left w:val="single" w:sz="4" w:space="0" w:color="auto"/>
              <w:bottom w:val="single" w:sz="4" w:space="0" w:color="auto"/>
              <w:right w:val="single" w:sz="4" w:space="0" w:color="auto"/>
            </w:tcBorders>
            <w:hideMark/>
          </w:tcPr>
          <w:p w14:paraId="16723A08"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b/>
                <w:bCs/>
                <w:color w:val="000000"/>
                <w:sz w:val="22"/>
                <w:szCs w:val="22"/>
                <w:lang w:val="sr-Latn-RS"/>
              </w:rPr>
              <w:t>Gastrointestinalni poremećaji</w:t>
            </w:r>
          </w:p>
        </w:tc>
      </w:tr>
      <w:tr w:rsidR="00D857AC" w:rsidRPr="00234ECD" w14:paraId="7231E0AA" w14:textId="77777777" w:rsidTr="000803EC">
        <w:trPr>
          <w:trHeight w:val="582"/>
        </w:trPr>
        <w:tc>
          <w:tcPr>
            <w:tcW w:w="2199" w:type="dxa"/>
            <w:tcBorders>
              <w:top w:val="single" w:sz="4" w:space="0" w:color="auto"/>
              <w:left w:val="single" w:sz="4" w:space="0" w:color="auto"/>
              <w:bottom w:val="single" w:sz="4" w:space="0" w:color="auto"/>
              <w:right w:val="single" w:sz="4" w:space="0" w:color="auto"/>
            </w:tcBorders>
            <w:hideMark/>
          </w:tcPr>
          <w:p w14:paraId="3A6BB229" w14:textId="77777777" w:rsidR="00D857AC" w:rsidRPr="00234ECD" w:rsidRDefault="00D857AC" w:rsidP="00D857AC">
            <w:pPr>
              <w:autoSpaceDE w:val="0"/>
              <w:autoSpaceDN w:val="0"/>
              <w:adjustRightInd w:val="0"/>
              <w:rPr>
                <w:rFonts w:eastAsia="Calibri"/>
                <w:b/>
                <w:bCs/>
                <w:color w:val="000000"/>
                <w:sz w:val="22"/>
                <w:szCs w:val="22"/>
                <w:lang w:val="sr-Latn-RS"/>
              </w:rPr>
            </w:pPr>
            <w:r w:rsidRPr="00234ECD">
              <w:rPr>
                <w:rFonts w:eastAsia="Calibri"/>
                <w:color w:val="000000"/>
                <w:sz w:val="22"/>
                <w:szCs w:val="22"/>
                <w:lang w:val="sr-Latn-RS"/>
              </w:rPr>
              <w:t>Veoma često</w:t>
            </w:r>
          </w:p>
        </w:tc>
        <w:tc>
          <w:tcPr>
            <w:tcW w:w="7791" w:type="dxa"/>
            <w:tcBorders>
              <w:top w:val="single" w:sz="4" w:space="0" w:color="auto"/>
              <w:left w:val="single" w:sz="4" w:space="0" w:color="auto"/>
              <w:bottom w:val="single" w:sz="4" w:space="0" w:color="auto"/>
              <w:right w:val="single" w:sz="4" w:space="0" w:color="auto"/>
            </w:tcBorders>
            <w:hideMark/>
          </w:tcPr>
          <w:p w14:paraId="509EABCE" w14:textId="2B6E2296"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dijareja*, mučnina, povraćanje, stomatitis, konstipacija, bol u abdomenu, dispepsija</w:t>
            </w:r>
          </w:p>
        </w:tc>
      </w:tr>
      <w:tr w:rsidR="00D857AC" w:rsidRPr="00234ECD" w14:paraId="6D07F220" w14:textId="77777777" w:rsidTr="000803EC">
        <w:trPr>
          <w:trHeight w:val="562"/>
        </w:trPr>
        <w:tc>
          <w:tcPr>
            <w:tcW w:w="2199" w:type="dxa"/>
            <w:tcBorders>
              <w:top w:val="single" w:sz="4" w:space="0" w:color="auto"/>
              <w:left w:val="single" w:sz="4" w:space="0" w:color="auto"/>
              <w:bottom w:val="single" w:sz="4" w:space="0" w:color="auto"/>
              <w:right w:val="single" w:sz="4" w:space="0" w:color="auto"/>
            </w:tcBorders>
            <w:hideMark/>
          </w:tcPr>
          <w:p w14:paraId="7E84C9FF"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Često</w:t>
            </w:r>
          </w:p>
        </w:tc>
        <w:tc>
          <w:tcPr>
            <w:tcW w:w="7791" w:type="dxa"/>
            <w:tcBorders>
              <w:top w:val="single" w:sz="4" w:space="0" w:color="auto"/>
              <w:left w:val="single" w:sz="4" w:space="0" w:color="auto"/>
              <w:bottom w:val="single" w:sz="4" w:space="0" w:color="auto"/>
              <w:right w:val="single" w:sz="4" w:space="0" w:color="auto"/>
            </w:tcBorders>
            <w:hideMark/>
          </w:tcPr>
          <w:p w14:paraId="47463FBC" w14:textId="45158719" w:rsidR="00D857AC" w:rsidRPr="00234ECD" w:rsidRDefault="00D857AC" w:rsidP="00D857AC">
            <w:pPr>
              <w:autoSpaceDE w:val="0"/>
              <w:autoSpaceDN w:val="0"/>
              <w:adjustRightInd w:val="0"/>
              <w:jc w:val="both"/>
              <w:rPr>
                <w:rFonts w:eastAsia="Calibri"/>
                <w:color w:val="000000"/>
                <w:sz w:val="22"/>
                <w:szCs w:val="22"/>
                <w:lang w:val="sr-Latn-RS"/>
              </w:rPr>
            </w:pPr>
            <w:r w:rsidRPr="00234ECD">
              <w:rPr>
                <w:rFonts w:eastAsia="Calibri"/>
                <w:color w:val="000000"/>
                <w:sz w:val="22"/>
                <w:szCs w:val="22"/>
                <w:lang w:val="sr-Latn-RS"/>
              </w:rPr>
              <w:t>gastrointestinalna perforacija*,</w:t>
            </w:r>
            <w:r w:rsidR="0022717B" w:rsidRPr="00234ECD">
              <w:rPr>
                <w:rFonts w:eastAsia="Calibri"/>
                <w:color w:val="000000"/>
                <w:sz w:val="22"/>
                <w:szCs w:val="22"/>
                <w:lang w:val="sr-Latn-RS"/>
              </w:rPr>
              <w:t xml:space="preserve"> pankreatitis,</w:t>
            </w:r>
            <w:r w:rsidRPr="00234ECD">
              <w:rPr>
                <w:rFonts w:eastAsia="Calibri"/>
                <w:color w:val="000000"/>
                <w:sz w:val="22"/>
                <w:szCs w:val="22"/>
                <w:lang w:val="sr-Latn-RS"/>
              </w:rPr>
              <w:t xml:space="preserve"> fistula*, gastroezofagealna refluksna bolest, hemoroidi, bol u ustima, suva usta, disfagija</w:t>
            </w:r>
          </w:p>
        </w:tc>
      </w:tr>
      <w:tr w:rsidR="00D857AC" w:rsidRPr="00234ECD" w14:paraId="7D1C795B" w14:textId="77777777" w:rsidTr="000803EC">
        <w:trPr>
          <w:trHeight w:val="272"/>
        </w:trPr>
        <w:tc>
          <w:tcPr>
            <w:tcW w:w="2199" w:type="dxa"/>
            <w:tcBorders>
              <w:top w:val="single" w:sz="4" w:space="0" w:color="auto"/>
              <w:left w:val="single" w:sz="4" w:space="0" w:color="auto"/>
              <w:bottom w:val="single" w:sz="4" w:space="0" w:color="auto"/>
              <w:right w:val="single" w:sz="4" w:space="0" w:color="auto"/>
            </w:tcBorders>
            <w:hideMark/>
          </w:tcPr>
          <w:p w14:paraId="64E0A5DE"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Povremeno</w:t>
            </w:r>
          </w:p>
        </w:tc>
        <w:tc>
          <w:tcPr>
            <w:tcW w:w="7791" w:type="dxa"/>
            <w:tcBorders>
              <w:top w:val="single" w:sz="4" w:space="0" w:color="auto"/>
              <w:left w:val="single" w:sz="4" w:space="0" w:color="auto"/>
              <w:bottom w:val="single" w:sz="4" w:space="0" w:color="auto"/>
              <w:right w:val="single" w:sz="4" w:space="0" w:color="auto"/>
            </w:tcBorders>
            <w:hideMark/>
          </w:tcPr>
          <w:p w14:paraId="19481363" w14:textId="0B53C700" w:rsidR="00D857AC" w:rsidRPr="00234ECD" w:rsidRDefault="0022717B"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glosodinija</w:t>
            </w:r>
          </w:p>
        </w:tc>
      </w:tr>
      <w:tr w:rsidR="00D857AC" w:rsidRPr="00234ECD" w14:paraId="6C367BA8" w14:textId="77777777" w:rsidTr="000803EC">
        <w:trPr>
          <w:trHeight w:val="100"/>
        </w:trPr>
        <w:tc>
          <w:tcPr>
            <w:tcW w:w="9990" w:type="dxa"/>
            <w:gridSpan w:val="2"/>
            <w:tcBorders>
              <w:top w:val="single" w:sz="4" w:space="0" w:color="auto"/>
              <w:left w:val="single" w:sz="4" w:space="0" w:color="auto"/>
              <w:bottom w:val="single" w:sz="4" w:space="0" w:color="auto"/>
              <w:right w:val="single" w:sz="4" w:space="0" w:color="auto"/>
            </w:tcBorders>
            <w:hideMark/>
          </w:tcPr>
          <w:p w14:paraId="48688155"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b/>
                <w:bCs/>
                <w:color w:val="000000"/>
                <w:sz w:val="22"/>
                <w:szCs w:val="22"/>
                <w:lang w:val="sr-Latn-RS"/>
              </w:rPr>
              <w:t>Hepatobilijarni poremećaji</w:t>
            </w:r>
          </w:p>
        </w:tc>
      </w:tr>
      <w:tr w:rsidR="00D857AC" w:rsidRPr="00234ECD" w14:paraId="5BE673B0" w14:textId="77777777" w:rsidTr="000803EC">
        <w:trPr>
          <w:trHeight w:val="100"/>
        </w:trPr>
        <w:tc>
          <w:tcPr>
            <w:tcW w:w="2199" w:type="dxa"/>
            <w:tcBorders>
              <w:top w:val="single" w:sz="4" w:space="0" w:color="auto"/>
              <w:left w:val="single" w:sz="4" w:space="0" w:color="auto"/>
              <w:bottom w:val="single" w:sz="4" w:space="0" w:color="auto"/>
              <w:right w:val="single" w:sz="4" w:space="0" w:color="auto"/>
            </w:tcBorders>
            <w:hideMark/>
          </w:tcPr>
          <w:p w14:paraId="0132DDD0" w14:textId="77777777" w:rsidR="00D857AC" w:rsidRPr="00234ECD" w:rsidRDefault="00D857AC" w:rsidP="00D857AC">
            <w:pPr>
              <w:autoSpaceDE w:val="0"/>
              <w:autoSpaceDN w:val="0"/>
              <w:adjustRightInd w:val="0"/>
              <w:rPr>
                <w:rFonts w:eastAsia="Calibri"/>
                <w:b/>
                <w:bCs/>
                <w:color w:val="000000"/>
                <w:sz w:val="22"/>
                <w:szCs w:val="22"/>
                <w:lang w:val="sr-Latn-RS"/>
              </w:rPr>
            </w:pPr>
            <w:r w:rsidRPr="00234ECD">
              <w:rPr>
                <w:rFonts w:eastAsia="Calibri"/>
                <w:color w:val="000000"/>
                <w:sz w:val="22"/>
                <w:szCs w:val="22"/>
                <w:lang w:val="sr-Latn-RS"/>
              </w:rPr>
              <w:t>Često</w:t>
            </w:r>
          </w:p>
        </w:tc>
        <w:tc>
          <w:tcPr>
            <w:tcW w:w="7791" w:type="dxa"/>
            <w:tcBorders>
              <w:top w:val="single" w:sz="4" w:space="0" w:color="auto"/>
              <w:left w:val="single" w:sz="4" w:space="0" w:color="auto"/>
              <w:bottom w:val="single" w:sz="4" w:space="0" w:color="auto"/>
              <w:right w:val="single" w:sz="4" w:space="0" w:color="auto"/>
            </w:tcBorders>
            <w:hideMark/>
          </w:tcPr>
          <w:p w14:paraId="177418C1" w14:textId="1BFA5318"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hepatič</w:t>
            </w:r>
            <w:r w:rsidR="00EA2A91" w:rsidRPr="00234ECD">
              <w:rPr>
                <w:rFonts w:eastAsia="Calibri"/>
                <w:color w:val="000000"/>
                <w:sz w:val="22"/>
                <w:szCs w:val="22"/>
                <w:lang w:val="sr-Latn-RS"/>
              </w:rPr>
              <w:t>k</w:t>
            </w:r>
            <w:r w:rsidRPr="00234ECD">
              <w:rPr>
                <w:rFonts w:eastAsia="Calibri"/>
                <w:color w:val="000000"/>
                <w:sz w:val="22"/>
                <w:szCs w:val="22"/>
                <w:lang w:val="sr-Latn-RS"/>
              </w:rPr>
              <w:t>a encefalopatija*</w:t>
            </w:r>
          </w:p>
        </w:tc>
      </w:tr>
      <w:tr w:rsidR="00D857AC" w:rsidRPr="00234ECD" w14:paraId="4F9353BD" w14:textId="77777777" w:rsidTr="000803EC">
        <w:trPr>
          <w:trHeight w:val="100"/>
        </w:trPr>
        <w:tc>
          <w:tcPr>
            <w:tcW w:w="2199" w:type="dxa"/>
            <w:tcBorders>
              <w:top w:val="single" w:sz="4" w:space="0" w:color="auto"/>
              <w:left w:val="single" w:sz="4" w:space="0" w:color="auto"/>
              <w:bottom w:val="single" w:sz="4" w:space="0" w:color="auto"/>
              <w:right w:val="single" w:sz="4" w:space="0" w:color="auto"/>
            </w:tcBorders>
            <w:hideMark/>
          </w:tcPr>
          <w:p w14:paraId="32F10888" w14:textId="77777777" w:rsidR="00D857AC" w:rsidRPr="00234ECD" w:rsidRDefault="00D857AC" w:rsidP="00D857AC">
            <w:pPr>
              <w:autoSpaceDE w:val="0"/>
              <w:autoSpaceDN w:val="0"/>
              <w:adjustRightInd w:val="0"/>
              <w:rPr>
                <w:rFonts w:eastAsia="Calibri"/>
                <w:b/>
                <w:bCs/>
                <w:color w:val="000000"/>
                <w:sz w:val="22"/>
                <w:szCs w:val="22"/>
                <w:lang w:val="sr-Latn-RS"/>
              </w:rPr>
            </w:pPr>
            <w:r w:rsidRPr="00234ECD">
              <w:rPr>
                <w:rFonts w:eastAsia="Calibri"/>
                <w:color w:val="000000"/>
                <w:sz w:val="22"/>
                <w:szCs w:val="22"/>
                <w:lang w:val="sr-Latn-RS"/>
              </w:rPr>
              <w:t>Povremeno</w:t>
            </w:r>
          </w:p>
        </w:tc>
        <w:tc>
          <w:tcPr>
            <w:tcW w:w="7791" w:type="dxa"/>
            <w:tcBorders>
              <w:top w:val="single" w:sz="4" w:space="0" w:color="auto"/>
              <w:left w:val="single" w:sz="4" w:space="0" w:color="auto"/>
              <w:bottom w:val="single" w:sz="4" w:space="0" w:color="auto"/>
              <w:right w:val="single" w:sz="4" w:space="0" w:color="auto"/>
            </w:tcBorders>
            <w:hideMark/>
          </w:tcPr>
          <w:p w14:paraId="63E1269D"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holestatski hepatitis</w:t>
            </w:r>
          </w:p>
        </w:tc>
      </w:tr>
      <w:tr w:rsidR="00D857AC" w:rsidRPr="00234ECD" w14:paraId="42733CF5" w14:textId="77777777" w:rsidTr="000803EC">
        <w:trPr>
          <w:trHeight w:val="263"/>
        </w:trPr>
        <w:tc>
          <w:tcPr>
            <w:tcW w:w="9990" w:type="dxa"/>
            <w:gridSpan w:val="2"/>
            <w:tcBorders>
              <w:top w:val="single" w:sz="4" w:space="0" w:color="auto"/>
              <w:left w:val="single" w:sz="4" w:space="0" w:color="auto"/>
              <w:bottom w:val="single" w:sz="4" w:space="0" w:color="auto"/>
              <w:right w:val="single" w:sz="4" w:space="0" w:color="auto"/>
            </w:tcBorders>
            <w:hideMark/>
          </w:tcPr>
          <w:p w14:paraId="6200596B"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b/>
                <w:bCs/>
                <w:color w:val="000000"/>
                <w:sz w:val="22"/>
                <w:szCs w:val="22"/>
                <w:lang w:val="sr-Latn-RS"/>
              </w:rPr>
              <w:t xml:space="preserve">Poremećaji kože i potkožnog tkiva </w:t>
            </w:r>
          </w:p>
        </w:tc>
      </w:tr>
      <w:tr w:rsidR="00D857AC" w:rsidRPr="00234ECD" w14:paraId="7FD37058" w14:textId="77777777" w:rsidTr="000803EC">
        <w:trPr>
          <w:trHeight w:val="239"/>
        </w:trPr>
        <w:tc>
          <w:tcPr>
            <w:tcW w:w="2199" w:type="dxa"/>
            <w:tcBorders>
              <w:top w:val="single" w:sz="4" w:space="0" w:color="auto"/>
              <w:left w:val="single" w:sz="4" w:space="0" w:color="auto"/>
              <w:bottom w:val="single" w:sz="4" w:space="0" w:color="auto"/>
              <w:right w:val="single" w:sz="4" w:space="0" w:color="auto"/>
            </w:tcBorders>
            <w:hideMark/>
          </w:tcPr>
          <w:p w14:paraId="59F649BC" w14:textId="77777777" w:rsidR="00D857AC" w:rsidRPr="00234ECD" w:rsidRDefault="00D857AC" w:rsidP="00D857AC">
            <w:pPr>
              <w:autoSpaceDE w:val="0"/>
              <w:autoSpaceDN w:val="0"/>
              <w:adjustRightInd w:val="0"/>
              <w:rPr>
                <w:rFonts w:eastAsia="Calibri"/>
                <w:b/>
                <w:bCs/>
                <w:color w:val="000000"/>
                <w:sz w:val="22"/>
                <w:szCs w:val="22"/>
                <w:lang w:val="sr-Latn-RS"/>
              </w:rPr>
            </w:pPr>
            <w:r w:rsidRPr="00234ECD">
              <w:rPr>
                <w:rFonts w:eastAsia="Calibri"/>
                <w:color w:val="000000"/>
                <w:sz w:val="22"/>
                <w:szCs w:val="22"/>
                <w:lang w:val="sr-Latn-RS"/>
              </w:rPr>
              <w:t>Veoma često</w:t>
            </w:r>
          </w:p>
        </w:tc>
        <w:tc>
          <w:tcPr>
            <w:tcW w:w="7791" w:type="dxa"/>
            <w:tcBorders>
              <w:top w:val="single" w:sz="4" w:space="0" w:color="auto"/>
              <w:left w:val="single" w:sz="4" w:space="0" w:color="auto"/>
              <w:bottom w:val="single" w:sz="4" w:space="0" w:color="auto"/>
              <w:right w:val="single" w:sz="4" w:space="0" w:color="auto"/>
            </w:tcBorders>
            <w:hideMark/>
          </w:tcPr>
          <w:p w14:paraId="58779D1E"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sindrom palmarno-plantarne eritrodizestezije, osip</w:t>
            </w:r>
          </w:p>
        </w:tc>
      </w:tr>
      <w:tr w:rsidR="00D857AC" w:rsidRPr="00234ECD" w14:paraId="6794C3C6" w14:textId="77777777" w:rsidTr="000803EC">
        <w:trPr>
          <w:trHeight w:val="526"/>
        </w:trPr>
        <w:tc>
          <w:tcPr>
            <w:tcW w:w="2199" w:type="dxa"/>
            <w:tcBorders>
              <w:top w:val="single" w:sz="4" w:space="0" w:color="auto"/>
              <w:left w:val="single" w:sz="4" w:space="0" w:color="auto"/>
              <w:bottom w:val="single" w:sz="4" w:space="0" w:color="auto"/>
              <w:right w:val="single" w:sz="4" w:space="0" w:color="auto"/>
            </w:tcBorders>
            <w:hideMark/>
          </w:tcPr>
          <w:p w14:paraId="6D89E81C"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Često</w:t>
            </w:r>
          </w:p>
        </w:tc>
        <w:tc>
          <w:tcPr>
            <w:tcW w:w="7791" w:type="dxa"/>
            <w:tcBorders>
              <w:top w:val="single" w:sz="4" w:space="0" w:color="auto"/>
              <w:left w:val="single" w:sz="4" w:space="0" w:color="auto"/>
              <w:bottom w:val="single" w:sz="4" w:space="0" w:color="auto"/>
              <w:right w:val="single" w:sz="4" w:space="0" w:color="auto"/>
            </w:tcBorders>
            <w:hideMark/>
          </w:tcPr>
          <w:p w14:paraId="5E9A7C05" w14:textId="0007A895"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pruritus, alopecija, suva koža, akneiformni dermatitis, prom</w:t>
            </w:r>
            <w:r w:rsidR="000A3929" w:rsidRPr="00234ECD">
              <w:rPr>
                <w:rFonts w:eastAsia="Calibri"/>
                <w:color w:val="000000"/>
                <w:sz w:val="22"/>
                <w:szCs w:val="22"/>
                <w:lang w:val="sr-Latn-RS"/>
              </w:rPr>
              <w:t>j</w:t>
            </w:r>
            <w:r w:rsidRPr="00234ECD">
              <w:rPr>
                <w:rFonts w:eastAsia="Calibri"/>
                <w:color w:val="000000"/>
                <w:sz w:val="22"/>
                <w:szCs w:val="22"/>
                <w:lang w:val="sr-Latn-RS"/>
              </w:rPr>
              <w:t>ena boje kose, hiperkeratoza, eritem</w:t>
            </w:r>
          </w:p>
        </w:tc>
      </w:tr>
      <w:tr w:rsidR="00751DE7" w:rsidRPr="00234ECD" w14:paraId="3DD1A2FD" w14:textId="77777777" w:rsidTr="000803EC">
        <w:trPr>
          <w:trHeight w:val="358"/>
        </w:trPr>
        <w:tc>
          <w:tcPr>
            <w:tcW w:w="2199" w:type="dxa"/>
            <w:tcBorders>
              <w:top w:val="single" w:sz="4" w:space="0" w:color="auto"/>
              <w:left w:val="single" w:sz="4" w:space="0" w:color="auto"/>
              <w:bottom w:val="single" w:sz="4" w:space="0" w:color="auto"/>
              <w:right w:val="single" w:sz="4" w:space="0" w:color="auto"/>
            </w:tcBorders>
          </w:tcPr>
          <w:p w14:paraId="09746D4D" w14:textId="1F95E016" w:rsidR="00751DE7" w:rsidRPr="00234ECD" w:rsidRDefault="00751DE7"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Nepoznato</w:t>
            </w:r>
          </w:p>
        </w:tc>
        <w:tc>
          <w:tcPr>
            <w:tcW w:w="7791" w:type="dxa"/>
            <w:tcBorders>
              <w:top w:val="single" w:sz="4" w:space="0" w:color="auto"/>
              <w:left w:val="single" w:sz="4" w:space="0" w:color="auto"/>
              <w:bottom w:val="single" w:sz="4" w:space="0" w:color="auto"/>
              <w:right w:val="single" w:sz="4" w:space="0" w:color="auto"/>
            </w:tcBorders>
          </w:tcPr>
          <w:p w14:paraId="5291C8D0" w14:textId="6A31D259" w:rsidR="00751DE7" w:rsidRPr="00234ECD" w:rsidRDefault="00751DE7"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kožni vaskulitis</w:t>
            </w:r>
          </w:p>
        </w:tc>
      </w:tr>
      <w:tr w:rsidR="00D857AC" w:rsidRPr="00234ECD" w14:paraId="72C1EDD3" w14:textId="77777777" w:rsidTr="000803EC">
        <w:trPr>
          <w:trHeight w:val="354"/>
        </w:trPr>
        <w:tc>
          <w:tcPr>
            <w:tcW w:w="9990" w:type="dxa"/>
            <w:gridSpan w:val="2"/>
            <w:tcBorders>
              <w:top w:val="single" w:sz="4" w:space="0" w:color="auto"/>
              <w:left w:val="single" w:sz="4" w:space="0" w:color="auto"/>
              <w:bottom w:val="single" w:sz="4" w:space="0" w:color="auto"/>
              <w:right w:val="single" w:sz="4" w:space="0" w:color="auto"/>
            </w:tcBorders>
            <w:hideMark/>
          </w:tcPr>
          <w:p w14:paraId="51277BB7"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b/>
                <w:bCs/>
                <w:color w:val="000000"/>
                <w:sz w:val="22"/>
                <w:szCs w:val="22"/>
                <w:lang w:val="sr-Latn-RS"/>
              </w:rPr>
              <w:t>Poremećaji mišićno-koštanog sistema i vezivnog tkiva</w:t>
            </w:r>
          </w:p>
        </w:tc>
      </w:tr>
      <w:tr w:rsidR="00D857AC" w:rsidRPr="00234ECD" w14:paraId="5C6B81AA" w14:textId="77777777" w:rsidTr="000803EC">
        <w:trPr>
          <w:trHeight w:val="354"/>
        </w:trPr>
        <w:tc>
          <w:tcPr>
            <w:tcW w:w="2199" w:type="dxa"/>
            <w:tcBorders>
              <w:top w:val="single" w:sz="4" w:space="0" w:color="auto"/>
              <w:left w:val="single" w:sz="4" w:space="0" w:color="auto"/>
              <w:bottom w:val="single" w:sz="4" w:space="0" w:color="auto"/>
              <w:right w:val="single" w:sz="4" w:space="0" w:color="auto"/>
            </w:tcBorders>
            <w:hideMark/>
          </w:tcPr>
          <w:p w14:paraId="14CDA965" w14:textId="77777777" w:rsidR="00D857AC" w:rsidRPr="00234ECD" w:rsidRDefault="00D857AC" w:rsidP="00D857AC">
            <w:pPr>
              <w:autoSpaceDE w:val="0"/>
              <w:autoSpaceDN w:val="0"/>
              <w:adjustRightInd w:val="0"/>
              <w:rPr>
                <w:rFonts w:eastAsia="Calibri"/>
                <w:b/>
                <w:bCs/>
                <w:color w:val="000000"/>
                <w:sz w:val="22"/>
                <w:szCs w:val="22"/>
                <w:lang w:val="sr-Latn-RS"/>
              </w:rPr>
            </w:pPr>
            <w:r w:rsidRPr="00234ECD">
              <w:rPr>
                <w:rFonts w:eastAsia="Calibri"/>
                <w:color w:val="000000"/>
                <w:sz w:val="22"/>
                <w:szCs w:val="22"/>
                <w:lang w:val="sr-Latn-RS"/>
              </w:rPr>
              <w:t>Veoma često</w:t>
            </w:r>
          </w:p>
        </w:tc>
        <w:tc>
          <w:tcPr>
            <w:tcW w:w="7791" w:type="dxa"/>
            <w:tcBorders>
              <w:top w:val="single" w:sz="4" w:space="0" w:color="auto"/>
              <w:left w:val="single" w:sz="4" w:space="0" w:color="auto"/>
              <w:bottom w:val="single" w:sz="4" w:space="0" w:color="auto"/>
              <w:right w:val="single" w:sz="4" w:space="0" w:color="auto"/>
            </w:tcBorders>
            <w:hideMark/>
          </w:tcPr>
          <w:p w14:paraId="30E85757"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bol u ekstremitetima</w:t>
            </w:r>
          </w:p>
        </w:tc>
      </w:tr>
      <w:tr w:rsidR="00D857AC" w:rsidRPr="00234ECD" w14:paraId="3CD73C8C" w14:textId="77777777" w:rsidTr="000803EC">
        <w:trPr>
          <w:trHeight w:val="354"/>
        </w:trPr>
        <w:tc>
          <w:tcPr>
            <w:tcW w:w="2199" w:type="dxa"/>
            <w:tcBorders>
              <w:top w:val="single" w:sz="4" w:space="0" w:color="auto"/>
              <w:left w:val="single" w:sz="4" w:space="0" w:color="auto"/>
              <w:bottom w:val="single" w:sz="4" w:space="0" w:color="auto"/>
              <w:right w:val="single" w:sz="4" w:space="0" w:color="auto"/>
            </w:tcBorders>
            <w:hideMark/>
          </w:tcPr>
          <w:p w14:paraId="235A4787"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Često</w:t>
            </w:r>
          </w:p>
        </w:tc>
        <w:tc>
          <w:tcPr>
            <w:tcW w:w="7791" w:type="dxa"/>
            <w:tcBorders>
              <w:top w:val="single" w:sz="4" w:space="0" w:color="auto"/>
              <w:left w:val="single" w:sz="4" w:space="0" w:color="auto"/>
              <w:bottom w:val="single" w:sz="4" w:space="0" w:color="auto"/>
              <w:right w:val="single" w:sz="4" w:space="0" w:color="auto"/>
            </w:tcBorders>
            <w:hideMark/>
          </w:tcPr>
          <w:p w14:paraId="5976C7AE"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spazam mišića, artralgija</w:t>
            </w:r>
          </w:p>
        </w:tc>
      </w:tr>
      <w:tr w:rsidR="00D857AC" w:rsidRPr="00234ECD" w14:paraId="3EC54805" w14:textId="77777777" w:rsidTr="000803EC">
        <w:trPr>
          <w:trHeight w:val="354"/>
        </w:trPr>
        <w:tc>
          <w:tcPr>
            <w:tcW w:w="2199" w:type="dxa"/>
            <w:tcBorders>
              <w:top w:val="single" w:sz="4" w:space="0" w:color="auto"/>
              <w:left w:val="single" w:sz="4" w:space="0" w:color="auto"/>
              <w:bottom w:val="single" w:sz="4" w:space="0" w:color="auto"/>
              <w:right w:val="single" w:sz="4" w:space="0" w:color="auto"/>
            </w:tcBorders>
            <w:hideMark/>
          </w:tcPr>
          <w:p w14:paraId="283A94A3"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Povremeno</w:t>
            </w:r>
          </w:p>
        </w:tc>
        <w:tc>
          <w:tcPr>
            <w:tcW w:w="7791" w:type="dxa"/>
            <w:tcBorders>
              <w:top w:val="single" w:sz="4" w:space="0" w:color="auto"/>
              <w:left w:val="single" w:sz="4" w:space="0" w:color="auto"/>
              <w:bottom w:val="single" w:sz="4" w:space="0" w:color="auto"/>
              <w:right w:val="single" w:sz="4" w:space="0" w:color="auto"/>
            </w:tcBorders>
            <w:hideMark/>
          </w:tcPr>
          <w:p w14:paraId="6A64F985"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osteonekroza vilice</w:t>
            </w:r>
          </w:p>
        </w:tc>
      </w:tr>
      <w:tr w:rsidR="00D857AC" w:rsidRPr="00234ECD" w14:paraId="1B92136E" w14:textId="77777777" w:rsidTr="000803EC">
        <w:trPr>
          <w:trHeight w:val="228"/>
        </w:trPr>
        <w:tc>
          <w:tcPr>
            <w:tcW w:w="9990" w:type="dxa"/>
            <w:gridSpan w:val="2"/>
            <w:tcBorders>
              <w:top w:val="single" w:sz="4" w:space="0" w:color="auto"/>
              <w:left w:val="single" w:sz="4" w:space="0" w:color="auto"/>
              <w:bottom w:val="single" w:sz="4" w:space="0" w:color="auto"/>
              <w:right w:val="single" w:sz="4" w:space="0" w:color="auto"/>
            </w:tcBorders>
            <w:hideMark/>
          </w:tcPr>
          <w:p w14:paraId="3168C674"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b/>
                <w:bCs/>
                <w:color w:val="000000"/>
                <w:sz w:val="22"/>
                <w:szCs w:val="22"/>
                <w:lang w:val="sr-Latn-RS"/>
              </w:rPr>
              <w:t xml:space="preserve">Poremećaji bubrega i urinarnog sistema </w:t>
            </w:r>
          </w:p>
        </w:tc>
      </w:tr>
      <w:tr w:rsidR="00D857AC" w:rsidRPr="00234ECD" w14:paraId="0DFAD879" w14:textId="77777777" w:rsidTr="000803EC">
        <w:trPr>
          <w:trHeight w:val="228"/>
        </w:trPr>
        <w:tc>
          <w:tcPr>
            <w:tcW w:w="2199" w:type="dxa"/>
            <w:tcBorders>
              <w:top w:val="single" w:sz="4" w:space="0" w:color="auto"/>
              <w:left w:val="single" w:sz="4" w:space="0" w:color="auto"/>
              <w:bottom w:val="single" w:sz="4" w:space="0" w:color="auto"/>
              <w:right w:val="single" w:sz="4" w:space="0" w:color="auto"/>
            </w:tcBorders>
            <w:hideMark/>
          </w:tcPr>
          <w:p w14:paraId="4E001AC8" w14:textId="77777777" w:rsidR="00D857AC" w:rsidRPr="00234ECD" w:rsidRDefault="00D857AC" w:rsidP="00D857AC">
            <w:pPr>
              <w:autoSpaceDE w:val="0"/>
              <w:autoSpaceDN w:val="0"/>
              <w:adjustRightInd w:val="0"/>
              <w:rPr>
                <w:rFonts w:eastAsia="Calibri"/>
                <w:b/>
                <w:bCs/>
                <w:color w:val="000000"/>
                <w:sz w:val="22"/>
                <w:szCs w:val="22"/>
                <w:lang w:val="sr-Latn-RS"/>
              </w:rPr>
            </w:pPr>
            <w:r w:rsidRPr="00234ECD">
              <w:rPr>
                <w:rFonts w:eastAsia="Calibri"/>
                <w:color w:val="000000"/>
                <w:sz w:val="22"/>
                <w:szCs w:val="22"/>
                <w:lang w:val="sr-Latn-RS"/>
              </w:rPr>
              <w:t>Često</w:t>
            </w:r>
          </w:p>
        </w:tc>
        <w:tc>
          <w:tcPr>
            <w:tcW w:w="7791" w:type="dxa"/>
            <w:tcBorders>
              <w:top w:val="single" w:sz="4" w:space="0" w:color="auto"/>
              <w:left w:val="single" w:sz="4" w:space="0" w:color="auto"/>
              <w:bottom w:val="single" w:sz="4" w:space="0" w:color="auto"/>
              <w:right w:val="single" w:sz="4" w:space="0" w:color="auto"/>
            </w:tcBorders>
            <w:hideMark/>
          </w:tcPr>
          <w:p w14:paraId="751050DB"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proteinurija</w:t>
            </w:r>
          </w:p>
        </w:tc>
      </w:tr>
      <w:tr w:rsidR="00D857AC" w:rsidRPr="00234ECD" w14:paraId="5DE15B68" w14:textId="77777777" w:rsidTr="000803EC">
        <w:trPr>
          <w:trHeight w:val="354"/>
        </w:trPr>
        <w:tc>
          <w:tcPr>
            <w:tcW w:w="9990" w:type="dxa"/>
            <w:gridSpan w:val="2"/>
            <w:tcBorders>
              <w:top w:val="single" w:sz="4" w:space="0" w:color="auto"/>
              <w:left w:val="single" w:sz="4" w:space="0" w:color="auto"/>
              <w:bottom w:val="single" w:sz="4" w:space="0" w:color="auto"/>
              <w:right w:val="single" w:sz="4" w:space="0" w:color="auto"/>
            </w:tcBorders>
            <w:hideMark/>
          </w:tcPr>
          <w:p w14:paraId="6B4F579F" w14:textId="2BC7E374"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b/>
                <w:bCs/>
                <w:color w:val="000000"/>
                <w:sz w:val="22"/>
                <w:szCs w:val="22"/>
                <w:lang w:val="sr-Latn-RS"/>
              </w:rPr>
              <w:t>Opšti poremećaji i reakcije na m</w:t>
            </w:r>
            <w:r w:rsidR="000A3929" w:rsidRPr="00234ECD">
              <w:rPr>
                <w:rFonts w:eastAsia="Calibri"/>
                <w:b/>
                <w:bCs/>
                <w:color w:val="000000"/>
                <w:sz w:val="22"/>
                <w:szCs w:val="22"/>
                <w:lang w:val="sr-Latn-RS"/>
              </w:rPr>
              <w:t>j</w:t>
            </w:r>
            <w:r w:rsidRPr="00234ECD">
              <w:rPr>
                <w:rFonts w:eastAsia="Calibri"/>
                <w:b/>
                <w:bCs/>
                <w:color w:val="000000"/>
                <w:sz w:val="22"/>
                <w:szCs w:val="22"/>
                <w:lang w:val="sr-Latn-RS"/>
              </w:rPr>
              <w:t>estu prim</w:t>
            </w:r>
            <w:r w:rsidR="000A3929" w:rsidRPr="00234ECD">
              <w:rPr>
                <w:rFonts w:eastAsia="Calibri"/>
                <w:b/>
                <w:bCs/>
                <w:color w:val="000000"/>
                <w:sz w:val="22"/>
                <w:szCs w:val="22"/>
                <w:lang w:val="sr-Latn-RS"/>
              </w:rPr>
              <w:t>j</w:t>
            </w:r>
            <w:r w:rsidRPr="00234ECD">
              <w:rPr>
                <w:rFonts w:eastAsia="Calibri"/>
                <w:b/>
                <w:bCs/>
                <w:color w:val="000000"/>
                <w:sz w:val="22"/>
                <w:szCs w:val="22"/>
                <w:lang w:val="sr-Latn-RS"/>
              </w:rPr>
              <w:t xml:space="preserve">ene </w:t>
            </w:r>
          </w:p>
        </w:tc>
      </w:tr>
      <w:tr w:rsidR="00D857AC" w:rsidRPr="00234ECD" w14:paraId="53996D48" w14:textId="77777777" w:rsidTr="000803EC">
        <w:trPr>
          <w:trHeight w:val="354"/>
        </w:trPr>
        <w:tc>
          <w:tcPr>
            <w:tcW w:w="2199" w:type="dxa"/>
            <w:tcBorders>
              <w:top w:val="single" w:sz="4" w:space="0" w:color="auto"/>
              <w:left w:val="single" w:sz="4" w:space="0" w:color="auto"/>
              <w:bottom w:val="single" w:sz="4" w:space="0" w:color="auto"/>
              <w:right w:val="single" w:sz="4" w:space="0" w:color="auto"/>
            </w:tcBorders>
            <w:hideMark/>
          </w:tcPr>
          <w:p w14:paraId="297C8D4F" w14:textId="77777777" w:rsidR="00D857AC" w:rsidRPr="00234ECD" w:rsidRDefault="00D857AC" w:rsidP="00D857AC">
            <w:pPr>
              <w:autoSpaceDE w:val="0"/>
              <w:autoSpaceDN w:val="0"/>
              <w:adjustRightInd w:val="0"/>
              <w:rPr>
                <w:rFonts w:eastAsia="Calibri"/>
                <w:b/>
                <w:bCs/>
                <w:color w:val="000000"/>
                <w:sz w:val="22"/>
                <w:szCs w:val="22"/>
                <w:lang w:val="sr-Latn-RS"/>
              </w:rPr>
            </w:pPr>
            <w:r w:rsidRPr="00234ECD">
              <w:rPr>
                <w:rFonts w:eastAsia="Calibri"/>
                <w:color w:val="000000"/>
                <w:sz w:val="22"/>
                <w:szCs w:val="22"/>
                <w:lang w:val="sr-Latn-RS"/>
              </w:rPr>
              <w:t>Veoma često</w:t>
            </w:r>
          </w:p>
        </w:tc>
        <w:tc>
          <w:tcPr>
            <w:tcW w:w="7791" w:type="dxa"/>
            <w:tcBorders>
              <w:top w:val="single" w:sz="4" w:space="0" w:color="auto"/>
              <w:left w:val="single" w:sz="4" w:space="0" w:color="auto"/>
              <w:bottom w:val="single" w:sz="4" w:space="0" w:color="auto"/>
              <w:right w:val="single" w:sz="4" w:space="0" w:color="auto"/>
            </w:tcBorders>
            <w:hideMark/>
          </w:tcPr>
          <w:p w14:paraId="2A45D216"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umor, upala sluzokože, astenija, periferni edem</w:t>
            </w:r>
          </w:p>
        </w:tc>
      </w:tr>
      <w:tr w:rsidR="00D857AC" w:rsidRPr="00234ECD" w14:paraId="346E8BD5" w14:textId="77777777" w:rsidTr="000803EC">
        <w:trPr>
          <w:trHeight w:val="238"/>
        </w:trPr>
        <w:tc>
          <w:tcPr>
            <w:tcW w:w="9990" w:type="dxa"/>
            <w:gridSpan w:val="2"/>
            <w:tcBorders>
              <w:top w:val="single" w:sz="4" w:space="0" w:color="auto"/>
              <w:left w:val="single" w:sz="4" w:space="0" w:color="auto"/>
              <w:bottom w:val="single" w:sz="4" w:space="0" w:color="auto"/>
              <w:right w:val="single" w:sz="4" w:space="0" w:color="auto"/>
            </w:tcBorders>
            <w:hideMark/>
          </w:tcPr>
          <w:p w14:paraId="40025473"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b/>
                <w:bCs/>
                <w:color w:val="000000"/>
                <w:sz w:val="22"/>
                <w:szCs w:val="22"/>
                <w:lang w:val="sr-Latn-RS"/>
              </w:rPr>
              <w:t>Ispitivanja</w:t>
            </w:r>
            <w:r w:rsidRPr="00234ECD">
              <w:rPr>
                <w:rFonts w:eastAsia="Calibri"/>
                <w:b/>
                <w:bCs/>
                <w:color w:val="000000"/>
                <w:sz w:val="22"/>
                <w:szCs w:val="22"/>
                <w:vertAlign w:val="superscript"/>
                <w:lang w:val="sr-Latn-RS"/>
              </w:rPr>
              <w:t>a</w:t>
            </w:r>
            <w:r w:rsidRPr="00234ECD">
              <w:rPr>
                <w:rFonts w:eastAsia="Calibri"/>
                <w:b/>
                <w:bCs/>
                <w:color w:val="000000"/>
                <w:sz w:val="22"/>
                <w:szCs w:val="22"/>
                <w:lang w:val="sr-Latn-RS"/>
              </w:rPr>
              <w:t xml:space="preserve"> </w:t>
            </w:r>
          </w:p>
        </w:tc>
      </w:tr>
      <w:tr w:rsidR="00D857AC" w:rsidRPr="00234ECD" w14:paraId="6ABA0660" w14:textId="77777777" w:rsidTr="000803EC">
        <w:trPr>
          <w:trHeight w:val="542"/>
        </w:trPr>
        <w:tc>
          <w:tcPr>
            <w:tcW w:w="2199" w:type="dxa"/>
            <w:tcBorders>
              <w:top w:val="single" w:sz="4" w:space="0" w:color="auto"/>
              <w:left w:val="single" w:sz="4" w:space="0" w:color="auto"/>
              <w:bottom w:val="single" w:sz="4" w:space="0" w:color="auto"/>
              <w:right w:val="single" w:sz="4" w:space="0" w:color="auto"/>
            </w:tcBorders>
            <w:hideMark/>
          </w:tcPr>
          <w:p w14:paraId="0FF72BDF" w14:textId="77777777" w:rsidR="00D857AC" w:rsidRPr="00234ECD" w:rsidRDefault="00D857AC" w:rsidP="00D857AC">
            <w:pPr>
              <w:autoSpaceDE w:val="0"/>
              <w:autoSpaceDN w:val="0"/>
              <w:adjustRightInd w:val="0"/>
              <w:rPr>
                <w:rFonts w:eastAsia="Calibri"/>
                <w:b/>
                <w:bCs/>
                <w:color w:val="000000"/>
                <w:sz w:val="22"/>
                <w:szCs w:val="22"/>
                <w:lang w:val="sr-Latn-RS"/>
              </w:rPr>
            </w:pPr>
            <w:r w:rsidRPr="00234ECD">
              <w:rPr>
                <w:rFonts w:eastAsia="Calibri"/>
                <w:color w:val="000000"/>
                <w:sz w:val="22"/>
                <w:szCs w:val="22"/>
                <w:lang w:val="sr-Latn-RS"/>
              </w:rPr>
              <w:t>Veoma često</w:t>
            </w:r>
          </w:p>
        </w:tc>
        <w:tc>
          <w:tcPr>
            <w:tcW w:w="7791" w:type="dxa"/>
            <w:tcBorders>
              <w:top w:val="single" w:sz="4" w:space="0" w:color="auto"/>
              <w:left w:val="single" w:sz="4" w:space="0" w:color="auto"/>
              <w:bottom w:val="single" w:sz="4" w:space="0" w:color="auto"/>
              <w:right w:val="single" w:sz="4" w:space="0" w:color="auto"/>
            </w:tcBorders>
            <w:hideMark/>
          </w:tcPr>
          <w:p w14:paraId="185AB40D" w14:textId="3EE9EFFC"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smanjenje t</w:t>
            </w:r>
            <w:r w:rsidR="000A3929" w:rsidRPr="00234ECD">
              <w:rPr>
                <w:rFonts w:eastAsia="Calibri"/>
                <w:color w:val="000000"/>
                <w:sz w:val="22"/>
                <w:szCs w:val="22"/>
                <w:lang w:val="sr-Latn-RS"/>
              </w:rPr>
              <w:t>j</w:t>
            </w:r>
            <w:r w:rsidRPr="00234ECD">
              <w:rPr>
                <w:rFonts w:eastAsia="Calibri"/>
                <w:color w:val="000000"/>
                <w:sz w:val="22"/>
                <w:szCs w:val="22"/>
                <w:lang w:val="sr-Latn-RS"/>
              </w:rPr>
              <w:t>elesne mase, povišene vr</w:t>
            </w:r>
            <w:r w:rsidR="000A3929" w:rsidRPr="00234ECD">
              <w:rPr>
                <w:rFonts w:eastAsia="Calibri"/>
                <w:color w:val="000000"/>
                <w:sz w:val="22"/>
                <w:szCs w:val="22"/>
                <w:lang w:val="sr-Latn-RS"/>
              </w:rPr>
              <w:t>ij</w:t>
            </w:r>
            <w:r w:rsidRPr="00234ECD">
              <w:rPr>
                <w:rFonts w:eastAsia="Calibri"/>
                <w:color w:val="000000"/>
                <w:sz w:val="22"/>
                <w:szCs w:val="22"/>
                <w:lang w:val="sr-Latn-RS"/>
              </w:rPr>
              <w:t>ednosti ALT u serumu, povišene vr</w:t>
            </w:r>
            <w:r w:rsidR="000A3929" w:rsidRPr="00234ECD">
              <w:rPr>
                <w:rFonts w:eastAsia="Calibri"/>
                <w:color w:val="000000"/>
                <w:sz w:val="22"/>
                <w:szCs w:val="22"/>
                <w:lang w:val="sr-Latn-RS"/>
              </w:rPr>
              <w:t>ij</w:t>
            </w:r>
            <w:r w:rsidRPr="00234ECD">
              <w:rPr>
                <w:rFonts w:eastAsia="Calibri"/>
                <w:color w:val="000000"/>
                <w:sz w:val="22"/>
                <w:szCs w:val="22"/>
                <w:lang w:val="sr-Latn-RS"/>
              </w:rPr>
              <w:t>ednosti AST u serumu</w:t>
            </w:r>
          </w:p>
        </w:tc>
      </w:tr>
      <w:tr w:rsidR="00D857AC" w:rsidRPr="00234ECD" w14:paraId="679C4C67" w14:textId="77777777" w:rsidTr="000803EC">
        <w:trPr>
          <w:trHeight w:val="542"/>
        </w:trPr>
        <w:tc>
          <w:tcPr>
            <w:tcW w:w="2199" w:type="dxa"/>
            <w:tcBorders>
              <w:top w:val="single" w:sz="4" w:space="0" w:color="auto"/>
              <w:left w:val="single" w:sz="4" w:space="0" w:color="auto"/>
              <w:bottom w:val="single" w:sz="4" w:space="0" w:color="auto"/>
              <w:right w:val="single" w:sz="4" w:space="0" w:color="auto"/>
            </w:tcBorders>
            <w:hideMark/>
          </w:tcPr>
          <w:p w14:paraId="7D937ECB"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lastRenderedPageBreak/>
              <w:t>Često</w:t>
            </w:r>
          </w:p>
        </w:tc>
        <w:tc>
          <w:tcPr>
            <w:tcW w:w="7791" w:type="dxa"/>
            <w:tcBorders>
              <w:top w:val="single" w:sz="4" w:space="0" w:color="auto"/>
              <w:left w:val="single" w:sz="4" w:space="0" w:color="auto"/>
              <w:bottom w:val="single" w:sz="4" w:space="0" w:color="auto"/>
              <w:right w:val="single" w:sz="4" w:space="0" w:color="auto"/>
            </w:tcBorders>
            <w:hideMark/>
          </w:tcPr>
          <w:p w14:paraId="1E741D7F" w14:textId="3E4B8B2D" w:rsidR="00D857AC" w:rsidRPr="00234ECD" w:rsidRDefault="00D857AC" w:rsidP="00D857AC">
            <w:pPr>
              <w:autoSpaceDE w:val="0"/>
              <w:autoSpaceDN w:val="0"/>
              <w:adjustRightInd w:val="0"/>
              <w:jc w:val="both"/>
              <w:rPr>
                <w:rFonts w:eastAsia="Calibri"/>
                <w:color w:val="000000"/>
                <w:sz w:val="22"/>
                <w:szCs w:val="22"/>
                <w:lang w:val="sr-Latn-RS"/>
              </w:rPr>
            </w:pPr>
            <w:r w:rsidRPr="00234ECD">
              <w:rPr>
                <w:rFonts w:eastAsia="Calibri"/>
                <w:color w:val="000000"/>
                <w:sz w:val="22"/>
                <w:szCs w:val="22"/>
                <w:lang w:val="sr-Latn-RS"/>
              </w:rPr>
              <w:t>povišena vr</w:t>
            </w:r>
            <w:r w:rsidR="000A3929" w:rsidRPr="00234ECD">
              <w:rPr>
                <w:rFonts w:eastAsia="Calibri"/>
                <w:color w:val="000000"/>
                <w:sz w:val="22"/>
                <w:szCs w:val="22"/>
                <w:lang w:val="sr-Latn-RS"/>
              </w:rPr>
              <w:t>ij</w:t>
            </w:r>
            <w:r w:rsidRPr="00234ECD">
              <w:rPr>
                <w:rFonts w:eastAsia="Calibri"/>
                <w:color w:val="000000"/>
                <w:sz w:val="22"/>
                <w:szCs w:val="22"/>
                <w:lang w:val="sr-Latn-RS"/>
              </w:rPr>
              <w:t>ednost ALP u krvi, povišene vr</w:t>
            </w:r>
            <w:r w:rsidR="000A3929" w:rsidRPr="00234ECD">
              <w:rPr>
                <w:rFonts w:eastAsia="Calibri"/>
                <w:color w:val="000000"/>
                <w:sz w:val="22"/>
                <w:szCs w:val="22"/>
                <w:lang w:val="sr-Latn-RS"/>
              </w:rPr>
              <w:t>ij</w:t>
            </w:r>
            <w:r w:rsidRPr="00234ECD">
              <w:rPr>
                <w:rFonts w:eastAsia="Calibri"/>
                <w:color w:val="000000"/>
                <w:sz w:val="22"/>
                <w:szCs w:val="22"/>
                <w:lang w:val="sr-Latn-RS"/>
              </w:rPr>
              <w:t>ednosti GGT, povišene vr</w:t>
            </w:r>
            <w:r w:rsidR="000A3929" w:rsidRPr="00234ECD">
              <w:rPr>
                <w:rFonts w:eastAsia="Calibri"/>
                <w:color w:val="000000"/>
                <w:sz w:val="22"/>
                <w:szCs w:val="22"/>
                <w:lang w:val="sr-Latn-RS"/>
              </w:rPr>
              <w:t>ij</w:t>
            </w:r>
            <w:r w:rsidRPr="00234ECD">
              <w:rPr>
                <w:rFonts w:eastAsia="Calibri"/>
                <w:color w:val="000000"/>
                <w:sz w:val="22"/>
                <w:szCs w:val="22"/>
                <w:lang w:val="sr-Latn-RS"/>
              </w:rPr>
              <w:t>ednosti kreatinina u krvi, povišene vr</w:t>
            </w:r>
            <w:r w:rsidR="000A3929" w:rsidRPr="00234ECD">
              <w:rPr>
                <w:rFonts w:eastAsia="Calibri"/>
                <w:color w:val="000000"/>
                <w:sz w:val="22"/>
                <w:szCs w:val="22"/>
                <w:lang w:val="sr-Latn-RS"/>
              </w:rPr>
              <w:t>ij</w:t>
            </w:r>
            <w:r w:rsidRPr="00234ECD">
              <w:rPr>
                <w:rFonts w:eastAsia="Calibri"/>
                <w:color w:val="000000"/>
                <w:sz w:val="22"/>
                <w:szCs w:val="22"/>
                <w:lang w:val="sr-Latn-RS"/>
              </w:rPr>
              <w:t>ednosti amilaze, povišene vr</w:t>
            </w:r>
            <w:r w:rsidR="000A3929" w:rsidRPr="00234ECD">
              <w:rPr>
                <w:rFonts w:eastAsia="Calibri"/>
                <w:color w:val="000000"/>
                <w:sz w:val="22"/>
                <w:szCs w:val="22"/>
                <w:lang w:val="sr-Latn-RS"/>
              </w:rPr>
              <w:t>ij</w:t>
            </w:r>
            <w:r w:rsidRPr="00234ECD">
              <w:rPr>
                <w:rFonts w:eastAsia="Calibri"/>
                <w:color w:val="000000"/>
                <w:sz w:val="22"/>
                <w:szCs w:val="22"/>
                <w:lang w:val="sr-Latn-RS"/>
              </w:rPr>
              <w:t>ednosti lipaze, povišene vr</w:t>
            </w:r>
            <w:r w:rsidR="000A3929" w:rsidRPr="00234ECD">
              <w:rPr>
                <w:rFonts w:eastAsia="Calibri"/>
                <w:color w:val="000000"/>
                <w:sz w:val="22"/>
                <w:szCs w:val="22"/>
                <w:lang w:val="sr-Latn-RS"/>
              </w:rPr>
              <w:t>ij</w:t>
            </w:r>
            <w:r w:rsidRPr="00234ECD">
              <w:rPr>
                <w:rFonts w:eastAsia="Calibri"/>
                <w:color w:val="000000"/>
                <w:sz w:val="22"/>
                <w:szCs w:val="22"/>
                <w:lang w:val="sr-Latn-RS"/>
              </w:rPr>
              <w:t>ednosti  holesterola u krvi, povišene vr</w:t>
            </w:r>
            <w:r w:rsidR="000A3929" w:rsidRPr="00234ECD">
              <w:rPr>
                <w:rFonts w:eastAsia="Calibri"/>
                <w:color w:val="000000"/>
                <w:sz w:val="22"/>
                <w:szCs w:val="22"/>
                <w:lang w:val="sr-Latn-RS"/>
              </w:rPr>
              <w:t>ij</w:t>
            </w:r>
            <w:r w:rsidRPr="00234ECD">
              <w:rPr>
                <w:rFonts w:eastAsia="Calibri"/>
                <w:color w:val="000000"/>
                <w:sz w:val="22"/>
                <w:szCs w:val="22"/>
                <w:lang w:val="sr-Latn-RS"/>
              </w:rPr>
              <w:t>ednosti triglicerida u krvi</w:t>
            </w:r>
          </w:p>
        </w:tc>
      </w:tr>
      <w:tr w:rsidR="00D857AC" w:rsidRPr="00234ECD" w14:paraId="1CEC59C6" w14:textId="77777777" w:rsidTr="000803EC">
        <w:trPr>
          <w:trHeight w:val="354"/>
        </w:trPr>
        <w:tc>
          <w:tcPr>
            <w:tcW w:w="9990" w:type="dxa"/>
            <w:gridSpan w:val="2"/>
            <w:tcBorders>
              <w:top w:val="single" w:sz="4" w:space="0" w:color="auto"/>
              <w:left w:val="single" w:sz="4" w:space="0" w:color="auto"/>
              <w:bottom w:val="single" w:sz="4" w:space="0" w:color="auto"/>
              <w:right w:val="single" w:sz="4" w:space="0" w:color="auto"/>
            </w:tcBorders>
            <w:hideMark/>
          </w:tcPr>
          <w:p w14:paraId="722BFF41"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b/>
                <w:bCs/>
                <w:color w:val="000000"/>
                <w:sz w:val="22"/>
                <w:szCs w:val="22"/>
                <w:lang w:val="sr-Latn-RS"/>
              </w:rPr>
              <w:t xml:space="preserve">Povrede, trovanje i proceduralne komplikacije </w:t>
            </w:r>
          </w:p>
        </w:tc>
      </w:tr>
      <w:tr w:rsidR="002E75D7" w:rsidRPr="00234ECD" w14:paraId="7CEF010A" w14:textId="77777777" w:rsidTr="001A2E58">
        <w:trPr>
          <w:trHeight w:val="354"/>
        </w:trPr>
        <w:tc>
          <w:tcPr>
            <w:tcW w:w="2199" w:type="dxa"/>
            <w:tcBorders>
              <w:top w:val="single" w:sz="4" w:space="0" w:color="auto"/>
              <w:left w:val="single" w:sz="4" w:space="0" w:color="auto"/>
              <w:bottom w:val="single" w:sz="4" w:space="0" w:color="auto"/>
              <w:right w:val="single" w:sz="4" w:space="0" w:color="auto"/>
            </w:tcBorders>
            <w:hideMark/>
          </w:tcPr>
          <w:p w14:paraId="323CCFD5" w14:textId="77777777" w:rsidR="002E75D7" w:rsidRPr="00234ECD" w:rsidRDefault="002E75D7" w:rsidP="00D857AC">
            <w:pPr>
              <w:autoSpaceDE w:val="0"/>
              <w:autoSpaceDN w:val="0"/>
              <w:adjustRightInd w:val="0"/>
              <w:rPr>
                <w:rFonts w:eastAsia="Calibri"/>
                <w:b/>
                <w:bCs/>
                <w:color w:val="000000"/>
                <w:sz w:val="22"/>
                <w:szCs w:val="22"/>
                <w:lang w:val="sr-Latn-RS"/>
              </w:rPr>
            </w:pPr>
            <w:r w:rsidRPr="00234ECD">
              <w:rPr>
                <w:rFonts w:eastAsia="Calibri"/>
                <w:color w:val="000000"/>
                <w:sz w:val="22"/>
                <w:szCs w:val="22"/>
                <w:lang w:val="sr-Latn-RS"/>
              </w:rPr>
              <w:t>Povremeno</w:t>
            </w:r>
          </w:p>
        </w:tc>
        <w:tc>
          <w:tcPr>
            <w:tcW w:w="7791" w:type="dxa"/>
            <w:tcBorders>
              <w:top w:val="single" w:sz="4" w:space="0" w:color="auto"/>
              <w:left w:val="single" w:sz="4" w:space="0" w:color="auto"/>
              <w:bottom w:val="single" w:sz="4" w:space="0" w:color="auto"/>
              <w:right w:val="single" w:sz="4" w:space="0" w:color="auto"/>
            </w:tcBorders>
            <w:hideMark/>
          </w:tcPr>
          <w:p w14:paraId="0B6D58A9" w14:textId="0E87BA5A" w:rsidR="002E75D7" w:rsidRPr="00234ECD" w:rsidRDefault="002E75D7"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komplikacija rane</w:t>
            </w:r>
            <w:r w:rsidRPr="00234ECD">
              <w:rPr>
                <w:rFonts w:eastAsia="Calibri"/>
                <w:color w:val="000000"/>
                <w:sz w:val="22"/>
                <w:szCs w:val="22"/>
                <w:vertAlign w:val="superscript"/>
                <w:lang w:val="sr-Latn-RS"/>
              </w:rPr>
              <w:t>e</w:t>
            </w:r>
          </w:p>
        </w:tc>
      </w:tr>
    </w:tbl>
    <w:p w14:paraId="61004BDE" w14:textId="7983EACA" w:rsidR="00D857AC" w:rsidRPr="00234ECD" w:rsidRDefault="00D857AC" w:rsidP="00D857AC">
      <w:pPr>
        <w:jc w:val="both"/>
        <w:rPr>
          <w:rFonts w:eastAsia="Calibri"/>
          <w:sz w:val="22"/>
          <w:szCs w:val="22"/>
          <w:lang w:val="sr-Latn-RS"/>
        </w:rPr>
      </w:pPr>
      <w:r w:rsidRPr="00234ECD">
        <w:rPr>
          <w:rFonts w:eastAsia="Calibri"/>
          <w:sz w:val="22"/>
          <w:szCs w:val="22"/>
          <w:lang w:val="sr-Latn-RS"/>
        </w:rPr>
        <w:t>* Vid</w:t>
      </w:r>
      <w:r w:rsidR="00FB0EB6" w:rsidRPr="00234ECD">
        <w:rPr>
          <w:rFonts w:eastAsia="Calibri"/>
          <w:sz w:val="22"/>
          <w:szCs w:val="22"/>
          <w:lang w:val="sr-Latn-RS"/>
        </w:rPr>
        <w:t>j</w:t>
      </w:r>
      <w:r w:rsidRPr="00234ECD">
        <w:rPr>
          <w:rFonts w:eastAsia="Calibri"/>
          <w:sz w:val="22"/>
          <w:szCs w:val="22"/>
          <w:lang w:val="sr-Latn-RS"/>
        </w:rPr>
        <w:t xml:space="preserve">eti </w:t>
      </w:r>
      <w:r w:rsidR="00B82CC6" w:rsidRPr="00234ECD">
        <w:rPr>
          <w:rFonts w:eastAsia="Calibri"/>
          <w:sz w:val="22"/>
          <w:szCs w:val="22"/>
          <w:lang w:val="sr-Latn-RS"/>
        </w:rPr>
        <w:t xml:space="preserve">dio </w:t>
      </w:r>
      <w:r w:rsidRPr="00234ECD">
        <w:rPr>
          <w:rFonts w:eastAsia="Calibri"/>
          <w:sz w:val="22"/>
          <w:szCs w:val="22"/>
          <w:lang w:val="sr-Latn-RS"/>
        </w:rPr>
        <w:t xml:space="preserve">4.8 </w:t>
      </w:r>
      <w:r w:rsidRPr="00234ECD">
        <w:rPr>
          <w:rFonts w:eastAsia="Calibri"/>
          <w:sz w:val="22"/>
          <w:szCs w:val="22"/>
          <w:u w:val="single"/>
          <w:lang w:val="sr-Latn-RS"/>
        </w:rPr>
        <w:t>Opis odabranih neželjenih reakcija</w:t>
      </w:r>
      <w:r w:rsidRPr="00234ECD">
        <w:rPr>
          <w:rFonts w:eastAsia="Calibri"/>
          <w:sz w:val="22"/>
          <w:szCs w:val="22"/>
          <w:lang w:val="sr-Latn-RS"/>
        </w:rPr>
        <w:t xml:space="preserve"> za dodatni opis</w:t>
      </w:r>
    </w:p>
    <w:p w14:paraId="4AE9B1ED" w14:textId="77777777" w:rsidR="00E211F9" w:rsidRPr="00234ECD" w:rsidRDefault="00E211F9" w:rsidP="00E211F9">
      <w:pPr>
        <w:jc w:val="both"/>
        <w:rPr>
          <w:rFonts w:eastAsiaTheme="minorHAnsi"/>
          <w:sz w:val="22"/>
          <w:szCs w:val="22"/>
          <w:lang w:val="sr-Latn-RS"/>
        </w:rPr>
      </w:pPr>
      <w:r w:rsidRPr="00234ECD">
        <w:rPr>
          <w:rFonts w:eastAsiaTheme="minorHAnsi"/>
          <w:sz w:val="22"/>
          <w:szCs w:val="22"/>
          <w:vertAlign w:val="superscript"/>
          <w:lang w:val="sr-Latn-RS"/>
        </w:rPr>
        <w:t>a</w:t>
      </w:r>
      <w:r w:rsidRPr="00234ECD">
        <w:rPr>
          <w:rFonts w:eastAsiaTheme="minorHAnsi"/>
          <w:sz w:val="22"/>
          <w:szCs w:val="22"/>
          <w:lang w:val="sr-Latn-RS"/>
        </w:rPr>
        <w:t xml:space="preserve"> Uključujući polineuropatiju; periferna neuropatija je uglavnom senzorna</w:t>
      </w:r>
    </w:p>
    <w:p w14:paraId="025BAFBC" w14:textId="77777777" w:rsidR="00E211F9" w:rsidRPr="00234ECD" w:rsidRDefault="00E211F9" w:rsidP="00E211F9">
      <w:pPr>
        <w:jc w:val="both"/>
        <w:rPr>
          <w:rFonts w:eastAsiaTheme="minorHAnsi"/>
          <w:sz w:val="22"/>
          <w:szCs w:val="22"/>
          <w:lang w:val="sr-Latn-RS"/>
        </w:rPr>
      </w:pPr>
      <w:r w:rsidRPr="00234ECD">
        <w:rPr>
          <w:rFonts w:eastAsiaTheme="minorHAnsi"/>
          <w:sz w:val="22"/>
          <w:szCs w:val="22"/>
          <w:vertAlign w:val="superscript"/>
          <w:lang w:val="sr-Latn-RS"/>
        </w:rPr>
        <w:t>b</w:t>
      </w:r>
      <w:r w:rsidRPr="00234ECD">
        <w:rPr>
          <w:rFonts w:eastAsiaTheme="minorHAnsi"/>
          <w:sz w:val="22"/>
          <w:szCs w:val="22"/>
          <w:lang w:val="sr-Latn-RS"/>
        </w:rPr>
        <w:t xml:space="preserve"> Uključujući epistaksu kao najčešće prijavljenu neželjenu reakciju</w:t>
      </w:r>
    </w:p>
    <w:p w14:paraId="12718296" w14:textId="0B0B2860" w:rsidR="00E211F9" w:rsidRPr="00234ECD" w:rsidRDefault="00E211F9" w:rsidP="00E211F9">
      <w:pPr>
        <w:jc w:val="both"/>
        <w:rPr>
          <w:rFonts w:eastAsiaTheme="minorHAnsi"/>
          <w:sz w:val="22"/>
          <w:szCs w:val="22"/>
          <w:lang w:val="sr-Latn-RS"/>
        </w:rPr>
      </w:pPr>
      <w:r w:rsidRPr="00234ECD">
        <w:rPr>
          <w:rFonts w:eastAsiaTheme="minorHAnsi"/>
          <w:sz w:val="22"/>
          <w:szCs w:val="22"/>
          <w:vertAlign w:val="superscript"/>
          <w:lang w:val="sr-Latn-RS"/>
        </w:rPr>
        <w:t>c</w:t>
      </w:r>
      <w:r w:rsidRPr="00234ECD">
        <w:rPr>
          <w:rFonts w:eastAsiaTheme="minorHAnsi"/>
          <w:sz w:val="22"/>
          <w:szCs w:val="22"/>
          <w:lang w:val="sr-Latn-RS"/>
        </w:rPr>
        <w:t xml:space="preserve"> </w:t>
      </w:r>
      <w:r w:rsidR="00132C88" w:rsidRPr="00234ECD">
        <w:rPr>
          <w:rFonts w:eastAsiaTheme="minorHAnsi"/>
          <w:sz w:val="22"/>
          <w:szCs w:val="22"/>
          <w:lang w:val="sr-Latn-RS"/>
        </w:rPr>
        <w:t>S</w:t>
      </w:r>
      <w:r w:rsidRPr="00234ECD">
        <w:rPr>
          <w:rFonts w:eastAsiaTheme="minorHAnsi"/>
          <w:sz w:val="22"/>
          <w:szCs w:val="22"/>
          <w:lang w:val="sr-Latn-RS"/>
        </w:rPr>
        <w:t>ve venske tromboze, uključujući duboke venske tromboze</w:t>
      </w:r>
    </w:p>
    <w:p w14:paraId="27AB6C51" w14:textId="77777777" w:rsidR="00E211F9" w:rsidRPr="00234ECD" w:rsidRDefault="00E211F9" w:rsidP="00E211F9">
      <w:pPr>
        <w:jc w:val="both"/>
        <w:rPr>
          <w:rFonts w:eastAsiaTheme="minorHAnsi"/>
          <w:sz w:val="22"/>
          <w:szCs w:val="22"/>
          <w:lang w:val="sr-Latn-RS"/>
        </w:rPr>
      </w:pPr>
      <w:r w:rsidRPr="00234ECD">
        <w:rPr>
          <w:rFonts w:eastAsiaTheme="minorHAnsi"/>
          <w:sz w:val="22"/>
          <w:szCs w:val="22"/>
          <w:vertAlign w:val="superscript"/>
          <w:lang w:val="sr-Latn-RS"/>
        </w:rPr>
        <w:t>d</w:t>
      </w:r>
      <w:r w:rsidRPr="00234ECD">
        <w:rPr>
          <w:rFonts w:eastAsiaTheme="minorHAnsi"/>
          <w:sz w:val="22"/>
          <w:szCs w:val="22"/>
          <w:lang w:val="sr-Latn-RS"/>
        </w:rPr>
        <w:t xml:space="preserve"> Na osnovu prijavljenih neželjenih reakcija</w:t>
      </w:r>
    </w:p>
    <w:p w14:paraId="76673644" w14:textId="52803445" w:rsidR="00E211F9" w:rsidRPr="00234ECD" w:rsidRDefault="00E211F9" w:rsidP="00E211F9">
      <w:pPr>
        <w:jc w:val="both"/>
        <w:rPr>
          <w:rFonts w:eastAsiaTheme="minorHAnsi"/>
          <w:sz w:val="22"/>
          <w:szCs w:val="22"/>
          <w:lang w:val="sr-Latn-RS"/>
        </w:rPr>
      </w:pPr>
      <w:r w:rsidRPr="00234ECD">
        <w:rPr>
          <w:rFonts w:eastAsiaTheme="minorHAnsi"/>
          <w:sz w:val="22"/>
          <w:szCs w:val="22"/>
          <w:vertAlign w:val="superscript"/>
          <w:lang w:val="sr-Latn-RS"/>
        </w:rPr>
        <w:t xml:space="preserve">e </w:t>
      </w:r>
      <w:r w:rsidRPr="00234ECD">
        <w:rPr>
          <w:rFonts w:eastAsiaTheme="minorHAnsi"/>
          <w:sz w:val="22"/>
          <w:szCs w:val="22"/>
          <w:lang w:val="sr-Latn-RS"/>
        </w:rPr>
        <w:t xml:space="preserve"> Otežano zarastanje rana i komplikacija na m</w:t>
      </w:r>
      <w:r w:rsidR="00B73D41" w:rsidRPr="00234ECD">
        <w:rPr>
          <w:rFonts w:eastAsiaTheme="minorHAnsi"/>
          <w:sz w:val="22"/>
          <w:szCs w:val="22"/>
          <w:lang w:val="sr-Latn-RS"/>
        </w:rPr>
        <w:t>j</w:t>
      </w:r>
      <w:r w:rsidRPr="00234ECD">
        <w:rPr>
          <w:rFonts w:eastAsiaTheme="minorHAnsi"/>
          <w:sz w:val="22"/>
          <w:szCs w:val="22"/>
          <w:lang w:val="sr-Latn-RS"/>
        </w:rPr>
        <w:t>estu reza i dehiscencija rane</w:t>
      </w:r>
    </w:p>
    <w:p w14:paraId="0983FBD6" w14:textId="77777777" w:rsidR="00D857AC" w:rsidRPr="00234ECD" w:rsidRDefault="00D857AC" w:rsidP="00D857AC">
      <w:pPr>
        <w:autoSpaceDE w:val="0"/>
        <w:autoSpaceDN w:val="0"/>
        <w:adjustRightInd w:val="0"/>
        <w:rPr>
          <w:rFonts w:eastAsia="Calibri"/>
          <w:i/>
          <w:iCs/>
          <w:color w:val="000000"/>
          <w:sz w:val="22"/>
          <w:szCs w:val="22"/>
          <w:lang w:val="sr-Latn-RS"/>
        </w:rPr>
      </w:pPr>
    </w:p>
    <w:p w14:paraId="27610813" w14:textId="1BC78C6A"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i/>
          <w:iCs/>
          <w:color w:val="000000"/>
          <w:sz w:val="22"/>
          <w:szCs w:val="22"/>
          <w:lang w:val="sr-Latn-RS"/>
        </w:rPr>
        <w:t>Kabozantinib u kombinaciji s nivolumabom kao prva linija l</w:t>
      </w:r>
      <w:r w:rsidR="00FB0EB6" w:rsidRPr="00234ECD">
        <w:rPr>
          <w:rFonts w:eastAsia="Calibri"/>
          <w:i/>
          <w:iCs/>
          <w:color w:val="000000"/>
          <w:sz w:val="22"/>
          <w:szCs w:val="22"/>
          <w:lang w:val="sr-Latn-RS"/>
        </w:rPr>
        <w:t>ij</w:t>
      </w:r>
      <w:r w:rsidRPr="00234ECD">
        <w:rPr>
          <w:rFonts w:eastAsia="Calibri"/>
          <w:i/>
          <w:iCs/>
          <w:color w:val="000000"/>
          <w:sz w:val="22"/>
          <w:szCs w:val="22"/>
          <w:lang w:val="sr-Latn-RS"/>
        </w:rPr>
        <w:t xml:space="preserve">ečenja uznapredovalog RCC-a </w:t>
      </w:r>
    </w:p>
    <w:p w14:paraId="507F97BE" w14:textId="2752D139" w:rsidR="00D857AC" w:rsidRPr="00234ECD" w:rsidRDefault="00D857AC" w:rsidP="00D857AC">
      <w:pPr>
        <w:autoSpaceDE w:val="0"/>
        <w:autoSpaceDN w:val="0"/>
        <w:adjustRightInd w:val="0"/>
        <w:rPr>
          <w:rFonts w:eastAsia="Calibri"/>
          <w:color w:val="000000"/>
          <w:sz w:val="22"/>
          <w:szCs w:val="22"/>
          <w:u w:val="single"/>
          <w:lang w:val="sr-Latn-RS"/>
        </w:rPr>
      </w:pPr>
      <w:r w:rsidRPr="00234ECD">
        <w:rPr>
          <w:rFonts w:eastAsia="Calibri"/>
          <w:color w:val="000000"/>
          <w:sz w:val="22"/>
          <w:szCs w:val="22"/>
          <w:u w:val="single"/>
          <w:lang w:val="sr-Latn-RS"/>
        </w:rPr>
        <w:t xml:space="preserve">Sažetak </w:t>
      </w:r>
      <w:r w:rsidR="00E367ED" w:rsidRPr="00234ECD">
        <w:rPr>
          <w:rFonts w:eastAsia="Calibri"/>
          <w:color w:val="000000"/>
          <w:sz w:val="22"/>
          <w:szCs w:val="22"/>
          <w:u w:val="single"/>
          <w:lang w:val="sr-Latn-RS"/>
        </w:rPr>
        <w:t xml:space="preserve">bezbjednosnog </w:t>
      </w:r>
      <w:r w:rsidRPr="00234ECD">
        <w:rPr>
          <w:rFonts w:eastAsia="Calibri"/>
          <w:color w:val="000000"/>
          <w:sz w:val="22"/>
          <w:szCs w:val="22"/>
          <w:u w:val="single"/>
          <w:lang w:val="sr-Latn-RS"/>
        </w:rPr>
        <w:t xml:space="preserve">profila </w:t>
      </w:r>
    </w:p>
    <w:p w14:paraId="49ED41DE" w14:textId="0E521565" w:rsidR="00D857AC" w:rsidRPr="00234ECD" w:rsidRDefault="00D857AC" w:rsidP="003D5E41">
      <w:pPr>
        <w:autoSpaceDE w:val="0"/>
        <w:autoSpaceDN w:val="0"/>
        <w:adjustRightInd w:val="0"/>
        <w:jc w:val="both"/>
        <w:rPr>
          <w:rFonts w:eastAsia="Calibri"/>
          <w:color w:val="000000"/>
          <w:sz w:val="22"/>
          <w:szCs w:val="22"/>
          <w:lang w:val="sr-Latn-RS"/>
        </w:rPr>
      </w:pPr>
      <w:r w:rsidRPr="00234ECD">
        <w:rPr>
          <w:rFonts w:eastAsia="Calibri"/>
          <w:color w:val="000000"/>
          <w:sz w:val="22"/>
          <w:szCs w:val="22"/>
          <w:lang w:val="sr-Latn-RS"/>
        </w:rPr>
        <w:t>Kada se kabozantinib daje u kombinaciji sa nivolumabom, pr</w:t>
      </w:r>
      <w:r w:rsidR="00FB0EB6" w:rsidRPr="00234ECD">
        <w:rPr>
          <w:rFonts w:eastAsia="Calibri"/>
          <w:color w:val="000000"/>
          <w:sz w:val="22"/>
          <w:szCs w:val="22"/>
          <w:lang w:val="sr-Latn-RS"/>
        </w:rPr>
        <w:t>ij</w:t>
      </w:r>
      <w:r w:rsidRPr="00234ECD">
        <w:rPr>
          <w:rFonts w:eastAsia="Calibri"/>
          <w:color w:val="000000"/>
          <w:sz w:val="22"/>
          <w:szCs w:val="22"/>
          <w:lang w:val="sr-Latn-RS"/>
        </w:rPr>
        <w:t>e početka l</w:t>
      </w:r>
      <w:r w:rsidR="00FB0EB6" w:rsidRPr="00234ECD">
        <w:rPr>
          <w:rFonts w:eastAsia="Calibri"/>
          <w:color w:val="000000"/>
          <w:sz w:val="22"/>
          <w:szCs w:val="22"/>
          <w:lang w:val="sr-Latn-RS"/>
        </w:rPr>
        <w:t>ij</w:t>
      </w:r>
      <w:r w:rsidRPr="00234ECD">
        <w:rPr>
          <w:rFonts w:eastAsia="Calibri"/>
          <w:color w:val="000000"/>
          <w:sz w:val="22"/>
          <w:szCs w:val="22"/>
          <w:lang w:val="sr-Latn-RS"/>
        </w:rPr>
        <w:t>ečenja vid</w:t>
      </w:r>
      <w:r w:rsidR="00FB0EB6" w:rsidRPr="00234ECD">
        <w:rPr>
          <w:rFonts w:eastAsia="Calibri"/>
          <w:color w:val="000000"/>
          <w:sz w:val="22"/>
          <w:szCs w:val="22"/>
          <w:lang w:val="sr-Latn-RS"/>
        </w:rPr>
        <w:t>j</w:t>
      </w:r>
      <w:r w:rsidRPr="00234ECD">
        <w:rPr>
          <w:rFonts w:eastAsia="Calibri"/>
          <w:color w:val="000000"/>
          <w:sz w:val="22"/>
          <w:szCs w:val="22"/>
          <w:lang w:val="sr-Latn-RS"/>
        </w:rPr>
        <w:t>eti Sažetak karakteristika l</w:t>
      </w:r>
      <w:r w:rsidR="00FB0EB6" w:rsidRPr="00234ECD">
        <w:rPr>
          <w:rFonts w:eastAsia="Calibri"/>
          <w:color w:val="000000"/>
          <w:sz w:val="22"/>
          <w:szCs w:val="22"/>
          <w:lang w:val="sr-Latn-RS"/>
        </w:rPr>
        <w:t>ij</w:t>
      </w:r>
      <w:r w:rsidRPr="00234ECD">
        <w:rPr>
          <w:rFonts w:eastAsia="Calibri"/>
          <w:color w:val="000000"/>
          <w:sz w:val="22"/>
          <w:szCs w:val="22"/>
          <w:lang w:val="sr-Latn-RS"/>
        </w:rPr>
        <w:t>eka za nivolumab. Za dodatne informacije o sigurnosnom profilu monoterapije nivolumabom, vid</w:t>
      </w:r>
      <w:r w:rsidR="00FB0EB6" w:rsidRPr="00234ECD">
        <w:rPr>
          <w:rFonts w:eastAsia="Calibri"/>
          <w:color w:val="000000"/>
          <w:sz w:val="22"/>
          <w:szCs w:val="22"/>
          <w:lang w:val="sr-Latn-RS"/>
        </w:rPr>
        <w:t>j</w:t>
      </w:r>
      <w:r w:rsidRPr="00234ECD">
        <w:rPr>
          <w:rFonts w:eastAsia="Calibri"/>
          <w:color w:val="000000"/>
          <w:sz w:val="22"/>
          <w:szCs w:val="22"/>
          <w:lang w:val="sr-Latn-RS"/>
        </w:rPr>
        <w:t>eti Sažetak karakteristika l</w:t>
      </w:r>
      <w:r w:rsidR="00FB0EB6" w:rsidRPr="00234ECD">
        <w:rPr>
          <w:rFonts w:eastAsia="Calibri"/>
          <w:color w:val="000000"/>
          <w:sz w:val="22"/>
          <w:szCs w:val="22"/>
          <w:lang w:val="sr-Latn-RS"/>
        </w:rPr>
        <w:t>ij</w:t>
      </w:r>
      <w:r w:rsidRPr="00234ECD">
        <w:rPr>
          <w:rFonts w:eastAsia="Calibri"/>
          <w:color w:val="000000"/>
          <w:sz w:val="22"/>
          <w:szCs w:val="22"/>
          <w:lang w:val="sr-Latn-RS"/>
        </w:rPr>
        <w:t xml:space="preserve">eka za nivolumab. </w:t>
      </w:r>
    </w:p>
    <w:p w14:paraId="2E04C66E" w14:textId="77777777" w:rsidR="00D857AC" w:rsidRPr="00234ECD" w:rsidRDefault="00D857AC" w:rsidP="00D857AC">
      <w:pPr>
        <w:autoSpaceDE w:val="0"/>
        <w:autoSpaceDN w:val="0"/>
        <w:adjustRightInd w:val="0"/>
        <w:rPr>
          <w:rFonts w:eastAsia="Calibri"/>
          <w:color w:val="000000"/>
          <w:sz w:val="22"/>
          <w:szCs w:val="22"/>
          <w:lang w:val="sr-Latn-RS"/>
        </w:rPr>
      </w:pPr>
    </w:p>
    <w:p w14:paraId="083D2934" w14:textId="56B7045F" w:rsidR="00D857AC" w:rsidRPr="00234ECD" w:rsidRDefault="00D857AC" w:rsidP="003D5E41">
      <w:pPr>
        <w:autoSpaceDE w:val="0"/>
        <w:autoSpaceDN w:val="0"/>
        <w:adjustRightInd w:val="0"/>
        <w:jc w:val="both"/>
        <w:rPr>
          <w:rFonts w:eastAsia="Calibri"/>
          <w:color w:val="000000"/>
          <w:sz w:val="22"/>
          <w:szCs w:val="22"/>
          <w:lang w:val="sr-Latn-RS"/>
        </w:rPr>
      </w:pPr>
      <w:r w:rsidRPr="00234ECD">
        <w:rPr>
          <w:rFonts w:eastAsia="Calibri"/>
          <w:color w:val="000000"/>
          <w:sz w:val="22"/>
          <w:szCs w:val="22"/>
          <w:lang w:val="sr-Latn-RS"/>
        </w:rPr>
        <w:t>U skupu podataka za kabozantinib prim</w:t>
      </w:r>
      <w:r w:rsidR="00FB0EB6" w:rsidRPr="00234ECD">
        <w:rPr>
          <w:rFonts w:eastAsia="Calibri"/>
          <w:color w:val="000000"/>
          <w:sz w:val="22"/>
          <w:szCs w:val="22"/>
          <w:lang w:val="sr-Latn-RS"/>
        </w:rPr>
        <w:t>j</w:t>
      </w:r>
      <w:r w:rsidRPr="00234ECD">
        <w:rPr>
          <w:rFonts w:eastAsia="Calibri"/>
          <w:color w:val="000000"/>
          <w:sz w:val="22"/>
          <w:szCs w:val="22"/>
          <w:lang w:val="sr-Latn-RS"/>
        </w:rPr>
        <w:t>enjivanog u dozi od 40 mg jednom dnevno u kombinaciji sa nivolumabom od 240 mg svake dv</w:t>
      </w:r>
      <w:r w:rsidR="00FB0EB6" w:rsidRPr="00234ECD">
        <w:rPr>
          <w:rFonts w:eastAsia="Calibri"/>
          <w:color w:val="000000"/>
          <w:sz w:val="22"/>
          <w:szCs w:val="22"/>
          <w:lang w:val="sr-Latn-RS"/>
        </w:rPr>
        <w:t>ij</w:t>
      </w:r>
      <w:r w:rsidRPr="00234ECD">
        <w:rPr>
          <w:rFonts w:eastAsia="Calibri"/>
          <w:color w:val="000000"/>
          <w:sz w:val="22"/>
          <w:szCs w:val="22"/>
          <w:lang w:val="sr-Latn-RS"/>
        </w:rPr>
        <w:t>e ned</w:t>
      </w:r>
      <w:r w:rsidR="00FB0EB6" w:rsidRPr="00234ECD">
        <w:rPr>
          <w:rFonts w:eastAsia="Calibri"/>
          <w:color w:val="000000"/>
          <w:sz w:val="22"/>
          <w:szCs w:val="22"/>
          <w:lang w:val="sr-Latn-RS"/>
        </w:rPr>
        <w:t>j</w:t>
      </w:r>
      <w:r w:rsidRPr="00234ECD">
        <w:rPr>
          <w:rFonts w:eastAsia="Calibri"/>
          <w:color w:val="000000"/>
          <w:sz w:val="22"/>
          <w:szCs w:val="22"/>
          <w:lang w:val="sr-Latn-RS"/>
        </w:rPr>
        <w:t>elje u terapiji RCC-a (n = 320), uz minimalno praćenje od 16 m</w:t>
      </w:r>
      <w:r w:rsidR="00FB0EB6" w:rsidRPr="00234ECD">
        <w:rPr>
          <w:rFonts w:eastAsia="Calibri"/>
          <w:color w:val="000000"/>
          <w:sz w:val="22"/>
          <w:szCs w:val="22"/>
          <w:lang w:val="sr-Latn-RS"/>
        </w:rPr>
        <w:t>j</w:t>
      </w:r>
      <w:r w:rsidRPr="00234ECD">
        <w:rPr>
          <w:rFonts w:eastAsia="Calibri"/>
          <w:color w:val="000000"/>
          <w:sz w:val="22"/>
          <w:szCs w:val="22"/>
          <w:lang w:val="sr-Latn-RS"/>
        </w:rPr>
        <w:t>eseci, najčešć</w:t>
      </w:r>
      <w:r w:rsidR="002E2EF0" w:rsidRPr="00234ECD">
        <w:rPr>
          <w:rFonts w:eastAsia="Calibri"/>
          <w:color w:val="000000"/>
          <w:sz w:val="22"/>
          <w:szCs w:val="22"/>
          <w:lang w:val="sr-Latn-RS"/>
        </w:rPr>
        <w:t>e</w:t>
      </w:r>
      <w:r w:rsidRPr="00234ECD">
        <w:rPr>
          <w:rFonts w:eastAsia="Calibri"/>
          <w:color w:val="000000"/>
          <w:sz w:val="22"/>
          <w:szCs w:val="22"/>
          <w:lang w:val="sr-Latn-RS"/>
        </w:rPr>
        <w:t xml:space="preserve"> ozbiljn</w:t>
      </w:r>
      <w:r w:rsidR="002E2EF0" w:rsidRPr="00234ECD">
        <w:rPr>
          <w:rFonts w:eastAsia="Calibri"/>
          <w:color w:val="000000"/>
          <w:sz w:val="22"/>
          <w:szCs w:val="22"/>
          <w:lang w:val="sr-Latn-RS"/>
        </w:rPr>
        <w:t>e</w:t>
      </w:r>
      <w:r w:rsidRPr="00234ECD">
        <w:rPr>
          <w:rFonts w:eastAsia="Calibri"/>
          <w:color w:val="000000"/>
          <w:sz w:val="22"/>
          <w:szCs w:val="22"/>
          <w:lang w:val="sr-Latn-RS"/>
        </w:rPr>
        <w:t xml:space="preserve"> neželjen</w:t>
      </w:r>
      <w:r w:rsidR="002E2EF0" w:rsidRPr="00234ECD">
        <w:rPr>
          <w:rFonts w:eastAsia="Calibri"/>
          <w:color w:val="000000"/>
          <w:sz w:val="22"/>
          <w:szCs w:val="22"/>
          <w:lang w:val="sr-Latn-RS"/>
        </w:rPr>
        <w:t>e</w:t>
      </w:r>
      <w:r w:rsidRPr="00234ECD">
        <w:rPr>
          <w:rFonts w:eastAsia="Calibri"/>
          <w:color w:val="000000"/>
          <w:sz w:val="22"/>
          <w:szCs w:val="22"/>
          <w:lang w:val="sr-Latn-RS"/>
        </w:rPr>
        <w:t xml:space="preserve"> </w:t>
      </w:r>
      <w:r w:rsidR="002E2EF0" w:rsidRPr="00234ECD">
        <w:rPr>
          <w:rFonts w:eastAsia="Calibri"/>
          <w:color w:val="000000"/>
          <w:sz w:val="22"/>
          <w:szCs w:val="22"/>
          <w:lang w:val="sr-Latn-RS"/>
        </w:rPr>
        <w:t xml:space="preserve">reakcije </w:t>
      </w:r>
      <w:r w:rsidRPr="00234ECD">
        <w:rPr>
          <w:rFonts w:eastAsia="Calibri"/>
          <w:color w:val="000000"/>
          <w:sz w:val="22"/>
          <w:szCs w:val="22"/>
          <w:lang w:val="sr-Latn-RS"/>
        </w:rPr>
        <w:t>(incidenca ≥1%)</w:t>
      </w:r>
      <w:r w:rsidR="00CF1D46" w:rsidRPr="00234ECD">
        <w:rPr>
          <w:rFonts w:eastAsia="Calibri"/>
          <w:color w:val="000000"/>
          <w:sz w:val="22"/>
          <w:szCs w:val="22"/>
          <w:lang w:val="sr-Latn-RS"/>
        </w:rPr>
        <w:t xml:space="preserve"> su</w:t>
      </w:r>
      <w:r w:rsidRPr="00234ECD">
        <w:rPr>
          <w:rFonts w:eastAsia="Calibri"/>
          <w:color w:val="000000"/>
          <w:sz w:val="22"/>
          <w:szCs w:val="22"/>
          <w:lang w:val="sr-Latn-RS"/>
        </w:rPr>
        <w:t xml:space="preserve"> dijareja, pneumonitis, plućna embolija, upala pluća, hiponatrijemija, pireksija, insuficijencija nadbubrežne žl</w:t>
      </w:r>
      <w:r w:rsidR="00FB0EB6" w:rsidRPr="00234ECD">
        <w:rPr>
          <w:rFonts w:eastAsia="Calibri"/>
          <w:color w:val="000000"/>
          <w:sz w:val="22"/>
          <w:szCs w:val="22"/>
          <w:lang w:val="sr-Latn-RS"/>
        </w:rPr>
        <w:t>ij</w:t>
      </w:r>
      <w:r w:rsidRPr="00234ECD">
        <w:rPr>
          <w:rFonts w:eastAsia="Calibri"/>
          <w:color w:val="000000"/>
          <w:sz w:val="22"/>
          <w:szCs w:val="22"/>
          <w:lang w:val="sr-Latn-RS"/>
        </w:rPr>
        <w:t xml:space="preserve">ezde, povraćanje, dehidracija. </w:t>
      </w:r>
    </w:p>
    <w:p w14:paraId="2D626F0E" w14:textId="77777777" w:rsidR="00D857AC" w:rsidRPr="00234ECD" w:rsidRDefault="00D857AC" w:rsidP="00D857AC">
      <w:pPr>
        <w:autoSpaceDE w:val="0"/>
        <w:autoSpaceDN w:val="0"/>
        <w:adjustRightInd w:val="0"/>
        <w:rPr>
          <w:rFonts w:eastAsia="Calibri"/>
          <w:color w:val="000000"/>
          <w:sz w:val="22"/>
          <w:szCs w:val="22"/>
          <w:lang w:val="sr-Latn-RS"/>
        </w:rPr>
      </w:pPr>
    </w:p>
    <w:p w14:paraId="344B4AA5" w14:textId="647E664F" w:rsidR="00D857AC" w:rsidRPr="00234ECD" w:rsidRDefault="00D857AC" w:rsidP="003D5E41">
      <w:pPr>
        <w:autoSpaceDE w:val="0"/>
        <w:autoSpaceDN w:val="0"/>
        <w:adjustRightInd w:val="0"/>
        <w:jc w:val="both"/>
        <w:rPr>
          <w:rFonts w:eastAsia="Calibri"/>
          <w:color w:val="000000"/>
          <w:sz w:val="22"/>
          <w:szCs w:val="22"/>
          <w:lang w:val="sr-Latn-RS"/>
        </w:rPr>
      </w:pPr>
      <w:r w:rsidRPr="00234ECD">
        <w:rPr>
          <w:rFonts w:eastAsia="Calibri"/>
          <w:color w:val="000000"/>
          <w:sz w:val="22"/>
          <w:szCs w:val="22"/>
          <w:lang w:val="sr-Latn-RS"/>
        </w:rPr>
        <w:t>Najčešće neželjene reakcije (≥25%) bile su dijareja, umor, sindrom palmarno-plantarne eritrodizestezije, stomatitis, mišićno-koštani bol, hipertenzija, osip, hipotireoza, smanjenje apetita, mučnina, bolovi u abdomenu. Većina neželjenih reakcija bila je blaga do um</w:t>
      </w:r>
      <w:r w:rsidR="00FB0EB6" w:rsidRPr="00234ECD">
        <w:rPr>
          <w:rFonts w:eastAsia="Calibri"/>
          <w:color w:val="000000"/>
          <w:sz w:val="22"/>
          <w:szCs w:val="22"/>
          <w:lang w:val="sr-Latn-RS"/>
        </w:rPr>
        <w:t>j</w:t>
      </w:r>
      <w:r w:rsidRPr="00234ECD">
        <w:rPr>
          <w:rFonts w:eastAsia="Calibri"/>
          <w:color w:val="000000"/>
          <w:sz w:val="22"/>
          <w:szCs w:val="22"/>
          <w:lang w:val="sr-Latn-RS"/>
        </w:rPr>
        <w:t xml:space="preserve">erena (1. ili 2. stepena). </w:t>
      </w:r>
    </w:p>
    <w:p w14:paraId="477B7E9F" w14:textId="77777777" w:rsidR="00D857AC" w:rsidRPr="00234ECD" w:rsidRDefault="00D857AC" w:rsidP="00D857AC">
      <w:pPr>
        <w:autoSpaceDE w:val="0"/>
        <w:autoSpaceDN w:val="0"/>
        <w:adjustRightInd w:val="0"/>
        <w:rPr>
          <w:rFonts w:eastAsia="Calibri"/>
          <w:color w:val="000000"/>
          <w:sz w:val="22"/>
          <w:szCs w:val="22"/>
          <w:lang w:val="sr-Latn-RS"/>
        </w:rPr>
      </w:pPr>
    </w:p>
    <w:p w14:paraId="67B57C11" w14:textId="77777777" w:rsidR="00D857AC" w:rsidRPr="00234ECD" w:rsidRDefault="00D857AC" w:rsidP="00D857AC">
      <w:pPr>
        <w:autoSpaceDE w:val="0"/>
        <w:autoSpaceDN w:val="0"/>
        <w:adjustRightInd w:val="0"/>
        <w:rPr>
          <w:rFonts w:eastAsia="Calibri"/>
          <w:color w:val="000000"/>
          <w:sz w:val="22"/>
          <w:szCs w:val="22"/>
          <w:u w:val="single"/>
          <w:lang w:val="sr-Latn-RS"/>
        </w:rPr>
      </w:pPr>
      <w:r w:rsidRPr="00234ECD">
        <w:rPr>
          <w:rFonts w:eastAsia="Calibri"/>
          <w:color w:val="000000"/>
          <w:sz w:val="22"/>
          <w:szCs w:val="22"/>
          <w:u w:val="single"/>
          <w:lang w:val="sr-Latn-RS"/>
        </w:rPr>
        <w:t xml:space="preserve">Tabelarna lista neželjenih reakcija </w:t>
      </w:r>
    </w:p>
    <w:p w14:paraId="38657E01" w14:textId="7032C0E3" w:rsidR="00D857AC" w:rsidRPr="00234ECD" w:rsidRDefault="00D857AC" w:rsidP="00D857AC">
      <w:pPr>
        <w:jc w:val="both"/>
        <w:rPr>
          <w:rFonts w:eastAsia="Calibri"/>
          <w:sz w:val="22"/>
          <w:szCs w:val="22"/>
          <w:lang w:val="sr-Latn-RS"/>
        </w:rPr>
      </w:pPr>
      <w:r w:rsidRPr="00234ECD">
        <w:rPr>
          <w:rFonts w:eastAsia="Calibri"/>
          <w:color w:val="000000"/>
          <w:sz w:val="22"/>
          <w:szCs w:val="22"/>
          <w:lang w:val="sr-Latn-RS"/>
        </w:rPr>
        <w:t>Neželjene reakcije identifikovane u kliničkom ispitivanju kabozantiniba u kombinaciji sa nivolumabom navedene su u Tabeli 3, prema MedDRA klasifikaciji sistema organa i kategorijama učestalosti. Učestalost je zasnovana na svim stepenima i definiše se kao: veoma često (≥1/10), često (≥1/100 i &lt;1/10); povremeno (≥1/1000 i &lt;1/100); nepoznato (ne može se proc</w:t>
      </w:r>
      <w:r w:rsidR="00FB0EB6" w:rsidRPr="00234ECD">
        <w:rPr>
          <w:rFonts w:eastAsia="Calibri"/>
          <w:color w:val="000000"/>
          <w:sz w:val="22"/>
          <w:szCs w:val="22"/>
          <w:lang w:val="sr-Latn-RS"/>
        </w:rPr>
        <w:t>ij</w:t>
      </w:r>
      <w:r w:rsidRPr="00234ECD">
        <w:rPr>
          <w:rFonts w:eastAsia="Calibri"/>
          <w:color w:val="000000"/>
          <w:sz w:val="22"/>
          <w:szCs w:val="22"/>
          <w:lang w:val="sr-Latn-RS"/>
        </w:rPr>
        <w:t>eniti iz dostupnih podataka). Unutar svake kategorije učestalosti, neželjene reakcije su prikazane prema opadajućoj ozbiljnosti.</w:t>
      </w:r>
    </w:p>
    <w:p w14:paraId="289FC06F" w14:textId="77777777" w:rsidR="00D857AC" w:rsidRPr="00234ECD" w:rsidRDefault="00D857AC" w:rsidP="00D857AC">
      <w:pPr>
        <w:jc w:val="both"/>
        <w:rPr>
          <w:rFonts w:eastAsia="Calibri"/>
          <w:sz w:val="22"/>
          <w:szCs w:val="22"/>
          <w:lang w:val="sr-Latn-RS"/>
        </w:rPr>
      </w:pPr>
    </w:p>
    <w:p w14:paraId="13A63486" w14:textId="77777777" w:rsidR="00D857AC" w:rsidRPr="00234ECD" w:rsidRDefault="00D857AC" w:rsidP="00D857AC">
      <w:pPr>
        <w:jc w:val="both"/>
        <w:rPr>
          <w:rFonts w:eastAsia="Calibri"/>
          <w:sz w:val="22"/>
          <w:szCs w:val="22"/>
          <w:u w:val="single"/>
          <w:lang w:val="sr-Latn-RS"/>
        </w:rPr>
      </w:pPr>
      <w:r w:rsidRPr="00234ECD">
        <w:rPr>
          <w:rFonts w:eastAsia="Calibri"/>
          <w:b/>
          <w:sz w:val="22"/>
          <w:szCs w:val="22"/>
          <w:lang w:val="sr-Latn-RS"/>
        </w:rPr>
        <w:t>Tabela 3: Neželjene reakcije kabozantiniba u  kombinaciji sa nivolumabom</w:t>
      </w:r>
    </w:p>
    <w:p w14:paraId="6A39B61E" w14:textId="77777777" w:rsidR="00D857AC" w:rsidRPr="00234ECD" w:rsidRDefault="00D857AC" w:rsidP="00D857AC">
      <w:pPr>
        <w:jc w:val="both"/>
        <w:rPr>
          <w:rFonts w:eastAsia="Calibri"/>
          <w:sz w:val="22"/>
          <w:szCs w:val="22"/>
          <w:u w:val="single"/>
          <w:lang w:val="sr-Latn-RS"/>
        </w:rPr>
      </w:pPr>
    </w:p>
    <w:tbl>
      <w:tblPr>
        <w:tblW w:w="9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200"/>
        <w:gridCol w:w="7535"/>
      </w:tblGrid>
      <w:tr w:rsidR="00D857AC" w:rsidRPr="00234ECD" w14:paraId="55A343BD" w14:textId="77777777" w:rsidTr="00D857AC">
        <w:trPr>
          <w:trHeight w:val="100"/>
        </w:trPr>
        <w:tc>
          <w:tcPr>
            <w:tcW w:w="9742" w:type="dxa"/>
            <w:gridSpan w:val="2"/>
            <w:tcBorders>
              <w:top w:val="single" w:sz="4" w:space="0" w:color="auto"/>
              <w:left w:val="single" w:sz="4" w:space="0" w:color="auto"/>
              <w:bottom w:val="single" w:sz="4" w:space="0" w:color="auto"/>
              <w:right w:val="single" w:sz="4" w:space="0" w:color="auto"/>
            </w:tcBorders>
            <w:hideMark/>
          </w:tcPr>
          <w:p w14:paraId="430C9B01" w14:textId="77777777" w:rsidR="00D857AC" w:rsidRPr="00234ECD" w:rsidRDefault="00D857AC" w:rsidP="00D857AC">
            <w:pPr>
              <w:autoSpaceDE w:val="0"/>
              <w:autoSpaceDN w:val="0"/>
              <w:adjustRightInd w:val="0"/>
              <w:rPr>
                <w:rFonts w:eastAsia="Calibri"/>
                <w:b/>
                <w:bCs/>
                <w:sz w:val="22"/>
                <w:szCs w:val="22"/>
                <w:lang w:val="sr-Latn-RS"/>
              </w:rPr>
            </w:pPr>
            <w:r w:rsidRPr="00234ECD">
              <w:rPr>
                <w:rFonts w:eastAsia="Calibri"/>
                <w:b/>
                <w:bCs/>
                <w:sz w:val="22"/>
                <w:szCs w:val="22"/>
                <w:lang w:val="sr-Latn-RS"/>
              </w:rPr>
              <w:t xml:space="preserve">Infekcije i infestacije </w:t>
            </w:r>
          </w:p>
        </w:tc>
      </w:tr>
      <w:tr w:rsidR="00D857AC" w:rsidRPr="00234ECD" w14:paraId="577E7897" w14:textId="77777777" w:rsidTr="00D857AC">
        <w:trPr>
          <w:trHeight w:val="100"/>
        </w:trPr>
        <w:tc>
          <w:tcPr>
            <w:tcW w:w="2201" w:type="dxa"/>
            <w:tcBorders>
              <w:top w:val="single" w:sz="4" w:space="0" w:color="auto"/>
              <w:left w:val="single" w:sz="4" w:space="0" w:color="auto"/>
              <w:bottom w:val="single" w:sz="4" w:space="0" w:color="auto"/>
              <w:right w:val="single" w:sz="4" w:space="0" w:color="auto"/>
            </w:tcBorders>
            <w:hideMark/>
          </w:tcPr>
          <w:p w14:paraId="736A8359"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Veoma često</w:t>
            </w:r>
          </w:p>
        </w:tc>
        <w:tc>
          <w:tcPr>
            <w:tcW w:w="7541" w:type="dxa"/>
            <w:tcBorders>
              <w:top w:val="single" w:sz="4" w:space="0" w:color="auto"/>
              <w:left w:val="single" w:sz="4" w:space="0" w:color="auto"/>
              <w:bottom w:val="single" w:sz="4" w:space="0" w:color="auto"/>
              <w:right w:val="single" w:sz="4" w:space="0" w:color="auto"/>
            </w:tcBorders>
            <w:hideMark/>
          </w:tcPr>
          <w:p w14:paraId="583DD76E"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infekcija gornjih disajnih puteva</w:t>
            </w:r>
          </w:p>
        </w:tc>
      </w:tr>
      <w:tr w:rsidR="00D857AC" w:rsidRPr="00234ECD" w14:paraId="3FBD2CB1" w14:textId="77777777" w:rsidTr="00D857AC">
        <w:trPr>
          <w:trHeight w:val="100"/>
        </w:trPr>
        <w:tc>
          <w:tcPr>
            <w:tcW w:w="2201" w:type="dxa"/>
            <w:tcBorders>
              <w:top w:val="single" w:sz="4" w:space="0" w:color="auto"/>
              <w:left w:val="single" w:sz="4" w:space="0" w:color="auto"/>
              <w:bottom w:val="single" w:sz="4" w:space="0" w:color="auto"/>
              <w:right w:val="single" w:sz="4" w:space="0" w:color="auto"/>
            </w:tcBorders>
            <w:hideMark/>
          </w:tcPr>
          <w:p w14:paraId="29E52CB2"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Često</w:t>
            </w:r>
          </w:p>
        </w:tc>
        <w:tc>
          <w:tcPr>
            <w:tcW w:w="7541" w:type="dxa"/>
            <w:tcBorders>
              <w:top w:val="single" w:sz="4" w:space="0" w:color="auto"/>
              <w:left w:val="single" w:sz="4" w:space="0" w:color="auto"/>
              <w:bottom w:val="single" w:sz="4" w:space="0" w:color="auto"/>
              <w:right w:val="single" w:sz="4" w:space="0" w:color="auto"/>
            </w:tcBorders>
            <w:hideMark/>
          </w:tcPr>
          <w:p w14:paraId="57F07B75"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pneumonija</w:t>
            </w:r>
          </w:p>
        </w:tc>
      </w:tr>
      <w:tr w:rsidR="00D857AC" w:rsidRPr="00234ECD" w14:paraId="5A221D0F" w14:textId="77777777" w:rsidTr="00D857AC">
        <w:trPr>
          <w:trHeight w:val="386"/>
        </w:trPr>
        <w:tc>
          <w:tcPr>
            <w:tcW w:w="9742" w:type="dxa"/>
            <w:gridSpan w:val="2"/>
            <w:tcBorders>
              <w:top w:val="single" w:sz="4" w:space="0" w:color="auto"/>
              <w:left w:val="single" w:sz="4" w:space="0" w:color="auto"/>
              <w:bottom w:val="single" w:sz="4" w:space="0" w:color="auto"/>
              <w:right w:val="single" w:sz="4" w:space="0" w:color="auto"/>
            </w:tcBorders>
            <w:hideMark/>
          </w:tcPr>
          <w:p w14:paraId="57685F6F" w14:textId="77777777" w:rsidR="00D857AC" w:rsidRPr="00234ECD" w:rsidRDefault="00D857AC" w:rsidP="00D857AC">
            <w:pPr>
              <w:autoSpaceDE w:val="0"/>
              <w:autoSpaceDN w:val="0"/>
              <w:adjustRightInd w:val="0"/>
              <w:rPr>
                <w:rFonts w:eastAsia="Calibri"/>
                <w:b/>
                <w:bCs/>
                <w:sz w:val="22"/>
                <w:szCs w:val="22"/>
                <w:lang w:val="sr-Latn-RS"/>
              </w:rPr>
            </w:pPr>
            <w:r w:rsidRPr="00234ECD">
              <w:rPr>
                <w:rFonts w:eastAsia="Calibri"/>
                <w:b/>
                <w:bCs/>
                <w:sz w:val="22"/>
                <w:szCs w:val="22"/>
                <w:lang w:val="sr-Latn-RS"/>
              </w:rPr>
              <w:t xml:space="preserve">Poremećaji krvi i limfnog sistema </w:t>
            </w:r>
          </w:p>
        </w:tc>
      </w:tr>
      <w:tr w:rsidR="00D857AC" w:rsidRPr="00234ECD" w14:paraId="13BF0854"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69C1AC54"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Često</w:t>
            </w:r>
          </w:p>
        </w:tc>
        <w:tc>
          <w:tcPr>
            <w:tcW w:w="7541" w:type="dxa"/>
            <w:tcBorders>
              <w:top w:val="single" w:sz="4" w:space="0" w:color="auto"/>
              <w:left w:val="single" w:sz="4" w:space="0" w:color="auto"/>
              <w:bottom w:val="single" w:sz="4" w:space="0" w:color="auto"/>
              <w:right w:val="single" w:sz="4" w:space="0" w:color="auto"/>
            </w:tcBorders>
            <w:hideMark/>
          </w:tcPr>
          <w:p w14:paraId="45FCF13A"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eozinofilija</w:t>
            </w:r>
          </w:p>
        </w:tc>
      </w:tr>
      <w:tr w:rsidR="00D857AC" w:rsidRPr="00234ECD" w14:paraId="36264E8F" w14:textId="77777777" w:rsidTr="00D857AC">
        <w:trPr>
          <w:trHeight w:val="386"/>
        </w:trPr>
        <w:tc>
          <w:tcPr>
            <w:tcW w:w="9742" w:type="dxa"/>
            <w:gridSpan w:val="2"/>
            <w:tcBorders>
              <w:top w:val="single" w:sz="4" w:space="0" w:color="auto"/>
              <w:left w:val="single" w:sz="4" w:space="0" w:color="auto"/>
              <w:bottom w:val="single" w:sz="4" w:space="0" w:color="auto"/>
              <w:right w:val="single" w:sz="4" w:space="0" w:color="auto"/>
            </w:tcBorders>
            <w:hideMark/>
          </w:tcPr>
          <w:p w14:paraId="22AF3238" w14:textId="77777777" w:rsidR="00D857AC" w:rsidRPr="00234ECD" w:rsidRDefault="00D857AC" w:rsidP="00D857AC">
            <w:pPr>
              <w:autoSpaceDE w:val="0"/>
              <w:autoSpaceDN w:val="0"/>
              <w:adjustRightInd w:val="0"/>
              <w:rPr>
                <w:rFonts w:eastAsia="Calibri"/>
                <w:b/>
                <w:bCs/>
                <w:sz w:val="22"/>
                <w:szCs w:val="22"/>
                <w:lang w:val="sr-Latn-RS"/>
              </w:rPr>
            </w:pPr>
            <w:bookmarkStart w:id="3" w:name="_Hlk85440915"/>
            <w:r w:rsidRPr="00234ECD">
              <w:rPr>
                <w:rFonts w:eastAsia="Calibri"/>
                <w:b/>
                <w:bCs/>
                <w:sz w:val="22"/>
                <w:szCs w:val="22"/>
                <w:lang w:val="sr-Latn-RS"/>
              </w:rPr>
              <w:t xml:space="preserve">Poremećaji imunog sistema </w:t>
            </w:r>
          </w:p>
        </w:tc>
      </w:tr>
      <w:tr w:rsidR="00D857AC" w:rsidRPr="00234ECD" w14:paraId="111BD740"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76A090F9"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Često</w:t>
            </w:r>
          </w:p>
        </w:tc>
        <w:tc>
          <w:tcPr>
            <w:tcW w:w="7541" w:type="dxa"/>
            <w:tcBorders>
              <w:top w:val="single" w:sz="4" w:space="0" w:color="auto"/>
              <w:left w:val="single" w:sz="4" w:space="0" w:color="auto"/>
              <w:bottom w:val="single" w:sz="4" w:space="0" w:color="auto"/>
              <w:right w:val="single" w:sz="4" w:space="0" w:color="auto"/>
            </w:tcBorders>
            <w:hideMark/>
          </w:tcPr>
          <w:p w14:paraId="08E6962C" w14:textId="30AC8C99"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preos</w:t>
            </w:r>
            <w:r w:rsidR="00FB0EB6" w:rsidRPr="00234ECD">
              <w:rPr>
                <w:rFonts w:eastAsia="Calibri"/>
                <w:sz w:val="22"/>
                <w:szCs w:val="22"/>
                <w:lang w:val="sr-Latn-RS"/>
              </w:rPr>
              <w:t>j</w:t>
            </w:r>
            <w:r w:rsidRPr="00234ECD">
              <w:rPr>
                <w:rFonts w:eastAsia="Calibri"/>
                <w:sz w:val="22"/>
                <w:szCs w:val="22"/>
                <w:lang w:val="sr-Latn-RS"/>
              </w:rPr>
              <w:t xml:space="preserve">etljivost (uključujući </w:t>
            </w:r>
            <w:r w:rsidR="003E42B2" w:rsidRPr="00234ECD">
              <w:rPr>
                <w:rFonts w:eastAsia="Calibri"/>
                <w:sz w:val="22"/>
                <w:szCs w:val="22"/>
                <w:lang w:val="sr-Latn-RS"/>
              </w:rPr>
              <w:t>anafilaktičku reakciju</w:t>
            </w:r>
            <w:r w:rsidRPr="00234ECD">
              <w:rPr>
                <w:rFonts w:eastAsia="Calibri"/>
                <w:sz w:val="22"/>
                <w:szCs w:val="22"/>
                <w:lang w:val="sr-Latn-RS"/>
              </w:rPr>
              <w:t>)</w:t>
            </w:r>
          </w:p>
        </w:tc>
      </w:tr>
      <w:tr w:rsidR="00D857AC" w:rsidRPr="00234ECD" w14:paraId="5438004A"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741D6DBD"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Povremeno</w:t>
            </w:r>
          </w:p>
        </w:tc>
        <w:tc>
          <w:tcPr>
            <w:tcW w:w="7541" w:type="dxa"/>
            <w:tcBorders>
              <w:top w:val="single" w:sz="4" w:space="0" w:color="auto"/>
              <w:left w:val="single" w:sz="4" w:space="0" w:color="auto"/>
              <w:bottom w:val="single" w:sz="4" w:space="0" w:color="auto"/>
              <w:right w:val="single" w:sz="4" w:space="0" w:color="auto"/>
            </w:tcBorders>
            <w:hideMark/>
          </w:tcPr>
          <w:p w14:paraId="2807F468" w14:textId="44E1AC13"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reakcija preos</w:t>
            </w:r>
            <w:r w:rsidR="00FB0EB6" w:rsidRPr="00234ECD">
              <w:rPr>
                <w:rFonts w:eastAsia="Calibri"/>
                <w:sz w:val="22"/>
                <w:szCs w:val="22"/>
                <w:lang w:val="sr-Latn-RS"/>
              </w:rPr>
              <w:t>j</w:t>
            </w:r>
            <w:r w:rsidRPr="00234ECD">
              <w:rPr>
                <w:rFonts w:eastAsia="Calibri"/>
                <w:sz w:val="22"/>
                <w:szCs w:val="22"/>
                <w:lang w:val="sr-Latn-RS"/>
              </w:rPr>
              <w:t>etljivosti povezana sa infuzijom</w:t>
            </w:r>
          </w:p>
        </w:tc>
      </w:tr>
      <w:tr w:rsidR="00D857AC" w:rsidRPr="00234ECD" w14:paraId="78029FEB" w14:textId="77777777" w:rsidTr="00D857AC">
        <w:trPr>
          <w:trHeight w:val="386"/>
        </w:trPr>
        <w:tc>
          <w:tcPr>
            <w:tcW w:w="9742" w:type="dxa"/>
            <w:gridSpan w:val="2"/>
            <w:tcBorders>
              <w:top w:val="single" w:sz="4" w:space="0" w:color="auto"/>
              <w:left w:val="single" w:sz="4" w:space="0" w:color="auto"/>
              <w:bottom w:val="single" w:sz="4" w:space="0" w:color="auto"/>
              <w:right w:val="single" w:sz="4" w:space="0" w:color="auto"/>
            </w:tcBorders>
            <w:hideMark/>
          </w:tcPr>
          <w:p w14:paraId="036FEDCE" w14:textId="77777777" w:rsidR="00D857AC" w:rsidRPr="00234ECD" w:rsidRDefault="00D857AC" w:rsidP="00D857AC">
            <w:pPr>
              <w:autoSpaceDE w:val="0"/>
              <w:autoSpaceDN w:val="0"/>
              <w:adjustRightInd w:val="0"/>
              <w:rPr>
                <w:rFonts w:eastAsia="Calibri"/>
                <w:b/>
                <w:bCs/>
                <w:sz w:val="22"/>
                <w:szCs w:val="22"/>
                <w:lang w:val="sr-Latn-RS"/>
              </w:rPr>
            </w:pPr>
            <w:r w:rsidRPr="00234ECD">
              <w:rPr>
                <w:rFonts w:eastAsia="Calibri"/>
                <w:b/>
                <w:bCs/>
                <w:sz w:val="22"/>
                <w:szCs w:val="22"/>
                <w:lang w:val="sr-Latn-RS"/>
              </w:rPr>
              <w:t xml:space="preserve">Endokrini poremećaji </w:t>
            </w:r>
          </w:p>
        </w:tc>
      </w:tr>
      <w:tr w:rsidR="00D857AC" w:rsidRPr="00234ECD" w14:paraId="41B73515"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17BE0165"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Veoma često</w:t>
            </w:r>
          </w:p>
        </w:tc>
        <w:tc>
          <w:tcPr>
            <w:tcW w:w="7541" w:type="dxa"/>
            <w:tcBorders>
              <w:top w:val="single" w:sz="4" w:space="0" w:color="auto"/>
              <w:left w:val="single" w:sz="4" w:space="0" w:color="auto"/>
              <w:bottom w:val="single" w:sz="4" w:space="0" w:color="auto"/>
              <w:right w:val="single" w:sz="4" w:space="0" w:color="auto"/>
            </w:tcBorders>
            <w:hideMark/>
          </w:tcPr>
          <w:p w14:paraId="6F483F74"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hipotireoza, hipertireoza</w:t>
            </w:r>
          </w:p>
        </w:tc>
      </w:tr>
      <w:tr w:rsidR="00D857AC" w:rsidRPr="00234ECD" w14:paraId="25532E1A"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2C7C4EDB"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Često</w:t>
            </w:r>
          </w:p>
        </w:tc>
        <w:tc>
          <w:tcPr>
            <w:tcW w:w="7541" w:type="dxa"/>
            <w:tcBorders>
              <w:top w:val="single" w:sz="4" w:space="0" w:color="auto"/>
              <w:left w:val="single" w:sz="4" w:space="0" w:color="auto"/>
              <w:bottom w:val="single" w:sz="4" w:space="0" w:color="auto"/>
              <w:right w:val="single" w:sz="4" w:space="0" w:color="auto"/>
            </w:tcBorders>
            <w:hideMark/>
          </w:tcPr>
          <w:p w14:paraId="37E9F470" w14:textId="4B550B19"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insuficijencija nadbubrežne žl</w:t>
            </w:r>
            <w:r w:rsidR="00FB0EB6" w:rsidRPr="00234ECD">
              <w:rPr>
                <w:rFonts w:eastAsia="Calibri"/>
                <w:sz w:val="22"/>
                <w:szCs w:val="22"/>
                <w:lang w:val="sr-Latn-RS"/>
              </w:rPr>
              <w:t>ij</w:t>
            </w:r>
            <w:r w:rsidRPr="00234ECD">
              <w:rPr>
                <w:rFonts w:eastAsia="Calibri"/>
                <w:sz w:val="22"/>
                <w:szCs w:val="22"/>
                <w:lang w:val="sr-Latn-RS"/>
              </w:rPr>
              <w:t>ezde</w:t>
            </w:r>
          </w:p>
        </w:tc>
      </w:tr>
      <w:tr w:rsidR="00D857AC" w:rsidRPr="00234ECD" w14:paraId="61FDF223"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031C64E1"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Povremeno</w:t>
            </w:r>
          </w:p>
        </w:tc>
        <w:tc>
          <w:tcPr>
            <w:tcW w:w="7541" w:type="dxa"/>
            <w:tcBorders>
              <w:top w:val="single" w:sz="4" w:space="0" w:color="auto"/>
              <w:left w:val="single" w:sz="4" w:space="0" w:color="auto"/>
              <w:bottom w:val="single" w:sz="4" w:space="0" w:color="auto"/>
              <w:right w:val="single" w:sz="4" w:space="0" w:color="auto"/>
            </w:tcBorders>
            <w:hideMark/>
          </w:tcPr>
          <w:p w14:paraId="7356BF83"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hipofizitis, tireoiditis</w:t>
            </w:r>
          </w:p>
        </w:tc>
      </w:tr>
      <w:tr w:rsidR="00D857AC" w:rsidRPr="00234ECD" w14:paraId="1B3D88A8" w14:textId="77777777" w:rsidTr="00D857AC">
        <w:trPr>
          <w:trHeight w:val="386"/>
        </w:trPr>
        <w:tc>
          <w:tcPr>
            <w:tcW w:w="9742" w:type="dxa"/>
            <w:gridSpan w:val="2"/>
            <w:tcBorders>
              <w:top w:val="single" w:sz="4" w:space="0" w:color="auto"/>
              <w:left w:val="single" w:sz="4" w:space="0" w:color="auto"/>
              <w:bottom w:val="single" w:sz="4" w:space="0" w:color="auto"/>
              <w:right w:val="single" w:sz="4" w:space="0" w:color="auto"/>
            </w:tcBorders>
            <w:hideMark/>
          </w:tcPr>
          <w:p w14:paraId="663F08B2" w14:textId="77777777" w:rsidR="00D857AC" w:rsidRPr="00234ECD" w:rsidRDefault="00D857AC" w:rsidP="00D857AC">
            <w:pPr>
              <w:autoSpaceDE w:val="0"/>
              <w:autoSpaceDN w:val="0"/>
              <w:adjustRightInd w:val="0"/>
              <w:rPr>
                <w:rFonts w:eastAsia="Calibri"/>
                <w:b/>
                <w:bCs/>
                <w:sz w:val="22"/>
                <w:szCs w:val="22"/>
                <w:lang w:val="sr-Latn-RS"/>
              </w:rPr>
            </w:pPr>
            <w:r w:rsidRPr="00234ECD">
              <w:rPr>
                <w:rFonts w:eastAsia="Calibri"/>
                <w:b/>
                <w:bCs/>
                <w:sz w:val="22"/>
                <w:szCs w:val="22"/>
                <w:lang w:val="sr-Latn-RS"/>
              </w:rPr>
              <w:t xml:space="preserve">Poremećaji metabolizma i ishrane </w:t>
            </w:r>
          </w:p>
        </w:tc>
      </w:tr>
      <w:tr w:rsidR="00D857AC" w:rsidRPr="00234ECD" w14:paraId="7C1182E2"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22B04F67"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Veoma često</w:t>
            </w:r>
          </w:p>
        </w:tc>
        <w:tc>
          <w:tcPr>
            <w:tcW w:w="7541" w:type="dxa"/>
            <w:tcBorders>
              <w:top w:val="single" w:sz="4" w:space="0" w:color="auto"/>
              <w:left w:val="single" w:sz="4" w:space="0" w:color="auto"/>
              <w:bottom w:val="single" w:sz="4" w:space="0" w:color="auto"/>
              <w:right w:val="single" w:sz="4" w:space="0" w:color="auto"/>
            </w:tcBorders>
            <w:hideMark/>
          </w:tcPr>
          <w:p w14:paraId="60E2E900"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smanjen apetit</w:t>
            </w:r>
          </w:p>
        </w:tc>
      </w:tr>
      <w:tr w:rsidR="00D857AC" w:rsidRPr="00234ECD" w14:paraId="3EEA98C0"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46D708CB"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lastRenderedPageBreak/>
              <w:t>Često</w:t>
            </w:r>
          </w:p>
        </w:tc>
        <w:tc>
          <w:tcPr>
            <w:tcW w:w="7541" w:type="dxa"/>
            <w:tcBorders>
              <w:top w:val="single" w:sz="4" w:space="0" w:color="auto"/>
              <w:left w:val="single" w:sz="4" w:space="0" w:color="auto"/>
              <w:bottom w:val="single" w:sz="4" w:space="0" w:color="auto"/>
              <w:right w:val="single" w:sz="4" w:space="0" w:color="auto"/>
            </w:tcBorders>
            <w:hideMark/>
          </w:tcPr>
          <w:p w14:paraId="427934C7"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dehidracija</w:t>
            </w:r>
          </w:p>
        </w:tc>
      </w:tr>
      <w:tr w:rsidR="00D857AC" w:rsidRPr="00234ECD" w14:paraId="256862FF" w14:textId="77777777" w:rsidTr="00D857AC">
        <w:trPr>
          <w:trHeight w:val="386"/>
        </w:trPr>
        <w:tc>
          <w:tcPr>
            <w:tcW w:w="9742" w:type="dxa"/>
            <w:gridSpan w:val="2"/>
            <w:tcBorders>
              <w:top w:val="single" w:sz="4" w:space="0" w:color="auto"/>
              <w:left w:val="single" w:sz="4" w:space="0" w:color="auto"/>
              <w:bottom w:val="single" w:sz="4" w:space="0" w:color="auto"/>
              <w:right w:val="single" w:sz="4" w:space="0" w:color="auto"/>
            </w:tcBorders>
            <w:hideMark/>
          </w:tcPr>
          <w:p w14:paraId="48F2CB27" w14:textId="77777777" w:rsidR="00D857AC" w:rsidRPr="00234ECD" w:rsidRDefault="00D857AC" w:rsidP="00D857AC">
            <w:pPr>
              <w:autoSpaceDE w:val="0"/>
              <w:autoSpaceDN w:val="0"/>
              <w:adjustRightInd w:val="0"/>
              <w:rPr>
                <w:rFonts w:eastAsia="Calibri"/>
                <w:b/>
                <w:bCs/>
                <w:sz w:val="22"/>
                <w:szCs w:val="22"/>
                <w:lang w:val="sr-Latn-RS"/>
              </w:rPr>
            </w:pPr>
            <w:bookmarkStart w:id="4" w:name="_Hlk85441695"/>
            <w:r w:rsidRPr="00234ECD">
              <w:rPr>
                <w:rFonts w:eastAsia="Calibri"/>
                <w:b/>
                <w:bCs/>
                <w:sz w:val="22"/>
                <w:szCs w:val="22"/>
                <w:lang w:val="sr-Latn-RS"/>
              </w:rPr>
              <w:t xml:space="preserve">Poremećaji nervnog sistema </w:t>
            </w:r>
          </w:p>
        </w:tc>
      </w:tr>
      <w:tr w:rsidR="00D857AC" w:rsidRPr="00234ECD" w14:paraId="7D686AB8"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30AAA395"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Veoma često</w:t>
            </w:r>
          </w:p>
        </w:tc>
        <w:tc>
          <w:tcPr>
            <w:tcW w:w="7541" w:type="dxa"/>
            <w:tcBorders>
              <w:top w:val="single" w:sz="4" w:space="0" w:color="auto"/>
              <w:left w:val="single" w:sz="4" w:space="0" w:color="auto"/>
              <w:bottom w:val="single" w:sz="4" w:space="0" w:color="auto"/>
              <w:right w:val="single" w:sz="4" w:space="0" w:color="auto"/>
            </w:tcBorders>
            <w:hideMark/>
          </w:tcPr>
          <w:p w14:paraId="1D5267E4"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disgeuzija, vrtoglavica, glavobolja</w:t>
            </w:r>
          </w:p>
        </w:tc>
      </w:tr>
      <w:tr w:rsidR="00D857AC" w:rsidRPr="00234ECD" w14:paraId="14B9548F"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29D30D55"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Često</w:t>
            </w:r>
          </w:p>
        </w:tc>
        <w:tc>
          <w:tcPr>
            <w:tcW w:w="7541" w:type="dxa"/>
            <w:tcBorders>
              <w:top w:val="single" w:sz="4" w:space="0" w:color="auto"/>
              <w:left w:val="single" w:sz="4" w:space="0" w:color="auto"/>
              <w:bottom w:val="single" w:sz="4" w:space="0" w:color="auto"/>
              <w:right w:val="single" w:sz="4" w:space="0" w:color="auto"/>
            </w:tcBorders>
            <w:hideMark/>
          </w:tcPr>
          <w:p w14:paraId="20B32C5B"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periferna neuropatija</w:t>
            </w:r>
          </w:p>
        </w:tc>
      </w:tr>
      <w:tr w:rsidR="00D857AC" w:rsidRPr="00234ECD" w14:paraId="523E55C0"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24EDBFF4"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Povremeno</w:t>
            </w:r>
          </w:p>
        </w:tc>
        <w:tc>
          <w:tcPr>
            <w:tcW w:w="7541" w:type="dxa"/>
            <w:tcBorders>
              <w:top w:val="single" w:sz="4" w:space="0" w:color="auto"/>
              <w:left w:val="single" w:sz="4" w:space="0" w:color="auto"/>
              <w:bottom w:val="single" w:sz="4" w:space="0" w:color="auto"/>
              <w:right w:val="single" w:sz="4" w:space="0" w:color="auto"/>
            </w:tcBorders>
            <w:hideMark/>
          </w:tcPr>
          <w:p w14:paraId="4FE9AA7D"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autoimuni encefalitis, Guillain-Barréov sindrom, mijastenični sindrom</w:t>
            </w:r>
          </w:p>
        </w:tc>
        <w:bookmarkEnd w:id="4"/>
      </w:tr>
      <w:tr w:rsidR="00D857AC" w:rsidRPr="00234ECD" w14:paraId="2A710850" w14:textId="77777777" w:rsidTr="00D857AC">
        <w:trPr>
          <w:trHeight w:val="386"/>
        </w:trPr>
        <w:tc>
          <w:tcPr>
            <w:tcW w:w="9742" w:type="dxa"/>
            <w:gridSpan w:val="2"/>
            <w:tcBorders>
              <w:top w:val="single" w:sz="4" w:space="0" w:color="auto"/>
              <w:left w:val="single" w:sz="4" w:space="0" w:color="auto"/>
              <w:bottom w:val="single" w:sz="4" w:space="0" w:color="auto"/>
              <w:right w:val="single" w:sz="4" w:space="0" w:color="auto"/>
            </w:tcBorders>
            <w:hideMark/>
          </w:tcPr>
          <w:p w14:paraId="3C6C8682" w14:textId="77777777" w:rsidR="00D857AC" w:rsidRPr="00234ECD" w:rsidRDefault="00D857AC" w:rsidP="00D857AC">
            <w:pPr>
              <w:autoSpaceDE w:val="0"/>
              <w:autoSpaceDN w:val="0"/>
              <w:adjustRightInd w:val="0"/>
              <w:rPr>
                <w:rFonts w:eastAsia="Calibri"/>
                <w:b/>
                <w:bCs/>
                <w:sz w:val="22"/>
                <w:szCs w:val="22"/>
                <w:lang w:val="sr-Latn-RS"/>
              </w:rPr>
            </w:pPr>
            <w:r w:rsidRPr="00234ECD">
              <w:rPr>
                <w:rFonts w:eastAsia="Calibri"/>
                <w:b/>
                <w:bCs/>
                <w:sz w:val="22"/>
                <w:szCs w:val="22"/>
                <w:lang w:val="sr-Latn-RS"/>
              </w:rPr>
              <w:t>Poremećaji uha i labirinta</w:t>
            </w:r>
          </w:p>
        </w:tc>
      </w:tr>
      <w:tr w:rsidR="00D857AC" w:rsidRPr="00234ECD" w14:paraId="2EA88121"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4D58ABCB"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Često</w:t>
            </w:r>
          </w:p>
        </w:tc>
        <w:tc>
          <w:tcPr>
            <w:tcW w:w="7541" w:type="dxa"/>
            <w:tcBorders>
              <w:top w:val="single" w:sz="4" w:space="0" w:color="auto"/>
              <w:left w:val="single" w:sz="4" w:space="0" w:color="auto"/>
              <w:bottom w:val="single" w:sz="4" w:space="0" w:color="auto"/>
              <w:right w:val="single" w:sz="4" w:space="0" w:color="auto"/>
            </w:tcBorders>
            <w:hideMark/>
          </w:tcPr>
          <w:p w14:paraId="5DC37691"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tinitus</w:t>
            </w:r>
          </w:p>
        </w:tc>
        <w:bookmarkEnd w:id="3"/>
      </w:tr>
      <w:tr w:rsidR="00D857AC" w:rsidRPr="00234ECD" w14:paraId="58C09331" w14:textId="77777777" w:rsidTr="00D857AC">
        <w:trPr>
          <w:trHeight w:val="386"/>
        </w:trPr>
        <w:tc>
          <w:tcPr>
            <w:tcW w:w="9742" w:type="dxa"/>
            <w:gridSpan w:val="2"/>
            <w:tcBorders>
              <w:top w:val="single" w:sz="4" w:space="0" w:color="auto"/>
              <w:left w:val="single" w:sz="4" w:space="0" w:color="auto"/>
              <w:bottom w:val="single" w:sz="4" w:space="0" w:color="auto"/>
              <w:right w:val="single" w:sz="4" w:space="0" w:color="auto"/>
            </w:tcBorders>
            <w:hideMark/>
          </w:tcPr>
          <w:p w14:paraId="116E8A69" w14:textId="77777777" w:rsidR="00D857AC" w:rsidRPr="00234ECD" w:rsidRDefault="00D857AC" w:rsidP="00D857AC">
            <w:pPr>
              <w:autoSpaceDE w:val="0"/>
              <w:autoSpaceDN w:val="0"/>
              <w:adjustRightInd w:val="0"/>
              <w:rPr>
                <w:rFonts w:eastAsia="Calibri"/>
                <w:b/>
                <w:bCs/>
                <w:sz w:val="22"/>
                <w:szCs w:val="22"/>
                <w:lang w:val="sr-Latn-RS"/>
              </w:rPr>
            </w:pPr>
            <w:r w:rsidRPr="00234ECD">
              <w:rPr>
                <w:rFonts w:eastAsia="Calibri"/>
                <w:b/>
                <w:bCs/>
                <w:sz w:val="22"/>
                <w:szCs w:val="22"/>
                <w:lang w:val="sr-Latn-RS"/>
              </w:rPr>
              <w:t xml:space="preserve">Poremećaji oka </w:t>
            </w:r>
          </w:p>
        </w:tc>
      </w:tr>
      <w:tr w:rsidR="00D857AC" w:rsidRPr="00234ECD" w14:paraId="4303E01D"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6EDBAFB7"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Često</w:t>
            </w:r>
          </w:p>
        </w:tc>
        <w:tc>
          <w:tcPr>
            <w:tcW w:w="7541" w:type="dxa"/>
            <w:tcBorders>
              <w:top w:val="single" w:sz="4" w:space="0" w:color="auto"/>
              <w:left w:val="single" w:sz="4" w:space="0" w:color="auto"/>
              <w:bottom w:val="single" w:sz="4" w:space="0" w:color="auto"/>
              <w:right w:val="single" w:sz="4" w:space="0" w:color="auto"/>
            </w:tcBorders>
            <w:hideMark/>
          </w:tcPr>
          <w:p w14:paraId="7CF0F56A"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suvoća oka, zamagljen vid</w:t>
            </w:r>
          </w:p>
        </w:tc>
      </w:tr>
      <w:tr w:rsidR="00D857AC" w:rsidRPr="00234ECD" w14:paraId="36203E50"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06B99513"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Povremeno</w:t>
            </w:r>
          </w:p>
        </w:tc>
        <w:tc>
          <w:tcPr>
            <w:tcW w:w="7541" w:type="dxa"/>
            <w:tcBorders>
              <w:top w:val="single" w:sz="4" w:space="0" w:color="auto"/>
              <w:left w:val="single" w:sz="4" w:space="0" w:color="auto"/>
              <w:bottom w:val="single" w:sz="4" w:space="0" w:color="auto"/>
              <w:right w:val="single" w:sz="4" w:space="0" w:color="auto"/>
            </w:tcBorders>
            <w:hideMark/>
          </w:tcPr>
          <w:p w14:paraId="1898B9E5"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uveitis</w:t>
            </w:r>
          </w:p>
        </w:tc>
      </w:tr>
      <w:tr w:rsidR="00D857AC" w:rsidRPr="00234ECD" w14:paraId="3257B85C" w14:textId="77777777" w:rsidTr="00D857AC">
        <w:trPr>
          <w:trHeight w:val="386"/>
        </w:trPr>
        <w:tc>
          <w:tcPr>
            <w:tcW w:w="9742" w:type="dxa"/>
            <w:gridSpan w:val="2"/>
            <w:tcBorders>
              <w:top w:val="single" w:sz="4" w:space="0" w:color="auto"/>
              <w:left w:val="single" w:sz="4" w:space="0" w:color="auto"/>
              <w:bottom w:val="single" w:sz="4" w:space="0" w:color="auto"/>
              <w:right w:val="single" w:sz="4" w:space="0" w:color="auto"/>
            </w:tcBorders>
            <w:hideMark/>
          </w:tcPr>
          <w:p w14:paraId="0E035EC7" w14:textId="77777777" w:rsidR="00D857AC" w:rsidRPr="00234ECD" w:rsidRDefault="00D857AC" w:rsidP="00D857AC">
            <w:pPr>
              <w:autoSpaceDE w:val="0"/>
              <w:autoSpaceDN w:val="0"/>
              <w:adjustRightInd w:val="0"/>
              <w:rPr>
                <w:rFonts w:eastAsia="Calibri"/>
                <w:b/>
                <w:bCs/>
                <w:sz w:val="22"/>
                <w:szCs w:val="22"/>
                <w:lang w:val="sr-Latn-RS"/>
              </w:rPr>
            </w:pPr>
            <w:r w:rsidRPr="00234ECD">
              <w:rPr>
                <w:rFonts w:eastAsia="Calibri"/>
                <w:b/>
                <w:bCs/>
                <w:sz w:val="22"/>
                <w:szCs w:val="22"/>
                <w:lang w:val="sr-Latn-RS"/>
              </w:rPr>
              <w:t>Kardiološki poremećaji</w:t>
            </w:r>
          </w:p>
        </w:tc>
      </w:tr>
      <w:tr w:rsidR="00D857AC" w:rsidRPr="00234ECD" w14:paraId="49892083"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6A486082"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Često</w:t>
            </w:r>
          </w:p>
        </w:tc>
        <w:tc>
          <w:tcPr>
            <w:tcW w:w="7541" w:type="dxa"/>
            <w:tcBorders>
              <w:top w:val="single" w:sz="4" w:space="0" w:color="auto"/>
              <w:left w:val="single" w:sz="4" w:space="0" w:color="auto"/>
              <w:bottom w:val="single" w:sz="4" w:space="0" w:color="auto"/>
              <w:right w:val="single" w:sz="4" w:space="0" w:color="auto"/>
            </w:tcBorders>
            <w:hideMark/>
          </w:tcPr>
          <w:p w14:paraId="75AB592E"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atrijalna fibrilacija, tahikardija</w:t>
            </w:r>
          </w:p>
        </w:tc>
      </w:tr>
      <w:tr w:rsidR="00D857AC" w:rsidRPr="00234ECD" w14:paraId="50E9F86F"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2CB12386" w14:textId="77777777" w:rsidR="00D857AC" w:rsidRPr="00234ECD" w:rsidRDefault="00D857AC" w:rsidP="00D857AC">
            <w:pPr>
              <w:autoSpaceDE w:val="0"/>
              <w:autoSpaceDN w:val="0"/>
              <w:adjustRightInd w:val="0"/>
              <w:rPr>
                <w:rFonts w:eastAsia="Calibri"/>
                <w:sz w:val="22"/>
                <w:szCs w:val="22"/>
                <w:lang w:val="sr-Latn-RS"/>
              </w:rPr>
            </w:pPr>
            <w:bookmarkStart w:id="5" w:name="_Hlk85443307"/>
            <w:r w:rsidRPr="00234ECD">
              <w:rPr>
                <w:rFonts w:eastAsia="Calibri"/>
                <w:sz w:val="22"/>
                <w:szCs w:val="22"/>
                <w:lang w:val="sr-Latn-RS"/>
              </w:rPr>
              <w:t>Povremeno</w:t>
            </w:r>
          </w:p>
        </w:tc>
        <w:tc>
          <w:tcPr>
            <w:tcW w:w="7541" w:type="dxa"/>
            <w:tcBorders>
              <w:top w:val="single" w:sz="4" w:space="0" w:color="auto"/>
              <w:left w:val="single" w:sz="4" w:space="0" w:color="auto"/>
              <w:bottom w:val="single" w:sz="4" w:space="0" w:color="auto"/>
              <w:right w:val="single" w:sz="4" w:space="0" w:color="auto"/>
            </w:tcBorders>
            <w:hideMark/>
          </w:tcPr>
          <w:p w14:paraId="22AC8EAB"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miokarditis</w:t>
            </w:r>
          </w:p>
        </w:tc>
        <w:bookmarkEnd w:id="5"/>
      </w:tr>
      <w:tr w:rsidR="00D857AC" w:rsidRPr="00234ECD" w14:paraId="1F8FD15B" w14:textId="77777777" w:rsidTr="00D857AC">
        <w:trPr>
          <w:trHeight w:val="386"/>
        </w:trPr>
        <w:tc>
          <w:tcPr>
            <w:tcW w:w="9742" w:type="dxa"/>
            <w:gridSpan w:val="2"/>
            <w:tcBorders>
              <w:top w:val="single" w:sz="4" w:space="0" w:color="auto"/>
              <w:left w:val="single" w:sz="4" w:space="0" w:color="auto"/>
              <w:bottom w:val="single" w:sz="4" w:space="0" w:color="auto"/>
              <w:right w:val="single" w:sz="4" w:space="0" w:color="auto"/>
            </w:tcBorders>
            <w:hideMark/>
          </w:tcPr>
          <w:p w14:paraId="3AEC8AA6" w14:textId="77777777" w:rsidR="00D857AC" w:rsidRPr="00234ECD" w:rsidRDefault="00D857AC" w:rsidP="00D857AC">
            <w:pPr>
              <w:autoSpaceDE w:val="0"/>
              <w:autoSpaceDN w:val="0"/>
              <w:adjustRightInd w:val="0"/>
              <w:rPr>
                <w:rFonts w:eastAsia="Calibri"/>
                <w:b/>
                <w:bCs/>
                <w:sz w:val="22"/>
                <w:szCs w:val="22"/>
                <w:lang w:val="sr-Latn-RS"/>
              </w:rPr>
            </w:pPr>
            <w:bookmarkStart w:id="6" w:name="_Hlk85444128"/>
            <w:r w:rsidRPr="00234ECD">
              <w:rPr>
                <w:rFonts w:eastAsia="Calibri"/>
                <w:b/>
                <w:bCs/>
                <w:sz w:val="22"/>
                <w:szCs w:val="22"/>
                <w:lang w:val="sr-Latn-RS"/>
              </w:rPr>
              <w:t xml:space="preserve">Vaskularni poremećaji </w:t>
            </w:r>
          </w:p>
        </w:tc>
      </w:tr>
      <w:tr w:rsidR="00D857AC" w:rsidRPr="00234ECD" w14:paraId="2B8B5333"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6B5F5BBC"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Veoma često</w:t>
            </w:r>
          </w:p>
        </w:tc>
        <w:tc>
          <w:tcPr>
            <w:tcW w:w="7541" w:type="dxa"/>
            <w:tcBorders>
              <w:top w:val="single" w:sz="4" w:space="0" w:color="auto"/>
              <w:left w:val="single" w:sz="4" w:space="0" w:color="auto"/>
              <w:bottom w:val="single" w:sz="4" w:space="0" w:color="auto"/>
              <w:right w:val="single" w:sz="4" w:space="0" w:color="auto"/>
            </w:tcBorders>
            <w:hideMark/>
          </w:tcPr>
          <w:p w14:paraId="444F26AB"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hipertenzija</w:t>
            </w:r>
          </w:p>
        </w:tc>
      </w:tr>
      <w:tr w:rsidR="00D857AC" w:rsidRPr="00234ECD" w14:paraId="4696D1D2"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1B03A6A5"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Često</w:t>
            </w:r>
          </w:p>
        </w:tc>
        <w:tc>
          <w:tcPr>
            <w:tcW w:w="7541" w:type="dxa"/>
            <w:tcBorders>
              <w:top w:val="single" w:sz="4" w:space="0" w:color="auto"/>
              <w:left w:val="single" w:sz="4" w:space="0" w:color="auto"/>
              <w:bottom w:val="single" w:sz="4" w:space="0" w:color="auto"/>
              <w:right w:val="single" w:sz="4" w:space="0" w:color="auto"/>
            </w:tcBorders>
            <w:hideMark/>
          </w:tcPr>
          <w:p w14:paraId="761CB69E"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tromboza</w:t>
            </w:r>
            <w:r w:rsidRPr="00234ECD">
              <w:rPr>
                <w:rFonts w:eastAsia="Calibri"/>
                <w:sz w:val="22"/>
                <w:szCs w:val="22"/>
                <w:vertAlign w:val="superscript"/>
                <w:lang w:val="sr-Latn-RS"/>
              </w:rPr>
              <w:t>a</w:t>
            </w:r>
          </w:p>
        </w:tc>
        <w:bookmarkEnd w:id="6"/>
      </w:tr>
      <w:tr w:rsidR="00A25E52" w:rsidRPr="00234ECD" w14:paraId="2F9EDF26"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tcPr>
          <w:p w14:paraId="57DC9A8A" w14:textId="521CEAF6" w:rsidR="00A25E52" w:rsidRPr="00234ECD" w:rsidRDefault="00A25E52" w:rsidP="00D857AC">
            <w:pPr>
              <w:autoSpaceDE w:val="0"/>
              <w:autoSpaceDN w:val="0"/>
              <w:adjustRightInd w:val="0"/>
              <w:rPr>
                <w:rFonts w:eastAsia="Calibri"/>
                <w:sz w:val="22"/>
                <w:szCs w:val="22"/>
                <w:lang w:val="sr-Latn-RS"/>
              </w:rPr>
            </w:pPr>
            <w:r w:rsidRPr="00234ECD">
              <w:rPr>
                <w:rFonts w:eastAsia="Calibri"/>
                <w:sz w:val="22"/>
                <w:szCs w:val="22"/>
                <w:lang w:val="sr-Latn-RS"/>
              </w:rPr>
              <w:t>Povremeno</w:t>
            </w:r>
          </w:p>
        </w:tc>
        <w:tc>
          <w:tcPr>
            <w:tcW w:w="7541" w:type="dxa"/>
            <w:tcBorders>
              <w:top w:val="single" w:sz="4" w:space="0" w:color="auto"/>
              <w:left w:val="single" w:sz="4" w:space="0" w:color="auto"/>
              <w:bottom w:val="single" w:sz="4" w:space="0" w:color="auto"/>
              <w:right w:val="single" w:sz="4" w:space="0" w:color="auto"/>
            </w:tcBorders>
          </w:tcPr>
          <w:p w14:paraId="45217554" w14:textId="0C150977" w:rsidR="00A25E52" w:rsidRPr="00234ECD" w:rsidRDefault="00A25E52" w:rsidP="00D857AC">
            <w:pPr>
              <w:autoSpaceDE w:val="0"/>
              <w:autoSpaceDN w:val="0"/>
              <w:adjustRightInd w:val="0"/>
              <w:rPr>
                <w:rFonts w:eastAsia="Calibri"/>
                <w:sz w:val="22"/>
                <w:szCs w:val="22"/>
                <w:lang w:val="sr-Latn-RS"/>
              </w:rPr>
            </w:pPr>
            <w:r w:rsidRPr="00234ECD">
              <w:rPr>
                <w:rFonts w:eastAsia="Calibri"/>
                <w:sz w:val="22"/>
                <w:szCs w:val="22"/>
                <w:lang w:val="sr-Latn-RS"/>
              </w:rPr>
              <w:t>arterijska embolija</w:t>
            </w:r>
          </w:p>
        </w:tc>
      </w:tr>
      <w:tr w:rsidR="00D857AC" w:rsidRPr="00234ECD" w14:paraId="414B2F74" w14:textId="77777777" w:rsidTr="00D857AC">
        <w:trPr>
          <w:trHeight w:val="386"/>
        </w:trPr>
        <w:tc>
          <w:tcPr>
            <w:tcW w:w="9742" w:type="dxa"/>
            <w:gridSpan w:val="2"/>
            <w:tcBorders>
              <w:top w:val="single" w:sz="4" w:space="0" w:color="auto"/>
              <w:left w:val="single" w:sz="4" w:space="0" w:color="auto"/>
              <w:bottom w:val="single" w:sz="4" w:space="0" w:color="auto"/>
              <w:right w:val="single" w:sz="4" w:space="0" w:color="auto"/>
            </w:tcBorders>
            <w:hideMark/>
          </w:tcPr>
          <w:p w14:paraId="22FC3A09" w14:textId="77777777" w:rsidR="00D857AC" w:rsidRPr="00234ECD" w:rsidRDefault="00D857AC" w:rsidP="00D857AC">
            <w:pPr>
              <w:autoSpaceDE w:val="0"/>
              <w:autoSpaceDN w:val="0"/>
              <w:adjustRightInd w:val="0"/>
              <w:rPr>
                <w:rFonts w:eastAsia="Calibri"/>
                <w:b/>
                <w:bCs/>
                <w:sz w:val="22"/>
                <w:szCs w:val="22"/>
                <w:lang w:val="sr-Latn-RS"/>
              </w:rPr>
            </w:pPr>
            <w:r w:rsidRPr="00234ECD">
              <w:rPr>
                <w:rFonts w:eastAsia="Calibri"/>
                <w:b/>
                <w:bCs/>
                <w:sz w:val="22"/>
                <w:szCs w:val="22"/>
                <w:lang w:val="sr-Latn-RS"/>
              </w:rPr>
              <w:t>Respiratorni, torakalni i medijastinalni poremećaji</w:t>
            </w:r>
          </w:p>
        </w:tc>
      </w:tr>
      <w:tr w:rsidR="00D857AC" w:rsidRPr="00234ECD" w14:paraId="7790EA8B"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7C685A37"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Veoma često</w:t>
            </w:r>
          </w:p>
        </w:tc>
        <w:tc>
          <w:tcPr>
            <w:tcW w:w="7541" w:type="dxa"/>
            <w:tcBorders>
              <w:top w:val="single" w:sz="4" w:space="0" w:color="auto"/>
              <w:left w:val="single" w:sz="4" w:space="0" w:color="auto"/>
              <w:bottom w:val="single" w:sz="4" w:space="0" w:color="auto"/>
              <w:right w:val="single" w:sz="4" w:space="0" w:color="auto"/>
            </w:tcBorders>
            <w:hideMark/>
          </w:tcPr>
          <w:p w14:paraId="4A59F175"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disfonija, dispneja, kašalj</w:t>
            </w:r>
          </w:p>
        </w:tc>
      </w:tr>
      <w:tr w:rsidR="00D857AC" w:rsidRPr="00234ECD" w14:paraId="79785B14"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0D82DCEC"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Često</w:t>
            </w:r>
          </w:p>
        </w:tc>
        <w:tc>
          <w:tcPr>
            <w:tcW w:w="7541" w:type="dxa"/>
            <w:tcBorders>
              <w:top w:val="single" w:sz="4" w:space="0" w:color="auto"/>
              <w:left w:val="single" w:sz="4" w:space="0" w:color="auto"/>
              <w:bottom w:val="single" w:sz="4" w:space="0" w:color="auto"/>
              <w:right w:val="single" w:sz="4" w:space="0" w:color="auto"/>
            </w:tcBorders>
            <w:hideMark/>
          </w:tcPr>
          <w:p w14:paraId="7061F81D"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pneumonitis, plućna embolija, epistaksa, pleuralni izliv</w:t>
            </w:r>
          </w:p>
        </w:tc>
      </w:tr>
      <w:tr w:rsidR="0072361A" w:rsidRPr="00234ECD" w14:paraId="0C1CAB97"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tcPr>
          <w:p w14:paraId="429B5351" w14:textId="70E13E63" w:rsidR="0072361A" w:rsidRPr="00234ECD" w:rsidRDefault="0072361A" w:rsidP="00D857AC">
            <w:pPr>
              <w:autoSpaceDE w:val="0"/>
              <w:autoSpaceDN w:val="0"/>
              <w:adjustRightInd w:val="0"/>
              <w:rPr>
                <w:rFonts w:eastAsia="Calibri"/>
                <w:sz w:val="22"/>
                <w:szCs w:val="22"/>
                <w:lang w:val="sr-Latn-RS"/>
              </w:rPr>
            </w:pPr>
            <w:r w:rsidRPr="00234ECD">
              <w:rPr>
                <w:rFonts w:eastAsia="Calibri"/>
                <w:sz w:val="22"/>
                <w:szCs w:val="22"/>
                <w:lang w:val="sr-Latn-RS"/>
              </w:rPr>
              <w:t>Povremeno</w:t>
            </w:r>
          </w:p>
        </w:tc>
        <w:tc>
          <w:tcPr>
            <w:tcW w:w="7541" w:type="dxa"/>
            <w:tcBorders>
              <w:top w:val="single" w:sz="4" w:space="0" w:color="auto"/>
              <w:left w:val="single" w:sz="4" w:space="0" w:color="auto"/>
              <w:bottom w:val="single" w:sz="4" w:space="0" w:color="auto"/>
              <w:right w:val="single" w:sz="4" w:space="0" w:color="auto"/>
            </w:tcBorders>
          </w:tcPr>
          <w:p w14:paraId="5BD817FA" w14:textId="05D148A7" w:rsidR="0072361A" w:rsidRPr="00234ECD" w:rsidRDefault="0072361A" w:rsidP="00D857AC">
            <w:pPr>
              <w:autoSpaceDE w:val="0"/>
              <w:autoSpaceDN w:val="0"/>
              <w:adjustRightInd w:val="0"/>
              <w:rPr>
                <w:rFonts w:eastAsia="Calibri"/>
                <w:sz w:val="22"/>
                <w:szCs w:val="22"/>
                <w:lang w:val="sr-Latn-RS"/>
              </w:rPr>
            </w:pPr>
            <w:r w:rsidRPr="00234ECD">
              <w:rPr>
                <w:rFonts w:eastAsia="Calibri"/>
                <w:sz w:val="22"/>
                <w:szCs w:val="22"/>
                <w:lang w:val="sr-Latn-RS"/>
              </w:rPr>
              <w:t>pneumotoraks</w:t>
            </w:r>
          </w:p>
        </w:tc>
      </w:tr>
      <w:tr w:rsidR="00D857AC" w:rsidRPr="00234ECD" w14:paraId="712BCFAE" w14:textId="77777777" w:rsidTr="00D857AC">
        <w:trPr>
          <w:trHeight w:val="386"/>
        </w:trPr>
        <w:tc>
          <w:tcPr>
            <w:tcW w:w="9742" w:type="dxa"/>
            <w:gridSpan w:val="2"/>
            <w:tcBorders>
              <w:top w:val="single" w:sz="4" w:space="0" w:color="auto"/>
              <w:left w:val="single" w:sz="4" w:space="0" w:color="auto"/>
              <w:bottom w:val="single" w:sz="4" w:space="0" w:color="auto"/>
              <w:right w:val="single" w:sz="4" w:space="0" w:color="auto"/>
            </w:tcBorders>
            <w:hideMark/>
          </w:tcPr>
          <w:p w14:paraId="194B19DC" w14:textId="77777777" w:rsidR="00D857AC" w:rsidRPr="00234ECD" w:rsidRDefault="00D857AC" w:rsidP="00D857AC">
            <w:pPr>
              <w:autoSpaceDE w:val="0"/>
              <w:autoSpaceDN w:val="0"/>
              <w:adjustRightInd w:val="0"/>
              <w:rPr>
                <w:rFonts w:eastAsia="Calibri"/>
                <w:b/>
                <w:bCs/>
                <w:sz w:val="22"/>
                <w:szCs w:val="22"/>
                <w:lang w:val="sr-Latn-RS"/>
              </w:rPr>
            </w:pPr>
            <w:r w:rsidRPr="00234ECD">
              <w:rPr>
                <w:rFonts w:eastAsia="Calibri"/>
                <w:b/>
                <w:bCs/>
                <w:sz w:val="22"/>
                <w:szCs w:val="22"/>
                <w:lang w:val="sr-Latn-RS"/>
              </w:rPr>
              <w:t>Gastrointestinalni poremećaji</w:t>
            </w:r>
          </w:p>
        </w:tc>
      </w:tr>
      <w:tr w:rsidR="00D857AC" w:rsidRPr="00234ECD" w14:paraId="373F56B3"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38CB4058"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Veoma često</w:t>
            </w:r>
          </w:p>
        </w:tc>
        <w:tc>
          <w:tcPr>
            <w:tcW w:w="7541" w:type="dxa"/>
            <w:tcBorders>
              <w:top w:val="single" w:sz="4" w:space="0" w:color="auto"/>
              <w:left w:val="single" w:sz="4" w:space="0" w:color="auto"/>
              <w:bottom w:val="single" w:sz="4" w:space="0" w:color="auto"/>
              <w:right w:val="single" w:sz="4" w:space="0" w:color="auto"/>
            </w:tcBorders>
            <w:hideMark/>
          </w:tcPr>
          <w:p w14:paraId="68704CCE"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dijareja, povraćanje, mučnina, konstipacija, stomatitis, bol u abdomenu, dispepsija</w:t>
            </w:r>
          </w:p>
        </w:tc>
      </w:tr>
      <w:tr w:rsidR="00D857AC" w:rsidRPr="00234ECD" w14:paraId="24348075"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13EDDF08"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Često</w:t>
            </w:r>
          </w:p>
        </w:tc>
        <w:tc>
          <w:tcPr>
            <w:tcW w:w="7541" w:type="dxa"/>
            <w:tcBorders>
              <w:top w:val="single" w:sz="4" w:space="0" w:color="auto"/>
              <w:left w:val="single" w:sz="4" w:space="0" w:color="auto"/>
              <w:bottom w:val="single" w:sz="4" w:space="0" w:color="auto"/>
              <w:right w:val="single" w:sz="4" w:space="0" w:color="auto"/>
            </w:tcBorders>
            <w:hideMark/>
          </w:tcPr>
          <w:p w14:paraId="2791ECC1"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kolitis, gastritis, bol u ustima, suva usta, hemoroidi</w:t>
            </w:r>
          </w:p>
        </w:tc>
      </w:tr>
      <w:tr w:rsidR="00D857AC" w:rsidRPr="00234ECD" w14:paraId="5AE0214F"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0D30C1E7"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Povremeno</w:t>
            </w:r>
          </w:p>
        </w:tc>
        <w:tc>
          <w:tcPr>
            <w:tcW w:w="7541" w:type="dxa"/>
            <w:tcBorders>
              <w:top w:val="single" w:sz="4" w:space="0" w:color="auto"/>
              <w:left w:val="single" w:sz="4" w:space="0" w:color="auto"/>
              <w:bottom w:val="single" w:sz="4" w:space="0" w:color="auto"/>
              <w:right w:val="single" w:sz="4" w:space="0" w:color="auto"/>
            </w:tcBorders>
            <w:hideMark/>
          </w:tcPr>
          <w:p w14:paraId="228B73A4" w14:textId="0AF3E72D" w:rsidR="00D857AC" w:rsidRPr="00234ECD" w:rsidRDefault="00D857AC" w:rsidP="00D857AC">
            <w:pPr>
              <w:autoSpaceDE w:val="0"/>
              <w:autoSpaceDN w:val="0"/>
              <w:adjustRightInd w:val="0"/>
              <w:rPr>
                <w:rFonts w:eastAsia="Calibri"/>
                <w:sz w:val="22"/>
                <w:szCs w:val="22"/>
                <w:lang w:val="sr-Latn-RS"/>
              </w:rPr>
            </w:pPr>
            <w:r w:rsidRPr="00234ECD">
              <w:rPr>
                <w:rFonts w:eastAsia="Calibri"/>
                <w:spacing w:val="3"/>
                <w:sz w:val="22"/>
                <w:szCs w:val="22"/>
                <w:lang w:val="sr-Latn-RS"/>
              </w:rPr>
              <w:t>pankreatitis, perforacija tankog cr</w:t>
            </w:r>
            <w:r w:rsidR="00FB0EB6" w:rsidRPr="00234ECD">
              <w:rPr>
                <w:rFonts w:eastAsia="Calibri"/>
                <w:spacing w:val="3"/>
                <w:sz w:val="22"/>
                <w:szCs w:val="22"/>
                <w:lang w:val="sr-Latn-RS"/>
              </w:rPr>
              <w:t>ij</w:t>
            </w:r>
            <w:r w:rsidRPr="00234ECD">
              <w:rPr>
                <w:rFonts w:eastAsia="Calibri"/>
                <w:spacing w:val="3"/>
                <w:sz w:val="22"/>
                <w:szCs w:val="22"/>
                <w:lang w:val="sr-Latn-RS"/>
              </w:rPr>
              <w:t>eva</w:t>
            </w:r>
            <w:r w:rsidRPr="00234ECD">
              <w:rPr>
                <w:rFonts w:eastAsia="Calibri"/>
                <w:spacing w:val="3"/>
                <w:sz w:val="22"/>
                <w:szCs w:val="22"/>
                <w:vertAlign w:val="superscript"/>
                <w:lang w:val="sr-Latn-RS"/>
              </w:rPr>
              <w:t>b</w:t>
            </w:r>
            <w:r w:rsidRPr="00234ECD">
              <w:rPr>
                <w:rFonts w:eastAsia="Calibri"/>
                <w:spacing w:val="3"/>
                <w:sz w:val="22"/>
                <w:szCs w:val="22"/>
                <w:lang w:val="sr-Latn-RS"/>
              </w:rPr>
              <w:t xml:space="preserve">, </w:t>
            </w:r>
            <w:r w:rsidRPr="00234ECD">
              <w:rPr>
                <w:rFonts w:eastAsia="Calibri"/>
                <w:sz w:val="22"/>
                <w:szCs w:val="22"/>
                <w:lang w:val="sr-Latn-RS"/>
              </w:rPr>
              <w:t>glosodinija</w:t>
            </w:r>
          </w:p>
        </w:tc>
      </w:tr>
      <w:tr w:rsidR="00D857AC" w:rsidRPr="00234ECD" w14:paraId="114239C5" w14:textId="77777777" w:rsidTr="00D857AC">
        <w:trPr>
          <w:trHeight w:val="386"/>
        </w:trPr>
        <w:tc>
          <w:tcPr>
            <w:tcW w:w="9742" w:type="dxa"/>
            <w:gridSpan w:val="2"/>
            <w:tcBorders>
              <w:top w:val="single" w:sz="4" w:space="0" w:color="auto"/>
              <w:left w:val="single" w:sz="4" w:space="0" w:color="auto"/>
              <w:bottom w:val="single" w:sz="4" w:space="0" w:color="auto"/>
              <w:right w:val="single" w:sz="4" w:space="0" w:color="auto"/>
            </w:tcBorders>
            <w:hideMark/>
          </w:tcPr>
          <w:p w14:paraId="636ABF85" w14:textId="77777777" w:rsidR="00D857AC" w:rsidRPr="00234ECD" w:rsidRDefault="00D857AC" w:rsidP="00D857AC">
            <w:pPr>
              <w:autoSpaceDE w:val="0"/>
              <w:autoSpaceDN w:val="0"/>
              <w:adjustRightInd w:val="0"/>
              <w:rPr>
                <w:rFonts w:eastAsia="Calibri"/>
                <w:b/>
                <w:bCs/>
                <w:sz w:val="22"/>
                <w:szCs w:val="22"/>
                <w:lang w:val="sr-Latn-RS"/>
              </w:rPr>
            </w:pPr>
            <w:r w:rsidRPr="00234ECD">
              <w:rPr>
                <w:rFonts w:eastAsia="Calibri"/>
                <w:b/>
                <w:bCs/>
                <w:sz w:val="22"/>
                <w:szCs w:val="22"/>
                <w:lang w:val="sr-Latn-RS"/>
              </w:rPr>
              <w:t>Hepatobilijarni poremećaji</w:t>
            </w:r>
          </w:p>
        </w:tc>
      </w:tr>
      <w:tr w:rsidR="00D857AC" w:rsidRPr="00234ECD" w14:paraId="53486AEC"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34AEF5FC"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Često</w:t>
            </w:r>
          </w:p>
        </w:tc>
        <w:tc>
          <w:tcPr>
            <w:tcW w:w="7541" w:type="dxa"/>
            <w:tcBorders>
              <w:top w:val="single" w:sz="4" w:space="0" w:color="auto"/>
              <w:left w:val="single" w:sz="4" w:space="0" w:color="auto"/>
              <w:bottom w:val="single" w:sz="4" w:space="0" w:color="auto"/>
              <w:right w:val="single" w:sz="4" w:space="0" w:color="auto"/>
            </w:tcBorders>
            <w:hideMark/>
          </w:tcPr>
          <w:p w14:paraId="371F9FF6"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hepatitis</w:t>
            </w:r>
          </w:p>
        </w:tc>
      </w:tr>
      <w:tr w:rsidR="00A25E52" w:rsidRPr="00234ECD" w14:paraId="62105047"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tcPr>
          <w:p w14:paraId="2074470B" w14:textId="28C7EA19" w:rsidR="00A25E52" w:rsidRPr="00234ECD" w:rsidRDefault="00A25E52" w:rsidP="00D857AC">
            <w:pPr>
              <w:autoSpaceDE w:val="0"/>
              <w:autoSpaceDN w:val="0"/>
              <w:adjustRightInd w:val="0"/>
              <w:rPr>
                <w:rFonts w:eastAsia="Calibri"/>
                <w:sz w:val="22"/>
                <w:szCs w:val="22"/>
                <w:lang w:val="sr-Latn-RS"/>
              </w:rPr>
            </w:pPr>
            <w:r w:rsidRPr="00234ECD">
              <w:rPr>
                <w:rFonts w:eastAsia="Calibri"/>
                <w:sz w:val="22"/>
                <w:szCs w:val="22"/>
                <w:lang w:val="sr-Latn-RS"/>
              </w:rPr>
              <w:t>Nepoznato</w:t>
            </w:r>
          </w:p>
        </w:tc>
        <w:tc>
          <w:tcPr>
            <w:tcW w:w="7541" w:type="dxa"/>
            <w:tcBorders>
              <w:top w:val="single" w:sz="4" w:space="0" w:color="auto"/>
              <w:left w:val="single" w:sz="4" w:space="0" w:color="auto"/>
              <w:bottom w:val="single" w:sz="4" w:space="0" w:color="auto"/>
              <w:right w:val="single" w:sz="4" w:space="0" w:color="auto"/>
            </w:tcBorders>
          </w:tcPr>
          <w:p w14:paraId="27D6448B" w14:textId="6B931E93" w:rsidR="00A25E52" w:rsidRPr="00234ECD" w:rsidRDefault="00A25E52" w:rsidP="00D857AC">
            <w:pPr>
              <w:autoSpaceDE w:val="0"/>
              <w:autoSpaceDN w:val="0"/>
              <w:adjustRightInd w:val="0"/>
              <w:rPr>
                <w:rFonts w:eastAsia="Calibri"/>
                <w:sz w:val="22"/>
                <w:szCs w:val="22"/>
                <w:lang w:val="sr-Latn-RS"/>
              </w:rPr>
            </w:pPr>
            <w:r w:rsidRPr="00234ECD">
              <w:rPr>
                <w:rFonts w:eastAsia="Calibri"/>
                <w:sz w:val="22"/>
                <w:szCs w:val="22"/>
                <w:lang w:val="sr-Latn-RS"/>
              </w:rPr>
              <w:t>sindrom nestajanja žučnih kanala</w:t>
            </w:r>
            <w:r w:rsidRPr="00234ECD">
              <w:rPr>
                <w:rFonts w:eastAsia="Calibri"/>
                <w:sz w:val="22"/>
                <w:szCs w:val="22"/>
                <w:vertAlign w:val="superscript"/>
                <w:lang w:val="sr-Latn-RS"/>
              </w:rPr>
              <w:t>c</w:t>
            </w:r>
          </w:p>
        </w:tc>
      </w:tr>
      <w:tr w:rsidR="00D857AC" w:rsidRPr="00234ECD" w14:paraId="12643FCC" w14:textId="77777777" w:rsidTr="00D857AC">
        <w:trPr>
          <w:trHeight w:val="386"/>
        </w:trPr>
        <w:tc>
          <w:tcPr>
            <w:tcW w:w="9742" w:type="dxa"/>
            <w:gridSpan w:val="2"/>
            <w:tcBorders>
              <w:top w:val="single" w:sz="4" w:space="0" w:color="auto"/>
              <w:left w:val="single" w:sz="4" w:space="0" w:color="auto"/>
              <w:bottom w:val="single" w:sz="4" w:space="0" w:color="auto"/>
              <w:right w:val="single" w:sz="4" w:space="0" w:color="auto"/>
            </w:tcBorders>
            <w:hideMark/>
          </w:tcPr>
          <w:p w14:paraId="1C3AAF50" w14:textId="77777777" w:rsidR="00D857AC" w:rsidRPr="00234ECD" w:rsidRDefault="00D857AC" w:rsidP="00D857AC">
            <w:pPr>
              <w:autoSpaceDE w:val="0"/>
              <w:autoSpaceDN w:val="0"/>
              <w:adjustRightInd w:val="0"/>
              <w:rPr>
                <w:rFonts w:eastAsia="Calibri"/>
                <w:b/>
                <w:bCs/>
                <w:sz w:val="22"/>
                <w:szCs w:val="22"/>
                <w:lang w:val="sr-Latn-RS"/>
              </w:rPr>
            </w:pPr>
            <w:r w:rsidRPr="00234ECD">
              <w:rPr>
                <w:rFonts w:eastAsia="Calibri"/>
                <w:b/>
                <w:bCs/>
                <w:sz w:val="22"/>
                <w:szCs w:val="22"/>
                <w:lang w:val="sr-Latn-RS"/>
              </w:rPr>
              <w:t xml:space="preserve">Poremećaji kože i potkožnog tkiva </w:t>
            </w:r>
          </w:p>
        </w:tc>
      </w:tr>
      <w:tr w:rsidR="00D857AC" w:rsidRPr="00234ECD" w14:paraId="04BCB329"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2AF01D46"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Veoma često</w:t>
            </w:r>
          </w:p>
        </w:tc>
        <w:tc>
          <w:tcPr>
            <w:tcW w:w="7541" w:type="dxa"/>
            <w:tcBorders>
              <w:top w:val="single" w:sz="4" w:space="0" w:color="auto"/>
              <w:left w:val="single" w:sz="4" w:space="0" w:color="auto"/>
              <w:bottom w:val="single" w:sz="4" w:space="0" w:color="auto"/>
              <w:right w:val="single" w:sz="4" w:space="0" w:color="auto"/>
            </w:tcBorders>
            <w:hideMark/>
          </w:tcPr>
          <w:p w14:paraId="589FC7B1" w14:textId="1AC79C2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sindrom palmarno-plantarne eritrodizestezije, osip</w:t>
            </w:r>
            <w:r w:rsidR="00A25E52" w:rsidRPr="00234ECD">
              <w:rPr>
                <w:rFonts w:eastAsia="Calibri"/>
                <w:sz w:val="22"/>
                <w:szCs w:val="22"/>
                <w:vertAlign w:val="superscript"/>
                <w:lang w:val="sr-Latn-RS"/>
              </w:rPr>
              <w:t>d</w:t>
            </w:r>
            <w:r w:rsidRPr="00234ECD">
              <w:rPr>
                <w:rFonts w:eastAsia="Calibri"/>
                <w:sz w:val="22"/>
                <w:szCs w:val="22"/>
                <w:lang w:val="sr-Latn-RS"/>
              </w:rPr>
              <w:t>, pruritus</w:t>
            </w:r>
          </w:p>
        </w:tc>
      </w:tr>
      <w:tr w:rsidR="00D857AC" w:rsidRPr="00234ECD" w14:paraId="732238FF"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5631E7E9"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Često</w:t>
            </w:r>
          </w:p>
        </w:tc>
        <w:tc>
          <w:tcPr>
            <w:tcW w:w="7541" w:type="dxa"/>
            <w:tcBorders>
              <w:top w:val="single" w:sz="4" w:space="0" w:color="auto"/>
              <w:left w:val="single" w:sz="4" w:space="0" w:color="auto"/>
              <w:bottom w:val="single" w:sz="4" w:space="0" w:color="auto"/>
              <w:right w:val="single" w:sz="4" w:space="0" w:color="auto"/>
            </w:tcBorders>
            <w:hideMark/>
          </w:tcPr>
          <w:p w14:paraId="539AC271" w14:textId="49F86870"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alopecija, suva koža, eritem, prom</w:t>
            </w:r>
            <w:r w:rsidR="00FB0EB6" w:rsidRPr="00234ECD">
              <w:rPr>
                <w:rFonts w:eastAsia="Calibri"/>
                <w:sz w:val="22"/>
                <w:szCs w:val="22"/>
                <w:lang w:val="sr-Latn-RS"/>
              </w:rPr>
              <w:t>j</w:t>
            </w:r>
            <w:r w:rsidRPr="00234ECD">
              <w:rPr>
                <w:rFonts w:eastAsia="Calibri"/>
                <w:sz w:val="22"/>
                <w:szCs w:val="22"/>
                <w:lang w:val="sr-Latn-RS"/>
              </w:rPr>
              <w:t>ena boje kose</w:t>
            </w:r>
          </w:p>
        </w:tc>
      </w:tr>
      <w:tr w:rsidR="00D857AC" w:rsidRPr="00234ECD" w14:paraId="78B30F07"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02F18793"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Povremeno</w:t>
            </w:r>
          </w:p>
        </w:tc>
        <w:tc>
          <w:tcPr>
            <w:tcW w:w="7541" w:type="dxa"/>
            <w:tcBorders>
              <w:top w:val="single" w:sz="4" w:space="0" w:color="auto"/>
              <w:left w:val="single" w:sz="4" w:space="0" w:color="auto"/>
              <w:bottom w:val="single" w:sz="4" w:space="0" w:color="auto"/>
              <w:right w:val="single" w:sz="4" w:space="0" w:color="auto"/>
            </w:tcBorders>
            <w:hideMark/>
          </w:tcPr>
          <w:p w14:paraId="06EACC7A"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psorijaza, urtikarija</w:t>
            </w:r>
          </w:p>
        </w:tc>
      </w:tr>
      <w:tr w:rsidR="000B285F" w:rsidRPr="00234ECD" w14:paraId="6F790BF0"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tcPr>
          <w:p w14:paraId="6445C37F" w14:textId="0DBB7328" w:rsidR="000B285F" w:rsidRPr="00234ECD" w:rsidRDefault="000B285F" w:rsidP="00D857AC">
            <w:pPr>
              <w:autoSpaceDE w:val="0"/>
              <w:autoSpaceDN w:val="0"/>
              <w:adjustRightInd w:val="0"/>
              <w:rPr>
                <w:rFonts w:eastAsia="Calibri"/>
                <w:sz w:val="22"/>
                <w:szCs w:val="22"/>
                <w:lang w:val="sr-Latn-RS"/>
              </w:rPr>
            </w:pPr>
            <w:r w:rsidRPr="00234ECD">
              <w:rPr>
                <w:rFonts w:eastAsia="Calibri"/>
                <w:sz w:val="22"/>
                <w:szCs w:val="22"/>
                <w:lang w:val="sr-Latn-RS"/>
              </w:rPr>
              <w:t>Nepoznato</w:t>
            </w:r>
          </w:p>
        </w:tc>
        <w:tc>
          <w:tcPr>
            <w:tcW w:w="7541" w:type="dxa"/>
            <w:tcBorders>
              <w:top w:val="single" w:sz="4" w:space="0" w:color="auto"/>
              <w:left w:val="single" w:sz="4" w:space="0" w:color="auto"/>
              <w:bottom w:val="single" w:sz="4" w:space="0" w:color="auto"/>
              <w:right w:val="single" w:sz="4" w:space="0" w:color="auto"/>
            </w:tcBorders>
          </w:tcPr>
          <w:p w14:paraId="6369DE11" w14:textId="56E05B4D" w:rsidR="000B285F" w:rsidRPr="00234ECD" w:rsidRDefault="000B285F" w:rsidP="00D857AC">
            <w:pPr>
              <w:autoSpaceDE w:val="0"/>
              <w:autoSpaceDN w:val="0"/>
              <w:adjustRightInd w:val="0"/>
              <w:rPr>
                <w:rFonts w:eastAsia="Calibri"/>
                <w:sz w:val="22"/>
                <w:szCs w:val="22"/>
                <w:lang w:val="sr-Latn-RS"/>
              </w:rPr>
            </w:pPr>
            <w:r w:rsidRPr="00234ECD">
              <w:rPr>
                <w:rFonts w:eastAsia="Calibri"/>
                <w:sz w:val="22"/>
                <w:szCs w:val="22"/>
                <w:lang w:val="sr-Latn-RS"/>
              </w:rPr>
              <w:t xml:space="preserve">kožni vaskulitis </w:t>
            </w:r>
          </w:p>
        </w:tc>
      </w:tr>
      <w:tr w:rsidR="00D857AC" w:rsidRPr="00234ECD" w14:paraId="2D7B8F46" w14:textId="77777777" w:rsidTr="00D857AC">
        <w:trPr>
          <w:trHeight w:val="386"/>
        </w:trPr>
        <w:tc>
          <w:tcPr>
            <w:tcW w:w="9742" w:type="dxa"/>
            <w:gridSpan w:val="2"/>
            <w:tcBorders>
              <w:top w:val="single" w:sz="4" w:space="0" w:color="auto"/>
              <w:left w:val="single" w:sz="4" w:space="0" w:color="auto"/>
              <w:bottom w:val="single" w:sz="4" w:space="0" w:color="auto"/>
              <w:right w:val="single" w:sz="4" w:space="0" w:color="auto"/>
            </w:tcBorders>
            <w:hideMark/>
          </w:tcPr>
          <w:p w14:paraId="085484E9" w14:textId="77777777" w:rsidR="00D857AC" w:rsidRPr="00234ECD" w:rsidRDefault="00D857AC" w:rsidP="00D857AC">
            <w:pPr>
              <w:autoSpaceDE w:val="0"/>
              <w:autoSpaceDN w:val="0"/>
              <w:adjustRightInd w:val="0"/>
              <w:rPr>
                <w:rFonts w:eastAsia="Calibri"/>
                <w:b/>
                <w:bCs/>
                <w:sz w:val="22"/>
                <w:szCs w:val="22"/>
                <w:lang w:val="sr-Latn-RS"/>
              </w:rPr>
            </w:pPr>
            <w:r w:rsidRPr="00234ECD">
              <w:rPr>
                <w:rFonts w:eastAsia="Calibri"/>
                <w:b/>
                <w:bCs/>
                <w:sz w:val="22"/>
                <w:szCs w:val="22"/>
                <w:lang w:val="sr-Latn-RS"/>
              </w:rPr>
              <w:t>Poremećaji mišićno-koštanog sistema i vezivnog tkiva</w:t>
            </w:r>
          </w:p>
        </w:tc>
      </w:tr>
      <w:tr w:rsidR="00D857AC" w:rsidRPr="00234ECD" w14:paraId="29F86694"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783445D8"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Veoma često</w:t>
            </w:r>
          </w:p>
        </w:tc>
        <w:tc>
          <w:tcPr>
            <w:tcW w:w="7541" w:type="dxa"/>
            <w:tcBorders>
              <w:top w:val="single" w:sz="4" w:space="0" w:color="auto"/>
              <w:left w:val="single" w:sz="4" w:space="0" w:color="auto"/>
              <w:bottom w:val="single" w:sz="4" w:space="0" w:color="auto"/>
              <w:right w:val="single" w:sz="4" w:space="0" w:color="auto"/>
            </w:tcBorders>
            <w:hideMark/>
          </w:tcPr>
          <w:p w14:paraId="0868725F" w14:textId="7A04EB23"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mišićno-koštani bol</w:t>
            </w:r>
            <w:r w:rsidR="00A25E52" w:rsidRPr="00234ECD">
              <w:rPr>
                <w:rFonts w:eastAsia="Calibri"/>
                <w:sz w:val="22"/>
                <w:szCs w:val="22"/>
                <w:vertAlign w:val="superscript"/>
                <w:lang w:val="sr-Latn-RS"/>
              </w:rPr>
              <w:t>e</w:t>
            </w:r>
            <w:r w:rsidRPr="00234ECD">
              <w:rPr>
                <w:rFonts w:eastAsia="Calibri"/>
                <w:sz w:val="22"/>
                <w:szCs w:val="22"/>
                <w:lang w:val="sr-Latn-RS"/>
              </w:rPr>
              <w:t>, artralgija, spazam mišića</w:t>
            </w:r>
          </w:p>
        </w:tc>
      </w:tr>
      <w:tr w:rsidR="00D857AC" w:rsidRPr="00234ECD" w14:paraId="5FF0479B"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3983FADB"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Često</w:t>
            </w:r>
          </w:p>
        </w:tc>
        <w:tc>
          <w:tcPr>
            <w:tcW w:w="7541" w:type="dxa"/>
            <w:tcBorders>
              <w:top w:val="single" w:sz="4" w:space="0" w:color="auto"/>
              <w:left w:val="single" w:sz="4" w:space="0" w:color="auto"/>
              <w:bottom w:val="single" w:sz="4" w:space="0" w:color="auto"/>
              <w:right w:val="single" w:sz="4" w:space="0" w:color="auto"/>
            </w:tcBorders>
            <w:hideMark/>
          </w:tcPr>
          <w:p w14:paraId="173B7B27"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artritis</w:t>
            </w:r>
          </w:p>
        </w:tc>
      </w:tr>
      <w:tr w:rsidR="00D857AC" w:rsidRPr="00234ECD" w14:paraId="30407BE7"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1FF7E73E"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Povremeno</w:t>
            </w:r>
          </w:p>
        </w:tc>
        <w:tc>
          <w:tcPr>
            <w:tcW w:w="7541" w:type="dxa"/>
            <w:tcBorders>
              <w:top w:val="single" w:sz="4" w:space="0" w:color="auto"/>
              <w:left w:val="single" w:sz="4" w:space="0" w:color="auto"/>
              <w:bottom w:val="single" w:sz="4" w:space="0" w:color="auto"/>
              <w:right w:val="single" w:sz="4" w:space="0" w:color="auto"/>
            </w:tcBorders>
            <w:hideMark/>
          </w:tcPr>
          <w:p w14:paraId="046EF883"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miopatija, osteonekroza vilice, fistula</w:t>
            </w:r>
          </w:p>
        </w:tc>
      </w:tr>
      <w:tr w:rsidR="00D857AC" w:rsidRPr="00234ECD" w14:paraId="4814A293" w14:textId="77777777" w:rsidTr="00D857AC">
        <w:trPr>
          <w:trHeight w:val="386"/>
        </w:trPr>
        <w:tc>
          <w:tcPr>
            <w:tcW w:w="9742" w:type="dxa"/>
            <w:gridSpan w:val="2"/>
            <w:tcBorders>
              <w:top w:val="single" w:sz="4" w:space="0" w:color="auto"/>
              <w:left w:val="single" w:sz="4" w:space="0" w:color="auto"/>
              <w:bottom w:val="single" w:sz="4" w:space="0" w:color="auto"/>
              <w:right w:val="single" w:sz="4" w:space="0" w:color="auto"/>
            </w:tcBorders>
            <w:hideMark/>
          </w:tcPr>
          <w:p w14:paraId="34DE1D3E" w14:textId="77777777" w:rsidR="00D857AC" w:rsidRPr="00234ECD" w:rsidRDefault="00D857AC" w:rsidP="00D857AC">
            <w:pPr>
              <w:autoSpaceDE w:val="0"/>
              <w:autoSpaceDN w:val="0"/>
              <w:adjustRightInd w:val="0"/>
              <w:rPr>
                <w:rFonts w:eastAsia="Calibri"/>
                <w:b/>
                <w:bCs/>
                <w:sz w:val="22"/>
                <w:szCs w:val="22"/>
                <w:lang w:val="sr-Latn-RS"/>
              </w:rPr>
            </w:pPr>
            <w:r w:rsidRPr="00234ECD">
              <w:rPr>
                <w:rFonts w:eastAsia="Calibri"/>
                <w:b/>
                <w:bCs/>
                <w:sz w:val="22"/>
                <w:szCs w:val="22"/>
                <w:lang w:val="sr-Latn-RS"/>
              </w:rPr>
              <w:t xml:space="preserve">Poremećaji bubrega i urinarnog sistema </w:t>
            </w:r>
          </w:p>
        </w:tc>
      </w:tr>
      <w:tr w:rsidR="00D857AC" w:rsidRPr="00234ECD" w14:paraId="4ABF2938"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5AADAD14"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lastRenderedPageBreak/>
              <w:t>Veoma često</w:t>
            </w:r>
          </w:p>
        </w:tc>
        <w:tc>
          <w:tcPr>
            <w:tcW w:w="7541" w:type="dxa"/>
            <w:tcBorders>
              <w:top w:val="single" w:sz="4" w:space="0" w:color="auto"/>
              <w:left w:val="single" w:sz="4" w:space="0" w:color="auto"/>
              <w:bottom w:val="single" w:sz="4" w:space="0" w:color="auto"/>
              <w:right w:val="single" w:sz="4" w:space="0" w:color="auto"/>
            </w:tcBorders>
            <w:hideMark/>
          </w:tcPr>
          <w:p w14:paraId="53D5C3A3"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proteinurija</w:t>
            </w:r>
          </w:p>
        </w:tc>
      </w:tr>
      <w:tr w:rsidR="00D857AC" w:rsidRPr="00234ECD" w14:paraId="74587015"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229D1D7E"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Često</w:t>
            </w:r>
          </w:p>
        </w:tc>
        <w:tc>
          <w:tcPr>
            <w:tcW w:w="7541" w:type="dxa"/>
            <w:tcBorders>
              <w:top w:val="single" w:sz="4" w:space="0" w:color="auto"/>
              <w:left w:val="single" w:sz="4" w:space="0" w:color="auto"/>
              <w:bottom w:val="single" w:sz="4" w:space="0" w:color="auto"/>
              <w:right w:val="single" w:sz="4" w:space="0" w:color="auto"/>
            </w:tcBorders>
            <w:hideMark/>
          </w:tcPr>
          <w:p w14:paraId="00811D94" w14:textId="62F6C8EA" w:rsidR="00D857AC" w:rsidRPr="00234ECD" w:rsidRDefault="00D857AC" w:rsidP="00FB6034">
            <w:pPr>
              <w:autoSpaceDE w:val="0"/>
              <w:autoSpaceDN w:val="0"/>
              <w:adjustRightInd w:val="0"/>
              <w:rPr>
                <w:rFonts w:eastAsia="Calibri"/>
                <w:sz w:val="22"/>
                <w:szCs w:val="22"/>
                <w:lang w:val="sr-Latn-RS"/>
              </w:rPr>
            </w:pPr>
            <w:r w:rsidRPr="00234ECD">
              <w:rPr>
                <w:rFonts w:eastAsia="Calibri"/>
                <w:sz w:val="22"/>
                <w:szCs w:val="22"/>
                <w:lang w:val="sr-Latn-RS"/>
              </w:rPr>
              <w:t>bubrežna insuficijencija, akutn</w:t>
            </w:r>
            <w:r w:rsidR="00FB6034" w:rsidRPr="00234ECD">
              <w:rPr>
                <w:rFonts w:eastAsia="Calibri"/>
                <w:sz w:val="22"/>
                <w:szCs w:val="22"/>
                <w:lang w:val="sr-Latn-RS"/>
              </w:rPr>
              <w:t>o oštećenje</w:t>
            </w:r>
            <w:r w:rsidRPr="00234ECD">
              <w:rPr>
                <w:rFonts w:eastAsia="Calibri"/>
                <w:sz w:val="22"/>
                <w:szCs w:val="22"/>
                <w:lang w:val="sr-Latn-RS"/>
              </w:rPr>
              <w:t xml:space="preserve"> bubrega</w:t>
            </w:r>
          </w:p>
        </w:tc>
      </w:tr>
      <w:tr w:rsidR="00D857AC" w:rsidRPr="00234ECD" w14:paraId="2AFCDACA"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7FD0D41B"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Povremeno</w:t>
            </w:r>
          </w:p>
        </w:tc>
        <w:tc>
          <w:tcPr>
            <w:tcW w:w="7541" w:type="dxa"/>
            <w:tcBorders>
              <w:top w:val="single" w:sz="4" w:space="0" w:color="auto"/>
              <w:left w:val="single" w:sz="4" w:space="0" w:color="auto"/>
              <w:bottom w:val="single" w:sz="4" w:space="0" w:color="auto"/>
              <w:right w:val="single" w:sz="4" w:space="0" w:color="auto"/>
            </w:tcBorders>
            <w:hideMark/>
          </w:tcPr>
          <w:p w14:paraId="09660C91"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nefritis</w:t>
            </w:r>
          </w:p>
        </w:tc>
      </w:tr>
      <w:tr w:rsidR="00D857AC" w:rsidRPr="00234ECD" w14:paraId="6EB6E438" w14:textId="77777777" w:rsidTr="00D857AC">
        <w:trPr>
          <w:trHeight w:val="386"/>
        </w:trPr>
        <w:tc>
          <w:tcPr>
            <w:tcW w:w="9742" w:type="dxa"/>
            <w:gridSpan w:val="2"/>
            <w:tcBorders>
              <w:top w:val="single" w:sz="4" w:space="0" w:color="auto"/>
              <w:left w:val="single" w:sz="4" w:space="0" w:color="auto"/>
              <w:bottom w:val="single" w:sz="4" w:space="0" w:color="auto"/>
              <w:right w:val="single" w:sz="4" w:space="0" w:color="auto"/>
            </w:tcBorders>
            <w:hideMark/>
          </w:tcPr>
          <w:p w14:paraId="41622F21" w14:textId="49D20694" w:rsidR="00D857AC" w:rsidRPr="00234ECD" w:rsidRDefault="00D857AC" w:rsidP="00D857AC">
            <w:pPr>
              <w:autoSpaceDE w:val="0"/>
              <w:autoSpaceDN w:val="0"/>
              <w:adjustRightInd w:val="0"/>
              <w:rPr>
                <w:rFonts w:eastAsia="Calibri"/>
                <w:b/>
                <w:bCs/>
                <w:sz w:val="22"/>
                <w:szCs w:val="22"/>
                <w:lang w:val="sr-Latn-RS"/>
              </w:rPr>
            </w:pPr>
            <w:r w:rsidRPr="00234ECD">
              <w:rPr>
                <w:rFonts w:eastAsia="Calibri"/>
                <w:b/>
                <w:bCs/>
                <w:sz w:val="22"/>
                <w:szCs w:val="22"/>
                <w:lang w:val="sr-Latn-RS"/>
              </w:rPr>
              <w:t>Opšti poremećaji i reakcije na m</w:t>
            </w:r>
            <w:r w:rsidR="00FB0EB6" w:rsidRPr="00234ECD">
              <w:rPr>
                <w:rFonts w:eastAsia="Calibri"/>
                <w:b/>
                <w:bCs/>
                <w:sz w:val="22"/>
                <w:szCs w:val="22"/>
                <w:lang w:val="sr-Latn-RS"/>
              </w:rPr>
              <w:t>j</w:t>
            </w:r>
            <w:r w:rsidRPr="00234ECD">
              <w:rPr>
                <w:rFonts w:eastAsia="Calibri"/>
                <w:b/>
                <w:bCs/>
                <w:sz w:val="22"/>
                <w:szCs w:val="22"/>
                <w:lang w:val="sr-Latn-RS"/>
              </w:rPr>
              <w:t>estu prim</w:t>
            </w:r>
            <w:r w:rsidR="00C35DA5" w:rsidRPr="00234ECD">
              <w:rPr>
                <w:rFonts w:eastAsia="Calibri"/>
                <w:b/>
                <w:bCs/>
                <w:sz w:val="22"/>
                <w:szCs w:val="22"/>
                <w:lang w:val="sr-Latn-RS"/>
              </w:rPr>
              <w:t>j</w:t>
            </w:r>
            <w:r w:rsidRPr="00234ECD">
              <w:rPr>
                <w:rFonts w:eastAsia="Calibri"/>
                <w:b/>
                <w:bCs/>
                <w:sz w:val="22"/>
                <w:szCs w:val="22"/>
                <w:lang w:val="sr-Latn-RS"/>
              </w:rPr>
              <w:t xml:space="preserve">ene </w:t>
            </w:r>
          </w:p>
        </w:tc>
      </w:tr>
      <w:tr w:rsidR="00D857AC" w:rsidRPr="00234ECD" w14:paraId="640D8428"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795E335F"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Veoma često</w:t>
            </w:r>
          </w:p>
        </w:tc>
        <w:tc>
          <w:tcPr>
            <w:tcW w:w="7541" w:type="dxa"/>
            <w:tcBorders>
              <w:top w:val="single" w:sz="4" w:space="0" w:color="auto"/>
              <w:left w:val="single" w:sz="4" w:space="0" w:color="auto"/>
              <w:bottom w:val="single" w:sz="4" w:space="0" w:color="auto"/>
              <w:right w:val="single" w:sz="4" w:space="0" w:color="auto"/>
            </w:tcBorders>
            <w:hideMark/>
          </w:tcPr>
          <w:p w14:paraId="2DE5CD9B"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umor, pireksija, edem</w:t>
            </w:r>
          </w:p>
        </w:tc>
      </w:tr>
      <w:tr w:rsidR="00D857AC" w:rsidRPr="00234ECD" w14:paraId="73431515"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7593CBFE"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Često</w:t>
            </w:r>
          </w:p>
        </w:tc>
        <w:tc>
          <w:tcPr>
            <w:tcW w:w="7541" w:type="dxa"/>
            <w:tcBorders>
              <w:top w:val="single" w:sz="4" w:space="0" w:color="auto"/>
              <w:left w:val="single" w:sz="4" w:space="0" w:color="auto"/>
              <w:bottom w:val="single" w:sz="4" w:space="0" w:color="auto"/>
              <w:right w:val="single" w:sz="4" w:space="0" w:color="auto"/>
            </w:tcBorders>
            <w:hideMark/>
          </w:tcPr>
          <w:p w14:paraId="4205CAD5"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bol, bol u grudima</w:t>
            </w:r>
          </w:p>
        </w:tc>
      </w:tr>
      <w:tr w:rsidR="00D857AC" w:rsidRPr="00234ECD" w14:paraId="05BA964E" w14:textId="77777777" w:rsidTr="00D857AC">
        <w:trPr>
          <w:trHeight w:val="386"/>
        </w:trPr>
        <w:tc>
          <w:tcPr>
            <w:tcW w:w="9742" w:type="dxa"/>
            <w:gridSpan w:val="2"/>
            <w:tcBorders>
              <w:top w:val="single" w:sz="4" w:space="0" w:color="auto"/>
              <w:left w:val="single" w:sz="4" w:space="0" w:color="auto"/>
              <w:bottom w:val="single" w:sz="4" w:space="0" w:color="auto"/>
              <w:right w:val="single" w:sz="4" w:space="0" w:color="auto"/>
            </w:tcBorders>
            <w:hideMark/>
          </w:tcPr>
          <w:p w14:paraId="6F8CC04F" w14:textId="29BD9454" w:rsidR="00D857AC" w:rsidRPr="00234ECD" w:rsidRDefault="00D857AC" w:rsidP="00D857AC">
            <w:pPr>
              <w:autoSpaceDE w:val="0"/>
              <w:autoSpaceDN w:val="0"/>
              <w:adjustRightInd w:val="0"/>
              <w:rPr>
                <w:rFonts w:eastAsia="Calibri"/>
                <w:b/>
                <w:bCs/>
                <w:sz w:val="22"/>
                <w:szCs w:val="22"/>
                <w:lang w:val="sr-Latn-RS"/>
              </w:rPr>
            </w:pPr>
            <w:r w:rsidRPr="00234ECD">
              <w:rPr>
                <w:rFonts w:eastAsia="Calibri"/>
                <w:b/>
                <w:bCs/>
                <w:sz w:val="22"/>
                <w:szCs w:val="22"/>
                <w:lang w:val="sr-Latn-RS"/>
              </w:rPr>
              <w:t>Ispitivanja</w:t>
            </w:r>
            <w:r w:rsidR="00A25E52" w:rsidRPr="00234ECD">
              <w:rPr>
                <w:rFonts w:eastAsia="Calibri"/>
                <w:b/>
                <w:bCs/>
                <w:sz w:val="22"/>
                <w:szCs w:val="22"/>
                <w:vertAlign w:val="superscript"/>
                <w:lang w:val="sr-Latn-RS"/>
              </w:rPr>
              <w:t>f</w:t>
            </w:r>
          </w:p>
        </w:tc>
      </w:tr>
      <w:tr w:rsidR="00D857AC" w:rsidRPr="00234ECD" w14:paraId="40FF8E61"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6224EEB3"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Veoma često</w:t>
            </w:r>
          </w:p>
        </w:tc>
        <w:tc>
          <w:tcPr>
            <w:tcW w:w="7541" w:type="dxa"/>
            <w:tcBorders>
              <w:top w:val="single" w:sz="4" w:space="0" w:color="auto"/>
              <w:left w:val="single" w:sz="4" w:space="0" w:color="auto"/>
              <w:bottom w:val="single" w:sz="4" w:space="0" w:color="auto"/>
              <w:right w:val="single" w:sz="4" w:space="0" w:color="auto"/>
            </w:tcBorders>
            <w:hideMark/>
          </w:tcPr>
          <w:p w14:paraId="3DE623FE" w14:textId="2083C2C9"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porast ALT-a, porast AST-a, hipofosfatemija, hipokalcijemija, hipomagnezijemija, hiponatrijemija, hiperglikemija, limfopenija, povećana vr</w:t>
            </w:r>
            <w:r w:rsidR="00FB0EB6" w:rsidRPr="00234ECD">
              <w:rPr>
                <w:rFonts w:eastAsia="Calibri"/>
                <w:sz w:val="22"/>
                <w:szCs w:val="22"/>
                <w:lang w:val="sr-Latn-RS"/>
              </w:rPr>
              <w:t>ij</w:t>
            </w:r>
            <w:r w:rsidRPr="00234ECD">
              <w:rPr>
                <w:rFonts w:eastAsia="Calibri"/>
                <w:sz w:val="22"/>
                <w:szCs w:val="22"/>
                <w:lang w:val="sr-Latn-RS"/>
              </w:rPr>
              <w:t>ednost alkalne fosfataze, povećana vr</w:t>
            </w:r>
            <w:r w:rsidR="00FB0EB6" w:rsidRPr="00234ECD">
              <w:rPr>
                <w:rFonts w:eastAsia="Calibri"/>
                <w:sz w:val="22"/>
                <w:szCs w:val="22"/>
                <w:lang w:val="sr-Latn-RS"/>
              </w:rPr>
              <w:t>ij</w:t>
            </w:r>
            <w:r w:rsidRPr="00234ECD">
              <w:rPr>
                <w:rFonts w:eastAsia="Calibri"/>
                <w:sz w:val="22"/>
                <w:szCs w:val="22"/>
                <w:lang w:val="sr-Latn-RS"/>
              </w:rPr>
              <w:t>ednost lipaze, povećana vr</w:t>
            </w:r>
            <w:r w:rsidR="00FB0EB6" w:rsidRPr="00234ECD">
              <w:rPr>
                <w:rFonts w:eastAsia="Calibri"/>
                <w:sz w:val="22"/>
                <w:szCs w:val="22"/>
                <w:lang w:val="sr-Latn-RS"/>
              </w:rPr>
              <w:t>ij</w:t>
            </w:r>
            <w:r w:rsidRPr="00234ECD">
              <w:rPr>
                <w:rFonts w:eastAsia="Calibri"/>
                <w:sz w:val="22"/>
                <w:szCs w:val="22"/>
                <w:lang w:val="sr-Latn-RS"/>
              </w:rPr>
              <w:t>ednost amilaze, trombocitopenija, povećana vr</w:t>
            </w:r>
            <w:r w:rsidR="00FB0EB6" w:rsidRPr="00234ECD">
              <w:rPr>
                <w:rFonts w:eastAsia="Calibri"/>
                <w:sz w:val="22"/>
                <w:szCs w:val="22"/>
                <w:lang w:val="sr-Latn-RS"/>
              </w:rPr>
              <w:t>ij</w:t>
            </w:r>
            <w:r w:rsidRPr="00234ECD">
              <w:rPr>
                <w:rFonts w:eastAsia="Calibri"/>
                <w:sz w:val="22"/>
                <w:szCs w:val="22"/>
                <w:lang w:val="sr-Latn-RS"/>
              </w:rPr>
              <w:t>ednost kreatinina, anemija, leukopenija, hiperkalijemija, neutropenija, hiperkalcijemija, hipoglikemija, hipokalijemija, porast ukupnog bilirubina, hipermagnezijemija, hipernatrijemija, smanjenje t</w:t>
            </w:r>
            <w:r w:rsidR="00FB0EB6" w:rsidRPr="00234ECD">
              <w:rPr>
                <w:rFonts w:eastAsia="Calibri"/>
                <w:sz w:val="22"/>
                <w:szCs w:val="22"/>
                <w:lang w:val="sr-Latn-RS"/>
              </w:rPr>
              <w:t>j</w:t>
            </w:r>
            <w:r w:rsidRPr="00234ECD">
              <w:rPr>
                <w:rFonts w:eastAsia="Calibri"/>
                <w:sz w:val="22"/>
                <w:szCs w:val="22"/>
                <w:lang w:val="sr-Latn-RS"/>
              </w:rPr>
              <w:t>elesne mase</w:t>
            </w:r>
          </w:p>
        </w:tc>
      </w:tr>
      <w:tr w:rsidR="00D857AC" w:rsidRPr="00234ECD" w14:paraId="3F6AB67A" w14:textId="77777777" w:rsidTr="00D857AC">
        <w:trPr>
          <w:trHeight w:val="359"/>
        </w:trPr>
        <w:tc>
          <w:tcPr>
            <w:tcW w:w="2201" w:type="dxa"/>
            <w:tcBorders>
              <w:top w:val="single" w:sz="4" w:space="0" w:color="auto"/>
              <w:left w:val="single" w:sz="4" w:space="0" w:color="auto"/>
              <w:bottom w:val="single" w:sz="4" w:space="0" w:color="auto"/>
              <w:right w:val="single" w:sz="4" w:space="0" w:color="auto"/>
            </w:tcBorders>
            <w:hideMark/>
          </w:tcPr>
          <w:p w14:paraId="2706078A"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Često</w:t>
            </w:r>
          </w:p>
        </w:tc>
        <w:tc>
          <w:tcPr>
            <w:tcW w:w="7541" w:type="dxa"/>
            <w:tcBorders>
              <w:top w:val="single" w:sz="4" w:space="0" w:color="auto"/>
              <w:left w:val="single" w:sz="4" w:space="0" w:color="auto"/>
              <w:bottom w:val="single" w:sz="4" w:space="0" w:color="auto"/>
              <w:right w:val="single" w:sz="4" w:space="0" w:color="auto"/>
            </w:tcBorders>
            <w:hideMark/>
          </w:tcPr>
          <w:p w14:paraId="2D5C0CFB" w14:textId="57648FF3"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povišene vr</w:t>
            </w:r>
            <w:r w:rsidR="00FB0EB6" w:rsidRPr="00234ECD">
              <w:rPr>
                <w:rFonts w:eastAsia="Calibri"/>
                <w:sz w:val="22"/>
                <w:szCs w:val="22"/>
                <w:lang w:val="sr-Latn-RS"/>
              </w:rPr>
              <w:t>ij</w:t>
            </w:r>
            <w:r w:rsidRPr="00234ECD">
              <w:rPr>
                <w:rFonts w:eastAsia="Calibri"/>
                <w:sz w:val="22"/>
                <w:szCs w:val="22"/>
                <w:lang w:val="sr-Latn-RS"/>
              </w:rPr>
              <w:t>ednosti holesterola u krvi, povišene vr</w:t>
            </w:r>
            <w:r w:rsidR="00FB0EB6" w:rsidRPr="00234ECD">
              <w:rPr>
                <w:rFonts w:eastAsia="Calibri"/>
                <w:sz w:val="22"/>
                <w:szCs w:val="22"/>
                <w:lang w:val="sr-Latn-RS"/>
              </w:rPr>
              <w:t>ij</w:t>
            </w:r>
            <w:r w:rsidRPr="00234ECD">
              <w:rPr>
                <w:rFonts w:eastAsia="Calibri"/>
                <w:sz w:val="22"/>
                <w:szCs w:val="22"/>
                <w:lang w:val="sr-Latn-RS"/>
              </w:rPr>
              <w:t>ednosti triglicerida u krvi</w:t>
            </w:r>
          </w:p>
        </w:tc>
      </w:tr>
    </w:tbl>
    <w:p w14:paraId="7BE7301F" w14:textId="00CAEED2" w:rsidR="00D857AC" w:rsidRPr="00234ECD" w:rsidRDefault="00D857AC" w:rsidP="00D857AC">
      <w:pPr>
        <w:jc w:val="both"/>
        <w:rPr>
          <w:rFonts w:eastAsia="Calibri"/>
          <w:sz w:val="22"/>
          <w:szCs w:val="22"/>
          <w:lang w:val="sr-Latn-RS"/>
        </w:rPr>
      </w:pPr>
      <w:r w:rsidRPr="00234ECD">
        <w:rPr>
          <w:rFonts w:eastAsia="Calibri"/>
          <w:sz w:val="22"/>
          <w:szCs w:val="22"/>
          <w:lang w:val="sr-Latn-RS"/>
        </w:rPr>
        <w:t>Učestalost neželjenih reakcija prikazanih u Tabeli 3 ne mora se u potpunosti pripisati samo kabozantinibu, već im može doprin</w:t>
      </w:r>
      <w:r w:rsidR="00FB0EB6" w:rsidRPr="00234ECD">
        <w:rPr>
          <w:rFonts w:eastAsia="Calibri"/>
          <w:sz w:val="22"/>
          <w:szCs w:val="22"/>
          <w:lang w:val="sr-Latn-RS"/>
        </w:rPr>
        <w:t>ij</w:t>
      </w:r>
      <w:r w:rsidRPr="00234ECD">
        <w:rPr>
          <w:rFonts w:eastAsia="Calibri"/>
          <w:sz w:val="22"/>
          <w:szCs w:val="22"/>
          <w:lang w:val="sr-Latn-RS"/>
        </w:rPr>
        <w:t>eti osnovna bolest ili nivolumab koji se primjenjuje u kombinaciji.</w:t>
      </w:r>
    </w:p>
    <w:p w14:paraId="6F2E123D"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vertAlign w:val="superscript"/>
          <w:lang w:val="sr-Latn-RS"/>
        </w:rPr>
        <w:t>a</w:t>
      </w:r>
      <w:r w:rsidRPr="00234ECD">
        <w:rPr>
          <w:rFonts w:eastAsia="Calibri"/>
          <w:sz w:val="22"/>
          <w:szCs w:val="22"/>
          <w:lang w:val="sr-Latn-RS"/>
        </w:rPr>
        <w:t xml:space="preserve"> Tromboza je složeni pojam koji uključuje trombozu portalne vene, trombozu plućne vene, plućnu trombozu, trombozu aorte, arterijsku trombozu, duboku vensku trombozu, trombozu karlične vene, trombozu šuplje vene, vensku trombozu, trombozu vene ekstremiteta </w:t>
      </w:r>
    </w:p>
    <w:p w14:paraId="557EAD76"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vertAlign w:val="superscript"/>
          <w:lang w:val="sr-Latn-RS"/>
        </w:rPr>
        <w:t>b</w:t>
      </w:r>
      <w:r w:rsidRPr="00234ECD">
        <w:rPr>
          <w:rFonts w:eastAsia="Calibri"/>
          <w:sz w:val="22"/>
          <w:szCs w:val="22"/>
          <w:lang w:val="sr-Latn-RS"/>
        </w:rPr>
        <w:t xml:space="preserve"> Prijavljeni su slučajevi sa smrtnim ishodom </w:t>
      </w:r>
    </w:p>
    <w:p w14:paraId="5F6EF740" w14:textId="101D55A4" w:rsidR="00A25E52" w:rsidRPr="00234ECD" w:rsidRDefault="00D857AC" w:rsidP="00D857AC">
      <w:pPr>
        <w:autoSpaceDE w:val="0"/>
        <w:autoSpaceDN w:val="0"/>
        <w:adjustRightInd w:val="0"/>
        <w:rPr>
          <w:rFonts w:eastAsia="Calibri"/>
          <w:sz w:val="22"/>
          <w:szCs w:val="22"/>
          <w:lang w:val="sr-Latn-RS"/>
        </w:rPr>
      </w:pPr>
      <w:r w:rsidRPr="00234ECD">
        <w:rPr>
          <w:rFonts w:eastAsia="Calibri"/>
          <w:sz w:val="22"/>
          <w:szCs w:val="22"/>
          <w:vertAlign w:val="superscript"/>
          <w:lang w:val="sr-Latn-RS"/>
        </w:rPr>
        <w:t>c</w:t>
      </w:r>
      <w:r w:rsidRPr="00234ECD">
        <w:rPr>
          <w:rFonts w:eastAsia="Calibri"/>
          <w:sz w:val="22"/>
          <w:szCs w:val="22"/>
          <w:lang w:val="sr-Latn-RS"/>
        </w:rPr>
        <w:t xml:space="preserve"> </w:t>
      </w:r>
      <w:r w:rsidR="0041788C" w:rsidRPr="00234ECD">
        <w:rPr>
          <w:rFonts w:eastAsia="Calibri"/>
          <w:sz w:val="22"/>
          <w:szCs w:val="22"/>
          <w:lang w:val="sr-Latn-RS"/>
        </w:rPr>
        <w:t>Uz prethodnu ili istovremenu izloženost inhibitor</w:t>
      </w:r>
      <w:r w:rsidR="00AE5CAE" w:rsidRPr="00234ECD">
        <w:rPr>
          <w:rFonts w:eastAsia="Calibri"/>
          <w:sz w:val="22"/>
          <w:szCs w:val="22"/>
          <w:lang w:val="sr-Latn-RS"/>
        </w:rPr>
        <w:t>ima</w:t>
      </w:r>
      <w:r w:rsidR="0041788C" w:rsidRPr="00234ECD">
        <w:rPr>
          <w:rFonts w:eastAsia="Calibri"/>
          <w:sz w:val="22"/>
          <w:szCs w:val="22"/>
          <w:lang w:val="sr-Latn-RS"/>
        </w:rPr>
        <w:t xml:space="preserve"> imunoloških kontrolnih tačaka</w:t>
      </w:r>
    </w:p>
    <w:p w14:paraId="77D17915" w14:textId="6C6C6986" w:rsidR="00D857AC" w:rsidRPr="00234ECD" w:rsidRDefault="00A25E52" w:rsidP="00D857AC">
      <w:pPr>
        <w:autoSpaceDE w:val="0"/>
        <w:autoSpaceDN w:val="0"/>
        <w:adjustRightInd w:val="0"/>
        <w:rPr>
          <w:rFonts w:eastAsia="Calibri"/>
          <w:sz w:val="22"/>
          <w:szCs w:val="22"/>
          <w:lang w:val="sr-Latn-RS"/>
        </w:rPr>
      </w:pPr>
      <w:r w:rsidRPr="00234ECD">
        <w:rPr>
          <w:rFonts w:eastAsia="Calibri"/>
          <w:sz w:val="22"/>
          <w:szCs w:val="22"/>
          <w:vertAlign w:val="superscript"/>
          <w:lang w:val="sr-Latn-RS"/>
        </w:rPr>
        <w:t>d</w:t>
      </w:r>
      <w:r w:rsidRPr="00234ECD">
        <w:rPr>
          <w:rFonts w:eastAsia="Calibri"/>
          <w:sz w:val="22"/>
          <w:szCs w:val="22"/>
          <w:lang w:val="sr-Latn-RS"/>
        </w:rPr>
        <w:t xml:space="preserve"> </w:t>
      </w:r>
      <w:r w:rsidR="00D857AC" w:rsidRPr="00234ECD">
        <w:rPr>
          <w:rFonts w:eastAsia="Calibri"/>
          <w:sz w:val="22"/>
          <w:szCs w:val="22"/>
          <w:lang w:val="sr-Latn-RS"/>
        </w:rPr>
        <w:t>Osip je složeni pojam koji uključuje dermatitis, akneiformni dermatitis, bulozni dermatitis, eksfolijativni osip, eritematozni osip, folikularni osip, makularni osip, makulopapularni osip, papularni osip, pruritički osip i izbijanje kožnih prom</w:t>
      </w:r>
      <w:r w:rsidR="00FB0EB6" w:rsidRPr="00234ECD">
        <w:rPr>
          <w:rFonts w:eastAsia="Calibri"/>
          <w:sz w:val="22"/>
          <w:szCs w:val="22"/>
          <w:lang w:val="sr-Latn-RS"/>
        </w:rPr>
        <w:t>j</w:t>
      </w:r>
      <w:r w:rsidR="00D857AC" w:rsidRPr="00234ECD">
        <w:rPr>
          <w:rFonts w:eastAsia="Calibri"/>
          <w:sz w:val="22"/>
          <w:szCs w:val="22"/>
          <w:lang w:val="sr-Latn-RS"/>
        </w:rPr>
        <w:t>ena uzrokovanih l</w:t>
      </w:r>
      <w:r w:rsidR="00FB0EB6" w:rsidRPr="00234ECD">
        <w:rPr>
          <w:rFonts w:eastAsia="Calibri"/>
          <w:sz w:val="22"/>
          <w:szCs w:val="22"/>
          <w:lang w:val="sr-Latn-RS"/>
        </w:rPr>
        <w:t>ij</w:t>
      </w:r>
      <w:r w:rsidR="00D857AC" w:rsidRPr="00234ECD">
        <w:rPr>
          <w:rFonts w:eastAsia="Calibri"/>
          <w:sz w:val="22"/>
          <w:szCs w:val="22"/>
          <w:lang w:val="sr-Latn-RS"/>
        </w:rPr>
        <w:t xml:space="preserve">ekom </w:t>
      </w:r>
    </w:p>
    <w:p w14:paraId="3A1F0614" w14:textId="1FD6AFC4" w:rsidR="00D857AC" w:rsidRPr="00234ECD" w:rsidRDefault="00AE5CAE" w:rsidP="00D857AC">
      <w:pPr>
        <w:autoSpaceDE w:val="0"/>
        <w:autoSpaceDN w:val="0"/>
        <w:adjustRightInd w:val="0"/>
        <w:rPr>
          <w:rFonts w:eastAsia="Calibri"/>
          <w:sz w:val="22"/>
          <w:szCs w:val="22"/>
          <w:lang w:val="sr-Latn-RS"/>
        </w:rPr>
      </w:pPr>
      <w:r w:rsidRPr="00234ECD">
        <w:rPr>
          <w:rFonts w:eastAsia="Calibri"/>
          <w:sz w:val="22"/>
          <w:szCs w:val="22"/>
          <w:vertAlign w:val="superscript"/>
          <w:lang w:val="sr-Latn-RS"/>
        </w:rPr>
        <w:t>e</w:t>
      </w:r>
      <w:r w:rsidR="00D857AC" w:rsidRPr="00234ECD">
        <w:rPr>
          <w:rFonts w:eastAsia="Calibri"/>
          <w:sz w:val="22"/>
          <w:szCs w:val="22"/>
          <w:lang w:val="sr-Latn-RS"/>
        </w:rPr>
        <w:t xml:space="preserve"> Mišićno-koštan</w:t>
      </w:r>
      <w:r w:rsidR="00144377" w:rsidRPr="00234ECD">
        <w:rPr>
          <w:rFonts w:eastAsia="Calibri"/>
          <w:sz w:val="22"/>
          <w:szCs w:val="22"/>
          <w:lang w:val="sr-Latn-RS"/>
        </w:rPr>
        <w:t>i</w:t>
      </w:r>
      <w:r w:rsidR="00D857AC" w:rsidRPr="00234ECD">
        <w:rPr>
          <w:rFonts w:eastAsia="Calibri"/>
          <w:sz w:val="22"/>
          <w:szCs w:val="22"/>
          <w:lang w:val="sr-Latn-RS"/>
        </w:rPr>
        <w:t xml:space="preserve"> bol je složeni pojam koji uključuje bol u leđima, bol u kostima, bol u mišićima i kostima grudi, nelagodu u mišićima i kostima, mialgiju, bol u vratu, bol u ekstremitetima, bol u kičmi</w:t>
      </w:r>
    </w:p>
    <w:p w14:paraId="5338F306" w14:textId="0EC5A6FE" w:rsidR="00D857AC" w:rsidRPr="00234ECD" w:rsidRDefault="00AE5CAE" w:rsidP="00D857AC">
      <w:pPr>
        <w:jc w:val="both"/>
        <w:rPr>
          <w:rFonts w:eastAsia="Calibri"/>
          <w:sz w:val="22"/>
          <w:szCs w:val="22"/>
          <w:lang w:val="sr-Latn-RS"/>
        </w:rPr>
      </w:pPr>
      <w:r w:rsidRPr="00234ECD">
        <w:rPr>
          <w:rFonts w:eastAsia="Calibri"/>
          <w:sz w:val="22"/>
          <w:szCs w:val="22"/>
          <w:vertAlign w:val="superscript"/>
          <w:lang w:val="sr-Latn-RS"/>
        </w:rPr>
        <w:t>f</w:t>
      </w:r>
      <w:r w:rsidR="00D857AC" w:rsidRPr="00234ECD">
        <w:rPr>
          <w:rFonts w:eastAsia="Calibri"/>
          <w:sz w:val="22"/>
          <w:szCs w:val="22"/>
          <w:vertAlign w:val="superscript"/>
          <w:lang w:val="sr-Latn-RS"/>
        </w:rPr>
        <w:t xml:space="preserve"> </w:t>
      </w:r>
      <w:r w:rsidR="00D857AC" w:rsidRPr="00234ECD">
        <w:rPr>
          <w:rFonts w:eastAsia="Calibri"/>
          <w:sz w:val="22"/>
          <w:szCs w:val="22"/>
          <w:lang w:val="sr-Latn-RS"/>
        </w:rPr>
        <w:t>Učestalosti laboratorijskih pojmova odražavaju ud</w:t>
      </w:r>
      <w:r w:rsidR="00FB0EB6" w:rsidRPr="00234ECD">
        <w:rPr>
          <w:rFonts w:eastAsia="Calibri"/>
          <w:sz w:val="22"/>
          <w:szCs w:val="22"/>
          <w:lang w:val="sr-Latn-RS"/>
        </w:rPr>
        <w:t>i</w:t>
      </w:r>
      <w:r w:rsidR="00D857AC" w:rsidRPr="00234ECD">
        <w:rPr>
          <w:rFonts w:eastAsia="Calibri"/>
          <w:sz w:val="22"/>
          <w:szCs w:val="22"/>
          <w:lang w:val="sr-Latn-RS"/>
        </w:rPr>
        <w:t>o pacijenata kod kojih je došlo do pogoršanja laboratorijskih parametara u odnosu na početne vr</w:t>
      </w:r>
      <w:r w:rsidR="00FB0EB6" w:rsidRPr="00234ECD">
        <w:rPr>
          <w:rFonts w:eastAsia="Calibri"/>
          <w:sz w:val="22"/>
          <w:szCs w:val="22"/>
          <w:lang w:val="sr-Latn-RS"/>
        </w:rPr>
        <w:t>ij</w:t>
      </w:r>
      <w:r w:rsidR="00D857AC" w:rsidRPr="00234ECD">
        <w:rPr>
          <w:rFonts w:eastAsia="Calibri"/>
          <w:sz w:val="22"/>
          <w:szCs w:val="22"/>
          <w:lang w:val="sr-Latn-RS"/>
        </w:rPr>
        <w:t>ednosti, sa izuzetkom smanjenja t</w:t>
      </w:r>
      <w:r w:rsidR="00FB0EB6" w:rsidRPr="00234ECD">
        <w:rPr>
          <w:rFonts w:eastAsia="Calibri"/>
          <w:sz w:val="22"/>
          <w:szCs w:val="22"/>
          <w:lang w:val="sr-Latn-RS"/>
        </w:rPr>
        <w:t>j</w:t>
      </w:r>
      <w:r w:rsidR="00D857AC" w:rsidRPr="00234ECD">
        <w:rPr>
          <w:rFonts w:eastAsia="Calibri"/>
          <w:sz w:val="22"/>
          <w:szCs w:val="22"/>
          <w:lang w:val="sr-Latn-RS"/>
        </w:rPr>
        <w:t>elesne mase, povišenih vr</w:t>
      </w:r>
      <w:r w:rsidR="00FB0EB6" w:rsidRPr="00234ECD">
        <w:rPr>
          <w:rFonts w:eastAsia="Calibri"/>
          <w:sz w:val="22"/>
          <w:szCs w:val="22"/>
          <w:lang w:val="sr-Latn-RS"/>
        </w:rPr>
        <w:t>ij</w:t>
      </w:r>
      <w:r w:rsidR="00D857AC" w:rsidRPr="00234ECD">
        <w:rPr>
          <w:rFonts w:eastAsia="Calibri"/>
          <w:sz w:val="22"/>
          <w:szCs w:val="22"/>
          <w:lang w:val="sr-Latn-RS"/>
        </w:rPr>
        <w:t>ednosti holesterola u krvi i povišenih vr</w:t>
      </w:r>
      <w:r w:rsidR="00FB0EB6" w:rsidRPr="00234ECD">
        <w:rPr>
          <w:rFonts w:eastAsia="Calibri"/>
          <w:sz w:val="22"/>
          <w:szCs w:val="22"/>
          <w:lang w:val="sr-Latn-RS"/>
        </w:rPr>
        <w:t>ij</w:t>
      </w:r>
      <w:r w:rsidR="00D857AC" w:rsidRPr="00234ECD">
        <w:rPr>
          <w:rFonts w:eastAsia="Calibri"/>
          <w:sz w:val="22"/>
          <w:szCs w:val="22"/>
          <w:lang w:val="sr-Latn-RS"/>
        </w:rPr>
        <w:t>ednosti triglicerida u krvi</w:t>
      </w:r>
    </w:p>
    <w:p w14:paraId="4AD00B24" w14:textId="77777777" w:rsidR="00D857AC" w:rsidRPr="00234ECD" w:rsidRDefault="00D857AC" w:rsidP="00D857AC">
      <w:pPr>
        <w:jc w:val="both"/>
        <w:rPr>
          <w:rFonts w:eastAsia="Calibri"/>
          <w:sz w:val="22"/>
          <w:szCs w:val="22"/>
          <w:u w:val="single"/>
          <w:lang w:val="sr-Latn-RS"/>
        </w:rPr>
      </w:pPr>
    </w:p>
    <w:p w14:paraId="2A483561" w14:textId="77777777" w:rsidR="00D857AC" w:rsidRPr="00234ECD" w:rsidRDefault="00D857AC" w:rsidP="00D857AC">
      <w:pPr>
        <w:tabs>
          <w:tab w:val="left" w:pos="3525"/>
        </w:tabs>
        <w:jc w:val="both"/>
        <w:rPr>
          <w:rFonts w:eastAsia="Calibri"/>
          <w:sz w:val="22"/>
          <w:szCs w:val="22"/>
          <w:u w:val="single"/>
          <w:lang w:val="sr-Latn-RS"/>
        </w:rPr>
      </w:pPr>
      <w:r w:rsidRPr="00234ECD">
        <w:rPr>
          <w:rFonts w:eastAsia="Calibri"/>
          <w:sz w:val="22"/>
          <w:szCs w:val="22"/>
          <w:u w:val="single"/>
          <w:lang w:val="sr-Latn-RS"/>
        </w:rPr>
        <w:t>Opis odabranih neželjenih reakcija</w:t>
      </w:r>
    </w:p>
    <w:p w14:paraId="2F3480CA" w14:textId="4770BDD6" w:rsidR="00D857AC" w:rsidRPr="00234ECD" w:rsidRDefault="00D857AC" w:rsidP="00D857AC">
      <w:pPr>
        <w:jc w:val="both"/>
        <w:rPr>
          <w:rFonts w:eastAsia="Calibri"/>
          <w:sz w:val="22"/>
          <w:szCs w:val="22"/>
          <w:lang w:val="sr-Latn-RS"/>
        </w:rPr>
      </w:pPr>
      <w:r w:rsidRPr="00234ECD">
        <w:rPr>
          <w:rFonts w:eastAsia="Calibri"/>
          <w:sz w:val="22"/>
          <w:szCs w:val="22"/>
          <w:lang w:val="sr-Latn-RS"/>
        </w:rPr>
        <w:t>Podaci o sl</w:t>
      </w:r>
      <w:r w:rsidR="00FB0EB6" w:rsidRPr="00234ECD">
        <w:rPr>
          <w:rFonts w:eastAsia="Calibri"/>
          <w:sz w:val="22"/>
          <w:szCs w:val="22"/>
          <w:lang w:val="sr-Latn-RS"/>
        </w:rPr>
        <w:t>j</w:t>
      </w:r>
      <w:r w:rsidRPr="00234ECD">
        <w:rPr>
          <w:rFonts w:eastAsia="Calibri"/>
          <w:sz w:val="22"/>
          <w:szCs w:val="22"/>
          <w:lang w:val="sr-Latn-RS"/>
        </w:rPr>
        <w:t>edećim neželjenim reakcijama baziraju se na podacima pacijenata koji su primali l</w:t>
      </w:r>
      <w:r w:rsidR="00FB0EB6" w:rsidRPr="00234ECD">
        <w:rPr>
          <w:rFonts w:eastAsia="Calibri"/>
          <w:sz w:val="22"/>
          <w:szCs w:val="22"/>
          <w:lang w:val="sr-Latn-RS"/>
        </w:rPr>
        <w:t>ij</w:t>
      </w:r>
      <w:r w:rsidRPr="00234ECD">
        <w:rPr>
          <w:rFonts w:eastAsia="Calibri"/>
          <w:sz w:val="22"/>
          <w:szCs w:val="22"/>
          <w:lang w:val="sr-Latn-RS"/>
        </w:rPr>
        <w:t>ek Cabometyx od 60 mg oralno jednom dnevno kao monoterapiju u pivotalnim studijama karcinoma bubrežnih ćelija (RCC) nakon prethodne terapije usm</w:t>
      </w:r>
      <w:r w:rsidR="00FB0EB6" w:rsidRPr="00234ECD">
        <w:rPr>
          <w:rFonts w:eastAsia="Calibri"/>
          <w:sz w:val="22"/>
          <w:szCs w:val="22"/>
          <w:lang w:val="sr-Latn-RS"/>
        </w:rPr>
        <w:t>j</w:t>
      </w:r>
      <w:r w:rsidRPr="00234ECD">
        <w:rPr>
          <w:rFonts w:eastAsia="Calibri"/>
          <w:sz w:val="22"/>
          <w:szCs w:val="22"/>
          <w:lang w:val="sr-Latn-RS"/>
        </w:rPr>
        <w:t>erene na VEGF i prethodno nel</w:t>
      </w:r>
      <w:r w:rsidR="00FB0EB6" w:rsidRPr="00234ECD">
        <w:rPr>
          <w:rFonts w:eastAsia="Calibri"/>
          <w:sz w:val="22"/>
          <w:szCs w:val="22"/>
          <w:lang w:val="sr-Latn-RS"/>
        </w:rPr>
        <w:t>ij</w:t>
      </w:r>
      <w:r w:rsidRPr="00234ECD">
        <w:rPr>
          <w:rFonts w:eastAsia="Calibri"/>
          <w:sz w:val="22"/>
          <w:szCs w:val="22"/>
          <w:lang w:val="sr-Latn-RS"/>
        </w:rPr>
        <w:t xml:space="preserve">ečenih pacijenata sa RCC i kod hepatocelularnog karcinoma nakon prethodne sistemske terapije </w:t>
      </w:r>
      <w:r w:rsidR="00454922" w:rsidRPr="00234ECD">
        <w:rPr>
          <w:rFonts w:eastAsia="Calibri"/>
          <w:sz w:val="22"/>
          <w:szCs w:val="22"/>
          <w:lang w:val="sr-Latn-RS"/>
        </w:rPr>
        <w:t>i kod pacijenata sa diferenciranim karcinoma štit</w:t>
      </w:r>
      <w:r w:rsidR="00536801" w:rsidRPr="00234ECD">
        <w:rPr>
          <w:rFonts w:eastAsia="Calibri"/>
          <w:sz w:val="22"/>
          <w:szCs w:val="22"/>
          <w:lang w:val="sr-Latn-RS"/>
        </w:rPr>
        <w:t>aste</w:t>
      </w:r>
      <w:r w:rsidR="00454922" w:rsidRPr="00234ECD">
        <w:rPr>
          <w:rFonts w:eastAsia="Calibri"/>
          <w:sz w:val="22"/>
          <w:szCs w:val="22"/>
          <w:lang w:val="sr-Latn-RS"/>
        </w:rPr>
        <w:t xml:space="preserve"> žl</w:t>
      </w:r>
      <w:r w:rsidR="003D19D3" w:rsidRPr="00234ECD">
        <w:rPr>
          <w:rFonts w:eastAsia="Calibri"/>
          <w:sz w:val="22"/>
          <w:szCs w:val="22"/>
          <w:lang w:val="sr-Latn-RS"/>
        </w:rPr>
        <w:t>ij</w:t>
      </w:r>
      <w:r w:rsidR="00454922" w:rsidRPr="00234ECD">
        <w:rPr>
          <w:rFonts w:eastAsia="Calibri"/>
          <w:sz w:val="22"/>
          <w:szCs w:val="22"/>
          <w:lang w:val="sr-Latn-RS"/>
        </w:rPr>
        <w:t>ezde, refraktornim ili nepodobnim za radioaktivni jod (RAI)</w:t>
      </w:r>
      <w:r w:rsidR="001F01DF" w:rsidRPr="00234ECD">
        <w:rPr>
          <w:rFonts w:eastAsia="Calibri"/>
          <w:sz w:val="22"/>
          <w:szCs w:val="22"/>
          <w:lang w:val="sr-Latn-RS"/>
        </w:rPr>
        <w:t>,</w:t>
      </w:r>
      <w:r w:rsidR="00454922" w:rsidRPr="00234ECD">
        <w:rPr>
          <w:rFonts w:eastAsia="Calibri"/>
          <w:sz w:val="22"/>
          <w:szCs w:val="22"/>
          <w:lang w:val="sr-Latn-RS"/>
        </w:rPr>
        <w:t xml:space="preserve"> </w:t>
      </w:r>
      <w:r w:rsidR="001F01DF" w:rsidRPr="00234ECD">
        <w:rPr>
          <w:rFonts w:eastAsia="Calibri"/>
          <w:sz w:val="22"/>
          <w:szCs w:val="22"/>
          <w:lang w:val="sr-Latn-RS"/>
        </w:rPr>
        <w:t xml:space="preserve">kod kojih je došlo do progresije </w:t>
      </w:r>
      <w:r w:rsidR="00454922" w:rsidRPr="00234ECD">
        <w:rPr>
          <w:rFonts w:eastAsia="Calibri"/>
          <w:sz w:val="22"/>
          <w:szCs w:val="22"/>
          <w:lang w:val="sr-Latn-RS"/>
        </w:rPr>
        <w:t xml:space="preserve">tokom ili poslije prethodne sistemske terapije </w:t>
      </w:r>
      <w:r w:rsidRPr="00234ECD">
        <w:rPr>
          <w:rFonts w:eastAsia="Calibri"/>
          <w:sz w:val="22"/>
          <w:szCs w:val="22"/>
          <w:lang w:val="sr-Latn-RS"/>
        </w:rPr>
        <w:t>ili pacijenata koji su primali l</w:t>
      </w:r>
      <w:r w:rsidR="00FB0EB6" w:rsidRPr="00234ECD">
        <w:rPr>
          <w:rFonts w:eastAsia="Calibri"/>
          <w:sz w:val="22"/>
          <w:szCs w:val="22"/>
          <w:lang w:val="sr-Latn-RS"/>
        </w:rPr>
        <w:t>ij</w:t>
      </w:r>
      <w:r w:rsidRPr="00234ECD">
        <w:rPr>
          <w:rFonts w:eastAsia="Calibri"/>
          <w:sz w:val="22"/>
          <w:szCs w:val="22"/>
          <w:lang w:val="sr-Latn-RS"/>
        </w:rPr>
        <w:t>ek Cabometyx od 40 mg oralno jednom dnevno u kombinaciji sa nivolumabom u prvoj liniji l</w:t>
      </w:r>
      <w:r w:rsidR="00FB0EB6" w:rsidRPr="00234ECD">
        <w:rPr>
          <w:rFonts w:eastAsia="Calibri"/>
          <w:sz w:val="22"/>
          <w:szCs w:val="22"/>
          <w:lang w:val="sr-Latn-RS"/>
        </w:rPr>
        <w:t>ij</w:t>
      </w:r>
      <w:r w:rsidRPr="00234ECD">
        <w:rPr>
          <w:rFonts w:eastAsia="Calibri"/>
          <w:sz w:val="22"/>
          <w:szCs w:val="22"/>
          <w:lang w:val="sr-Latn-RS"/>
        </w:rPr>
        <w:t>ečenja uznapredovalog RCC (</w:t>
      </w:r>
      <w:r w:rsidR="001F01DF" w:rsidRPr="00234ECD">
        <w:rPr>
          <w:rFonts w:eastAsia="Calibri"/>
          <w:sz w:val="22"/>
          <w:szCs w:val="22"/>
          <w:lang w:val="sr-Latn-RS"/>
        </w:rPr>
        <w:t xml:space="preserve">dio </w:t>
      </w:r>
      <w:r w:rsidRPr="00234ECD">
        <w:rPr>
          <w:rFonts w:eastAsia="Calibri"/>
          <w:sz w:val="22"/>
          <w:szCs w:val="22"/>
          <w:lang w:val="sr-Latn-RS"/>
        </w:rPr>
        <w:t>5.1).</w:t>
      </w:r>
    </w:p>
    <w:p w14:paraId="0C3D81DA" w14:textId="77777777" w:rsidR="00D857AC" w:rsidRPr="00234ECD" w:rsidRDefault="00D857AC" w:rsidP="00D857AC">
      <w:pPr>
        <w:jc w:val="both"/>
        <w:rPr>
          <w:rFonts w:eastAsia="Calibri"/>
          <w:sz w:val="22"/>
          <w:szCs w:val="22"/>
          <w:lang w:val="sr-Latn-RS"/>
        </w:rPr>
      </w:pPr>
    </w:p>
    <w:p w14:paraId="2EAB5213" w14:textId="73C1A6F4" w:rsidR="00D857AC" w:rsidRPr="00234ECD" w:rsidRDefault="00D857AC" w:rsidP="00D857AC">
      <w:pPr>
        <w:jc w:val="both"/>
        <w:rPr>
          <w:rFonts w:eastAsia="Calibri"/>
          <w:i/>
          <w:sz w:val="22"/>
          <w:szCs w:val="22"/>
          <w:u w:val="single"/>
          <w:lang w:val="sr-Latn-RS"/>
        </w:rPr>
      </w:pPr>
      <w:r w:rsidRPr="00234ECD">
        <w:rPr>
          <w:rFonts w:eastAsia="Calibri"/>
          <w:i/>
          <w:sz w:val="22"/>
          <w:szCs w:val="22"/>
          <w:u w:val="single"/>
          <w:lang w:val="sr-Latn-RS"/>
        </w:rPr>
        <w:t>Gastrointestinalna (GI) perforacija</w:t>
      </w:r>
      <w:bookmarkStart w:id="7" w:name="_Hlk53407108"/>
      <w:r w:rsidRPr="00234ECD">
        <w:rPr>
          <w:rFonts w:eastAsia="Calibri"/>
          <w:i/>
          <w:sz w:val="22"/>
          <w:szCs w:val="22"/>
          <w:u w:val="single"/>
          <w:lang w:val="sr-Latn-RS"/>
        </w:rPr>
        <w:t xml:space="preserve"> (vid</w:t>
      </w:r>
      <w:r w:rsidR="00FB0EB6" w:rsidRPr="00234ECD">
        <w:rPr>
          <w:rFonts w:eastAsia="Calibri"/>
          <w:i/>
          <w:sz w:val="22"/>
          <w:szCs w:val="22"/>
          <w:u w:val="single"/>
          <w:lang w:val="sr-Latn-RS"/>
        </w:rPr>
        <w:t>j</w:t>
      </w:r>
      <w:r w:rsidRPr="00234ECD">
        <w:rPr>
          <w:rFonts w:eastAsia="Calibri"/>
          <w:i/>
          <w:sz w:val="22"/>
          <w:szCs w:val="22"/>
          <w:u w:val="single"/>
          <w:lang w:val="sr-Latn-RS"/>
        </w:rPr>
        <w:t xml:space="preserve">eti </w:t>
      </w:r>
      <w:r w:rsidR="00D5140F" w:rsidRPr="00234ECD">
        <w:rPr>
          <w:rFonts w:eastAsia="Calibri"/>
          <w:i/>
          <w:sz w:val="22"/>
          <w:szCs w:val="22"/>
          <w:u w:val="single"/>
          <w:lang w:val="sr-Latn-RS"/>
        </w:rPr>
        <w:t xml:space="preserve">dio </w:t>
      </w:r>
      <w:r w:rsidRPr="00234ECD">
        <w:rPr>
          <w:rFonts w:eastAsia="Calibri"/>
          <w:i/>
          <w:sz w:val="22"/>
          <w:szCs w:val="22"/>
          <w:u w:val="single"/>
          <w:lang w:val="sr-Latn-RS"/>
        </w:rPr>
        <w:t>4.4)</w:t>
      </w:r>
      <w:bookmarkEnd w:id="7"/>
    </w:p>
    <w:p w14:paraId="7D78807C" w14:textId="49981B2E" w:rsidR="00D857AC" w:rsidRPr="00234ECD" w:rsidRDefault="00D857AC" w:rsidP="00D857AC">
      <w:pPr>
        <w:jc w:val="both"/>
        <w:rPr>
          <w:rFonts w:eastAsia="Calibri"/>
          <w:sz w:val="22"/>
          <w:szCs w:val="22"/>
          <w:lang w:val="sr-Latn-RS"/>
        </w:rPr>
      </w:pPr>
      <w:r w:rsidRPr="00234ECD">
        <w:rPr>
          <w:rFonts w:eastAsia="Calibri"/>
          <w:sz w:val="22"/>
          <w:szCs w:val="22"/>
          <w:lang w:val="sr-Latn-RS"/>
        </w:rPr>
        <w:t>U studiji RCC nakon prethodne terapije usm</w:t>
      </w:r>
      <w:r w:rsidR="00FB0EB6" w:rsidRPr="00234ECD">
        <w:rPr>
          <w:rFonts w:eastAsia="Calibri"/>
          <w:sz w:val="22"/>
          <w:szCs w:val="22"/>
          <w:lang w:val="sr-Latn-RS"/>
        </w:rPr>
        <w:t>j</w:t>
      </w:r>
      <w:r w:rsidRPr="00234ECD">
        <w:rPr>
          <w:rFonts w:eastAsia="Calibri"/>
          <w:sz w:val="22"/>
          <w:szCs w:val="22"/>
          <w:lang w:val="sr-Latn-RS"/>
        </w:rPr>
        <w:t>erene na VEGF (METEOR), gastrointestinalne perforacije prijavljene su kod 0,9% (3/331) pacijenata sa RCC na terapiji kabozantinibom. Događaji su bili 2. ili 3. stepena. Medijana vremena do pojave iznosila je 10,0 ned</w:t>
      </w:r>
      <w:r w:rsidR="00FB0EB6" w:rsidRPr="00234ECD">
        <w:rPr>
          <w:rFonts w:eastAsia="Calibri"/>
          <w:sz w:val="22"/>
          <w:szCs w:val="22"/>
          <w:lang w:val="sr-Latn-RS"/>
        </w:rPr>
        <w:t>j</w:t>
      </w:r>
      <w:r w:rsidRPr="00234ECD">
        <w:rPr>
          <w:rFonts w:eastAsia="Calibri"/>
          <w:sz w:val="22"/>
          <w:szCs w:val="22"/>
          <w:lang w:val="sr-Latn-RS"/>
        </w:rPr>
        <w:t>elja.</w:t>
      </w:r>
    </w:p>
    <w:p w14:paraId="12E6103B" w14:textId="77777777" w:rsidR="00D857AC" w:rsidRPr="00234ECD" w:rsidRDefault="00D857AC" w:rsidP="00D857AC">
      <w:pPr>
        <w:jc w:val="both"/>
        <w:rPr>
          <w:rFonts w:eastAsia="Calibri"/>
          <w:sz w:val="22"/>
          <w:szCs w:val="22"/>
          <w:lang w:val="sr-Latn-RS"/>
        </w:rPr>
      </w:pPr>
    </w:p>
    <w:p w14:paraId="1F097297" w14:textId="1B17524A" w:rsidR="00D857AC" w:rsidRPr="00234ECD" w:rsidRDefault="00D857AC" w:rsidP="00D857AC">
      <w:pPr>
        <w:jc w:val="both"/>
        <w:rPr>
          <w:rFonts w:eastAsia="Calibri"/>
          <w:sz w:val="22"/>
          <w:szCs w:val="22"/>
          <w:lang w:val="sr-Latn-RS"/>
        </w:rPr>
      </w:pPr>
      <w:r w:rsidRPr="00234ECD">
        <w:rPr>
          <w:rFonts w:eastAsia="Calibri"/>
          <w:sz w:val="22"/>
          <w:szCs w:val="22"/>
          <w:lang w:val="sr-Latn-RS"/>
        </w:rPr>
        <w:t>U studiji prethodno nel</w:t>
      </w:r>
      <w:r w:rsidR="00FB0EB6" w:rsidRPr="00234ECD">
        <w:rPr>
          <w:rFonts w:eastAsia="Calibri"/>
          <w:sz w:val="22"/>
          <w:szCs w:val="22"/>
          <w:lang w:val="sr-Latn-RS"/>
        </w:rPr>
        <w:t>ij</w:t>
      </w:r>
      <w:r w:rsidRPr="00234ECD">
        <w:rPr>
          <w:rFonts w:eastAsia="Calibri"/>
          <w:sz w:val="22"/>
          <w:szCs w:val="22"/>
          <w:lang w:val="sr-Latn-RS"/>
        </w:rPr>
        <w:t>ečenog RCC (CABOSUN), gastrointestinalne perforacije prijavljene su kod 2,6% (2/78) pacijenata na terapiji kabozantinibom. Događaji su bili 4. i 5. stepena.</w:t>
      </w:r>
    </w:p>
    <w:p w14:paraId="487DC573" w14:textId="77777777" w:rsidR="00D857AC" w:rsidRPr="00234ECD" w:rsidRDefault="00D857AC" w:rsidP="00D857AC">
      <w:pPr>
        <w:jc w:val="both"/>
        <w:rPr>
          <w:rFonts w:eastAsia="Calibri"/>
          <w:sz w:val="22"/>
          <w:szCs w:val="22"/>
          <w:lang w:val="sr-Latn-RS"/>
        </w:rPr>
      </w:pPr>
    </w:p>
    <w:p w14:paraId="1C0CA844" w14:textId="68BCAFEE" w:rsidR="00D857AC" w:rsidRPr="00234ECD" w:rsidRDefault="00D857AC" w:rsidP="00D857AC">
      <w:pPr>
        <w:jc w:val="both"/>
        <w:rPr>
          <w:iCs/>
          <w:sz w:val="22"/>
          <w:szCs w:val="22"/>
          <w:lang w:val="sr-Latn-RS"/>
        </w:rPr>
      </w:pPr>
      <w:r w:rsidRPr="00234ECD">
        <w:rPr>
          <w:bCs/>
          <w:sz w:val="22"/>
          <w:szCs w:val="22"/>
          <w:lang w:val="sr-Latn-RS"/>
        </w:rPr>
        <w:t>U studiji</w:t>
      </w:r>
      <w:r w:rsidRPr="00234ECD">
        <w:rPr>
          <w:bCs/>
          <w:iCs/>
          <w:sz w:val="22"/>
          <w:szCs w:val="22"/>
          <w:lang w:val="sr-Latn-RS"/>
        </w:rPr>
        <w:t xml:space="preserve"> hepatocelularnog karcinoma </w:t>
      </w:r>
      <w:r w:rsidRPr="00234ECD">
        <w:rPr>
          <w:sz w:val="22"/>
          <w:szCs w:val="22"/>
          <w:lang w:val="sr-Latn-RS"/>
        </w:rPr>
        <w:t xml:space="preserve">(CELESTIAL), gastrointestinalne perforacije prijavljene su kod 0,9% pacijenata na terapiji kabozantinibom (4/467). Svi događaji bili su </w:t>
      </w:r>
      <w:r w:rsidRPr="00234ECD">
        <w:rPr>
          <w:iCs/>
          <w:sz w:val="22"/>
          <w:szCs w:val="22"/>
          <w:lang w:val="sr-Latn-RS"/>
        </w:rPr>
        <w:t>3. ili 4. stepena. Medijana vremena do pojave iznosila je 5,9 ned</w:t>
      </w:r>
      <w:r w:rsidR="00FB0EB6" w:rsidRPr="00234ECD">
        <w:rPr>
          <w:iCs/>
          <w:sz w:val="22"/>
          <w:szCs w:val="22"/>
          <w:lang w:val="sr-Latn-RS"/>
        </w:rPr>
        <w:t>j</w:t>
      </w:r>
      <w:r w:rsidRPr="00234ECD">
        <w:rPr>
          <w:iCs/>
          <w:sz w:val="22"/>
          <w:szCs w:val="22"/>
          <w:lang w:val="sr-Latn-RS"/>
        </w:rPr>
        <w:t>elja.</w:t>
      </w:r>
    </w:p>
    <w:p w14:paraId="635505E9" w14:textId="77777777" w:rsidR="00454922" w:rsidRPr="00234ECD" w:rsidRDefault="00454922" w:rsidP="00D857AC">
      <w:pPr>
        <w:jc w:val="both"/>
        <w:rPr>
          <w:iCs/>
          <w:sz w:val="22"/>
          <w:szCs w:val="22"/>
          <w:lang w:val="sr-Latn-RS"/>
        </w:rPr>
      </w:pPr>
    </w:p>
    <w:p w14:paraId="0B1876BE" w14:textId="6784875D" w:rsidR="00AE113A" w:rsidRPr="00234ECD" w:rsidRDefault="00AE113A" w:rsidP="00AE113A">
      <w:pPr>
        <w:jc w:val="both"/>
        <w:rPr>
          <w:sz w:val="22"/>
          <w:szCs w:val="22"/>
          <w:lang w:val="sr-Latn-RS"/>
        </w:rPr>
      </w:pPr>
      <w:r w:rsidRPr="00234ECD">
        <w:rPr>
          <w:bCs/>
          <w:sz w:val="22"/>
          <w:szCs w:val="22"/>
          <w:lang w:val="sr-Latn-RS"/>
        </w:rPr>
        <w:lastRenderedPageBreak/>
        <w:t>U studiji</w:t>
      </w:r>
      <w:r w:rsidRPr="00234ECD">
        <w:rPr>
          <w:bCs/>
          <w:iCs/>
          <w:sz w:val="22"/>
          <w:szCs w:val="22"/>
          <w:lang w:val="sr-Latn-RS"/>
        </w:rPr>
        <w:t xml:space="preserve"> diferenciranog karcinoma štit</w:t>
      </w:r>
      <w:r w:rsidR="00D92379" w:rsidRPr="00234ECD">
        <w:rPr>
          <w:bCs/>
          <w:iCs/>
          <w:sz w:val="22"/>
          <w:szCs w:val="22"/>
          <w:lang w:val="sr-Latn-RS"/>
        </w:rPr>
        <w:t>aste</w:t>
      </w:r>
      <w:r w:rsidRPr="00234ECD">
        <w:rPr>
          <w:bCs/>
          <w:iCs/>
          <w:sz w:val="22"/>
          <w:szCs w:val="22"/>
          <w:lang w:val="sr-Latn-RS"/>
        </w:rPr>
        <w:t xml:space="preserve"> žl</w:t>
      </w:r>
      <w:r w:rsidR="003D19D3" w:rsidRPr="00234ECD">
        <w:rPr>
          <w:bCs/>
          <w:iCs/>
          <w:sz w:val="22"/>
          <w:szCs w:val="22"/>
          <w:lang w:val="sr-Latn-RS"/>
        </w:rPr>
        <w:t>ij</w:t>
      </w:r>
      <w:r w:rsidRPr="00234ECD">
        <w:rPr>
          <w:bCs/>
          <w:iCs/>
          <w:sz w:val="22"/>
          <w:szCs w:val="22"/>
          <w:lang w:val="sr-Latn-RS"/>
        </w:rPr>
        <w:t xml:space="preserve">ezde </w:t>
      </w:r>
      <w:r w:rsidRPr="00234ECD">
        <w:rPr>
          <w:sz w:val="22"/>
          <w:szCs w:val="22"/>
          <w:lang w:val="sr-Latn-RS"/>
        </w:rPr>
        <w:t>(COSMIC-311), gastrointestinalne perforacije 4. stepena prijavljene su kod 0,</w:t>
      </w:r>
      <w:r w:rsidR="009E1F0B" w:rsidRPr="00234ECD">
        <w:rPr>
          <w:sz w:val="22"/>
          <w:szCs w:val="22"/>
          <w:lang w:val="sr-Latn-RS"/>
        </w:rPr>
        <w:t>6</w:t>
      </w:r>
      <w:r w:rsidRPr="00234ECD">
        <w:rPr>
          <w:sz w:val="22"/>
          <w:szCs w:val="22"/>
          <w:lang w:val="sr-Latn-RS"/>
        </w:rPr>
        <w:t xml:space="preserve"> % pacijenata na terapiji kabozantinibom i pojavile su se nakon 14 nedjelja od početka terapije.</w:t>
      </w:r>
    </w:p>
    <w:p w14:paraId="5C7CC5EE" w14:textId="77777777" w:rsidR="00AE113A" w:rsidRPr="00234ECD" w:rsidRDefault="00AE113A" w:rsidP="00D857AC">
      <w:pPr>
        <w:jc w:val="both"/>
        <w:rPr>
          <w:iCs/>
          <w:sz w:val="22"/>
          <w:szCs w:val="22"/>
          <w:lang w:val="sr-Latn-RS"/>
        </w:rPr>
      </w:pPr>
    </w:p>
    <w:p w14:paraId="2CA00A3A" w14:textId="62B00999" w:rsidR="00D857AC" w:rsidRPr="00234ECD" w:rsidRDefault="00D857AC" w:rsidP="00D857AC">
      <w:pPr>
        <w:jc w:val="both"/>
        <w:rPr>
          <w:rFonts w:eastAsia="Calibri"/>
          <w:sz w:val="22"/>
          <w:szCs w:val="22"/>
          <w:lang w:val="sr-Latn-RS"/>
        </w:rPr>
      </w:pPr>
      <w:r w:rsidRPr="00234ECD">
        <w:rPr>
          <w:rFonts w:eastAsia="Calibri"/>
          <w:sz w:val="22"/>
          <w:szCs w:val="22"/>
          <w:lang w:val="sr-Latn-RS"/>
        </w:rPr>
        <w:t>U kombinaciji sa nivolumabom kao prvoj liniji l</w:t>
      </w:r>
      <w:r w:rsidR="00FB0EB6" w:rsidRPr="00234ECD">
        <w:rPr>
          <w:rFonts w:eastAsia="Calibri"/>
          <w:sz w:val="22"/>
          <w:szCs w:val="22"/>
          <w:lang w:val="sr-Latn-RS"/>
        </w:rPr>
        <w:t>ij</w:t>
      </w:r>
      <w:r w:rsidRPr="00234ECD">
        <w:rPr>
          <w:rFonts w:eastAsia="Calibri"/>
          <w:sz w:val="22"/>
          <w:szCs w:val="22"/>
          <w:lang w:val="sr-Latn-RS"/>
        </w:rPr>
        <w:t>ečenja uznapredovalog RCC-a (CA2099ER), učestalost GI perforacija bila je 1,3% (4/320) l</w:t>
      </w:r>
      <w:r w:rsidR="00FB0EB6" w:rsidRPr="00234ECD">
        <w:rPr>
          <w:rFonts w:eastAsia="Calibri"/>
          <w:sz w:val="22"/>
          <w:szCs w:val="22"/>
          <w:lang w:val="sr-Latn-RS"/>
        </w:rPr>
        <w:t>ij</w:t>
      </w:r>
      <w:r w:rsidRPr="00234ECD">
        <w:rPr>
          <w:rFonts w:eastAsia="Calibri"/>
          <w:sz w:val="22"/>
          <w:szCs w:val="22"/>
          <w:lang w:val="sr-Latn-RS"/>
        </w:rPr>
        <w:t>ečenih pacijenata. Jedan događaj je bio 3. stepena, dva su bila 4. stepena i jedan događaj 5. stepena (smrtni ishod).</w:t>
      </w:r>
    </w:p>
    <w:p w14:paraId="12B51E87" w14:textId="166D0BC0" w:rsidR="00D857AC" w:rsidRPr="00234ECD" w:rsidRDefault="00D857AC" w:rsidP="00D857AC">
      <w:pPr>
        <w:jc w:val="both"/>
        <w:rPr>
          <w:rFonts w:eastAsia="Calibri"/>
          <w:sz w:val="22"/>
          <w:szCs w:val="22"/>
          <w:lang w:val="sr-Latn-RS"/>
        </w:rPr>
      </w:pPr>
      <w:r w:rsidRPr="00234ECD">
        <w:rPr>
          <w:rFonts w:eastAsia="Calibri"/>
          <w:sz w:val="22"/>
          <w:szCs w:val="22"/>
          <w:lang w:val="sr-Latn-RS"/>
        </w:rPr>
        <w:t>U kliničkom programu prim</w:t>
      </w:r>
      <w:r w:rsidR="00FB0EB6" w:rsidRPr="00234ECD">
        <w:rPr>
          <w:rFonts w:eastAsia="Calibri"/>
          <w:sz w:val="22"/>
          <w:szCs w:val="22"/>
          <w:lang w:val="sr-Latn-RS"/>
        </w:rPr>
        <w:t>j</w:t>
      </w:r>
      <w:r w:rsidRPr="00234ECD">
        <w:rPr>
          <w:rFonts w:eastAsia="Calibri"/>
          <w:sz w:val="22"/>
          <w:szCs w:val="22"/>
          <w:lang w:val="sr-Latn-RS"/>
        </w:rPr>
        <w:t>ene kabozantiniba bilo je pojave smrtonosnih perforacija.</w:t>
      </w:r>
    </w:p>
    <w:p w14:paraId="4960D126" w14:textId="77777777" w:rsidR="00D857AC" w:rsidRPr="00234ECD" w:rsidRDefault="00D857AC" w:rsidP="00D857AC">
      <w:pPr>
        <w:jc w:val="both"/>
        <w:rPr>
          <w:rFonts w:eastAsia="Calibri"/>
          <w:sz w:val="22"/>
          <w:szCs w:val="22"/>
          <w:lang w:val="sr-Latn-RS"/>
        </w:rPr>
      </w:pPr>
    </w:p>
    <w:p w14:paraId="224469CF" w14:textId="02D3C5E1" w:rsidR="00D857AC" w:rsidRPr="00234ECD" w:rsidRDefault="00D857AC" w:rsidP="00D857AC">
      <w:pPr>
        <w:tabs>
          <w:tab w:val="left" w:pos="567"/>
        </w:tabs>
        <w:rPr>
          <w:i/>
          <w:sz w:val="22"/>
          <w:szCs w:val="22"/>
          <w:u w:val="single"/>
          <w:lang w:val="sr-Latn-RS"/>
        </w:rPr>
      </w:pPr>
      <w:r w:rsidRPr="00234ECD">
        <w:rPr>
          <w:i/>
          <w:sz w:val="22"/>
          <w:szCs w:val="22"/>
          <w:u w:val="single"/>
          <w:lang w:val="sr-Latn-RS"/>
        </w:rPr>
        <w:t>Hepatička encefalopatija (vid</w:t>
      </w:r>
      <w:r w:rsidR="00FB0EB6" w:rsidRPr="00234ECD">
        <w:rPr>
          <w:i/>
          <w:sz w:val="22"/>
          <w:szCs w:val="22"/>
          <w:u w:val="single"/>
          <w:lang w:val="sr-Latn-RS"/>
        </w:rPr>
        <w:t>j</w:t>
      </w:r>
      <w:r w:rsidRPr="00234ECD">
        <w:rPr>
          <w:i/>
          <w:sz w:val="22"/>
          <w:szCs w:val="22"/>
          <w:u w:val="single"/>
          <w:lang w:val="sr-Latn-RS"/>
        </w:rPr>
        <w:t xml:space="preserve">eti </w:t>
      </w:r>
      <w:r w:rsidR="008244E0" w:rsidRPr="00234ECD">
        <w:rPr>
          <w:i/>
          <w:sz w:val="22"/>
          <w:szCs w:val="22"/>
          <w:u w:val="single"/>
          <w:lang w:val="sr-Latn-RS"/>
        </w:rPr>
        <w:t xml:space="preserve">dio </w:t>
      </w:r>
      <w:r w:rsidRPr="00234ECD">
        <w:rPr>
          <w:i/>
          <w:sz w:val="22"/>
          <w:szCs w:val="22"/>
          <w:u w:val="single"/>
          <w:lang w:val="sr-Latn-RS"/>
        </w:rPr>
        <w:t>4.4)</w:t>
      </w:r>
    </w:p>
    <w:p w14:paraId="359BFD39" w14:textId="7A669C9B" w:rsidR="00D857AC" w:rsidRPr="00234ECD" w:rsidRDefault="00D857AC" w:rsidP="00CD67AB">
      <w:pPr>
        <w:tabs>
          <w:tab w:val="left" w:pos="567"/>
        </w:tabs>
        <w:jc w:val="both"/>
        <w:rPr>
          <w:iCs/>
          <w:sz w:val="22"/>
          <w:szCs w:val="22"/>
          <w:lang w:val="sr-Latn-RS"/>
        </w:rPr>
      </w:pPr>
      <w:r w:rsidRPr="00234ECD">
        <w:rPr>
          <w:bCs/>
          <w:sz w:val="22"/>
          <w:szCs w:val="22"/>
          <w:lang w:val="sr-Latn-RS"/>
        </w:rPr>
        <w:t>U studiji</w:t>
      </w:r>
      <w:r w:rsidRPr="00234ECD">
        <w:rPr>
          <w:bCs/>
          <w:iCs/>
          <w:sz w:val="22"/>
          <w:szCs w:val="22"/>
          <w:lang w:val="sr-Latn-RS"/>
        </w:rPr>
        <w:t xml:space="preserve"> hepatocelularnog karcinoma </w:t>
      </w:r>
      <w:r w:rsidRPr="00234ECD">
        <w:rPr>
          <w:sz w:val="22"/>
          <w:szCs w:val="22"/>
          <w:lang w:val="sr-Latn-RS"/>
        </w:rPr>
        <w:t>(CELESTIAL), hepatička encefalopatija (hepatička encefalopatija, encefalopatija, hiperamonemična encefalopatija) prijavljena je kod 5,6% pacijenata koji su primali terapiju kabozantinibom (26/467); događaji od 3. do 4. stepena kod 2,8%</w:t>
      </w:r>
      <w:r w:rsidRPr="00234ECD">
        <w:rPr>
          <w:iCs/>
          <w:sz w:val="22"/>
          <w:szCs w:val="22"/>
          <w:lang w:val="sr-Latn-RS"/>
        </w:rPr>
        <w:t xml:space="preserve"> i jedan (0,2%) događaj 5. stepena. Medijana vremena do pojave iznosila je 5,9 ned</w:t>
      </w:r>
      <w:r w:rsidR="00FB0EB6" w:rsidRPr="00234ECD">
        <w:rPr>
          <w:iCs/>
          <w:sz w:val="22"/>
          <w:szCs w:val="22"/>
          <w:lang w:val="sr-Latn-RS"/>
        </w:rPr>
        <w:t>j</w:t>
      </w:r>
      <w:r w:rsidRPr="00234ECD">
        <w:rPr>
          <w:iCs/>
          <w:sz w:val="22"/>
          <w:szCs w:val="22"/>
          <w:lang w:val="sr-Latn-RS"/>
        </w:rPr>
        <w:t>elja.</w:t>
      </w:r>
    </w:p>
    <w:p w14:paraId="3C4E3113" w14:textId="3166E61A" w:rsidR="00D857AC" w:rsidRPr="00234ECD" w:rsidRDefault="00D857AC" w:rsidP="00CD67AB">
      <w:pPr>
        <w:tabs>
          <w:tab w:val="left" w:pos="567"/>
        </w:tabs>
        <w:jc w:val="both"/>
        <w:rPr>
          <w:sz w:val="22"/>
          <w:szCs w:val="22"/>
          <w:lang w:val="sr-Latn-RS"/>
        </w:rPr>
      </w:pPr>
      <w:r w:rsidRPr="00234ECD">
        <w:rPr>
          <w:sz w:val="22"/>
          <w:szCs w:val="22"/>
          <w:lang w:val="sr-Latn-RS"/>
        </w:rPr>
        <w:t xml:space="preserve">U </w:t>
      </w:r>
      <w:r w:rsidRPr="00234ECD">
        <w:rPr>
          <w:bCs/>
          <w:sz w:val="22"/>
          <w:szCs w:val="22"/>
          <w:lang w:val="sr-Latn-RS"/>
        </w:rPr>
        <w:t>studijama</w:t>
      </w:r>
      <w:r w:rsidRPr="00234ECD">
        <w:rPr>
          <w:sz w:val="22"/>
          <w:szCs w:val="22"/>
          <w:lang w:val="sr-Latn-RS"/>
        </w:rPr>
        <w:t xml:space="preserve"> karcinoma bubrežnih ćelija (METEOR, CABOSUN i </w:t>
      </w:r>
      <w:r w:rsidRPr="00234ECD">
        <w:rPr>
          <w:noProof/>
          <w:sz w:val="22"/>
          <w:szCs w:val="22"/>
          <w:lang w:val="sr-Latn-RS"/>
        </w:rPr>
        <w:t>CA2099ER</w:t>
      </w:r>
      <w:r w:rsidRPr="00234ECD">
        <w:rPr>
          <w:sz w:val="22"/>
          <w:szCs w:val="22"/>
          <w:lang w:val="sr-Latn-RS"/>
        </w:rPr>
        <w:t xml:space="preserve">) </w:t>
      </w:r>
      <w:r w:rsidR="00E2742A" w:rsidRPr="00234ECD">
        <w:rPr>
          <w:sz w:val="22"/>
          <w:szCs w:val="22"/>
          <w:lang w:val="sr-Latn-RS"/>
        </w:rPr>
        <w:t>i u studiji diferenciranog karcinoma štit</w:t>
      </w:r>
      <w:r w:rsidR="00D92379" w:rsidRPr="00234ECD">
        <w:rPr>
          <w:sz w:val="22"/>
          <w:szCs w:val="22"/>
          <w:lang w:val="sr-Latn-RS"/>
        </w:rPr>
        <w:t>aste</w:t>
      </w:r>
      <w:r w:rsidR="00E2742A" w:rsidRPr="00234ECD">
        <w:rPr>
          <w:sz w:val="22"/>
          <w:szCs w:val="22"/>
          <w:lang w:val="sr-Latn-RS"/>
        </w:rPr>
        <w:t xml:space="preserve"> žl</w:t>
      </w:r>
      <w:r w:rsidR="003D19D3" w:rsidRPr="00234ECD">
        <w:rPr>
          <w:sz w:val="22"/>
          <w:szCs w:val="22"/>
          <w:lang w:val="sr-Latn-RS"/>
        </w:rPr>
        <w:t>ij</w:t>
      </w:r>
      <w:r w:rsidR="00E2742A" w:rsidRPr="00234ECD">
        <w:rPr>
          <w:sz w:val="22"/>
          <w:szCs w:val="22"/>
          <w:lang w:val="sr-Latn-RS"/>
        </w:rPr>
        <w:t xml:space="preserve">ezde (COSMIC-311) </w:t>
      </w:r>
      <w:r w:rsidRPr="00234ECD">
        <w:rPr>
          <w:sz w:val="22"/>
          <w:szCs w:val="22"/>
          <w:lang w:val="sr-Latn-RS"/>
        </w:rPr>
        <w:t>nisu prijavljeni slučajevi hepatič</w:t>
      </w:r>
      <w:r w:rsidR="00EA2A91" w:rsidRPr="00234ECD">
        <w:rPr>
          <w:sz w:val="22"/>
          <w:szCs w:val="22"/>
          <w:lang w:val="sr-Latn-RS"/>
        </w:rPr>
        <w:t>k</w:t>
      </w:r>
      <w:r w:rsidRPr="00234ECD">
        <w:rPr>
          <w:sz w:val="22"/>
          <w:szCs w:val="22"/>
          <w:lang w:val="sr-Latn-RS"/>
        </w:rPr>
        <w:t>e encefalopatije.</w:t>
      </w:r>
    </w:p>
    <w:p w14:paraId="1EBD76AD" w14:textId="77777777" w:rsidR="00D857AC" w:rsidRPr="00234ECD" w:rsidRDefault="00D857AC" w:rsidP="00D857AC">
      <w:pPr>
        <w:tabs>
          <w:tab w:val="left" w:pos="567"/>
        </w:tabs>
        <w:rPr>
          <w:sz w:val="22"/>
          <w:szCs w:val="22"/>
          <w:lang w:val="sr-Latn-RS"/>
        </w:rPr>
      </w:pPr>
    </w:p>
    <w:p w14:paraId="657E9D57" w14:textId="287B3DE7" w:rsidR="00D857AC" w:rsidRPr="00234ECD" w:rsidRDefault="00D857AC" w:rsidP="00D857AC">
      <w:pPr>
        <w:tabs>
          <w:tab w:val="left" w:pos="567"/>
        </w:tabs>
        <w:rPr>
          <w:i/>
          <w:sz w:val="22"/>
          <w:szCs w:val="22"/>
          <w:u w:val="single"/>
          <w:lang w:val="sr-Latn-RS"/>
        </w:rPr>
      </w:pPr>
      <w:r w:rsidRPr="00234ECD">
        <w:rPr>
          <w:i/>
          <w:sz w:val="22"/>
          <w:szCs w:val="22"/>
          <w:u w:val="single"/>
          <w:lang w:val="sr-Latn-RS"/>
        </w:rPr>
        <w:t>Dijareja (vid</w:t>
      </w:r>
      <w:r w:rsidR="00FB0EB6" w:rsidRPr="00234ECD">
        <w:rPr>
          <w:i/>
          <w:sz w:val="22"/>
          <w:szCs w:val="22"/>
          <w:u w:val="single"/>
          <w:lang w:val="sr-Latn-RS"/>
        </w:rPr>
        <w:t>j</w:t>
      </w:r>
      <w:r w:rsidRPr="00234ECD">
        <w:rPr>
          <w:i/>
          <w:sz w:val="22"/>
          <w:szCs w:val="22"/>
          <w:u w:val="single"/>
          <w:lang w:val="sr-Latn-RS"/>
        </w:rPr>
        <w:t xml:space="preserve">eti </w:t>
      </w:r>
      <w:r w:rsidR="008244E0" w:rsidRPr="00234ECD">
        <w:rPr>
          <w:i/>
          <w:sz w:val="22"/>
          <w:szCs w:val="22"/>
          <w:u w:val="single"/>
          <w:lang w:val="sr-Latn-RS"/>
        </w:rPr>
        <w:t xml:space="preserve">dio </w:t>
      </w:r>
      <w:r w:rsidRPr="00234ECD">
        <w:rPr>
          <w:i/>
          <w:sz w:val="22"/>
          <w:szCs w:val="22"/>
          <w:u w:val="single"/>
          <w:lang w:val="sr-Latn-RS"/>
        </w:rPr>
        <w:t>4.4)</w:t>
      </w:r>
    </w:p>
    <w:p w14:paraId="45671249" w14:textId="397C81E7" w:rsidR="00D857AC" w:rsidRPr="00234ECD" w:rsidRDefault="00D857AC" w:rsidP="00D857AC">
      <w:pPr>
        <w:tabs>
          <w:tab w:val="left" w:pos="567"/>
        </w:tabs>
        <w:jc w:val="both"/>
        <w:rPr>
          <w:sz w:val="22"/>
          <w:szCs w:val="22"/>
          <w:lang w:val="sr-Latn-RS"/>
        </w:rPr>
      </w:pPr>
      <w:r w:rsidRPr="00234ECD">
        <w:rPr>
          <w:sz w:val="22"/>
          <w:szCs w:val="22"/>
          <w:lang w:val="sr-Latn-RS"/>
        </w:rPr>
        <w:t xml:space="preserve">U </w:t>
      </w:r>
      <w:r w:rsidRPr="00234ECD">
        <w:rPr>
          <w:bCs/>
          <w:sz w:val="22"/>
          <w:szCs w:val="22"/>
          <w:lang w:val="sr-Latn-RS"/>
        </w:rPr>
        <w:t>studiji</w:t>
      </w:r>
      <w:r w:rsidRPr="00234ECD">
        <w:rPr>
          <w:sz w:val="22"/>
          <w:szCs w:val="22"/>
          <w:lang w:val="sr-Latn-RS"/>
        </w:rPr>
        <w:t xml:space="preserve"> karcinoma bubrežnih ćelija nakon prethodne terapije usm</w:t>
      </w:r>
      <w:r w:rsidR="00FB0EB6" w:rsidRPr="00234ECD">
        <w:rPr>
          <w:sz w:val="22"/>
          <w:szCs w:val="22"/>
          <w:lang w:val="sr-Latn-RS"/>
        </w:rPr>
        <w:t>j</w:t>
      </w:r>
      <w:r w:rsidRPr="00234ECD">
        <w:rPr>
          <w:sz w:val="22"/>
          <w:szCs w:val="22"/>
          <w:lang w:val="sr-Latn-RS"/>
        </w:rPr>
        <w:t xml:space="preserve">erene na VEGF (METEOR), dijareja je prijavljena kod 74% pacijenata sa karcinomom bubrežnih ćelija koji su primali terapiju kabozantinibom (245/331); događaji od 3. do 4. stepena kod 11%. </w:t>
      </w:r>
      <w:r w:rsidRPr="00234ECD">
        <w:rPr>
          <w:iCs/>
          <w:sz w:val="22"/>
          <w:szCs w:val="22"/>
          <w:lang w:val="sr-Latn-RS"/>
        </w:rPr>
        <w:t xml:space="preserve">Medijana vremena do pojave iznosila je </w:t>
      </w:r>
      <w:r w:rsidRPr="00234ECD">
        <w:rPr>
          <w:sz w:val="22"/>
          <w:szCs w:val="22"/>
          <w:lang w:val="sr-Latn-RS"/>
        </w:rPr>
        <w:t>4,9 ned</w:t>
      </w:r>
      <w:r w:rsidR="00FB0EB6" w:rsidRPr="00234ECD">
        <w:rPr>
          <w:sz w:val="22"/>
          <w:szCs w:val="22"/>
          <w:lang w:val="sr-Latn-RS"/>
        </w:rPr>
        <w:t>j</w:t>
      </w:r>
      <w:r w:rsidRPr="00234ECD">
        <w:rPr>
          <w:sz w:val="22"/>
          <w:szCs w:val="22"/>
          <w:lang w:val="sr-Latn-RS"/>
        </w:rPr>
        <w:t xml:space="preserve">elja. </w:t>
      </w:r>
    </w:p>
    <w:p w14:paraId="1E3541C7" w14:textId="52A63871" w:rsidR="00D857AC" w:rsidRPr="00234ECD" w:rsidRDefault="00D857AC" w:rsidP="00D857AC">
      <w:pPr>
        <w:tabs>
          <w:tab w:val="left" w:pos="567"/>
        </w:tabs>
        <w:jc w:val="both"/>
        <w:rPr>
          <w:sz w:val="22"/>
          <w:szCs w:val="22"/>
          <w:lang w:val="sr-Latn-RS"/>
        </w:rPr>
      </w:pPr>
      <w:r w:rsidRPr="00234ECD">
        <w:rPr>
          <w:sz w:val="22"/>
          <w:szCs w:val="22"/>
          <w:lang w:val="sr-Latn-RS"/>
        </w:rPr>
        <w:t xml:space="preserve">U </w:t>
      </w:r>
      <w:r w:rsidRPr="00234ECD">
        <w:rPr>
          <w:bCs/>
          <w:sz w:val="22"/>
          <w:szCs w:val="22"/>
          <w:lang w:val="sr-Latn-RS"/>
        </w:rPr>
        <w:t>studiji</w:t>
      </w:r>
      <w:r w:rsidRPr="00234ECD">
        <w:rPr>
          <w:sz w:val="22"/>
          <w:szCs w:val="22"/>
          <w:lang w:val="sr-Latn-RS"/>
        </w:rPr>
        <w:t xml:space="preserve"> prethodno nel</w:t>
      </w:r>
      <w:r w:rsidR="00FB0EB6" w:rsidRPr="00234ECD">
        <w:rPr>
          <w:sz w:val="22"/>
          <w:szCs w:val="22"/>
          <w:lang w:val="sr-Latn-RS"/>
        </w:rPr>
        <w:t>ij</w:t>
      </w:r>
      <w:r w:rsidRPr="00234ECD">
        <w:rPr>
          <w:sz w:val="22"/>
          <w:szCs w:val="22"/>
          <w:lang w:val="sr-Latn-RS"/>
        </w:rPr>
        <w:t xml:space="preserve">ečenog karcinoma bubrežnih ćelija (CABOSUN), dijareja je prijavljena kod 73% pacijenata koji su primali terapiju kabozantinibom (57/78); događaji od 3. do 4. stepena kod 10%. </w:t>
      </w:r>
    </w:p>
    <w:p w14:paraId="7C293F2A" w14:textId="659629D1" w:rsidR="00D857AC" w:rsidRPr="00234ECD" w:rsidRDefault="00D857AC" w:rsidP="00D857AC">
      <w:pPr>
        <w:tabs>
          <w:tab w:val="left" w:pos="567"/>
        </w:tabs>
        <w:jc w:val="both"/>
        <w:rPr>
          <w:sz w:val="22"/>
          <w:szCs w:val="22"/>
          <w:lang w:val="sr-Latn-RS"/>
        </w:rPr>
      </w:pPr>
      <w:r w:rsidRPr="00234ECD">
        <w:rPr>
          <w:bCs/>
          <w:sz w:val="22"/>
          <w:szCs w:val="22"/>
          <w:lang w:val="sr-Latn-RS"/>
        </w:rPr>
        <w:t>U studiji</w:t>
      </w:r>
      <w:r w:rsidRPr="00234ECD">
        <w:rPr>
          <w:bCs/>
          <w:iCs/>
          <w:sz w:val="22"/>
          <w:szCs w:val="22"/>
          <w:lang w:val="sr-Latn-RS"/>
        </w:rPr>
        <w:t xml:space="preserve"> hepatocelularnog karcinoma </w:t>
      </w:r>
      <w:r w:rsidRPr="00234ECD">
        <w:rPr>
          <w:sz w:val="22"/>
          <w:szCs w:val="22"/>
          <w:lang w:val="sr-Latn-RS"/>
        </w:rPr>
        <w:t xml:space="preserve">(CELESTIAL), dijareja je prijavljena kod 54% pacijenata koji su primali terapiju kabozantinibom (251/467); događaji od 3. do 4. stepena kod 9,9%. </w:t>
      </w:r>
      <w:r w:rsidRPr="00234ECD">
        <w:rPr>
          <w:iCs/>
          <w:sz w:val="22"/>
          <w:szCs w:val="22"/>
          <w:lang w:val="sr-Latn-RS"/>
        </w:rPr>
        <w:t xml:space="preserve">Medijana vremena do pojave svih događaja iznosila je </w:t>
      </w:r>
      <w:r w:rsidRPr="00234ECD">
        <w:rPr>
          <w:sz w:val="22"/>
          <w:szCs w:val="22"/>
          <w:lang w:val="sr-Latn-RS"/>
        </w:rPr>
        <w:t>4,1 ned</w:t>
      </w:r>
      <w:r w:rsidR="00624FC4" w:rsidRPr="00234ECD">
        <w:rPr>
          <w:sz w:val="22"/>
          <w:szCs w:val="22"/>
          <w:lang w:val="sr-Latn-RS"/>
        </w:rPr>
        <w:t>j</w:t>
      </w:r>
      <w:r w:rsidRPr="00234ECD">
        <w:rPr>
          <w:sz w:val="22"/>
          <w:szCs w:val="22"/>
          <w:lang w:val="sr-Latn-RS"/>
        </w:rPr>
        <w:t>elja. Dijareja je dovela do prilagođavanja doze kod 84/467 (18%), privremenog prekida doziranja kod 69/467 (15%) i potpunog prekida doziranja kod 5/467 (1%) ispitanika.</w:t>
      </w:r>
    </w:p>
    <w:p w14:paraId="26D2605D" w14:textId="3E6311D8" w:rsidR="007675D1" w:rsidRPr="00234ECD" w:rsidRDefault="007675D1" w:rsidP="007675D1">
      <w:pPr>
        <w:tabs>
          <w:tab w:val="left" w:pos="567"/>
        </w:tabs>
        <w:jc w:val="both"/>
        <w:rPr>
          <w:sz w:val="22"/>
          <w:szCs w:val="22"/>
          <w:lang w:val="sr-Latn-RS"/>
        </w:rPr>
      </w:pPr>
      <w:r w:rsidRPr="00234ECD">
        <w:rPr>
          <w:bCs/>
          <w:sz w:val="22"/>
          <w:szCs w:val="22"/>
          <w:lang w:val="sr-Latn-RS"/>
        </w:rPr>
        <w:t>U studiji</w:t>
      </w:r>
      <w:r w:rsidRPr="00234ECD">
        <w:rPr>
          <w:bCs/>
          <w:iCs/>
          <w:sz w:val="22"/>
          <w:szCs w:val="22"/>
          <w:lang w:val="sr-Latn-RS"/>
        </w:rPr>
        <w:t xml:space="preserve"> </w:t>
      </w:r>
      <w:r w:rsidRPr="00234ECD">
        <w:rPr>
          <w:sz w:val="22"/>
          <w:szCs w:val="22"/>
          <w:lang w:val="sr-Latn-RS"/>
        </w:rPr>
        <w:t xml:space="preserve">diferenciranog </w:t>
      </w:r>
      <w:r w:rsidRPr="00234ECD">
        <w:rPr>
          <w:bCs/>
          <w:iCs/>
          <w:sz w:val="22"/>
          <w:szCs w:val="22"/>
          <w:lang w:val="sr-Latn-RS"/>
        </w:rPr>
        <w:t>karcinoma štit</w:t>
      </w:r>
      <w:r w:rsidR="00D92379" w:rsidRPr="00234ECD">
        <w:rPr>
          <w:bCs/>
          <w:iCs/>
          <w:sz w:val="22"/>
          <w:szCs w:val="22"/>
          <w:lang w:val="sr-Latn-RS"/>
        </w:rPr>
        <w:t>aste</w:t>
      </w:r>
      <w:r w:rsidRPr="00234ECD">
        <w:rPr>
          <w:bCs/>
          <w:iCs/>
          <w:sz w:val="22"/>
          <w:szCs w:val="22"/>
          <w:lang w:val="sr-Latn-RS"/>
        </w:rPr>
        <w:t xml:space="preserve"> žl</w:t>
      </w:r>
      <w:r w:rsidR="00700AEE" w:rsidRPr="00234ECD">
        <w:rPr>
          <w:bCs/>
          <w:iCs/>
          <w:sz w:val="22"/>
          <w:szCs w:val="22"/>
          <w:lang w:val="sr-Latn-RS"/>
        </w:rPr>
        <w:t>ij</w:t>
      </w:r>
      <w:r w:rsidRPr="00234ECD">
        <w:rPr>
          <w:bCs/>
          <w:iCs/>
          <w:sz w:val="22"/>
          <w:szCs w:val="22"/>
          <w:lang w:val="sr-Latn-RS"/>
        </w:rPr>
        <w:t xml:space="preserve">ezde </w:t>
      </w:r>
      <w:r w:rsidRPr="00234ECD">
        <w:rPr>
          <w:sz w:val="22"/>
          <w:szCs w:val="22"/>
          <w:lang w:val="sr-Latn-RS"/>
        </w:rPr>
        <w:t xml:space="preserve">(COSMIC-311), dijareja je prijavljena kod </w:t>
      </w:r>
      <w:r w:rsidR="009E1F0B" w:rsidRPr="00234ECD">
        <w:rPr>
          <w:sz w:val="22"/>
          <w:szCs w:val="22"/>
          <w:lang w:val="sr-Latn-RS"/>
        </w:rPr>
        <w:t>62</w:t>
      </w:r>
      <w:r w:rsidRPr="00234ECD">
        <w:rPr>
          <w:sz w:val="22"/>
          <w:szCs w:val="22"/>
          <w:lang w:val="sr-Latn-RS"/>
        </w:rPr>
        <w:t>% pacijenata koji su primali terapiju kabozantinibom (</w:t>
      </w:r>
      <w:r w:rsidR="009E1F0B" w:rsidRPr="00234ECD">
        <w:rPr>
          <w:sz w:val="22"/>
          <w:szCs w:val="22"/>
          <w:lang w:val="sr-Latn-RS"/>
        </w:rPr>
        <w:t>105</w:t>
      </w:r>
      <w:r w:rsidRPr="00234ECD">
        <w:rPr>
          <w:sz w:val="22"/>
          <w:szCs w:val="22"/>
          <w:lang w:val="sr-Latn-RS"/>
        </w:rPr>
        <w:t>/1</w:t>
      </w:r>
      <w:r w:rsidR="009E1F0B" w:rsidRPr="00234ECD">
        <w:rPr>
          <w:sz w:val="22"/>
          <w:szCs w:val="22"/>
          <w:lang w:val="sr-Latn-RS"/>
        </w:rPr>
        <w:t>70</w:t>
      </w:r>
      <w:r w:rsidRPr="00234ECD">
        <w:rPr>
          <w:sz w:val="22"/>
          <w:szCs w:val="22"/>
          <w:lang w:val="sr-Latn-RS"/>
        </w:rPr>
        <w:t>); događaji od 3. do 4. stepena kod 7,</w:t>
      </w:r>
      <w:r w:rsidR="009E1F0B" w:rsidRPr="00234ECD">
        <w:rPr>
          <w:sz w:val="22"/>
          <w:szCs w:val="22"/>
          <w:lang w:val="sr-Latn-RS"/>
        </w:rPr>
        <w:t>6</w:t>
      </w:r>
      <w:r w:rsidRPr="00234ECD">
        <w:rPr>
          <w:sz w:val="22"/>
          <w:szCs w:val="22"/>
          <w:lang w:val="sr-Latn-RS"/>
        </w:rPr>
        <w:t xml:space="preserve">%. Dijareja je dovela do smanjenja doze kod </w:t>
      </w:r>
      <w:r w:rsidR="009E1F0B" w:rsidRPr="00234ECD">
        <w:rPr>
          <w:sz w:val="22"/>
          <w:szCs w:val="22"/>
          <w:lang w:val="sr-Latn-RS"/>
        </w:rPr>
        <w:t>24/170</w:t>
      </w:r>
      <w:r w:rsidRPr="00234ECD">
        <w:rPr>
          <w:sz w:val="22"/>
          <w:szCs w:val="22"/>
          <w:lang w:val="sr-Latn-RS"/>
        </w:rPr>
        <w:t xml:space="preserve"> (</w:t>
      </w:r>
      <w:r w:rsidR="009E1F0B" w:rsidRPr="00234ECD">
        <w:rPr>
          <w:sz w:val="22"/>
          <w:szCs w:val="22"/>
          <w:lang w:val="sr-Latn-RS"/>
        </w:rPr>
        <w:t>14</w:t>
      </w:r>
      <w:r w:rsidRPr="00234ECD">
        <w:rPr>
          <w:sz w:val="22"/>
          <w:szCs w:val="22"/>
          <w:lang w:val="sr-Latn-RS"/>
        </w:rPr>
        <w:t xml:space="preserve">%) i potpunog prekida doziranja kod </w:t>
      </w:r>
      <w:r w:rsidR="009E1F0B" w:rsidRPr="00234ECD">
        <w:rPr>
          <w:sz w:val="22"/>
          <w:szCs w:val="22"/>
          <w:lang w:val="sr-Latn-RS"/>
        </w:rPr>
        <w:t>36</w:t>
      </w:r>
      <w:r w:rsidRPr="00234ECD">
        <w:rPr>
          <w:sz w:val="22"/>
          <w:szCs w:val="22"/>
          <w:lang w:val="sr-Latn-RS"/>
        </w:rPr>
        <w:t>/1</w:t>
      </w:r>
      <w:r w:rsidR="009E1F0B" w:rsidRPr="00234ECD">
        <w:rPr>
          <w:sz w:val="22"/>
          <w:szCs w:val="22"/>
          <w:lang w:val="sr-Latn-RS"/>
        </w:rPr>
        <w:t>70</w:t>
      </w:r>
      <w:r w:rsidRPr="00234ECD">
        <w:rPr>
          <w:sz w:val="22"/>
          <w:szCs w:val="22"/>
          <w:lang w:val="sr-Latn-RS"/>
        </w:rPr>
        <w:t xml:space="preserve"> (</w:t>
      </w:r>
      <w:r w:rsidR="009E1F0B" w:rsidRPr="00234ECD">
        <w:rPr>
          <w:sz w:val="22"/>
          <w:szCs w:val="22"/>
          <w:lang w:val="sr-Latn-RS"/>
        </w:rPr>
        <w:t>21</w:t>
      </w:r>
      <w:r w:rsidRPr="00234ECD">
        <w:rPr>
          <w:sz w:val="22"/>
          <w:szCs w:val="22"/>
          <w:lang w:val="sr-Latn-RS"/>
        </w:rPr>
        <w:t>%) ispitanika.</w:t>
      </w:r>
    </w:p>
    <w:p w14:paraId="55692039" w14:textId="13B5C394" w:rsidR="00D857AC" w:rsidRPr="00234ECD" w:rsidRDefault="00D857AC" w:rsidP="00D857AC">
      <w:pPr>
        <w:jc w:val="both"/>
        <w:rPr>
          <w:rFonts w:eastAsia="Calibri"/>
          <w:sz w:val="22"/>
          <w:szCs w:val="22"/>
          <w:lang w:val="sr-Latn-RS"/>
        </w:rPr>
      </w:pPr>
      <w:r w:rsidRPr="00234ECD">
        <w:rPr>
          <w:rFonts w:eastAsia="Calibri"/>
          <w:sz w:val="22"/>
          <w:szCs w:val="22"/>
          <w:lang w:val="sr-Latn-RS"/>
        </w:rPr>
        <w:t>U kombinaciji sa nivolumabom kao prvoj liniji l</w:t>
      </w:r>
      <w:r w:rsidR="00624FC4" w:rsidRPr="00234ECD">
        <w:rPr>
          <w:rFonts w:eastAsia="Calibri"/>
          <w:sz w:val="22"/>
          <w:szCs w:val="22"/>
          <w:lang w:val="sr-Latn-RS"/>
        </w:rPr>
        <w:t>ij</w:t>
      </w:r>
      <w:r w:rsidRPr="00234ECD">
        <w:rPr>
          <w:rFonts w:eastAsia="Calibri"/>
          <w:sz w:val="22"/>
          <w:szCs w:val="22"/>
          <w:lang w:val="sr-Latn-RS"/>
        </w:rPr>
        <w:t>ečenja uznapredovalog RCC-a (CA2099ER), učestalost dijareje zab</w:t>
      </w:r>
      <w:r w:rsidR="00624FC4" w:rsidRPr="00234ECD">
        <w:rPr>
          <w:rFonts w:eastAsia="Calibri"/>
          <w:sz w:val="22"/>
          <w:szCs w:val="22"/>
          <w:lang w:val="sr-Latn-RS"/>
        </w:rPr>
        <w:t>i</w:t>
      </w:r>
      <w:r w:rsidRPr="00234ECD">
        <w:rPr>
          <w:rFonts w:eastAsia="Calibri"/>
          <w:sz w:val="22"/>
          <w:szCs w:val="22"/>
          <w:lang w:val="sr-Latn-RS"/>
        </w:rPr>
        <w:t>l</w:t>
      </w:r>
      <w:r w:rsidR="00624FC4" w:rsidRPr="00234ECD">
        <w:rPr>
          <w:rFonts w:eastAsia="Calibri"/>
          <w:sz w:val="22"/>
          <w:szCs w:val="22"/>
          <w:lang w:val="sr-Latn-RS"/>
        </w:rPr>
        <w:t>j</w:t>
      </w:r>
      <w:r w:rsidRPr="00234ECD">
        <w:rPr>
          <w:rFonts w:eastAsia="Calibri"/>
          <w:sz w:val="22"/>
          <w:szCs w:val="22"/>
          <w:lang w:val="sr-Latn-RS"/>
        </w:rPr>
        <w:t>ežena je kod 64,7% (207/320) l</w:t>
      </w:r>
      <w:r w:rsidR="00624FC4" w:rsidRPr="00234ECD">
        <w:rPr>
          <w:rFonts w:eastAsia="Calibri"/>
          <w:sz w:val="22"/>
          <w:szCs w:val="22"/>
          <w:lang w:val="sr-Latn-RS"/>
        </w:rPr>
        <w:t>ij</w:t>
      </w:r>
      <w:r w:rsidRPr="00234ECD">
        <w:rPr>
          <w:rFonts w:eastAsia="Calibri"/>
          <w:sz w:val="22"/>
          <w:szCs w:val="22"/>
          <w:lang w:val="sr-Latn-RS"/>
        </w:rPr>
        <w:t>ečenih pacijenata; događaji 3. i 4. stepena kod 8</w:t>
      </w:r>
      <w:r w:rsidR="00EA2A91" w:rsidRPr="00234ECD">
        <w:rPr>
          <w:rFonts w:eastAsia="Calibri"/>
          <w:sz w:val="22"/>
          <w:szCs w:val="22"/>
          <w:lang w:val="sr-Latn-RS"/>
        </w:rPr>
        <w:t>,</w:t>
      </w:r>
      <w:r w:rsidRPr="00234ECD">
        <w:rPr>
          <w:rFonts w:eastAsia="Calibri"/>
          <w:sz w:val="22"/>
          <w:szCs w:val="22"/>
          <w:lang w:val="sr-Latn-RS"/>
        </w:rPr>
        <w:t>4% (27/320). Srednje vr</w:t>
      </w:r>
      <w:r w:rsidR="00624FC4" w:rsidRPr="00234ECD">
        <w:rPr>
          <w:rFonts w:eastAsia="Calibri"/>
          <w:sz w:val="22"/>
          <w:szCs w:val="22"/>
          <w:lang w:val="sr-Latn-RS"/>
        </w:rPr>
        <w:t>ij</w:t>
      </w:r>
      <w:r w:rsidRPr="00234ECD">
        <w:rPr>
          <w:rFonts w:eastAsia="Calibri"/>
          <w:sz w:val="22"/>
          <w:szCs w:val="22"/>
          <w:lang w:val="sr-Latn-RS"/>
        </w:rPr>
        <w:t>eme do početka svih događaja bilo je 12,9 ned</w:t>
      </w:r>
      <w:r w:rsidR="00624FC4" w:rsidRPr="00234ECD">
        <w:rPr>
          <w:rFonts w:eastAsia="Calibri"/>
          <w:sz w:val="22"/>
          <w:szCs w:val="22"/>
          <w:lang w:val="sr-Latn-RS"/>
        </w:rPr>
        <w:t>j</w:t>
      </w:r>
      <w:r w:rsidRPr="00234ECD">
        <w:rPr>
          <w:rFonts w:eastAsia="Calibri"/>
          <w:sz w:val="22"/>
          <w:szCs w:val="22"/>
          <w:lang w:val="sr-Latn-RS"/>
        </w:rPr>
        <w:t>elja. Do odlaganja ili smanjenja doze došlo je kod 26,3% (84/320), a do prekida l</w:t>
      </w:r>
      <w:r w:rsidR="00624FC4" w:rsidRPr="00234ECD">
        <w:rPr>
          <w:rFonts w:eastAsia="Calibri"/>
          <w:sz w:val="22"/>
          <w:szCs w:val="22"/>
          <w:lang w:val="sr-Latn-RS"/>
        </w:rPr>
        <w:t>ij</w:t>
      </w:r>
      <w:r w:rsidRPr="00234ECD">
        <w:rPr>
          <w:rFonts w:eastAsia="Calibri"/>
          <w:sz w:val="22"/>
          <w:szCs w:val="22"/>
          <w:lang w:val="sr-Latn-RS"/>
        </w:rPr>
        <w:t>ečenja kod 2,2% (7/320) pacijenata sa dijarejom.</w:t>
      </w:r>
    </w:p>
    <w:p w14:paraId="3D060F30" w14:textId="77777777" w:rsidR="00D857AC" w:rsidRPr="00234ECD" w:rsidRDefault="00D857AC" w:rsidP="00D857AC">
      <w:pPr>
        <w:jc w:val="both"/>
        <w:rPr>
          <w:rFonts w:eastAsia="Calibri"/>
          <w:i/>
          <w:sz w:val="22"/>
          <w:szCs w:val="22"/>
          <w:u w:val="single"/>
          <w:lang w:val="sr-Latn-RS"/>
        </w:rPr>
      </w:pPr>
    </w:p>
    <w:p w14:paraId="2C816E2B" w14:textId="54C7A0E4" w:rsidR="00D857AC" w:rsidRPr="00234ECD" w:rsidRDefault="00D857AC" w:rsidP="00D857AC">
      <w:pPr>
        <w:jc w:val="both"/>
        <w:rPr>
          <w:rFonts w:eastAsia="Calibri"/>
          <w:i/>
          <w:sz w:val="22"/>
          <w:szCs w:val="22"/>
          <w:u w:val="single"/>
          <w:lang w:val="sr-Latn-RS"/>
        </w:rPr>
      </w:pPr>
      <w:r w:rsidRPr="00234ECD">
        <w:rPr>
          <w:rFonts w:eastAsia="Calibri"/>
          <w:i/>
          <w:sz w:val="22"/>
          <w:szCs w:val="22"/>
          <w:u w:val="single"/>
          <w:lang w:val="sr-Latn-RS"/>
        </w:rPr>
        <w:t xml:space="preserve">Fistule </w:t>
      </w:r>
      <w:r w:rsidRPr="00234ECD">
        <w:rPr>
          <w:i/>
          <w:sz w:val="22"/>
          <w:szCs w:val="22"/>
          <w:u w:val="single"/>
          <w:lang w:val="sr-Latn-RS"/>
        </w:rPr>
        <w:t>(vid</w:t>
      </w:r>
      <w:r w:rsidR="00624FC4" w:rsidRPr="00234ECD">
        <w:rPr>
          <w:i/>
          <w:sz w:val="22"/>
          <w:szCs w:val="22"/>
          <w:u w:val="single"/>
          <w:lang w:val="sr-Latn-RS"/>
        </w:rPr>
        <w:t>j</w:t>
      </w:r>
      <w:r w:rsidRPr="00234ECD">
        <w:rPr>
          <w:i/>
          <w:sz w:val="22"/>
          <w:szCs w:val="22"/>
          <w:u w:val="single"/>
          <w:lang w:val="sr-Latn-RS"/>
        </w:rPr>
        <w:t xml:space="preserve">eti </w:t>
      </w:r>
      <w:r w:rsidR="00EA2A91" w:rsidRPr="00234ECD">
        <w:rPr>
          <w:i/>
          <w:sz w:val="22"/>
          <w:szCs w:val="22"/>
          <w:u w:val="single"/>
          <w:lang w:val="sr-Latn-RS"/>
        </w:rPr>
        <w:t xml:space="preserve">dio </w:t>
      </w:r>
      <w:r w:rsidRPr="00234ECD">
        <w:rPr>
          <w:i/>
          <w:sz w:val="22"/>
          <w:szCs w:val="22"/>
          <w:u w:val="single"/>
          <w:lang w:val="sr-Latn-RS"/>
        </w:rPr>
        <w:t>4.4)</w:t>
      </w:r>
    </w:p>
    <w:p w14:paraId="7C6C3744" w14:textId="628B4571" w:rsidR="00D857AC" w:rsidRPr="00234ECD" w:rsidRDefault="00D857AC" w:rsidP="00D857AC">
      <w:pPr>
        <w:jc w:val="both"/>
        <w:rPr>
          <w:rFonts w:eastAsia="Calibri"/>
          <w:sz w:val="22"/>
          <w:szCs w:val="22"/>
          <w:lang w:val="sr-Latn-RS"/>
        </w:rPr>
      </w:pPr>
      <w:r w:rsidRPr="00234ECD">
        <w:rPr>
          <w:rFonts w:eastAsia="Calibri"/>
          <w:sz w:val="22"/>
          <w:szCs w:val="22"/>
          <w:lang w:val="sr-Latn-RS"/>
        </w:rPr>
        <w:t>U studiji RCC nakon prethodne terapije usm</w:t>
      </w:r>
      <w:r w:rsidR="00624FC4" w:rsidRPr="00234ECD">
        <w:rPr>
          <w:rFonts w:eastAsia="Calibri"/>
          <w:sz w:val="22"/>
          <w:szCs w:val="22"/>
          <w:lang w:val="sr-Latn-RS"/>
        </w:rPr>
        <w:t>j</w:t>
      </w:r>
      <w:r w:rsidRPr="00234ECD">
        <w:rPr>
          <w:rFonts w:eastAsia="Calibri"/>
          <w:sz w:val="22"/>
          <w:szCs w:val="22"/>
          <w:lang w:val="sr-Latn-RS"/>
        </w:rPr>
        <w:t>erene na VEGF (METEOR), fistule su prijavljene kod 1,2% (4/331) pacijenata na terapiji kabozantinibom i uključivale su analne fistule kod 0,6% (2/331) pacijenata na terapiji kabozantinibom. Jedan događaj bio je 3. stepena, ostali su bili 2. stepena. Medijana vremena do pojave iznosila je 30,3 ned</w:t>
      </w:r>
      <w:r w:rsidR="00624FC4" w:rsidRPr="00234ECD">
        <w:rPr>
          <w:rFonts w:eastAsia="Calibri"/>
          <w:sz w:val="22"/>
          <w:szCs w:val="22"/>
          <w:lang w:val="sr-Latn-RS"/>
        </w:rPr>
        <w:t>j</w:t>
      </w:r>
      <w:r w:rsidRPr="00234ECD">
        <w:rPr>
          <w:rFonts w:eastAsia="Calibri"/>
          <w:sz w:val="22"/>
          <w:szCs w:val="22"/>
          <w:lang w:val="sr-Latn-RS"/>
        </w:rPr>
        <w:t>elje.</w:t>
      </w:r>
    </w:p>
    <w:p w14:paraId="5E912F20" w14:textId="11AF3B51" w:rsidR="00D857AC" w:rsidRPr="00234ECD" w:rsidRDefault="00D857AC" w:rsidP="00D857AC">
      <w:pPr>
        <w:jc w:val="both"/>
        <w:rPr>
          <w:rFonts w:eastAsia="Calibri"/>
          <w:sz w:val="22"/>
          <w:szCs w:val="22"/>
          <w:lang w:val="sr-Latn-RS"/>
        </w:rPr>
      </w:pPr>
      <w:r w:rsidRPr="00234ECD">
        <w:rPr>
          <w:rFonts w:eastAsia="Calibri"/>
          <w:sz w:val="22"/>
          <w:szCs w:val="22"/>
          <w:lang w:val="sr-Latn-RS"/>
        </w:rPr>
        <w:t>U studiji prethodno nel</w:t>
      </w:r>
      <w:r w:rsidR="00624FC4" w:rsidRPr="00234ECD">
        <w:rPr>
          <w:rFonts w:eastAsia="Calibri"/>
          <w:sz w:val="22"/>
          <w:szCs w:val="22"/>
          <w:lang w:val="sr-Latn-RS"/>
        </w:rPr>
        <w:t>ij</w:t>
      </w:r>
      <w:r w:rsidRPr="00234ECD">
        <w:rPr>
          <w:rFonts w:eastAsia="Calibri"/>
          <w:sz w:val="22"/>
          <w:szCs w:val="22"/>
          <w:lang w:val="sr-Latn-RS"/>
        </w:rPr>
        <w:t>ečenog RCC (CABOSUN) nije bilo prijavljenih slučajeva fistula.</w:t>
      </w:r>
    </w:p>
    <w:p w14:paraId="02C9CF8C" w14:textId="0A834515" w:rsidR="00D857AC" w:rsidRPr="00234ECD" w:rsidRDefault="00D857AC" w:rsidP="00D857AC">
      <w:pPr>
        <w:tabs>
          <w:tab w:val="left" w:pos="567"/>
        </w:tabs>
        <w:jc w:val="both"/>
        <w:rPr>
          <w:sz w:val="22"/>
          <w:szCs w:val="22"/>
          <w:lang w:val="sr-Latn-RS"/>
        </w:rPr>
      </w:pPr>
      <w:r w:rsidRPr="00234ECD">
        <w:rPr>
          <w:bCs/>
          <w:sz w:val="22"/>
          <w:szCs w:val="22"/>
          <w:lang w:val="sr-Latn-RS"/>
        </w:rPr>
        <w:t>U studiji</w:t>
      </w:r>
      <w:r w:rsidRPr="00234ECD">
        <w:rPr>
          <w:bCs/>
          <w:iCs/>
          <w:sz w:val="22"/>
          <w:szCs w:val="22"/>
          <w:lang w:val="sr-Latn-RS"/>
        </w:rPr>
        <w:t xml:space="preserve"> hepatocelularnog karcinoma </w:t>
      </w:r>
      <w:r w:rsidRPr="00234ECD">
        <w:rPr>
          <w:sz w:val="22"/>
          <w:szCs w:val="22"/>
          <w:lang w:val="sr-Latn-RS"/>
        </w:rPr>
        <w:t xml:space="preserve">(CELESTIAL), fistule su prijavljene kod 1,5% (7/467) pacijenata sa </w:t>
      </w:r>
      <w:r w:rsidRPr="00234ECD">
        <w:rPr>
          <w:bCs/>
          <w:iCs/>
          <w:sz w:val="22"/>
          <w:szCs w:val="22"/>
          <w:lang w:val="sr-Latn-RS"/>
        </w:rPr>
        <w:t>hepatocelularnim karcinomom</w:t>
      </w:r>
      <w:r w:rsidRPr="00234ECD">
        <w:rPr>
          <w:sz w:val="22"/>
          <w:szCs w:val="22"/>
          <w:lang w:val="sr-Latn-RS"/>
        </w:rPr>
        <w:t xml:space="preserve">. </w:t>
      </w:r>
      <w:r w:rsidRPr="00234ECD">
        <w:rPr>
          <w:iCs/>
          <w:sz w:val="22"/>
          <w:szCs w:val="22"/>
          <w:lang w:val="sr-Latn-RS"/>
        </w:rPr>
        <w:t xml:space="preserve">Medijana vremena do pojave iznosila je </w:t>
      </w:r>
      <w:r w:rsidRPr="00234ECD">
        <w:rPr>
          <w:sz w:val="22"/>
          <w:szCs w:val="22"/>
          <w:lang w:val="sr-Latn-RS"/>
        </w:rPr>
        <w:t>14 ned</w:t>
      </w:r>
      <w:r w:rsidR="00624FC4" w:rsidRPr="00234ECD">
        <w:rPr>
          <w:sz w:val="22"/>
          <w:szCs w:val="22"/>
          <w:lang w:val="sr-Latn-RS"/>
        </w:rPr>
        <w:t>j</w:t>
      </w:r>
      <w:r w:rsidRPr="00234ECD">
        <w:rPr>
          <w:sz w:val="22"/>
          <w:szCs w:val="22"/>
          <w:lang w:val="sr-Latn-RS"/>
        </w:rPr>
        <w:t>elja.</w:t>
      </w:r>
    </w:p>
    <w:p w14:paraId="36E07748" w14:textId="76D47A72" w:rsidR="00785FDE" w:rsidRPr="00234ECD" w:rsidRDefault="00785FDE" w:rsidP="00785FDE">
      <w:pPr>
        <w:tabs>
          <w:tab w:val="left" w:pos="567"/>
        </w:tabs>
        <w:jc w:val="both"/>
        <w:rPr>
          <w:sz w:val="22"/>
          <w:szCs w:val="22"/>
          <w:lang w:val="sr-Latn-RS"/>
        </w:rPr>
      </w:pPr>
      <w:r w:rsidRPr="00234ECD">
        <w:rPr>
          <w:bCs/>
          <w:sz w:val="22"/>
          <w:szCs w:val="22"/>
          <w:lang w:val="sr-Latn-RS"/>
        </w:rPr>
        <w:t>U studiji</w:t>
      </w:r>
      <w:r w:rsidRPr="00234ECD">
        <w:rPr>
          <w:bCs/>
          <w:iCs/>
          <w:sz w:val="22"/>
          <w:szCs w:val="22"/>
          <w:lang w:val="sr-Latn-RS"/>
        </w:rPr>
        <w:t xml:space="preserve"> </w:t>
      </w:r>
      <w:r w:rsidRPr="00234ECD">
        <w:rPr>
          <w:sz w:val="22"/>
          <w:szCs w:val="22"/>
          <w:lang w:val="sr-Latn-RS"/>
        </w:rPr>
        <w:t xml:space="preserve">diferenciranog </w:t>
      </w:r>
      <w:r w:rsidRPr="00234ECD">
        <w:rPr>
          <w:bCs/>
          <w:iCs/>
          <w:sz w:val="22"/>
          <w:szCs w:val="22"/>
          <w:lang w:val="sr-Latn-RS"/>
        </w:rPr>
        <w:t>karcinoma štit</w:t>
      </w:r>
      <w:r w:rsidR="00D92379" w:rsidRPr="00234ECD">
        <w:rPr>
          <w:bCs/>
          <w:iCs/>
          <w:sz w:val="22"/>
          <w:szCs w:val="22"/>
          <w:lang w:val="sr-Latn-RS"/>
        </w:rPr>
        <w:t>aste</w:t>
      </w:r>
      <w:r w:rsidRPr="00234ECD">
        <w:rPr>
          <w:bCs/>
          <w:iCs/>
          <w:sz w:val="22"/>
          <w:szCs w:val="22"/>
          <w:lang w:val="sr-Latn-RS"/>
        </w:rPr>
        <w:t xml:space="preserve"> žl</w:t>
      </w:r>
      <w:r w:rsidR="00922A70" w:rsidRPr="00234ECD">
        <w:rPr>
          <w:bCs/>
          <w:iCs/>
          <w:sz w:val="22"/>
          <w:szCs w:val="22"/>
          <w:lang w:val="sr-Latn-RS"/>
        </w:rPr>
        <w:t>ij</w:t>
      </w:r>
      <w:r w:rsidRPr="00234ECD">
        <w:rPr>
          <w:bCs/>
          <w:iCs/>
          <w:sz w:val="22"/>
          <w:szCs w:val="22"/>
          <w:lang w:val="sr-Latn-RS"/>
        </w:rPr>
        <w:t xml:space="preserve">ezde </w:t>
      </w:r>
      <w:r w:rsidRPr="00234ECD">
        <w:rPr>
          <w:sz w:val="22"/>
          <w:szCs w:val="22"/>
          <w:lang w:val="sr-Latn-RS"/>
        </w:rPr>
        <w:t>(COSMIC-311)</w:t>
      </w:r>
      <w:r w:rsidRPr="00234ECD">
        <w:rPr>
          <w:rFonts w:eastAsiaTheme="minorHAnsi"/>
          <w:sz w:val="22"/>
          <w:szCs w:val="22"/>
          <w:lang w:val="sr-Latn-RS"/>
        </w:rPr>
        <w:t xml:space="preserve"> </w:t>
      </w:r>
      <w:r w:rsidR="00390458" w:rsidRPr="00234ECD">
        <w:rPr>
          <w:rFonts w:eastAsiaTheme="minorHAnsi"/>
          <w:sz w:val="22"/>
          <w:szCs w:val="22"/>
          <w:lang w:val="sr-Latn-RS"/>
        </w:rPr>
        <w:t>fistule (dv</w:t>
      </w:r>
      <w:r w:rsidR="00922A70" w:rsidRPr="00234ECD">
        <w:rPr>
          <w:rFonts w:eastAsiaTheme="minorHAnsi"/>
          <w:sz w:val="22"/>
          <w:szCs w:val="22"/>
          <w:lang w:val="sr-Latn-RS"/>
        </w:rPr>
        <w:t>ij</w:t>
      </w:r>
      <w:r w:rsidR="00390458" w:rsidRPr="00234ECD">
        <w:rPr>
          <w:rFonts w:eastAsiaTheme="minorHAnsi"/>
          <w:sz w:val="22"/>
          <w:szCs w:val="22"/>
          <w:lang w:val="sr-Latn-RS"/>
        </w:rPr>
        <w:t>e analne i jedna faringealna fistula) su prijavljene kod 1,8% (3/170) pacijenata na terapiji kabozantinibom.</w:t>
      </w:r>
    </w:p>
    <w:p w14:paraId="13E6A3A3" w14:textId="75671467" w:rsidR="00D857AC" w:rsidRPr="00234ECD" w:rsidRDefault="00D857AC" w:rsidP="00D857AC">
      <w:pPr>
        <w:jc w:val="both"/>
        <w:rPr>
          <w:rFonts w:eastAsia="Calibri"/>
          <w:sz w:val="22"/>
          <w:szCs w:val="22"/>
          <w:lang w:val="sr-Latn-RS"/>
        </w:rPr>
      </w:pPr>
      <w:r w:rsidRPr="00234ECD">
        <w:rPr>
          <w:rFonts w:eastAsia="Calibri"/>
          <w:sz w:val="22"/>
          <w:szCs w:val="22"/>
          <w:lang w:val="sr-Latn-RS"/>
        </w:rPr>
        <w:t>U kombinaciji sa nivolumabom kao prvoj liniji l</w:t>
      </w:r>
      <w:r w:rsidR="00624FC4" w:rsidRPr="00234ECD">
        <w:rPr>
          <w:rFonts w:eastAsia="Calibri"/>
          <w:sz w:val="22"/>
          <w:szCs w:val="22"/>
          <w:lang w:val="sr-Latn-RS"/>
        </w:rPr>
        <w:t>ij</w:t>
      </w:r>
      <w:r w:rsidRPr="00234ECD">
        <w:rPr>
          <w:rFonts w:eastAsia="Calibri"/>
          <w:sz w:val="22"/>
          <w:szCs w:val="22"/>
          <w:lang w:val="sr-Latn-RS"/>
        </w:rPr>
        <w:t>ečenja uznapredovalog RCC-a (CA2099ER), učestalost fistula zab</w:t>
      </w:r>
      <w:r w:rsidR="00624FC4" w:rsidRPr="00234ECD">
        <w:rPr>
          <w:rFonts w:eastAsia="Calibri"/>
          <w:sz w:val="22"/>
          <w:szCs w:val="22"/>
          <w:lang w:val="sr-Latn-RS"/>
        </w:rPr>
        <w:t>i</w:t>
      </w:r>
      <w:r w:rsidRPr="00234ECD">
        <w:rPr>
          <w:rFonts w:eastAsia="Calibri"/>
          <w:sz w:val="22"/>
          <w:szCs w:val="22"/>
          <w:lang w:val="sr-Latn-RS"/>
        </w:rPr>
        <w:t>l</w:t>
      </w:r>
      <w:r w:rsidR="00624FC4" w:rsidRPr="00234ECD">
        <w:rPr>
          <w:rFonts w:eastAsia="Calibri"/>
          <w:sz w:val="22"/>
          <w:szCs w:val="22"/>
          <w:lang w:val="sr-Latn-RS"/>
        </w:rPr>
        <w:t>j</w:t>
      </w:r>
      <w:r w:rsidRPr="00234ECD">
        <w:rPr>
          <w:rFonts w:eastAsia="Calibri"/>
          <w:sz w:val="22"/>
          <w:szCs w:val="22"/>
          <w:lang w:val="sr-Latn-RS"/>
        </w:rPr>
        <w:t>ežena je kod 0,9% (3/320) l</w:t>
      </w:r>
      <w:r w:rsidR="00624FC4" w:rsidRPr="00234ECD">
        <w:rPr>
          <w:rFonts w:eastAsia="Calibri"/>
          <w:sz w:val="22"/>
          <w:szCs w:val="22"/>
          <w:lang w:val="sr-Latn-RS"/>
        </w:rPr>
        <w:t>ij</w:t>
      </w:r>
      <w:r w:rsidRPr="00234ECD">
        <w:rPr>
          <w:rFonts w:eastAsia="Calibri"/>
          <w:sz w:val="22"/>
          <w:szCs w:val="22"/>
          <w:lang w:val="sr-Latn-RS"/>
        </w:rPr>
        <w:t>ečenih pacijenata i nivo ozbiljnosti je 1. stepena.</w:t>
      </w:r>
    </w:p>
    <w:p w14:paraId="12206362" w14:textId="0E869A4C" w:rsidR="00D857AC" w:rsidRPr="00234ECD" w:rsidRDefault="00D857AC" w:rsidP="00D857AC">
      <w:pPr>
        <w:tabs>
          <w:tab w:val="left" w:pos="567"/>
        </w:tabs>
        <w:jc w:val="both"/>
        <w:rPr>
          <w:sz w:val="22"/>
          <w:szCs w:val="22"/>
          <w:lang w:val="sr-Latn-RS"/>
        </w:rPr>
      </w:pPr>
      <w:r w:rsidRPr="00234ECD">
        <w:rPr>
          <w:sz w:val="22"/>
          <w:szCs w:val="22"/>
          <w:lang w:val="sr-Latn-RS"/>
        </w:rPr>
        <w:t>U kliničkom programu prim</w:t>
      </w:r>
      <w:r w:rsidR="00624FC4" w:rsidRPr="00234ECD">
        <w:rPr>
          <w:sz w:val="22"/>
          <w:szCs w:val="22"/>
          <w:lang w:val="sr-Latn-RS"/>
        </w:rPr>
        <w:t>j</w:t>
      </w:r>
      <w:r w:rsidRPr="00234ECD">
        <w:rPr>
          <w:sz w:val="22"/>
          <w:szCs w:val="22"/>
          <w:lang w:val="sr-Latn-RS"/>
        </w:rPr>
        <w:t>ene kabozantiniba bilo je pojave smrtonosnih fistula.</w:t>
      </w:r>
    </w:p>
    <w:p w14:paraId="7F915ECB" w14:textId="77777777" w:rsidR="00D857AC" w:rsidRPr="00234ECD" w:rsidRDefault="00D857AC" w:rsidP="00D857AC">
      <w:pPr>
        <w:jc w:val="both"/>
        <w:rPr>
          <w:rFonts w:eastAsia="Calibri"/>
          <w:sz w:val="22"/>
          <w:szCs w:val="22"/>
          <w:lang w:val="sr-Latn-RS"/>
        </w:rPr>
      </w:pPr>
    </w:p>
    <w:p w14:paraId="06EE9ACB" w14:textId="0BD701C3" w:rsidR="00D857AC" w:rsidRPr="00234ECD" w:rsidRDefault="00D857AC" w:rsidP="00D857AC">
      <w:pPr>
        <w:jc w:val="both"/>
        <w:rPr>
          <w:rFonts w:eastAsia="Calibri"/>
          <w:i/>
          <w:sz w:val="22"/>
          <w:szCs w:val="22"/>
          <w:u w:val="single"/>
          <w:lang w:val="sr-Latn-RS"/>
        </w:rPr>
      </w:pPr>
      <w:r w:rsidRPr="00234ECD">
        <w:rPr>
          <w:rFonts w:eastAsia="Calibri"/>
          <w:i/>
          <w:sz w:val="22"/>
          <w:szCs w:val="22"/>
          <w:u w:val="single"/>
          <w:lang w:val="sr-Latn-RS"/>
        </w:rPr>
        <w:t xml:space="preserve">Hemoragija </w:t>
      </w:r>
      <w:r w:rsidRPr="00234ECD">
        <w:rPr>
          <w:i/>
          <w:sz w:val="22"/>
          <w:szCs w:val="22"/>
          <w:u w:val="single"/>
          <w:lang w:val="sr-Latn-RS"/>
        </w:rPr>
        <w:t>(vid</w:t>
      </w:r>
      <w:r w:rsidR="00624FC4" w:rsidRPr="00234ECD">
        <w:rPr>
          <w:i/>
          <w:sz w:val="22"/>
          <w:szCs w:val="22"/>
          <w:u w:val="single"/>
          <w:lang w:val="sr-Latn-RS"/>
        </w:rPr>
        <w:t>j</w:t>
      </w:r>
      <w:r w:rsidRPr="00234ECD">
        <w:rPr>
          <w:i/>
          <w:sz w:val="22"/>
          <w:szCs w:val="22"/>
          <w:u w:val="single"/>
          <w:lang w:val="sr-Latn-RS"/>
        </w:rPr>
        <w:t xml:space="preserve">eti </w:t>
      </w:r>
      <w:r w:rsidR="004B02CD" w:rsidRPr="00234ECD">
        <w:rPr>
          <w:i/>
          <w:sz w:val="22"/>
          <w:szCs w:val="22"/>
          <w:u w:val="single"/>
          <w:lang w:val="sr-Latn-RS"/>
        </w:rPr>
        <w:t xml:space="preserve">dio </w:t>
      </w:r>
      <w:r w:rsidRPr="00234ECD">
        <w:rPr>
          <w:i/>
          <w:sz w:val="22"/>
          <w:szCs w:val="22"/>
          <w:u w:val="single"/>
          <w:lang w:val="sr-Latn-RS"/>
        </w:rPr>
        <w:t>4.4)</w:t>
      </w:r>
    </w:p>
    <w:p w14:paraId="60AA3AA2" w14:textId="682FC8A0" w:rsidR="00D857AC" w:rsidRPr="00234ECD" w:rsidRDefault="00D857AC" w:rsidP="00D857AC">
      <w:pPr>
        <w:jc w:val="both"/>
        <w:rPr>
          <w:rFonts w:eastAsia="Calibri"/>
          <w:sz w:val="22"/>
          <w:szCs w:val="22"/>
          <w:lang w:val="sr-Latn-RS"/>
        </w:rPr>
      </w:pPr>
      <w:r w:rsidRPr="00234ECD">
        <w:rPr>
          <w:rFonts w:eastAsia="Calibri"/>
          <w:sz w:val="22"/>
          <w:szCs w:val="22"/>
          <w:lang w:val="sr-Latn-RS"/>
        </w:rPr>
        <w:t>U studiji RCC nakon prethodne terapije usm</w:t>
      </w:r>
      <w:r w:rsidR="00624FC4" w:rsidRPr="00234ECD">
        <w:rPr>
          <w:rFonts w:eastAsia="Calibri"/>
          <w:sz w:val="22"/>
          <w:szCs w:val="22"/>
          <w:lang w:val="sr-Latn-RS"/>
        </w:rPr>
        <w:t>j</w:t>
      </w:r>
      <w:r w:rsidRPr="00234ECD">
        <w:rPr>
          <w:rFonts w:eastAsia="Calibri"/>
          <w:sz w:val="22"/>
          <w:szCs w:val="22"/>
          <w:lang w:val="sr-Latn-RS"/>
        </w:rPr>
        <w:t>erene na VEGF (METEOR), incidenca teških hemoragijskih događaja (≥ 3. stepena) iznosila je 2,1% (7/331) kod pacijenata sa RCC na terapiji kabozantinibom. Medijana vremena do pojave iznosila je 20,9 ned</w:t>
      </w:r>
      <w:r w:rsidR="00624FC4" w:rsidRPr="00234ECD">
        <w:rPr>
          <w:rFonts w:eastAsia="Calibri"/>
          <w:sz w:val="22"/>
          <w:szCs w:val="22"/>
          <w:lang w:val="sr-Latn-RS"/>
        </w:rPr>
        <w:t>j</w:t>
      </w:r>
      <w:r w:rsidRPr="00234ECD">
        <w:rPr>
          <w:rFonts w:eastAsia="Calibri"/>
          <w:sz w:val="22"/>
          <w:szCs w:val="22"/>
          <w:lang w:val="sr-Latn-RS"/>
        </w:rPr>
        <w:t>elja.</w:t>
      </w:r>
    </w:p>
    <w:p w14:paraId="5721D0D4" w14:textId="2B683596" w:rsidR="00D857AC" w:rsidRPr="00234ECD" w:rsidRDefault="00D857AC" w:rsidP="00D857AC">
      <w:pPr>
        <w:jc w:val="both"/>
        <w:rPr>
          <w:rFonts w:eastAsia="Calibri"/>
          <w:sz w:val="22"/>
          <w:szCs w:val="22"/>
          <w:lang w:val="sr-Latn-RS"/>
        </w:rPr>
      </w:pPr>
      <w:r w:rsidRPr="00234ECD">
        <w:rPr>
          <w:rFonts w:eastAsia="Calibri"/>
          <w:sz w:val="22"/>
          <w:szCs w:val="22"/>
          <w:lang w:val="sr-Latn-RS"/>
        </w:rPr>
        <w:lastRenderedPageBreak/>
        <w:t>U studiji prethodno nel</w:t>
      </w:r>
      <w:r w:rsidR="00624FC4" w:rsidRPr="00234ECD">
        <w:rPr>
          <w:rFonts w:eastAsia="Calibri"/>
          <w:sz w:val="22"/>
          <w:szCs w:val="22"/>
          <w:lang w:val="sr-Latn-RS"/>
        </w:rPr>
        <w:t>ij</w:t>
      </w:r>
      <w:r w:rsidRPr="00234ECD">
        <w:rPr>
          <w:rFonts w:eastAsia="Calibri"/>
          <w:sz w:val="22"/>
          <w:szCs w:val="22"/>
          <w:lang w:val="sr-Latn-RS"/>
        </w:rPr>
        <w:t>ečenog RCC (CABOSUN), incidenca teških hemoragijskih događaja (≥ 3. stepena) kod pacijenata sa RCC l</w:t>
      </w:r>
      <w:r w:rsidR="00624FC4" w:rsidRPr="00234ECD">
        <w:rPr>
          <w:rFonts w:eastAsia="Calibri"/>
          <w:sz w:val="22"/>
          <w:szCs w:val="22"/>
          <w:lang w:val="sr-Latn-RS"/>
        </w:rPr>
        <w:t>ij</w:t>
      </w:r>
      <w:r w:rsidRPr="00234ECD">
        <w:rPr>
          <w:rFonts w:eastAsia="Calibri"/>
          <w:sz w:val="22"/>
          <w:szCs w:val="22"/>
          <w:lang w:val="sr-Latn-RS"/>
        </w:rPr>
        <w:t>ečenih kabozantinibom iznosila je 5,1% (4/78).</w:t>
      </w:r>
    </w:p>
    <w:p w14:paraId="47553573" w14:textId="640A0D28" w:rsidR="00D857AC" w:rsidRPr="00234ECD" w:rsidRDefault="00D857AC" w:rsidP="00D857AC">
      <w:pPr>
        <w:tabs>
          <w:tab w:val="left" w:pos="567"/>
        </w:tabs>
        <w:jc w:val="both"/>
        <w:rPr>
          <w:sz w:val="22"/>
          <w:szCs w:val="22"/>
          <w:lang w:val="sr-Latn-RS"/>
        </w:rPr>
      </w:pPr>
      <w:r w:rsidRPr="00234ECD">
        <w:rPr>
          <w:bCs/>
          <w:sz w:val="22"/>
          <w:szCs w:val="22"/>
          <w:lang w:val="sr-Latn-RS"/>
        </w:rPr>
        <w:t xml:space="preserve">U studiji </w:t>
      </w:r>
      <w:r w:rsidRPr="00234ECD">
        <w:rPr>
          <w:bCs/>
          <w:iCs/>
          <w:sz w:val="22"/>
          <w:szCs w:val="22"/>
          <w:lang w:val="sr-Latn-RS"/>
        </w:rPr>
        <w:t xml:space="preserve">hepatocelularnog karcinoma </w:t>
      </w:r>
      <w:r w:rsidRPr="00234ECD">
        <w:rPr>
          <w:sz w:val="22"/>
          <w:szCs w:val="22"/>
          <w:lang w:val="sr-Latn-RS"/>
        </w:rPr>
        <w:t xml:space="preserve">(CELESTIAL), incidenca teških hemoragijskih događaja (≥ 3. stepena) </w:t>
      </w:r>
      <w:r w:rsidRPr="00234ECD">
        <w:rPr>
          <w:iCs/>
          <w:sz w:val="22"/>
          <w:szCs w:val="22"/>
          <w:lang w:val="sr-Latn-RS"/>
        </w:rPr>
        <w:t>iznosila</w:t>
      </w:r>
      <w:r w:rsidRPr="00234ECD">
        <w:rPr>
          <w:sz w:val="22"/>
          <w:szCs w:val="22"/>
          <w:lang w:val="sr-Latn-RS"/>
        </w:rPr>
        <w:t xml:space="preserve"> je 7,3% kod pacijenata koji su primali terapiju kabozantinibom (34/467). </w:t>
      </w:r>
      <w:r w:rsidRPr="00234ECD">
        <w:rPr>
          <w:iCs/>
          <w:sz w:val="22"/>
          <w:szCs w:val="22"/>
          <w:lang w:val="sr-Latn-RS"/>
        </w:rPr>
        <w:t xml:space="preserve">Medijana vremena do pojave iznosila je </w:t>
      </w:r>
      <w:r w:rsidRPr="00234ECD">
        <w:rPr>
          <w:sz w:val="22"/>
          <w:szCs w:val="22"/>
          <w:lang w:val="sr-Latn-RS"/>
        </w:rPr>
        <w:t>9,1 ned</w:t>
      </w:r>
      <w:r w:rsidR="00624FC4" w:rsidRPr="00234ECD">
        <w:rPr>
          <w:sz w:val="22"/>
          <w:szCs w:val="22"/>
          <w:lang w:val="sr-Latn-RS"/>
        </w:rPr>
        <w:t>j</w:t>
      </w:r>
      <w:r w:rsidRPr="00234ECD">
        <w:rPr>
          <w:sz w:val="22"/>
          <w:szCs w:val="22"/>
          <w:lang w:val="sr-Latn-RS"/>
        </w:rPr>
        <w:t>elju.</w:t>
      </w:r>
    </w:p>
    <w:p w14:paraId="2AF04DDA" w14:textId="71520C5F" w:rsidR="00D857AC" w:rsidRPr="00234ECD" w:rsidRDefault="00D857AC" w:rsidP="00D857AC">
      <w:pPr>
        <w:jc w:val="both"/>
        <w:rPr>
          <w:rFonts w:eastAsia="Calibri"/>
          <w:sz w:val="22"/>
          <w:szCs w:val="22"/>
          <w:lang w:val="sr-Latn-RS"/>
        </w:rPr>
      </w:pPr>
      <w:r w:rsidRPr="00234ECD">
        <w:rPr>
          <w:rFonts w:eastAsia="Calibri"/>
          <w:sz w:val="22"/>
          <w:szCs w:val="22"/>
          <w:lang w:val="sr-Latn-RS"/>
        </w:rPr>
        <w:t>U kombinaciji sa nivolumabom kao prvoj liniji l</w:t>
      </w:r>
      <w:r w:rsidR="00624FC4" w:rsidRPr="00234ECD">
        <w:rPr>
          <w:rFonts w:eastAsia="Calibri"/>
          <w:sz w:val="22"/>
          <w:szCs w:val="22"/>
          <w:lang w:val="sr-Latn-RS"/>
        </w:rPr>
        <w:t>ij</w:t>
      </w:r>
      <w:r w:rsidRPr="00234ECD">
        <w:rPr>
          <w:rFonts w:eastAsia="Calibri"/>
          <w:sz w:val="22"/>
          <w:szCs w:val="22"/>
          <w:lang w:val="sr-Latn-RS"/>
        </w:rPr>
        <w:t xml:space="preserve">ečenja uznapredovalog RCC-a (CA2099ER), </w:t>
      </w:r>
      <w:r w:rsidRPr="00234ECD">
        <w:rPr>
          <w:sz w:val="22"/>
          <w:szCs w:val="22"/>
          <w:lang w:val="sr-Latn-RS"/>
        </w:rPr>
        <w:t>incidenca</w:t>
      </w:r>
      <w:r w:rsidRPr="00234ECD">
        <w:rPr>
          <w:rFonts w:eastAsia="Calibri"/>
          <w:sz w:val="22"/>
          <w:szCs w:val="22"/>
          <w:lang w:val="sr-Latn-RS"/>
        </w:rPr>
        <w:t xml:space="preserve"> krvarenja ≥ 3. stepena zab</w:t>
      </w:r>
      <w:r w:rsidR="00624FC4" w:rsidRPr="00234ECD">
        <w:rPr>
          <w:rFonts w:eastAsia="Calibri"/>
          <w:sz w:val="22"/>
          <w:szCs w:val="22"/>
          <w:lang w:val="sr-Latn-RS"/>
        </w:rPr>
        <w:t>i</w:t>
      </w:r>
      <w:r w:rsidRPr="00234ECD">
        <w:rPr>
          <w:rFonts w:eastAsia="Calibri"/>
          <w:sz w:val="22"/>
          <w:szCs w:val="22"/>
          <w:lang w:val="sr-Latn-RS"/>
        </w:rPr>
        <w:t>l</w:t>
      </w:r>
      <w:r w:rsidR="00624FC4" w:rsidRPr="00234ECD">
        <w:rPr>
          <w:rFonts w:eastAsia="Calibri"/>
          <w:sz w:val="22"/>
          <w:szCs w:val="22"/>
          <w:lang w:val="sr-Latn-RS"/>
        </w:rPr>
        <w:t>je</w:t>
      </w:r>
      <w:r w:rsidRPr="00234ECD">
        <w:rPr>
          <w:rFonts w:eastAsia="Calibri"/>
          <w:sz w:val="22"/>
          <w:szCs w:val="22"/>
          <w:lang w:val="sr-Latn-RS"/>
        </w:rPr>
        <w:t>žena je kod 1,9% (6/320) l</w:t>
      </w:r>
      <w:r w:rsidR="00624FC4" w:rsidRPr="00234ECD">
        <w:rPr>
          <w:rFonts w:eastAsia="Calibri"/>
          <w:sz w:val="22"/>
          <w:szCs w:val="22"/>
          <w:lang w:val="sr-Latn-RS"/>
        </w:rPr>
        <w:t>ij</w:t>
      </w:r>
      <w:r w:rsidRPr="00234ECD">
        <w:rPr>
          <w:rFonts w:eastAsia="Calibri"/>
          <w:sz w:val="22"/>
          <w:szCs w:val="22"/>
          <w:lang w:val="sr-Latn-RS"/>
        </w:rPr>
        <w:t>ečenih pacijenata.</w:t>
      </w:r>
    </w:p>
    <w:p w14:paraId="20E90C4A" w14:textId="2DC2CF6C" w:rsidR="00B51074" w:rsidRPr="00234ECD" w:rsidRDefault="00B51074" w:rsidP="00D857AC">
      <w:pPr>
        <w:jc w:val="both"/>
        <w:rPr>
          <w:rFonts w:eastAsia="Calibri"/>
          <w:sz w:val="22"/>
          <w:szCs w:val="22"/>
          <w:lang w:val="sr-Latn-RS"/>
        </w:rPr>
      </w:pPr>
      <w:r w:rsidRPr="00234ECD">
        <w:rPr>
          <w:bCs/>
          <w:sz w:val="22"/>
          <w:szCs w:val="22"/>
          <w:lang w:val="sr-Latn-RS"/>
        </w:rPr>
        <w:t>U studiji</w:t>
      </w:r>
      <w:r w:rsidRPr="00234ECD">
        <w:rPr>
          <w:bCs/>
          <w:iCs/>
          <w:sz w:val="22"/>
          <w:szCs w:val="22"/>
          <w:lang w:val="sr-Latn-RS"/>
        </w:rPr>
        <w:t xml:space="preserve"> </w:t>
      </w:r>
      <w:r w:rsidRPr="00234ECD">
        <w:rPr>
          <w:sz w:val="22"/>
          <w:szCs w:val="22"/>
          <w:lang w:val="sr-Latn-RS"/>
        </w:rPr>
        <w:t xml:space="preserve">diferenciranog </w:t>
      </w:r>
      <w:r w:rsidRPr="00234ECD">
        <w:rPr>
          <w:bCs/>
          <w:iCs/>
          <w:sz w:val="22"/>
          <w:szCs w:val="22"/>
          <w:lang w:val="sr-Latn-RS"/>
        </w:rPr>
        <w:t>karcinoma štit</w:t>
      </w:r>
      <w:r w:rsidR="00D92379" w:rsidRPr="00234ECD">
        <w:rPr>
          <w:bCs/>
          <w:iCs/>
          <w:sz w:val="22"/>
          <w:szCs w:val="22"/>
          <w:lang w:val="sr-Latn-RS"/>
        </w:rPr>
        <w:t>aste</w:t>
      </w:r>
      <w:r w:rsidRPr="00234ECD">
        <w:rPr>
          <w:bCs/>
          <w:iCs/>
          <w:sz w:val="22"/>
          <w:szCs w:val="22"/>
          <w:lang w:val="sr-Latn-RS"/>
        </w:rPr>
        <w:t xml:space="preserve"> žl</w:t>
      </w:r>
      <w:r w:rsidR="00922A70" w:rsidRPr="00234ECD">
        <w:rPr>
          <w:bCs/>
          <w:iCs/>
          <w:sz w:val="22"/>
          <w:szCs w:val="22"/>
          <w:lang w:val="sr-Latn-RS"/>
        </w:rPr>
        <w:t>ij</w:t>
      </w:r>
      <w:r w:rsidRPr="00234ECD">
        <w:rPr>
          <w:bCs/>
          <w:iCs/>
          <w:sz w:val="22"/>
          <w:szCs w:val="22"/>
          <w:lang w:val="sr-Latn-RS"/>
        </w:rPr>
        <w:t xml:space="preserve">ezde </w:t>
      </w:r>
      <w:r w:rsidRPr="00234ECD">
        <w:rPr>
          <w:sz w:val="22"/>
          <w:szCs w:val="22"/>
          <w:lang w:val="sr-Latn-RS"/>
        </w:rPr>
        <w:t>(COSMIC-311) incidenca</w:t>
      </w:r>
      <w:r w:rsidRPr="00234ECD">
        <w:rPr>
          <w:rFonts w:eastAsiaTheme="minorHAnsi"/>
          <w:sz w:val="22"/>
          <w:szCs w:val="22"/>
          <w:lang w:val="sr-Latn-RS"/>
        </w:rPr>
        <w:t xml:space="preserve"> </w:t>
      </w:r>
      <w:r w:rsidRPr="00234ECD">
        <w:rPr>
          <w:sz w:val="22"/>
          <w:szCs w:val="22"/>
          <w:lang w:val="sr-Latn-RS"/>
        </w:rPr>
        <w:t>teških hemoragijskih događaja (</w:t>
      </w:r>
      <w:r w:rsidRPr="00234ECD">
        <w:rPr>
          <w:rFonts w:eastAsiaTheme="minorHAnsi"/>
          <w:sz w:val="22"/>
          <w:szCs w:val="22"/>
          <w:lang w:val="sr-Latn-RS"/>
        </w:rPr>
        <w:t>≥ 3. stepena) zab</w:t>
      </w:r>
      <w:r w:rsidR="000E5FD3" w:rsidRPr="00234ECD">
        <w:rPr>
          <w:rFonts w:eastAsiaTheme="minorHAnsi"/>
          <w:sz w:val="22"/>
          <w:szCs w:val="22"/>
          <w:lang w:val="sr-Latn-RS"/>
        </w:rPr>
        <w:t>i</w:t>
      </w:r>
      <w:r w:rsidR="00922A70" w:rsidRPr="00234ECD">
        <w:rPr>
          <w:rFonts w:eastAsiaTheme="minorHAnsi"/>
          <w:sz w:val="22"/>
          <w:szCs w:val="22"/>
          <w:lang w:val="sr-Latn-RS"/>
        </w:rPr>
        <w:t>lje</w:t>
      </w:r>
      <w:r w:rsidRPr="00234ECD">
        <w:rPr>
          <w:rFonts w:eastAsiaTheme="minorHAnsi"/>
          <w:sz w:val="22"/>
          <w:szCs w:val="22"/>
          <w:lang w:val="sr-Latn-RS"/>
        </w:rPr>
        <w:t>žena je kod 2,4% (</w:t>
      </w:r>
      <w:r w:rsidR="00390458" w:rsidRPr="00234ECD">
        <w:rPr>
          <w:rFonts w:eastAsiaTheme="minorHAnsi"/>
          <w:sz w:val="22"/>
          <w:szCs w:val="22"/>
          <w:lang w:val="sr-Latn-RS"/>
        </w:rPr>
        <w:t>4</w:t>
      </w:r>
      <w:r w:rsidRPr="00234ECD">
        <w:rPr>
          <w:rFonts w:eastAsiaTheme="minorHAnsi"/>
          <w:sz w:val="22"/>
          <w:szCs w:val="22"/>
          <w:lang w:val="sr-Latn-RS"/>
        </w:rPr>
        <w:t>/1</w:t>
      </w:r>
      <w:r w:rsidR="00390458" w:rsidRPr="00234ECD">
        <w:rPr>
          <w:rFonts w:eastAsiaTheme="minorHAnsi"/>
          <w:sz w:val="22"/>
          <w:szCs w:val="22"/>
          <w:lang w:val="sr-Latn-RS"/>
        </w:rPr>
        <w:t>70</w:t>
      </w:r>
      <w:r w:rsidRPr="00234ECD">
        <w:rPr>
          <w:rFonts w:eastAsiaTheme="minorHAnsi"/>
          <w:sz w:val="22"/>
          <w:szCs w:val="22"/>
          <w:lang w:val="sr-Latn-RS"/>
        </w:rPr>
        <w:t>) l</w:t>
      </w:r>
      <w:r w:rsidR="00D92379" w:rsidRPr="00234ECD">
        <w:rPr>
          <w:rFonts w:eastAsiaTheme="minorHAnsi"/>
          <w:sz w:val="22"/>
          <w:szCs w:val="22"/>
          <w:lang w:val="sr-Latn-RS"/>
        </w:rPr>
        <w:t>ij</w:t>
      </w:r>
      <w:r w:rsidRPr="00234ECD">
        <w:rPr>
          <w:rFonts w:eastAsiaTheme="minorHAnsi"/>
          <w:sz w:val="22"/>
          <w:szCs w:val="22"/>
          <w:lang w:val="sr-Latn-RS"/>
        </w:rPr>
        <w:t>ečenih pacijenata.</w:t>
      </w:r>
      <w:r w:rsidRPr="00234ECD">
        <w:rPr>
          <w:iCs/>
          <w:sz w:val="22"/>
          <w:szCs w:val="22"/>
          <w:lang w:val="sr-Latn-RS"/>
        </w:rPr>
        <w:t xml:space="preserve"> Medijana vremena do pojave iznosila je </w:t>
      </w:r>
      <w:r w:rsidR="00390458" w:rsidRPr="00234ECD">
        <w:rPr>
          <w:sz w:val="22"/>
          <w:szCs w:val="22"/>
          <w:lang w:val="sr-Latn-RS"/>
        </w:rPr>
        <w:t xml:space="preserve">80,5 </w:t>
      </w:r>
      <w:r w:rsidR="00A16156" w:rsidRPr="00234ECD">
        <w:rPr>
          <w:sz w:val="22"/>
          <w:szCs w:val="22"/>
          <w:lang w:val="sr-Latn-RS"/>
        </w:rPr>
        <w:t>dana</w:t>
      </w:r>
      <w:r w:rsidRPr="00234ECD">
        <w:rPr>
          <w:sz w:val="22"/>
          <w:szCs w:val="22"/>
          <w:lang w:val="sr-Latn-RS"/>
        </w:rPr>
        <w:t>.</w:t>
      </w:r>
    </w:p>
    <w:p w14:paraId="5FE76C33" w14:textId="73B1848E" w:rsidR="00D857AC" w:rsidRPr="00234ECD" w:rsidRDefault="00D857AC" w:rsidP="00D857AC">
      <w:pPr>
        <w:jc w:val="both"/>
        <w:rPr>
          <w:rFonts w:eastAsia="Calibri"/>
          <w:sz w:val="22"/>
          <w:szCs w:val="22"/>
          <w:lang w:val="sr-Latn-RS"/>
        </w:rPr>
      </w:pPr>
      <w:r w:rsidRPr="00234ECD">
        <w:rPr>
          <w:rFonts w:eastAsia="Calibri"/>
          <w:sz w:val="22"/>
          <w:szCs w:val="22"/>
          <w:lang w:val="sr-Latn-RS"/>
        </w:rPr>
        <w:t>U kliničkom programu prim</w:t>
      </w:r>
      <w:r w:rsidR="00624FC4" w:rsidRPr="00234ECD">
        <w:rPr>
          <w:rFonts w:eastAsia="Calibri"/>
          <w:sz w:val="22"/>
          <w:szCs w:val="22"/>
          <w:lang w:val="sr-Latn-RS"/>
        </w:rPr>
        <w:t>j</w:t>
      </w:r>
      <w:r w:rsidRPr="00234ECD">
        <w:rPr>
          <w:rFonts w:eastAsia="Calibri"/>
          <w:sz w:val="22"/>
          <w:szCs w:val="22"/>
          <w:lang w:val="sr-Latn-RS"/>
        </w:rPr>
        <w:t>ene kabozantiniba bilo je pojave smrtonosnih krvarenja.</w:t>
      </w:r>
    </w:p>
    <w:p w14:paraId="4C2ECFB8" w14:textId="77777777" w:rsidR="00D857AC" w:rsidRPr="00234ECD" w:rsidRDefault="00D857AC" w:rsidP="00D857AC">
      <w:pPr>
        <w:jc w:val="both"/>
        <w:rPr>
          <w:rFonts w:eastAsia="Calibri"/>
          <w:sz w:val="22"/>
          <w:szCs w:val="22"/>
          <w:lang w:val="sr-Latn-RS"/>
        </w:rPr>
      </w:pPr>
    </w:p>
    <w:p w14:paraId="3AE3B4F7" w14:textId="39AB50E9" w:rsidR="00D857AC" w:rsidRPr="00234ECD" w:rsidRDefault="00D857AC" w:rsidP="00D857AC">
      <w:pPr>
        <w:jc w:val="both"/>
        <w:rPr>
          <w:rFonts w:eastAsia="Calibri"/>
          <w:i/>
          <w:sz w:val="22"/>
          <w:szCs w:val="22"/>
          <w:u w:val="single"/>
          <w:lang w:val="sr-Latn-RS"/>
        </w:rPr>
      </w:pPr>
      <w:r w:rsidRPr="00234ECD">
        <w:rPr>
          <w:rFonts w:eastAsia="Calibri"/>
          <w:i/>
          <w:sz w:val="22"/>
          <w:szCs w:val="22"/>
          <w:u w:val="single"/>
          <w:lang w:val="sr-Latn-RS"/>
        </w:rPr>
        <w:t xml:space="preserve">Sindrom  posteriorne reverzibilne encefalopatije (PRES) </w:t>
      </w:r>
      <w:r w:rsidRPr="00234ECD">
        <w:rPr>
          <w:i/>
          <w:sz w:val="22"/>
          <w:szCs w:val="22"/>
          <w:u w:val="single"/>
          <w:lang w:val="sr-Latn-RS"/>
        </w:rPr>
        <w:t>(vid</w:t>
      </w:r>
      <w:r w:rsidR="00624FC4" w:rsidRPr="00234ECD">
        <w:rPr>
          <w:i/>
          <w:sz w:val="22"/>
          <w:szCs w:val="22"/>
          <w:u w:val="single"/>
          <w:lang w:val="sr-Latn-RS"/>
        </w:rPr>
        <w:t>j</w:t>
      </w:r>
      <w:r w:rsidRPr="00234ECD">
        <w:rPr>
          <w:i/>
          <w:sz w:val="22"/>
          <w:szCs w:val="22"/>
          <w:u w:val="single"/>
          <w:lang w:val="sr-Latn-RS"/>
        </w:rPr>
        <w:t xml:space="preserve">eti </w:t>
      </w:r>
      <w:r w:rsidR="00D10962" w:rsidRPr="00234ECD">
        <w:rPr>
          <w:i/>
          <w:sz w:val="22"/>
          <w:szCs w:val="22"/>
          <w:u w:val="single"/>
          <w:lang w:val="sr-Latn-RS"/>
        </w:rPr>
        <w:t xml:space="preserve">dio </w:t>
      </w:r>
      <w:r w:rsidRPr="00234ECD">
        <w:rPr>
          <w:i/>
          <w:sz w:val="22"/>
          <w:szCs w:val="22"/>
          <w:u w:val="single"/>
          <w:lang w:val="sr-Latn-RS"/>
        </w:rPr>
        <w:t>4.4)</w:t>
      </w:r>
    </w:p>
    <w:p w14:paraId="4CA22984" w14:textId="03AC63CA" w:rsidR="00D857AC" w:rsidRPr="00234ECD" w:rsidRDefault="00D857AC" w:rsidP="00D857AC">
      <w:pPr>
        <w:jc w:val="both"/>
        <w:rPr>
          <w:rFonts w:eastAsia="Calibri"/>
          <w:sz w:val="22"/>
          <w:szCs w:val="22"/>
          <w:lang w:val="sr-Latn-RS"/>
        </w:rPr>
      </w:pPr>
      <w:r w:rsidRPr="00234ECD">
        <w:rPr>
          <w:rFonts w:eastAsia="Calibri"/>
          <w:sz w:val="22"/>
          <w:szCs w:val="22"/>
          <w:lang w:val="sr-Latn-RS"/>
        </w:rPr>
        <w:t>U studijama METEOR</w:t>
      </w:r>
      <w:r w:rsidR="00D10962" w:rsidRPr="00234ECD">
        <w:rPr>
          <w:rFonts w:eastAsia="Calibri"/>
          <w:sz w:val="22"/>
          <w:szCs w:val="22"/>
          <w:lang w:val="sr-Latn-RS"/>
        </w:rPr>
        <w:t xml:space="preserve">, </w:t>
      </w:r>
      <w:r w:rsidRPr="00234ECD">
        <w:rPr>
          <w:rFonts w:eastAsia="Calibri"/>
          <w:sz w:val="22"/>
          <w:szCs w:val="22"/>
          <w:lang w:val="sr-Latn-RS"/>
        </w:rPr>
        <w:t>CABOSUN</w:t>
      </w:r>
      <w:r w:rsidR="00D10962" w:rsidRPr="00234ECD">
        <w:rPr>
          <w:rFonts w:eastAsia="Calibri"/>
          <w:sz w:val="22"/>
          <w:szCs w:val="22"/>
          <w:lang w:val="sr-Latn-RS"/>
        </w:rPr>
        <w:t>,</w:t>
      </w:r>
      <w:r w:rsidRPr="00234ECD">
        <w:rPr>
          <w:rFonts w:eastAsia="Calibri"/>
          <w:sz w:val="22"/>
          <w:szCs w:val="22"/>
          <w:lang w:val="sr-Latn-RS"/>
        </w:rPr>
        <w:t xml:space="preserve"> CA2099ER ili CELESTIAL nije bio prijavljen slučaj PRES, ali je pojava PRES bila </w:t>
      </w:r>
      <w:r w:rsidR="00815921" w:rsidRPr="00234ECD">
        <w:rPr>
          <w:rFonts w:eastAsia="Calibri"/>
          <w:sz w:val="22"/>
          <w:szCs w:val="22"/>
          <w:lang w:val="sr-Latn-RS"/>
        </w:rPr>
        <w:t xml:space="preserve">prijavljena kod jednog pacijenta u DTC studiji (COSMIC-311) i </w:t>
      </w:r>
      <w:r w:rsidRPr="00234ECD">
        <w:rPr>
          <w:rFonts w:eastAsia="Calibri"/>
          <w:sz w:val="22"/>
          <w:szCs w:val="22"/>
          <w:lang w:val="sr-Latn-RS"/>
        </w:rPr>
        <w:t>r</w:t>
      </w:r>
      <w:r w:rsidR="00624FC4" w:rsidRPr="00234ECD">
        <w:rPr>
          <w:rFonts w:eastAsia="Calibri"/>
          <w:sz w:val="22"/>
          <w:szCs w:val="22"/>
          <w:lang w:val="sr-Latn-RS"/>
        </w:rPr>
        <w:t>ij</w:t>
      </w:r>
      <w:r w:rsidRPr="00234ECD">
        <w:rPr>
          <w:rFonts w:eastAsia="Calibri"/>
          <w:sz w:val="22"/>
          <w:szCs w:val="22"/>
          <w:lang w:val="sr-Latn-RS"/>
        </w:rPr>
        <w:t>etko prijavljena u drugim kliničkim ispitivanjima (kod 2/4872 ispitanika; 0,04%).</w:t>
      </w:r>
    </w:p>
    <w:p w14:paraId="041F993A" w14:textId="77777777" w:rsidR="00D857AC" w:rsidRPr="00234ECD" w:rsidRDefault="00D857AC" w:rsidP="00D857AC">
      <w:pPr>
        <w:jc w:val="both"/>
        <w:rPr>
          <w:rFonts w:eastAsia="Calibri"/>
          <w:sz w:val="22"/>
          <w:szCs w:val="22"/>
          <w:lang w:val="sr-Latn-RS"/>
        </w:rPr>
      </w:pPr>
    </w:p>
    <w:p w14:paraId="4B460B9A" w14:textId="2384CFD8" w:rsidR="00D857AC" w:rsidRPr="00234ECD" w:rsidRDefault="00D857AC" w:rsidP="00D857AC">
      <w:pPr>
        <w:autoSpaceDE w:val="0"/>
        <w:autoSpaceDN w:val="0"/>
        <w:adjustRightInd w:val="0"/>
        <w:jc w:val="both"/>
        <w:rPr>
          <w:rFonts w:eastAsia="Calibri"/>
          <w:color w:val="000000"/>
          <w:sz w:val="22"/>
          <w:szCs w:val="22"/>
          <w:u w:val="single"/>
          <w:lang w:val="sr-Latn-RS"/>
        </w:rPr>
      </w:pPr>
      <w:r w:rsidRPr="00234ECD">
        <w:rPr>
          <w:rFonts w:eastAsia="Calibri"/>
          <w:i/>
          <w:iCs/>
          <w:color w:val="000000"/>
          <w:sz w:val="22"/>
          <w:szCs w:val="22"/>
          <w:u w:val="single"/>
          <w:lang w:val="sr-Latn-RS"/>
        </w:rPr>
        <w:t>Porast jetrenih enzima kod pacijenata sa RCC-om l</w:t>
      </w:r>
      <w:r w:rsidR="00624FC4" w:rsidRPr="00234ECD">
        <w:rPr>
          <w:rFonts w:eastAsia="Calibri"/>
          <w:i/>
          <w:iCs/>
          <w:color w:val="000000"/>
          <w:sz w:val="22"/>
          <w:szCs w:val="22"/>
          <w:u w:val="single"/>
          <w:lang w:val="sr-Latn-RS"/>
        </w:rPr>
        <w:t>ij</w:t>
      </w:r>
      <w:r w:rsidRPr="00234ECD">
        <w:rPr>
          <w:rFonts w:eastAsia="Calibri"/>
          <w:i/>
          <w:iCs/>
          <w:color w:val="000000"/>
          <w:sz w:val="22"/>
          <w:szCs w:val="22"/>
          <w:u w:val="single"/>
          <w:lang w:val="sr-Latn-RS"/>
        </w:rPr>
        <w:t xml:space="preserve">ečenih kombinacijom kabozantiniba i nivolumaba </w:t>
      </w:r>
    </w:p>
    <w:p w14:paraId="5938025D" w14:textId="2D404ED0" w:rsidR="00D857AC" w:rsidRPr="00234ECD" w:rsidRDefault="00D857AC" w:rsidP="00D857AC">
      <w:pPr>
        <w:autoSpaceDE w:val="0"/>
        <w:autoSpaceDN w:val="0"/>
        <w:adjustRightInd w:val="0"/>
        <w:jc w:val="both"/>
        <w:rPr>
          <w:rFonts w:eastAsia="Calibri"/>
          <w:sz w:val="22"/>
          <w:szCs w:val="22"/>
          <w:lang w:val="sr-Latn-RS"/>
        </w:rPr>
      </w:pPr>
      <w:r w:rsidRPr="00234ECD">
        <w:rPr>
          <w:rFonts w:eastAsia="Calibri"/>
          <w:color w:val="000000"/>
          <w:sz w:val="22"/>
          <w:szCs w:val="22"/>
          <w:lang w:val="sr-Latn-RS"/>
        </w:rPr>
        <w:t>U kliničkoj studiji prethodno nel</w:t>
      </w:r>
      <w:r w:rsidR="00624FC4" w:rsidRPr="00234ECD">
        <w:rPr>
          <w:rFonts w:eastAsia="Calibri"/>
          <w:color w:val="000000"/>
          <w:sz w:val="22"/>
          <w:szCs w:val="22"/>
          <w:lang w:val="sr-Latn-RS"/>
        </w:rPr>
        <w:t>ij</w:t>
      </w:r>
      <w:r w:rsidRPr="00234ECD">
        <w:rPr>
          <w:rFonts w:eastAsia="Calibri"/>
          <w:color w:val="000000"/>
          <w:sz w:val="22"/>
          <w:szCs w:val="22"/>
          <w:lang w:val="sr-Latn-RS"/>
        </w:rPr>
        <w:t xml:space="preserve">ečenih pacijenata sa RCC-om koji su primali kabozantinib u kombinaciji sa nivolumabom, zapažena je veća incidenca </w:t>
      </w:r>
      <w:r w:rsidRPr="00234ECD">
        <w:rPr>
          <w:rFonts w:eastAsia="Calibri"/>
          <w:sz w:val="22"/>
          <w:szCs w:val="22"/>
          <w:lang w:val="sr-Latn-RS"/>
        </w:rPr>
        <w:t xml:space="preserve">3. i 4. stepena </w:t>
      </w:r>
      <w:r w:rsidRPr="00234ECD">
        <w:rPr>
          <w:rFonts w:eastAsia="Calibri"/>
          <w:color w:val="000000"/>
          <w:sz w:val="22"/>
          <w:szCs w:val="22"/>
          <w:lang w:val="sr-Latn-RS"/>
        </w:rPr>
        <w:t xml:space="preserve">porasta ALT-a (10,1%) i </w:t>
      </w:r>
      <w:r w:rsidRPr="00234ECD">
        <w:rPr>
          <w:rFonts w:eastAsia="Calibri"/>
          <w:sz w:val="22"/>
          <w:szCs w:val="22"/>
          <w:lang w:val="sr-Latn-RS"/>
        </w:rPr>
        <w:t xml:space="preserve">porasta AST-a (8,2%) </w:t>
      </w:r>
      <w:r w:rsidRPr="00234ECD">
        <w:rPr>
          <w:rFonts w:eastAsia="Calibri"/>
          <w:color w:val="000000"/>
          <w:sz w:val="22"/>
          <w:szCs w:val="22"/>
          <w:lang w:val="sr-Latn-RS"/>
        </w:rPr>
        <w:t xml:space="preserve">3. i 4. stepena </w:t>
      </w:r>
      <w:r w:rsidRPr="00234ECD">
        <w:rPr>
          <w:rFonts w:eastAsia="Calibri"/>
          <w:sz w:val="22"/>
          <w:szCs w:val="22"/>
          <w:lang w:val="sr-Latn-RS"/>
        </w:rPr>
        <w:t xml:space="preserve">u odnosu na monoterapiju kabozantinibom kod pacijenata sa uznapredovalim RCC-om (ALT se povećao za 3,6%, a AST se povećao za 3,3% u studiji METEOR). </w:t>
      </w:r>
      <w:r w:rsidRPr="00234ECD">
        <w:rPr>
          <w:iCs/>
          <w:sz w:val="22"/>
          <w:szCs w:val="22"/>
          <w:lang w:val="sr-Latn-RS"/>
        </w:rPr>
        <w:t xml:space="preserve">Medijana vremena </w:t>
      </w:r>
      <w:r w:rsidRPr="00234ECD">
        <w:rPr>
          <w:rFonts w:eastAsia="Calibri"/>
          <w:sz w:val="22"/>
          <w:szCs w:val="22"/>
          <w:lang w:val="sr-Latn-RS"/>
        </w:rPr>
        <w:t>do početka pojave porasta ALT-a ili AST-a &gt;2. stepena iznosila je 10,1 ned</w:t>
      </w:r>
      <w:r w:rsidR="00624FC4" w:rsidRPr="00234ECD">
        <w:rPr>
          <w:rFonts w:eastAsia="Calibri"/>
          <w:sz w:val="22"/>
          <w:szCs w:val="22"/>
          <w:lang w:val="sr-Latn-RS"/>
        </w:rPr>
        <w:t>j</w:t>
      </w:r>
      <w:r w:rsidRPr="00234ECD">
        <w:rPr>
          <w:rFonts w:eastAsia="Calibri"/>
          <w:sz w:val="22"/>
          <w:szCs w:val="22"/>
          <w:lang w:val="sr-Latn-RS"/>
        </w:rPr>
        <w:t>elju (raspon: 2 do 106,6 ned</w:t>
      </w:r>
      <w:r w:rsidR="00624FC4" w:rsidRPr="00234ECD">
        <w:rPr>
          <w:rFonts w:eastAsia="Calibri"/>
          <w:sz w:val="22"/>
          <w:szCs w:val="22"/>
          <w:lang w:val="sr-Latn-RS"/>
        </w:rPr>
        <w:t>j</w:t>
      </w:r>
      <w:r w:rsidRPr="00234ECD">
        <w:rPr>
          <w:rFonts w:eastAsia="Calibri"/>
          <w:sz w:val="22"/>
          <w:szCs w:val="22"/>
          <w:lang w:val="sr-Latn-RS"/>
        </w:rPr>
        <w:t xml:space="preserve">elja; n = 85). Kod pacijenata sa povišenim ALT ili AST ≥ 2. stepena, povećanje se povuklo na 0-1. stepen </w:t>
      </w:r>
      <w:r w:rsidR="001A2E58" w:rsidRPr="00234ECD">
        <w:rPr>
          <w:rFonts w:eastAsia="Calibri"/>
          <w:sz w:val="22"/>
          <w:szCs w:val="22"/>
          <w:lang w:val="sr-Latn-RS"/>
        </w:rPr>
        <w:t xml:space="preserve">kod </w:t>
      </w:r>
      <w:r w:rsidRPr="00234ECD">
        <w:rPr>
          <w:rFonts w:eastAsia="Calibri"/>
          <w:sz w:val="22"/>
          <w:szCs w:val="22"/>
          <w:lang w:val="sr-Latn-RS"/>
        </w:rPr>
        <w:t>91%</w:t>
      </w:r>
      <w:r w:rsidR="001A2E58" w:rsidRPr="00234ECD">
        <w:rPr>
          <w:rFonts w:eastAsia="Calibri"/>
          <w:sz w:val="22"/>
          <w:szCs w:val="22"/>
          <w:lang w:val="sr-Latn-RS"/>
        </w:rPr>
        <w:t xml:space="preserve"> pacijenata,</w:t>
      </w:r>
      <w:r w:rsidRPr="00234ECD">
        <w:rPr>
          <w:rFonts w:eastAsia="Calibri"/>
          <w:sz w:val="22"/>
          <w:szCs w:val="22"/>
          <w:lang w:val="sr-Latn-RS"/>
        </w:rPr>
        <w:t xml:space="preserve"> sa </w:t>
      </w:r>
      <w:r w:rsidRPr="00234ECD">
        <w:rPr>
          <w:iCs/>
          <w:sz w:val="22"/>
          <w:szCs w:val="22"/>
          <w:lang w:val="sr-Latn-RS"/>
        </w:rPr>
        <w:t>medijan</w:t>
      </w:r>
      <w:r w:rsidR="001A2E58" w:rsidRPr="00234ECD">
        <w:rPr>
          <w:iCs/>
          <w:sz w:val="22"/>
          <w:szCs w:val="22"/>
          <w:lang w:val="sr-Latn-RS"/>
        </w:rPr>
        <w:t>om</w:t>
      </w:r>
      <w:r w:rsidRPr="00234ECD">
        <w:rPr>
          <w:iCs/>
          <w:sz w:val="22"/>
          <w:szCs w:val="22"/>
          <w:lang w:val="sr-Latn-RS"/>
        </w:rPr>
        <w:t xml:space="preserve"> vremen</w:t>
      </w:r>
      <w:r w:rsidR="00A75802" w:rsidRPr="00234ECD">
        <w:rPr>
          <w:iCs/>
          <w:sz w:val="22"/>
          <w:szCs w:val="22"/>
          <w:lang w:val="sr-Latn-RS"/>
        </w:rPr>
        <w:t>a</w:t>
      </w:r>
      <w:r w:rsidRPr="00234ECD">
        <w:rPr>
          <w:iCs/>
          <w:sz w:val="22"/>
          <w:szCs w:val="22"/>
          <w:lang w:val="sr-Latn-RS"/>
        </w:rPr>
        <w:t xml:space="preserve"> </w:t>
      </w:r>
      <w:r w:rsidRPr="00234ECD">
        <w:rPr>
          <w:rFonts w:eastAsia="Calibri"/>
          <w:sz w:val="22"/>
          <w:szCs w:val="22"/>
          <w:lang w:val="sr-Latn-RS"/>
        </w:rPr>
        <w:t>do tog poboljšanja od 2,29 ned</w:t>
      </w:r>
      <w:r w:rsidR="00624FC4" w:rsidRPr="00234ECD">
        <w:rPr>
          <w:rFonts w:eastAsia="Calibri"/>
          <w:sz w:val="22"/>
          <w:szCs w:val="22"/>
          <w:lang w:val="sr-Latn-RS"/>
        </w:rPr>
        <w:t>j</w:t>
      </w:r>
      <w:r w:rsidRPr="00234ECD">
        <w:rPr>
          <w:rFonts w:eastAsia="Calibri"/>
          <w:sz w:val="22"/>
          <w:szCs w:val="22"/>
          <w:lang w:val="sr-Latn-RS"/>
        </w:rPr>
        <w:t>elja (raspon: 0,4 do 108,1 ned</w:t>
      </w:r>
      <w:r w:rsidR="00624FC4" w:rsidRPr="00234ECD">
        <w:rPr>
          <w:rFonts w:eastAsia="Calibri"/>
          <w:sz w:val="22"/>
          <w:szCs w:val="22"/>
          <w:lang w:val="sr-Latn-RS"/>
        </w:rPr>
        <w:t>j</w:t>
      </w:r>
      <w:r w:rsidRPr="00234ECD">
        <w:rPr>
          <w:rFonts w:eastAsia="Calibri"/>
          <w:sz w:val="22"/>
          <w:szCs w:val="22"/>
          <w:lang w:val="sr-Latn-RS"/>
        </w:rPr>
        <w:t xml:space="preserve">elju). </w:t>
      </w:r>
    </w:p>
    <w:p w14:paraId="54BF8772" w14:textId="2CA47CA7" w:rsidR="00D857AC" w:rsidRPr="00234ECD" w:rsidRDefault="00D857AC" w:rsidP="00D857AC">
      <w:pPr>
        <w:autoSpaceDE w:val="0"/>
        <w:autoSpaceDN w:val="0"/>
        <w:adjustRightInd w:val="0"/>
        <w:jc w:val="both"/>
        <w:rPr>
          <w:rFonts w:eastAsia="Calibri"/>
          <w:sz w:val="22"/>
          <w:szCs w:val="22"/>
          <w:lang w:val="sr-Latn-RS"/>
        </w:rPr>
      </w:pPr>
      <w:r w:rsidRPr="00234ECD">
        <w:rPr>
          <w:rFonts w:eastAsia="Calibri"/>
          <w:sz w:val="22"/>
          <w:szCs w:val="22"/>
          <w:lang w:val="sr-Latn-RS"/>
        </w:rPr>
        <w:t xml:space="preserve">Među 45 pacijenata sa povišenim ALT-a ili AST-a ≥ 2. </w:t>
      </w:r>
      <w:bookmarkStart w:id="8" w:name="_Hlk85451341"/>
      <w:r w:rsidRPr="00234ECD">
        <w:rPr>
          <w:rFonts w:eastAsia="Calibri"/>
          <w:sz w:val="22"/>
          <w:szCs w:val="22"/>
          <w:lang w:val="sr-Latn-RS"/>
        </w:rPr>
        <w:t>stepena</w:t>
      </w:r>
      <w:bookmarkEnd w:id="8"/>
      <w:r w:rsidRPr="00234ECD">
        <w:rPr>
          <w:rFonts w:eastAsia="Calibri"/>
          <w:sz w:val="22"/>
          <w:szCs w:val="22"/>
          <w:lang w:val="sr-Latn-RS"/>
        </w:rPr>
        <w:t xml:space="preserve"> koji su ponovno l</w:t>
      </w:r>
      <w:r w:rsidR="00624FC4" w:rsidRPr="00234ECD">
        <w:rPr>
          <w:rFonts w:eastAsia="Calibri"/>
          <w:sz w:val="22"/>
          <w:szCs w:val="22"/>
          <w:lang w:val="sr-Latn-RS"/>
        </w:rPr>
        <w:t>ij</w:t>
      </w:r>
      <w:r w:rsidRPr="00234ECD">
        <w:rPr>
          <w:rFonts w:eastAsia="Calibri"/>
          <w:sz w:val="22"/>
          <w:szCs w:val="22"/>
          <w:lang w:val="sr-Latn-RS"/>
        </w:rPr>
        <w:t xml:space="preserve">ečeni ili kabozantinibom (n = 10) ili nivolumabom (n = 10) ili njihovom kombinacijom (n = 25), ponovno je došlo do porasta ALT-a ili AST-a ≥2 stepena kod 4 pacijenta koji su primali kabozantinib, kod 3 pacijenta koji su primali nivolumab i kod 8 pacijenata koji su primali kabozantinib i nivolumab u kombinaciji. </w:t>
      </w:r>
    </w:p>
    <w:p w14:paraId="52BBFC33" w14:textId="77777777" w:rsidR="00D857AC" w:rsidRPr="00234ECD" w:rsidRDefault="00D857AC" w:rsidP="00D857AC">
      <w:pPr>
        <w:autoSpaceDE w:val="0"/>
        <w:autoSpaceDN w:val="0"/>
        <w:adjustRightInd w:val="0"/>
        <w:jc w:val="both"/>
        <w:rPr>
          <w:rFonts w:eastAsia="Calibri"/>
          <w:sz w:val="22"/>
          <w:szCs w:val="22"/>
          <w:lang w:val="sr-Latn-RS"/>
        </w:rPr>
      </w:pPr>
    </w:p>
    <w:p w14:paraId="10C71DED" w14:textId="77777777" w:rsidR="00D857AC" w:rsidRPr="00234ECD" w:rsidRDefault="00D857AC" w:rsidP="00D857AC">
      <w:pPr>
        <w:autoSpaceDE w:val="0"/>
        <w:autoSpaceDN w:val="0"/>
        <w:adjustRightInd w:val="0"/>
        <w:jc w:val="both"/>
        <w:rPr>
          <w:rFonts w:eastAsia="Calibri"/>
          <w:sz w:val="22"/>
          <w:szCs w:val="22"/>
          <w:u w:val="single"/>
          <w:lang w:val="sr-Latn-RS"/>
        </w:rPr>
      </w:pPr>
      <w:r w:rsidRPr="00234ECD">
        <w:rPr>
          <w:rFonts w:eastAsia="Calibri"/>
          <w:i/>
          <w:iCs/>
          <w:sz w:val="22"/>
          <w:szCs w:val="22"/>
          <w:u w:val="single"/>
          <w:lang w:val="sr-Latn-RS"/>
        </w:rPr>
        <w:t xml:space="preserve">Hipotireoza </w:t>
      </w:r>
    </w:p>
    <w:p w14:paraId="41D3C811" w14:textId="77777777" w:rsidR="00D857AC" w:rsidRPr="00234ECD" w:rsidRDefault="00D857AC" w:rsidP="00D857AC">
      <w:pPr>
        <w:autoSpaceDE w:val="0"/>
        <w:autoSpaceDN w:val="0"/>
        <w:adjustRightInd w:val="0"/>
        <w:jc w:val="both"/>
        <w:rPr>
          <w:rFonts w:eastAsia="Calibri"/>
          <w:sz w:val="22"/>
          <w:szCs w:val="22"/>
          <w:lang w:val="sr-Latn-RS"/>
        </w:rPr>
      </w:pPr>
      <w:r w:rsidRPr="00234ECD">
        <w:rPr>
          <w:rFonts w:eastAsia="Calibri"/>
          <w:sz w:val="22"/>
          <w:szCs w:val="22"/>
          <w:lang w:val="sr-Latn-RS"/>
        </w:rPr>
        <w:t xml:space="preserve">U ispitivanju kod RCC-a, nakon prethodne VEGF-ciljane terapije (METEOR), </w:t>
      </w:r>
      <w:bookmarkStart w:id="9" w:name="_Hlk85451590"/>
      <w:r w:rsidRPr="00234ECD">
        <w:rPr>
          <w:rFonts w:eastAsia="Calibri"/>
          <w:sz w:val="22"/>
          <w:szCs w:val="22"/>
          <w:lang w:val="sr-Latn-RS"/>
        </w:rPr>
        <w:t xml:space="preserve">incidenca </w:t>
      </w:r>
      <w:bookmarkEnd w:id="9"/>
      <w:r w:rsidRPr="00234ECD">
        <w:rPr>
          <w:rFonts w:eastAsia="Calibri"/>
          <w:sz w:val="22"/>
          <w:szCs w:val="22"/>
          <w:lang w:val="sr-Latn-RS"/>
        </w:rPr>
        <w:t xml:space="preserve">hipotireoze bila je 21% (68/331). </w:t>
      </w:r>
    </w:p>
    <w:p w14:paraId="74AF0C24" w14:textId="6FCABF18" w:rsidR="00D857AC" w:rsidRPr="00234ECD" w:rsidRDefault="00D857AC" w:rsidP="00D857AC">
      <w:pPr>
        <w:autoSpaceDE w:val="0"/>
        <w:autoSpaceDN w:val="0"/>
        <w:adjustRightInd w:val="0"/>
        <w:jc w:val="both"/>
        <w:rPr>
          <w:rFonts w:eastAsia="Calibri"/>
          <w:sz w:val="22"/>
          <w:szCs w:val="22"/>
          <w:lang w:val="sr-Latn-RS"/>
        </w:rPr>
      </w:pPr>
      <w:r w:rsidRPr="00234ECD">
        <w:rPr>
          <w:rFonts w:eastAsia="Calibri"/>
          <w:sz w:val="22"/>
          <w:szCs w:val="22"/>
          <w:lang w:val="sr-Latn-RS"/>
        </w:rPr>
        <w:t>U ispitivanju prethodno nel</w:t>
      </w:r>
      <w:r w:rsidR="00624FC4" w:rsidRPr="00234ECD">
        <w:rPr>
          <w:rFonts w:eastAsia="Calibri"/>
          <w:sz w:val="22"/>
          <w:szCs w:val="22"/>
          <w:lang w:val="sr-Latn-RS"/>
        </w:rPr>
        <w:t>ij</w:t>
      </w:r>
      <w:r w:rsidRPr="00234ECD">
        <w:rPr>
          <w:rFonts w:eastAsia="Calibri"/>
          <w:sz w:val="22"/>
          <w:szCs w:val="22"/>
          <w:lang w:val="sr-Latn-RS"/>
        </w:rPr>
        <w:t>ečenog RCC-a (CABOSUN), incidenca hipotireoze bila je 23% (18/78) kod pacijenata sa RCC-om l</w:t>
      </w:r>
      <w:r w:rsidR="00624FC4" w:rsidRPr="00234ECD">
        <w:rPr>
          <w:rFonts w:eastAsia="Calibri"/>
          <w:sz w:val="22"/>
          <w:szCs w:val="22"/>
          <w:lang w:val="sr-Latn-RS"/>
        </w:rPr>
        <w:t>ij</w:t>
      </w:r>
      <w:r w:rsidRPr="00234ECD">
        <w:rPr>
          <w:rFonts w:eastAsia="Calibri"/>
          <w:sz w:val="22"/>
          <w:szCs w:val="22"/>
          <w:lang w:val="sr-Latn-RS"/>
        </w:rPr>
        <w:t xml:space="preserve">ečenih kabozantinibom. </w:t>
      </w:r>
    </w:p>
    <w:p w14:paraId="7A71A45B" w14:textId="5C1D0883" w:rsidR="00D857AC" w:rsidRPr="00234ECD" w:rsidRDefault="00D857AC" w:rsidP="00D857AC">
      <w:pPr>
        <w:autoSpaceDE w:val="0"/>
        <w:autoSpaceDN w:val="0"/>
        <w:adjustRightInd w:val="0"/>
        <w:jc w:val="both"/>
        <w:rPr>
          <w:rFonts w:eastAsia="Calibri"/>
          <w:sz w:val="22"/>
          <w:szCs w:val="22"/>
          <w:lang w:val="sr-Latn-RS"/>
        </w:rPr>
      </w:pPr>
      <w:r w:rsidRPr="00234ECD">
        <w:rPr>
          <w:rFonts w:eastAsia="Calibri"/>
          <w:sz w:val="22"/>
          <w:szCs w:val="22"/>
          <w:lang w:val="sr-Latn-RS"/>
        </w:rPr>
        <w:t>U ispitivanju HCC-a (CELESTIAL) incidenca hipotireoze bila je 8,1% (38/467) pacijenata l</w:t>
      </w:r>
      <w:r w:rsidR="00624FC4" w:rsidRPr="00234ECD">
        <w:rPr>
          <w:rFonts w:eastAsia="Calibri"/>
          <w:sz w:val="22"/>
          <w:szCs w:val="22"/>
          <w:lang w:val="sr-Latn-RS"/>
        </w:rPr>
        <w:t>ij</w:t>
      </w:r>
      <w:r w:rsidRPr="00234ECD">
        <w:rPr>
          <w:rFonts w:eastAsia="Calibri"/>
          <w:sz w:val="22"/>
          <w:szCs w:val="22"/>
          <w:lang w:val="sr-Latn-RS"/>
        </w:rPr>
        <w:t xml:space="preserve">ečenih kabozantinibom, a događaji 3. stepena u 0,4% (2/467). </w:t>
      </w:r>
    </w:p>
    <w:p w14:paraId="32D979E6" w14:textId="335037A7" w:rsidR="00057385" w:rsidRPr="00234ECD" w:rsidRDefault="00057385" w:rsidP="00057385">
      <w:pPr>
        <w:jc w:val="both"/>
        <w:rPr>
          <w:rFonts w:eastAsiaTheme="minorHAnsi"/>
          <w:sz w:val="22"/>
          <w:szCs w:val="22"/>
          <w:lang w:val="sr-Latn-RS"/>
        </w:rPr>
      </w:pPr>
      <w:r w:rsidRPr="00234ECD">
        <w:rPr>
          <w:rFonts w:eastAsiaTheme="minorHAnsi"/>
          <w:sz w:val="22"/>
          <w:szCs w:val="22"/>
          <w:lang w:val="sr-Latn-RS"/>
        </w:rPr>
        <w:t>U ispitivanju DTC-a (COSMIC-311) incidenca hipotireoze bila je 2,4% (</w:t>
      </w:r>
      <w:r w:rsidR="00390458" w:rsidRPr="00234ECD">
        <w:rPr>
          <w:rFonts w:eastAsiaTheme="minorHAnsi"/>
          <w:sz w:val="22"/>
          <w:szCs w:val="22"/>
          <w:lang w:val="sr-Latn-RS"/>
        </w:rPr>
        <w:t>4</w:t>
      </w:r>
      <w:r w:rsidRPr="00234ECD">
        <w:rPr>
          <w:rFonts w:eastAsiaTheme="minorHAnsi"/>
          <w:sz w:val="22"/>
          <w:szCs w:val="22"/>
          <w:lang w:val="sr-Latn-RS"/>
        </w:rPr>
        <w:t>/1</w:t>
      </w:r>
      <w:r w:rsidR="00390458" w:rsidRPr="00234ECD">
        <w:rPr>
          <w:rFonts w:eastAsiaTheme="minorHAnsi"/>
          <w:sz w:val="22"/>
          <w:szCs w:val="22"/>
          <w:lang w:val="sr-Latn-RS"/>
        </w:rPr>
        <w:t>70</w:t>
      </w:r>
      <w:r w:rsidRPr="00234ECD">
        <w:rPr>
          <w:rFonts w:eastAsiaTheme="minorHAnsi"/>
          <w:sz w:val="22"/>
          <w:szCs w:val="22"/>
          <w:lang w:val="sr-Latn-RS"/>
        </w:rPr>
        <w:t xml:space="preserve">), svi slučajevi 1. i 2. stepena, </w:t>
      </w:r>
      <w:r w:rsidR="00242A9A" w:rsidRPr="00234ECD">
        <w:rPr>
          <w:rFonts w:eastAsiaTheme="minorHAnsi"/>
          <w:sz w:val="22"/>
          <w:szCs w:val="22"/>
          <w:lang w:val="sr-Latn-RS"/>
        </w:rPr>
        <w:t xml:space="preserve">ni jedan nije </w:t>
      </w:r>
      <w:r w:rsidRPr="00234ECD">
        <w:rPr>
          <w:rFonts w:eastAsiaTheme="minorHAnsi"/>
          <w:sz w:val="22"/>
          <w:szCs w:val="22"/>
          <w:lang w:val="sr-Latn-RS"/>
        </w:rPr>
        <w:t>zaht</w:t>
      </w:r>
      <w:r w:rsidR="00CB0AEA" w:rsidRPr="00234ECD">
        <w:rPr>
          <w:rFonts w:eastAsiaTheme="minorHAnsi"/>
          <w:sz w:val="22"/>
          <w:szCs w:val="22"/>
          <w:lang w:val="sr-Latn-RS"/>
        </w:rPr>
        <w:t>ij</w:t>
      </w:r>
      <w:r w:rsidRPr="00234ECD">
        <w:rPr>
          <w:rFonts w:eastAsiaTheme="minorHAnsi"/>
          <w:sz w:val="22"/>
          <w:szCs w:val="22"/>
          <w:lang w:val="sr-Latn-RS"/>
        </w:rPr>
        <w:t>eva</w:t>
      </w:r>
      <w:r w:rsidR="00242A9A" w:rsidRPr="00234ECD">
        <w:rPr>
          <w:rFonts w:eastAsiaTheme="minorHAnsi"/>
          <w:sz w:val="22"/>
          <w:szCs w:val="22"/>
          <w:lang w:val="sr-Latn-RS"/>
        </w:rPr>
        <w:t>o</w:t>
      </w:r>
      <w:r w:rsidRPr="00234ECD">
        <w:rPr>
          <w:rFonts w:eastAsiaTheme="minorHAnsi"/>
          <w:sz w:val="22"/>
          <w:szCs w:val="22"/>
          <w:lang w:val="sr-Latn-RS"/>
        </w:rPr>
        <w:t xml:space="preserve"> prilagođavanje terapije.</w:t>
      </w:r>
    </w:p>
    <w:p w14:paraId="74BB2AD2" w14:textId="05743B62" w:rsidR="00D857AC" w:rsidRPr="00234ECD" w:rsidRDefault="00D857AC" w:rsidP="00D857AC">
      <w:pPr>
        <w:jc w:val="both"/>
        <w:rPr>
          <w:rFonts w:eastAsia="Calibri"/>
          <w:sz w:val="22"/>
          <w:szCs w:val="22"/>
          <w:lang w:val="sr-Latn-RS"/>
        </w:rPr>
      </w:pPr>
      <w:r w:rsidRPr="00234ECD">
        <w:rPr>
          <w:rFonts w:eastAsia="Calibri"/>
          <w:sz w:val="22"/>
          <w:szCs w:val="22"/>
          <w:lang w:val="sr-Latn-RS"/>
        </w:rPr>
        <w:t>U kombinaciji sa nivolumabom, u prvoj liniji l</w:t>
      </w:r>
      <w:r w:rsidR="00624FC4" w:rsidRPr="00234ECD">
        <w:rPr>
          <w:rFonts w:eastAsia="Calibri"/>
          <w:sz w:val="22"/>
          <w:szCs w:val="22"/>
          <w:lang w:val="sr-Latn-RS"/>
        </w:rPr>
        <w:t>ij</w:t>
      </w:r>
      <w:r w:rsidRPr="00234ECD">
        <w:rPr>
          <w:rFonts w:eastAsia="Calibri"/>
          <w:sz w:val="22"/>
          <w:szCs w:val="22"/>
          <w:lang w:val="sr-Latn-RS"/>
        </w:rPr>
        <w:t>ečenja uznapredovalog RCC-a (CA2099ER) incidenca hipotireoze bila je 35,6% (114/320).</w:t>
      </w:r>
    </w:p>
    <w:p w14:paraId="23905EAA" w14:textId="77777777" w:rsidR="004E70AD" w:rsidRPr="00234ECD" w:rsidRDefault="004E70AD" w:rsidP="00480FB1">
      <w:pPr>
        <w:tabs>
          <w:tab w:val="left" w:pos="540"/>
          <w:tab w:val="left" w:pos="569"/>
        </w:tabs>
        <w:rPr>
          <w:b/>
          <w:bCs/>
          <w:sz w:val="22"/>
          <w:szCs w:val="22"/>
          <w:lang w:val="sr-Latn-RS"/>
        </w:rPr>
      </w:pPr>
    </w:p>
    <w:p w14:paraId="34124B90" w14:textId="69A54A59" w:rsidR="00E712A0" w:rsidRPr="00234ECD" w:rsidRDefault="00E712A0" w:rsidP="00E712A0">
      <w:pPr>
        <w:jc w:val="both"/>
        <w:rPr>
          <w:rFonts w:eastAsiaTheme="minorHAnsi"/>
          <w:i/>
          <w:iCs/>
          <w:sz w:val="22"/>
          <w:szCs w:val="22"/>
          <w:u w:val="single"/>
          <w:lang w:val="sr-Latn-RS"/>
        </w:rPr>
      </w:pPr>
      <w:r w:rsidRPr="00234ECD">
        <w:rPr>
          <w:rFonts w:eastAsiaTheme="minorHAnsi"/>
          <w:i/>
          <w:iCs/>
          <w:sz w:val="22"/>
          <w:szCs w:val="22"/>
          <w:u w:val="single"/>
          <w:lang w:val="sr-Latn-RS"/>
        </w:rPr>
        <w:t>Pedijatrijska populacija (vid</w:t>
      </w:r>
      <w:r w:rsidR="008A68CB" w:rsidRPr="00234ECD">
        <w:rPr>
          <w:rFonts w:eastAsiaTheme="minorHAnsi"/>
          <w:i/>
          <w:iCs/>
          <w:sz w:val="22"/>
          <w:szCs w:val="22"/>
          <w:u w:val="single"/>
          <w:lang w:val="sr-Latn-RS"/>
        </w:rPr>
        <w:t>j</w:t>
      </w:r>
      <w:r w:rsidRPr="00234ECD">
        <w:rPr>
          <w:rFonts w:eastAsiaTheme="minorHAnsi"/>
          <w:i/>
          <w:iCs/>
          <w:sz w:val="22"/>
          <w:szCs w:val="22"/>
          <w:u w:val="single"/>
          <w:lang w:val="sr-Latn-RS"/>
        </w:rPr>
        <w:t xml:space="preserve">eti </w:t>
      </w:r>
      <w:r w:rsidR="00B149AC" w:rsidRPr="00234ECD">
        <w:rPr>
          <w:rFonts w:eastAsiaTheme="minorHAnsi"/>
          <w:i/>
          <w:iCs/>
          <w:sz w:val="22"/>
          <w:szCs w:val="22"/>
          <w:u w:val="single"/>
          <w:lang w:val="sr-Latn-RS"/>
        </w:rPr>
        <w:t xml:space="preserve">dio </w:t>
      </w:r>
      <w:r w:rsidRPr="00234ECD">
        <w:rPr>
          <w:rFonts w:eastAsiaTheme="minorHAnsi"/>
          <w:i/>
          <w:iCs/>
          <w:sz w:val="22"/>
          <w:szCs w:val="22"/>
          <w:u w:val="single"/>
          <w:lang w:val="sr-Latn-RS"/>
        </w:rPr>
        <w:t>5.1)</w:t>
      </w:r>
    </w:p>
    <w:p w14:paraId="3CE9A12A" w14:textId="4C7CFAB3" w:rsidR="00E712A0" w:rsidRPr="00234ECD" w:rsidRDefault="00E712A0" w:rsidP="00E712A0">
      <w:pPr>
        <w:jc w:val="both"/>
        <w:rPr>
          <w:rFonts w:eastAsiaTheme="minorHAnsi"/>
          <w:sz w:val="22"/>
          <w:szCs w:val="22"/>
          <w:lang w:val="sr-Latn-RS"/>
        </w:rPr>
      </w:pPr>
      <w:r w:rsidRPr="00234ECD">
        <w:rPr>
          <w:rFonts w:eastAsiaTheme="minorHAnsi"/>
          <w:sz w:val="22"/>
          <w:szCs w:val="22"/>
          <w:lang w:val="sr-Latn-RS"/>
        </w:rPr>
        <w:t xml:space="preserve">U studiji ADVL1211, ograničena ispitivanja </w:t>
      </w:r>
      <w:r w:rsidR="00B149AC" w:rsidRPr="00234ECD">
        <w:rPr>
          <w:rFonts w:eastAsiaTheme="minorHAnsi"/>
          <w:sz w:val="22"/>
          <w:szCs w:val="22"/>
          <w:lang w:val="sr-Latn-RS"/>
        </w:rPr>
        <w:t>postupnog povećavanja (</w:t>
      </w:r>
      <w:r w:rsidRPr="00234ECD">
        <w:rPr>
          <w:rFonts w:eastAsiaTheme="minorHAnsi"/>
          <w:sz w:val="22"/>
          <w:szCs w:val="22"/>
          <w:lang w:val="sr-Latn-RS"/>
        </w:rPr>
        <w:t>eskalacije</w:t>
      </w:r>
      <w:r w:rsidR="00B149AC" w:rsidRPr="00234ECD">
        <w:rPr>
          <w:rFonts w:eastAsiaTheme="minorHAnsi"/>
          <w:sz w:val="22"/>
          <w:szCs w:val="22"/>
          <w:lang w:val="sr-Latn-RS"/>
        </w:rPr>
        <w:t>)</w:t>
      </w:r>
      <w:r w:rsidRPr="00234ECD">
        <w:rPr>
          <w:rFonts w:eastAsiaTheme="minorHAnsi"/>
          <w:sz w:val="22"/>
          <w:szCs w:val="22"/>
          <w:lang w:val="sr-Latn-RS"/>
        </w:rPr>
        <w:t xml:space="preserve"> doze kabozantiniba kod pedijatrijskih pacijenata i adolescenata sa rekurentnim ili refraktornim čvrstim tumorima uključujući i CNS tumore, sl</w:t>
      </w:r>
      <w:r w:rsidR="003F4D84" w:rsidRPr="00234ECD">
        <w:rPr>
          <w:rFonts w:eastAsiaTheme="minorHAnsi"/>
          <w:sz w:val="22"/>
          <w:szCs w:val="22"/>
          <w:lang w:val="sr-Latn-RS"/>
        </w:rPr>
        <w:t>je</w:t>
      </w:r>
      <w:r w:rsidRPr="00234ECD">
        <w:rPr>
          <w:rFonts w:eastAsiaTheme="minorHAnsi"/>
          <w:sz w:val="22"/>
          <w:szCs w:val="22"/>
          <w:lang w:val="sr-Latn-RS"/>
        </w:rPr>
        <w:t xml:space="preserve">deći događaji: povećan nivo aspartat aminotransferaze (AST) (veoma često, 76,9%), </w:t>
      </w:r>
      <w:r w:rsidR="003F4D84" w:rsidRPr="00234ECD">
        <w:rPr>
          <w:rFonts w:eastAsiaTheme="minorHAnsi"/>
          <w:sz w:val="22"/>
          <w:szCs w:val="22"/>
          <w:lang w:val="sr-Latn-RS"/>
        </w:rPr>
        <w:t xml:space="preserve">povećan nivo </w:t>
      </w:r>
      <w:r w:rsidRPr="00234ECD">
        <w:rPr>
          <w:rFonts w:eastAsiaTheme="minorHAnsi"/>
          <w:sz w:val="22"/>
          <w:szCs w:val="22"/>
          <w:lang w:val="sr-Latn-RS"/>
        </w:rPr>
        <w:t>alanin aminotransferaz</w:t>
      </w:r>
      <w:r w:rsidR="003F4D84" w:rsidRPr="00234ECD">
        <w:rPr>
          <w:rFonts w:eastAsiaTheme="minorHAnsi"/>
          <w:sz w:val="22"/>
          <w:szCs w:val="22"/>
          <w:lang w:val="sr-Latn-RS"/>
        </w:rPr>
        <w:t>e</w:t>
      </w:r>
      <w:r w:rsidRPr="00234ECD">
        <w:rPr>
          <w:rFonts w:eastAsiaTheme="minorHAnsi"/>
          <w:sz w:val="22"/>
          <w:szCs w:val="22"/>
          <w:lang w:val="sr-Latn-RS"/>
        </w:rPr>
        <w:t xml:space="preserve"> (ALT) (veoma često, 71,8%), smanjen broj limfocita (veoma često, 48,7%), smanjen broj neutrofila (veoma često, 35,9%) i povećan nivo lipaze (veoma često, 33,3%) su prim</w:t>
      </w:r>
      <w:r w:rsidR="003F4D84" w:rsidRPr="00234ECD">
        <w:rPr>
          <w:rFonts w:eastAsiaTheme="minorHAnsi"/>
          <w:sz w:val="22"/>
          <w:szCs w:val="22"/>
          <w:lang w:val="sr-Latn-RS"/>
        </w:rPr>
        <w:t>ij</w:t>
      </w:r>
      <w:r w:rsidRPr="00234ECD">
        <w:rPr>
          <w:rFonts w:eastAsiaTheme="minorHAnsi"/>
          <w:sz w:val="22"/>
          <w:szCs w:val="22"/>
          <w:lang w:val="sr-Latn-RS"/>
        </w:rPr>
        <w:t>ećeni sa većom učestalošću kod svih ispitanika u svim doznim grupama uključenim u bezb</w:t>
      </w:r>
      <w:r w:rsidR="00945856" w:rsidRPr="00234ECD">
        <w:rPr>
          <w:rFonts w:eastAsiaTheme="minorHAnsi"/>
          <w:sz w:val="22"/>
          <w:szCs w:val="22"/>
          <w:lang w:val="sr-Latn-RS"/>
        </w:rPr>
        <w:t>j</w:t>
      </w:r>
      <w:r w:rsidRPr="00234ECD">
        <w:rPr>
          <w:rFonts w:eastAsiaTheme="minorHAnsi"/>
          <w:sz w:val="22"/>
          <w:szCs w:val="22"/>
          <w:lang w:val="sr-Latn-RS"/>
        </w:rPr>
        <w:t xml:space="preserve">ednosnu populaciju (N=39), u poređenju sa odraslima. Povećane stope za ove Preferirane </w:t>
      </w:r>
      <w:r w:rsidR="00396989" w:rsidRPr="00234ECD">
        <w:rPr>
          <w:rFonts w:eastAsiaTheme="minorHAnsi"/>
          <w:sz w:val="22"/>
          <w:szCs w:val="22"/>
          <w:lang w:val="sr-Latn-RS"/>
        </w:rPr>
        <w:t>pojmove</w:t>
      </w:r>
      <w:r w:rsidRPr="00234ECD">
        <w:rPr>
          <w:rFonts w:eastAsiaTheme="minorHAnsi"/>
          <w:sz w:val="22"/>
          <w:szCs w:val="22"/>
          <w:lang w:val="sr-Latn-RS"/>
        </w:rPr>
        <w:t xml:space="preserve"> (</w:t>
      </w:r>
      <w:r w:rsidR="00700210" w:rsidRPr="00234ECD">
        <w:rPr>
          <w:rFonts w:eastAsiaTheme="minorHAnsi"/>
          <w:sz w:val="22"/>
          <w:szCs w:val="22"/>
          <w:lang w:val="sr-Latn-RS"/>
        </w:rPr>
        <w:t xml:space="preserve">engl. </w:t>
      </w:r>
      <w:r w:rsidRPr="00234ECD">
        <w:rPr>
          <w:i/>
          <w:iCs/>
          <w:sz w:val="22"/>
          <w:szCs w:val="22"/>
          <w:lang w:val="sr-Latn-RS"/>
        </w:rPr>
        <w:t>Preferred Terms</w:t>
      </w:r>
      <w:r w:rsidRPr="00234ECD">
        <w:rPr>
          <w:sz w:val="22"/>
          <w:szCs w:val="22"/>
          <w:lang w:val="sr-Latn-RS"/>
        </w:rPr>
        <w:t xml:space="preserve">, </w:t>
      </w:r>
      <w:r w:rsidRPr="00234ECD">
        <w:rPr>
          <w:rFonts w:eastAsiaTheme="minorHAnsi"/>
          <w:sz w:val="22"/>
          <w:szCs w:val="22"/>
          <w:lang w:val="sr-Latn-RS"/>
        </w:rPr>
        <w:t>PTs) odnose se na bilo koj</w:t>
      </w:r>
      <w:r w:rsidR="002776B1" w:rsidRPr="00234ECD">
        <w:rPr>
          <w:rFonts w:eastAsiaTheme="minorHAnsi"/>
          <w:sz w:val="22"/>
          <w:szCs w:val="22"/>
          <w:lang w:val="sr-Latn-RS"/>
        </w:rPr>
        <w:t>i stepen</w:t>
      </w:r>
      <w:r w:rsidRPr="00234ECD">
        <w:rPr>
          <w:rFonts w:eastAsiaTheme="minorHAnsi"/>
          <w:sz w:val="22"/>
          <w:szCs w:val="22"/>
          <w:lang w:val="sr-Latn-RS"/>
        </w:rPr>
        <w:t xml:space="preserve">, kao i na </w:t>
      </w:r>
      <w:r w:rsidR="004D70F3" w:rsidRPr="00234ECD">
        <w:rPr>
          <w:rFonts w:eastAsiaTheme="minorHAnsi"/>
          <w:sz w:val="22"/>
          <w:szCs w:val="22"/>
          <w:lang w:val="sr-Latn-RS"/>
        </w:rPr>
        <w:t>stepen</w:t>
      </w:r>
      <w:r w:rsidRPr="00234ECD">
        <w:rPr>
          <w:rFonts w:eastAsiaTheme="minorHAnsi"/>
          <w:sz w:val="22"/>
          <w:szCs w:val="22"/>
          <w:lang w:val="sr-Latn-RS"/>
        </w:rPr>
        <w:t xml:space="preserve"> 3/4 ovih neželjenih dejstava. Prijavljeni neželjeni događaji su kvalitativno u skladu sa priznatim bezb</w:t>
      </w:r>
      <w:r w:rsidR="00945856" w:rsidRPr="00234ECD">
        <w:rPr>
          <w:rFonts w:eastAsiaTheme="minorHAnsi"/>
          <w:sz w:val="22"/>
          <w:szCs w:val="22"/>
          <w:lang w:val="sr-Latn-RS"/>
        </w:rPr>
        <w:t>j</w:t>
      </w:r>
      <w:r w:rsidRPr="00234ECD">
        <w:rPr>
          <w:rFonts w:eastAsiaTheme="minorHAnsi"/>
          <w:sz w:val="22"/>
          <w:szCs w:val="22"/>
          <w:lang w:val="sr-Latn-RS"/>
        </w:rPr>
        <w:t>ednosnim profilom za kabozantinib u odrasloj populaciji. Međutim, mali broj ispitanika onemogućava konačnu proc</w:t>
      </w:r>
      <w:r w:rsidR="00CA2E10" w:rsidRPr="00234ECD">
        <w:rPr>
          <w:rFonts w:eastAsiaTheme="minorHAnsi"/>
          <w:sz w:val="22"/>
          <w:szCs w:val="22"/>
          <w:lang w:val="sr-Latn-RS"/>
        </w:rPr>
        <w:t>j</w:t>
      </w:r>
      <w:r w:rsidRPr="00234ECD">
        <w:rPr>
          <w:rFonts w:eastAsiaTheme="minorHAnsi"/>
          <w:sz w:val="22"/>
          <w:szCs w:val="22"/>
          <w:lang w:val="sr-Latn-RS"/>
        </w:rPr>
        <w:t>enu trendova i učestalosti i dalje poređenje sa priznatim bezb</w:t>
      </w:r>
      <w:r w:rsidR="00CA2E10" w:rsidRPr="00234ECD">
        <w:rPr>
          <w:rFonts w:eastAsiaTheme="minorHAnsi"/>
          <w:sz w:val="22"/>
          <w:szCs w:val="22"/>
          <w:lang w:val="sr-Latn-RS"/>
        </w:rPr>
        <w:t>j</w:t>
      </w:r>
      <w:r w:rsidRPr="00234ECD">
        <w:rPr>
          <w:rFonts w:eastAsiaTheme="minorHAnsi"/>
          <w:sz w:val="22"/>
          <w:szCs w:val="22"/>
          <w:lang w:val="sr-Latn-RS"/>
        </w:rPr>
        <w:t>ednosnim profilom kabozantiniba.</w:t>
      </w:r>
    </w:p>
    <w:p w14:paraId="69D89788" w14:textId="77777777" w:rsidR="00E712A0" w:rsidRPr="00234ECD" w:rsidRDefault="00E712A0" w:rsidP="00E712A0">
      <w:pPr>
        <w:jc w:val="both"/>
        <w:rPr>
          <w:rFonts w:eastAsiaTheme="minorHAnsi"/>
          <w:sz w:val="22"/>
          <w:szCs w:val="22"/>
          <w:lang w:val="sr-Latn-RS"/>
        </w:rPr>
      </w:pPr>
    </w:p>
    <w:p w14:paraId="6EEC430C" w14:textId="0AAA6692" w:rsidR="00215282" w:rsidRPr="00234ECD" w:rsidRDefault="00215282" w:rsidP="00215282">
      <w:pPr>
        <w:jc w:val="both"/>
        <w:rPr>
          <w:rFonts w:eastAsiaTheme="minorHAnsi"/>
          <w:sz w:val="22"/>
          <w:szCs w:val="22"/>
          <w:lang w:val="sr-Latn-RS"/>
        </w:rPr>
      </w:pPr>
      <w:r w:rsidRPr="00234ECD">
        <w:rPr>
          <w:rFonts w:eastAsiaTheme="minorHAnsi"/>
          <w:sz w:val="22"/>
          <w:szCs w:val="22"/>
          <w:lang w:val="sr-Latn-RS"/>
        </w:rPr>
        <w:lastRenderedPageBreak/>
        <w:t xml:space="preserve">U studiji ADVL1622 ispitivanja </w:t>
      </w:r>
      <w:r w:rsidR="0011658B" w:rsidRPr="00234ECD">
        <w:rPr>
          <w:rFonts w:eastAsiaTheme="minorHAnsi"/>
          <w:sz w:val="22"/>
          <w:szCs w:val="22"/>
          <w:lang w:val="sr-Latn-RS"/>
        </w:rPr>
        <w:t>primjene</w:t>
      </w:r>
      <w:r w:rsidRPr="00234ECD">
        <w:rPr>
          <w:rFonts w:eastAsiaTheme="minorHAnsi"/>
          <w:sz w:val="22"/>
          <w:szCs w:val="22"/>
          <w:lang w:val="sr-Latn-RS"/>
        </w:rPr>
        <w:t xml:space="preserve"> kabozantiniba kod djece i mladih odraslih </w:t>
      </w:r>
      <w:r w:rsidR="0011658B" w:rsidRPr="00234ECD">
        <w:rPr>
          <w:rFonts w:eastAsiaTheme="minorHAnsi"/>
          <w:sz w:val="22"/>
          <w:szCs w:val="22"/>
          <w:lang w:val="sr-Latn-RS"/>
        </w:rPr>
        <w:t xml:space="preserve">osoba </w:t>
      </w:r>
      <w:r w:rsidRPr="00234ECD">
        <w:rPr>
          <w:rFonts w:eastAsiaTheme="minorHAnsi"/>
          <w:sz w:val="22"/>
          <w:szCs w:val="22"/>
          <w:lang w:val="sr-Latn-RS"/>
        </w:rPr>
        <w:t xml:space="preserve">sa sljedećim </w:t>
      </w:r>
      <w:r w:rsidR="00981A2C" w:rsidRPr="00234ECD">
        <w:rPr>
          <w:rFonts w:eastAsiaTheme="minorHAnsi"/>
          <w:sz w:val="22"/>
          <w:szCs w:val="22"/>
          <w:lang w:val="sr-Latn-RS"/>
        </w:rPr>
        <w:t>s</w:t>
      </w:r>
      <w:r w:rsidR="0011658B" w:rsidRPr="00234ECD">
        <w:rPr>
          <w:rFonts w:eastAsiaTheme="minorHAnsi"/>
          <w:sz w:val="22"/>
          <w:szCs w:val="22"/>
          <w:lang w:val="sr-Latn-RS"/>
        </w:rPr>
        <w:t>tratumima</w:t>
      </w:r>
      <w:r w:rsidRPr="00234ECD">
        <w:rPr>
          <w:rFonts w:eastAsiaTheme="minorHAnsi"/>
          <w:sz w:val="22"/>
          <w:szCs w:val="22"/>
          <w:lang w:val="sr-Latn-RS"/>
        </w:rPr>
        <w:t xml:space="preserve"> solidnih tumora: </w:t>
      </w:r>
      <w:r w:rsidRPr="00234ECD">
        <w:rPr>
          <w:i/>
          <w:iCs/>
          <w:sz w:val="22"/>
          <w:szCs w:val="22"/>
          <w:lang w:val="sr-Latn-RS"/>
        </w:rPr>
        <w:t>Ewing</w:t>
      </w:r>
      <w:r w:rsidRPr="00234ECD">
        <w:rPr>
          <w:sz w:val="22"/>
          <w:szCs w:val="22"/>
          <w:lang w:val="sr-Latn-RS"/>
        </w:rPr>
        <w:t>-ov</w:t>
      </w:r>
      <w:r w:rsidRPr="00234ECD">
        <w:rPr>
          <w:rFonts w:eastAsiaTheme="minorHAnsi"/>
          <w:sz w:val="22"/>
          <w:szCs w:val="22"/>
          <w:lang w:val="sr-Latn-RS"/>
        </w:rPr>
        <w:t xml:space="preserve"> sarkom, rabdomiosarkom, nerabdomiosarkomski sarkomi mekog tkiva (</w:t>
      </w:r>
      <w:r w:rsidR="00700210" w:rsidRPr="00234ECD">
        <w:rPr>
          <w:rFonts w:eastAsiaTheme="minorHAnsi"/>
          <w:sz w:val="22"/>
          <w:szCs w:val="22"/>
          <w:lang w:val="sr-Latn-RS"/>
        </w:rPr>
        <w:t xml:space="preserve">engl. </w:t>
      </w:r>
      <w:r w:rsidR="00686967" w:rsidRPr="00234ECD">
        <w:rPr>
          <w:rFonts w:eastAsiaTheme="minorHAnsi"/>
          <w:i/>
          <w:iCs/>
          <w:sz w:val="22"/>
          <w:szCs w:val="22"/>
          <w:lang w:val="sr-Latn-RS"/>
        </w:rPr>
        <w:t>n</w:t>
      </w:r>
      <w:r w:rsidRPr="00234ECD">
        <w:rPr>
          <w:rFonts w:eastAsiaTheme="minorHAnsi"/>
          <w:i/>
          <w:iCs/>
          <w:sz w:val="22"/>
          <w:szCs w:val="22"/>
          <w:lang w:val="sr-Latn-RS"/>
        </w:rPr>
        <w:t>on-rhabdomyosarcoma soft tissue sarcomas</w:t>
      </w:r>
      <w:r w:rsidRPr="00234ECD">
        <w:rPr>
          <w:rFonts w:eastAsiaTheme="minorHAnsi"/>
          <w:sz w:val="22"/>
          <w:szCs w:val="22"/>
          <w:lang w:val="sr-Latn-RS"/>
        </w:rPr>
        <w:t xml:space="preserve">, NRTSS), osteosarkom, </w:t>
      </w:r>
      <w:r w:rsidR="00414E5E" w:rsidRPr="00234ECD">
        <w:rPr>
          <w:rFonts w:eastAsiaTheme="minorHAnsi"/>
          <w:i/>
          <w:iCs/>
          <w:sz w:val="22"/>
          <w:szCs w:val="22"/>
          <w:lang w:val="sr-Latn-RS"/>
        </w:rPr>
        <w:t>W</w:t>
      </w:r>
      <w:r w:rsidRPr="00234ECD">
        <w:rPr>
          <w:rFonts w:eastAsiaTheme="minorHAnsi"/>
          <w:i/>
          <w:iCs/>
          <w:sz w:val="22"/>
          <w:szCs w:val="22"/>
          <w:lang w:val="sr-Latn-RS"/>
        </w:rPr>
        <w:t>ilms</w:t>
      </w:r>
      <w:r w:rsidRPr="00234ECD">
        <w:rPr>
          <w:rFonts w:eastAsiaTheme="minorHAnsi"/>
          <w:sz w:val="22"/>
          <w:szCs w:val="22"/>
          <w:lang w:val="sr-Latn-RS"/>
        </w:rPr>
        <w:t>-ov tumor i drugi r</w:t>
      </w:r>
      <w:r w:rsidR="0006018D" w:rsidRPr="00234ECD">
        <w:rPr>
          <w:rFonts w:eastAsiaTheme="minorHAnsi"/>
          <w:sz w:val="22"/>
          <w:szCs w:val="22"/>
          <w:lang w:val="sr-Latn-RS"/>
        </w:rPr>
        <w:t>ij</w:t>
      </w:r>
      <w:r w:rsidRPr="00234ECD">
        <w:rPr>
          <w:rFonts w:eastAsiaTheme="minorHAnsi"/>
          <w:sz w:val="22"/>
          <w:szCs w:val="22"/>
          <w:lang w:val="sr-Latn-RS"/>
        </w:rPr>
        <w:t>etki solidni tumori (nestatističk</w:t>
      </w:r>
      <w:r w:rsidR="00D7229D" w:rsidRPr="00234ECD">
        <w:rPr>
          <w:rFonts w:eastAsiaTheme="minorHAnsi"/>
          <w:sz w:val="22"/>
          <w:szCs w:val="22"/>
          <w:lang w:val="sr-Latn-RS"/>
        </w:rPr>
        <w:t>a kohorta</w:t>
      </w:r>
      <w:r w:rsidRPr="00234ECD">
        <w:rPr>
          <w:rFonts w:eastAsiaTheme="minorHAnsi"/>
          <w:sz w:val="22"/>
          <w:szCs w:val="22"/>
          <w:lang w:val="sr-Latn-RS"/>
        </w:rPr>
        <w:t>), bezb</w:t>
      </w:r>
      <w:r w:rsidR="0006018D" w:rsidRPr="00234ECD">
        <w:rPr>
          <w:rFonts w:eastAsiaTheme="minorHAnsi"/>
          <w:sz w:val="22"/>
          <w:szCs w:val="22"/>
          <w:lang w:val="sr-Latn-RS"/>
        </w:rPr>
        <w:t>j</w:t>
      </w:r>
      <w:r w:rsidRPr="00234ECD">
        <w:rPr>
          <w:rFonts w:eastAsiaTheme="minorHAnsi"/>
          <w:sz w:val="22"/>
          <w:szCs w:val="22"/>
          <w:lang w:val="sr-Latn-RS"/>
        </w:rPr>
        <w:t>ednosni profil</w:t>
      </w:r>
      <w:r w:rsidR="00223593" w:rsidRPr="00234ECD">
        <w:rPr>
          <w:rFonts w:eastAsiaTheme="minorHAnsi"/>
          <w:sz w:val="22"/>
          <w:szCs w:val="22"/>
          <w:lang w:val="sr-Latn-RS"/>
        </w:rPr>
        <w:t xml:space="preserve"> kod djece </w:t>
      </w:r>
      <w:r w:rsidR="00DA25D3" w:rsidRPr="00234ECD">
        <w:rPr>
          <w:rFonts w:eastAsiaTheme="minorHAnsi"/>
          <w:sz w:val="22"/>
          <w:szCs w:val="22"/>
          <w:lang w:val="sr-Latn-RS"/>
        </w:rPr>
        <w:t>i</w:t>
      </w:r>
      <w:r w:rsidR="00223593" w:rsidRPr="00234ECD">
        <w:rPr>
          <w:rFonts w:eastAsiaTheme="minorHAnsi"/>
          <w:sz w:val="22"/>
          <w:szCs w:val="22"/>
          <w:lang w:val="sr-Latn-RS"/>
        </w:rPr>
        <w:t xml:space="preserve"> mladih </w:t>
      </w:r>
      <w:r w:rsidR="00DA25D3" w:rsidRPr="00234ECD">
        <w:rPr>
          <w:rFonts w:eastAsiaTheme="minorHAnsi"/>
          <w:sz w:val="22"/>
          <w:szCs w:val="22"/>
          <w:lang w:val="sr-Latn-RS"/>
        </w:rPr>
        <w:t>odraslih osoba liječenih</w:t>
      </w:r>
      <w:r w:rsidRPr="00234ECD">
        <w:rPr>
          <w:rFonts w:eastAsiaTheme="minorHAnsi"/>
          <w:sz w:val="22"/>
          <w:szCs w:val="22"/>
          <w:lang w:val="sr-Latn-RS"/>
        </w:rPr>
        <w:t xml:space="preserve"> kabozantinib</w:t>
      </w:r>
      <w:r w:rsidR="00DA25D3" w:rsidRPr="00234ECD">
        <w:rPr>
          <w:rFonts w:eastAsiaTheme="minorHAnsi"/>
          <w:sz w:val="22"/>
          <w:szCs w:val="22"/>
          <w:lang w:val="sr-Latn-RS"/>
        </w:rPr>
        <w:t>om</w:t>
      </w:r>
      <w:r w:rsidRPr="00234ECD">
        <w:rPr>
          <w:rFonts w:eastAsiaTheme="minorHAnsi"/>
          <w:sz w:val="22"/>
          <w:szCs w:val="22"/>
          <w:lang w:val="sr-Latn-RS"/>
        </w:rPr>
        <w:t xml:space="preserve"> u svim </w:t>
      </w:r>
      <w:r w:rsidR="00DA25D3" w:rsidRPr="00234ECD">
        <w:rPr>
          <w:rFonts w:eastAsiaTheme="minorHAnsi"/>
          <w:sz w:val="22"/>
          <w:szCs w:val="22"/>
          <w:lang w:val="sr-Latn-RS"/>
        </w:rPr>
        <w:t>stratumima</w:t>
      </w:r>
      <w:r w:rsidRPr="00234ECD">
        <w:rPr>
          <w:rFonts w:eastAsiaTheme="minorHAnsi"/>
          <w:sz w:val="22"/>
          <w:szCs w:val="22"/>
          <w:lang w:val="sr-Latn-RS"/>
        </w:rPr>
        <w:t xml:space="preserve"> bio je uporediv sa onim uočenim kod odraslih l</w:t>
      </w:r>
      <w:r w:rsidR="00113DC4" w:rsidRPr="00234ECD">
        <w:rPr>
          <w:rFonts w:eastAsiaTheme="minorHAnsi"/>
          <w:sz w:val="22"/>
          <w:szCs w:val="22"/>
          <w:lang w:val="sr-Latn-RS"/>
        </w:rPr>
        <w:t>ij</w:t>
      </w:r>
      <w:r w:rsidRPr="00234ECD">
        <w:rPr>
          <w:rFonts w:eastAsiaTheme="minorHAnsi"/>
          <w:sz w:val="22"/>
          <w:szCs w:val="22"/>
          <w:lang w:val="sr-Latn-RS"/>
        </w:rPr>
        <w:t>ečenih kabozantinibom.</w:t>
      </w:r>
    </w:p>
    <w:p w14:paraId="78D504FD" w14:textId="77777777" w:rsidR="00215282" w:rsidRPr="00234ECD" w:rsidRDefault="00215282" w:rsidP="00215282">
      <w:pPr>
        <w:jc w:val="both"/>
        <w:rPr>
          <w:rFonts w:eastAsiaTheme="minorHAnsi"/>
          <w:sz w:val="22"/>
          <w:szCs w:val="22"/>
          <w:lang w:val="sr-Latn-RS"/>
        </w:rPr>
      </w:pPr>
    </w:p>
    <w:p w14:paraId="1F2D51D4" w14:textId="2EDFE7E3" w:rsidR="00215282" w:rsidRPr="00234ECD" w:rsidRDefault="008C164D" w:rsidP="00215282">
      <w:pPr>
        <w:jc w:val="both"/>
        <w:rPr>
          <w:rFonts w:eastAsiaTheme="minorHAnsi"/>
          <w:sz w:val="22"/>
          <w:szCs w:val="22"/>
          <w:lang w:val="sr-Latn-RS"/>
        </w:rPr>
      </w:pPr>
      <w:r w:rsidRPr="00234ECD">
        <w:rPr>
          <w:rFonts w:eastAsiaTheme="minorHAnsi"/>
          <w:sz w:val="22"/>
          <w:szCs w:val="22"/>
          <w:lang w:val="sr-Latn-RS"/>
        </w:rPr>
        <w:t>K</w:t>
      </w:r>
      <w:r w:rsidR="00215282" w:rsidRPr="00234ECD">
        <w:rPr>
          <w:rFonts w:eastAsiaTheme="minorHAnsi"/>
          <w:sz w:val="22"/>
          <w:szCs w:val="22"/>
          <w:lang w:val="sr-Latn-RS"/>
        </w:rPr>
        <w:t>od d</w:t>
      </w:r>
      <w:r w:rsidR="00DA25D3" w:rsidRPr="00234ECD">
        <w:rPr>
          <w:rFonts w:eastAsiaTheme="minorHAnsi"/>
          <w:sz w:val="22"/>
          <w:szCs w:val="22"/>
          <w:lang w:val="sr-Latn-RS"/>
        </w:rPr>
        <w:t>j</w:t>
      </w:r>
      <w:r w:rsidR="00215282" w:rsidRPr="00234ECD">
        <w:rPr>
          <w:rFonts w:eastAsiaTheme="minorHAnsi"/>
          <w:sz w:val="22"/>
          <w:szCs w:val="22"/>
          <w:lang w:val="sr-Latn-RS"/>
        </w:rPr>
        <w:t xml:space="preserve">ece sa otvorenim pločama rasta </w:t>
      </w:r>
      <w:r w:rsidR="00093451" w:rsidRPr="00234ECD">
        <w:rPr>
          <w:rFonts w:eastAsiaTheme="minorHAnsi"/>
          <w:sz w:val="22"/>
          <w:szCs w:val="22"/>
          <w:lang w:val="sr-Latn-RS"/>
        </w:rPr>
        <w:t xml:space="preserve">pri liječenju kabozantinibom </w:t>
      </w:r>
      <w:r w:rsidRPr="00234ECD">
        <w:rPr>
          <w:rFonts w:eastAsiaTheme="minorHAnsi"/>
          <w:sz w:val="22"/>
          <w:szCs w:val="22"/>
          <w:lang w:val="sr-Latn-RS"/>
        </w:rPr>
        <w:t>primijećeno</w:t>
      </w:r>
      <w:r w:rsidR="00093451" w:rsidRPr="00234ECD">
        <w:rPr>
          <w:rFonts w:eastAsiaTheme="minorHAnsi"/>
          <w:sz w:val="22"/>
          <w:szCs w:val="22"/>
          <w:lang w:val="sr-Latn-RS"/>
        </w:rPr>
        <w:t xml:space="preserve"> je njihovo proširenje</w:t>
      </w:r>
      <w:r w:rsidR="00215282" w:rsidRPr="00234ECD">
        <w:rPr>
          <w:rFonts w:eastAsiaTheme="minorHAnsi"/>
          <w:sz w:val="22"/>
          <w:szCs w:val="22"/>
          <w:lang w:val="sr-Latn-RS"/>
        </w:rPr>
        <w:t>.</w:t>
      </w:r>
    </w:p>
    <w:p w14:paraId="24F0C8B1" w14:textId="77777777" w:rsidR="00BE7229" w:rsidRPr="00234ECD" w:rsidRDefault="00BE7229" w:rsidP="00480FB1">
      <w:pPr>
        <w:tabs>
          <w:tab w:val="left" w:pos="540"/>
          <w:tab w:val="left" w:pos="569"/>
        </w:tabs>
        <w:rPr>
          <w:b/>
          <w:bCs/>
          <w:sz w:val="22"/>
          <w:szCs w:val="22"/>
          <w:lang w:val="sr-Latn-RS"/>
        </w:rPr>
      </w:pPr>
    </w:p>
    <w:p w14:paraId="748C7433" w14:textId="77777777" w:rsidR="005A23D2" w:rsidRPr="00234ECD" w:rsidRDefault="005A23D2" w:rsidP="00A46C9A">
      <w:pPr>
        <w:spacing w:after="200" w:line="276" w:lineRule="auto"/>
        <w:rPr>
          <w:rFonts w:eastAsia="Calibri"/>
          <w:sz w:val="22"/>
          <w:szCs w:val="22"/>
          <w:u w:val="single"/>
          <w:lang w:val="sr-Latn-RS"/>
        </w:rPr>
      </w:pPr>
      <w:r w:rsidRPr="00234ECD">
        <w:rPr>
          <w:rFonts w:eastAsia="Calibri"/>
          <w:sz w:val="22"/>
          <w:szCs w:val="22"/>
          <w:u w:val="single"/>
          <w:lang w:val="sr-Latn-RS"/>
        </w:rPr>
        <w:t>Prijavljivanje sumnji na neželjena dejstva</w:t>
      </w:r>
    </w:p>
    <w:p w14:paraId="4B52BD91" w14:textId="77777777" w:rsidR="005A23D2" w:rsidRPr="00234ECD" w:rsidRDefault="005A23D2" w:rsidP="00A46C9A">
      <w:pPr>
        <w:spacing w:after="200"/>
        <w:jc w:val="both"/>
        <w:rPr>
          <w:rFonts w:eastAsia="Calibri"/>
          <w:sz w:val="22"/>
          <w:szCs w:val="22"/>
          <w:lang w:val="sr-Latn-RS"/>
        </w:rPr>
      </w:pPr>
      <w:r w:rsidRPr="00234ECD">
        <w:rPr>
          <w:rFonts w:eastAsia="Calibri"/>
          <w:sz w:val="22"/>
          <w:szCs w:val="22"/>
          <w:lang w:val="sr-Latn-RS"/>
        </w:rPr>
        <w:t>Prijavljivanje neželjenih dejstava nakon dobijanja dozvole je od velikog značaja jer obezbjeđuje kont</w:t>
      </w:r>
      <w:r w:rsidR="00EA5765" w:rsidRPr="00234ECD">
        <w:rPr>
          <w:rFonts w:eastAsia="Calibri"/>
          <w:sz w:val="22"/>
          <w:szCs w:val="22"/>
          <w:lang w:val="sr-Latn-RS"/>
        </w:rPr>
        <w:t>inuirano praćenje odnosa korist</w:t>
      </w:r>
      <w:r w:rsidRPr="00234ECD">
        <w:rPr>
          <w:rFonts w:eastAsia="Calibri"/>
          <w:sz w:val="22"/>
          <w:szCs w:val="22"/>
          <w:lang w:val="sr-Latn-RS"/>
        </w:rPr>
        <w:t>/rizik primjene lijeka. Zdravstveni radnici treba da prijave svaku sumnju na neželjeno</w:t>
      </w:r>
      <w:r w:rsidR="009B062A" w:rsidRPr="00234ECD">
        <w:rPr>
          <w:rFonts w:eastAsia="Calibri"/>
          <w:sz w:val="22"/>
          <w:szCs w:val="22"/>
          <w:lang w:val="sr-Latn-RS"/>
        </w:rPr>
        <w:t xml:space="preserve"> </w:t>
      </w:r>
      <w:r w:rsidRPr="00234ECD">
        <w:rPr>
          <w:rFonts w:eastAsia="Calibri"/>
          <w:sz w:val="22"/>
          <w:szCs w:val="22"/>
          <w:lang w:val="sr-Latn-RS"/>
        </w:rPr>
        <w:t xml:space="preserve">dejstvo ovog lijeka </w:t>
      </w:r>
      <w:r w:rsidR="004E70AD" w:rsidRPr="00234ECD">
        <w:rPr>
          <w:rFonts w:eastAsia="Calibri"/>
          <w:sz w:val="22"/>
          <w:szCs w:val="22"/>
          <w:lang w:val="sr-Latn-RS"/>
        </w:rPr>
        <w:t>Institutu</w:t>
      </w:r>
      <w:r w:rsidRPr="00234ECD">
        <w:rPr>
          <w:rFonts w:eastAsia="Calibri"/>
          <w:sz w:val="22"/>
          <w:szCs w:val="22"/>
          <w:lang w:val="sr-Latn-RS"/>
        </w:rPr>
        <w:t xml:space="preserve"> za ljekove i medicinska sredstva</w:t>
      </w:r>
      <w:r w:rsidR="004E70AD" w:rsidRPr="00234ECD">
        <w:rPr>
          <w:rFonts w:eastAsia="Calibri"/>
          <w:sz w:val="22"/>
          <w:szCs w:val="22"/>
          <w:lang w:val="sr-Latn-RS"/>
        </w:rPr>
        <w:t xml:space="preserve"> </w:t>
      </w:r>
      <w:r w:rsidRPr="00234ECD">
        <w:rPr>
          <w:rFonts w:eastAsia="Calibri"/>
          <w:sz w:val="22"/>
          <w:szCs w:val="22"/>
          <w:lang w:val="sr-Latn-RS"/>
        </w:rPr>
        <w:t>(</w:t>
      </w:r>
      <w:r w:rsidR="004E70AD" w:rsidRPr="00234ECD">
        <w:rPr>
          <w:rFonts w:eastAsia="Calibri"/>
          <w:sz w:val="22"/>
          <w:szCs w:val="22"/>
          <w:lang w:val="sr-Latn-RS"/>
        </w:rPr>
        <w:t>CInMED</w:t>
      </w:r>
      <w:r w:rsidRPr="00234ECD">
        <w:rPr>
          <w:rFonts w:eastAsia="Calibri"/>
          <w:sz w:val="22"/>
          <w:szCs w:val="22"/>
          <w:lang w:val="sr-Latn-RS"/>
        </w:rPr>
        <w:t>):</w:t>
      </w:r>
    </w:p>
    <w:p w14:paraId="403F3306" w14:textId="77777777" w:rsidR="005A23D2" w:rsidRPr="00234ECD" w:rsidRDefault="004E70AD" w:rsidP="00A46C9A">
      <w:pPr>
        <w:pStyle w:val="NoSpacing"/>
        <w:jc w:val="both"/>
        <w:rPr>
          <w:rFonts w:eastAsia="Calibri"/>
          <w:sz w:val="22"/>
          <w:szCs w:val="22"/>
          <w:lang w:val="sr-Latn-RS"/>
        </w:rPr>
      </w:pPr>
      <w:r w:rsidRPr="00234ECD">
        <w:rPr>
          <w:rFonts w:eastAsia="Calibri"/>
          <w:sz w:val="22"/>
          <w:szCs w:val="22"/>
          <w:lang w:val="sr-Latn-RS"/>
        </w:rPr>
        <w:t xml:space="preserve">Institut </w:t>
      </w:r>
      <w:r w:rsidR="005A23D2" w:rsidRPr="00234ECD">
        <w:rPr>
          <w:rFonts w:eastAsia="Calibri"/>
          <w:sz w:val="22"/>
          <w:szCs w:val="22"/>
          <w:lang w:val="sr-Latn-RS"/>
        </w:rPr>
        <w:t xml:space="preserve">za ljekove i medicinska sredstva </w:t>
      </w:r>
    </w:p>
    <w:p w14:paraId="539554BB" w14:textId="77777777" w:rsidR="005A23D2" w:rsidRPr="00234ECD" w:rsidRDefault="005A23D2" w:rsidP="00A46C9A">
      <w:pPr>
        <w:pStyle w:val="NoSpacing"/>
        <w:jc w:val="both"/>
        <w:rPr>
          <w:rFonts w:eastAsia="Calibri"/>
          <w:sz w:val="22"/>
          <w:szCs w:val="22"/>
          <w:lang w:val="sr-Latn-RS"/>
        </w:rPr>
      </w:pPr>
      <w:r w:rsidRPr="00234ECD">
        <w:rPr>
          <w:rFonts w:eastAsia="Calibri"/>
          <w:sz w:val="22"/>
          <w:szCs w:val="22"/>
          <w:lang w:val="sr-Latn-RS"/>
        </w:rPr>
        <w:t>Odjeljenje za farmakovigilancu</w:t>
      </w:r>
    </w:p>
    <w:p w14:paraId="22E064D3" w14:textId="77777777" w:rsidR="00EA5765" w:rsidRPr="00234ECD" w:rsidRDefault="005A23D2" w:rsidP="00A46C9A">
      <w:pPr>
        <w:pStyle w:val="NoSpacing"/>
        <w:jc w:val="both"/>
        <w:rPr>
          <w:rFonts w:eastAsia="Calibri"/>
          <w:sz w:val="22"/>
          <w:szCs w:val="22"/>
          <w:lang w:val="sr-Latn-RS"/>
        </w:rPr>
      </w:pPr>
      <w:r w:rsidRPr="00234ECD">
        <w:rPr>
          <w:rFonts w:eastAsia="Calibri"/>
          <w:sz w:val="22"/>
          <w:szCs w:val="22"/>
          <w:lang w:val="sr-Latn-RS"/>
        </w:rPr>
        <w:t>Bulevar Ivana Crnojevića 64a, 81000 Podgorica</w:t>
      </w:r>
    </w:p>
    <w:p w14:paraId="1588B2CB" w14:textId="77777777" w:rsidR="00EA5765" w:rsidRPr="00234ECD" w:rsidRDefault="00EA5765" w:rsidP="00A46C9A">
      <w:pPr>
        <w:pStyle w:val="NoSpacing"/>
        <w:rPr>
          <w:rFonts w:eastAsia="Calibri"/>
          <w:sz w:val="22"/>
          <w:szCs w:val="22"/>
          <w:lang w:val="sr-Latn-RS"/>
        </w:rPr>
      </w:pPr>
    </w:p>
    <w:p w14:paraId="383FDBCE" w14:textId="77777777" w:rsidR="005A23D2" w:rsidRPr="00234ECD" w:rsidRDefault="005A23D2" w:rsidP="00A46C9A">
      <w:pPr>
        <w:pStyle w:val="NoSpacing"/>
        <w:jc w:val="both"/>
        <w:rPr>
          <w:rFonts w:eastAsia="Calibri"/>
          <w:sz w:val="22"/>
          <w:szCs w:val="22"/>
          <w:lang w:val="sr-Latn-RS"/>
        </w:rPr>
      </w:pPr>
      <w:r w:rsidRPr="00234ECD">
        <w:rPr>
          <w:rFonts w:eastAsia="Calibri"/>
          <w:sz w:val="22"/>
          <w:szCs w:val="22"/>
          <w:lang w:val="sr-Latn-RS"/>
        </w:rPr>
        <w:t>tel: +382 (0) 20 310 280</w:t>
      </w:r>
    </w:p>
    <w:p w14:paraId="04E0414F" w14:textId="77777777" w:rsidR="00EA5765" w:rsidRPr="00234ECD" w:rsidRDefault="005A23D2" w:rsidP="00FF3EDF">
      <w:pPr>
        <w:pStyle w:val="NoSpacing"/>
        <w:tabs>
          <w:tab w:val="left" w:pos="6720"/>
        </w:tabs>
        <w:jc w:val="both"/>
        <w:rPr>
          <w:rFonts w:eastAsia="Calibri"/>
          <w:sz w:val="22"/>
          <w:szCs w:val="22"/>
          <w:lang w:val="sr-Latn-RS"/>
        </w:rPr>
      </w:pPr>
      <w:r w:rsidRPr="00234ECD">
        <w:rPr>
          <w:rFonts w:eastAsia="Calibri"/>
          <w:sz w:val="22"/>
          <w:szCs w:val="22"/>
          <w:lang w:val="sr-Latn-RS"/>
        </w:rPr>
        <w:t>fax:</w:t>
      </w:r>
      <w:r w:rsidR="00EA5765" w:rsidRPr="00234ECD">
        <w:rPr>
          <w:rFonts w:eastAsia="Calibri"/>
          <w:sz w:val="22"/>
          <w:szCs w:val="22"/>
          <w:lang w:val="sr-Latn-RS"/>
        </w:rPr>
        <w:t xml:space="preserve"> </w:t>
      </w:r>
      <w:r w:rsidRPr="00234ECD">
        <w:rPr>
          <w:rFonts w:eastAsia="Calibri"/>
          <w:sz w:val="22"/>
          <w:szCs w:val="22"/>
          <w:lang w:val="sr-Latn-RS"/>
        </w:rPr>
        <w:t>+382 (0) 20 310 581</w:t>
      </w:r>
      <w:r w:rsidR="00FF3EDF" w:rsidRPr="00234ECD">
        <w:rPr>
          <w:rFonts w:eastAsia="Calibri"/>
          <w:sz w:val="22"/>
          <w:szCs w:val="22"/>
          <w:lang w:val="sr-Latn-RS"/>
        </w:rPr>
        <w:tab/>
      </w:r>
    </w:p>
    <w:p w14:paraId="2A363484" w14:textId="77777777" w:rsidR="005A23D2" w:rsidRPr="00234ECD" w:rsidRDefault="00234ECD" w:rsidP="00A46C9A">
      <w:pPr>
        <w:pStyle w:val="NoSpacing"/>
        <w:jc w:val="both"/>
        <w:rPr>
          <w:rFonts w:eastAsia="Calibri"/>
          <w:sz w:val="22"/>
          <w:szCs w:val="22"/>
          <w:lang w:val="sr-Latn-RS"/>
        </w:rPr>
      </w:pPr>
      <w:hyperlink r:id="rId8" w:history="1">
        <w:r w:rsidR="004E70AD" w:rsidRPr="00234ECD">
          <w:rPr>
            <w:rStyle w:val="Hyperlink"/>
            <w:rFonts w:eastAsia="Calibri"/>
            <w:sz w:val="22"/>
            <w:szCs w:val="22"/>
            <w:lang w:val="sr-Latn-RS"/>
          </w:rPr>
          <w:t>www.cinmed.me</w:t>
        </w:r>
      </w:hyperlink>
    </w:p>
    <w:p w14:paraId="7C8963FF" w14:textId="77777777" w:rsidR="00EA5765" w:rsidRPr="00234ECD" w:rsidRDefault="00234ECD" w:rsidP="00A46C9A">
      <w:pPr>
        <w:pStyle w:val="NoSpacing"/>
        <w:jc w:val="both"/>
        <w:rPr>
          <w:rFonts w:eastAsia="Calibri"/>
          <w:color w:val="0000FF"/>
          <w:sz w:val="22"/>
          <w:szCs w:val="22"/>
          <w:u w:val="single"/>
          <w:lang w:val="sr-Latn-RS"/>
        </w:rPr>
      </w:pPr>
      <w:hyperlink r:id="rId9" w:history="1">
        <w:r w:rsidR="004E70AD" w:rsidRPr="00234ECD">
          <w:rPr>
            <w:rStyle w:val="Hyperlink"/>
            <w:rFonts w:eastAsia="Calibri"/>
            <w:sz w:val="22"/>
            <w:szCs w:val="22"/>
            <w:lang w:val="sr-Latn-RS"/>
          </w:rPr>
          <w:t>nezeljenadejstva@cinmed.me</w:t>
        </w:r>
      </w:hyperlink>
    </w:p>
    <w:p w14:paraId="3DCE28BF" w14:textId="77777777" w:rsidR="005A23D2" w:rsidRPr="00234ECD" w:rsidRDefault="005A23D2" w:rsidP="00A46C9A">
      <w:pPr>
        <w:pStyle w:val="NoSpacing"/>
        <w:jc w:val="both"/>
        <w:rPr>
          <w:rFonts w:eastAsia="Calibri"/>
          <w:sz w:val="22"/>
          <w:szCs w:val="22"/>
          <w:lang w:val="sr-Latn-RS"/>
        </w:rPr>
      </w:pPr>
      <w:r w:rsidRPr="00234ECD">
        <w:rPr>
          <w:rFonts w:eastAsia="Calibri"/>
          <w:sz w:val="22"/>
          <w:szCs w:val="22"/>
          <w:lang w:val="sr-Latn-RS"/>
        </w:rPr>
        <w:t>putem IS zdravstvene zaštite</w:t>
      </w:r>
    </w:p>
    <w:p w14:paraId="28FDEBA6" w14:textId="77777777" w:rsidR="007E31E9" w:rsidRPr="00234ECD" w:rsidRDefault="007E31E9" w:rsidP="00A46C9A">
      <w:pPr>
        <w:pStyle w:val="NoSpacing"/>
        <w:jc w:val="both"/>
        <w:rPr>
          <w:rFonts w:eastAsia="Calibri"/>
          <w:sz w:val="22"/>
          <w:szCs w:val="22"/>
          <w:lang w:val="sr-Latn-RS"/>
        </w:rPr>
      </w:pPr>
      <w:r w:rsidRPr="00234ECD">
        <w:rPr>
          <w:rFonts w:eastAsia="Calibri"/>
          <w:sz w:val="22"/>
          <w:szCs w:val="22"/>
          <w:lang w:val="sr-Latn-RS"/>
        </w:rPr>
        <w:t>QR kod za online prijavu</w:t>
      </w:r>
      <w:r w:rsidR="00D74CD2" w:rsidRPr="00234ECD">
        <w:rPr>
          <w:rFonts w:eastAsia="Calibri"/>
          <w:sz w:val="22"/>
          <w:szCs w:val="22"/>
          <w:lang w:val="sr-Latn-RS"/>
        </w:rPr>
        <w:t xml:space="preserve"> sumnje na neželjeno dejstvo lijeka</w:t>
      </w:r>
      <w:r w:rsidRPr="00234ECD">
        <w:rPr>
          <w:rFonts w:eastAsia="Calibri"/>
          <w:sz w:val="22"/>
          <w:szCs w:val="22"/>
          <w:lang w:val="sr-Latn-RS"/>
        </w:rPr>
        <w:t>:</w:t>
      </w:r>
    </w:p>
    <w:p w14:paraId="304604FD" w14:textId="77777777" w:rsidR="007E31E9" w:rsidRPr="00234ECD" w:rsidRDefault="007E31E9" w:rsidP="00A46C9A">
      <w:pPr>
        <w:pStyle w:val="NoSpacing"/>
        <w:jc w:val="both"/>
        <w:rPr>
          <w:rFonts w:eastAsia="Calibri"/>
          <w:sz w:val="22"/>
          <w:szCs w:val="22"/>
          <w:lang w:val="sr-Latn-RS"/>
        </w:rPr>
      </w:pPr>
    </w:p>
    <w:p w14:paraId="093A34E8" w14:textId="23265C03" w:rsidR="004F17E2" w:rsidRPr="00234ECD" w:rsidRDefault="00E64995" w:rsidP="007E31E9">
      <w:pPr>
        <w:pStyle w:val="NoSpacing"/>
        <w:rPr>
          <w:rFonts w:eastAsia="Calibri"/>
          <w:sz w:val="22"/>
          <w:szCs w:val="22"/>
          <w:lang w:val="sr-Latn-RS"/>
        </w:rPr>
      </w:pPr>
      <w:r w:rsidRPr="00234ECD">
        <w:rPr>
          <w:noProof/>
          <w:sz w:val="22"/>
          <w:szCs w:val="22"/>
          <w:lang w:val="sr-Latn-RS"/>
        </w:rPr>
        <w:drawing>
          <wp:inline distT="0" distB="0" distL="0" distR="0" wp14:anchorId="56A777DA" wp14:editId="46E85D86">
            <wp:extent cx="980440" cy="971550"/>
            <wp:effectExtent l="0" t="0" r="0" b="0"/>
            <wp:docPr id="207632370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440" cy="971550"/>
                    </a:xfrm>
                    <a:prstGeom prst="rect">
                      <a:avLst/>
                    </a:prstGeom>
                    <a:ln>
                      <a:noFill/>
                    </a:ln>
                    <a:extLst>
                      <a:ext uri="{53640926-AAD7-44D8-BBD7-CCE9431645EC}">
                        <a14:shadowObscured xmlns:a14="http://schemas.microsoft.com/office/drawing/2010/main"/>
                      </a:ext>
                    </a:extLst>
                  </pic:spPr>
                </pic:pic>
              </a:graphicData>
            </a:graphic>
          </wp:inline>
        </w:drawing>
      </w:r>
    </w:p>
    <w:p w14:paraId="190C5757" w14:textId="77777777" w:rsidR="00836B35" w:rsidRPr="00234ECD" w:rsidRDefault="00836B35" w:rsidP="00480FB1">
      <w:pPr>
        <w:tabs>
          <w:tab w:val="left" w:pos="540"/>
          <w:tab w:val="left" w:pos="569"/>
        </w:tabs>
        <w:rPr>
          <w:b/>
          <w:bCs/>
          <w:sz w:val="22"/>
          <w:szCs w:val="22"/>
          <w:lang w:val="sr-Latn-RS"/>
        </w:rPr>
      </w:pPr>
    </w:p>
    <w:p w14:paraId="097F5AC8" w14:textId="77777777" w:rsidR="00CD6F02" w:rsidRPr="00234ECD" w:rsidRDefault="0072020E" w:rsidP="00480FB1">
      <w:pPr>
        <w:tabs>
          <w:tab w:val="left" w:pos="540"/>
          <w:tab w:val="left" w:pos="569"/>
        </w:tabs>
        <w:rPr>
          <w:b/>
          <w:bCs/>
          <w:sz w:val="22"/>
          <w:szCs w:val="22"/>
          <w:lang w:val="sr-Latn-RS"/>
        </w:rPr>
      </w:pPr>
      <w:r w:rsidRPr="00234ECD">
        <w:rPr>
          <w:b/>
          <w:bCs/>
          <w:sz w:val="22"/>
          <w:szCs w:val="22"/>
          <w:lang w:val="sr-Latn-RS"/>
        </w:rPr>
        <w:t xml:space="preserve">4.9. </w:t>
      </w:r>
      <w:r w:rsidR="00480FB1" w:rsidRPr="00234ECD">
        <w:rPr>
          <w:b/>
          <w:bCs/>
          <w:sz w:val="22"/>
          <w:szCs w:val="22"/>
          <w:lang w:val="sr-Latn-RS"/>
        </w:rPr>
        <w:tab/>
      </w:r>
      <w:r w:rsidRPr="00234ECD">
        <w:rPr>
          <w:b/>
          <w:bCs/>
          <w:sz w:val="22"/>
          <w:szCs w:val="22"/>
          <w:lang w:val="sr-Latn-RS"/>
        </w:rPr>
        <w:t>Predoziranje</w:t>
      </w:r>
      <w:r w:rsidR="002846DB" w:rsidRPr="00234ECD">
        <w:rPr>
          <w:b/>
          <w:bCs/>
          <w:sz w:val="22"/>
          <w:szCs w:val="22"/>
          <w:lang w:val="sr-Latn-RS"/>
        </w:rPr>
        <w:t xml:space="preserve"> </w:t>
      </w:r>
    </w:p>
    <w:p w14:paraId="6B796377" w14:textId="77777777" w:rsidR="00D857AC" w:rsidRPr="00234ECD" w:rsidRDefault="00D857AC" w:rsidP="00D857AC">
      <w:pPr>
        <w:jc w:val="both"/>
        <w:rPr>
          <w:rFonts w:eastAsia="Calibri"/>
          <w:sz w:val="22"/>
          <w:szCs w:val="22"/>
          <w:lang w:val="sr-Latn-RS"/>
        </w:rPr>
      </w:pPr>
      <w:r w:rsidRPr="00234ECD">
        <w:rPr>
          <w:rFonts w:eastAsia="Calibri"/>
          <w:sz w:val="22"/>
          <w:szCs w:val="22"/>
          <w:lang w:val="sr-Latn-RS"/>
        </w:rPr>
        <w:t>Ne postoji posebna terapija za predoziranje kabozantinibom, a mogući simptomi predoziranja nisu utvrđeni.</w:t>
      </w:r>
    </w:p>
    <w:p w14:paraId="2AE9AE50" w14:textId="77777777" w:rsidR="00D857AC" w:rsidRPr="00234ECD" w:rsidRDefault="00D857AC" w:rsidP="00D857AC">
      <w:pPr>
        <w:jc w:val="both"/>
        <w:rPr>
          <w:rFonts w:eastAsia="Calibri"/>
          <w:sz w:val="22"/>
          <w:szCs w:val="22"/>
          <w:lang w:val="sr-Latn-RS"/>
        </w:rPr>
      </w:pPr>
    </w:p>
    <w:p w14:paraId="75CA6AA4" w14:textId="4DB565EA" w:rsidR="00CD6F02" w:rsidRPr="00234ECD" w:rsidRDefault="00D857AC" w:rsidP="00D857AC">
      <w:pPr>
        <w:jc w:val="both"/>
        <w:rPr>
          <w:rFonts w:eastAsia="Calibri"/>
          <w:sz w:val="22"/>
          <w:szCs w:val="22"/>
          <w:lang w:val="sr-Latn-RS"/>
        </w:rPr>
      </w:pPr>
      <w:r w:rsidRPr="00234ECD">
        <w:rPr>
          <w:rFonts w:eastAsia="Calibri"/>
          <w:sz w:val="22"/>
          <w:szCs w:val="22"/>
          <w:lang w:val="sr-Latn-RS"/>
        </w:rPr>
        <w:t>U slučaju sumnje na predoziranje, treba prekinuti prim</w:t>
      </w:r>
      <w:r w:rsidR="00624FC4" w:rsidRPr="00234ECD">
        <w:rPr>
          <w:rFonts w:eastAsia="Calibri"/>
          <w:sz w:val="22"/>
          <w:szCs w:val="22"/>
          <w:lang w:val="sr-Latn-RS"/>
        </w:rPr>
        <w:t>j</w:t>
      </w:r>
      <w:r w:rsidRPr="00234ECD">
        <w:rPr>
          <w:rFonts w:eastAsia="Calibri"/>
          <w:sz w:val="22"/>
          <w:szCs w:val="22"/>
          <w:lang w:val="sr-Latn-RS"/>
        </w:rPr>
        <w:t>enu kabozantiniba i prim</w:t>
      </w:r>
      <w:r w:rsidR="00624FC4" w:rsidRPr="00234ECD">
        <w:rPr>
          <w:rFonts w:eastAsia="Calibri"/>
          <w:sz w:val="22"/>
          <w:szCs w:val="22"/>
          <w:lang w:val="sr-Latn-RS"/>
        </w:rPr>
        <w:t>ij</w:t>
      </w:r>
      <w:r w:rsidRPr="00234ECD">
        <w:rPr>
          <w:rFonts w:eastAsia="Calibri"/>
          <w:sz w:val="22"/>
          <w:szCs w:val="22"/>
          <w:lang w:val="sr-Latn-RS"/>
        </w:rPr>
        <w:t>eniti suportivne m</w:t>
      </w:r>
      <w:r w:rsidR="00624FC4" w:rsidRPr="00234ECD">
        <w:rPr>
          <w:rFonts w:eastAsia="Calibri"/>
          <w:sz w:val="22"/>
          <w:szCs w:val="22"/>
          <w:lang w:val="sr-Latn-RS"/>
        </w:rPr>
        <w:t>j</w:t>
      </w:r>
      <w:r w:rsidRPr="00234ECD">
        <w:rPr>
          <w:rFonts w:eastAsia="Calibri"/>
          <w:sz w:val="22"/>
          <w:szCs w:val="22"/>
          <w:lang w:val="sr-Latn-RS"/>
        </w:rPr>
        <w:t>ere. Metaboličke kliničke laboratorijske parametre treba pratiti bar jednom ned</w:t>
      </w:r>
      <w:r w:rsidR="00624FC4" w:rsidRPr="00234ECD">
        <w:rPr>
          <w:rFonts w:eastAsia="Calibri"/>
          <w:sz w:val="22"/>
          <w:szCs w:val="22"/>
          <w:lang w:val="sr-Latn-RS"/>
        </w:rPr>
        <w:t>j</w:t>
      </w:r>
      <w:r w:rsidRPr="00234ECD">
        <w:rPr>
          <w:rFonts w:eastAsia="Calibri"/>
          <w:sz w:val="22"/>
          <w:szCs w:val="22"/>
          <w:lang w:val="sr-Latn-RS"/>
        </w:rPr>
        <w:t>eljno ili kako se smatra klinički potrebnim za proc</w:t>
      </w:r>
      <w:r w:rsidR="00624FC4" w:rsidRPr="00234ECD">
        <w:rPr>
          <w:rFonts w:eastAsia="Calibri"/>
          <w:sz w:val="22"/>
          <w:szCs w:val="22"/>
          <w:lang w:val="sr-Latn-RS"/>
        </w:rPr>
        <w:t>j</w:t>
      </w:r>
      <w:r w:rsidRPr="00234ECD">
        <w:rPr>
          <w:rFonts w:eastAsia="Calibri"/>
          <w:sz w:val="22"/>
          <w:szCs w:val="22"/>
          <w:lang w:val="sr-Latn-RS"/>
        </w:rPr>
        <w:t>enu bilo kojih mogućih prom</w:t>
      </w:r>
      <w:r w:rsidR="00624FC4" w:rsidRPr="00234ECD">
        <w:rPr>
          <w:rFonts w:eastAsia="Calibri"/>
          <w:sz w:val="22"/>
          <w:szCs w:val="22"/>
          <w:lang w:val="sr-Latn-RS"/>
        </w:rPr>
        <w:t>j</w:t>
      </w:r>
      <w:r w:rsidRPr="00234ECD">
        <w:rPr>
          <w:rFonts w:eastAsia="Calibri"/>
          <w:sz w:val="22"/>
          <w:szCs w:val="22"/>
          <w:lang w:val="sr-Latn-RS"/>
        </w:rPr>
        <w:t>ena. Neželjene reakcije povezane sa predoziranjem treba l</w:t>
      </w:r>
      <w:r w:rsidR="00624FC4" w:rsidRPr="00234ECD">
        <w:rPr>
          <w:rFonts w:eastAsia="Calibri"/>
          <w:sz w:val="22"/>
          <w:szCs w:val="22"/>
          <w:lang w:val="sr-Latn-RS"/>
        </w:rPr>
        <w:t>ij</w:t>
      </w:r>
      <w:r w:rsidRPr="00234ECD">
        <w:rPr>
          <w:rFonts w:eastAsia="Calibri"/>
          <w:sz w:val="22"/>
          <w:szCs w:val="22"/>
          <w:lang w:val="sr-Latn-RS"/>
        </w:rPr>
        <w:t>ečiti simptomatski.</w:t>
      </w:r>
    </w:p>
    <w:p w14:paraId="716A1A6C" w14:textId="77777777" w:rsidR="00227BDB" w:rsidRPr="00234ECD" w:rsidRDefault="00227BDB" w:rsidP="00480FB1">
      <w:pPr>
        <w:tabs>
          <w:tab w:val="left" w:pos="540"/>
          <w:tab w:val="left" w:pos="569"/>
        </w:tabs>
        <w:rPr>
          <w:b/>
          <w:bCs/>
          <w:sz w:val="22"/>
          <w:szCs w:val="22"/>
          <w:lang w:val="sr-Latn-RS"/>
        </w:rPr>
      </w:pPr>
    </w:p>
    <w:p w14:paraId="0E84A363" w14:textId="77777777" w:rsidR="0072020E" w:rsidRPr="00234ECD" w:rsidRDefault="0072020E" w:rsidP="00480FB1">
      <w:pPr>
        <w:tabs>
          <w:tab w:val="left" w:pos="540"/>
          <w:tab w:val="left" w:pos="569"/>
        </w:tabs>
        <w:rPr>
          <w:b/>
          <w:bCs/>
          <w:sz w:val="22"/>
          <w:szCs w:val="22"/>
          <w:lang w:val="sr-Latn-RS"/>
        </w:rPr>
      </w:pPr>
      <w:r w:rsidRPr="00234ECD">
        <w:rPr>
          <w:b/>
          <w:bCs/>
          <w:sz w:val="22"/>
          <w:szCs w:val="22"/>
          <w:lang w:val="sr-Latn-RS"/>
        </w:rPr>
        <w:t xml:space="preserve">5. </w:t>
      </w:r>
      <w:r w:rsidR="00480FB1" w:rsidRPr="00234ECD">
        <w:rPr>
          <w:b/>
          <w:bCs/>
          <w:sz w:val="22"/>
          <w:szCs w:val="22"/>
          <w:lang w:val="sr-Latn-RS"/>
        </w:rPr>
        <w:tab/>
      </w:r>
      <w:r w:rsidRPr="00234ECD">
        <w:rPr>
          <w:b/>
          <w:bCs/>
          <w:sz w:val="22"/>
          <w:szCs w:val="22"/>
          <w:lang w:val="sr-Latn-RS"/>
        </w:rPr>
        <w:t>FARMAKOLOŠK</w:t>
      </w:r>
      <w:r w:rsidR="000D425A" w:rsidRPr="00234ECD">
        <w:rPr>
          <w:b/>
          <w:bCs/>
          <w:sz w:val="22"/>
          <w:szCs w:val="22"/>
          <w:lang w:val="sr-Latn-RS"/>
        </w:rPr>
        <w:t>I</w:t>
      </w:r>
      <w:r w:rsidRPr="00234ECD">
        <w:rPr>
          <w:b/>
          <w:bCs/>
          <w:sz w:val="22"/>
          <w:szCs w:val="22"/>
          <w:lang w:val="sr-Latn-RS"/>
        </w:rPr>
        <w:t xml:space="preserve"> PODACI</w:t>
      </w:r>
    </w:p>
    <w:p w14:paraId="117CD413" w14:textId="77777777" w:rsidR="0072020E" w:rsidRPr="00234ECD" w:rsidRDefault="0072020E" w:rsidP="00480FB1">
      <w:pPr>
        <w:tabs>
          <w:tab w:val="left" w:pos="540"/>
          <w:tab w:val="left" w:pos="569"/>
        </w:tabs>
        <w:rPr>
          <w:b/>
          <w:bCs/>
          <w:sz w:val="22"/>
          <w:szCs w:val="22"/>
          <w:lang w:val="sr-Latn-RS"/>
        </w:rPr>
      </w:pPr>
    </w:p>
    <w:p w14:paraId="7CE09ED6" w14:textId="77777777" w:rsidR="0072020E" w:rsidRPr="00234ECD" w:rsidRDefault="0072020E" w:rsidP="00480FB1">
      <w:pPr>
        <w:tabs>
          <w:tab w:val="left" w:pos="540"/>
          <w:tab w:val="left" w:pos="569"/>
        </w:tabs>
        <w:rPr>
          <w:b/>
          <w:bCs/>
          <w:sz w:val="22"/>
          <w:szCs w:val="22"/>
          <w:lang w:val="sr-Latn-RS"/>
        </w:rPr>
      </w:pPr>
      <w:r w:rsidRPr="00234ECD">
        <w:rPr>
          <w:b/>
          <w:bCs/>
          <w:sz w:val="22"/>
          <w:szCs w:val="22"/>
          <w:lang w:val="sr-Latn-RS"/>
        </w:rPr>
        <w:t xml:space="preserve">5.1. </w:t>
      </w:r>
      <w:r w:rsidR="00480FB1" w:rsidRPr="00234ECD">
        <w:rPr>
          <w:b/>
          <w:bCs/>
          <w:sz w:val="22"/>
          <w:szCs w:val="22"/>
          <w:lang w:val="sr-Latn-RS"/>
        </w:rPr>
        <w:tab/>
      </w:r>
      <w:r w:rsidRPr="00234ECD">
        <w:rPr>
          <w:b/>
          <w:bCs/>
          <w:sz w:val="22"/>
          <w:szCs w:val="22"/>
          <w:lang w:val="sr-Latn-RS"/>
        </w:rPr>
        <w:t>Farmakodinamski podaci</w:t>
      </w:r>
      <w:r w:rsidR="003A7059" w:rsidRPr="00234ECD">
        <w:rPr>
          <w:b/>
          <w:bCs/>
          <w:sz w:val="22"/>
          <w:szCs w:val="22"/>
          <w:lang w:val="sr-Latn-RS"/>
        </w:rPr>
        <w:t xml:space="preserve"> </w:t>
      </w:r>
    </w:p>
    <w:p w14:paraId="503A71F3" w14:textId="77777777" w:rsidR="00F45F77" w:rsidRPr="00234ECD" w:rsidRDefault="00F45F77" w:rsidP="00480FB1">
      <w:pPr>
        <w:tabs>
          <w:tab w:val="left" w:pos="540"/>
          <w:tab w:val="left" w:pos="569"/>
        </w:tabs>
        <w:rPr>
          <w:b/>
          <w:bCs/>
          <w:sz w:val="22"/>
          <w:szCs w:val="22"/>
          <w:lang w:val="sr-Latn-RS"/>
        </w:rPr>
      </w:pPr>
    </w:p>
    <w:p w14:paraId="35B744DF" w14:textId="54E6359F" w:rsidR="00D857AC" w:rsidRPr="00234ECD" w:rsidRDefault="00D857AC" w:rsidP="00D857AC">
      <w:pPr>
        <w:tabs>
          <w:tab w:val="left" w:pos="540"/>
          <w:tab w:val="left" w:pos="569"/>
        </w:tabs>
        <w:rPr>
          <w:bCs/>
          <w:sz w:val="22"/>
          <w:szCs w:val="22"/>
          <w:lang w:val="sr-Latn-RS"/>
        </w:rPr>
      </w:pPr>
      <w:r w:rsidRPr="00234ECD">
        <w:rPr>
          <w:bCs/>
          <w:sz w:val="22"/>
          <w:szCs w:val="22"/>
          <w:lang w:val="sr-Latn-RS"/>
        </w:rPr>
        <w:t xml:space="preserve">Farmakoterapijska grupa: antineoplastici, inhibitori protein kinaze </w:t>
      </w:r>
    </w:p>
    <w:p w14:paraId="52D9E837" w14:textId="479AE1C6" w:rsidR="00D857AC" w:rsidRPr="00234ECD" w:rsidRDefault="00D857AC" w:rsidP="00D857AC">
      <w:pPr>
        <w:tabs>
          <w:tab w:val="left" w:pos="540"/>
          <w:tab w:val="left" w:pos="569"/>
        </w:tabs>
        <w:rPr>
          <w:bCs/>
          <w:sz w:val="22"/>
          <w:szCs w:val="22"/>
          <w:lang w:val="sr-Latn-RS"/>
        </w:rPr>
      </w:pPr>
      <w:r w:rsidRPr="00234ECD">
        <w:rPr>
          <w:bCs/>
          <w:sz w:val="22"/>
          <w:szCs w:val="22"/>
          <w:lang w:val="sr-Latn-RS"/>
        </w:rPr>
        <w:t>ATC</w:t>
      </w:r>
      <w:r w:rsidR="00FA4EFC" w:rsidRPr="00234ECD">
        <w:rPr>
          <w:bCs/>
          <w:sz w:val="22"/>
          <w:szCs w:val="22"/>
          <w:lang w:val="sr-Latn-RS"/>
        </w:rPr>
        <w:t xml:space="preserve"> kod</w:t>
      </w:r>
      <w:r w:rsidRPr="00234ECD">
        <w:rPr>
          <w:bCs/>
          <w:sz w:val="22"/>
          <w:szCs w:val="22"/>
          <w:lang w:val="sr-Latn-RS"/>
        </w:rPr>
        <w:t>: L01</w:t>
      </w:r>
      <w:r w:rsidR="003C12F5" w:rsidRPr="00234ECD">
        <w:rPr>
          <w:bCs/>
          <w:sz w:val="22"/>
          <w:szCs w:val="22"/>
          <w:lang w:val="sr-Latn-RS"/>
        </w:rPr>
        <w:t>EX</w:t>
      </w:r>
      <w:r w:rsidR="00B52550" w:rsidRPr="00234ECD">
        <w:rPr>
          <w:bCs/>
          <w:sz w:val="22"/>
          <w:szCs w:val="22"/>
          <w:lang w:val="sr-Latn-RS"/>
        </w:rPr>
        <w:t>07</w:t>
      </w:r>
    </w:p>
    <w:p w14:paraId="3EA15BB1" w14:textId="1C3380DC" w:rsidR="002E37A5" w:rsidRPr="00234ECD" w:rsidRDefault="002E37A5" w:rsidP="00480FB1">
      <w:pPr>
        <w:tabs>
          <w:tab w:val="left" w:pos="540"/>
          <w:tab w:val="left" w:pos="569"/>
        </w:tabs>
        <w:rPr>
          <w:b/>
          <w:bCs/>
          <w:sz w:val="22"/>
          <w:szCs w:val="22"/>
          <w:lang w:val="sr-Latn-RS"/>
        </w:rPr>
      </w:pPr>
    </w:p>
    <w:p w14:paraId="05AB4E0E"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Mehanizam dejstva</w:t>
      </w:r>
    </w:p>
    <w:p w14:paraId="17DE2915" w14:textId="0CCA1FAB" w:rsidR="00D857AC" w:rsidRPr="00234ECD" w:rsidRDefault="00D857AC" w:rsidP="00D857AC">
      <w:pPr>
        <w:jc w:val="both"/>
        <w:rPr>
          <w:rFonts w:eastAsia="Calibri"/>
          <w:sz w:val="22"/>
          <w:szCs w:val="22"/>
          <w:lang w:val="sr-Latn-RS"/>
        </w:rPr>
      </w:pPr>
      <w:r w:rsidRPr="00234ECD">
        <w:rPr>
          <w:rFonts w:eastAsia="Calibri"/>
          <w:sz w:val="22"/>
          <w:szCs w:val="22"/>
          <w:lang w:val="sr-Latn-RS"/>
        </w:rPr>
        <w:t>Kabozantinib je mali molekul koji inhibira višestruke receptore tirozin kinaze (RTK) povezane sa rastom tumora i angiogenezom, patološkom pregradnjom kostiju, rezistencijom na l</w:t>
      </w:r>
      <w:r w:rsidR="0059702D" w:rsidRPr="00234ECD">
        <w:rPr>
          <w:rFonts w:eastAsia="Calibri"/>
          <w:sz w:val="22"/>
          <w:szCs w:val="22"/>
          <w:lang w:val="sr-Latn-RS"/>
        </w:rPr>
        <w:t>ij</w:t>
      </w:r>
      <w:r w:rsidRPr="00234ECD">
        <w:rPr>
          <w:rFonts w:eastAsia="Calibri"/>
          <w:sz w:val="22"/>
          <w:szCs w:val="22"/>
          <w:lang w:val="sr-Latn-RS"/>
        </w:rPr>
        <w:t>ek i metastatskom progresijom karcinoma. Ispitivano je inhibitorno dejstvo kabozantiniba na razne kinaze i utvrđeno je da je kabozantinib inhibitor receptora MET (receptor faktora rasta hepatocita) i VEGF (vaskularni endotelni faktor rasta). Pored toga, kabozantinib inhibira druge tirozin kinaze, uključujući i receptor GAS6 (AXL), RET, ROS1, TYRO3, MER, receptor faktora rasta matičnih ćelija (KIT), TRKB, Fms-sličnu tirozin kinazu 3 (FLT3) i TIE-2.</w:t>
      </w:r>
    </w:p>
    <w:p w14:paraId="40DAD4BC" w14:textId="77777777" w:rsidR="00D857AC" w:rsidRPr="00234ECD" w:rsidRDefault="00D857AC" w:rsidP="00D857AC">
      <w:pPr>
        <w:jc w:val="both"/>
        <w:rPr>
          <w:rFonts w:eastAsia="Calibri"/>
          <w:sz w:val="22"/>
          <w:szCs w:val="22"/>
          <w:lang w:val="sr-Latn-RS"/>
        </w:rPr>
      </w:pPr>
    </w:p>
    <w:p w14:paraId="261FFC6D"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Farmakodinamski efekti</w:t>
      </w:r>
    </w:p>
    <w:p w14:paraId="3423AA0E" w14:textId="77777777" w:rsidR="00D857AC" w:rsidRPr="00234ECD" w:rsidRDefault="00D857AC" w:rsidP="00D857AC">
      <w:pPr>
        <w:jc w:val="both"/>
        <w:rPr>
          <w:rFonts w:eastAsia="Calibri"/>
          <w:sz w:val="22"/>
          <w:szCs w:val="22"/>
          <w:lang w:val="sr-Latn-RS"/>
        </w:rPr>
      </w:pPr>
      <w:r w:rsidRPr="00234ECD">
        <w:rPr>
          <w:rFonts w:eastAsia="Calibri"/>
          <w:sz w:val="22"/>
          <w:szCs w:val="22"/>
          <w:lang w:val="sr-Latn-RS"/>
        </w:rPr>
        <w:t>Kabozantinib je pokazao dozno zavisnu inhibiciju rasta tumora, regresiju tumora i/ili je inhibirao metastaze u širokom spektru pretkliničkih modela tumora.</w:t>
      </w:r>
    </w:p>
    <w:p w14:paraId="573FA75D" w14:textId="77777777" w:rsidR="00D857AC" w:rsidRPr="00234ECD" w:rsidRDefault="00D857AC" w:rsidP="00D857AC">
      <w:pPr>
        <w:jc w:val="both"/>
        <w:rPr>
          <w:rFonts w:eastAsia="Calibri"/>
          <w:sz w:val="22"/>
          <w:szCs w:val="22"/>
          <w:lang w:val="sr-Latn-RS"/>
        </w:rPr>
      </w:pPr>
    </w:p>
    <w:p w14:paraId="4004712E"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Elektrofiziologija srca</w:t>
      </w:r>
    </w:p>
    <w:p w14:paraId="0576B5C0" w14:textId="51CE6AED" w:rsidR="00D857AC" w:rsidRPr="00234ECD" w:rsidRDefault="00D857AC" w:rsidP="00D857AC">
      <w:pPr>
        <w:jc w:val="both"/>
        <w:rPr>
          <w:rFonts w:eastAsia="Calibri"/>
          <w:sz w:val="22"/>
          <w:szCs w:val="22"/>
          <w:lang w:val="sr-Latn-RS"/>
        </w:rPr>
      </w:pPr>
      <w:r w:rsidRPr="00234ECD">
        <w:rPr>
          <w:rFonts w:eastAsia="Calibri"/>
          <w:sz w:val="22"/>
          <w:szCs w:val="22"/>
          <w:lang w:val="sr-Latn-RS"/>
        </w:rPr>
        <w:t>U kontrolisanom kliničkom ispitivanju, kod pacijenata sa medularnim karcinomom tireoidne žl</w:t>
      </w:r>
      <w:r w:rsidR="0059702D" w:rsidRPr="00234ECD">
        <w:rPr>
          <w:rFonts w:eastAsia="Calibri"/>
          <w:sz w:val="22"/>
          <w:szCs w:val="22"/>
          <w:lang w:val="sr-Latn-RS"/>
        </w:rPr>
        <w:t>ij</w:t>
      </w:r>
      <w:r w:rsidRPr="00234ECD">
        <w:rPr>
          <w:rFonts w:eastAsia="Calibri"/>
          <w:sz w:val="22"/>
          <w:szCs w:val="22"/>
          <w:lang w:val="sr-Latn-RS"/>
        </w:rPr>
        <w:t>ezde uočeno je povećanje u odnosu na početne vr</w:t>
      </w:r>
      <w:r w:rsidR="0059702D" w:rsidRPr="00234ECD">
        <w:rPr>
          <w:rFonts w:eastAsia="Calibri"/>
          <w:sz w:val="22"/>
          <w:szCs w:val="22"/>
          <w:lang w:val="sr-Latn-RS"/>
        </w:rPr>
        <w:t>ij</w:t>
      </w:r>
      <w:r w:rsidRPr="00234ECD">
        <w:rPr>
          <w:rFonts w:eastAsia="Calibri"/>
          <w:sz w:val="22"/>
          <w:szCs w:val="22"/>
          <w:lang w:val="sr-Latn-RS"/>
        </w:rPr>
        <w:t xml:space="preserve">ednosti QT intervala korigovanog prema </w:t>
      </w:r>
      <w:r w:rsidRPr="00234ECD">
        <w:rPr>
          <w:rFonts w:eastAsia="Calibri"/>
          <w:i/>
          <w:sz w:val="22"/>
          <w:szCs w:val="22"/>
          <w:lang w:val="sr-Latn-RS"/>
        </w:rPr>
        <w:t>Fridericia</w:t>
      </w:r>
      <w:r w:rsidRPr="00234ECD">
        <w:rPr>
          <w:rFonts w:eastAsia="Calibri"/>
          <w:sz w:val="22"/>
          <w:szCs w:val="22"/>
          <w:lang w:val="sr-Latn-RS"/>
        </w:rPr>
        <w:t xml:space="preserve"> metodi (QTcF) od 10 do 15 msec 29. dana (ali ne i prvog dana) nakon početka l</w:t>
      </w:r>
      <w:r w:rsidR="0059702D" w:rsidRPr="00234ECD">
        <w:rPr>
          <w:rFonts w:eastAsia="Calibri"/>
          <w:sz w:val="22"/>
          <w:szCs w:val="22"/>
          <w:lang w:val="sr-Latn-RS"/>
        </w:rPr>
        <w:t>ij</w:t>
      </w:r>
      <w:r w:rsidRPr="00234ECD">
        <w:rPr>
          <w:rFonts w:eastAsia="Calibri"/>
          <w:sz w:val="22"/>
          <w:szCs w:val="22"/>
          <w:lang w:val="sr-Latn-RS"/>
        </w:rPr>
        <w:t>ečenja kabozantinibom (pri dozi od 140 mg jednom dnevno). Ovaj efekat nije bio povezan sa prom</w:t>
      </w:r>
      <w:r w:rsidR="0059702D" w:rsidRPr="00234ECD">
        <w:rPr>
          <w:rFonts w:eastAsia="Calibri"/>
          <w:sz w:val="22"/>
          <w:szCs w:val="22"/>
          <w:lang w:val="sr-Latn-RS"/>
        </w:rPr>
        <w:t>j</w:t>
      </w:r>
      <w:r w:rsidRPr="00234ECD">
        <w:rPr>
          <w:rFonts w:eastAsia="Calibri"/>
          <w:sz w:val="22"/>
          <w:szCs w:val="22"/>
          <w:lang w:val="sr-Latn-RS"/>
        </w:rPr>
        <w:t>enom morfologije talasa ili prom</w:t>
      </w:r>
      <w:r w:rsidR="0059702D" w:rsidRPr="00234ECD">
        <w:rPr>
          <w:rFonts w:eastAsia="Calibri"/>
          <w:sz w:val="22"/>
          <w:szCs w:val="22"/>
          <w:lang w:val="sr-Latn-RS"/>
        </w:rPr>
        <w:t>j</w:t>
      </w:r>
      <w:r w:rsidRPr="00234ECD">
        <w:rPr>
          <w:rFonts w:eastAsia="Calibri"/>
          <w:sz w:val="22"/>
          <w:szCs w:val="22"/>
          <w:lang w:val="sr-Latn-RS"/>
        </w:rPr>
        <w:t>enama ritma rada srca. Nijedan od ispitanika koji su primali kabozantinib u ovoj studiji nije imao potvrđen QTcF &gt;500 msec, kao ni bilo koji od ispitanika koji su primali kabozantinib u studijama RCC ili HCC (pri dozi od 60 mg).</w:t>
      </w:r>
    </w:p>
    <w:p w14:paraId="36273787" w14:textId="77777777" w:rsidR="00D857AC" w:rsidRPr="00234ECD" w:rsidRDefault="00D857AC" w:rsidP="00D857AC">
      <w:pPr>
        <w:jc w:val="both"/>
        <w:rPr>
          <w:rFonts w:eastAsia="Calibri"/>
          <w:sz w:val="22"/>
          <w:szCs w:val="22"/>
          <w:lang w:val="sr-Latn-RS"/>
        </w:rPr>
      </w:pPr>
    </w:p>
    <w:p w14:paraId="198A1967" w14:textId="76E8DEF6"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Klinička efikasnost i bezb</w:t>
      </w:r>
      <w:r w:rsidR="0059702D" w:rsidRPr="00234ECD">
        <w:rPr>
          <w:rFonts w:eastAsia="Calibri"/>
          <w:sz w:val="22"/>
          <w:szCs w:val="22"/>
          <w:u w:val="single"/>
          <w:lang w:val="sr-Latn-RS"/>
        </w:rPr>
        <w:t>j</w:t>
      </w:r>
      <w:r w:rsidRPr="00234ECD">
        <w:rPr>
          <w:rFonts w:eastAsia="Calibri"/>
          <w:sz w:val="22"/>
          <w:szCs w:val="22"/>
          <w:u w:val="single"/>
          <w:lang w:val="sr-Latn-RS"/>
        </w:rPr>
        <w:t>ednost</w:t>
      </w:r>
    </w:p>
    <w:p w14:paraId="61FD3259" w14:textId="77777777" w:rsidR="00D857AC" w:rsidRPr="00234ECD" w:rsidRDefault="00D857AC" w:rsidP="00D857AC">
      <w:pPr>
        <w:jc w:val="both"/>
        <w:rPr>
          <w:rFonts w:eastAsia="Calibri"/>
          <w:sz w:val="22"/>
          <w:szCs w:val="22"/>
          <w:lang w:val="sr-Latn-RS"/>
        </w:rPr>
      </w:pPr>
    </w:p>
    <w:p w14:paraId="4981676F" w14:textId="783C06D2" w:rsidR="00D857AC" w:rsidRPr="00234ECD" w:rsidRDefault="00D857AC" w:rsidP="00D857AC">
      <w:pPr>
        <w:jc w:val="both"/>
        <w:rPr>
          <w:rFonts w:eastAsia="Calibri"/>
          <w:i/>
          <w:sz w:val="22"/>
          <w:szCs w:val="22"/>
          <w:lang w:val="sr-Latn-RS"/>
        </w:rPr>
      </w:pPr>
      <w:r w:rsidRPr="00234ECD">
        <w:rPr>
          <w:rFonts w:eastAsia="Calibri"/>
          <w:i/>
          <w:sz w:val="22"/>
          <w:szCs w:val="22"/>
          <w:lang w:val="sr-Latn-RS"/>
        </w:rPr>
        <w:t>Karcinom bubrežnih ćelija</w:t>
      </w:r>
    </w:p>
    <w:p w14:paraId="31DEA97D" w14:textId="77777777" w:rsidR="00B30790" w:rsidRPr="00234ECD" w:rsidRDefault="00B30790" w:rsidP="00D857AC">
      <w:pPr>
        <w:jc w:val="both"/>
        <w:rPr>
          <w:rFonts w:eastAsia="Calibri"/>
          <w:i/>
          <w:sz w:val="22"/>
          <w:szCs w:val="22"/>
          <w:lang w:val="sr-Latn-RS"/>
        </w:rPr>
      </w:pPr>
    </w:p>
    <w:p w14:paraId="0469E4C5" w14:textId="5932B7D8" w:rsidR="00D857AC" w:rsidRPr="00234ECD" w:rsidRDefault="00D857AC" w:rsidP="00D857AC">
      <w:pPr>
        <w:jc w:val="both"/>
        <w:rPr>
          <w:rFonts w:eastAsia="Calibri"/>
          <w:i/>
          <w:sz w:val="22"/>
          <w:szCs w:val="22"/>
          <w:u w:val="single"/>
          <w:lang w:val="sr-Latn-RS"/>
        </w:rPr>
      </w:pPr>
      <w:r w:rsidRPr="00234ECD">
        <w:rPr>
          <w:rFonts w:eastAsia="Calibri"/>
          <w:i/>
          <w:sz w:val="22"/>
          <w:szCs w:val="22"/>
          <w:u w:val="single"/>
          <w:lang w:val="sr-Latn-RS"/>
        </w:rPr>
        <w:t>Randomizovana studija kod pacijenata sa karcinomom bubrežnih ćelija nakon prethodne terapije usm</w:t>
      </w:r>
      <w:r w:rsidR="0059702D" w:rsidRPr="00234ECD">
        <w:rPr>
          <w:rFonts w:eastAsia="Calibri"/>
          <w:i/>
          <w:sz w:val="22"/>
          <w:szCs w:val="22"/>
          <w:u w:val="single"/>
          <w:lang w:val="sr-Latn-RS"/>
        </w:rPr>
        <w:t>j</w:t>
      </w:r>
      <w:r w:rsidRPr="00234ECD">
        <w:rPr>
          <w:rFonts w:eastAsia="Calibri"/>
          <w:i/>
          <w:sz w:val="22"/>
          <w:szCs w:val="22"/>
          <w:u w:val="single"/>
          <w:lang w:val="sr-Latn-RS"/>
        </w:rPr>
        <w:t>erene na vaskularni endotelni faktor rasta (VEGF)(METEOR)</w:t>
      </w:r>
    </w:p>
    <w:p w14:paraId="6D7A0C11" w14:textId="77777777" w:rsidR="00D857AC" w:rsidRPr="00234ECD" w:rsidRDefault="00D857AC" w:rsidP="00D857AC">
      <w:pPr>
        <w:jc w:val="both"/>
        <w:rPr>
          <w:rFonts w:eastAsia="Calibri"/>
          <w:sz w:val="22"/>
          <w:szCs w:val="22"/>
          <w:lang w:val="sr-Latn-RS"/>
        </w:rPr>
      </w:pPr>
    </w:p>
    <w:p w14:paraId="7E2DD259" w14:textId="7E82D10A" w:rsidR="00D857AC" w:rsidRPr="00234ECD" w:rsidRDefault="00D857AC" w:rsidP="00D857AC">
      <w:pPr>
        <w:jc w:val="both"/>
        <w:rPr>
          <w:rFonts w:eastAsia="Calibri"/>
          <w:sz w:val="22"/>
          <w:szCs w:val="22"/>
          <w:lang w:val="sr-Latn-RS"/>
        </w:rPr>
      </w:pPr>
      <w:r w:rsidRPr="00234ECD">
        <w:rPr>
          <w:rFonts w:eastAsia="Calibri"/>
          <w:sz w:val="22"/>
          <w:szCs w:val="22"/>
          <w:lang w:val="sr-Latn-RS"/>
        </w:rPr>
        <w:t>Bezb</w:t>
      </w:r>
      <w:r w:rsidR="0059702D" w:rsidRPr="00234ECD">
        <w:rPr>
          <w:rFonts w:eastAsia="Calibri"/>
          <w:sz w:val="22"/>
          <w:szCs w:val="22"/>
          <w:lang w:val="sr-Latn-RS"/>
        </w:rPr>
        <w:t>j</w:t>
      </w:r>
      <w:r w:rsidRPr="00234ECD">
        <w:rPr>
          <w:rFonts w:eastAsia="Calibri"/>
          <w:sz w:val="22"/>
          <w:szCs w:val="22"/>
          <w:lang w:val="sr-Latn-RS"/>
        </w:rPr>
        <w:t>ednost i efikasnost l</w:t>
      </w:r>
      <w:r w:rsidR="0059702D" w:rsidRPr="00234ECD">
        <w:rPr>
          <w:rFonts w:eastAsia="Calibri"/>
          <w:sz w:val="22"/>
          <w:szCs w:val="22"/>
          <w:lang w:val="sr-Latn-RS"/>
        </w:rPr>
        <w:t>ij</w:t>
      </w:r>
      <w:r w:rsidRPr="00234ECD">
        <w:rPr>
          <w:rFonts w:eastAsia="Calibri"/>
          <w:sz w:val="22"/>
          <w:szCs w:val="22"/>
          <w:lang w:val="sr-Latn-RS"/>
        </w:rPr>
        <w:t>eka Cabometyx u l</w:t>
      </w:r>
      <w:r w:rsidR="0059702D" w:rsidRPr="00234ECD">
        <w:rPr>
          <w:rFonts w:eastAsia="Calibri"/>
          <w:sz w:val="22"/>
          <w:szCs w:val="22"/>
          <w:lang w:val="sr-Latn-RS"/>
        </w:rPr>
        <w:t>ij</w:t>
      </w:r>
      <w:r w:rsidRPr="00234ECD">
        <w:rPr>
          <w:rFonts w:eastAsia="Calibri"/>
          <w:sz w:val="22"/>
          <w:szCs w:val="22"/>
          <w:lang w:val="sr-Latn-RS"/>
        </w:rPr>
        <w:t>ečenju karcinoma bubrežnih ćelija nakon prethodne terapije usm</w:t>
      </w:r>
      <w:r w:rsidR="0059702D" w:rsidRPr="00234ECD">
        <w:rPr>
          <w:rFonts w:eastAsia="Calibri"/>
          <w:sz w:val="22"/>
          <w:szCs w:val="22"/>
          <w:lang w:val="sr-Latn-RS"/>
        </w:rPr>
        <w:t>j</w:t>
      </w:r>
      <w:r w:rsidRPr="00234ECD">
        <w:rPr>
          <w:rFonts w:eastAsia="Calibri"/>
          <w:sz w:val="22"/>
          <w:szCs w:val="22"/>
          <w:lang w:val="sr-Latn-RS"/>
        </w:rPr>
        <w:t>erene na vaskularni endotelni faktor rasta (VEGF) proc</w:t>
      </w:r>
      <w:r w:rsidR="0059702D" w:rsidRPr="00234ECD">
        <w:rPr>
          <w:rFonts w:eastAsia="Calibri"/>
          <w:sz w:val="22"/>
          <w:szCs w:val="22"/>
          <w:lang w:val="sr-Latn-RS"/>
        </w:rPr>
        <w:t>ij</w:t>
      </w:r>
      <w:r w:rsidRPr="00234ECD">
        <w:rPr>
          <w:rFonts w:eastAsia="Calibri"/>
          <w:sz w:val="22"/>
          <w:szCs w:val="22"/>
          <w:lang w:val="sr-Latn-RS"/>
        </w:rPr>
        <w:t xml:space="preserve">enjene su u randomizovanoj, multicentričnoj, otvorenoj studiji faze 3 (METEOR). Pacijenti (N=658) sa uznapredovalim </w:t>
      </w:r>
      <w:r w:rsidR="00C52527" w:rsidRPr="00234ECD">
        <w:rPr>
          <w:rFonts w:eastAsia="Calibri"/>
          <w:sz w:val="22"/>
          <w:szCs w:val="22"/>
          <w:lang w:val="sr-Latn-RS"/>
        </w:rPr>
        <w:t xml:space="preserve">svijetloćelijskim </w:t>
      </w:r>
      <w:r w:rsidRPr="00234ECD">
        <w:rPr>
          <w:rFonts w:eastAsia="Calibri"/>
          <w:sz w:val="22"/>
          <w:szCs w:val="22"/>
          <w:lang w:val="sr-Latn-RS"/>
        </w:rPr>
        <w:t xml:space="preserve">RCC koji su prethodno primili najmanje jedan inhibitor receptora tirozin kinaze VEGF receptora (VEGFR TKI) bili su randomizovani (1:1) kako bi primali </w:t>
      </w:r>
      <w:r w:rsidR="00CD44D1" w:rsidRPr="00234ECD">
        <w:rPr>
          <w:rFonts w:eastAsia="Calibri"/>
          <w:sz w:val="22"/>
          <w:szCs w:val="22"/>
          <w:lang w:val="sr-Latn-RS"/>
        </w:rPr>
        <w:t>kabozantinib</w:t>
      </w:r>
      <w:r w:rsidRPr="00234ECD">
        <w:rPr>
          <w:rFonts w:eastAsia="Calibri"/>
          <w:sz w:val="22"/>
          <w:szCs w:val="22"/>
          <w:lang w:val="sr-Latn-RS"/>
        </w:rPr>
        <w:t xml:space="preserve"> (N=330) ili everolimus (N=328). Pacijenti su prethodno mogli da prime i druge terapije, uključujući i citokine i antit</w:t>
      </w:r>
      <w:r w:rsidR="0059702D" w:rsidRPr="00234ECD">
        <w:rPr>
          <w:rFonts w:eastAsia="Calibri"/>
          <w:sz w:val="22"/>
          <w:szCs w:val="22"/>
          <w:lang w:val="sr-Latn-RS"/>
        </w:rPr>
        <w:t>ij</w:t>
      </w:r>
      <w:r w:rsidRPr="00234ECD">
        <w:rPr>
          <w:rFonts w:eastAsia="Calibri"/>
          <w:sz w:val="22"/>
          <w:szCs w:val="22"/>
          <w:lang w:val="sr-Latn-RS"/>
        </w:rPr>
        <w:t>ela na VEGF, receptor programirane smrti 1 (PD-1) ili njegove ligande. Bilo je dozvoljeno uključenje pacijenata sa l</w:t>
      </w:r>
      <w:r w:rsidR="0059702D" w:rsidRPr="00234ECD">
        <w:rPr>
          <w:rFonts w:eastAsia="Calibri"/>
          <w:sz w:val="22"/>
          <w:szCs w:val="22"/>
          <w:lang w:val="sr-Latn-RS"/>
        </w:rPr>
        <w:t>ij</w:t>
      </w:r>
      <w:r w:rsidRPr="00234ECD">
        <w:rPr>
          <w:rFonts w:eastAsia="Calibri"/>
          <w:sz w:val="22"/>
          <w:szCs w:val="22"/>
          <w:lang w:val="sr-Latn-RS"/>
        </w:rPr>
        <w:t>ečenim metastazama na mozgu. Preživljavanje bez progresije bolesti (eng</w:t>
      </w:r>
      <w:r w:rsidR="00B30790" w:rsidRPr="00234ECD">
        <w:rPr>
          <w:rFonts w:eastAsia="Calibri"/>
          <w:sz w:val="22"/>
          <w:szCs w:val="22"/>
          <w:lang w:val="sr-Latn-RS"/>
        </w:rPr>
        <w:t>l</w:t>
      </w:r>
      <w:r w:rsidRPr="00234ECD">
        <w:rPr>
          <w:rFonts w:eastAsia="Calibri"/>
          <w:sz w:val="22"/>
          <w:szCs w:val="22"/>
          <w:lang w:val="sr-Latn-RS"/>
        </w:rPr>
        <w:t xml:space="preserve">. </w:t>
      </w:r>
      <w:r w:rsidRPr="00234ECD">
        <w:rPr>
          <w:rFonts w:eastAsia="Calibri"/>
          <w:i/>
          <w:sz w:val="22"/>
          <w:szCs w:val="22"/>
          <w:lang w:val="sr-Latn-RS"/>
        </w:rPr>
        <w:t>progression-free survival, PFS</w:t>
      </w:r>
      <w:r w:rsidRPr="00234ECD">
        <w:rPr>
          <w:rFonts w:eastAsia="Calibri"/>
          <w:sz w:val="22"/>
          <w:szCs w:val="22"/>
          <w:lang w:val="sr-Latn-RS"/>
        </w:rPr>
        <w:t>) bilo je proc</w:t>
      </w:r>
      <w:r w:rsidR="0059702D" w:rsidRPr="00234ECD">
        <w:rPr>
          <w:rFonts w:eastAsia="Calibri"/>
          <w:sz w:val="22"/>
          <w:szCs w:val="22"/>
          <w:lang w:val="sr-Latn-RS"/>
        </w:rPr>
        <w:t>ij</w:t>
      </w:r>
      <w:r w:rsidRPr="00234ECD">
        <w:rPr>
          <w:rFonts w:eastAsia="Calibri"/>
          <w:sz w:val="22"/>
          <w:szCs w:val="22"/>
          <w:lang w:val="sr-Latn-RS"/>
        </w:rPr>
        <w:t>enjeno od strane zasl</w:t>
      </w:r>
      <w:r w:rsidR="0059702D" w:rsidRPr="00234ECD">
        <w:rPr>
          <w:rFonts w:eastAsia="Calibri"/>
          <w:sz w:val="22"/>
          <w:szCs w:val="22"/>
          <w:lang w:val="sr-Latn-RS"/>
        </w:rPr>
        <w:t>ij</w:t>
      </w:r>
      <w:r w:rsidRPr="00234ECD">
        <w:rPr>
          <w:rFonts w:eastAsia="Calibri"/>
          <w:sz w:val="22"/>
          <w:szCs w:val="22"/>
          <w:lang w:val="sr-Latn-RS"/>
        </w:rPr>
        <w:t>epljene Komisije za nezavisni radiološki pregled</w:t>
      </w:r>
      <w:r w:rsidR="009637BB" w:rsidRPr="00234ECD">
        <w:rPr>
          <w:rFonts w:eastAsia="Calibri"/>
          <w:sz w:val="22"/>
          <w:szCs w:val="22"/>
          <w:lang w:val="sr-Latn-RS"/>
        </w:rPr>
        <w:t xml:space="preserve"> (engl. </w:t>
      </w:r>
      <w:r w:rsidR="009637BB" w:rsidRPr="00234ECD">
        <w:rPr>
          <w:i/>
          <w:sz w:val="22"/>
          <w:szCs w:val="22"/>
          <w:lang w:val="sr-Latn-RS"/>
        </w:rPr>
        <w:t>Independent Radiology Committee</w:t>
      </w:r>
      <w:r w:rsidR="009637BB" w:rsidRPr="00234ECD">
        <w:rPr>
          <w:sz w:val="22"/>
          <w:szCs w:val="22"/>
          <w:lang w:val="sr-Latn-RS"/>
        </w:rPr>
        <w:t>, I</w:t>
      </w:r>
      <w:r w:rsidR="00CD5AA6" w:rsidRPr="00234ECD">
        <w:rPr>
          <w:sz w:val="22"/>
          <w:szCs w:val="22"/>
          <w:lang w:val="sr-Latn-RS"/>
        </w:rPr>
        <w:t>RC</w:t>
      </w:r>
      <w:r w:rsidR="009637BB" w:rsidRPr="00234ECD">
        <w:rPr>
          <w:sz w:val="22"/>
          <w:szCs w:val="22"/>
          <w:lang w:val="sr-Latn-RS"/>
        </w:rPr>
        <w:t>)</w:t>
      </w:r>
      <w:r w:rsidRPr="00234ECD">
        <w:rPr>
          <w:rFonts w:eastAsia="Calibri"/>
          <w:sz w:val="22"/>
          <w:szCs w:val="22"/>
          <w:lang w:val="sr-Latn-RS"/>
        </w:rPr>
        <w:t>, a primarna analiza sprovedena je među prvih 375 randomizovanih ispitanika. Sekundarni parametri praćenja ishoda efikasnosti bili su stopa objektivnog odgovora (eng</w:t>
      </w:r>
      <w:r w:rsidR="002A3536" w:rsidRPr="00234ECD">
        <w:rPr>
          <w:rFonts w:eastAsia="Calibri"/>
          <w:sz w:val="22"/>
          <w:szCs w:val="22"/>
          <w:lang w:val="sr-Latn-RS"/>
        </w:rPr>
        <w:t>l</w:t>
      </w:r>
      <w:r w:rsidRPr="00234ECD">
        <w:rPr>
          <w:rFonts w:eastAsia="Calibri"/>
          <w:i/>
          <w:sz w:val="22"/>
          <w:szCs w:val="22"/>
          <w:lang w:val="sr-Latn-RS"/>
        </w:rPr>
        <w:t>. objective response rate, ORR</w:t>
      </w:r>
      <w:r w:rsidRPr="00234ECD">
        <w:rPr>
          <w:rFonts w:eastAsia="Calibri"/>
          <w:sz w:val="22"/>
          <w:szCs w:val="22"/>
          <w:lang w:val="sr-Latn-RS"/>
        </w:rPr>
        <w:t>) i ukupno preživljavanje (eng</w:t>
      </w:r>
      <w:r w:rsidR="002A3536" w:rsidRPr="00234ECD">
        <w:rPr>
          <w:rFonts w:eastAsia="Calibri"/>
          <w:sz w:val="22"/>
          <w:szCs w:val="22"/>
          <w:lang w:val="sr-Latn-RS"/>
        </w:rPr>
        <w:t>l</w:t>
      </w:r>
      <w:r w:rsidRPr="00234ECD">
        <w:rPr>
          <w:rFonts w:eastAsia="Calibri"/>
          <w:sz w:val="22"/>
          <w:szCs w:val="22"/>
          <w:lang w:val="sr-Latn-RS"/>
        </w:rPr>
        <w:t xml:space="preserve">. </w:t>
      </w:r>
      <w:r w:rsidRPr="00234ECD">
        <w:rPr>
          <w:rFonts w:eastAsia="Calibri"/>
          <w:i/>
          <w:sz w:val="22"/>
          <w:szCs w:val="22"/>
          <w:lang w:val="sr-Latn-RS"/>
        </w:rPr>
        <w:t>overall survival, OS</w:t>
      </w:r>
      <w:r w:rsidRPr="00234ECD">
        <w:rPr>
          <w:rFonts w:eastAsia="Calibri"/>
          <w:sz w:val="22"/>
          <w:szCs w:val="22"/>
          <w:lang w:val="sr-Latn-RS"/>
        </w:rPr>
        <w:t>). Proc</w:t>
      </w:r>
      <w:r w:rsidR="0059702D" w:rsidRPr="00234ECD">
        <w:rPr>
          <w:rFonts w:eastAsia="Calibri"/>
          <w:sz w:val="22"/>
          <w:szCs w:val="22"/>
          <w:lang w:val="sr-Latn-RS"/>
        </w:rPr>
        <w:t>j</w:t>
      </w:r>
      <w:r w:rsidRPr="00234ECD">
        <w:rPr>
          <w:rFonts w:eastAsia="Calibri"/>
          <w:sz w:val="22"/>
          <w:szCs w:val="22"/>
          <w:lang w:val="sr-Latn-RS"/>
        </w:rPr>
        <w:t>ene tumora sprovođene su na svakih 8 ned</w:t>
      </w:r>
      <w:r w:rsidR="0059702D" w:rsidRPr="00234ECD">
        <w:rPr>
          <w:rFonts w:eastAsia="Calibri"/>
          <w:sz w:val="22"/>
          <w:szCs w:val="22"/>
          <w:lang w:val="sr-Latn-RS"/>
        </w:rPr>
        <w:t>j</w:t>
      </w:r>
      <w:r w:rsidRPr="00234ECD">
        <w:rPr>
          <w:rFonts w:eastAsia="Calibri"/>
          <w:sz w:val="22"/>
          <w:szCs w:val="22"/>
          <w:lang w:val="sr-Latn-RS"/>
        </w:rPr>
        <w:t>elja tokom prvih 12 m</w:t>
      </w:r>
      <w:r w:rsidR="0059702D" w:rsidRPr="00234ECD">
        <w:rPr>
          <w:rFonts w:eastAsia="Calibri"/>
          <w:sz w:val="22"/>
          <w:szCs w:val="22"/>
          <w:lang w:val="sr-Latn-RS"/>
        </w:rPr>
        <w:t>j</w:t>
      </w:r>
      <w:r w:rsidRPr="00234ECD">
        <w:rPr>
          <w:rFonts w:eastAsia="Calibri"/>
          <w:sz w:val="22"/>
          <w:szCs w:val="22"/>
          <w:lang w:val="sr-Latn-RS"/>
        </w:rPr>
        <w:t>eseci, a posl</w:t>
      </w:r>
      <w:r w:rsidR="0059702D" w:rsidRPr="00234ECD">
        <w:rPr>
          <w:rFonts w:eastAsia="Calibri"/>
          <w:sz w:val="22"/>
          <w:szCs w:val="22"/>
          <w:lang w:val="sr-Latn-RS"/>
        </w:rPr>
        <w:t>ij</w:t>
      </w:r>
      <w:r w:rsidRPr="00234ECD">
        <w:rPr>
          <w:rFonts w:eastAsia="Calibri"/>
          <w:sz w:val="22"/>
          <w:szCs w:val="22"/>
          <w:lang w:val="sr-Latn-RS"/>
        </w:rPr>
        <w:t>e toga na svakih 12 ned</w:t>
      </w:r>
      <w:r w:rsidR="0059702D" w:rsidRPr="00234ECD">
        <w:rPr>
          <w:rFonts w:eastAsia="Calibri"/>
          <w:sz w:val="22"/>
          <w:szCs w:val="22"/>
          <w:lang w:val="sr-Latn-RS"/>
        </w:rPr>
        <w:t>j</w:t>
      </w:r>
      <w:r w:rsidRPr="00234ECD">
        <w:rPr>
          <w:rFonts w:eastAsia="Calibri"/>
          <w:sz w:val="22"/>
          <w:szCs w:val="22"/>
          <w:lang w:val="sr-Latn-RS"/>
        </w:rPr>
        <w:t>elja.</w:t>
      </w:r>
    </w:p>
    <w:p w14:paraId="3EEB8902" w14:textId="77777777" w:rsidR="00D857AC" w:rsidRPr="00234ECD" w:rsidRDefault="00D857AC" w:rsidP="00D857AC">
      <w:pPr>
        <w:jc w:val="both"/>
        <w:rPr>
          <w:rFonts w:eastAsia="Calibri"/>
          <w:sz w:val="22"/>
          <w:szCs w:val="22"/>
          <w:lang w:val="sr-Latn-RS"/>
        </w:rPr>
      </w:pPr>
    </w:p>
    <w:p w14:paraId="6CF3E21F" w14:textId="1CE4B795" w:rsidR="00D857AC" w:rsidRPr="00234ECD" w:rsidRDefault="00D857AC" w:rsidP="00D857AC">
      <w:pPr>
        <w:jc w:val="both"/>
        <w:rPr>
          <w:rFonts w:eastAsia="Calibri"/>
          <w:sz w:val="22"/>
          <w:szCs w:val="22"/>
          <w:lang w:val="sr-Latn-RS"/>
        </w:rPr>
      </w:pPr>
      <w:r w:rsidRPr="00234ECD">
        <w:rPr>
          <w:rFonts w:eastAsia="Calibri"/>
          <w:sz w:val="22"/>
          <w:szCs w:val="22"/>
          <w:lang w:val="sr-Latn-RS"/>
        </w:rPr>
        <w:t xml:space="preserve">Početni demografski podaci i karakteristike bolesti u grupama koje su primale </w:t>
      </w:r>
      <w:r w:rsidR="00CD44D1" w:rsidRPr="00234ECD">
        <w:rPr>
          <w:rFonts w:eastAsia="Calibri"/>
          <w:sz w:val="22"/>
          <w:szCs w:val="22"/>
          <w:lang w:val="sr-Latn-RS"/>
        </w:rPr>
        <w:t>kabozantinib</w:t>
      </w:r>
      <w:r w:rsidRPr="00234ECD">
        <w:rPr>
          <w:rFonts w:eastAsia="Calibri"/>
          <w:sz w:val="22"/>
          <w:szCs w:val="22"/>
          <w:lang w:val="sr-Latn-RS"/>
        </w:rPr>
        <w:t xml:space="preserve"> i everolimus bili su slični. Većina pacijenata bili su muškarci (75%), sa medijanom starosti od 62 godine. Sedamdeset jedan procenat (71%) pacijenata prethodno je primilo samo jedan VEGFR TKI; 41% pacijenata primilo je sunitinib kao jedini prethodni VEGFR TKI. Prema </w:t>
      </w:r>
      <w:r w:rsidRPr="00234ECD">
        <w:rPr>
          <w:rFonts w:eastAsia="Calibri"/>
          <w:i/>
          <w:sz w:val="22"/>
          <w:szCs w:val="22"/>
          <w:lang w:val="sr-Latn-RS"/>
        </w:rPr>
        <w:t>Memorial Sloan Kettering Cancer Center</w:t>
      </w:r>
      <w:r w:rsidRPr="00234ECD">
        <w:rPr>
          <w:rFonts w:eastAsia="Calibri"/>
          <w:sz w:val="22"/>
          <w:szCs w:val="22"/>
          <w:lang w:val="sr-Latn-RS"/>
        </w:rPr>
        <w:t xml:space="preserve"> (MSKCC) kriterijumima za prognostičke kategorije rizika, 46% pacijenata spadalo je u kategoriju </w:t>
      </w:r>
      <w:bookmarkStart w:id="10" w:name="_Hlk23774048"/>
      <w:r w:rsidRPr="00234ECD">
        <w:rPr>
          <w:rFonts w:eastAsia="Calibri"/>
          <w:sz w:val="22"/>
          <w:szCs w:val="22"/>
          <w:lang w:val="sr-Latn-RS"/>
        </w:rPr>
        <w:t xml:space="preserve">povoljnog rizika (0 faktora rizika), 42% srednjeg (1 faktor rizika) i 13% lošeg rizika </w:t>
      </w:r>
      <w:bookmarkEnd w:id="10"/>
      <w:r w:rsidRPr="00234ECD">
        <w:rPr>
          <w:rFonts w:eastAsia="Calibri"/>
          <w:sz w:val="22"/>
          <w:szCs w:val="22"/>
          <w:lang w:val="sr-Latn-RS"/>
        </w:rPr>
        <w:t>(2 ili 3 faktora rizika). Pedeset i četiri procenta (54%) pacijenata imalo je 3 ili više organa zahvaćenih metastatskom bolešću, uključujući i pluća (63%), limfne čvorove (62%), jetru (29%) i kosti (22%). Medijana trajanja terapije iznosila je 7,6 m</w:t>
      </w:r>
      <w:r w:rsidR="0059702D" w:rsidRPr="00234ECD">
        <w:rPr>
          <w:rFonts w:eastAsia="Calibri"/>
          <w:sz w:val="22"/>
          <w:szCs w:val="22"/>
          <w:lang w:val="sr-Latn-RS"/>
        </w:rPr>
        <w:t>j</w:t>
      </w:r>
      <w:r w:rsidRPr="00234ECD">
        <w:rPr>
          <w:rFonts w:eastAsia="Calibri"/>
          <w:sz w:val="22"/>
          <w:szCs w:val="22"/>
          <w:lang w:val="sr-Latn-RS"/>
        </w:rPr>
        <w:t xml:space="preserve">eseci (raspon 0,3 – 20,5) za pacijente koji su primali </w:t>
      </w:r>
      <w:r w:rsidR="00CD44D1" w:rsidRPr="00234ECD">
        <w:rPr>
          <w:rFonts w:eastAsia="Calibri"/>
          <w:sz w:val="22"/>
          <w:szCs w:val="22"/>
          <w:lang w:val="sr-Latn-RS"/>
        </w:rPr>
        <w:t>kabozantinib</w:t>
      </w:r>
      <w:r w:rsidRPr="00234ECD">
        <w:rPr>
          <w:rFonts w:eastAsia="Calibri"/>
          <w:sz w:val="22"/>
          <w:szCs w:val="22"/>
          <w:lang w:val="sr-Latn-RS"/>
        </w:rPr>
        <w:t xml:space="preserve"> i 4,4 m</w:t>
      </w:r>
      <w:r w:rsidR="0059702D" w:rsidRPr="00234ECD">
        <w:rPr>
          <w:rFonts w:eastAsia="Calibri"/>
          <w:sz w:val="22"/>
          <w:szCs w:val="22"/>
          <w:lang w:val="sr-Latn-RS"/>
        </w:rPr>
        <w:t>j</w:t>
      </w:r>
      <w:r w:rsidRPr="00234ECD">
        <w:rPr>
          <w:rFonts w:eastAsia="Calibri"/>
          <w:sz w:val="22"/>
          <w:szCs w:val="22"/>
          <w:lang w:val="sr-Latn-RS"/>
        </w:rPr>
        <w:t>eseca (raspon 0,21 – 18,9) za pacijente koji su primali everolimus.</w:t>
      </w:r>
    </w:p>
    <w:p w14:paraId="6336BBA4" w14:textId="77777777" w:rsidR="00D857AC" w:rsidRPr="00234ECD" w:rsidRDefault="00D857AC" w:rsidP="00D857AC">
      <w:pPr>
        <w:jc w:val="both"/>
        <w:rPr>
          <w:rFonts w:eastAsia="Calibri"/>
          <w:sz w:val="22"/>
          <w:szCs w:val="22"/>
          <w:lang w:val="sr-Latn-RS"/>
        </w:rPr>
      </w:pPr>
    </w:p>
    <w:p w14:paraId="45C9707F" w14:textId="26690E02" w:rsidR="00D857AC" w:rsidRPr="00234ECD" w:rsidRDefault="00D857AC" w:rsidP="00D857AC">
      <w:pPr>
        <w:jc w:val="both"/>
        <w:rPr>
          <w:rFonts w:eastAsia="Calibri"/>
          <w:sz w:val="22"/>
          <w:szCs w:val="22"/>
          <w:lang w:val="sr-Latn-RS"/>
        </w:rPr>
      </w:pPr>
      <w:r w:rsidRPr="00234ECD">
        <w:rPr>
          <w:rFonts w:eastAsia="Calibri"/>
          <w:sz w:val="22"/>
          <w:szCs w:val="22"/>
          <w:lang w:val="sr-Latn-RS"/>
        </w:rPr>
        <w:t>Pokazalo se statistički značajno poboljšanje PFS za l</w:t>
      </w:r>
      <w:r w:rsidR="0059702D" w:rsidRPr="00234ECD">
        <w:rPr>
          <w:rFonts w:eastAsia="Calibri"/>
          <w:sz w:val="22"/>
          <w:szCs w:val="22"/>
          <w:lang w:val="sr-Latn-RS"/>
        </w:rPr>
        <w:t>ij</w:t>
      </w:r>
      <w:r w:rsidRPr="00234ECD">
        <w:rPr>
          <w:rFonts w:eastAsia="Calibri"/>
          <w:sz w:val="22"/>
          <w:szCs w:val="22"/>
          <w:lang w:val="sr-Latn-RS"/>
        </w:rPr>
        <w:t>ek Cabometyx u poređenju sa everolimusom (</w:t>
      </w:r>
      <w:r w:rsidR="002A3536" w:rsidRPr="00234ECD">
        <w:rPr>
          <w:rFonts w:eastAsia="Calibri"/>
          <w:sz w:val="22"/>
          <w:szCs w:val="22"/>
          <w:lang w:val="sr-Latn-RS"/>
        </w:rPr>
        <w:t>S</w:t>
      </w:r>
      <w:r w:rsidRPr="00234ECD">
        <w:rPr>
          <w:rFonts w:eastAsia="Calibri"/>
          <w:sz w:val="22"/>
          <w:szCs w:val="22"/>
          <w:lang w:val="sr-Latn-RS"/>
        </w:rPr>
        <w:t xml:space="preserve">lika 1 i </w:t>
      </w:r>
      <w:r w:rsidR="002A3536" w:rsidRPr="00234ECD">
        <w:rPr>
          <w:rFonts w:eastAsia="Calibri"/>
          <w:sz w:val="22"/>
          <w:szCs w:val="22"/>
          <w:lang w:val="sr-Latn-RS"/>
        </w:rPr>
        <w:t>T</w:t>
      </w:r>
      <w:r w:rsidRPr="00234ECD">
        <w:rPr>
          <w:rFonts w:eastAsia="Calibri"/>
          <w:sz w:val="22"/>
          <w:szCs w:val="22"/>
          <w:lang w:val="sr-Latn-RS"/>
        </w:rPr>
        <w:t>abela 4). Planirana interim analiza OS sprovedena je u vr</w:t>
      </w:r>
      <w:r w:rsidR="0059702D" w:rsidRPr="00234ECD">
        <w:rPr>
          <w:rFonts w:eastAsia="Calibri"/>
          <w:sz w:val="22"/>
          <w:szCs w:val="22"/>
          <w:lang w:val="sr-Latn-RS"/>
        </w:rPr>
        <w:t>ij</w:t>
      </w:r>
      <w:r w:rsidRPr="00234ECD">
        <w:rPr>
          <w:rFonts w:eastAsia="Calibri"/>
          <w:sz w:val="22"/>
          <w:szCs w:val="22"/>
          <w:lang w:val="sr-Latn-RS"/>
        </w:rPr>
        <w:t>eme sprovođenja analize PFS i nije dostigla granicu statističkog značaja (202 događaja, HR=0,68 [0,51; 0,90]; p=0,006). U sl</w:t>
      </w:r>
      <w:r w:rsidR="0059702D" w:rsidRPr="00234ECD">
        <w:rPr>
          <w:rFonts w:eastAsia="Calibri"/>
          <w:sz w:val="22"/>
          <w:szCs w:val="22"/>
          <w:lang w:val="sr-Latn-RS"/>
        </w:rPr>
        <w:t>j</w:t>
      </w:r>
      <w:r w:rsidRPr="00234ECD">
        <w:rPr>
          <w:rFonts w:eastAsia="Calibri"/>
          <w:sz w:val="22"/>
          <w:szCs w:val="22"/>
          <w:lang w:val="sr-Latn-RS"/>
        </w:rPr>
        <w:t xml:space="preserve">edećoj neplaniranoj interim analizi OS, pokazalo se statistički značajno poboljšanje kod pacijenata randomizovanih u grupu koja je primala </w:t>
      </w:r>
      <w:r w:rsidR="00CD44D1" w:rsidRPr="00234ECD">
        <w:rPr>
          <w:rFonts w:eastAsia="Calibri"/>
          <w:sz w:val="22"/>
          <w:szCs w:val="22"/>
          <w:lang w:val="sr-Latn-RS"/>
        </w:rPr>
        <w:t>kabozantinib</w:t>
      </w:r>
      <w:r w:rsidRPr="00234ECD">
        <w:rPr>
          <w:rFonts w:eastAsia="Calibri"/>
          <w:sz w:val="22"/>
          <w:szCs w:val="22"/>
          <w:lang w:val="sr-Latn-RS"/>
        </w:rPr>
        <w:t xml:space="preserve"> u poređenju sa grupom koja je primala l</w:t>
      </w:r>
      <w:r w:rsidR="000777B0" w:rsidRPr="00234ECD">
        <w:rPr>
          <w:rFonts w:eastAsia="Calibri"/>
          <w:sz w:val="22"/>
          <w:szCs w:val="22"/>
          <w:lang w:val="sr-Latn-RS"/>
        </w:rPr>
        <w:t>ij</w:t>
      </w:r>
      <w:r w:rsidRPr="00234ECD">
        <w:rPr>
          <w:rFonts w:eastAsia="Calibri"/>
          <w:sz w:val="22"/>
          <w:szCs w:val="22"/>
          <w:lang w:val="sr-Latn-RS"/>
        </w:rPr>
        <w:t>ek everolimus (320 događaja, medijana od 21,4 m</w:t>
      </w:r>
      <w:r w:rsidR="000777B0" w:rsidRPr="00234ECD">
        <w:rPr>
          <w:rFonts w:eastAsia="Calibri"/>
          <w:sz w:val="22"/>
          <w:szCs w:val="22"/>
          <w:lang w:val="sr-Latn-RS"/>
        </w:rPr>
        <w:t>j</w:t>
      </w:r>
      <w:r w:rsidRPr="00234ECD">
        <w:rPr>
          <w:rFonts w:eastAsia="Calibri"/>
          <w:sz w:val="22"/>
          <w:szCs w:val="22"/>
          <w:lang w:val="sr-Latn-RS"/>
        </w:rPr>
        <w:t>eseca naspram 16,5 m</w:t>
      </w:r>
      <w:r w:rsidR="000777B0" w:rsidRPr="00234ECD">
        <w:rPr>
          <w:rFonts w:eastAsia="Calibri"/>
          <w:sz w:val="22"/>
          <w:szCs w:val="22"/>
          <w:lang w:val="sr-Latn-RS"/>
        </w:rPr>
        <w:t>j</w:t>
      </w:r>
      <w:r w:rsidRPr="00234ECD">
        <w:rPr>
          <w:rFonts w:eastAsia="Calibri"/>
          <w:sz w:val="22"/>
          <w:szCs w:val="22"/>
          <w:lang w:val="sr-Latn-RS"/>
        </w:rPr>
        <w:t xml:space="preserve">eseci; HR=0,66 [0,53; 0,83]; p=0,0003; </w:t>
      </w:r>
      <w:r w:rsidR="002A3536" w:rsidRPr="00234ECD">
        <w:rPr>
          <w:rFonts w:eastAsia="Calibri"/>
          <w:sz w:val="22"/>
          <w:szCs w:val="22"/>
          <w:lang w:val="sr-Latn-RS"/>
        </w:rPr>
        <w:t>S</w:t>
      </w:r>
      <w:r w:rsidRPr="00234ECD">
        <w:rPr>
          <w:rFonts w:eastAsia="Calibri"/>
          <w:sz w:val="22"/>
          <w:szCs w:val="22"/>
          <w:lang w:val="sr-Latn-RS"/>
        </w:rPr>
        <w:t>lika 2). Uporedivi rezultati za OS utvrđeni su u analizi praćenja (deskriptivnoj) na 430 događaja.</w:t>
      </w:r>
    </w:p>
    <w:p w14:paraId="5BEDA3E2" w14:textId="77777777" w:rsidR="00D857AC" w:rsidRPr="00234ECD" w:rsidRDefault="00D857AC" w:rsidP="00D857AC">
      <w:pPr>
        <w:jc w:val="both"/>
        <w:rPr>
          <w:rFonts w:eastAsia="Calibri"/>
          <w:sz w:val="22"/>
          <w:szCs w:val="22"/>
          <w:lang w:val="sr-Latn-RS"/>
        </w:rPr>
      </w:pPr>
    </w:p>
    <w:p w14:paraId="46B4F695" w14:textId="764393A5" w:rsidR="00D857AC" w:rsidRPr="00234ECD" w:rsidRDefault="00D857AC" w:rsidP="00D857AC">
      <w:pPr>
        <w:jc w:val="both"/>
        <w:rPr>
          <w:rFonts w:eastAsia="Calibri"/>
          <w:sz w:val="22"/>
          <w:szCs w:val="22"/>
          <w:lang w:val="sr-Latn-RS"/>
        </w:rPr>
      </w:pPr>
      <w:r w:rsidRPr="00234ECD">
        <w:rPr>
          <w:rFonts w:eastAsia="Calibri"/>
          <w:sz w:val="22"/>
          <w:szCs w:val="22"/>
          <w:lang w:val="sr-Latn-RS"/>
        </w:rPr>
        <w:lastRenderedPageBreak/>
        <w:t>Eksplorativne analize PFS i OS kod populacije koja treba da primi terapiju (eng</w:t>
      </w:r>
      <w:r w:rsidR="002A3536" w:rsidRPr="00234ECD">
        <w:rPr>
          <w:rFonts w:eastAsia="Calibri"/>
          <w:sz w:val="22"/>
          <w:szCs w:val="22"/>
          <w:lang w:val="sr-Latn-RS"/>
        </w:rPr>
        <w:t>l</w:t>
      </w:r>
      <w:r w:rsidRPr="00234ECD">
        <w:rPr>
          <w:rFonts w:eastAsia="Calibri"/>
          <w:sz w:val="22"/>
          <w:szCs w:val="22"/>
          <w:lang w:val="sr-Latn-RS"/>
        </w:rPr>
        <w:t xml:space="preserve">. </w:t>
      </w:r>
      <w:r w:rsidRPr="00234ECD">
        <w:rPr>
          <w:rFonts w:eastAsia="Calibri"/>
          <w:i/>
          <w:sz w:val="22"/>
          <w:szCs w:val="22"/>
          <w:lang w:val="sr-Latn-RS"/>
        </w:rPr>
        <w:t>intent-to-treat, ITT</w:t>
      </w:r>
      <w:r w:rsidRPr="00234ECD">
        <w:rPr>
          <w:rFonts w:eastAsia="Calibri"/>
          <w:sz w:val="22"/>
          <w:szCs w:val="22"/>
          <w:lang w:val="sr-Latn-RS"/>
        </w:rPr>
        <w:t>) takođe su pokazale dosl</w:t>
      </w:r>
      <w:r w:rsidR="00C539CD" w:rsidRPr="00234ECD">
        <w:rPr>
          <w:rFonts w:eastAsia="Calibri"/>
          <w:sz w:val="22"/>
          <w:szCs w:val="22"/>
          <w:lang w:val="sr-Latn-RS"/>
        </w:rPr>
        <w:t>j</w:t>
      </w:r>
      <w:r w:rsidRPr="00234ECD">
        <w:rPr>
          <w:rFonts w:eastAsia="Calibri"/>
          <w:sz w:val="22"/>
          <w:szCs w:val="22"/>
          <w:lang w:val="sr-Latn-RS"/>
        </w:rPr>
        <w:t xml:space="preserve">edne rezultate u prilog </w:t>
      </w:r>
      <w:r w:rsidR="00CD44D1" w:rsidRPr="00234ECD">
        <w:rPr>
          <w:rFonts w:eastAsia="Calibri"/>
          <w:sz w:val="22"/>
          <w:szCs w:val="22"/>
          <w:lang w:val="sr-Latn-RS"/>
        </w:rPr>
        <w:t>kabozantinibu</w:t>
      </w:r>
      <w:r w:rsidRPr="00234ECD">
        <w:rPr>
          <w:rFonts w:eastAsia="Calibri"/>
          <w:sz w:val="22"/>
          <w:szCs w:val="22"/>
          <w:lang w:val="sr-Latn-RS"/>
        </w:rPr>
        <w:t xml:space="preserve"> u poređenju sa everolimusom u različitim podgrupama prema starosti (&lt;65 naspram ≥65), polu, MSKCC grupama rizika (povoljnog, srednjeg, lošeg rizika), ECOG statusu (0 naspram 1), vremenu od dijagnoze do randomizacije (&lt;1 godine naspram ≥1 godine), MET statusu tumora (visok naspram nizak naspram nepoznat), metastazama na kostima (odsustvo naspram prisustvo), visceralnim metastazama (odsustvo naspram prisustvo), visceralnim i metastazama na kostima (odsustvo naspram prisustvo), broju prethodnih VEGFR-TKI (1 naspram ≥2), trajanju prim</w:t>
      </w:r>
      <w:r w:rsidR="00C539CD" w:rsidRPr="00234ECD">
        <w:rPr>
          <w:rFonts w:eastAsia="Calibri"/>
          <w:sz w:val="22"/>
          <w:szCs w:val="22"/>
          <w:lang w:val="sr-Latn-RS"/>
        </w:rPr>
        <w:t>j</w:t>
      </w:r>
      <w:r w:rsidRPr="00234ECD">
        <w:rPr>
          <w:rFonts w:eastAsia="Calibri"/>
          <w:sz w:val="22"/>
          <w:szCs w:val="22"/>
          <w:lang w:val="sr-Latn-RS"/>
        </w:rPr>
        <w:t>ene prvog VEGFR-TKI (≤6 m</w:t>
      </w:r>
      <w:r w:rsidR="00C539CD" w:rsidRPr="00234ECD">
        <w:rPr>
          <w:rFonts w:eastAsia="Calibri"/>
          <w:sz w:val="22"/>
          <w:szCs w:val="22"/>
          <w:lang w:val="sr-Latn-RS"/>
        </w:rPr>
        <w:t>j</w:t>
      </w:r>
      <w:r w:rsidRPr="00234ECD">
        <w:rPr>
          <w:rFonts w:eastAsia="Calibri"/>
          <w:sz w:val="22"/>
          <w:szCs w:val="22"/>
          <w:lang w:val="sr-Latn-RS"/>
        </w:rPr>
        <w:t>eseci naspram &gt;6 m</w:t>
      </w:r>
      <w:r w:rsidR="00C539CD" w:rsidRPr="00234ECD">
        <w:rPr>
          <w:rFonts w:eastAsia="Calibri"/>
          <w:sz w:val="22"/>
          <w:szCs w:val="22"/>
          <w:lang w:val="sr-Latn-RS"/>
        </w:rPr>
        <w:t>j</w:t>
      </w:r>
      <w:r w:rsidRPr="00234ECD">
        <w:rPr>
          <w:rFonts w:eastAsia="Calibri"/>
          <w:sz w:val="22"/>
          <w:szCs w:val="22"/>
          <w:lang w:val="sr-Latn-RS"/>
        </w:rPr>
        <w:t>eseci).</w:t>
      </w:r>
    </w:p>
    <w:p w14:paraId="27649809" w14:textId="77777777" w:rsidR="00D857AC" w:rsidRPr="00234ECD" w:rsidRDefault="00D857AC" w:rsidP="00D857AC">
      <w:pPr>
        <w:jc w:val="both"/>
        <w:rPr>
          <w:rFonts w:eastAsia="Calibri"/>
          <w:sz w:val="22"/>
          <w:szCs w:val="22"/>
          <w:lang w:val="sr-Latn-RS"/>
        </w:rPr>
      </w:pPr>
    </w:p>
    <w:p w14:paraId="592945F1" w14:textId="1E010C02" w:rsidR="00D857AC" w:rsidRPr="00234ECD" w:rsidRDefault="00D857AC" w:rsidP="00D857AC">
      <w:pPr>
        <w:jc w:val="both"/>
        <w:rPr>
          <w:rFonts w:eastAsia="Calibri"/>
          <w:sz w:val="22"/>
          <w:szCs w:val="22"/>
          <w:lang w:val="sr-Latn-RS"/>
        </w:rPr>
      </w:pPr>
      <w:r w:rsidRPr="00234ECD">
        <w:rPr>
          <w:rFonts w:eastAsia="Calibri"/>
          <w:sz w:val="22"/>
          <w:szCs w:val="22"/>
          <w:lang w:val="sr-Latn-RS"/>
        </w:rPr>
        <w:t xml:space="preserve">Rezultati stope objektivnog odgovora prikazani su u </w:t>
      </w:r>
      <w:r w:rsidR="005B6E6D" w:rsidRPr="00234ECD">
        <w:rPr>
          <w:rFonts w:eastAsia="Calibri"/>
          <w:sz w:val="22"/>
          <w:szCs w:val="22"/>
          <w:lang w:val="sr-Latn-RS"/>
        </w:rPr>
        <w:t>T</w:t>
      </w:r>
      <w:r w:rsidRPr="00234ECD">
        <w:rPr>
          <w:rFonts w:eastAsia="Calibri"/>
          <w:sz w:val="22"/>
          <w:szCs w:val="22"/>
          <w:lang w:val="sr-Latn-RS"/>
        </w:rPr>
        <w:t>abeli 5.</w:t>
      </w:r>
    </w:p>
    <w:p w14:paraId="1F6D22FE" w14:textId="77777777" w:rsidR="00D857AC" w:rsidRPr="00234ECD" w:rsidRDefault="00D857AC" w:rsidP="00D857AC">
      <w:pPr>
        <w:jc w:val="both"/>
        <w:rPr>
          <w:rFonts w:eastAsia="Calibri"/>
          <w:sz w:val="22"/>
          <w:szCs w:val="22"/>
          <w:lang w:val="sr-Latn-RS"/>
        </w:rPr>
      </w:pPr>
    </w:p>
    <w:p w14:paraId="23E2CE94" w14:textId="73A3341C" w:rsidR="00D857AC" w:rsidRPr="00234ECD" w:rsidRDefault="00D857AC" w:rsidP="00D857AC">
      <w:pPr>
        <w:jc w:val="both"/>
        <w:rPr>
          <w:rFonts w:eastAsia="Calibri"/>
          <w:b/>
          <w:sz w:val="22"/>
          <w:szCs w:val="22"/>
          <w:lang w:val="sr-Latn-RS"/>
        </w:rPr>
      </w:pPr>
      <w:r w:rsidRPr="00234ECD">
        <w:rPr>
          <w:rFonts w:eastAsia="Calibri"/>
          <w:b/>
          <w:sz w:val="22"/>
          <w:szCs w:val="22"/>
          <w:lang w:val="sr-Latn-RS"/>
        </w:rPr>
        <w:t xml:space="preserve">Slika 1: </w:t>
      </w:r>
      <w:r w:rsidRPr="00234ECD">
        <w:rPr>
          <w:rFonts w:eastAsia="Calibri"/>
          <w:b/>
          <w:i/>
          <w:sz w:val="22"/>
          <w:szCs w:val="22"/>
          <w:lang w:val="sr-Latn-RS"/>
        </w:rPr>
        <w:t>Kaplan-Meier</w:t>
      </w:r>
      <w:r w:rsidRPr="00234ECD">
        <w:rPr>
          <w:rFonts w:eastAsia="Calibri"/>
          <w:b/>
          <w:sz w:val="22"/>
          <w:szCs w:val="22"/>
          <w:lang w:val="sr-Latn-RS"/>
        </w:rPr>
        <w:t>-ova kriva preživljavanja bez progresije bolesti kod ispitanika sa RCC nakon</w:t>
      </w:r>
      <w:r w:rsidR="007E6100" w:rsidRPr="00234ECD">
        <w:rPr>
          <w:rFonts w:eastAsia="Calibri"/>
          <w:b/>
          <w:sz w:val="22"/>
          <w:szCs w:val="22"/>
          <w:lang w:val="sr-Latn-RS"/>
        </w:rPr>
        <w:t xml:space="preserve"> </w:t>
      </w:r>
      <w:r w:rsidRPr="00234ECD">
        <w:rPr>
          <w:rFonts w:eastAsia="Calibri"/>
          <w:b/>
          <w:sz w:val="22"/>
          <w:szCs w:val="22"/>
          <w:lang w:val="sr-Latn-RS"/>
        </w:rPr>
        <w:t>prethodne terapije usm</w:t>
      </w:r>
      <w:r w:rsidR="006E7D12" w:rsidRPr="00234ECD">
        <w:rPr>
          <w:rFonts w:eastAsia="Calibri"/>
          <w:b/>
          <w:sz w:val="22"/>
          <w:szCs w:val="22"/>
          <w:lang w:val="sr-Latn-RS"/>
        </w:rPr>
        <w:t>j</w:t>
      </w:r>
      <w:r w:rsidRPr="00234ECD">
        <w:rPr>
          <w:rFonts w:eastAsia="Calibri"/>
          <w:b/>
          <w:sz w:val="22"/>
          <w:szCs w:val="22"/>
          <w:lang w:val="sr-Latn-RS"/>
        </w:rPr>
        <w:t>erene na vaskularni endotelni faktor rasta (VEGF) prema Komisiji za nezavisni radiološki pregled (prvih 375 randomizovanih ispitanika) (METEOR)</w:t>
      </w:r>
    </w:p>
    <w:p w14:paraId="0FE5DB54" w14:textId="461B8807" w:rsidR="008C2157" w:rsidRPr="00234ECD" w:rsidRDefault="008C2157" w:rsidP="00D857AC">
      <w:pPr>
        <w:jc w:val="both"/>
        <w:rPr>
          <w:rFonts w:eastAsia="Calibri"/>
          <w:b/>
          <w:sz w:val="22"/>
          <w:szCs w:val="22"/>
          <w:lang w:val="sr-Latn-RS"/>
        </w:rPr>
      </w:pPr>
    </w:p>
    <w:p w14:paraId="4F1BBD89" w14:textId="77777777" w:rsidR="00D857AC" w:rsidRPr="00234ECD" w:rsidRDefault="00D857AC" w:rsidP="00D857AC">
      <w:pPr>
        <w:jc w:val="both"/>
        <w:rPr>
          <w:rFonts w:eastAsia="Calibri"/>
          <w:sz w:val="22"/>
          <w:szCs w:val="22"/>
          <w:lang w:val="sr-Latn-R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76"/>
        <w:gridCol w:w="704"/>
        <w:gridCol w:w="381"/>
        <w:gridCol w:w="1086"/>
        <w:gridCol w:w="1085"/>
        <w:gridCol w:w="1086"/>
        <w:gridCol w:w="1085"/>
        <w:gridCol w:w="1086"/>
        <w:gridCol w:w="1086"/>
      </w:tblGrid>
      <w:tr w:rsidR="00D857AC" w:rsidRPr="00234ECD" w14:paraId="6038652E" w14:textId="77777777" w:rsidTr="00D857AC">
        <w:trPr>
          <w:cantSplit/>
          <w:trHeight w:val="4727"/>
        </w:trPr>
        <w:tc>
          <w:tcPr>
            <w:tcW w:w="1276" w:type="dxa"/>
            <w:textDirection w:val="btLr"/>
            <w:vAlign w:val="bottom"/>
          </w:tcPr>
          <w:p w14:paraId="76430C54" w14:textId="5D6CC3D0" w:rsidR="00D857AC" w:rsidRPr="00234ECD" w:rsidRDefault="00D857AC" w:rsidP="00D857AC">
            <w:pPr>
              <w:ind w:left="113" w:right="113"/>
              <w:jc w:val="center"/>
              <w:rPr>
                <w:rFonts w:ascii="Times New Roman" w:hAnsi="Times New Roman" w:cs="Times New Roman"/>
                <w:b/>
                <w:sz w:val="22"/>
                <w:szCs w:val="22"/>
                <w:lang w:val="sr-Latn-RS"/>
              </w:rPr>
            </w:pPr>
            <w:r w:rsidRPr="00234ECD">
              <w:rPr>
                <w:rFonts w:ascii="Times New Roman" w:hAnsi="Times New Roman" w:cs="Times New Roman"/>
                <w:b/>
                <w:sz w:val="22"/>
                <w:szCs w:val="22"/>
                <w:lang w:val="sr-Latn-RS"/>
              </w:rPr>
              <w:t>V</w:t>
            </w:r>
            <w:r w:rsidR="00CA7A1C" w:rsidRPr="00234ECD">
              <w:rPr>
                <w:rFonts w:ascii="Times New Roman" w:hAnsi="Times New Roman" w:cs="Times New Roman"/>
                <w:b/>
                <w:sz w:val="22"/>
                <w:szCs w:val="22"/>
                <w:lang w:val="sr-Latn-RS"/>
              </w:rPr>
              <w:t>j</w:t>
            </w:r>
            <w:r w:rsidRPr="00234ECD">
              <w:rPr>
                <w:rFonts w:ascii="Times New Roman" w:hAnsi="Times New Roman" w:cs="Times New Roman"/>
                <w:b/>
                <w:sz w:val="22"/>
                <w:szCs w:val="22"/>
                <w:lang w:val="sr-Latn-RS"/>
              </w:rPr>
              <w:t>erovatnoća preživljavanja bez progresije bolesti</w:t>
            </w:r>
          </w:p>
          <w:p w14:paraId="053CF160" w14:textId="77777777" w:rsidR="00D857AC" w:rsidRPr="00234ECD" w:rsidRDefault="00D857AC" w:rsidP="00D857AC">
            <w:pPr>
              <w:ind w:left="113" w:right="113"/>
              <w:jc w:val="center"/>
              <w:rPr>
                <w:rFonts w:ascii="Times New Roman" w:hAnsi="Times New Roman" w:cs="Times New Roman"/>
                <w:b/>
                <w:sz w:val="22"/>
                <w:szCs w:val="22"/>
                <w:lang w:val="sr-Latn-RS"/>
              </w:rPr>
            </w:pPr>
          </w:p>
        </w:tc>
        <w:tc>
          <w:tcPr>
            <w:tcW w:w="7599" w:type="dxa"/>
            <w:gridSpan w:val="8"/>
            <w:vAlign w:val="bottom"/>
            <w:hideMark/>
          </w:tcPr>
          <w:p w14:paraId="0E0490EC" w14:textId="77777777" w:rsidR="00D857AC" w:rsidRPr="00234ECD" w:rsidRDefault="00D857AC" w:rsidP="00D857AC">
            <w:pPr>
              <w:jc w:val="right"/>
              <w:rPr>
                <w:rFonts w:ascii="Times New Roman" w:hAnsi="Times New Roman" w:cs="Times New Roman"/>
                <w:sz w:val="22"/>
                <w:szCs w:val="22"/>
                <w:lang w:val="sr-Latn-RS"/>
              </w:rPr>
            </w:pPr>
            <w:r w:rsidRPr="00234ECD">
              <w:rPr>
                <w:rFonts w:ascii="Times New Roman" w:hAnsi="Times New Roman" w:cs="Times New Roman"/>
                <w:noProof/>
                <w:sz w:val="22"/>
                <w:szCs w:val="22"/>
                <w:lang w:val="sr-Latn-RS"/>
              </w:rPr>
              <w:drawing>
                <wp:inline distT="0" distB="0" distL="0" distR="0" wp14:anchorId="0D577498" wp14:editId="6F20AEA7">
                  <wp:extent cx="4762500" cy="275272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2752725"/>
                          </a:xfrm>
                          <a:prstGeom prst="rect">
                            <a:avLst/>
                          </a:prstGeom>
                          <a:noFill/>
                          <a:ln>
                            <a:noFill/>
                          </a:ln>
                        </pic:spPr>
                      </pic:pic>
                    </a:graphicData>
                  </a:graphic>
                </wp:inline>
              </w:drawing>
            </w:r>
          </w:p>
        </w:tc>
      </w:tr>
      <w:tr w:rsidR="00D857AC" w:rsidRPr="00234ECD" w14:paraId="1987EC8E" w14:textId="77777777" w:rsidTr="00D857AC">
        <w:trPr>
          <w:cantSplit/>
          <w:trHeight w:val="145"/>
        </w:trPr>
        <w:tc>
          <w:tcPr>
            <w:tcW w:w="1276" w:type="dxa"/>
            <w:textDirection w:val="btLr"/>
          </w:tcPr>
          <w:p w14:paraId="6E8E7F6F" w14:textId="77777777" w:rsidR="00D857AC" w:rsidRPr="00234ECD" w:rsidRDefault="00D857AC" w:rsidP="00D857AC">
            <w:pPr>
              <w:ind w:left="113" w:right="113"/>
              <w:jc w:val="center"/>
              <w:rPr>
                <w:rFonts w:ascii="Times New Roman" w:hAnsi="Times New Roman" w:cs="Times New Roman"/>
                <w:b/>
                <w:sz w:val="22"/>
                <w:szCs w:val="22"/>
                <w:lang w:val="sr-Latn-RS"/>
              </w:rPr>
            </w:pPr>
          </w:p>
        </w:tc>
        <w:tc>
          <w:tcPr>
            <w:tcW w:w="7599" w:type="dxa"/>
            <w:gridSpan w:val="8"/>
            <w:hideMark/>
          </w:tcPr>
          <w:p w14:paraId="6BBBAA7A" w14:textId="2F332C12" w:rsidR="00D857AC" w:rsidRPr="00234ECD" w:rsidRDefault="00D857AC" w:rsidP="00D857AC">
            <w:pPr>
              <w:jc w:val="center"/>
              <w:rPr>
                <w:rFonts w:ascii="Times New Roman" w:hAnsi="Times New Roman" w:cs="Times New Roman"/>
                <w:noProof/>
                <w:sz w:val="22"/>
                <w:szCs w:val="22"/>
                <w:lang w:val="sr-Latn-RS" w:eastAsia="sr-Latn-RS"/>
              </w:rPr>
            </w:pPr>
            <w:r w:rsidRPr="00234ECD">
              <w:rPr>
                <w:rFonts w:ascii="Times New Roman" w:hAnsi="Times New Roman" w:cs="Times New Roman"/>
                <w:b/>
                <w:sz w:val="22"/>
                <w:szCs w:val="22"/>
                <w:lang w:val="sr-Latn-RS"/>
              </w:rPr>
              <w:t>M</w:t>
            </w:r>
            <w:r w:rsidR="00D42DB9" w:rsidRPr="00234ECD">
              <w:rPr>
                <w:rFonts w:ascii="Times New Roman" w:hAnsi="Times New Roman" w:cs="Times New Roman"/>
                <w:b/>
                <w:sz w:val="22"/>
                <w:szCs w:val="22"/>
                <w:lang w:val="sr-Latn-RS"/>
              </w:rPr>
              <w:t>j</w:t>
            </w:r>
            <w:r w:rsidRPr="00234ECD">
              <w:rPr>
                <w:rFonts w:ascii="Times New Roman" w:hAnsi="Times New Roman" w:cs="Times New Roman"/>
                <w:b/>
                <w:sz w:val="22"/>
                <w:szCs w:val="22"/>
                <w:lang w:val="sr-Latn-RS"/>
              </w:rPr>
              <w:t>eseci</w:t>
            </w:r>
          </w:p>
        </w:tc>
      </w:tr>
      <w:tr w:rsidR="00D857AC" w:rsidRPr="00234ECD" w14:paraId="59893900" w14:textId="77777777" w:rsidTr="008C2157">
        <w:trPr>
          <w:trHeight w:val="461"/>
        </w:trPr>
        <w:tc>
          <w:tcPr>
            <w:tcW w:w="1980" w:type="dxa"/>
            <w:gridSpan w:val="2"/>
            <w:hideMark/>
          </w:tcPr>
          <w:p w14:paraId="0E8ABC29" w14:textId="14410F2F" w:rsidR="00D857AC" w:rsidRPr="00234ECD" w:rsidRDefault="00D857AC" w:rsidP="00D857AC">
            <w:pPr>
              <w:rPr>
                <w:rFonts w:ascii="Times New Roman" w:hAnsi="Times New Roman" w:cs="Times New Roman"/>
                <w:b/>
                <w:sz w:val="22"/>
                <w:szCs w:val="22"/>
                <w:lang w:val="sr-Latn-RS"/>
              </w:rPr>
            </w:pPr>
            <w:r w:rsidRPr="00234ECD">
              <w:rPr>
                <w:rFonts w:ascii="Times New Roman" w:hAnsi="Times New Roman" w:cs="Times New Roman"/>
                <w:b/>
                <w:sz w:val="22"/>
                <w:szCs w:val="22"/>
                <w:lang w:val="sr-Latn-RS"/>
              </w:rPr>
              <w:t>Broj pacijenata koji su pod</w:t>
            </w:r>
            <w:r w:rsidR="008C2157" w:rsidRPr="00234ECD">
              <w:rPr>
                <w:rFonts w:ascii="Times New Roman" w:hAnsi="Times New Roman" w:cs="Times New Roman"/>
                <w:b/>
                <w:sz w:val="22"/>
                <w:szCs w:val="22"/>
                <w:lang w:val="sr-Latn-RS"/>
              </w:rPr>
              <w:t xml:space="preserve"> </w:t>
            </w:r>
            <w:r w:rsidRPr="00234ECD">
              <w:rPr>
                <w:rFonts w:ascii="Times New Roman" w:hAnsi="Times New Roman" w:cs="Times New Roman"/>
                <w:b/>
                <w:sz w:val="22"/>
                <w:szCs w:val="22"/>
                <w:lang w:val="sr-Latn-RS"/>
              </w:rPr>
              <w:t>rizikom:</w:t>
            </w:r>
          </w:p>
        </w:tc>
        <w:tc>
          <w:tcPr>
            <w:tcW w:w="6895" w:type="dxa"/>
            <w:gridSpan w:val="7"/>
          </w:tcPr>
          <w:p w14:paraId="7B6129B0" w14:textId="77777777" w:rsidR="00D857AC" w:rsidRPr="00234ECD" w:rsidRDefault="00D857AC" w:rsidP="00D857AC">
            <w:pPr>
              <w:rPr>
                <w:rFonts w:ascii="Times New Roman" w:hAnsi="Times New Roman" w:cs="Times New Roman"/>
                <w:b/>
                <w:sz w:val="22"/>
                <w:szCs w:val="22"/>
                <w:lang w:val="sr-Latn-RS"/>
              </w:rPr>
            </w:pPr>
          </w:p>
        </w:tc>
      </w:tr>
      <w:tr w:rsidR="00D857AC" w:rsidRPr="00234ECD" w14:paraId="2962D2DF" w14:textId="77777777" w:rsidTr="00D857AC">
        <w:trPr>
          <w:trHeight w:val="283"/>
        </w:trPr>
        <w:tc>
          <w:tcPr>
            <w:tcW w:w="1276" w:type="dxa"/>
            <w:hideMark/>
          </w:tcPr>
          <w:p w14:paraId="005C9CC8" w14:textId="77777777" w:rsidR="00D857AC" w:rsidRPr="00234ECD" w:rsidRDefault="00D857AC" w:rsidP="00D857AC">
            <w:pPr>
              <w:jc w:val="both"/>
              <w:rPr>
                <w:rFonts w:ascii="Times New Roman" w:hAnsi="Times New Roman" w:cs="Times New Roman"/>
                <w:sz w:val="22"/>
                <w:szCs w:val="22"/>
                <w:lang w:val="sr-Latn-RS"/>
              </w:rPr>
            </w:pPr>
            <w:r w:rsidRPr="00234ECD">
              <w:rPr>
                <w:rFonts w:ascii="Times New Roman" w:hAnsi="Times New Roman" w:cs="Times New Roman"/>
                <w:sz w:val="22"/>
                <w:szCs w:val="22"/>
                <w:lang w:val="sr-Latn-RS"/>
              </w:rPr>
              <w:t>Cabometyx</w:t>
            </w:r>
          </w:p>
        </w:tc>
        <w:tc>
          <w:tcPr>
            <w:tcW w:w="1085" w:type="dxa"/>
            <w:gridSpan w:val="2"/>
            <w:hideMark/>
          </w:tcPr>
          <w:p w14:paraId="7BF747B8"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187</w:t>
            </w:r>
          </w:p>
        </w:tc>
        <w:tc>
          <w:tcPr>
            <w:tcW w:w="1086" w:type="dxa"/>
            <w:hideMark/>
          </w:tcPr>
          <w:p w14:paraId="58875E59"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152</w:t>
            </w:r>
          </w:p>
        </w:tc>
        <w:tc>
          <w:tcPr>
            <w:tcW w:w="1085" w:type="dxa"/>
            <w:hideMark/>
          </w:tcPr>
          <w:p w14:paraId="5C3B51F9"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92</w:t>
            </w:r>
          </w:p>
        </w:tc>
        <w:tc>
          <w:tcPr>
            <w:tcW w:w="1086" w:type="dxa"/>
            <w:hideMark/>
          </w:tcPr>
          <w:p w14:paraId="6AC4AEE5"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68</w:t>
            </w:r>
          </w:p>
        </w:tc>
        <w:tc>
          <w:tcPr>
            <w:tcW w:w="1085" w:type="dxa"/>
            <w:hideMark/>
          </w:tcPr>
          <w:p w14:paraId="1676878C"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20</w:t>
            </w:r>
          </w:p>
        </w:tc>
        <w:tc>
          <w:tcPr>
            <w:tcW w:w="1086" w:type="dxa"/>
            <w:hideMark/>
          </w:tcPr>
          <w:p w14:paraId="5C3ABF2E"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6</w:t>
            </w:r>
          </w:p>
        </w:tc>
        <w:tc>
          <w:tcPr>
            <w:tcW w:w="1086" w:type="dxa"/>
            <w:hideMark/>
          </w:tcPr>
          <w:p w14:paraId="54C51FD3"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2</w:t>
            </w:r>
          </w:p>
        </w:tc>
      </w:tr>
      <w:tr w:rsidR="00D857AC" w:rsidRPr="00234ECD" w14:paraId="7171E586" w14:textId="77777777" w:rsidTr="00D857AC">
        <w:tc>
          <w:tcPr>
            <w:tcW w:w="1276" w:type="dxa"/>
            <w:hideMark/>
          </w:tcPr>
          <w:p w14:paraId="4F407A18" w14:textId="77777777" w:rsidR="00D857AC" w:rsidRPr="00234ECD" w:rsidRDefault="00D857AC" w:rsidP="00D857AC">
            <w:pPr>
              <w:jc w:val="both"/>
              <w:rPr>
                <w:rFonts w:ascii="Times New Roman" w:hAnsi="Times New Roman" w:cs="Times New Roman"/>
                <w:sz w:val="22"/>
                <w:szCs w:val="22"/>
                <w:lang w:val="sr-Latn-RS"/>
              </w:rPr>
            </w:pPr>
            <w:r w:rsidRPr="00234ECD">
              <w:rPr>
                <w:rFonts w:ascii="Times New Roman" w:hAnsi="Times New Roman" w:cs="Times New Roman"/>
                <w:sz w:val="22"/>
                <w:szCs w:val="22"/>
                <w:lang w:val="sr-Latn-RS"/>
              </w:rPr>
              <w:t>Everolimus</w:t>
            </w:r>
          </w:p>
        </w:tc>
        <w:tc>
          <w:tcPr>
            <w:tcW w:w="1085" w:type="dxa"/>
            <w:gridSpan w:val="2"/>
            <w:hideMark/>
          </w:tcPr>
          <w:p w14:paraId="7798D6B0"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 xml:space="preserve">188 </w:t>
            </w:r>
          </w:p>
        </w:tc>
        <w:tc>
          <w:tcPr>
            <w:tcW w:w="1086" w:type="dxa"/>
            <w:hideMark/>
          </w:tcPr>
          <w:p w14:paraId="3D711453"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 xml:space="preserve">99 </w:t>
            </w:r>
          </w:p>
        </w:tc>
        <w:tc>
          <w:tcPr>
            <w:tcW w:w="1085" w:type="dxa"/>
            <w:hideMark/>
          </w:tcPr>
          <w:p w14:paraId="36258DB1"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 xml:space="preserve">46 </w:t>
            </w:r>
          </w:p>
        </w:tc>
        <w:tc>
          <w:tcPr>
            <w:tcW w:w="1086" w:type="dxa"/>
            <w:hideMark/>
          </w:tcPr>
          <w:p w14:paraId="59B99B76"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 xml:space="preserve">29 </w:t>
            </w:r>
          </w:p>
        </w:tc>
        <w:tc>
          <w:tcPr>
            <w:tcW w:w="1085" w:type="dxa"/>
            <w:hideMark/>
          </w:tcPr>
          <w:p w14:paraId="408DE7BE"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 xml:space="preserve">10 </w:t>
            </w:r>
          </w:p>
        </w:tc>
        <w:tc>
          <w:tcPr>
            <w:tcW w:w="1086" w:type="dxa"/>
            <w:hideMark/>
          </w:tcPr>
          <w:p w14:paraId="1F0030C1"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 xml:space="preserve">2 </w:t>
            </w:r>
          </w:p>
        </w:tc>
        <w:tc>
          <w:tcPr>
            <w:tcW w:w="1086" w:type="dxa"/>
            <w:hideMark/>
          </w:tcPr>
          <w:p w14:paraId="655B0F96"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0</w:t>
            </w:r>
          </w:p>
        </w:tc>
      </w:tr>
    </w:tbl>
    <w:p w14:paraId="397F456F" w14:textId="77777777" w:rsidR="00D857AC" w:rsidRPr="00234ECD" w:rsidRDefault="00D857AC" w:rsidP="00D857AC">
      <w:pPr>
        <w:jc w:val="both"/>
        <w:rPr>
          <w:rFonts w:eastAsia="Calibri"/>
          <w:sz w:val="22"/>
          <w:szCs w:val="22"/>
          <w:lang w:val="sr-Latn-RS"/>
        </w:rPr>
      </w:pPr>
    </w:p>
    <w:p w14:paraId="6297819F" w14:textId="0F043CF8" w:rsidR="00D857AC" w:rsidRPr="00234ECD" w:rsidRDefault="00D857AC" w:rsidP="00D857AC">
      <w:pPr>
        <w:jc w:val="both"/>
        <w:rPr>
          <w:rFonts w:eastAsia="Calibri"/>
          <w:sz w:val="22"/>
          <w:szCs w:val="22"/>
          <w:lang w:val="sr-Latn-RS"/>
        </w:rPr>
      </w:pPr>
    </w:p>
    <w:p w14:paraId="6954A9D8" w14:textId="4453AF65" w:rsidR="00D857AC" w:rsidRPr="00234ECD" w:rsidRDefault="00D857AC" w:rsidP="00D857AC">
      <w:pPr>
        <w:jc w:val="both"/>
        <w:rPr>
          <w:rFonts w:eastAsia="Calibri"/>
          <w:b/>
          <w:sz w:val="22"/>
          <w:szCs w:val="22"/>
          <w:lang w:val="sr-Latn-RS"/>
        </w:rPr>
      </w:pPr>
      <w:r w:rsidRPr="00234ECD">
        <w:rPr>
          <w:rFonts w:eastAsia="Calibri"/>
          <w:b/>
          <w:sz w:val="22"/>
          <w:szCs w:val="22"/>
          <w:lang w:val="sr-Latn-RS"/>
        </w:rPr>
        <w:t>Tabela 4: Sažeti prikaz rezultata PFS kod ispitanika sa RCC nakon prethodne terapije usm</w:t>
      </w:r>
      <w:r w:rsidR="0007520B" w:rsidRPr="00234ECD">
        <w:rPr>
          <w:rFonts w:eastAsia="Calibri"/>
          <w:b/>
          <w:sz w:val="22"/>
          <w:szCs w:val="22"/>
          <w:lang w:val="sr-Latn-RS"/>
        </w:rPr>
        <w:t>j</w:t>
      </w:r>
      <w:r w:rsidRPr="00234ECD">
        <w:rPr>
          <w:rFonts w:eastAsia="Calibri"/>
          <w:b/>
          <w:sz w:val="22"/>
          <w:szCs w:val="22"/>
          <w:lang w:val="sr-Latn-RS"/>
        </w:rPr>
        <w:t>erene na vaskularni endotelni faktor rasta (VEGF) prema Komisiji za nezavisni radiološki pregled (METEOR)</w:t>
      </w:r>
    </w:p>
    <w:p w14:paraId="7004B1B0" w14:textId="77777777" w:rsidR="00D857AC" w:rsidRPr="00234ECD" w:rsidRDefault="00D857AC" w:rsidP="00D857AC">
      <w:pPr>
        <w:jc w:val="both"/>
        <w:rPr>
          <w:rFonts w:eastAsia="Calibri"/>
          <w:sz w:val="22"/>
          <w:szCs w:val="22"/>
          <w:lang w:val="sr-Latn-RS"/>
        </w:rPr>
      </w:pPr>
    </w:p>
    <w:tbl>
      <w:tblPr>
        <w:tblW w:w="0" w:type="auto"/>
        <w:tblInd w:w="-108" w:type="dxa"/>
        <w:tblLayout w:type="fixed"/>
        <w:tblLook w:val="04A0" w:firstRow="1" w:lastRow="0" w:firstColumn="1" w:lastColumn="0" w:noHBand="0" w:noVBand="1"/>
      </w:tblPr>
      <w:tblGrid>
        <w:gridCol w:w="1946"/>
        <w:gridCol w:w="1701"/>
        <w:gridCol w:w="1576"/>
        <w:gridCol w:w="1684"/>
        <w:gridCol w:w="1593"/>
      </w:tblGrid>
      <w:tr w:rsidR="00D857AC" w:rsidRPr="00234ECD" w14:paraId="515FBC23" w14:textId="77777777" w:rsidTr="00D857AC">
        <w:trPr>
          <w:trHeight w:val="98"/>
        </w:trPr>
        <w:tc>
          <w:tcPr>
            <w:tcW w:w="1946" w:type="dxa"/>
            <w:tcBorders>
              <w:top w:val="single" w:sz="4" w:space="0" w:color="auto"/>
              <w:left w:val="single" w:sz="4" w:space="0" w:color="auto"/>
              <w:bottom w:val="single" w:sz="4" w:space="0" w:color="auto"/>
              <w:right w:val="single" w:sz="4" w:space="0" w:color="auto"/>
            </w:tcBorders>
          </w:tcPr>
          <w:p w14:paraId="7F218E31" w14:textId="77777777" w:rsidR="00D857AC" w:rsidRPr="00234ECD" w:rsidRDefault="00D857AC" w:rsidP="00D857AC">
            <w:pPr>
              <w:autoSpaceDE w:val="0"/>
              <w:autoSpaceDN w:val="0"/>
              <w:adjustRightInd w:val="0"/>
              <w:rPr>
                <w:rFonts w:eastAsia="Calibri"/>
                <w:color w:val="000000"/>
                <w:sz w:val="22"/>
                <w:szCs w:val="22"/>
                <w:lang w:val="sr-Latn-RS"/>
              </w:rPr>
            </w:pPr>
          </w:p>
        </w:tc>
        <w:tc>
          <w:tcPr>
            <w:tcW w:w="3277" w:type="dxa"/>
            <w:gridSpan w:val="2"/>
            <w:tcBorders>
              <w:top w:val="single" w:sz="4" w:space="0" w:color="auto"/>
              <w:left w:val="single" w:sz="4" w:space="0" w:color="auto"/>
              <w:bottom w:val="single" w:sz="4" w:space="0" w:color="auto"/>
              <w:right w:val="single" w:sz="4" w:space="0" w:color="auto"/>
            </w:tcBorders>
            <w:vAlign w:val="center"/>
            <w:hideMark/>
          </w:tcPr>
          <w:p w14:paraId="4558E550" w14:textId="77777777" w:rsidR="00D857AC" w:rsidRPr="00234ECD" w:rsidRDefault="00D857AC" w:rsidP="00D857AC">
            <w:pPr>
              <w:autoSpaceDE w:val="0"/>
              <w:autoSpaceDN w:val="0"/>
              <w:adjustRightInd w:val="0"/>
              <w:jc w:val="center"/>
              <w:rPr>
                <w:rFonts w:eastAsia="Calibri"/>
                <w:b/>
                <w:bCs/>
                <w:color w:val="000000"/>
                <w:sz w:val="22"/>
                <w:szCs w:val="22"/>
                <w:lang w:val="sr-Latn-RS"/>
              </w:rPr>
            </w:pPr>
            <w:r w:rsidRPr="00234ECD">
              <w:rPr>
                <w:rFonts w:eastAsia="Calibri"/>
                <w:b/>
                <w:bCs/>
                <w:color w:val="000000"/>
                <w:sz w:val="22"/>
                <w:szCs w:val="22"/>
                <w:lang w:val="sr-Latn-RS"/>
              </w:rPr>
              <w:t>Populacija za primarnu analizu</w:t>
            </w:r>
          </w:p>
          <w:p w14:paraId="7E61FD1C"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b/>
                <w:bCs/>
                <w:color w:val="000000"/>
                <w:sz w:val="22"/>
                <w:szCs w:val="22"/>
                <w:lang w:val="sr-Latn-RS"/>
              </w:rPr>
              <w:t>PFS</w:t>
            </w:r>
          </w:p>
        </w:tc>
        <w:tc>
          <w:tcPr>
            <w:tcW w:w="3277" w:type="dxa"/>
            <w:gridSpan w:val="2"/>
            <w:tcBorders>
              <w:top w:val="single" w:sz="4" w:space="0" w:color="auto"/>
              <w:left w:val="single" w:sz="4" w:space="0" w:color="auto"/>
              <w:bottom w:val="single" w:sz="4" w:space="0" w:color="auto"/>
              <w:right w:val="single" w:sz="4" w:space="0" w:color="auto"/>
            </w:tcBorders>
            <w:vAlign w:val="center"/>
            <w:hideMark/>
          </w:tcPr>
          <w:p w14:paraId="10380D37"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b/>
                <w:bCs/>
                <w:color w:val="000000"/>
                <w:sz w:val="22"/>
                <w:szCs w:val="22"/>
                <w:lang w:val="sr-Latn-RS"/>
              </w:rPr>
              <w:t>Populacija koja treba da primi terapiju (ITT)</w:t>
            </w:r>
          </w:p>
        </w:tc>
      </w:tr>
      <w:tr w:rsidR="00D857AC" w:rsidRPr="00234ECD" w14:paraId="1A93E220" w14:textId="77777777" w:rsidTr="00D857AC">
        <w:trPr>
          <w:trHeight w:val="98"/>
        </w:trPr>
        <w:tc>
          <w:tcPr>
            <w:tcW w:w="1946" w:type="dxa"/>
            <w:tcBorders>
              <w:top w:val="single" w:sz="4" w:space="0" w:color="auto"/>
              <w:left w:val="single" w:sz="4" w:space="0" w:color="auto"/>
              <w:bottom w:val="single" w:sz="4" w:space="0" w:color="auto"/>
              <w:right w:val="single" w:sz="4" w:space="0" w:color="auto"/>
            </w:tcBorders>
            <w:hideMark/>
          </w:tcPr>
          <w:p w14:paraId="60C17DA7"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b/>
                <w:bCs/>
                <w:color w:val="000000"/>
                <w:sz w:val="22"/>
                <w:szCs w:val="22"/>
                <w:lang w:val="sr-Latn-RS"/>
              </w:rPr>
              <w:t xml:space="preserve">Ishod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FE61EE"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b/>
                <w:bCs/>
                <w:color w:val="000000"/>
                <w:sz w:val="22"/>
                <w:szCs w:val="22"/>
                <w:lang w:val="sr-Latn-RS"/>
              </w:rPr>
              <w:t>Cabometyx</w:t>
            </w:r>
          </w:p>
        </w:tc>
        <w:tc>
          <w:tcPr>
            <w:tcW w:w="1576" w:type="dxa"/>
            <w:tcBorders>
              <w:top w:val="single" w:sz="4" w:space="0" w:color="auto"/>
              <w:left w:val="single" w:sz="4" w:space="0" w:color="auto"/>
              <w:bottom w:val="single" w:sz="4" w:space="0" w:color="auto"/>
              <w:right w:val="single" w:sz="4" w:space="0" w:color="auto"/>
            </w:tcBorders>
            <w:vAlign w:val="center"/>
            <w:hideMark/>
          </w:tcPr>
          <w:p w14:paraId="2EFFE7BD"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b/>
                <w:bCs/>
                <w:color w:val="000000"/>
                <w:sz w:val="22"/>
                <w:szCs w:val="22"/>
                <w:lang w:val="sr-Latn-RS"/>
              </w:rPr>
              <w:t>Everolimus</w:t>
            </w:r>
          </w:p>
        </w:tc>
        <w:tc>
          <w:tcPr>
            <w:tcW w:w="1684" w:type="dxa"/>
            <w:tcBorders>
              <w:top w:val="single" w:sz="4" w:space="0" w:color="auto"/>
              <w:left w:val="single" w:sz="4" w:space="0" w:color="auto"/>
              <w:bottom w:val="single" w:sz="4" w:space="0" w:color="auto"/>
              <w:right w:val="single" w:sz="4" w:space="0" w:color="auto"/>
            </w:tcBorders>
            <w:vAlign w:val="center"/>
            <w:hideMark/>
          </w:tcPr>
          <w:p w14:paraId="2A6A164D"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b/>
                <w:bCs/>
                <w:color w:val="000000"/>
                <w:sz w:val="22"/>
                <w:szCs w:val="22"/>
                <w:lang w:val="sr-Latn-RS"/>
              </w:rPr>
              <w:t>Cabometyx</w:t>
            </w:r>
          </w:p>
        </w:tc>
        <w:tc>
          <w:tcPr>
            <w:tcW w:w="1593" w:type="dxa"/>
            <w:tcBorders>
              <w:top w:val="single" w:sz="4" w:space="0" w:color="auto"/>
              <w:left w:val="single" w:sz="4" w:space="0" w:color="auto"/>
              <w:bottom w:val="single" w:sz="4" w:space="0" w:color="auto"/>
              <w:right w:val="single" w:sz="4" w:space="0" w:color="auto"/>
            </w:tcBorders>
            <w:vAlign w:val="center"/>
            <w:hideMark/>
          </w:tcPr>
          <w:p w14:paraId="42E65D3E"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b/>
                <w:bCs/>
                <w:color w:val="000000"/>
                <w:sz w:val="22"/>
                <w:szCs w:val="22"/>
                <w:lang w:val="sr-Latn-RS"/>
              </w:rPr>
              <w:t>Everolimus</w:t>
            </w:r>
          </w:p>
        </w:tc>
      </w:tr>
      <w:tr w:rsidR="00D857AC" w:rsidRPr="00234ECD" w14:paraId="444C0F08" w14:textId="77777777" w:rsidTr="00D857AC">
        <w:trPr>
          <w:trHeight w:val="100"/>
        </w:trPr>
        <w:tc>
          <w:tcPr>
            <w:tcW w:w="1946" w:type="dxa"/>
            <w:tcBorders>
              <w:top w:val="single" w:sz="4" w:space="0" w:color="auto"/>
              <w:left w:val="single" w:sz="4" w:space="0" w:color="auto"/>
              <w:bottom w:val="single" w:sz="4" w:space="0" w:color="auto"/>
              <w:right w:val="single" w:sz="4" w:space="0" w:color="auto"/>
            </w:tcBorders>
          </w:tcPr>
          <w:p w14:paraId="3656ADDB" w14:textId="77777777" w:rsidR="00D857AC" w:rsidRPr="00234ECD" w:rsidRDefault="00D857AC" w:rsidP="00D857AC">
            <w:pPr>
              <w:autoSpaceDE w:val="0"/>
              <w:autoSpaceDN w:val="0"/>
              <w:adjustRightInd w:val="0"/>
              <w:rPr>
                <w:rFonts w:eastAsia="Calibri"/>
                <w:color w:val="000000"/>
                <w:sz w:val="22"/>
                <w:szCs w:val="22"/>
                <w:lang w:val="sr-Latn-R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658884B"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N = 187</w:t>
            </w:r>
          </w:p>
        </w:tc>
        <w:tc>
          <w:tcPr>
            <w:tcW w:w="1576" w:type="dxa"/>
            <w:tcBorders>
              <w:top w:val="single" w:sz="4" w:space="0" w:color="auto"/>
              <w:left w:val="single" w:sz="4" w:space="0" w:color="auto"/>
              <w:bottom w:val="single" w:sz="4" w:space="0" w:color="auto"/>
              <w:right w:val="single" w:sz="4" w:space="0" w:color="auto"/>
            </w:tcBorders>
            <w:vAlign w:val="center"/>
            <w:hideMark/>
          </w:tcPr>
          <w:p w14:paraId="7D718800"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N = 188</w:t>
            </w:r>
          </w:p>
        </w:tc>
        <w:tc>
          <w:tcPr>
            <w:tcW w:w="1684" w:type="dxa"/>
            <w:tcBorders>
              <w:top w:val="single" w:sz="4" w:space="0" w:color="auto"/>
              <w:left w:val="single" w:sz="4" w:space="0" w:color="auto"/>
              <w:bottom w:val="single" w:sz="4" w:space="0" w:color="auto"/>
              <w:right w:val="single" w:sz="4" w:space="0" w:color="auto"/>
            </w:tcBorders>
            <w:vAlign w:val="center"/>
            <w:hideMark/>
          </w:tcPr>
          <w:p w14:paraId="077B5147"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N = 330</w:t>
            </w:r>
          </w:p>
        </w:tc>
        <w:tc>
          <w:tcPr>
            <w:tcW w:w="1593" w:type="dxa"/>
            <w:tcBorders>
              <w:top w:val="single" w:sz="4" w:space="0" w:color="auto"/>
              <w:left w:val="single" w:sz="4" w:space="0" w:color="auto"/>
              <w:bottom w:val="single" w:sz="4" w:space="0" w:color="auto"/>
              <w:right w:val="single" w:sz="4" w:space="0" w:color="auto"/>
            </w:tcBorders>
            <w:vAlign w:val="center"/>
            <w:hideMark/>
          </w:tcPr>
          <w:p w14:paraId="20E9CC37"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N = 328</w:t>
            </w:r>
          </w:p>
        </w:tc>
      </w:tr>
      <w:tr w:rsidR="00D857AC" w:rsidRPr="00234ECD" w14:paraId="62F575AD" w14:textId="77777777" w:rsidTr="00D857AC">
        <w:trPr>
          <w:trHeight w:val="231"/>
        </w:trPr>
        <w:tc>
          <w:tcPr>
            <w:tcW w:w="1946" w:type="dxa"/>
            <w:tcBorders>
              <w:top w:val="single" w:sz="4" w:space="0" w:color="auto"/>
              <w:left w:val="single" w:sz="4" w:space="0" w:color="auto"/>
              <w:bottom w:val="single" w:sz="4" w:space="0" w:color="auto"/>
              <w:right w:val="single" w:sz="4" w:space="0" w:color="auto"/>
            </w:tcBorders>
            <w:hideMark/>
          </w:tcPr>
          <w:p w14:paraId="34E97076" w14:textId="597C893C"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Medijana PFS (95% CI), m</w:t>
            </w:r>
            <w:r w:rsidR="0007520B" w:rsidRPr="00234ECD">
              <w:rPr>
                <w:rFonts w:eastAsia="Calibri"/>
                <w:color w:val="000000"/>
                <w:sz w:val="22"/>
                <w:szCs w:val="22"/>
                <w:lang w:val="sr-Latn-RS"/>
              </w:rPr>
              <w:t>j</w:t>
            </w:r>
            <w:r w:rsidRPr="00234ECD">
              <w:rPr>
                <w:rFonts w:eastAsia="Calibri"/>
                <w:color w:val="000000"/>
                <w:sz w:val="22"/>
                <w:szCs w:val="22"/>
                <w:lang w:val="sr-Latn-RS"/>
              </w:rPr>
              <w:t xml:space="preserve">eseci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8C2E70"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7,4 (5,6; 9,1)</w:t>
            </w:r>
          </w:p>
        </w:tc>
        <w:tc>
          <w:tcPr>
            <w:tcW w:w="1576" w:type="dxa"/>
            <w:tcBorders>
              <w:top w:val="single" w:sz="4" w:space="0" w:color="auto"/>
              <w:left w:val="single" w:sz="4" w:space="0" w:color="auto"/>
              <w:bottom w:val="single" w:sz="4" w:space="0" w:color="auto"/>
              <w:right w:val="single" w:sz="4" w:space="0" w:color="auto"/>
            </w:tcBorders>
            <w:vAlign w:val="center"/>
            <w:hideMark/>
          </w:tcPr>
          <w:p w14:paraId="6EDE7B24"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3,8 (3,7; 5,4)</w:t>
            </w:r>
          </w:p>
        </w:tc>
        <w:tc>
          <w:tcPr>
            <w:tcW w:w="1684" w:type="dxa"/>
            <w:tcBorders>
              <w:top w:val="single" w:sz="4" w:space="0" w:color="auto"/>
              <w:left w:val="single" w:sz="4" w:space="0" w:color="auto"/>
              <w:bottom w:val="single" w:sz="4" w:space="0" w:color="auto"/>
              <w:right w:val="single" w:sz="4" w:space="0" w:color="auto"/>
            </w:tcBorders>
            <w:vAlign w:val="center"/>
            <w:hideMark/>
          </w:tcPr>
          <w:p w14:paraId="6827090A"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7,4 (6,6; 9,1)</w:t>
            </w:r>
          </w:p>
        </w:tc>
        <w:tc>
          <w:tcPr>
            <w:tcW w:w="1593" w:type="dxa"/>
            <w:tcBorders>
              <w:top w:val="single" w:sz="4" w:space="0" w:color="auto"/>
              <w:left w:val="single" w:sz="4" w:space="0" w:color="auto"/>
              <w:bottom w:val="single" w:sz="4" w:space="0" w:color="auto"/>
              <w:right w:val="single" w:sz="4" w:space="0" w:color="auto"/>
            </w:tcBorders>
            <w:vAlign w:val="center"/>
            <w:hideMark/>
          </w:tcPr>
          <w:p w14:paraId="3C92B34D"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3,9 (3,7; 5,1)</w:t>
            </w:r>
          </w:p>
        </w:tc>
      </w:tr>
      <w:tr w:rsidR="00D857AC" w:rsidRPr="00234ECD" w14:paraId="7CDC30A6" w14:textId="77777777" w:rsidTr="00D857AC">
        <w:trPr>
          <w:trHeight w:val="231"/>
        </w:trPr>
        <w:tc>
          <w:tcPr>
            <w:tcW w:w="1946" w:type="dxa"/>
            <w:tcBorders>
              <w:top w:val="single" w:sz="4" w:space="0" w:color="auto"/>
              <w:left w:val="single" w:sz="4" w:space="0" w:color="auto"/>
              <w:bottom w:val="single" w:sz="4" w:space="0" w:color="auto"/>
              <w:right w:val="single" w:sz="4" w:space="0" w:color="auto"/>
            </w:tcBorders>
            <w:hideMark/>
          </w:tcPr>
          <w:p w14:paraId="7DB04C7B"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HR (95% CI), </w:t>
            </w:r>
          </w:p>
          <w:p w14:paraId="6F72F454" w14:textId="1DF5E7D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p-vr</w:t>
            </w:r>
            <w:r w:rsidR="0007520B" w:rsidRPr="00234ECD">
              <w:rPr>
                <w:rFonts w:eastAsia="Calibri"/>
                <w:color w:val="000000"/>
                <w:sz w:val="22"/>
                <w:szCs w:val="22"/>
                <w:lang w:val="sr-Latn-RS"/>
              </w:rPr>
              <w:t>ij</w:t>
            </w:r>
            <w:r w:rsidRPr="00234ECD">
              <w:rPr>
                <w:rFonts w:eastAsia="Calibri"/>
                <w:color w:val="000000"/>
                <w:sz w:val="22"/>
                <w:szCs w:val="22"/>
                <w:lang w:val="sr-Latn-RS"/>
              </w:rPr>
              <w:t>ednost</w:t>
            </w:r>
            <w:r w:rsidRPr="00234ECD">
              <w:rPr>
                <w:rFonts w:eastAsia="Calibri"/>
                <w:color w:val="000000"/>
                <w:sz w:val="22"/>
                <w:szCs w:val="22"/>
                <w:vertAlign w:val="superscript"/>
                <w:lang w:val="sr-Latn-RS"/>
              </w:rPr>
              <w:t>1</w:t>
            </w:r>
            <w:r w:rsidRPr="00234ECD">
              <w:rPr>
                <w:rFonts w:eastAsia="Calibri"/>
                <w:color w:val="000000"/>
                <w:sz w:val="22"/>
                <w:szCs w:val="22"/>
                <w:lang w:val="sr-Latn-RS"/>
              </w:rPr>
              <w:t xml:space="preserve"> </w:t>
            </w:r>
          </w:p>
        </w:tc>
        <w:tc>
          <w:tcPr>
            <w:tcW w:w="3277" w:type="dxa"/>
            <w:gridSpan w:val="2"/>
            <w:tcBorders>
              <w:top w:val="single" w:sz="4" w:space="0" w:color="auto"/>
              <w:left w:val="single" w:sz="4" w:space="0" w:color="auto"/>
              <w:bottom w:val="single" w:sz="4" w:space="0" w:color="auto"/>
              <w:right w:val="single" w:sz="4" w:space="0" w:color="auto"/>
            </w:tcBorders>
            <w:vAlign w:val="center"/>
            <w:hideMark/>
          </w:tcPr>
          <w:p w14:paraId="28143F37"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0,58 (0,45; 0,74), p&lt;0,0001</w:t>
            </w:r>
          </w:p>
        </w:tc>
        <w:tc>
          <w:tcPr>
            <w:tcW w:w="3277" w:type="dxa"/>
            <w:gridSpan w:val="2"/>
            <w:tcBorders>
              <w:top w:val="single" w:sz="4" w:space="0" w:color="auto"/>
              <w:left w:val="single" w:sz="4" w:space="0" w:color="auto"/>
              <w:bottom w:val="single" w:sz="4" w:space="0" w:color="auto"/>
              <w:right w:val="single" w:sz="4" w:space="0" w:color="auto"/>
            </w:tcBorders>
            <w:vAlign w:val="center"/>
            <w:hideMark/>
          </w:tcPr>
          <w:p w14:paraId="2BC9EED5"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0,51 (0,41; 0,62), p&lt;0,0001</w:t>
            </w:r>
          </w:p>
        </w:tc>
      </w:tr>
    </w:tbl>
    <w:p w14:paraId="00771157" w14:textId="4F941FE7" w:rsidR="00D857AC" w:rsidRPr="00234ECD" w:rsidRDefault="00D857AC" w:rsidP="00D857AC">
      <w:pPr>
        <w:jc w:val="both"/>
        <w:rPr>
          <w:rFonts w:eastAsia="Calibri"/>
          <w:sz w:val="22"/>
          <w:szCs w:val="22"/>
          <w:lang w:val="sr-Latn-RS"/>
        </w:rPr>
      </w:pPr>
      <w:r w:rsidRPr="00234ECD">
        <w:rPr>
          <w:rFonts w:eastAsia="Calibri"/>
          <w:sz w:val="22"/>
          <w:szCs w:val="22"/>
          <w:vertAlign w:val="superscript"/>
          <w:lang w:val="sr-Latn-RS"/>
        </w:rPr>
        <w:t>1</w:t>
      </w:r>
      <w:r w:rsidRPr="00234ECD">
        <w:rPr>
          <w:rFonts w:eastAsia="Calibri"/>
          <w:sz w:val="22"/>
          <w:szCs w:val="22"/>
          <w:lang w:val="sr-Latn-RS"/>
        </w:rPr>
        <w:t xml:space="preserve"> stratifikovani log-rank test</w:t>
      </w:r>
    </w:p>
    <w:p w14:paraId="72E0D6F9" w14:textId="77777777" w:rsidR="00D857AC" w:rsidRPr="00234ECD" w:rsidRDefault="00D857AC" w:rsidP="00D857AC">
      <w:pPr>
        <w:jc w:val="both"/>
        <w:rPr>
          <w:rFonts w:eastAsia="Calibri"/>
          <w:sz w:val="22"/>
          <w:szCs w:val="22"/>
          <w:lang w:val="sr-Latn-RS"/>
        </w:rPr>
      </w:pPr>
      <w:r w:rsidRPr="00234ECD">
        <w:rPr>
          <w:rFonts w:eastAsia="Calibri"/>
          <w:sz w:val="22"/>
          <w:szCs w:val="22"/>
          <w:lang w:val="sr-Latn-RS"/>
        </w:rPr>
        <w:t xml:space="preserve">ITT (engl. </w:t>
      </w:r>
      <w:r w:rsidRPr="00234ECD">
        <w:rPr>
          <w:rFonts w:eastAsia="Calibri"/>
          <w:i/>
          <w:iCs/>
          <w:sz w:val="22"/>
          <w:szCs w:val="22"/>
          <w:lang w:val="sr-Latn-RS"/>
        </w:rPr>
        <w:t>intet to treat</w:t>
      </w:r>
      <w:r w:rsidRPr="00234ECD">
        <w:rPr>
          <w:rFonts w:eastAsia="Calibri"/>
          <w:sz w:val="22"/>
          <w:szCs w:val="22"/>
          <w:lang w:val="sr-Latn-RS"/>
        </w:rPr>
        <w:t>)</w:t>
      </w:r>
    </w:p>
    <w:p w14:paraId="36A3FA48" w14:textId="77777777" w:rsidR="00D857AC" w:rsidRPr="00234ECD" w:rsidRDefault="00D857AC" w:rsidP="00D857AC">
      <w:pPr>
        <w:jc w:val="both"/>
        <w:rPr>
          <w:rFonts w:eastAsia="Calibri"/>
          <w:sz w:val="22"/>
          <w:szCs w:val="22"/>
          <w:lang w:val="sr-Latn-RS"/>
        </w:rPr>
      </w:pPr>
    </w:p>
    <w:p w14:paraId="4BC569DB" w14:textId="7DCBF838" w:rsidR="00D857AC" w:rsidRPr="00234ECD" w:rsidRDefault="00D857AC" w:rsidP="00D857AC">
      <w:pPr>
        <w:jc w:val="both"/>
        <w:rPr>
          <w:rFonts w:eastAsia="Calibri"/>
          <w:b/>
          <w:sz w:val="22"/>
          <w:szCs w:val="22"/>
          <w:lang w:val="sr-Latn-RS"/>
        </w:rPr>
      </w:pPr>
      <w:r w:rsidRPr="00234ECD">
        <w:rPr>
          <w:rFonts w:eastAsia="Calibri"/>
          <w:b/>
          <w:sz w:val="22"/>
          <w:szCs w:val="22"/>
          <w:lang w:val="sr-Latn-RS"/>
        </w:rPr>
        <w:lastRenderedPageBreak/>
        <w:t xml:space="preserve">Slika 2: </w:t>
      </w:r>
      <w:r w:rsidRPr="00234ECD">
        <w:rPr>
          <w:rFonts w:eastAsia="Calibri"/>
          <w:b/>
          <w:i/>
          <w:sz w:val="22"/>
          <w:szCs w:val="22"/>
          <w:lang w:val="sr-Latn-RS"/>
        </w:rPr>
        <w:t>Kaplan-Meier</w:t>
      </w:r>
      <w:r w:rsidRPr="00234ECD">
        <w:rPr>
          <w:rFonts w:eastAsia="Calibri"/>
          <w:b/>
          <w:sz w:val="22"/>
          <w:szCs w:val="22"/>
          <w:lang w:val="sr-Latn-RS"/>
        </w:rPr>
        <w:t>-ova kriva ukupnog preživljavanja kod ispitanika sa RCC nakon prethodne terapije usm</w:t>
      </w:r>
      <w:r w:rsidR="0007520B" w:rsidRPr="00234ECD">
        <w:rPr>
          <w:rFonts w:eastAsia="Calibri"/>
          <w:b/>
          <w:sz w:val="22"/>
          <w:szCs w:val="22"/>
          <w:lang w:val="sr-Latn-RS"/>
        </w:rPr>
        <w:t>j</w:t>
      </w:r>
      <w:r w:rsidRPr="00234ECD">
        <w:rPr>
          <w:rFonts w:eastAsia="Calibri"/>
          <w:b/>
          <w:sz w:val="22"/>
          <w:szCs w:val="22"/>
          <w:lang w:val="sr-Latn-RS"/>
        </w:rPr>
        <w:t>erene na vaskularni endotelni faktor rasta (VEGF) (METEOR)</w:t>
      </w:r>
    </w:p>
    <w:p w14:paraId="6F7ADE42" w14:textId="77777777" w:rsidR="00D857AC" w:rsidRPr="00234ECD" w:rsidRDefault="00D857AC" w:rsidP="00D857AC">
      <w:pPr>
        <w:jc w:val="both"/>
        <w:rPr>
          <w:rFonts w:eastAsia="Calibri"/>
          <w:b/>
          <w:sz w:val="22"/>
          <w:szCs w:val="22"/>
          <w:lang w:val="sr-Latn-RS"/>
        </w:rPr>
      </w:pPr>
    </w:p>
    <w:p w14:paraId="57AD72CD" w14:textId="77777777" w:rsidR="00D857AC" w:rsidRPr="00234ECD" w:rsidRDefault="00D857AC" w:rsidP="00D857AC">
      <w:pPr>
        <w:jc w:val="both"/>
        <w:rPr>
          <w:rFonts w:eastAsia="Calibri"/>
          <w:sz w:val="22"/>
          <w:szCs w:val="22"/>
          <w:lang w:val="sr-Latn-R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61"/>
        <w:gridCol w:w="284"/>
        <w:gridCol w:w="435"/>
        <w:gridCol w:w="250"/>
        <w:gridCol w:w="685"/>
        <w:gridCol w:w="685"/>
        <w:gridCol w:w="685"/>
        <w:gridCol w:w="685"/>
        <w:gridCol w:w="686"/>
        <w:gridCol w:w="685"/>
        <w:gridCol w:w="685"/>
        <w:gridCol w:w="683"/>
        <w:gridCol w:w="682"/>
        <w:gridCol w:w="682"/>
      </w:tblGrid>
      <w:tr w:rsidR="00D857AC" w:rsidRPr="00234ECD" w14:paraId="23A07555" w14:textId="77777777" w:rsidTr="008C2157">
        <w:trPr>
          <w:cantSplit/>
          <w:trHeight w:val="4461"/>
        </w:trPr>
        <w:tc>
          <w:tcPr>
            <w:tcW w:w="1261" w:type="dxa"/>
            <w:textDirection w:val="btLr"/>
            <w:vAlign w:val="bottom"/>
          </w:tcPr>
          <w:p w14:paraId="341A00CF" w14:textId="4DA566FD" w:rsidR="00D857AC" w:rsidRPr="00234ECD" w:rsidRDefault="00D857AC" w:rsidP="00D857AC">
            <w:pPr>
              <w:ind w:left="113" w:right="113"/>
              <w:jc w:val="center"/>
              <w:rPr>
                <w:rFonts w:ascii="Times New Roman" w:hAnsi="Times New Roman" w:cs="Times New Roman"/>
                <w:b/>
                <w:sz w:val="22"/>
                <w:szCs w:val="22"/>
                <w:lang w:val="sr-Latn-RS"/>
              </w:rPr>
            </w:pPr>
            <w:r w:rsidRPr="00234ECD">
              <w:rPr>
                <w:rFonts w:ascii="Times New Roman" w:hAnsi="Times New Roman" w:cs="Times New Roman"/>
                <w:b/>
                <w:sz w:val="22"/>
                <w:szCs w:val="22"/>
                <w:lang w:val="sr-Latn-RS"/>
              </w:rPr>
              <w:t>V</w:t>
            </w:r>
            <w:r w:rsidR="00CA7A1C" w:rsidRPr="00234ECD">
              <w:rPr>
                <w:rFonts w:ascii="Times New Roman" w:hAnsi="Times New Roman" w:cs="Times New Roman"/>
                <w:b/>
                <w:sz w:val="22"/>
                <w:szCs w:val="22"/>
                <w:lang w:val="sr-Latn-RS"/>
              </w:rPr>
              <w:t>j</w:t>
            </w:r>
            <w:r w:rsidRPr="00234ECD">
              <w:rPr>
                <w:rFonts w:ascii="Times New Roman" w:hAnsi="Times New Roman" w:cs="Times New Roman"/>
                <w:b/>
                <w:sz w:val="22"/>
                <w:szCs w:val="22"/>
                <w:lang w:val="sr-Latn-RS"/>
              </w:rPr>
              <w:t>erovatnoća ukupnog preživljavanja</w:t>
            </w:r>
          </w:p>
          <w:p w14:paraId="649DD2F9" w14:textId="77777777" w:rsidR="00D857AC" w:rsidRPr="00234ECD" w:rsidRDefault="00D857AC" w:rsidP="00D857AC">
            <w:pPr>
              <w:ind w:left="113" w:right="113"/>
              <w:jc w:val="center"/>
              <w:rPr>
                <w:rFonts w:ascii="Times New Roman" w:hAnsi="Times New Roman" w:cs="Times New Roman"/>
                <w:b/>
                <w:sz w:val="22"/>
                <w:szCs w:val="22"/>
                <w:lang w:val="sr-Latn-RS"/>
              </w:rPr>
            </w:pPr>
          </w:p>
        </w:tc>
        <w:tc>
          <w:tcPr>
            <w:tcW w:w="7812" w:type="dxa"/>
            <w:gridSpan w:val="13"/>
            <w:vAlign w:val="center"/>
            <w:hideMark/>
          </w:tcPr>
          <w:p w14:paraId="15B38921"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noProof/>
                <w:sz w:val="22"/>
                <w:szCs w:val="22"/>
                <w:lang w:val="sr-Latn-RS"/>
              </w:rPr>
              <w:drawing>
                <wp:inline distT="0" distB="0" distL="0" distR="0" wp14:anchorId="53D928CA" wp14:editId="4CFEAB6B">
                  <wp:extent cx="4724400" cy="2686050"/>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24400" cy="2686050"/>
                          </a:xfrm>
                          <a:prstGeom prst="rect">
                            <a:avLst/>
                          </a:prstGeom>
                          <a:noFill/>
                          <a:ln>
                            <a:noFill/>
                          </a:ln>
                        </pic:spPr>
                      </pic:pic>
                    </a:graphicData>
                  </a:graphic>
                </wp:inline>
              </w:drawing>
            </w:r>
          </w:p>
        </w:tc>
      </w:tr>
      <w:tr w:rsidR="00D857AC" w:rsidRPr="00234ECD" w14:paraId="0DCAB554" w14:textId="77777777" w:rsidTr="008C2157">
        <w:trPr>
          <w:cantSplit/>
          <w:trHeight w:val="145"/>
        </w:trPr>
        <w:tc>
          <w:tcPr>
            <w:tcW w:w="1261" w:type="dxa"/>
            <w:textDirection w:val="btLr"/>
          </w:tcPr>
          <w:p w14:paraId="5DC1F626" w14:textId="77777777" w:rsidR="00D857AC" w:rsidRPr="00234ECD" w:rsidRDefault="00D857AC" w:rsidP="00D857AC">
            <w:pPr>
              <w:ind w:left="113" w:right="113"/>
              <w:jc w:val="center"/>
              <w:rPr>
                <w:rFonts w:ascii="Times New Roman" w:hAnsi="Times New Roman" w:cs="Times New Roman"/>
                <w:b/>
                <w:sz w:val="22"/>
                <w:szCs w:val="22"/>
                <w:lang w:val="sr-Latn-RS"/>
              </w:rPr>
            </w:pPr>
          </w:p>
        </w:tc>
        <w:tc>
          <w:tcPr>
            <w:tcW w:w="7812" w:type="dxa"/>
            <w:gridSpan w:val="13"/>
            <w:hideMark/>
          </w:tcPr>
          <w:p w14:paraId="750CF973" w14:textId="48DBB172" w:rsidR="00D857AC" w:rsidRPr="00234ECD" w:rsidRDefault="00D857AC" w:rsidP="00D857AC">
            <w:pPr>
              <w:jc w:val="center"/>
              <w:rPr>
                <w:rFonts w:ascii="Times New Roman" w:hAnsi="Times New Roman" w:cs="Times New Roman"/>
                <w:noProof/>
                <w:sz w:val="22"/>
                <w:szCs w:val="22"/>
                <w:lang w:val="sr-Latn-RS" w:eastAsia="sr-Latn-RS"/>
              </w:rPr>
            </w:pPr>
            <w:r w:rsidRPr="00234ECD">
              <w:rPr>
                <w:rFonts w:ascii="Times New Roman" w:hAnsi="Times New Roman" w:cs="Times New Roman"/>
                <w:b/>
                <w:sz w:val="22"/>
                <w:szCs w:val="22"/>
                <w:lang w:val="sr-Latn-RS"/>
              </w:rPr>
              <w:t>M</w:t>
            </w:r>
            <w:r w:rsidR="00D42DB9" w:rsidRPr="00234ECD">
              <w:rPr>
                <w:rFonts w:ascii="Times New Roman" w:hAnsi="Times New Roman" w:cs="Times New Roman"/>
                <w:b/>
                <w:sz w:val="22"/>
                <w:szCs w:val="22"/>
                <w:lang w:val="sr-Latn-RS"/>
              </w:rPr>
              <w:t>j</w:t>
            </w:r>
            <w:r w:rsidRPr="00234ECD">
              <w:rPr>
                <w:rFonts w:ascii="Times New Roman" w:hAnsi="Times New Roman" w:cs="Times New Roman"/>
                <w:b/>
                <w:sz w:val="22"/>
                <w:szCs w:val="22"/>
                <w:lang w:val="sr-Latn-RS"/>
              </w:rPr>
              <w:t>eseci</w:t>
            </w:r>
          </w:p>
        </w:tc>
      </w:tr>
      <w:tr w:rsidR="00D857AC" w:rsidRPr="00234ECD" w14:paraId="45D85E27" w14:textId="77777777" w:rsidTr="008C2157">
        <w:trPr>
          <w:trHeight w:val="461"/>
        </w:trPr>
        <w:tc>
          <w:tcPr>
            <w:tcW w:w="1980" w:type="dxa"/>
            <w:gridSpan w:val="3"/>
            <w:hideMark/>
          </w:tcPr>
          <w:p w14:paraId="349B176E" w14:textId="77777777" w:rsidR="00D857AC" w:rsidRPr="00234ECD" w:rsidRDefault="00D857AC" w:rsidP="00D857AC">
            <w:pPr>
              <w:rPr>
                <w:rFonts w:ascii="Times New Roman" w:hAnsi="Times New Roman" w:cs="Times New Roman"/>
                <w:b/>
                <w:sz w:val="22"/>
                <w:szCs w:val="22"/>
                <w:lang w:val="sr-Latn-RS"/>
              </w:rPr>
            </w:pPr>
            <w:r w:rsidRPr="00234ECD">
              <w:rPr>
                <w:rFonts w:ascii="Times New Roman" w:hAnsi="Times New Roman" w:cs="Times New Roman"/>
                <w:b/>
                <w:sz w:val="22"/>
                <w:szCs w:val="22"/>
                <w:lang w:val="sr-Latn-RS"/>
              </w:rPr>
              <w:t>Broj pacijenata koji su pod rizikom:</w:t>
            </w:r>
          </w:p>
        </w:tc>
        <w:tc>
          <w:tcPr>
            <w:tcW w:w="7093" w:type="dxa"/>
            <w:gridSpan w:val="11"/>
          </w:tcPr>
          <w:p w14:paraId="3CDEAE7A" w14:textId="77777777" w:rsidR="00D857AC" w:rsidRPr="00234ECD" w:rsidRDefault="00D857AC" w:rsidP="00D857AC">
            <w:pPr>
              <w:rPr>
                <w:rFonts w:ascii="Times New Roman" w:hAnsi="Times New Roman" w:cs="Times New Roman"/>
                <w:b/>
                <w:sz w:val="22"/>
                <w:szCs w:val="22"/>
                <w:lang w:val="sr-Latn-RS"/>
              </w:rPr>
            </w:pPr>
          </w:p>
        </w:tc>
      </w:tr>
      <w:tr w:rsidR="00D857AC" w:rsidRPr="00234ECD" w14:paraId="41445662" w14:textId="77777777" w:rsidTr="008C2157">
        <w:trPr>
          <w:trHeight w:val="283"/>
        </w:trPr>
        <w:tc>
          <w:tcPr>
            <w:tcW w:w="1545" w:type="dxa"/>
            <w:gridSpan w:val="2"/>
            <w:hideMark/>
          </w:tcPr>
          <w:p w14:paraId="18A0E439" w14:textId="77777777" w:rsidR="00D857AC" w:rsidRPr="00234ECD" w:rsidRDefault="00D857AC" w:rsidP="00D857AC">
            <w:pPr>
              <w:jc w:val="both"/>
              <w:rPr>
                <w:rFonts w:ascii="Times New Roman" w:hAnsi="Times New Roman" w:cs="Times New Roman"/>
                <w:sz w:val="22"/>
                <w:szCs w:val="22"/>
                <w:lang w:val="sr-Latn-RS"/>
              </w:rPr>
            </w:pPr>
            <w:bookmarkStart w:id="11" w:name="_Hlk137724054"/>
            <w:r w:rsidRPr="00234ECD">
              <w:rPr>
                <w:rFonts w:ascii="Times New Roman" w:hAnsi="Times New Roman" w:cs="Times New Roman"/>
                <w:sz w:val="22"/>
                <w:szCs w:val="22"/>
                <w:lang w:val="sr-Latn-RS"/>
              </w:rPr>
              <w:t>Cabometyx</w:t>
            </w:r>
          </w:p>
        </w:tc>
        <w:tc>
          <w:tcPr>
            <w:tcW w:w="685" w:type="dxa"/>
            <w:gridSpan w:val="2"/>
            <w:hideMark/>
          </w:tcPr>
          <w:p w14:paraId="6F602151"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330</w:t>
            </w:r>
          </w:p>
        </w:tc>
        <w:tc>
          <w:tcPr>
            <w:tcW w:w="685" w:type="dxa"/>
            <w:hideMark/>
          </w:tcPr>
          <w:p w14:paraId="55EB0C9F"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318</w:t>
            </w:r>
          </w:p>
        </w:tc>
        <w:tc>
          <w:tcPr>
            <w:tcW w:w="685" w:type="dxa"/>
            <w:hideMark/>
          </w:tcPr>
          <w:p w14:paraId="355014B1"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296</w:t>
            </w:r>
          </w:p>
        </w:tc>
        <w:tc>
          <w:tcPr>
            <w:tcW w:w="685" w:type="dxa"/>
            <w:hideMark/>
          </w:tcPr>
          <w:p w14:paraId="5C36977A"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264</w:t>
            </w:r>
          </w:p>
        </w:tc>
        <w:tc>
          <w:tcPr>
            <w:tcW w:w="685" w:type="dxa"/>
            <w:hideMark/>
          </w:tcPr>
          <w:p w14:paraId="355E009B"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239</w:t>
            </w:r>
          </w:p>
        </w:tc>
        <w:tc>
          <w:tcPr>
            <w:tcW w:w="686" w:type="dxa"/>
            <w:hideMark/>
          </w:tcPr>
          <w:p w14:paraId="724A199D"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178</w:t>
            </w:r>
          </w:p>
        </w:tc>
        <w:tc>
          <w:tcPr>
            <w:tcW w:w="685" w:type="dxa"/>
            <w:hideMark/>
          </w:tcPr>
          <w:p w14:paraId="1FC59E0A"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 xml:space="preserve">105 </w:t>
            </w:r>
          </w:p>
        </w:tc>
        <w:tc>
          <w:tcPr>
            <w:tcW w:w="685" w:type="dxa"/>
            <w:hideMark/>
          </w:tcPr>
          <w:p w14:paraId="7B4C9ECD"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 xml:space="preserve">41 </w:t>
            </w:r>
          </w:p>
        </w:tc>
        <w:tc>
          <w:tcPr>
            <w:tcW w:w="683" w:type="dxa"/>
            <w:hideMark/>
          </w:tcPr>
          <w:p w14:paraId="45750F04"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 xml:space="preserve">6 </w:t>
            </w:r>
          </w:p>
        </w:tc>
        <w:tc>
          <w:tcPr>
            <w:tcW w:w="682" w:type="dxa"/>
            <w:hideMark/>
          </w:tcPr>
          <w:p w14:paraId="36CDDFB3"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 xml:space="preserve">3 </w:t>
            </w:r>
          </w:p>
        </w:tc>
        <w:tc>
          <w:tcPr>
            <w:tcW w:w="682" w:type="dxa"/>
            <w:hideMark/>
          </w:tcPr>
          <w:p w14:paraId="130BA84D"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0</w:t>
            </w:r>
          </w:p>
        </w:tc>
      </w:tr>
      <w:tr w:rsidR="00D857AC" w:rsidRPr="00234ECD" w14:paraId="704C690B" w14:textId="77777777" w:rsidTr="008C2157">
        <w:tc>
          <w:tcPr>
            <w:tcW w:w="1545" w:type="dxa"/>
            <w:gridSpan w:val="2"/>
            <w:hideMark/>
          </w:tcPr>
          <w:p w14:paraId="75B2C138" w14:textId="77777777" w:rsidR="00D857AC" w:rsidRPr="00234ECD" w:rsidRDefault="00D857AC" w:rsidP="00D857AC">
            <w:pPr>
              <w:jc w:val="both"/>
              <w:rPr>
                <w:rFonts w:ascii="Times New Roman" w:hAnsi="Times New Roman" w:cs="Times New Roman"/>
                <w:sz w:val="22"/>
                <w:szCs w:val="22"/>
                <w:lang w:val="sr-Latn-RS"/>
              </w:rPr>
            </w:pPr>
            <w:r w:rsidRPr="00234ECD">
              <w:rPr>
                <w:rFonts w:ascii="Times New Roman" w:hAnsi="Times New Roman" w:cs="Times New Roman"/>
                <w:sz w:val="22"/>
                <w:szCs w:val="22"/>
                <w:lang w:val="sr-Latn-RS"/>
              </w:rPr>
              <w:t>Everolimus</w:t>
            </w:r>
          </w:p>
        </w:tc>
        <w:tc>
          <w:tcPr>
            <w:tcW w:w="685" w:type="dxa"/>
            <w:gridSpan w:val="2"/>
            <w:hideMark/>
          </w:tcPr>
          <w:p w14:paraId="65AB7674"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328</w:t>
            </w:r>
          </w:p>
        </w:tc>
        <w:tc>
          <w:tcPr>
            <w:tcW w:w="685" w:type="dxa"/>
            <w:hideMark/>
          </w:tcPr>
          <w:p w14:paraId="7DEC3CBE"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307</w:t>
            </w:r>
          </w:p>
        </w:tc>
        <w:tc>
          <w:tcPr>
            <w:tcW w:w="685" w:type="dxa"/>
            <w:hideMark/>
          </w:tcPr>
          <w:p w14:paraId="6AE347D9"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262</w:t>
            </w:r>
          </w:p>
        </w:tc>
        <w:tc>
          <w:tcPr>
            <w:tcW w:w="685" w:type="dxa"/>
            <w:hideMark/>
          </w:tcPr>
          <w:p w14:paraId="2C482F5E"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229</w:t>
            </w:r>
          </w:p>
        </w:tc>
        <w:tc>
          <w:tcPr>
            <w:tcW w:w="685" w:type="dxa"/>
            <w:hideMark/>
          </w:tcPr>
          <w:p w14:paraId="684DF366"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202</w:t>
            </w:r>
          </w:p>
        </w:tc>
        <w:tc>
          <w:tcPr>
            <w:tcW w:w="686" w:type="dxa"/>
            <w:hideMark/>
          </w:tcPr>
          <w:p w14:paraId="117F907C"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 xml:space="preserve">141 </w:t>
            </w:r>
          </w:p>
        </w:tc>
        <w:tc>
          <w:tcPr>
            <w:tcW w:w="685" w:type="dxa"/>
            <w:hideMark/>
          </w:tcPr>
          <w:p w14:paraId="65D6A542"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 xml:space="preserve">82 </w:t>
            </w:r>
          </w:p>
        </w:tc>
        <w:tc>
          <w:tcPr>
            <w:tcW w:w="685" w:type="dxa"/>
            <w:hideMark/>
          </w:tcPr>
          <w:p w14:paraId="768EC85D"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 xml:space="preserve">32 </w:t>
            </w:r>
          </w:p>
        </w:tc>
        <w:tc>
          <w:tcPr>
            <w:tcW w:w="683" w:type="dxa"/>
            <w:hideMark/>
          </w:tcPr>
          <w:p w14:paraId="5EA98D7F"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 xml:space="preserve">8 </w:t>
            </w:r>
          </w:p>
        </w:tc>
        <w:tc>
          <w:tcPr>
            <w:tcW w:w="682" w:type="dxa"/>
            <w:hideMark/>
          </w:tcPr>
          <w:p w14:paraId="29A628C4"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 xml:space="preserve">1 </w:t>
            </w:r>
          </w:p>
        </w:tc>
        <w:tc>
          <w:tcPr>
            <w:tcW w:w="682" w:type="dxa"/>
            <w:hideMark/>
          </w:tcPr>
          <w:p w14:paraId="6676A2B2"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0</w:t>
            </w:r>
          </w:p>
        </w:tc>
      </w:tr>
      <w:bookmarkEnd w:id="11"/>
    </w:tbl>
    <w:p w14:paraId="3E66B7CB" w14:textId="77777777" w:rsidR="00D857AC" w:rsidRPr="00234ECD" w:rsidRDefault="00D857AC" w:rsidP="00D857AC">
      <w:pPr>
        <w:jc w:val="both"/>
        <w:rPr>
          <w:rFonts w:eastAsia="Calibri"/>
          <w:sz w:val="22"/>
          <w:szCs w:val="22"/>
          <w:lang w:val="sr-Latn-RS"/>
        </w:rPr>
      </w:pPr>
    </w:p>
    <w:p w14:paraId="05A5B6B3" w14:textId="77777777" w:rsidR="00D857AC" w:rsidRPr="00234ECD" w:rsidRDefault="00D857AC" w:rsidP="00D857AC">
      <w:pPr>
        <w:jc w:val="both"/>
        <w:rPr>
          <w:rFonts w:eastAsia="Calibri"/>
          <w:sz w:val="22"/>
          <w:szCs w:val="22"/>
          <w:lang w:val="sr-Latn-RS"/>
        </w:rPr>
      </w:pPr>
    </w:p>
    <w:p w14:paraId="415E9D3C" w14:textId="04A08369" w:rsidR="00D857AC" w:rsidRPr="00234ECD" w:rsidRDefault="00D857AC" w:rsidP="00D857AC">
      <w:pPr>
        <w:jc w:val="both"/>
        <w:rPr>
          <w:rFonts w:eastAsia="Calibri"/>
          <w:b/>
          <w:sz w:val="22"/>
          <w:szCs w:val="22"/>
          <w:lang w:val="sr-Latn-RS"/>
        </w:rPr>
      </w:pPr>
      <w:r w:rsidRPr="00234ECD">
        <w:rPr>
          <w:rFonts w:eastAsia="Calibri"/>
          <w:b/>
          <w:sz w:val="22"/>
          <w:szCs w:val="22"/>
          <w:lang w:val="sr-Latn-RS"/>
        </w:rPr>
        <w:t>Tabela 5: Sažeti prikaz rezultata ORR kod ispitanika sa RCC nakon prethodne terapije usm</w:t>
      </w:r>
      <w:r w:rsidR="0058710A" w:rsidRPr="00234ECD">
        <w:rPr>
          <w:rFonts w:eastAsia="Calibri"/>
          <w:b/>
          <w:sz w:val="22"/>
          <w:szCs w:val="22"/>
          <w:lang w:val="sr-Latn-RS"/>
        </w:rPr>
        <w:t>j</w:t>
      </w:r>
      <w:r w:rsidRPr="00234ECD">
        <w:rPr>
          <w:rFonts w:eastAsia="Calibri"/>
          <w:b/>
          <w:sz w:val="22"/>
          <w:szCs w:val="22"/>
          <w:lang w:val="sr-Latn-RS"/>
        </w:rPr>
        <w:t>erene na vaskularni endotelni faktor rasta (VEGF) prema Komisiji za nezavisni radiološki pregled i proc</w:t>
      </w:r>
      <w:r w:rsidR="0058710A" w:rsidRPr="00234ECD">
        <w:rPr>
          <w:rFonts w:eastAsia="Calibri"/>
          <w:b/>
          <w:sz w:val="22"/>
          <w:szCs w:val="22"/>
          <w:lang w:val="sr-Latn-RS"/>
        </w:rPr>
        <w:t>j</w:t>
      </w:r>
      <w:r w:rsidRPr="00234ECD">
        <w:rPr>
          <w:rFonts w:eastAsia="Calibri"/>
          <w:b/>
          <w:sz w:val="22"/>
          <w:szCs w:val="22"/>
          <w:lang w:val="sr-Latn-RS"/>
        </w:rPr>
        <w:t>eni ispitivača</w:t>
      </w:r>
    </w:p>
    <w:p w14:paraId="65C2E714" w14:textId="77777777" w:rsidR="00D857AC" w:rsidRPr="00234ECD" w:rsidRDefault="00D857AC" w:rsidP="00D857AC">
      <w:pPr>
        <w:jc w:val="both"/>
        <w:rPr>
          <w:rFonts w:eastAsia="Calibri"/>
          <w:sz w:val="22"/>
          <w:szCs w:val="22"/>
          <w:lang w:val="sr-Latn-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771"/>
        <w:gridCol w:w="1772"/>
        <w:gridCol w:w="1772"/>
        <w:gridCol w:w="1772"/>
      </w:tblGrid>
      <w:tr w:rsidR="00D857AC" w:rsidRPr="00234ECD" w14:paraId="159CC606" w14:textId="77777777" w:rsidTr="00D857AC">
        <w:trPr>
          <w:trHeight w:val="228"/>
        </w:trPr>
        <w:tc>
          <w:tcPr>
            <w:tcW w:w="2088" w:type="dxa"/>
            <w:tcBorders>
              <w:top w:val="single" w:sz="4" w:space="0" w:color="auto"/>
              <w:left w:val="single" w:sz="4" w:space="0" w:color="auto"/>
              <w:bottom w:val="single" w:sz="4" w:space="0" w:color="auto"/>
              <w:right w:val="single" w:sz="4" w:space="0" w:color="auto"/>
            </w:tcBorders>
          </w:tcPr>
          <w:p w14:paraId="0127D3C5" w14:textId="77777777" w:rsidR="00D857AC" w:rsidRPr="00234ECD" w:rsidRDefault="00D857AC" w:rsidP="00D857AC">
            <w:pPr>
              <w:autoSpaceDE w:val="0"/>
              <w:autoSpaceDN w:val="0"/>
              <w:adjustRightInd w:val="0"/>
              <w:rPr>
                <w:rFonts w:eastAsia="Calibri"/>
                <w:color w:val="000000"/>
                <w:sz w:val="22"/>
                <w:szCs w:val="22"/>
                <w:lang w:val="sr-Latn-RS"/>
              </w:rPr>
            </w:pPr>
          </w:p>
        </w:tc>
        <w:tc>
          <w:tcPr>
            <w:tcW w:w="3543" w:type="dxa"/>
            <w:gridSpan w:val="2"/>
            <w:tcBorders>
              <w:top w:val="single" w:sz="4" w:space="0" w:color="auto"/>
              <w:left w:val="single" w:sz="4" w:space="0" w:color="auto"/>
              <w:bottom w:val="single" w:sz="4" w:space="0" w:color="auto"/>
              <w:right w:val="single" w:sz="4" w:space="0" w:color="auto"/>
            </w:tcBorders>
            <w:hideMark/>
          </w:tcPr>
          <w:p w14:paraId="6FF3D673" w14:textId="77777777" w:rsidR="00D857AC" w:rsidRPr="00234ECD" w:rsidRDefault="00D857AC" w:rsidP="00D857AC">
            <w:pPr>
              <w:autoSpaceDE w:val="0"/>
              <w:autoSpaceDN w:val="0"/>
              <w:adjustRightInd w:val="0"/>
              <w:jc w:val="center"/>
              <w:rPr>
                <w:rFonts w:eastAsia="Calibri"/>
                <w:b/>
                <w:bCs/>
                <w:color w:val="000000"/>
                <w:sz w:val="22"/>
                <w:szCs w:val="22"/>
                <w:lang w:val="sr-Latn-RS"/>
              </w:rPr>
            </w:pPr>
            <w:r w:rsidRPr="00234ECD">
              <w:rPr>
                <w:rFonts w:eastAsia="Calibri"/>
                <w:b/>
                <w:bCs/>
                <w:color w:val="000000"/>
                <w:sz w:val="22"/>
                <w:szCs w:val="22"/>
                <w:lang w:val="sr-Latn-RS"/>
              </w:rPr>
              <w:t>Primarna analiza ORR kod</w:t>
            </w:r>
          </w:p>
          <w:p w14:paraId="7876E838"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b/>
                <w:bCs/>
                <w:color w:val="000000"/>
                <w:sz w:val="22"/>
                <w:szCs w:val="22"/>
                <w:lang w:val="sr-Latn-RS"/>
              </w:rPr>
              <w:t>populacije koja treba da primi terapiju prema IRC</w:t>
            </w:r>
          </w:p>
        </w:tc>
        <w:tc>
          <w:tcPr>
            <w:tcW w:w="3544" w:type="dxa"/>
            <w:gridSpan w:val="2"/>
            <w:tcBorders>
              <w:top w:val="single" w:sz="4" w:space="0" w:color="auto"/>
              <w:left w:val="single" w:sz="4" w:space="0" w:color="auto"/>
              <w:bottom w:val="single" w:sz="4" w:space="0" w:color="auto"/>
              <w:right w:val="single" w:sz="4" w:space="0" w:color="auto"/>
            </w:tcBorders>
            <w:hideMark/>
          </w:tcPr>
          <w:p w14:paraId="04B7AE0C" w14:textId="001CFDCA"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b/>
                <w:bCs/>
                <w:color w:val="000000"/>
                <w:sz w:val="22"/>
                <w:szCs w:val="22"/>
                <w:lang w:val="sr-Latn-RS"/>
              </w:rPr>
              <w:t>ORR kod populacije koja treba da primi terapiju prema proc</w:t>
            </w:r>
            <w:r w:rsidR="00705444" w:rsidRPr="00234ECD">
              <w:rPr>
                <w:rFonts w:eastAsia="Calibri"/>
                <w:b/>
                <w:bCs/>
                <w:color w:val="000000"/>
                <w:sz w:val="22"/>
                <w:szCs w:val="22"/>
                <w:lang w:val="sr-Latn-RS"/>
              </w:rPr>
              <w:t>j</w:t>
            </w:r>
            <w:r w:rsidRPr="00234ECD">
              <w:rPr>
                <w:rFonts w:eastAsia="Calibri"/>
                <w:b/>
                <w:bCs/>
                <w:color w:val="000000"/>
                <w:sz w:val="22"/>
                <w:szCs w:val="22"/>
                <w:lang w:val="sr-Latn-RS"/>
              </w:rPr>
              <w:t>eni ispitivača</w:t>
            </w:r>
          </w:p>
        </w:tc>
      </w:tr>
      <w:tr w:rsidR="00D857AC" w:rsidRPr="00234ECD" w14:paraId="758ECB81" w14:textId="77777777" w:rsidTr="00D857AC">
        <w:trPr>
          <w:trHeight w:val="98"/>
        </w:trPr>
        <w:tc>
          <w:tcPr>
            <w:tcW w:w="2088" w:type="dxa"/>
            <w:tcBorders>
              <w:top w:val="single" w:sz="4" w:space="0" w:color="auto"/>
              <w:left w:val="single" w:sz="4" w:space="0" w:color="auto"/>
              <w:bottom w:val="single" w:sz="4" w:space="0" w:color="auto"/>
              <w:right w:val="single" w:sz="4" w:space="0" w:color="auto"/>
            </w:tcBorders>
            <w:hideMark/>
          </w:tcPr>
          <w:p w14:paraId="3A65887B"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b/>
                <w:bCs/>
                <w:color w:val="000000"/>
                <w:sz w:val="22"/>
                <w:szCs w:val="22"/>
                <w:lang w:val="sr-Latn-RS"/>
              </w:rPr>
              <w:t xml:space="preserve">Ishod </w:t>
            </w:r>
          </w:p>
        </w:tc>
        <w:tc>
          <w:tcPr>
            <w:tcW w:w="1771" w:type="dxa"/>
            <w:tcBorders>
              <w:top w:val="single" w:sz="4" w:space="0" w:color="auto"/>
              <w:left w:val="single" w:sz="4" w:space="0" w:color="auto"/>
              <w:bottom w:val="single" w:sz="4" w:space="0" w:color="auto"/>
              <w:right w:val="single" w:sz="4" w:space="0" w:color="auto"/>
            </w:tcBorders>
            <w:hideMark/>
          </w:tcPr>
          <w:p w14:paraId="6431A847"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b/>
                <w:bCs/>
                <w:color w:val="000000"/>
                <w:sz w:val="22"/>
                <w:szCs w:val="22"/>
                <w:lang w:val="sr-Latn-RS"/>
              </w:rPr>
              <w:t>Cabometyx</w:t>
            </w:r>
          </w:p>
        </w:tc>
        <w:tc>
          <w:tcPr>
            <w:tcW w:w="1772" w:type="dxa"/>
            <w:tcBorders>
              <w:top w:val="single" w:sz="4" w:space="0" w:color="auto"/>
              <w:left w:val="single" w:sz="4" w:space="0" w:color="auto"/>
              <w:bottom w:val="single" w:sz="4" w:space="0" w:color="auto"/>
              <w:right w:val="single" w:sz="4" w:space="0" w:color="auto"/>
            </w:tcBorders>
            <w:hideMark/>
          </w:tcPr>
          <w:p w14:paraId="6011A493"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b/>
                <w:bCs/>
                <w:color w:val="000000"/>
                <w:sz w:val="22"/>
                <w:szCs w:val="22"/>
                <w:lang w:val="sr-Latn-RS"/>
              </w:rPr>
              <w:t>Everolimus</w:t>
            </w:r>
          </w:p>
        </w:tc>
        <w:tc>
          <w:tcPr>
            <w:tcW w:w="1772" w:type="dxa"/>
            <w:tcBorders>
              <w:top w:val="single" w:sz="4" w:space="0" w:color="auto"/>
              <w:left w:val="single" w:sz="4" w:space="0" w:color="auto"/>
              <w:bottom w:val="single" w:sz="4" w:space="0" w:color="auto"/>
              <w:right w:val="single" w:sz="4" w:space="0" w:color="auto"/>
            </w:tcBorders>
            <w:hideMark/>
          </w:tcPr>
          <w:p w14:paraId="1FE3941D"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b/>
                <w:bCs/>
                <w:color w:val="000000"/>
                <w:sz w:val="22"/>
                <w:szCs w:val="22"/>
                <w:lang w:val="sr-Latn-RS"/>
              </w:rPr>
              <w:t>Cabometyx</w:t>
            </w:r>
          </w:p>
        </w:tc>
        <w:tc>
          <w:tcPr>
            <w:tcW w:w="1772" w:type="dxa"/>
            <w:tcBorders>
              <w:top w:val="single" w:sz="4" w:space="0" w:color="auto"/>
              <w:left w:val="single" w:sz="4" w:space="0" w:color="auto"/>
              <w:bottom w:val="single" w:sz="4" w:space="0" w:color="auto"/>
              <w:right w:val="single" w:sz="4" w:space="0" w:color="auto"/>
            </w:tcBorders>
            <w:hideMark/>
          </w:tcPr>
          <w:p w14:paraId="78B5E7E9"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b/>
                <w:bCs/>
                <w:color w:val="000000"/>
                <w:sz w:val="22"/>
                <w:szCs w:val="22"/>
                <w:lang w:val="sr-Latn-RS"/>
              </w:rPr>
              <w:t>Everolimus</w:t>
            </w:r>
          </w:p>
        </w:tc>
      </w:tr>
      <w:tr w:rsidR="00D857AC" w:rsidRPr="00234ECD" w14:paraId="5CD225DF" w14:textId="77777777" w:rsidTr="00D857AC">
        <w:trPr>
          <w:trHeight w:val="100"/>
        </w:trPr>
        <w:tc>
          <w:tcPr>
            <w:tcW w:w="2088" w:type="dxa"/>
            <w:tcBorders>
              <w:top w:val="single" w:sz="4" w:space="0" w:color="auto"/>
              <w:left w:val="single" w:sz="4" w:space="0" w:color="auto"/>
              <w:bottom w:val="single" w:sz="4" w:space="0" w:color="auto"/>
              <w:right w:val="single" w:sz="4" w:space="0" w:color="auto"/>
            </w:tcBorders>
          </w:tcPr>
          <w:p w14:paraId="0222096E" w14:textId="77777777" w:rsidR="00D857AC" w:rsidRPr="00234ECD" w:rsidRDefault="00D857AC" w:rsidP="00D857AC">
            <w:pPr>
              <w:autoSpaceDE w:val="0"/>
              <w:autoSpaceDN w:val="0"/>
              <w:adjustRightInd w:val="0"/>
              <w:rPr>
                <w:rFonts w:eastAsia="Calibri"/>
                <w:color w:val="000000"/>
                <w:sz w:val="22"/>
                <w:szCs w:val="22"/>
                <w:lang w:val="sr-Latn-RS"/>
              </w:rPr>
            </w:pPr>
          </w:p>
        </w:tc>
        <w:tc>
          <w:tcPr>
            <w:tcW w:w="1771" w:type="dxa"/>
            <w:tcBorders>
              <w:top w:val="single" w:sz="4" w:space="0" w:color="auto"/>
              <w:left w:val="single" w:sz="4" w:space="0" w:color="auto"/>
              <w:bottom w:val="single" w:sz="4" w:space="0" w:color="auto"/>
              <w:right w:val="single" w:sz="4" w:space="0" w:color="auto"/>
            </w:tcBorders>
            <w:hideMark/>
          </w:tcPr>
          <w:p w14:paraId="6ED07449"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N = 330</w:t>
            </w:r>
          </w:p>
        </w:tc>
        <w:tc>
          <w:tcPr>
            <w:tcW w:w="1772" w:type="dxa"/>
            <w:tcBorders>
              <w:top w:val="single" w:sz="4" w:space="0" w:color="auto"/>
              <w:left w:val="single" w:sz="4" w:space="0" w:color="auto"/>
              <w:bottom w:val="single" w:sz="4" w:space="0" w:color="auto"/>
              <w:right w:val="single" w:sz="4" w:space="0" w:color="auto"/>
            </w:tcBorders>
            <w:hideMark/>
          </w:tcPr>
          <w:p w14:paraId="4E09FE9F"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N = 328</w:t>
            </w:r>
          </w:p>
        </w:tc>
        <w:tc>
          <w:tcPr>
            <w:tcW w:w="1772" w:type="dxa"/>
            <w:tcBorders>
              <w:top w:val="single" w:sz="4" w:space="0" w:color="auto"/>
              <w:left w:val="single" w:sz="4" w:space="0" w:color="auto"/>
              <w:bottom w:val="single" w:sz="4" w:space="0" w:color="auto"/>
              <w:right w:val="single" w:sz="4" w:space="0" w:color="auto"/>
            </w:tcBorders>
            <w:hideMark/>
          </w:tcPr>
          <w:p w14:paraId="7079EC1B"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N = 330</w:t>
            </w:r>
          </w:p>
        </w:tc>
        <w:tc>
          <w:tcPr>
            <w:tcW w:w="1772" w:type="dxa"/>
            <w:tcBorders>
              <w:top w:val="single" w:sz="4" w:space="0" w:color="auto"/>
              <w:left w:val="single" w:sz="4" w:space="0" w:color="auto"/>
              <w:bottom w:val="single" w:sz="4" w:space="0" w:color="auto"/>
              <w:right w:val="single" w:sz="4" w:space="0" w:color="auto"/>
            </w:tcBorders>
            <w:hideMark/>
          </w:tcPr>
          <w:p w14:paraId="1063B98E"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N = 328</w:t>
            </w:r>
          </w:p>
        </w:tc>
      </w:tr>
      <w:tr w:rsidR="00D857AC" w:rsidRPr="00234ECD" w14:paraId="58B384BF" w14:textId="77777777" w:rsidTr="00D857AC">
        <w:trPr>
          <w:trHeight w:val="359"/>
        </w:trPr>
        <w:tc>
          <w:tcPr>
            <w:tcW w:w="2088" w:type="dxa"/>
            <w:tcBorders>
              <w:top w:val="single" w:sz="4" w:space="0" w:color="auto"/>
              <w:left w:val="single" w:sz="4" w:space="0" w:color="auto"/>
              <w:bottom w:val="single" w:sz="4" w:space="0" w:color="auto"/>
              <w:right w:val="single" w:sz="4" w:space="0" w:color="auto"/>
            </w:tcBorders>
            <w:hideMark/>
          </w:tcPr>
          <w:p w14:paraId="0503B914"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ORR (samo parcijalni odgovori) (95% CI) </w:t>
            </w:r>
          </w:p>
        </w:tc>
        <w:tc>
          <w:tcPr>
            <w:tcW w:w="1771" w:type="dxa"/>
            <w:tcBorders>
              <w:top w:val="single" w:sz="4" w:space="0" w:color="auto"/>
              <w:left w:val="single" w:sz="4" w:space="0" w:color="auto"/>
              <w:bottom w:val="single" w:sz="4" w:space="0" w:color="auto"/>
              <w:right w:val="single" w:sz="4" w:space="0" w:color="auto"/>
            </w:tcBorders>
            <w:hideMark/>
          </w:tcPr>
          <w:p w14:paraId="7ADFD84E"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17% (13%; 22%)</w:t>
            </w:r>
          </w:p>
        </w:tc>
        <w:tc>
          <w:tcPr>
            <w:tcW w:w="1772" w:type="dxa"/>
            <w:tcBorders>
              <w:top w:val="single" w:sz="4" w:space="0" w:color="auto"/>
              <w:left w:val="single" w:sz="4" w:space="0" w:color="auto"/>
              <w:bottom w:val="single" w:sz="4" w:space="0" w:color="auto"/>
              <w:right w:val="single" w:sz="4" w:space="0" w:color="auto"/>
            </w:tcBorders>
            <w:hideMark/>
          </w:tcPr>
          <w:p w14:paraId="787A1055"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3% (2%; 6%)</w:t>
            </w:r>
          </w:p>
        </w:tc>
        <w:tc>
          <w:tcPr>
            <w:tcW w:w="1772" w:type="dxa"/>
            <w:tcBorders>
              <w:top w:val="single" w:sz="4" w:space="0" w:color="auto"/>
              <w:left w:val="single" w:sz="4" w:space="0" w:color="auto"/>
              <w:bottom w:val="single" w:sz="4" w:space="0" w:color="auto"/>
              <w:right w:val="single" w:sz="4" w:space="0" w:color="auto"/>
            </w:tcBorders>
            <w:hideMark/>
          </w:tcPr>
          <w:p w14:paraId="7DD19193"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24% (19%; 29%)</w:t>
            </w:r>
          </w:p>
        </w:tc>
        <w:tc>
          <w:tcPr>
            <w:tcW w:w="1772" w:type="dxa"/>
            <w:tcBorders>
              <w:top w:val="single" w:sz="4" w:space="0" w:color="auto"/>
              <w:left w:val="single" w:sz="4" w:space="0" w:color="auto"/>
              <w:bottom w:val="single" w:sz="4" w:space="0" w:color="auto"/>
              <w:right w:val="single" w:sz="4" w:space="0" w:color="auto"/>
            </w:tcBorders>
            <w:hideMark/>
          </w:tcPr>
          <w:p w14:paraId="6BCAA89D"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4% (2%; 7%)</w:t>
            </w:r>
          </w:p>
        </w:tc>
      </w:tr>
      <w:tr w:rsidR="00D857AC" w:rsidRPr="00234ECD" w14:paraId="6B0A12C8" w14:textId="77777777" w:rsidTr="00D857AC">
        <w:trPr>
          <w:trHeight w:val="111"/>
        </w:trPr>
        <w:tc>
          <w:tcPr>
            <w:tcW w:w="2088" w:type="dxa"/>
            <w:tcBorders>
              <w:top w:val="single" w:sz="4" w:space="0" w:color="auto"/>
              <w:left w:val="single" w:sz="4" w:space="0" w:color="auto"/>
              <w:bottom w:val="single" w:sz="4" w:space="0" w:color="auto"/>
              <w:right w:val="single" w:sz="4" w:space="0" w:color="auto"/>
            </w:tcBorders>
            <w:hideMark/>
          </w:tcPr>
          <w:p w14:paraId="79F87B02" w14:textId="1837485A"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p-vr</w:t>
            </w:r>
            <w:r w:rsidR="00705444" w:rsidRPr="00234ECD">
              <w:rPr>
                <w:rFonts w:eastAsia="Calibri"/>
                <w:color w:val="000000"/>
                <w:sz w:val="22"/>
                <w:szCs w:val="22"/>
                <w:lang w:val="sr-Latn-RS"/>
              </w:rPr>
              <w:t>ij</w:t>
            </w:r>
            <w:r w:rsidRPr="00234ECD">
              <w:rPr>
                <w:rFonts w:eastAsia="Calibri"/>
                <w:color w:val="000000"/>
                <w:sz w:val="22"/>
                <w:szCs w:val="22"/>
                <w:lang w:val="sr-Latn-RS"/>
              </w:rPr>
              <w:t>ednost</w:t>
            </w:r>
            <w:r w:rsidRPr="00234ECD">
              <w:rPr>
                <w:rFonts w:eastAsia="Calibri"/>
                <w:color w:val="000000"/>
                <w:sz w:val="22"/>
                <w:szCs w:val="22"/>
                <w:vertAlign w:val="superscript"/>
                <w:lang w:val="sr-Latn-RS"/>
              </w:rPr>
              <w:t>1</w:t>
            </w:r>
            <w:r w:rsidRPr="00234ECD">
              <w:rPr>
                <w:rFonts w:eastAsia="Calibri"/>
                <w:color w:val="000000"/>
                <w:sz w:val="22"/>
                <w:szCs w:val="22"/>
                <w:lang w:val="sr-Latn-RS"/>
              </w:rPr>
              <w:t xml:space="preserve"> </w:t>
            </w:r>
          </w:p>
        </w:tc>
        <w:tc>
          <w:tcPr>
            <w:tcW w:w="3543" w:type="dxa"/>
            <w:gridSpan w:val="2"/>
            <w:tcBorders>
              <w:top w:val="single" w:sz="4" w:space="0" w:color="auto"/>
              <w:left w:val="single" w:sz="4" w:space="0" w:color="auto"/>
              <w:bottom w:val="single" w:sz="4" w:space="0" w:color="auto"/>
              <w:right w:val="single" w:sz="4" w:space="0" w:color="auto"/>
            </w:tcBorders>
            <w:hideMark/>
          </w:tcPr>
          <w:p w14:paraId="4C9403F2"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p&lt;0,0001</w:t>
            </w:r>
          </w:p>
        </w:tc>
        <w:tc>
          <w:tcPr>
            <w:tcW w:w="3544" w:type="dxa"/>
            <w:gridSpan w:val="2"/>
            <w:tcBorders>
              <w:top w:val="single" w:sz="4" w:space="0" w:color="auto"/>
              <w:left w:val="single" w:sz="4" w:space="0" w:color="auto"/>
              <w:bottom w:val="single" w:sz="4" w:space="0" w:color="auto"/>
              <w:right w:val="single" w:sz="4" w:space="0" w:color="auto"/>
            </w:tcBorders>
            <w:hideMark/>
          </w:tcPr>
          <w:p w14:paraId="65683D71"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p&lt; 0,0001</w:t>
            </w:r>
          </w:p>
        </w:tc>
      </w:tr>
      <w:tr w:rsidR="00D857AC" w:rsidRPr="00234ECD" w14:paraId="2A4B92E4" w14:textId="77777777" w:rsidTr="00D857AC">
        <w:trPr>
          <w:trHeight w:val="100"/>
        </w:trPr>
        <w:tc>
          <w:tcPr>
            <w:tcW w:w="2088" w:type="dxa"/>
            <w:tcBorders>
              <w:top w:val="single" w:sz="4" w:space="0" w:color="auto"/>
              <w:left w:val="single" w:sz="4" w:space="0" w:color="auto"/>
              <w:bottom w:val="single" w:sz="4" w:space="0" w:color="auto"/>
              <w:right w:val="single" w:sz="4" w:space="0" w:color="auto"/>
            </w:tcBorders>
            <w:hideMark/>
          </w:tcPr>
          <w:p w14:paraId="7C7F70B9"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Parcijalni odgovor</w:t>
            </w:r>
          </w:p>
        </w:tc>
        <w:tc>
          <w:tcPr>
            <w:tcW w:w="1771" w:type="dxa"/>
            <w:tcBorders>
              <w:top w:val="single" w:sz="4" w:space="0" w:color="auto"/>
              <w:left w:val="single" w:sz="4" w:space="0" w:color="auto"/>
              <w:bottom w:val="single" w:sz="4" w:space="0" w:color="auto"/>
              <w:right w:val="single" w:sz="4" w:space="0" w:color="auto"/>
            </w:tcBorders>
            <w:hideMark/>
          </w:tcPr>
          <w:p w14:paraId="401462F7"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17%</w:t>
            </w:r>
          </w:p>
        </w:tc>
        <w:tc>
          <w:tcPr>
            <w:tcW w:w="1772" w:type="dxa"/>
            <w:tcBorders>
              <w:top w:val="single" w:sz="4" w:space="0" w:color="auto"/>
              <w:left w:val="single" w:sz="4" w:space="0" w:color="auto"/>
              <w:bottom w:val="single" w:sz="4" w:space="0" w:color="auto"/>
              <w:right w:val="single" w:sz="4" w:space="0" w:color="auto"/>
            </w:tcBorders>
            <w:hideMark/>
          </w:tcPr>
          <w:p w14:paraId="69257E03"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3%</w:t>
            </w:r>
          </w:p>
        </w:tc>
        <w:tc>
          <w:tcPr>
            <w:tcW w:w="1772" w:type="dxa"/>
            <w:tcBorders>
              <w:top w:val="single" w:sz="4" w:space="0" w:color="auto"/>
              <w:left w:val="single" w:sz="4" w:space="0" w:color="auto"/>
              <w:bottom w:val="single" w:sz="4" w:space="0" w:color="auto"/>
              <w:right w:val="single" w:sz="4" w:space="0" w:color="auto"/>
            </w:tcBorders>
            <w:hideMark/>
          </w:tcPr>
          <w:p w14:paraId="5E602296"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24%</w:t>
            </w:r>
          </w:p>
        </w:tc>
        <w:tc>
          <w:tcPr>
            <w:tcW w:w="1772" w:type="dxa"/>
            <w:tcBorders>
              <w:top w:val="single" w:sz="4" w:space="0" w:color="auto"/>
              <w:left w:val="single" w:sz="4" w:space="0" w:color="auto"/>
              <w:bottom w:val="single" w:sz="4" w:space="0" w:color="auto"/>
              <w:right w:val="single" w:sz="4" w:space="0" w:color="auto"/>
            </w:tcBorders>
            <w:hideMark/>
          </w:tcPr>
          <w:p w14:paraId="291BCB1B"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4%</w:t>
            </w:r>
          </w:p>
        </w:tc>
      </w:tr>
      <w:tr w:rsidR="00D857AC" w:rsidRPr="00234ECD" w14:paraId="230517ED" w14:textId="77777777" w:rsidTr="00D857AC">
        <w:trPr>
          <w:trHeight w:val="359"/>
        </w:trPr>
        <w:tc>
          <w:tcPr>
            <w:tcW w:w="2088" w:type="dxa"/>
            <w:tcBorders>
              <w:top w:val="single" w:sz="4" w:space="0" w:color="auto"/>
              <w:left w:val="single" w:sz="4" w:space="0" w:color="auto"/>
              <w:bottom w:val="single" w:sz="4" w:space="0" w:color="auto"/>
              <w:right w:val="single" w:sz="4" w:space="0" w:color="auto"/>
            </w:tcBorders>
            <w:hideMark/>
          </w:tcPr>
          <w:p w14:paraId="304F04A1" w14:textId="1BDF679C"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Medijana vremena do prvog odgovora, m</w:t>
            </w:r>
            <w:r w:rsidR="00705444" w:rsidRPr="00234ECD">
              <w:rPr>
                <w:rFonts w:eastAsia="Calibri"/>
                <w:color w:val="000000"/>
                <w:sz w:val="22"/>
                <w:szCs w:val="22"/>
                <w:lang w:val="sr-Latn-RS"/>
              </w:rPr>
              <w:t>j</w:t>
            </w:r>
            <w:r w:rsidRPr="00234ECD">
              <w:rPr>
                <w:rFonts w:eastAsia="Calibri"/>
                <w:color w:val="000000"/>
                <w:sz w:val="22"/>
                <w:szCs w:val="22"/>
                <w:lang w:val="sr-Latn-RS"/>
              </w:rPr>
              <w:t xml:space="preserve">eseci (95% CI) </w:t>
            </w:r>
          </w:p>
        </w:tc>
        <w:tc>
          <w:tcPr>
            <w:tcW w:w="1771" w:type="dxa"/>
            <w:tcBorders>
              <w:top w:val="single" w:sz="4" w:space="0" w:color="auto"/>
              <w:left w:val="single" w:sz="4" w:space="0" w:color="auto"/>
              <w:bottom w:val="single" w:sz="4" w:space="0" w:color="auto"/>
              <w:right w:val="single" w:sz="4" w:space="0" w:color="auto"/>
            </w:tcBorders>
            <w:hideMark/>
          </w:tcPr>
          <w:p w14:paraId="6271591F"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1,91 (1,6; 11,0)</w:t>
            </w:r>
          </w:p>
        </w:tc>
        <w:tc>
          <w:tcPr>
            <w:tcW w:w="1772" w:type="dxa"/>
            <w:tcBorders>
              <w:top w:val="single" w:sz="4" w:space="0" w:color="auto"/>
              <w:left w:val="single" w:sz="4" w:space="0" w:color="auto"/>
              <w:bottom w:val="single" w:sz="4" w:space="0" w:color="auto"/>
              <w:right w:val="single" w:sz="4" w:space="0" w:color="auto"/>
            </w:tcBorders>
            <w:hideMark/>
          </w:tcPr>
          <w:p w14:paraId="3174E2CA"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2,14 (1,9; 9,2)</w:t>
            </w:r>
          </w:p>
        </w:tc>
        <w:tc>
          <w:tcPr>
            <w:tcW w:w="1772" w:type="dxa"/>
            <w:tcBorders>
              <w:top w:val="single" w:sz="4" w:space="0" w:color="auto"/>
              <w:left w:val="single" w:sz="4" w:space="0" w:color="auto"/>
              <w:bottom w:val="single" w:sz="4" w:space="0" w:color="auto"/>
              <w:right w:val="single" w:sz="4" w:space="0" w:color="auto"/>
            </w:tcBorders>
            <w:hideMark/>
          </w:tcPr>
          <w:p w14:paraId="6C2D21C4"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1,91 (1,3; 9,8)</w:t>
            </w:r>
          </w:p>
        </w:tc>
        <w:tc>
          <w:tcPr>
            <w:tcW w:w="1772" w:type="dxa"/>
            <w:tcBorders>
              <w:top w:val="single" w:sz="4" w:space="0" w:color="auto"/>
              <w:left w:val="single" w:sz="4" w:space="0" w:color="auto"/>
              <w:bottom w:val="single" w:sz="4" w:space="0" w:color="auto"/>
              <w:right w:val="single" w:sz="4" w:space="0" w:color="auto"/>
            </w:tcBorders>
            <w:hideMark/>
          </w:tcPr>
          <w:p w14:paraId="1A7559DC"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3,50 (1,8; 5,6)</w:t>
            </w:r>
          </w:p>
        </w:tc>
      </w:tr>
      <w:tr w:rsidR="00D857AC" w:rsidRPr="00234ECD" w14:paraId="5EB2C9B3" w14:textId="77777777" w:rsidTr="00D857AC">
        <w:trPr>
          <w:trHeight w:val="230"/>
        </w:trPr>
        <w:tc>
          <w:tcPr>
            <w:tcW w:w="2088" w:type="dxa"/>
            <w:tcBorders>
              <w:top w:val="single" w:sz="4" w:space="0" w:color="auto"/>
              <w:left w:val="single" w:sz="4" w:space="0" w:color="auto"/>
              <w:bottom w:val="single" w:sz="4" w:space="0" w:color="auto"/>
              <w:right w:val="single" w:sz="4" w:space="0" w:color="auto"/>
            </w:tcBorders>
            <w:hideMark/>
          </w:tcPr>
          <w:p w14:paraId="1573B21F"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Stabilna bolest kao</w:t>
            </w:r>
          </w:p>
          <w:p w14:paraId="12850CA2"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najbolji odgovor</w:t>
            </w:r>
          </w:p>
        </w:tc>
        <w:tc>
          <w:tcPr>
            <w:tcW w:w="1771" w:type="dxa"/>
            <w:tcBorders>
              <w:top w:val="single" w:sz="4" w:space="0" w:color="auto"/>
              <w:left w:val="single" w:sz="4" w:space="0" w:color="auto"/>
              <w:bottom w:val="single" w:sz="4" w:space="0" w:color="auto"/>
              <w:right w:val="single" w:sz="4" w:space="0" w:color="auto"/>
            </w:tcBorders>
            <w:hideMark/>
          </w:tcPr>
          <w:p w14:paraId="15424D44"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65%</w:t>
            </w:r>
          </w:p>
        </w:tc>
        <w:tc>
          <w:tcPr>
            <w:tcW w:w="1772" w:type="dxa"/>
            <w:tcBorders>
              <w:top w:val="single" w:sz="4" w:space="0" w:color="auto"/>
              <w:left w:val="single" w:sz="4" w:space="0" w:color="auto"/>
              <w:bottom w:val="single" w:sz="4" w:space="0" w:color="auto"/>
              <w:right w:val="single" w:sz="4" w:space="0" w:color="auto"/>
            </w:tcBorders>
            <w:hideMark/>
          </w:tcPr>
          <w:p w14:paraId="2B9AD5D6"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62%</w:t>
            </w:r>
          </w:p>
        </w:tc>
        <w:tc>
          <w:tcPr>
            <w:tcW w:w="1772" w:type="dxa"/>
            <w:tcBorders>
              <w:top w:val="single" w:sz="4" w:space="0" w:color="auto"/>
              <w:left w:val="single" w:sz="4" w:space="0" w:color="auto"/>
              <w:bottom w:val="single" w:sz="4" w:space="0" w:color="auto"/>
              <w:right w:val="single" w:sz="4" w:space="0" w:color="auto"/>
            </w:tcBorders>
            <w:hideMark/>
          </w:tcPr>
          <w:p w14:paraId="6E0A4C0E"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63%</w:t>
            </w:r>
          </w:p>
        </w:tc>
        <w:tc>
          <w:tcPr>
            <w:tcW w:w="1772" w:type="dxa"/>
            <w:tcBorders>
              <w:top w:val="single" w:sz="4" w:space="0" w:color="auto"/>
              <w:left w:val="single" w:sz="4" w:space="0" w:color="auto"/>
              <w:bottom w:val="single" w:sz="4" w:space="0" w:color="auto"/>
              <w:right w:val="single" w:sz="4" w:space="0" w:color="auto"/>
            </w:tcBorders>
            <w:hideMark/>
          </w:tcPr>
          <w:p w14:paraId="1C14A2B5"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63%</w:t>
            </w:r>
          </w:p>
        </w:tc>
      </w:tr>
      <w:tr w:rsidR="00D857AC" w:rsidRPr="00234ECD" w14:paraId="238B4D5C" w14:textId="77777777" w:rsidTr="00D857AC">
        <w:trPr>
          <w:trHeight w:val="229"/>
        </w:trPr>
        <w:tc>
          <w:tcPr>
            <w:tcW w:w="2088" w:type="dxa"/>
            <w:tcBorders>
              <w:top w:val="single" w:sz="4" w:space="0" w:color="auto"/>
              <w:left w:val="single" w:sz="4" w:space="0" w:color="auto"/>
              <w:bottom w:val="single" w:sz="4" w:space="0" w:color="auto"/>
              <w:right w:val="single" w:sz="4" w:space="0" w:color="auto"/>
            </w:tcBorders>
            <w:hideMark/>
          </w:tcPr>
          <w:p w14:paraId="0BF0D0F7"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Progresivna bolest</w:t>
            </w:r>
          </w:p>
          <w:p w14:paraId="308D4DA7"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kao najbolji</w:t>
            </w:r>
          </w:p>
          <w:p w14:paraId="37E8C2CE"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odgovor</w:t>
            </w:r>
          </w:p>
        </w:tc>
        <w:tc>
          <w:tcPr>
            <w:tcW w:w="1771" w:type="dxa"/>
            <w:tcBorders>
              <w:top w:val="single" w:sz="4" w:space="0" w:color="auto"/>
              <w:left w:val="single" w:sz="4" w:space="0" w:color="auto"/>
              <w:bottom w:val="single" w:sz="4" w:space="0" w:color="auto"/>
              <w:right w:val="single" w:sz="4" w:space="0" w:color="auto"/>
            </w:tcBorders>
            <w:hideMark/>
          </w:tcPr>
          <w:p w14:paraId="77862915"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12%</w:t>
            </w:r>
          </w:p>
        </w:tc>
        <w:tc>
          <w:tcPr>
            <w:tcW w:w="1772" w:type="dxa"/>
            <w:tcBorders>
              <w:top w:val="single" w:sz="4" w:space="0" w:color="auto"/>
              <w:left w:val="single" w:sz="4" w:space="0" w:color="auto"/>
              <w:bottom w:val="single" w:sz="4" w:space="0" w:color="auto"/>
              <w:right w:val="single" w:sz="4" w:space="0" w:color="auto"/>
            </w:tcBorders>
            <w:hideMark/>
          </w:tcPr>
          <w:p w14:paraId="70E2F912"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27%</w:t>
            </w:r>
          </w:p>
        </w:tc>
        <w:tc>
          <w:tcPr>
            <w:tcW w:w="1772" w:type="dxa"/>
            <w:tcBorders>
              <w:top w:val="single" w:sz="4" w:space="0" w:color="auto"/>
              <w:left w:val="single" w:sz="4" w:space="0" w:color="auto"/>
              <w:bottom w:val="single" w:sz="4" w:space="0" w:color="auto"/>
              <w:right w:val="single" w:sz="4" w:space="0" w:color="auto"/>
            </w:tcBorders>
            <w:hideMark/>
          </w:tcPr>
          <w:p w14:paraId="4E7A1DDA"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9%</w:t>
            </w:r>
          </w:p>
        </w:tc>
        <w:tc>
          <w:tcPr>
            <w:tcW w:w="1772" w:type="dxa"/>
            <w:tcBorders>
              <w:top w:val="single" w:sz="4" w:space="0" w:color="auto"/>
              <w:left w:val="single" w:sz="4" w:space="0" w:color="auto"/>
              <w:bottom w:val="single" w:sz="4" w:space="0" w:color="auto"/>
              <w:right w:val="single" w:sz="4" w:space="0" w:color="auto"/>
            </w:tcBorders>
            <w:hideMark/>
          </w:tcPr>
          <w:p w14:paraId="3DD806D7"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27%</w:t>
            </w:r>
          </w:p>
        </w:tc>
      </w:tr>
    </w:tbl>
    <w:p w14:paraId="32238170" w14:textId="77777777" w:rsidR="00D857AC" w:rsidRPr="00234ECD" w:rsidRDefault="00D857AC" w:rsidP="00D857AC">
      <w:pPr>
        <w:jc w:val="both"/>
        <w:rPr>
          <w:rFonts w:eastAsia="Calibri"/>
          <w:sz w:val="22"/>
          <w:szCs w:val="22"/>
          <w:lang w:val="sr-Latn-RS"/>
        </w:rPr>
      </w:pPr>
      <w:r w:rsidRPr="00234ECD">
        <w:rPr>
          <w:rFonts w:eastAsia="Calibri"/>
          <w:sz w:val="22"/>
          <w:szCs w:val="22"/>
          <w:vertAlign w:val="superscript"/>
          <w:lang w:val="sr-Latn-RS"/>
        </w:rPr>
        <w:t>1</w:t>
      </w:r>
      <w:r w:rsidRPr="00234ECD">
        <w:rPr>
          <w:rFonts w:eastAsia="Calibri"/>
          <w:sz w:val="22"/>
          <w:szCs w:val="22"/>
          <w:lang w:val="sr-Latn-RS"/>
        </w:rPr>
        <w:t xml:space="preserve"> hi-kvadrat test</w:t>
      </w:r>
    </w:p>
    <w:p w14:paraId="17297650" w14:textId="77777777" w:rsidR="00D857AC" w:rsidRPr="00234ECD" w:rsidRDefault="00D857AC" w:rsidP="00D857AC">
      <w:pPr>
        <w:jc w:val="both"/>
        <w:rPr>
          <w:rFonts w:eastAsia="Calibri"/>
          <w:sz w:val="22"/>
          <w:szCs w:val="22"/>
          <w:lang w:val="sr-Latn-RS"/>
        </w:rPr>
      </w:pPr>
    </w:p>
    <w:p w14:paraId="2CAC9FA0" w14:textId="1A2A2B17" w:rsidR="00D857AC" w:rsidRPr="00234ECD" w:rsidRDefault="00D857AC" w:rsidP="00D857AC">
      <w:pPr>
        <w:jc w:val="both"/>
        <w:rPr>
          <w:rFonts w:eastAsia="Calibri"/>
          <w:i/>
          <w:sz w:val="22"/>
          <w:szCs w:val="22"/>
          <w:u w:val="single"/>
          <w:lang w:val="sr-Latn-RS"/>
        </w:rPr>
      </w:pPr>
      <w:r w:rsidRPr="00234ECD">
        <w:rPr>
          <w:rFonts w:eastAsia="Calibri"/>
          <w:i/>
          <w:sz w:val="22"/>
          <w:szCs w:val="22"/>
          <w:u w:val="single"/>
          <w:lang w:val="sr-Latn-RS"/>
        </w:rPr>
        <w:t>Randomizovana studija kod pacijenata sa prethodno nel</w:t>
      </w:r>
      <w:r w:rsidR="008D4F86" w:rsidRPr="00234ECD">
        <w:rPr>
          <w:rFonts w:eastAsia="Calibri"/>
          <w:i/>
          <w:sz w:val="22"/>
          <w:szCs w:val="22"/>
          <w:u w:val="single"/>
          <w:lang w:val="sr-Latn-RS"/>
        </w:rPr>
        <w:t>ij</w:t>
      </w:r>
      <w:r w:rsidRPr="00234ECD">
        <w:rPr>
          <w:rFonts w:eastAsia="Calibri"/>
          <w:i/>
          <w:sz w:val="22"/>
          <w:szCs w:val="22"/>
          <w:u w:val="single"/>
          <w:lang w:val="sr-Latn-RS"/>
        </w:rPr>
        <w:t>ečen</w:t>
      </w:r>
      <w:r w:rsidR="008D4F86" w:rsidRPr="00234ECD">
        <w:rPr>
          <w:rFonts w:eastAsia="Calibri"/>
          <w:i/>
          <w:sz w:val="22"/>
          <w:szCs w:val="22"/>
          <w:u w:val="single"/>
          <w:lang w:val="sr-Latn-RS"/>
        </w:rPr>
        <w:t>i</w:t>
      </w:r>
      <w:r w:rsidRPr="00234ECD">
        <w:rPr>
          <w:rFonts w:eastAsia="Calibri"/>
          <w:i/>
          <w:sz w:val="22"/>
          <w:szCs w:val="22"/>
          <w:u w:val="single"/>
          <w:lang w:val="sr-Latn-RS"/>
        </w:rPr>
        <w:t>m karcino</w:t>
      </w:r>
      <w:r w:rsidR="008D4F86" w:rsidRPr="00234ECD">
        <w:rPr>
          <w:rFonts w:eastAsia="Calibri"/>
          <w:i/>
          <w:sz w:val="22"/>
          <w:szCs w:val="22"/>
          <w:u w:val="single"/>
          <w:lang w:val="sr-Latn-RS"/>
        </w:rPr>
        <w:t>mo</w:t>
      </w:r>
      <w:r w:rsidRPr="00234ECD">
        <w:rPr>
          <w:rFonts w:eastAsia="Calibri"/>
          <w:i/>
          <w:sz w:val="22"/>
          <w:szCs w:val="22"/>
          <w:u w:val="single"/>
          <w:lang w:val="sr-Latn-RS"/>
        </w:rPr>
        <w:t>m bubrežnih ćelija (CABOSUN)</w:t>
      </w:r>
    </w:p>
    <w:p w14:paraId="75747851" w14:textId="77777777" w:rsidR="00D857AC" w:rsidRPr="00234ECD" w:rsidRDefault="00D857AC" w:rsidP="00D857AC">
      <w:pPr>
        <w:jc w:val="both"/>
        <w:rPr>
          <w:rFonts w:eastAsia="Calibri"/>
          <w:sz w:val="22"/>
          <w:szCs w:val="22"/>
          <w:lang w:val="sr-Latn-RS"/>
        </w:rPr>
      </w:pPr>
    </w:p>
    <w:p w14:paraId="1038A84D" w14:textId="03EFC64C" w:rsidR="00D857AC" w:rsidRPr="00234ECD" w:rsidRDefault="00D857AC" w:rsidP="00D857AC">
      <w:pPr>
        <w:jc w:val="both"/>
        <w:rPr>
          <w:rFonts w:eastAsia="Calibri"/>
          <w:sz w:val="22"/>
          <w:szCs w:val="22"/>
          <w:lang w:val="sr-Latn-RS"/>
        </w:rPr>
      </w:pPr>
      <w:r w:rsidRPr="00234ECD">
        <w:rPr>
          <w:rFonts w:eastAsia="Calibri"/>
          <w:sz w:val="22"/>
          <w:szCs w:val="22"/>
          <w:lang w:val="sr-Latn-RS"/>
        </w:rPr>
        <w:lastRenderedPageBreak/>
        <w:t>Bezb</w:t>
      </w:r>
      <w:r w:rsidR="00142BDF" w:rsidRPr="00234ECD">
        <w:rPr>
          <w:rFonts w:eastAsia="Calibri"/>
          <w:sz w:val="22"/>
          <w:szCs w:val="22"/>
          <w:lang w:val="sr-Latn-RS"/>
        </w:rPr>
        <w:t>j</w:t>
      </w:r>
      <w:r w:rsidRPr="00234ECD">
        <w:rPr>
          <w:rFonts w:eastAsia="Calibri"/>
          <w:sz w:val="22"/>
          <w:szCs w:val="22"/>
          <w:lang w:val="sr-Latn-RS"/>
        </w:rPr>
        <w:t>ednost i efikasnost l</w:t>
      </w:r>
      <w:r w:rsidR="00142BDF" w:rsidRPr="00234ECD">
        <w:rPr>
          <w:rFonts w:eastAsia="Calibri"/>
          <w:sz w:val="22"/>
          <w:szCs w:val="22"/>
          <w:lang w:val="sr-Latn-RS"/>
        </w:rPr>
        <w:t>ij</w:t>
      </w:r>
      <w:r w:rsidRPr="00234ECD">
        <w:rPr>
          <w:rFonts w:eastAsia="Calibri"/>
          <w:sz w:val="22"/>
          <w:szCs w:val="22"/>
          <w:lang w:val="sr-Latn-RS"/>
        </w:rPr>
        <w:t>eka Cabometyx za terapiju prethodno nel</w:t>
      </w:r>
      <w:r w:rsidR="00142BDF" w:rsidRPr="00234ECD">
        <w:rPr>
          <w:rFonts w:eastAsia="Calibri"/>
          <w:sz w:val="22"/>
          <w:szCs w:val="22"/>
          <w:lang w:val="sr-Latn-RS"/>
        </w:rPr>
        <w:t>ij</w:t>
      </w:r>
      <w:r w:rsidRPr="00234ECD">
        <w:rPr>
          <w:rFonts w:eastAsia="Calibri"/>
          <w:sz w:val="22"/>
          <w:szCs w:val="22"/>
          <w:lang w:val="sr-Latn-RS"/>
        </w:rPr>
        <w:t>ečenog karcinoma bubrežnih ćelija proc</w:t>
      </w:r>
      <w:r w:rsidR="00FA3E37" w:rsidRPr="00234ECD">
        <w:rPr>
          <w:rFonts w:eastAsia="Calibri"/>
          <w:sz w:val="22"/>
          <w:szCs w:val="22"/>
          <w:lang w:val="sr-Latn-RS"/>
        </w:rPr>
        <w:t>ij</w:t>
      </w:r>
      <w:r w:rsidRPr="00234ECD">
        <w:rPr>
          <w:rFonts w:eastAsia="Calibri"/>
          <w:sz w:val="22"/>
          <w:szCs w:val="22"/>
          <w:lang w:val="sr-Latn-RS"/>
        </w:rPr>
        <w:t>enjene su u randomizovanoj, otvorenoj, multicentričnoj studiji (CABOSUN). Pacijenti (N=157) sa prethodno nel</w:t>
      </w:r>
      <w:r w:rsidR="00FA3E37" w:rsidRPr="00234ECD">
        <w:rPr>
          <w:rFonts w:eastAsia="Calibri"/>
          <w:sz w:val="22"/>
          <w:szCs w:val="22"/>
          <w:lang w:val="sr-Latn-RS"/>
        </w:rPr>
        <w:t>ij</w:t>
      </w:r>
      <w:r w:rsidRPr="00234ECD">
        <w:rPr>
          <w:rFonts w:eastAsia="Calibri"/>
          <w:sz w:val="22"/>
          <w:szCs w:val="22"/>
          <w:lang w:val="sr-Latn-RS"/>
        </w:rPr>
        <w:t xml:space="preserve">ečenim, lokalno uznapredovalim ili metastatskim </w:t>
      </w:r>
      <w:r w:rsidR="00C52527" w:rsidRPr="00234ECD">
        <w:rPr>
          <w:rFonts w:eastAsia="Calibri"/>
          <w:sz w:val="22"/>
          <w:szCs w:val="22"/>
          <w:lang w:val="sr-Latn-RS"/>
        </w:rPr>
        <w:t xml:space="preserve">svijetloćelijskim </w:t>
      </w:r>
      <w:r w:rsidRPr="00234ECD">
        <w:rPr>
          <w:rFonts w:eastAsia="Calibri"/>
          <w:sz w:val="22"/>
          <w:szCs w:val="22"/>
          <w:lang w:val="sr-Latn-RS"/>
        </w:rPr>
        <w:t xml:space="preserve">RCC bili su randomizovani (1:1) kako bi primali </w:t>
      </w:r>
      <w:r w:rsidR="007F6377" w:rsidRPr="00234ECD">
        <w:rPr>
          <w:rFonts w:eastAsia="Calibri"/>
          <w:sz w:val="22"/>
          <w:szCs w:val="22"/>
          <w:lang w:val="sr-Latn-RS"/>
        </w:rPr>
        <w:t>kabozantinib</w:t>
      </w:r>
      <w:r w:rsidRPr="00234ECD">
        <w:rPr>
          <w:rFonts w:eastAsia="Calibri"/>
          <w:sz w:val="22"/>
          <w:szCs w:val="22"/>
          <w:lang w:val="sr-Latn-RS"/>
        </w:rPr>
        <w:t xml:space="preserve"> (N=79) ili sunitinib (N=78). Pacijenti su morali da imaju bolest srednjeg ili lošeg rizika prema kategorijama grupa rizika definisanih od strane Međunarodnog konzorcijuma za bazu podataka o metastatskom karcinomu bubrežnih ćelija (eng</w:t>
      </w:r>
      <w:r w:rsidR="005646E2" w:rsidRPr="00234ECD">
        <w:rPr>
          <w:rFonts w:eastAsia="Calibri"/>
          <w:sz w:val="22"/>
          <w:szCs w:val="22"/>
          <w:lang w:val="sr-Latn-RS"/>
        </w:rPr>
        <w:t>l</w:t>
      </w:r>
      <w:r w:rsidRPr="00234ECD">
        <w:rPr>
          <w:rFonts w:eastAsia="Calibri"/>
          <w:sz w:val="22"/>
          <w:szCs w:val="22"/>
          <w:lang w:val="sr-Latn-RS"/>
        </w:rPr>
        <w:t xml:space="preserve">. </w:t>
      </w:r>
      <w:r w:rsidRPr="00234ECD">
        <w:rPr>
          <w:rFonts w:eastAsia="Calibri"/>
          <w:i/>
          <w:sz w:val="22"/>
          <w:szCs w:val="22"/>
          <w:lang w:val="sr-Latn-RS"/>
        </w:rPr>
        <w:t xml:space="preserve">International Metastatic RCC Database Consortium, </w:t>
      </w:r>
      <w:r w:rsidRPr="00234ECD">
        <w:rPr>
          <w:rFonts w:eastAsia="Calibri"/>
          <w:sz w:val="22"/>
          <w:szCs w:val="22"/>
          <w:lang w:val="sr-Latn-RS"/>
        </w:rPr>
        <w:t>IMDC). Pacijenti su stratifikovani prema IMDC grupama rizika i prisustva metastaza kostiju (da/ne). Kod približno 75% pacijenata bila je sprovedena nefrektomija pr</w:t>
      </w:r>
      <w:r w:rsidR="00A94535" w:rsidRPr="00234ECD">
        <w:rPr>
          <w:rFonts w:eastAsia="Calibri"/>
          <w:sz w:val="22"/>
          <w:szCs w:val="22"/>
          <w:lang w:val="sr-Latn-RS"/>
        </w:rPr>
        <w:t>ij</w:t>
      </w:r>
      <w:r w:rsidRPr="00234ECD">
        <w:rPr>
          <w:rFonts w:eastAsia="Calibri"/>
          <w:sz w:val="22"/>
          <w:szCs w:val="22"/>
          <w:lang w:val="sr-Latn-RS"/>
        </w:rPr>
        <w:t>e početka terapije.</w:t>
      </w:r>
    </w:p>
    <w:p w14:paraId="689D4299" w14:textId="6CFF8406" w:rsidR="00D857AC" w:rsidRPr="00234ECD" w:rsidRDefault="00D857AC" w:rsidP="00D857AC">
      <w:pPr>
        <w:jc w:val="both"/>
        <w:rPr>
          <w:rFonts w:eastAsia="Calibri"/>
          <w:sz w:val="22"/>
          <w:szCs w:val="22"/>
          <w:lang w:val="sr-Latn-RS"/>
        </w:rPr>
      </w:pPr>
      <w:r w:rsidRPr="00234ECD">
        <w:rPr>
          <w:rFonts w:eastAsia="Calibri"/>
          <w:sz w:val="22"/>
          <w:szCs w:val="22"/>
          <w:lang w:val="sr-Latn-RS"/>
        </w:rPr>
        <w:t>Kod bolesti srednjeg rizika bili su ispunjeni jedan ili dva sl</w:t>
      </w:r>
      <w:r w:rsidR="00CF566A" w:rsidRPr="00234ECD">
        <w:rPr>
          <w:rFonts w:eastAsia="Calibri"/>
          <w:sz w:val="22"/>
          <w:szCs w:val="22"/>
          <w:lang w:val="sr-Latn-RS"/>
        </w:rPr>
        <w:t>j</w:t>
      </w:r>
      <w:r w:rsidRPr="00234ECD">
        <w:rPr>
          <w:rFonts w:eastAsia="Calibri"/>
          <w:sz w:val="22"/>
          <w:szCs w:val="22"/>
          <w:lang w:val="sr-Latn-RS"/>
        </w:rPr>
        <w:t>edeća faktora rizika, dok je kod bolesti lošeg rizika bilo ispunjeno tri ili više faktora: vr</w:t>
      </w:r>
      <w:r w:rsidR="00CF566A" w:rsidRPr="00234ECD">
        <w:rPr>
          <w:rFonts w:eastAsia="Calibri"/>
          <w:sz w:val="22"/>
          <w:szCs w:val="22"/>
          <w:lang w:val="sr-Latn-RS"/>
        </w:rPr>
        <w:t>ij</w:t>
      </w:r>
      <w:r w:rsidRPr="00234ECD">
        <w:rPr>
          <w:rFonts w:eastAsia="Calibri"/>
          <w:sz w:val="22"/>
          <w:szCs w:val="22"/>
          <w:lang w:val="sr-Latn-RS"/>
        </w:rPr>
        <w:t>eme od dijagnoze RCC do sistemskog l</w:t>
      </w:r>
      <w:r w:rsidR="00CF566A" w:rsidRPr="00234ECD">
        <w:rPr>
          <w:rFonts w:eastAsia="Calibri"/>
          <w:sz w:val="22"/>
          <w:szCs w:val="22"/>
          <w:lang w:val="sr-Latn-RS"/>
        </w:rPr>
        <w:t>ij</w:t>
      </w:r>
      <w:r w:rsidRPr="00234ECD">
        <w:rPr>
          <w:rFonts w:eastAsia="Calibri"/>
          <w:sz w:val="22"/>
          <w:szCs w:val="22"/>
          <w:lang w:val="sr-Latn-RS"/>
        </w:rPr>
        <w:t>ečenja &lt;1 godine, Hgb &lt; donje granice normale (</w:t>
      </w:r>
      <w:r w:rsidR="003070D0" w:rsidRPr="00234ECD">
        <w:rPr>
          <w:rFonts w:eastAsia="Calibri"/>
          <w:sz w:val="22"/>
          <w:szCs w:val="22"/>
          <w:lang w:val="sr-Latn-RS"/>
        </w:rPr>
        <w:t xml:space="preserve">engl. </w:t>
      </w:r>
      <w:r w:rsidR="003070D0" w:rsidRPr="00234ECD">
        <w:rPr>
          <w:rFonts w:eastAsia="Calibri"/>
          <w:i/>
          <w:sz w:val="22"/>
          <w:szCs w:val="22"/>
          <w:lang w:val="sr-Latn-RS"/>
        </w:rPr>
        <w:t>lower limit of normal</w:t>
      </w:r>
      <w:r w:rsidR="003070D0" w:rsidRPr="00234ECD">
        <w:rPr>
          <w:rFonts w:eastAsia="Calibri"/>
          <w:sz w:val="22"/>
          <w:szCs w:val="22"/>
          <w:lang w:val="sr-Latn-RS"/>
        </w:rPr>
        <w:t xml:space="preserve">, </w:t>
      </w:r>
      <w:r w:rsidRPr="00234ECD">
        <w:rPr>
          <w:rFonts w:eastAsia="Calibri"/>
          <w:sz w:val="22"/>
          <w:szCs w:val="22"/>
          <w:lang w:val="sr-Latn-RS"/>
        </w:rPr>
        <w:t>LLN), korigovani kalcijum &gt; gornje granice normale (</w:t>
      </w:r>
      <w:r w:rsidR="003070D0" w:rsidRPr="00234ECD">
        <w:rPr>
          <w:rFonts w:eastAsia="Calibri"/>
          <w:sz w:val="22"/>
          <w:szCs w:val="22"/>
          <w:lang w:val="sr-Latn-RS"/>
        </w:rPr>
        <w:t xml:space="preserve">engl. </w:t>
      </w:r>
      <w:r w:rsidR="003070D0" w:rsidRPr="00234ECD">
        <w:rPr>
          <w:rFonts w:eastAsia="Calibri"/>
          <w:i/>
          <w:sz w:val="22"/>
          <w:szCs w:val="22"/>
          <w:lang w:val="sr-Latn-RS"/>
        </w:rPr>
        <w:t>upper limit of normal</w:t>
      </w:r>
      <w:r w:rsidR="003070D0" w:rsidRPr="00234ECD">
        <w:rPr>
          <w:rFonts w:eastAsia="Calibri"/>
          <w:sz w:val="22"/>
          <w:szCs w:val="22"/>
          <w:lang w:val="sr-Latn-RS"/>
        </w:rPr>
        <w:t xml:space="preserve">, </w:t>
      </w:r>
      <w:r w:rsidRPr="00234ECD">
        <w:rPr>
          <w:rFonts w:eastAsia="Calibri"/>
          <w:sz w:val="22"/>
          <w:szCs w:val="22"/>
          <w:lang w:val="sr-Latn-RS"/>
        </w:rPr>
        <w:t>ULN), KPS (</w:t>
      </w:r>
      <w:r w:rsidRPr="00234ECD">
        <w:rPr>
          <w:rFonts w:eastAsia="Calibri"/>
          <w:i/>
          <w:sz w:val="22"/>
          <w:szCs w:val="22"/>
          <w:lang w:val="sr-Latn-RS"/>
        </w:rPr>
        <w:t>Karnofsky</w:t>
      </w:r>
      <w:r w:rsidRPr="00234ECD">
        <w:rPr>
          <w:rFonts w:eastAsia="Calibri"/>
          <w:sz w:val="22"/>
          <w:szCs w:val="22"/>
          <w:lang w:val="sr-Latn-RS"/>
        </w:rPr>
        <w:t xml:space="preserve"> skala) &lt; 80%, broj neutrofila &gt; ULN i broj trombocita &gt; ULN.</w:t>
      </w:r>
    </w:p>
    <w:p w14:paraId="7410E35C" w14:textId="77777777" w:rsidR="00D857AC" w:rsidRPr="00234ECD" w:rsidRDefault="00D857AC" w:rsidP="00D857AC">
      <w:pPr>
        <w:jc w:val="both"/>
        <w:rPr>
          <w:rFonts w:eastAsia="Calibri"/>
          <w:sz w:val="22"/>
          <w:szCs w:val="22"/>
          <w:lang w:val="sr-Latn-RS"/>
        </w:rPr>
      </w:pPr>
    </w:p>
    <w:p w14:paraId="46EF4352" w14:textId="53A3BA41" w:rsidR="00D857AC" w:rsidRPr="00234ECD" w:rsidRDefault="00D857AC" w:rsidP="00D857AC">
      <w:pPr>
        <w:jc w:val="both"/>
        <w:rPr>
          <w:rFonts w:eastAsia="Calibri"/>
          <w:sz w:val="22"/>
          <w:szCs w:val="22"/>
          <w:lang w:val="sr-Latn-RS"/>
        </w:rPr>
      </w:pPr>
      <w:r w:rsidRPr="00234ECD">
        <w:rPr>
          <w:rFonts w:eastAsia="Calibri"/>
          <w:sz w:val="22"/>
          <w:szCs w:val="22"/>
          <w:lang w:val="sr-Latn-RS"/>
        </w:rPr>
        <w:t>Primarni ishod bilo je preživljavanje bez progresije bolesti (PFS). Sekundarni parametri praćenja ishoda efikasnosti bili su stopa objektivnog odgovora (ORR) i ukupno preživljavanje (OS). Proc</w:t>
      </w:r>
      <w:r w:rsidR="00D6566F" w:rsidRPr="00234ECD">
        <w:rPr>
          <w:rFonts w:eastAsia="Calibri"/>
          <w:sz w:val="22"/>
          <w:szCs w:val="22"/>
          <w:lang w:val="sr-Latn-RS"/>
        </w:rPr>
        <w:t>j</w:t>
      </w:r>
      <w:r w:rsidRPr="00234ECD">
        <w:rPr>
          <w:rFonts w:eastAsia="Calibri"/>
          <w:sz w:val="22"/>
          <w:szCs w:val="22"/>
          <w:lang w:val="sr-Latn-RS"/>
        </w:rPr>
        <w:t>ene tumora sprovođene su na svakih 12 ned</w:t>
      </w:r>
      <w:r w:rsidR="00D6566F" w:rsidRPr="00234ECD">
        <w:rPr>
          <w:rFonts w:eastAsia="Calibri"/>
          <w:sz w:val="22"/>
          <w:szCs w:val="22"/>
          <w:lang w:val="sr-Latn-RS"/>
        </w:rPr>
        <w:t>j</w:t>
      </w:r>
      <w:r w:rsidRPr="00234ECD">
        <w:rPr>
          <w:rFonts w:eastAsia="Calibri"/>
          <w:sz w:val="22"/>
          <w:szCs w:val="22"/>
          <w:lang w:val="sr-Latn-RS"/>
        </w:rPr>
        <w:t>elja.</w:t>
      </w:r>
    </w:p>
    <w:p w14:paraId="63F68737" w14:textId="77777777" w:rsidR="00D857AC" w:rsidRPr="00234ECD" w:rsidRDefault="00D857AC" w:rsidP="00D857AC">
      <w:pPr>
        <w:jc w:val="both"/>
        <w:rPr>
          <w:rFonts w:eastAsia="Calibri"/>
          <w:sz w:val="22"/>
          <w:szCs w:val="22"/>
          <w:lang w:val="sr-Latn-RS"/>
        </w:rPr>
      </w:pPr>
    </w:p>
    <w:p w14:paraId="03AE2E70" w14:textId="466AB6E6" w:rsidR="00D857AC" w:rsidRPr="00234ECD" w:rsidRDefault="00D857AC" w:rsidP="00D857AC">
      <w:pPr>
        <w:jc w:val="both"/>
        <w:rPr>
          <w:rFonts w:eastAsia="Calibri"/>
          <w:sz w:val="22"/>
          <w:szCs w:val="22"/>
          <w:lang w:val="sr-Latn-RS"/>
        </w:rPr>
      </w:pPr>
      <w:r w:rsidRPr="00234ECD">
        <w:rPr>
          <w:rFonts w:eastAsia="Calibri"/>
          <w:sz w:val="22"/>
          <w:szCs w:val="22"/>
          <w:lang w:val="sr-Latn-RS"/>
        </w:rPr>
        <w:t xml:space="preserve">Početni demografski podaci i karakteristike bolesti u grupama koje su primale </w:t>
      </w:r>
      <w:r w:rsidR="007F6377" w:rsidRPr="00234ECD">
        <w:rPr>
          <w:rFonts w:eastAsia="Calibri"/>
          <w:sz w:val="22"/>
          <w:szCs w:val="22"/>
          <w:lang w:val="sr-Latn-RS"/>
        </w:rPr>
        <w:t>kabozantinib</w:t>
      </w:r>
      <w:r w:rsidRPr="00234ECD">
        <w:rPr>
          <w:rFonts w:eastAsia="Calibri"/>
          <w:sz w:val="22"/>
          <w:szCs w:val="22"/>
          <w:lang w:val="sr-Latn-RS"/>
        </w:rPr>
        <w:t xml:space="preserve"> i sunitinib bili su slični. Pacijenti su većinom bili muškarci (78%) sa medijanom starosti od 62 godine. Prema IMDC grupama rizika, 81% pacijenata pripadalo je grupi sa srednjim (1-2 faktora rizika), a 19% grupi sa  lošim rizikom (≥3 faktora rizika). Kod većine pacijenata (87%) ECOG status bio je 0 ili 1; 13% pacijenata imalo je ECOG status 2. Trideset i šest procenata (36%) pacijenata imalo je metastaze na kostima.</w:t>
      </w:r>
    </w:p>
    <w:p w14:paraId="4C382FEA" w14:textId="77777777" w:rsidR="00D857AC" w:rsidRPr="00234ECD" w:rsidRDefault="00D857AC" w:rsidP="00D857AC">
      <w:pPr>
        <w:jc w:val="both"/>
        <w:rPr>
          <w:rFonts w:eastAsia="Calibri"/>
          <w:sz w:val="22"/>
          <w:szCs w:val="22"/>
          <w:lang w:val="sr-Latn-RS"/>
        </w:rPr>
      </w:pPr>
    </w:p>
    <w:p w14:paraId="22930AD0" w14:textId="6EBE0101" w:rsidR="00D857AC" w:rsidRPr="00234ECD" w:rsidRDefault="00D857AC" w:rsidP="00D857AC">
      <w:pPr>
        <w:jc w:val="both"/>
        <w:rPr>
          <w:rFonts w:eastAsia="Calibri"/>
          <w:sz w:val="22"/>
          <w:szCs w:val="22"/>
          <w:lang w:val="sr-Latn-RS"/>
        </w:rPr>
      </w:pPr>
      <w:r w:rsidRPr="00234ECD">
        <w:rPr>
          <w:rFonts w:eastAsia="Calibri"/>
          <w:sz w:val="22"/>
          <w:szCs w:val="22"/>
          <w:lang w:val="sr-Latn-RS"/>
        </w:rPr>
        <w:t>Prema retrospektivnoj proc</w:t>
      </w:r>
      <w:r w:rsidR="00F84441" w:rsidRPr="00234ECD">
        <w:rPr>
          <w:rFonts w:eastAsia="Calibri"/>
          <w:sz w:val="22"/>
          <w:szCs w:val="22"/>
          <w:lang w:val="sr-Latn-RS"/>
        </w:rPr>
        <w:t>j</w:t>
      </w:r>
      <w:r w:rsidRPr="00234ECD">
        <w:rPr>
          <w:rFonts w:eastAsia="Calibri"/>
          <w:sz w:val="22"/>
          <w:szCs w:val="22"/>
          <w:lang w:val="sr-Latn-RS"/>
        </w:rPr>
        <w:t>eni zasl</w:t>
      </w:r>
      <w:r w:rsidR="007C0E20" w:rsidRPr="00234ECD">
        <w:rPr>
          <w:rFonts w:eastAsia="Calibri"/>
          <w:sz w:val="22"/>
          <w:szCs w:val="22"/>
          <w:lang w:val="sr-Latn-RS"/>
        </w:rPr>
        <w:t>ij</w:t>
      </w:r>
      <w:r w:rsidRPr="00234ECD">
        <w:rPr>
          <w:rFonts w:eastAsia="Calibri"/>
          <w:sz w:val="22"/>
          <w:szCs w:val="22"/>
          <w:lang w:val="sr-Latn-RS"/>
        </w:rPr>
        <w:t xml:space="preserve">epljene Komisije za nezavisni radiološki pregled (IRC) pokazalo se statistički značajno poboljšanje PFS uz </w:t>
      </w:r>
      <w:r w:rsidR="002C3C28" w:rsidRPr="00234ECD">
        <w:rPr>
          <w:rFonts w:eastAsia="Calibri"/>
          <w:sz w:val="22"/>
          <w:szCs w:val="22"/>
          <w:lang w:val="sr-Latn-RS"/>
        </w:rPr>
        <w:t xml:space="preserve">kabozantinib </w:t>
      </w:r>
      <w:r w:rsidRPr="00234ECD">
        <w:rPr>
          <w:rFonts w:eastAsia="Calibri"/>
          <w:sz w:val="22"/>
          <w:szCs w:val="22"/>
          <w:lang w:val="sr-Latn-RS"/>
        </w:rPr>
        <w:t>u odnosu na sunitinib (</w:t>
      </w:r>
      <w:r w:rsidR="00B91A31" w:rsidRPr="00234ECD">
        <w:rPr>
          <w:rFonts w:eastAsia="Calibri"/>
          <w:sz w:val="22"/>
          <w:szCs w:val="22"/>
          <w:lang w:val="sr-Latn-RS"/>
        </w:rPr>
        <w:t>S</w:t>
      </w:r>
      <w:r w:rsidRPr="00234ECD">
        <w:rPr>
          <w:rFonts w:eastAsia="Calibri"/>
          <w:sz w:val="22"/>
          <w:szCs w:val="22"/>
          <w:lang w:val="sr-Latn-RS"/>
        </w:rPr>
        <w:t xml:space="preserve">lika 3 i </w:t>
      </w:r>
      <w:r w:rsidR="00B91A31" w:rsidRPr="00234ECD">
        <w:rPr>
          <w:rFonts w:eastAsia="Calibri"/>
          <w:sz w:val="22"/>
          <w:szCs w:val="22"/>
          <w:lang w:val="sr-Latn-RS"/>
        </w:rPr>
        <w:t>T</w:t>
      </w:r>
      <w:r w:rsidRPr="00234ECD">
        <w:rPr>
          <w:rFonts w:eastAsia="Calibri"/>
          <w:sz w:val="22"/>
          <w:szCs w:val="22"/>
          <w:lang w:val="sr-Latn-RS"/>
        </w:rPr>
        <w:t>abela 6). Rezultati analize za PFS koju je sproveo ispitivač bili su u skladu sa rezultatima analize IRC.</w:t>
      </w:r>
    </w:p>
    <w:p w14:paraId="7E128921" w14:textId="77777777" w:rsidR="00D857AC" w:rsidRPr="00234ECD" w:rsidRDefault="00D857AC" w:rsidP="00D857AC">
      <w:pPr>
        <w:jc w:val="both"/>
        <w:rPr>
          <w:rFonts w:eastAsia="Calibri"/>
          <w:sz w:val="22"/>
          <w:szCs w:val="22"/>
          <w:lang w:val="sr-Latn-RS"/>
        </w:rPr>
      </w:pPr>
    </w:p>
    <w:p w14:paraId="2823A057" w14:textId="3153BE9D" w:rsidR="00D857AC" w:rsidRPr="00234ECD" w:rsidRDefault="00D857AC" w:rsidP="00D857AC">
      <w:pPr>
        <w:jc w:val="both"/>
        <w:rPr>
          <w:rFonts w:eastAsia="Calibri"/>
          <w:sz w:val="22"/>
          <w:szCs w:val="22"/>
          <w:lang w:val="sr-Latn-RS"/>
        </w:rPr>
      </w:pPr>
      <w:r w:rsidRPr="00234ECD">
        <w:rPr>
          <w:rFonts w:eastAsia="Calibri"/>
          <w:sz w:val="22"/>
          <w:szCs w:val="22"/>
          <w:lang w:val="sr-Latn-RS"/>
        </w:rPr>
        <w:t xml:space="preserve">Povoljan efekat </w:t>
      </w:r>
      <w:r w:rsidR="00A44758" w:rsidRPr="00234ECD">
        <w:rPr>
          <w:rFonts w:eastAsia="Calibri"/>
          <w:sz w:val="22"/>
          <w:szCs w:val="22"/>
          <w:lang w:val="sr-Latn-RS"/>
        </w:rPr>
        <w:t>kabozantiniba</w:t>
      </w:r>
      <w:r w:rsidRPr="00234ECD">
        <w:rPr>
          <w:rFonts w:eastAsia="Calibri"/>
          <w:sz w:val="22"/>
          <w:szCs w:val="22"/>
          <w:lang w:val="sr-Latn-RS"/>
        </w:rPr>
        <w:t xml:space="preserve"> u poređenju sa sunitinibom pokazao se i kod pacijenata sa pozitivnim i kod pacijenata sa negativnim MET-statusom, s tim da je veća aktivnost prim</w:t>
      </w:r>
      <w:r w:rsidR="00F84441" w:rsidRPr="00234ECD">
        <w:rPr>
          <w:rFonts w:eastAsia="Calibri"/>
          <w:sz w:val="22"/>
          <w:szCs w:val="22"/>
          <w:lang w:val="sr-Latn-RS"/>
        </w:rPr>
        <w:t>ij</w:t>
      </w:r>
      <w:r w:rsidRPr="00234ECD">
        <w:rPr>
          <w:rFonts w:eastAsia="Calibri"/>
          <w:sz w:val="22"/>
          <w:szCs w:val="22"/>
          <w:lang w:val="sr-Latn-RS"/>
        </w:rPr>
        <w:t>ećena kod pacijenata sa pozitivnim MET-statusom nego kod onih sa negativnim MET-statusom (HR=0,32 (0,16; 0,63) naspram 0,67 (0,37; 1,23)).</w:t>
      </w:r>
    </w:p>
    <w:p w14:paraId="79CAEC10" w14:textId="77777777" w:rsidR="00D857AC" w:rsidRPr="00234ECD" w:rsidRDefault="00D857AC" w:rsidP="00D857AC">
      <w:pPr>
        <w:jc w:val="both"/>
        <w:rPr>
          <w:rFonts w:eastAsia="Calibri"/>
          <w:sz w:val="22"/>
          <w:szCs w:val="22"/>
          <w:lang w:val="sr-Latn-RS"/>
        </w:rPr>
      </w:pPr>
    </w:p>
    <w:p w14:paraId="78CF266F" w14:textId="43F49F1A" w:rsidR="00D857AC" w:rsidRPr="00234ECD" w:rsidRDefault="00D857AC" w:rsidP="00D857AC">
      <w:pPr>
        <w:jc w:val="both"/>
        <w:rPr>
          <w:rFonts w:eastAsia="Calibri"/>
          <w:sz w:val="22"/>
          <w:szCs w:val="22"/>
          <w:lang w:val="sr-Latn-RS"/>
        </w:rPr>
      </w:pPr>
      <w:r w:rsidRPr="00234ECD">
        <w:rPr>
          <w:rFonts w:eastAsia="Calibri"/>
          <w:sz w:val="22"/>
          <w:szCs w:val="22"/>
          <w:lang w:val="sr-Latn-RS"/>
        </w:rPr>
        <w:t xml:space="preserve">Terapija </w:t>
      </w:r>
      <w:r w:rsidR="00A44758" w:rsidRPr="00234ECD">
        <w:rPr>
          <w:rFonts w:eastAsia="Calibri"/>
          <w:sz w:val="22"/>
          <w:szCs w:val="22"/>
          <w:lang w:val="sr-Latn-RS"/>
        </w:rPr>
        <w:t>kabozantinibom</w:t>
      </w:r>
      <w:r w:rsidRPr="00234ECD">
        <w:rPr>
          <w:rFonts w:eastAsia="Calibri"/>
          <w:sz w:val="22"/>
          <w:szCs w:val="22"/>
          <w:lang w:val="sr-Latn-RS"/>
        </w:rPr>
        <w:t xml:space="preserve"> bila je povezana sa trendom dužeg preživljavanja u poređenju sa sunitinibom (</w:t>
      </w:r>
      <w:r w:rsidR="00B91A31" w:rsidRPr="00234ECD">
        <w:rPr>
          <w:rFonts w:eastAsia="Calibri"/>
          <w:sz w:val="22"/>
          <w:szCs w:val="22"/>
          <w:lang w:val="sr-Latn-RS"/>
        </w:rPr>
        <w:t>T</w:t>
      </w:r>
      <w:r w:rsidRPr="00234ECD">
        <w:rPr>
          <w:rFonts w:eastAsia="Calibri"/>
          <w:sz w:val="22"/>
          <w:szCs w:val="22"/>
          <w:lang w:val="sr-Latn-RS"/>
        </w:rPr>
        <w:t>abela 6). Ispitivanje nije imalo snagu za analizu ukupnog preživljavanja (OS), a podaci još nisu bili spremni za analizu.</w:t>
      </w:r>
    </w:p>
    <w:p w14:paraId="3E025DA5" w14:textId="77777777" w:rsidR="00D857AC" w:rsidRPr="00234ECD" w:rsidRDefault="00D857AC" w:rsidP="00D857AC">
      <w:pPr>
        <w:jc w:val="both"/>
        <w:rPr>
          <w:rFonts w:eastAsia="Calibri"/>
          <w:sz w:val="22"/>
          <w:szCs w:val="22"/>
          <w:lang w:val="sr-Latn-RS"/>
        </w:rPr>
      </w:pPr>
    </w:p>
    <w:p w14:paraId="7BCF5D60" w14:textId="265AA543" w:rsidR="00D857AC" w:rsidRPr="00234ECD" w:rsidRDefault="00D857AC" w:rsidP="00D857AC">
      <w:pPr>
        <w:jc w:val="both"/>
        <w:rPr>
          <w:rFonts w:eastAsia="Calibri"/>
          <w:sz w:val="22"/>
          <w:szCs w:val="22"/>
          <w:lang w:val="sr-Latn-RS"/>
        </w:rPr>
      </w:pPr>
      <w:r w:rsidRPr="00234ECD">
        <w:rPr>
          <w:rFonts w:eastAsia="Calibri"/>
          <w:sz w:val="22"/>
          <w:szCs w:val="22"/>
          <w:lang w:val="sr-Latn-RS"/>
        </w:rPr>
        <w:t xml:space="preserve">Rezultati za stopu objektivnog odgovora (ORR) sažeto su prikazani u </w:t>
      </w:r>
      <w:r w:rsidR="005B6E6D" w:rsidRPr="00234ECD">
        <w:rPr>
          <w:rFonts w:eastAsia="Calibri"/>
          <w:sz w:val="22"/>
          <w:szCs w:val="22"/>
          <w:lang w:val="sr-Latn-RS"/>
        </w:rPr>
        <w:t>T</w:t>
      </w:r>
      <w:r w:rsidRPr="00234ECD">
        <w:rPr>
          <w:rFonts w:eastAsia="Calibri"/>
          <w:sz w:val="22"/>
          <w:szCs w:val="22"/>
          <w:lang w:val="sr-Latn-RS"/>
        </w:rPr>
        <w:t>abeli 6.</w:t>
      </w:r>
    </w:p>
    <w:p w14:paraId="5D3E354B" w14:textId="77777777" w:rsidR="00D857AC" w:rsidRPr="00234ECD" w:rsidRDefault="00D857AC" w:rsidP="00D857AC">
      <w:pPr>
        <w:jc w:val="both"/>
        <w:rPr>
          <w:rFonts w:eastAsia="Calibri"/>
          <w:sz w:val="22"/>
          <w:szCs w:val="22"/>
          <w:lang w:val="sr-Latn-RS"/>
        </w:rPr>
      </w:pPr>
    </w:p>
    <w:p w14:paraId="717B01DA" w14:textId="77777777" w:rsidR="00234ECD" w:rsidRPr="00234ECD" w:rsidRDefault="00234ECD" w:rsidP="00D857AC">
      <w:pPr>
        <w:jc w:val="both"/>
        <w:rPr>
          <w:rFonts w:eastAsia="Calibri"/>
          <w:b/>
          <w:sz w:val="22"/>
          <w:szCs w:val="22"/>
          <w:lang w:val="sr-Latn-RS"/>
        </w:rPr>
      </w:pPr>
    </w:p>
    <w:p w14:paraId="07F0DCC0" w14:textId="77777777" w:rsidR="00234ECD" w:rsidRPr="00234ECD" w:rsidRDefault="00234ECD" w:rsidP="00D857AC">
      <w:pPr>
        <w:jc w:val="both"/>
        <w:rPr>
          <w:rFonts w:eastAsia="Calibri"/>
          <w:b/>
          <w:sz w:val="22"/>
          <w:szCs w:val="22"/>
          <w:lang w:val="sr-Latn-RS"/>
        </w:rPr>
      </w:pPr>
    </w:p>
    <w:p w14:paraId="56E5DF3A" w14:textId="77777777" w:rsidR="00234ECD" w:rsidRPr="00234ECD" w:rsidRDefault="00234ECD" w:rsidP="00D857AC">
      <w:pPr>
        <w:jc w:val="both"/>
        <w:rPr>
          <w:rFonts w:eastAsia="Calibri"/>
          <w:b/>
          <w:sz w:val="22"/>
          <w:szCs w:val="22"/>
          <w:lang w:val="sr-Latn-RS"/>
        </w:rPr>
      </w:pPr>
    </w:p>
    <w:p w14:paraId="019032F1" w14:textId="77777777" w:rsidR="00234ECD" w:rsidRPr="00234ECD" w:rsidRDefault="00234ECD" w:rsidP="00D857AC">
      <w:pPr>
        <w:jc w:val="both"/>
        <w:rPr>
          <w:rFonts w:eastAsia="Calibri"/>
          <w:b/>
          <w:sz w:val="22"/>
          <w:szCs w:val="22"/>
          <w:lang w:val="sr-Latn-RS"/>
        </w:rPr>
      </w:pPr>
    </w:p>
    <w:p w14:paraId="0129C868" w14:textId="77777777" w:rsidR="00234ECD" w:rsidRPr="00234ECD" w:rsidRDefault="00234ECD" w:rsidP="00D857AC">
      <w:pPr>
        <w:jc w:val="both"/>
        <w:rPr>
          <w:rFonts w:eastAsia="Calibri"/>
          <w:b/>
          <w:sz w:val="22"/>
          <w:szCs w:val="22"/>
          <w:lang w:val="sr-Latn-RS"/>
        </w:rPr>
      </w:pPr>
    </w:p>
    <w:p w14:paraId="51366E49" w14:textId="77777777" w:rsidR="00234ECD" w:rsidRPr="00234ECD" w:rsidRDefault="00234ECD" w:rsidP="00D857AC">
      <w:pPr>
        <w:jc w:val="both"/>
        <w:rPr>
          <w:rFonts w:eastAsia="Calibri"/>
          <w:b/>
          <w:sz w:val="22"/>
          <w:szCs w:val="22"/>
          <w:lang w:val="sr-Latn-RS"/>
        </w:rPr>
      </w:pPr>
    </w:p>
    <w:p w14:paraId="63BC07B3" w14:textId="77777777" w:rsidR="00234ECD" w:rsidRPr="00234ECD" w:rsidRDefault="00234ECD" w:rsidP="00D857AC">
      <w:pPr>
        <w:jc w:val="both"/>
        <w:rPr>
          <w:rFonts w:eastAsia="Calibri"/>
          <w:b/>
          <w:sz w:val="22"/>
          <w:szCs w:val="22"/>
          <w:lang w:val="sr-Latn-RS"/>
        </w:rPr>
      </w:pPr>
    </w:p>
    <w:p w14:paraId="66CDF602" w14:textId="77777777" w:rsidR="00234ECD" w:rsidRPr="00234ECD" w:rsidRDefault="00234ECD" w:rsidP="00D857AC">
      <w:pPr>
        <w:jc w:val="both"/>
        <w:rPr>
          <w:rFonts w:eastAsia="Calibri"/>
          <w:b/>
          <w:sz w:val="22"/>
          <w:szCs w:val="22"/>
          <w:lang w:val="sr-Latn-RS"/>
        </w:rPr>
      </w:pPr>
    </w:p>
    <w:p w14:paraId="1C7B0F7B" w14:textId="77777777" w:rsidR="00234ECD" w:rsidRPr="00234ECD" w:rsidRDefault="00234ECD" w:rsidP="00D857AC">
      <w:pPr>
        <w:jc w:val="both"/>
        <w:rPr>
          <w:rFonts w:eastAsia="Calibri"/>
          <w:b/>
          <w:sz w:val="22"/>
          <w:szCs w:val="22"/>
          <w:lang w:val="sr-Latn-RS"/>
        </w:rPr>
      </w:pPr>
    </w:p>
    <w:p w14:paraId="2135CEF7" w14:textId="77777777" w:rsidR="00234ECD" w:rsidRPr="00234ECD" w:rsidRDefault="00234ECD" w:rsidP="00D857AC">
      <w:pPr>
        <w:jc w:val="both"/>
        <w:rPr>
          <w:rFonts w:eastAsia="Calibri"/>
          <w:b/>
          <w:sz w:val="22"/>
          <w:szCs w:val="22"/>
          <w:lang w:val="sr-Latn-RS"/>
        </w:rPr>
      </w:pPr>
    </w:p>
    <w:p w14:paraId="7E82F9A7" w14:textId="77777777" w:rsidR="00234ECD" w:rsidRPr="00234ECD" w:rsidRDefault="00234ECD" w:rsidP="00D857AC">
      <w:pPr>
        <w:jc w:val="both"/>
        <w:rPr>
          <w:rFonts w:eastAsia="Calibri"/>
          <w:b/>
          <w:sz w:val="22"/>
          <w:szCs w:val="22"/>
          <w:lang w:val="sr-Latn-RS"/>
        </w:rPr>
      </w:pPr>
    </w:p>
    <w:p w14:paraId="36CFD995" w14:textId="77777777" w:rsidR="00234ECD" w:rsidRPr="00234ECD" w:rsidRDefault="00234ECD" w:rsidP="00D857AC">
      <w:pPr>
        <w:jc w:val="both"/>
        <w:rPr>
          <w:rFonts w:eastAsia="Calibri"/>
          <w:b/>
          <w:sz w:val="22"/>
          <w:szCs w:val="22"/>
          <w:lang w:val="sr-Latn-RS"/>
        </w:rPr>
      </w:pPr>
    </w:p>
    <w:p w14:paraId="3C4CBF32" w14:textId="77777777" w:rsidR="00234ECD" w:rsidRPr="00234ECD" w:rsidRDefault="00234ECD" w:rsidP="00D857AC">
      <w:pPr>
        <w:jc w:val="both"/>
        <w:rPr>
          <w:rFonts w:eastAsia="Calibri"/>
          <w:b/>
          <w:sz w:val="22"/>
          <w:szCs w:val="22"/>
          <w:lang w:val="sr-Latn-RS"/>
        </w:rPr>
      </w:pPr>
    </w:p>
    <w:p w14:paraId="506EB4B3" w14:textId="77777777" w:rsidR="00234ECD" w:rsidRPr="00234ECD" w:rsidRDefault="00234ECD" w:rsidP="00D857AC">
      <w:pPr>
        <w:jc w:val="both"/>
        <w:rPr>
          <w:rFonts w:eastAsia="Calibri"/>
          <w:b/>
          <w:sz w:val="22"/>
          <w:szCs w:val="22"/>
          <w:lang w:val="sr-Latn-RS"/>
        </w:rPr>
      </w:pPr>
    </w:p>
    <w:p w14:paraId="05DFE766" w14:textId="77777777" w:rsidR="00234ECD" w:rsidRPr="00234ECD" w:rsidRDefault="00234ECD" w:rsidP="00D857AC">
      <w:pPr>
        <w:jc w:val="both"/>
        <w:rPr>
          <w:rFonts w:eastAsia="Calibri"/>
          <w:b/>
          <w:sz w:val="22"/>
          <w:szCs w:val="22"/>
          <w:lang w:val="sr-Latn-RS"/>
        </w:rPr>
      </w:pPr>
    </w:p>
    <w:p w14:paraId="1BFDE930" w14:textId="77777777" w:rsidR="00234ECD" w:rsidRPr="00234ECD" w:rsidRDefault="00234ECD" w:rsidP="00D857AC">
      <w:pPr>
        <w:jc w:val="both"/>
        <w:rPr>
          <w:rFonts w:eastAsia="Calibri"/>
          <w:b/>
          <w:sz w:val="22"/>
          <w:szCs w:val="22"/>
          <w:lang w:val="sr-Latn-RS"/>
        </w:rPr>
      </w:pPr>
    </w:p>
    <w:p w14:paraId="2E7F1125" w14:textId="77777777" w:rsidR="00234ECD" w:rsidRPr="00234ECD" w:rsidRDefault="00234ECD" w:rsidP="00D857AC">
      <w:pPr>
        <w:jc w:val="both"/>
        <w:rPr>
          <w:rFonts w:eastAsia="Calibri"/>
          <w:b/>
          <w:sz w:val="22"/>
          <w:szCs w:val="22"/>
          <w:lang w:val="sr-Latn-RS"/>
        </w:rPr>
      </w:pPr>
    </w:p>
    <w:p w14:paraId="2011E850" w14:textId="77777777" w:rsidR="00234ECD" w:rsidRPr="00234ECD" w:rsidRDefault="00234ECD" w:rsidP="00D857AC">
      <w:pPr>
        <w:jc w:val="both"/>
        <w:rPr>
          <w:rFonts w:eastAsia="Calibri"/>
          <w:b/>
          <w:sz w:val="22"/>
          <w:szCs w:val="22"/>
          <w:lang w:val="sr-Latn-RS"/>
        </w:rPr>
      </w:pPr>
    </w:p>
    <w:p w14:paraId="59D235F2" w14:textId="77777777" w:rsidR="00234ECD" w:rsidRPr="00234ECD" w:rsidRDefault="00234ECD" w:rsidP="00D857AC">
      <w:pPr>
        <w:jc w:val="both"/>
        <w:rPr>
          <w:rFonts w:eastAsia="Calibri"/>
          <w:b/>
          <w:sz w:val="22"/>
          <w:szCs w:val="22"/>
          <w:lang w:val="sr-Latn-RS"/>
        </w:rPr>
      </w:pPr>
    </w:p>
    <w:p w14:paraId="368F5D2E" w14:textId="57C27368" w:rsidR="00D857AC" w:rsidRPr="00234ECD" w:rsidRDefault="00D857AC" w:rsidP="00D857AC">
      <w:pPr>
        <w:jc w:val="both"/>
        <w:rPr>
          <w:rFonts w:eastAsia="Calibri"/>
          <w:b/>
          <w:sz w:val="22"/>
          <w:szCs w:val="22"/>
          <w:lang w:val="sr-Latn-RS"/>
        </w:rPr>
      </w:pPr>
      <w:r w:rsidRPr="00234ECD">
        <w:rPr>
          <w:rFonts w:eastAsia="Calibri"/>
          <w:b/>
          <w:sz w:val="22"/>
          <w:szCs w:val="22"/>
          <w:lang w:val="sr-Latn-RS"/>
        </w:rPr>
        <w:t xml:space="preserve">Slika 3: </w:t>
      </w:r>
      <w:r w:rsidRPr="00234ECD">
        <w:rPr>
          <w:rFonts w:eastAsia="Calibri"/>
          <w:b/>
          <w:i/>
          <w:sz w:val="22"/>
          <w:szCs w:val="22"/>
          <w:lang w:val="sr-Latn-RS"/>
        </w:rPr>
        <w:t>Kaplan-Meier</w:t>
      </w:r>
      <w:r w:rsidRPr="00234ECD">
        <w:rPr>
          <w:rFonts w:eastAsia="Calibri"/>
          <w:b/>
          <w:sz w:val="22"/>
          <w:szCs w:val="22"/>
          <w:lang w:val="sr-Latn-RS"/>
        </w:rPr>
        <w:t>-ova kriva preživljavanja bez progresije bolesti kod prethodno nel</w:t>
      </w:r>
      <w:r w:rsidR="0043041D" w:rsidRPr="00234ECD">
        <w:rPr>
          <w:rFonts w:eastAsia="Calibri"/>
          <w:b/>
          <w:sz w:val="22"/>
          <w:szCs w:val="22"/>
          <w:lang w:val="sr-Latn-RS"/>
        </w:rPr>
        <w:t>ij</w:t>
      </w:r>
      <w:r w:rsidRPr="00234ECD">
        <w:rPr>
          <w:rFonts w:eastAsia="Calibri"/>
          <w:b/>
          <w:sz w:val="22"/>
          <w:szCs w:val="22"/>
          <w:lang w:val="sr-Latn-RS"/>
        </w:rPr>
        <w:t>ečenih ispitanika sa RCC prema Komisiji za nezavisni radiološki pregled</w:t>
      </w:r>
    </w:p>
    <w:p w14:paraId="6CA751F9" w14:textId="77777777" w:rsidR="007E6100" w:rsidRPr="00234ECD" w:rsidRDefault="007E6100" w:rsidP="00D857AC">
      <w:pPr>
        <w:jc w:val="both"/>
        <w:rPr>
          <w:rFonts w:eastAsia="Calibri"/>
          <w:b/>
          <w:sz w:val="22"/>
          <w:szCs w:val="22"/>
          <w:lang w:val="sr-Latn-RS"/>
        </w:rPr>
      </w:pPr>
    </w:p>
    <w:p w14:paraId="34F68CDF" w14:textId="77777777" w:rsidR="00D857AC" w:rsidRPr="00234ECD" w:rsidRDefault="00D857AC" w:rsidP="00D857AC">
      <w:pPr>
        <w:jc w:val="both"/>
        <w:rPr>
          <w:rFonts w:eastAsia="Calibri"/>
          <w:sz w:val="22"/>
          <w:szCs w:val="22"/>
          <w:lang w:val="sr-Latn-R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253"/>
        <w:gridCol w:w="288"/>
        <w:gridCol w:w="615"/>
        <w:gridCol w:w="70"/>
        <w:gridCol w:w="685"/>
        <w:gridCol w:w="685"/>
        <w:gridCol w:w="685"/>
        <w:gridCol w:w="685"/>
        <w:gridCol w:w="686"/>
        <w:gridCol w:w="685"/>
        <w:gridCol w:w="685"/>
        <w:gridCol w:w="683"/>
        <w:gridCol w:w="682"/>
        <w:gridCol w:w="686"/>
      </w:tblGrid>
      <w:tr w:rsidR="00D857AC" w:rsidRPr="00234ECD" w14:paraId="384547C0" w14:textId="77777777" w:rsidTr="007E6100">
        <w:trPr>
          <w:cantSplit/>
          <w:trHeight w:val="4461"/>
        </w:trPr>
        <w:tc>
          <w:tcPr>
            <w:tcW w:w="1253" w:type="dxa"/>
            <w:textDirection w:val="btLr"/>
            <w:vAlign w:val="bottom"/>
            <w:hideMark/>
          </w:tcPr>
          <w:p w14:paraId="718714B6" w14:textId="6AA16B7C" w:rsidR="00D857AC" w:rsidRPr="00234ECD" w:rsidRDefault="00D857AC" w:rsidP="00D857AC">
            <w:pPr>
              <w:ind w:left="113" w:right="113"/>
              <w:jc w:val="center"/>
              <w:rPr>
                <w:rFonts w:ascii="Times New Roman" w:hAnsi="Times New Roman" w:cs="Times New Roman"/>
                <w:b/>
                <w:sz w:val="22"/>
                <w:szCs w:val="22"/>
                <w:lang w:val="sr-Latn-RS"/>
              </w:rPr>
            </w:pPr>
            <w:bookmarkStart w:id="12" w:name="_Hlk137724977"/>
            <w:r w:rsidRPr="00234ECD">
              <w:rPr>
                <w:rFonts w:ascii="Times New Roman" w:hAnsi="Times New Roman" w:cs="Times New Roman"/>
                <w:b/>
                <w:sz w:val="22"/>
                <w:szCs w:val="22"/>
                <w:lang w:val="sr-Latn-RS"/>
              </w:rPr>
              <w:t>V</w:t>
            </w:r>
            <w:r w:rsidR="00CA7A1C" w:rsidRPr="00234ECD">
              <w:rPr>
                <w:rFonts w:ascii="Times New Roman" w:hAnsi="Times New Roman" w:cs="Times New Roman"/>
                <w:b/>
                <w:sz w:val="22"/>
                <w:szCs w:val="22"/>
                <w:lang w:val="sr-Latn-RS"/>
              </w:rPr>
              <w:t>j</w:t>
            </w:r>
            <w:r w:rsidRPr="00234ECD">
              <w:rPr>
                <w:rFonts w:ascii="Times New Roman" w:hAnsi="Times New Roman" w:cs="Times New Roman"/>
                <w:b/>
                <w:sz w:val="22"/>
                <w:szCs w:val="22"/>
                <w:lang w:val="sr-Latn-RS"/>
              </w:rPr>
              <w:t>erovatnoća preživljavanja bez progresije bolesti</w:t>
            </w:r>
          </w:p>
        </w:tc>
        <w:tc>
          <w:tcPr>
            <w:tcW w:w="7820" w:type="dxa"/>
            <w:gridSpan w:val="13"/>
            <w:vAlign w:val="center"/>
            <w:hideMark/>
          </w:tcPr>
          <w:p w14:paraId="663271D1" w14:textId="77777777" w:rsidR="00D857AC" w:rsidRPr="00234ECD" w:rsidRDefault="00D857AC" w:rsidP="00D857AC">
            <w:pPr>
              <w:jc w:val="center"/>
              <w:rPr>
                <w:rFonts w:ascii="Times New Roman" w:hAnsi="Times New Roman" w:cs="Times New Roman"/>
                <w:sz w:val="22"/>
                <w:szCs w:val="22"/>
                <w:lang w:val="sr-Latn-RS"/>
              </w:rPr>
            </w:pPr>
            <w:r w:rsidRPr="00234ECD">
              <w:rPr>
                <w:rFonts w:ascii="Times New Roman" w:hAnsi="Times New Roman" w:cs="Times New Roman"/>
                <w:noProof/>
                <w:sz w:val="22"/>
                <w:szCs w:val="22"/>
                <w:lang w:val="sr-Latn-RS"/>
              </w:rPr>
              <w:drawing>
                <wp:inline distT="0" distB="0" distL="0" distR="0" wp14:anchorId="61030023" wp14:editId="4B291781">
                  <wp:extent cx="4829175" cy="2733675"/>
                  <wp:effectExtent l="0" t="0" r="9525" b="9525"/>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29175" cy="2733675"/>
                          </a:xfrm>
                          <a:prstGeom prst="rect">
                            <a:avLst/>
                          </a:prstGeom>
                          <a:noFill/>
                          <a:ln>
                            <a:noFill/>
                          </a:ln>
                        </pic:spPr>
                      </pic:pic>
                    </a:graphicData>
                  </a:graphic>
                </wp:inline>
              </w:drawing>
            </w:r>
          </w:p>
        </w:tc>
      </w:tr>
      <w:bookmarkEnd w:id="12"/>
      <w:tr w:rsidR="00D857AC" w:rsidRPr="00234ECD" w14:paraId="110B1FFC" w14:textId="77777777" w:rsidTr="007E6100">
        <w:trPr>
          <w:cantSplit/>
          <w:trHeight w:val="145"/>
        </w:trPr>
        <w:tc>
          <w:tcPr>
            <w:tcW w:w="1253" w:type="dxa"/>
            <w:textDirection w:val="btLr"/>
          </w:tcPr>
          <w:p w14:paraId="54DE6F02" w14:textId="77777777" w:rsidR="00D857AC" w:rsidRPr="00234ECD" w:rsidRDefault="00D857AC" w:rsidP="00D857AC">
            <w:pPr>
              <w:ind w:left="113" w:right="113"/>
              <w:jc w:val="center"/>
              <w:rPr>
                <w:rFonts w:ascii="Times New Roman" w:hAnsi="Times New Roman" w:cs="Times New Roman"/>
                <w:b/>
                <w:sz w:val="22"/>
                <w:szCs w:val="22"/>
                <w:lang w:val="sr-Latn-RS"/>
              </w:rPr>
            </w:pPr>
          </w:p>
        </w:tc>
        <w:tc>
          <w:tcPr>
            <w:tcW w:w="7820" w:type="dxa"/>
            <w:gridSpan w:val="13"/>
            <w:hideMark/>
          </w:tcPr>
          <w:p w14:paraId="74558CE5" w14:textId="74C87274" w:rsidR="00D857AC" w:rsidRPr="00234ECD" w:rsidRDefault="00D857AC" w:rsidP="00D857AC">
            <w:pPr>
              <w:jc w:val="center"/>
              <w:rPr>
                <w:rFonts w:ascii="Times New Roman" w:hAnsi="Times New Roman" w:cs="Times New Roman"/>
                <w:noProof/>
                <w:sz w:val="22"/>
                <w:szCs w:val="22"/>
                <w:lang w:val="sr-Latn-RS" w:eastAsia="sr-Latn-RS"/>
              </w:rPr>
            </w:pPr>
            <w:r w:rsidRPr="00234ECD">
              <w:rPr>
                <w:rFonts w:ascii="Times New Roman" w:hAnsi="Times New Roman" w:cs="Times New Roman"/>
                <w:b/>
                <w:sz w:val="22"/>
                <w:szCs w:val="22"/>
                <w:lang w:val="sr-Latn-RS"/>
              </w:rPr>
              <w:t>M</w:t>
            </w:r>
            <w:r w:rsidR="00D42DB9" w:rsidRPr="00234ECD">
              <w:rPr>
                <w:rFonts w:ascii="Times New Roman" w:hAnsi="Times New Roman" w:cs="Times New Roman"/>
                <w:b/>
                <w:sz w:val="22"/>
                <w:szCs w:val="22"/>
                <w:lang w:val="sr-Latn-RS"/>
              </w:rPr>
              <w:t>j</w:t>
            </w:r>
            <w:r w:rsidRPr="00234ECD">
              <w:rPr>
                <w:rFonts w:ascii="Times New Roman" w:hAnsi="Times New Roman" w:cs="Times New Roman"/>
                <w:b/>
                <w:sz w:val="22"/>
                <w:szCs w:val="22"/>
                <w:lang w:val="sr-Latn-RS"/>
              </w:rPr>
              <w:t>eseci</w:t>
            </w:r>
          </w:p>
        </w:tc>
      </w:tr>
      <w:tr w:rsidR="00D857AC" w:rsidRPr="00234ECD" w14:paraId="3EBEF26E" w14:textId="77777777" w:rsidTr="007E6100">
        <w:trPr>
          <w:trHeight w:val="461"/>
        </w:trPr>
        <w:tc>
          <w:tcPr>
            <w:tcW w:w="2156" w:type="dxa"/>
            <w:gridSpan w:val="3"/>
            <w:hideMark/>
          </w:tcPr>
          <w:p w14:paraId="0BC32B9C" w14:textId="77777777" w:rsidR="00D857AC" w:rsidRPr="00234ECD" w:rsidRDefault="00D857AC" w:rsidP="00D857AC">
            <w:pPr>
              <w:rPr>
                <w:rFonts w:ascii="Times New Roman" w:hAnsi="Times New Roman" w:cs="Times New Roman"/>
                <w:b/>
                <w:sz w:val="22"/>
                <w:szCs w:val="22"/>
                <w:lang w:val="sr-Latn-RS"/>
              </w:rPr>
            </w:pPr>
            <w:r w:rsidRPr="00234ECD">
              <w:rPr>
                <w:rFonts w:ascii="Times New Roman" w:hAnsi="Times New Roman" w:cs="Times New Roman"/>
                <w:b/>
                <w:sz w:val="22"/>
                <w:szCs w:val="22"/>
                <w:lang w:val="sr-Latn-RS"/>
              </w:rPr>
              <w:t>Broj pacijenata koji su pod rizikom:</w:t>
            </w:r>
          </w:p>
          <w:p w14:paraId="72D6C483" w14:textId="3915935D" w:rsidR="007E6100" w:rsidRPr="00234ECD" w:rsidRDefault="007E6100" w:rsidP="00D857AC">
            <w:pPr>
              <w:rPr>
                <w:rFonts w:ascii="Times New Roman" w:hAnsi="Times New Roman" w:cs="Times New Roman"/>
                <w:b/>
                <w:sz w:val="22"/>
                <w:szCs w:val="22"/>
                <w:lang w:val="sr-Latn-RS"/>
              </w:rPr>
            </w:pPr>
          </w:p>
        </w:tc>
        <w:tc>
          <w:tcPr>
            <w:tcW w:w="6917" w:type="dxa"/>
            <w:gridSpan w:val="11"/>
          </w:tcPr>
          <w:p w14:paraId="343DB7BF" w14:textId="77777777" w:rsidR="00D857AC" w:rsidRPr="00234ECD" w:rsidRDefault="00D857AC" w:rsidP="00D857AC">
            <w:pPr>
              <w:rPr>
                <w:rFonts w:ascii="Times New Roman" w:hAnsi="Times New Roman" w:cs="Times New Roman"/>
                <w:b/>
                <w:sz w:val="22"/>
                <w:szCs w:val="22"/>
                <w:lang w:val="sr-Latn-RS"/>
              </w:rPr>
            </w:pPr>
          </w:p>
        </w:tc>
      </w:tr>
      <w:tr w:rsidR="007E6100" w:rsidRPr="00234ECD" w14:paraId="4CC530CF" w14:textId="77777777" w:rsidTr="007E6100">
        <w:trPr>
          <w:trHeight w:val="283"/>
        </w:trPr>
        <w:tc>
          <w:tcPr>
            <w:tcW w:w="1541" w:type="dxa"/>
            <w:gridSpan w:val="2"/>
            <w:hideMark/>
          </w:tcPr>
          <w:p w14:paraId="7DC518A5" w14:textId="77777777" w:rsidR="007E6100" w:rsidRPr="00234ECD" w:rsidRDefault="007E6100" w:rsidP="00714DD0">
            <w:pPr>
              <w:jc w:val="both"/>
              <w:rPr>
                <w:rFonts w:ascii="Times New Roman" w:hAnsi="Times New Roman" w:cs="Times New Roman"/>
                <w:sz w:val="22"/>
                <w:szCs w:val="22"/>
                <w:lang w:val="sr-Latn-RS"/>
              </w:rPr>
            </w:pPr>
            <w:r w:rsidRPr="00234ECD">
              <w:rPr>
                <w:rFonts w:ascii="Times New Roman" w:hAnsi="Times New Roman" w:cs="Times New Roman"/>
                <w:sz w:val="22"/>
                <w:szCs w:val="22"/>
                <w:lang w:val="sr-Latn-RS"/>
              </w:rPr>
              <w:t>Cabometyx</w:t>
            </w:r>
          </w:p>
        </w:tc>
        <w:tc>
          <w:tcPr>
            <w:tcW w:w="685" w:type="dxa"/>
            <w:gridSpan w:val="2"/>
            <w:hideMark/>
          </w:tcPr>
          <w:p w14:paraId="0D4F6DF3" w14:textId="36B404B6" w:rsidR="007E6100" w:rsidRPr="00234ECD" w:rsidRDefault="007E6100" w:rsidP="00714DD0">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79</w:t>
            </w:r>
          </w:p>
        </w:tc>
        <w:tc>
          <w:tcPr>
            <w:tcW w:w="685" w:type="dxa"/>
            <w:hideMark/>
          </w:tcPr>
          <w:p w14:paraId="3B39CE6E" w14:textId="25506D45" w:rsidR="007E6100" w:rsidRPr="00234ECD" w:rsidRDefault="00322B0D" w:rsidP="00714DD0">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51</w:t>
            </w:r>
          </w:p>
        </w:tc>
        <w:tc>
          <w:tcPr>
            <w:tcW w:w="685" w:type="dxa"/>
            <w:hideMark/>
          </w:tcPr>
          <w:p w14:paraId="33B132EB" w14:textId="26C21FD5" w:rsidR="007E6100" w:rsidRPr="00234ECD" w:rsidRDefault="00322B0D" w:rsidP="00714DD0">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37</w:t>
            </w:r>
          </w:p>
        </w:tc>
        <w:tc>
          <w:tcPr>
            <w:tcW w:w="685" w:type="dxa"/>
            <w:hideMark/>
          </w:tcPr>
          <w:p w14:paraId="2FFB3CDC" w14:textId="7556DD34" w:rsidR="007E6100" w:rsidRPr="00234ECD" w:rsidRDefault="007E6100" w:rsidP="00714DD0">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2</w:t>
            </w:r>
            <w:r w:rsidR="00322B0D" w:rsidRPr="00234ECD">
              <w:rPr>
                <w:rFonts w:ascii="Times New Roman" w:hAnsi="Times New Roman" w:cs="Times New Roman"/>
                <w:sz w:val="22"/>
                <w:szCs w:val="22"/>
                <w:lang w:val="sr-Latn-RS"/>
              </w:rPr>
              <w:t>4</w:t>
            </w:r>
          </w:p>
        </w:tc>
        <w:tc>
          <w:tcPr>
            <w:tcW w:w="685" w:type="dxa"/>
            <w:hideMark/>
          </w:tcPr>
          <w:p w14:paraId="545A9571" w14:textId="77777777" w:rsidR="007E6100" w:rsidRPr="00234ECD" w:rsidRDefault="007E6100" w:rsidP="00714DD0">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239</w:t>
            </w:r>
          </w:p>
        </w:tc>
        <w:tc>
          <w:tcPr>
            <w:tcW w:w="686" w:type="dxa"/>
            <w:hideMark/>
          </w:tcPr>
          <w:p w14:paraId="322401DE" w14:textId="049C9292" w:rsidR="007E6100" w:rsidRPr="00234ECD" w:rsidRDefault="007E6100" w:rsidP="00714DD0">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18</w:t>
            </w:r>
          </w:p>
        </w:tc>
        <w:tc>
          <w:tcPr>
            <w:tcW w:w="685" w:type="dxa"/>
            <w:hideMark/>
          </w:tcPr>
          <w:p w14:paraId="2A68781E" w14:textId="18CB0E67" w:rsidR="007E6100" w:rsidRPr="00234ECD" w:rsidRDefault="007E6100" w:rsidP="00714DD0">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1</w:t>
            </w:r>
            <w:r w:rsidR="00322B0D" w:rsidRPr="00234ECD">
              <w:rPr>
                <w:rFonts w:ascii="Times New Roman" w:hAnsi="Times New Roman" w:cs="Times New Roman"/>
                <w:sz w:val="22"/>
                <w:szCs w:val="22"/>
                <w:lang w:val="sr-Latn-RS"/>
              </w:rPr>
              <w:t>2</w:t>
            </w:r>
          </w:p>
        </w:tc>
        <w:tc>
          <w:tcPr>
            <w:tcW w:w="685" w:type="dxa"/>
            <w:hideMark/>
          </w:tcPr>
          <w:p w14:paraId="04D4E1E8" w14:textId="1CE9424B" w:rsidR="007E6100" w:rsidRPr="00234ECD" w:rsidRDefault="00322B0D" w:rsidP="00714DD0">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5</w:t>
            </w:r>
            <w:r w:rsidR="007E6100" w:rsidRPr="00234ECD">
              <w:rPr>
                <w:rFonts w:ascii="Times New Roman" w:hAnsi="Times New Roman" w:cs="Times New Roman"/>
                <w:sz w:val="22"/>
                <w:szCs w:val="22"/>
                <w:lang w:val="sr-Latn-RS"/>
              </w:rPr>
              <w:t xml:space="preserve"> </w:t>
            </w:r>
          </w:p>
        </w:tc>
        <w:tc>
          <w:tcPr>
            <w:tcW w:w="683" w:type="dxa"/>
            <w:hideMark/>
          </w:tcPr>
          <w:p w14:paraId="75EB2DF0" w14:textId="64099CC0" w:rsidR="007E6100" w:rsidRPr="00234ECD" w:rsidRDefault="00322B0D" w:rsidP="00714DD0">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2</w:t>
            </w:r>
            <w:r w:rsidR="007E6100" w:rsidRPr="00234ECD">
              <w:rPr>
                <w:rFonts w:ascii="Times New Roman" w:hAnsi="Times New Roman" w:cs="Times New Roman"/>
                <w:sz w:val="22"/>
                <w:szCs w:val="22"/>
                <w:lang w:val="sr-Latn-RS"/>
              </w:rPr>
              <w:t xml:space="preserve"> </w:t>
            </w:r>
          </w:p>
        </w:tc>
        <w:tc>
          <w:tcPr>
            <w:tcW w:w="682" w:type="dxa"/>
            <w:hideMark/>
          </w:tcPr>
          <w:p w14:paraId="5A4E33EA" w14:textId="5CD0BA86" w:rsidR="007E6100" w:rsidRPr="00234ECD" w:rsidRDefault="00322B0D" w:rsidP="00714DD0">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1</w:t>
            </w:r>
            <w:r w:rsidR="007E6100" w:rsidRPr="00234ECD">
              <w:rPr>
                <w:rFonts w:ascii="Times New Roman" w:hAnsi="Times New Roman" w:cs="Times New Roman"/>
                <w:sz w:val="22"/>
                <w:szCs w:val="22"/>
                <w:lang w:val="sr-Latn-RS"/>
              </w:rPr>
              <w:t xml:space="preserve"> </w:t>
            </w:r>
          </w:p>
        </w:tc>
        <w:tc>
          <w:tcPr>
            <w:tcW w:w="686" w:type="dxa"/>
            <w:hideMark/>
          </w:tcPr>
          <w:p w14:paraId="052A8F39" w14:textId="77777777" w:rsidR="007E6100" w:rsidRPr="00234ECD" w:rsidRDefault="007E6100" w:rsidP="00714DD0">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0</w:t>
            </w:r>
          </w:p>
        </w:tc>
      </w:tr>
      <w:tr w:rsidR="007E6100" w:rsidRPr="00234ECD" w14:paraId="4223E7D1" w14:textId="77777777" w:rsidTr="007E6100">
        <w:tc>
          <w:tcPr>
            <w:tcW w:w="1541" w:type="dxa"/>
            <w:gridSpan w:val="2"/>
            <w:hideMark/>
          </w:tcPr>
          <w:p w14:paraId="43EE4A65" w14:textId="5A236DE0" w:rsidR="007E6100" w:rsidRPr="00234ECD" w:rsidRDefault="007E6100" w:rsidP="00714DD0">
            <w:pPr>
              <w:jc w:val="both"/>
              <w:rPr>
                <w:rFonts w:ascii="Times New Roman" w:hAnsi="Times New Roman" w:cs="Times New Roman"/>
                <w:sz w:val="22"/>
                <w:szCs w:val="22"/>
                <w:lang w:val="sr-Latn-RS"/>
              </w:rPr>
            </w:pPr>
            <w:r w:rsidRPr="00234ECD">
              <w:rPr>
                <w:rFonts w:ascii="Times New Roman" w:hAnsi="Times New Roman" w:cs="Times New Roman"/>
                <w:sz w:val="22"/>
                <w:szCs w:val="22"/>
                <w:lang w:val="sr-Latn-RS"/>
              </w:rPr>
              <w:t>Sunitinib</w:t>
            </w:r>
          </w:p>
        </w:tc>
        <w:tc>
          <w:tcPr>
            <w:tcW w:w="685" w:type="dxa"/>
            <w:gridSpan w:val="2"/>
            <w:hideMark/>
          </w:tcPr>
          <w:p w14:paraId="27A8CC53" w14:textId="792C1AE3" w:rsidR="007E6100" w:rsidRPr="00234ECD" w:rsidRDefault="007E6100" w:rsidP="00714DD0">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78</w:t>
            </w:r>
          </w:p>
        </w:tc>
        <w:tc>
          <w:tcPr>
            <w:tcW w:w="685" w:type="dxa"/>
            <w:hideMark/>
          </w:tcPr>
          <w:p w14:paraId="11B35882" w14:textId="77782EBF" w:rsidR="007E6100" w:rsidRPr="00234ECD" w:rsidRDefault="007E6100" w:rsidP="00714DD0">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3</w:t>
            </w:r>
            <w:r w:rsidR="00322B0D" w:rsidRPr="00234ECD">
              <w:rPr>
                <w:rFonts w:ascii="Times New Roman" w:hAnsi="Times New Roman" w:cs="Times New Roman"/>
                <w:sz w:val="22"/>
                <w:szCs w:val="22"/>
                <w:lang w:val="sr-Latn-RS"/>
              </w:rPr>
              <w:t>6</w:t>
            </w:r>
          </w:p>
        </w:tc>
        <w:tc>
          <w:tcPr>
            <w:tcW w:w="685" w:type="dxa"/>
            <w:hideMark/>
          </w:tcPr>
          <w:p w14:paraId="28572A3A" w14:textId="65868E5F" w:rsidR="007E6100" w:rsidRPr="00234ECD" w:rsidRDefault="007E6100" w:rsidP="00714DD0">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2</w:t>
            </w:r>
            <w:r w:rsidR="00322B0D" w:rsidRPr="00234ECD">
              <w:rPr>
                <w:rFonts w:ascii="Times New Roman" w:hAnsi="Times New Roman" w:cs="Times New Roman"/>
                <w:sz w:val="22"/>
                <w:szCs w:val="22"/>
                <w:lang w:val="sr-Latn-RS"/>
              </w:rPr>
              <w:t>1</w:t>
            </w:r>
          </w:p>
        </w:tc>
        <w:tc>
          <w:tcPr>
            <w:tcW w:w="685" w:type="dxa"/>
            <w:hideMark/>
          </w:tcPr>
          <w:p w14:paraId="32FBB2FC" w14:textId="1D9BFF44" w:rsidR="007E6100" w:rsidRPr="00234ECD" w:rsidRDefault="00322B0D" w:rsidP="00714DD0">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12</w:t>
            </w:r>
          </w:p>
        </w:tc>
        <w:tc>
          <w:tcPr>
            <w:tcW w:w="685" w:type="dxa"/>
            <w:hideMark/>
          </w:tcPr>
          <w:p w14:paraId="7D0E450F" w14:textId="77777777" w:rsidR="007E6100" w:rsidRPr="00234ECD" w:rsidRDefault="007E6100" w:rsidP="00714DD0">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202</w:t>
            </w:r>
          </w:p>
        </w:tc>
        <w:tc>
          <w:tcPr>
            <w:tcW w:w="686" w:type="dxa"/>
            <w:hideMark/>
          </w:tcPr>
          <w:p w14:paraId="277C56A6" w14:textId="21869C5F" w:rsidR="007E6100" w:rsidRPr="00234ECD" w:rsidRDefault="00322B0D" w:rsidP="00714DD0">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5</w:t>
            </w:r>
          </w:p>
        </w:tc>
        <w:tc>
          <w:tcPr>
            <w:tcW w:w="685" w:type="dxa"/>
            <w:hideMark/>
          </w:tcPr>
          <w:p w14:paraId="6814DE11" w14:textId="30BF579E" w:rsidR="007E6100" w:rsidRPr="00234ECD" w:rsidRDefault="00322B0D" w:rsidP="00714DD0">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3</w:t>
            </w:r>
            <w:r w:rsidR="007E6100" w:rsidRPr="00234ECD">
              <w:rPr>
                <w:rFonts w:ascii="Times New Roman" w:hAnsi="Times New Roman" w:cs="Times New Roman"/>
                <w:sz w:val="22"/>
                <w:szCs w:val="22"/>
                <w:lang w:val="sr-Latn-RS"/>
              </w:rPr>
              <w:t xml:space="preserve"> </w:t>
            </w:r>
          </w:p>
        </w:tc>
        <w:tc>
          <w:tcPr>
            <w:tcW w:w="685" w:type="dxa"/>
            <w:hideMark/>
          </w:tcPr>
          <w:p w14:paraId="0398221F" w14:textId="3BA10506" w:rsidR="007E6100" w:rsidRPr="00234ECD" w:rsidRDefault="007E6100" w:rsidP="00714DD0">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 xml:space="preserve">2 </w:t>
            </w:r>
          </w:p>
        </w:tc>
        <w:tc>
          <w:tcPr>
            <w:tcW w:w="683" w:type="dxa"/>
            <w:hideMark/>
          </w:tcPr>
          <w:p w14:paraId="7E61C0F8" w14:textId="2F4BA940" w:rsidR="007E6100" w:rsidRPr="00234ECD" w:rsidRDefault="00322B0D" w:rsidP="00714DD0">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1</w:t>
            </w:r>
            <w:r w:rsidR="007E6100" w:rsidRPr="00234ECD">
              <w:rPr>
                <w:rFonts w:ascii="Times New Roman" w:hAnsi="Times New Roman" w:cs="Times New Roman"/>
                <w:sz w:val="22"/>
                <w:szCs w:val="22"/>
                <w:lang w:val="sr-Latn-RS"/>
              </w:rPr>
              <w:t xml:space="preserve"> </w:t>
            </w:r>
          </w:p>
        </w:tc>
        <w:tc>
          <w:tcPr>
            <w:tcW w:w="682" w:type="dxa"/>
            <w:hideMark/>
          </w:tcPr>
          <w:p w14:paraId="0734F5C4" w14:textId="1CFA8DD0" w:rsidR="007E6100" w:rsidRPr="00234ECD" w:rsidRDefault="00322B0D" w:rsidP="00714DD0">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0</w:t>
            </w:r>
            <w:r w:rsidR="007E6100" w:rsidRPr="00234ECD">
              <w:rPr>
                <w:rFonts w:ascii="Times New Roman" w:hAnsi="Times New Roman" w:cs="Times New Roman"/>
                <w:sz w:val="22"/>
                <w:szCs w:val="22"/>
                <w:lang w:val="sr-Latn-RS"/>
              </w:rPr>
              <w:t xml:space="preserve"> </w:t>
            </w:r>
          </w:p>
        </w:tc>
        <w:tc>
          <w:tcPr>
            <w:tcW w:w="686" w:type="dxa"/>
            <w:hideMark/>
          </w:tcPr>
          <w:p w14:paraId="15C5037F" w14:textId="77777777" w:rsidR="007E6100" w:rsidRPr="00234ECD" w:rsidRDefault="007E6100" w:rsidP="00714DD0">
            <w:pPr>
              <w:jc w:val="center"/>
              <w:rPr>
                <w:rFonts w:ascii="Times New Roman" w:hAnsi="Times New Roman" w:cs="Times New Roman"/>
                <w:sz w:val="22"/>
                <w:szCs w:val="22"/>
                <w:lang w:val="sr-Latn-RS"/>
              </w:rPr>
            </w:pPr>
            <w:r w:rsidRPr="00234ECD">
              <w:rPr>
                <w:rFonts w:ascii="Times New Roman" w:hAnsi="Times New Roman" w:cs="Times New Roman"/>
                <w:sz w:val="22"/>
                <w:szCs w:val="22"/>
                <w:lang w:val="sr-Latn-RS"/>
              </w:rPr>
              <w:t>0</w:t>
            </w:r>
          </w:p>
        </w:tc>
      </w:tr>
    </w:tbl>
    <w:p w14:paraId="2AF411F6" w14:textId="77777777" w:rsidR="00D857AC" w:rsidRPr="00234ECD" w:rsidRDefault="00D857AC" w:rsidP="00D857AC">
      <w:pPr>
        <w:jc w:val="both"/>
        <w:rPr>
          <w:rFonts w:eastAsia="Calibri"/>
          <w:sz w:val="22"/>
          <w:szCs w:val="22"/>
          <w:lang w:val="sr-Latn-RS"/>
        </w:rPr>
      </w:pPr>
    </w:p>
    <w:p w14:paraId="7061C7F5" w14:textId="77777777" w:rsidR="00D857AC" w:rsidRPr="00234ECD" w:rsidRDefault="00D857AC" w:rsidP="00D857AC">
      <w:pPr>
        <w:jc w:val="both"/>
        <w:rPr>
          <w:rFonts w:eastAsia="Calibri"/>
          <w:sz w:val="22"/>
          <w:szCs w:val="22"/>
          <w:lang w:val="sr-Latn-RS"/>
        </w:rPr>
      </w:pPr>
    </w:p>
    <w:p w14:paraId="7240E7AE" w14:textId="77777777" w:rsidR="00D857AC" w:rsidRPr="00234ECD" w:rsidRDefault="00D857AC" w:rsidP="00D857AC">
      <w:pPr>
        <w:jc w:val="both"/>
        <w:rPr>
          <w:rFonts w:eastAsia="Calibri"/>
          <w:sz w:val="22"/>
          <w:szCs w:val="22"/>
          <w:lang w:val="sr-Latn-RS"/>
        </w:rPr>
      </w:pPr>
    </w:p>
    <w:p w14:paraId="3F04EAC8" w14:textId="7F6AFABB" w:rsidR="00D857AC" w:rsidRPr="00234ECD" w:rsidRDefault="00D857AC" w:rsidP="00D857AC">
      <w:pPr>
        <w:jc w:val="both"/>
        <w:rPr>
          <w:rFonts w:eastAsia="Calibri"/>
          <w:b/>
          <w:sz w:val="22"/>
          <w:szCs w:val="22"/>
          <w:u w:val="single"/>
          <w:lang w:val="sr-Latn-RS"/>
        </w:rPr>
      </w:pPr>
      <w:r w:rsidRPr="00234ECD">
        <w:rPr>
          <w:rFonts w:eastAsia="Calibri"/>
          <w:b/>
          <w:sz w:val="22"/>
          <w:szCs w:val="22"/>
          <w:u w:val="single"/>
          <w:lang w:val="sr-Latn-RS"/>
        </w:rPr>
        <w:t>Tabela 6: Rezultati efikasnosti kod prethodno nel</w:t>
      </w:r>
      <w:r w:rsidR="005725E3" w:rsidRPr="00234ECD">
        <w:rPr>
          <w:rFonts w:eastAsia="Calibri"/>
          <w:b/>
          <w:sz w:val="22"/>
          <w:szCs w:val="22"/>
          <w:u w:val="single"/>
          <w:lang w:val="sr-Latn-RS"/>
        </w:rPr>
        <w:t>ij</w:t>
      </w:r>
      <w:r w:rsidRPr="00234ECD">
        <w:rPr>
          <w:rFonts w:eastAsia="Calibri"/>
          <w:b/>
          <w:sz w:val="22"/>
          <w:szCs w:val="22"/>
          <w:u w:val="single"/>
          <w:lang w:val="sr-Latn-RS"/>
        </w:rPr>
        <w:t>ečenih ispitanika sa RCC (ITT populacija, studija CABOSUN)</w:t>
      </w:r>
    </w:p>
    <w:p w14:paraId="3AAFDC23" w14:textId="77777777" w:rsidR="00D857AC" w:rsidRPr="00234ECD" w:rsidRDefault="00D857AC" w:rsidP="00D857AC">
      <w:pPr>
        <w:jc w:val="both"/>
        <w:rPr>
          <w:rFonts w:eastAsia="Calibri"/>
          <w:sz w:val="22"/>
          <w:szCs w:val="22"/>
          <w:lang w:val="sr-Latn-RS"/>
        </w:rPr>
      </w:pPr>
    </w:p>
    <w:tbl>
      <w:tblPr>
        <w:tblW w:w="9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4"/>
        <w:gridCol w:w="2976"/>
        <w:gridCol w:w="2975"/>
      </w:tblGrid>
      <w:tr w:rsidR="00D857AC" w:rsidRPr="00234ECD" w14:paraId="67E58867" w14:textId="77777777" w:rsidTr="00D857AC">
        <w:trPr>
          <w:trHeight w:val="224"/>
        </w:trPr>
        <w:tc>
          <w:tcPr>
            <w:tcW w:w="3787" w:type="dxa"/>
            <w:tcBorders>
              <w:top w:val="single" w:sz="4" w:space="0" w:color="auto"/>
              <w:left w:val="single" w:sz="4" w:space="0" w:color="auto"/>
              <w:bottom w:val="single" w:sz="4" w:space="0" w:color="auto"/>
              <w:right w:val="single" w:sz="4" w:space="0" w:color="auto"/>
            </w:tcBorders>
          </w:tcPr>
          <w:p w14:paraId="079D109F" w14:textId="77777777" w:rsidR="00D857AC" w:rsidRPr="00234ECD" w:rsidRDefault="00D857AC" w:rsidP="00D857AC">
            <w:pPr>
              <w:autoSpaceDE w:val="0"/>
              <w:autoSpaceDN w:val="0"/>
              <w:adjustRightInd w:val="0"/>
              <w:rPr>
                <w:rFonts w:eastAsia="Calibri"/>
                <w:color w:val="000000"/>
                <w:sz w:val="22"/>
                <w:szCs w:val="22"/>
                <w:lang w:val="sr-Latn-RS"/>
              </w:rPr>
            </w:pPr>
          </w:p>
        </w:tc>
        <w:tc>
          <w:tcPr>
            <w:tcW w:w="2978" w:type="dxa"/>
            <w:tcBorders>
              <w:top w:val="single" w:sz="4" w:space="0" w:color="auto"/>
              <w:left w:val="single" w:sz="4" w:space="0" w:color="auto"/>
              <w:bottom w:val="single" w:sz="4" w:space="0" w:color="auto"/>
              <w:right w:val="single" w:sz="4" w:space="0" w:color="auto"/>
            </w:tcBorders>
            <w:hideMark/>
          </w:tcPr>
          <w:p w14:paraId="2F935870" w14:textId="77777777" w:rsidR="00D857AC" w:rsidRPr="00234ECD" w:rsidRDefault="00D857AC" w:rsidP="00D857AC">
            <w:pPr>
              <w:autoSpaceDE w:val="0"/>
              <w:autoSpaceDN w:val="0"/>
              <w:adjustRightInd w:val="0"/>
              <w:jc w:val="center"/>
              <w:rPr>
                <w:rFonts w:eastAsia="Calibri"/>
                <w:b/>
                <w:bCs/>
                <w:color w:val="000000"/>
                <w:sz w:val="22"/>
                <w:szCs w:val="22"/>
                <w:lang w:val="sr-Latn-RS"/>
              </w:rPr>
            </w:pPr>
            <w:r w:rsidRPr="00234ECD">
              <w:rPr>
                <w:rFonts w:eastAsia="Calibri"/>
                <w:b/>
                <w:bCs/>
                <w:color w:val="000000"/>
                <w:sz w:val="22"/>
                <w:szCs w:val="22"/>
                <w:lang w:val="sr-Latn-RS"/>
              </w:rPr>
              <w:t xml:space="preserve">Cabometyx </w:t>
            </w:r>
          </w:p>
          <w:p w14:paraId="42B48EC3"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b/>
                <w:bCs/>
                <w:color w:val="000000"/>
                <w:sz w:val="22"/>
                <w:szCs w:val="22"/>
                <w:lang w:val="sr-Latn-RS"/>
              </w:rPr>
              <w:t>(N=79)</w:t>
            </w:r>
          </w:p>
        </w:tc>
        <w:tc>
          <w:tcPr>
            <w:tcW w:w="2977" w:type="dxa"/>
            <w:tcBorders>
              <w:top w:val="single" w:sz="4" w:space="0" w:color="auto"/>
              <w:left w:val="single" w:sz="4" w:space="0" w:color="auto"/>
              <w:bottom w:val="single" w:sz="4" w:space="0" w:color="auto"/>
              <w:right w:val="single" w:sz="4" w:space="0" w:color="auto"/>
            </w:tcBorders>
            <w:hideMark/>
          </w:tcPr>
          <w:p w14:paraId="23D5B305"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b/>
                <w:bCs/>
                <w:color w:val="000000"/>
                <w:sz w:val="22"/>
                <w:szCs w:val="22"/>
                <w:lang w:val="sr-Latn-RS"/>
              </w:rPr>
              <w:t>Sunitinib</w:t>
            </w:r>
          </w:p>
          <w:p w14:paraId="58419B09"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b/>
                <w:bCs/>
                <w:color w:val="000000"/>
                <w:sz w:val="22"/>
                <w:szCs w:val="22"/>
                <w:lang w:val="sr-Latn-RS"/>
              </w:rPr>
              <w:t>(N=78)</w:t>
            </w:r>
          </w:p>
        </w:tc>
      </w:tr>
      <w:tr w:rsidR="00D857AC" w:rsidRPr="00234ECD" w14:paraId="28151FAD" w14:textId="77777777" w:rsidTr="00D857AC">
        <w:trPr>
          <w:trHeight w:val="110"/>
        </w:trPr>
        <w:tc>
          <w:tcPr>
            <w:tcW w:w="9742" w:type="dxa"/>
            <w:gridSpan w:val="3"/>
            <w:tcBorders>
              <w:top w:val="single" w:sz="4" w:space="0" w:color="auto"/>
              <w:left w:val="single" w:sz="4" w:space="0" w:color="auto"/>
              <w:bottom w:val="single" w:sz="4" w:space="0" w:color="auto"/>
              <w:right w:val="single" w:sz="4" w:space="0" w:color="auto"/>
            </w:tcBorders>
            <w:hideMark/>
          </w:tcPr>
          <w:p w14:paraId="6BAEB2FA" w14:textId="77777777" w:rsidR="00D857AC" w:rsidRPr="00234ECD" w:rsidRDefault="00D857AC" w:rsidP="00D857AC">
            <w:pPr>
              <w:autoSpaceDE w:val="0"/>
              <w:autoSpaceDN w:val="0"/>
              <w:adjustRightInd w:val="0"/>
              <w:rPr>
                <w:rFonts w:eastAsia="Calibri"/>
                <w:color w:val="000000"/>
                <w:sz w:val="22"/>
                <w:szCs w:val="22"/>
                <w:u w:val="single"/>
                <w:lang w:val="sr-Latn-RS"/>
              </w:rPr>
            </w:pPr>
            <w:r w:rsidRPr="00234ECD">
              <w:rPr>
                <w:rFonts w:eastAsia="Calibri"/>
                <w:b/>
                <w:bCs/>
                <w:color w:val="000000"/>
                <w:sz w:val="22"/>
                <w:szCs w:val="22"/>
                <w:u w:val="single"/>
                <w:lang w:val="sr-Latn-RS"/>
              </w:rPr>
              <w:t xml:space="preserve">Preživljavanje bez progresije bolesti (PFS) prema IRC </w:t>
            </w:r>
            <w:r w:rsidRPr="00234ECD">
              <w:rPr>
                <w:rFonts w:eastAsia="Calibri"/>
                <w:b/>
                <w:bCs/>
                <w:color w:val="000000"/>
                <w:sz w:val="22"/>
                <w:szCs w:val="22"/>
                <w:u w:val="single"/>
                <w:vertAlign w:val="superscript"/>
                <w:lang w:val="sr-Latn-RS"/>
              </w:rPr>
              <w:t>a</w:t>
            </w:r>
            <w:r w:rsidRPr="00234ECD">
              <w:rPr>
                <w:rFonts w:eastAsia="Calibri"/>
                <w:b/>
                <w:bCs/>
                <w:color w:val="000000"/>
                <w:sz w:val="22"/>
                <w:szCs w:val="22"/>
                <w:u w:val="single"/>
                <w:lang w:val="sr-Latn-RS"/>
              </w:rPr>
              <w:t xml:space="preserve"> </w:t>
            </w:r>
          </w:p>
        </w:tc>
      </w:tr>
      <w:tr w:rsidR="00D857AC" w:rsidRPr="00234ECD" w14:paraId="199ADA29" w14:textId="77777777" w:rsidTr="00D857AC">
        <w:trPr>
          <w:trHeight w:val="100"/>
        </w:trPr>
        <w:tc>
          <w:tcPr>
            <w:tcW w:w="3787" w:type="dxa"/>
            <w:tcBorders>
              <w:top w:val="single" w:sz="4" w:space="0" w:color="auto"/>
              <w:left w:val="single" w:sz="4" w:space="0" w:color="auto"/>
              <w:bottom w:val="single" w:sz="4" w:space="0" w:color="auto"/>
              <w:right w:val="single" w:sz="4" w:space="0" w:color="auto"/>
            </w:tcBorders>
            <w:hideMark/>
          </w:tcPr>
          <w:p w14:paraId="4D6CF741" w14:textId="4182DF45"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Medijana PFS (95% CI), m</w:t>
            </w:r>
            <w:r w:rsidR="002A78A2" w:rsidRPr="00234ECD">
              <w:rPr>
                <w:rFonts w:eastAsia="Calibri"/>
                <w:color w:val="000000"/>
                <w:sz w:val="22"/>
                <w:szCs w:val="22"/>
                <w:lang w:val="sr-Latn-RS"/>
              </w:rPr>
              <w:t>j</w:t>
            </w:r>
            <w:r w:rsidRPr="00234ECD">
              <w:rPr>
                <w:rFonts w:eastAsia="Calibri"/>
                <w:color w:val="000000"/>
                <w:sz w:val="22"/>
                <w:szCs w:val="22"/>
                <w:lang w:val="sr-Latn-RS"/>
              </w:rPr>
              <w:t>eseci</w:t>
            </w:r>
          </w:p>
        </w:tc>
        <w:tc>
          <w:tcPr>
            <w:tcW w:w="2978" w:type="dxa"/>
            <w:tcBorders>
              <w:top w:val="single" w:sz="4" w:space="0" w:color="auto"/>
              <w:left w:val="single" w:sz="4" w:space="0" w:color="auto"/>
              <w:bottom w:val="single" w:sz="4" w:space="0" w:color="auto"/>
              <w:right w:val="single" w:sz="4" w:space="0" w:color="auto"/>
            </w:tcBorders>
            <w:hideMark/>
          </w:tcPr>
          <w:p w14:paraId="6856566C"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8,6 (6,2; 14,0)</w:t>
            </w:r>
          </w:p>
        </w:tc>
        <w:tc>
          <w:tcPr>
            <w:tcW w:w="2977" w:type="dxa"/>
            <w:tcBorders>
              <w:top w:val="single" w:sz="4" w:space="0" w:color="auto"/>
              <w:left w:val="single" w:sz="4" w:space="0" w:color="auto"/>
              <w:bottom w:val="single" w:sz="4" w:space="0" w:color="auto"/>
              <w:right w:val="single" w:sz="4" w:space="0" w:color="auto"/>
            </w:tcBorders>
            <w:hideMark/>
          </w:tcPr>
          <w:p w14:paraId="533E56F5"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5,3 (3,0; 8,2)</w:t>
            </w:r>
          </w:p>
        </w:tc>
      </w:tr>
      <w:tr w:rsidR="00D857AC" w:rsidRPr="00234ECD" w14:paraId="55D75470" w14:textId="77777777" w:rsidTr="00D857AC">
        <w:trPr>
          <w:trHeight w:val="111"/>
        </w:trPr>
        <w:tc>
          <w:tcPr>
            <w:tcW w:w="3787" w:type="dxa"/>
            <w:tcBorders>
              <w:top w:val="single" w:sz="4" w:space="0" w:color="auto"/>
              <w:left w:val="single" w:sz="4" w:space="0" w:color="auto"/>
              <w:bottom w:val="single" w:sz="4" w:space="0" w:color="auto"/>
              <w:right w:val="single" w:sz="4" w:space="0" w:color="auto"/>
            </w:tcBorders>
            <w:hideMark/>
          </w:tcPr>
          <w:p w14:paraId="64B0129C"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HR (95% CI); stratifikovan </w:t>
            </w:r>
            <w:r w:rsidRPr="00234ECD">
              <w:rPr>
                <w:rFonts w:eastAsia="Calibri"/>
                <w:color w:val="000000"/>
                <w:sz w:val="22"/>
                <w:szCs w:val="22"/>
                <w:vertAlign w:val="superscript"/>
                <w:lang w:val="sr-Latn-RS"/>
              </w:rPr>
              <w:t>b,c</w:t>
            </w:r>
            <w:r w:rsidRPr="00234ECD">
              <w:rPr>
                <w:rFonts w:eastAsia="Calibri"/>
                <w:color w:val="000000"/>
                <w:sz w:val="22"/>
                <w:szCs w:val="22"/>
                <w:lang w:val="sr-Latn-RS"/>
              </w:rPr>
              <w:t xml:space="preserve"> </w:t>
            </w:r>
          </w:p>
        </w:tc>
        <w:tc>
          <w:tcPr>
            <w:tcW w:w="5955" w:type="dxa"/>
            <w:gridSpan w:val="2"/>
            <w:tcBorders>
              <w:top w:val="single" w:sz="4" w:space="0" w:color="auto"/>
              <w:left w:val="single" w:sz="4" w:space="0" w:color="auto"/>
              <w:bottom w:val="single" w:sz="4" w:space="0" w:color="auto"/>
              <w:right w:val="single" w:sz="4" w:space="0" w:color="auto"/>
            </w:tcBorders>
            <w:hideMark/>
          </w:tcPr>
          <w:p w14:paraId="51C6E1F5"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0,48 (0,32; 0,73)</w:t>
            </w:r>
          </w:p>
        </w:tc>
      </w:tr>
      <w:tr w:rsidR="00D857AC" w:rsidRPr="00234ECD" w14:paraId="237612AA" w14:textId="77777777" w:rsidTr="00D857AC">
        <w:trPr>
          <w:trHeight w:val="111"/>
        </w:trPr>
        <w:tc>
          <w:tcPr>
            <w:tcW w:w="3787" w:type="dxa"/>
            <w:tcBorders>
              <w:top w:val="single" w:sz="4" w:space="0" w:color="auto"/>
              <w:left w:val="single" w:sz="4" w:space="0" w:color="auto"/>
              <w:bottom w:val="single" w:sz="4" w:space="0" w:color="auto"/>
              <w:right w:val="single" w:sz="4" w:space="0" w:color="auto"/>
            </w:tcBorders>
            <w:hideMark/>
          </w:tcPr>
          <w:p w14:paraId="40CF1DC3" w14:textId="52C9E0D5"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Dvostrana log-rank p-vr</w:t>
            </w:r>
            <w:r w:rsidR="002A78A2" w:rsidRPr="00234ECD">
              <w:rPr>
                <w:rFonts w:eastAsia="Calibri"/>
                <w:color w:val="000000"/>
                <w:sz w:val="22"/>
                <w:szCs w:val="22"/>
                <w:lang w:val="sr-Latn-RS"/>
              </w:rPr>
              <w:t>ij</w:t>
            </w:r>
            <w:r w:rsidRPr="00234ECD">
              <w:rPr>
                <w:rFonts w:eastAsia="Calibri"/>
                <w:color w:val="000000"/>
                <w:sz w:val="22"/>
                <w:szCs w:val="22"/>
                <w:lang w:val="sr-Latn-RS"/>
              </w:rPr>
              <w:t xml:space="preserve">ednost: stratifikovana </w:t>
            </w:r>
            <w:r w:rsidRPr="00234ECD">
              <w:rPr>
                <w:rFonts w:eastAsia="Calibri"/>
                <w:color w:val="000000"/>
                <w:sz w:val="22"/>
                <w:szCs w:val="22"/>
                <w:vertAlign w:val="superscript"/>
                <w:lang w:val="sr-Latn-RS"/>
              </w:rPr>
              <w:t>b</w:t>
            </w:r>
            <w:r w:rsidRPr="00234ECD">
              <w:rPr>
                <w:rFonts w:eastAsia="Calibri"/>
                <w:color w:val="000000"/>
                <w:sz w:val="22"/>
                <w:szCs w:val="22"/>
                <w:lang w:val="sr-Latn-RS"/>
              </w:rPr>
              <w:t xml:space="preserve"> </w:t>
            </w:r>
          </w:p>
        </w:tc>
        <w:tc>
          <w:tcPr>
            <w:tcW w:w="5955" w:type="dxa"/>
            <w:gridSpan w:val="2"/>
            <w:tcBorders>
              <w:top w:val="single" w:sz="4" w:space="0" w:color="auto"/>
              <w:left w:val="single" w:sz="4" w:space="0" w:color="auto"/>
              <w:bottom w:val="single" w:sz="4" w:space="0" w:color="auto"/>
              <w:right w:val="single" w:sz="4" w:space="0" w:color="auto"/>
            </w:tcBorders>
            <w:hideMark/>
          </w:tcPr>
          <w:p w14:paraId="64B589D8"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p=0,0005</w:t>
            </w:r>
          </w:p>
        </w:tc>
      </w:tr>
      <w:tr w:rsidR="00D857AC" w:rsidRPr="00234ECD" w14:paraId="16D0A5BE" w14:textId="77777777" w:rsidTr="00D857AC">
        <w:trPr>
          <w:trHeight w:val="98"/>
        </w:trPr>
        <w:tc>
          <w:tcPr>
            <w:tcW w:w="9742" w:type="dxa"/>
            <w:gridSpan w:val="3"/>
            <w:tcBorders>
              <w:top w:val="single" w:sz="4" w:space="0" w:color="auto"/>
              <w:left w:val="single" w:sz="4" w:space="0" w:color="auto"/>
              <w:bottom w:val="single" w:sz="4" w:space="0" w:color="auto"/>
              <w:right w:val="single" w:sz="4" w:space="0" w:color="auto"/>
            </w:tcBorders>
            <w:hideMark/>
          </w:tcPr>
          <w:p w14:paraId="03B6CC84"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b/>
                <w:bCs/>
                <w:color w:val="000000"/>
                <w:sz w:val="22"/>
                <w:szCs w:val="22"/>
                <w:lang w:val="sr-Latn-RS"/>
              </w:rPr>
              <w:t xml:space="preserve">Preživljavanje bez progresije bolesti (PFS) prema ispitivaču </w:t>
            </w:r>
          </w:p>
        </w:tc>
      </w:tr>
      <w:tr w:rsidR="00D857AC" w:rsidRPr="00234ECD" w14:paraId="144DE0FC" w14:textId="77777777" w:rsidTr="00D857AC">
        <w:trPr>
          <w:trHeight w:val="100"/>
        </w:trPr>
        <w:tc>
          <w:tcPr>
            <w:tcW w:w="3787" w:type="dxa"/>
            <w:tcBorders>
              <w:top w:val="single" w:sz="4" w:space="0" w:color="auto"/>
              <w:left w:val="single" w:sz="4" w:space="0" w:color="auto"/>
              <w:bottom w:val="single" w:sz="4" w:space="0" w:color="auto"/>
              <w:right w:val="single" w:sz="4" w:space="0" w:color="auto"/>
            </w:tcBorders>
            <w:hideMark/>
          </w:tcPr>
          <w:p w14:paraId="5D732FEE" w14:textId="25C32D50"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Medijana PFS (95% CI), m</w:t>
            </w:r>
            <w:r w:rsidR="002A78A2" w:rsidRPr="00234ECD">
              <w:rPr>
                <w:rFonts w:eastAsia="Calibri"/>
                <w:color w:val="000000"/>
                <w:sz w:val="22"/>
                <w:szCs w:val="22"/>
                <w:lang w:val="sr-Latn-RS"/>
              </w:rPr>
              <w:t>j</w:t>
            </w:r>
            <w:r w:rsidRPr="00234ECD">
              <w:rPr>
                <w:rFonts w:eastAsia="Calibri"/>
                <w:color w:val="000000"/>
                <w:sz w:val="22"/>
                <w:szCs w:val="22"/>
                <w:lang w:val="sr-Latn-RS"/>
              </w:rPr>
              <w:t>eseci</w:t>
            </w:r>
          </w:p>
        </w:tc>
        <w:tc>
          <w:tcPr>
            <w:tcW w:w="2978" w:type="dxa"/>
            <w:tcBorders>
              <w:top w:val="single" w:sz="4" w:space="0" w:color="auto"/>
              <w:left w:val="single" w:sz="4" w:space="0" w:color="auto"/>
              <w:bottom w:val="single" w:sz="4" w:space="0" w:color="auto"/>
              <w:right w:val="single" w:sz="4" w:space="0" w:color="auto"/>
            </w:tcBorders>
            <w:hideMark/>
          </w:tcPr>
          <w:p w14:paraId="2702A95C"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8,3 (6,5; 12,4)</w:t>
            </w:r>
          </w:p>
        </w:tc>
        <w:tc>
          <w:tcPr>
            <w:tcW w:w="2977" w:type="dxa"/>
            <w:tcBorders>
              <w:top w:val="single" w:sz="4" w:space="0" w:color="auto"/>
              <w:left w:val="single" w:sz="4" w:space="0" w:color="auto"/>
              <w:bottom w:val="single" w:sz="4" w:space="0" w:color="auto"/>
              <w:right w:val="single" w:sz="4" w:space="0" w:color="auto"/>
            </w:tcBorders>
            <w:hideMark/>
          </w:tcPr>
          <w:p w14:paraId="2C27F77A"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5,4 (3,4; 8,2)</w:t>
            </w:r>
          </w:p>
        </w:tc>
      </w:tr>
      <w:tr w:rsidR="00D857AC" w:rsidRPr="00234ECD" w14:paraId="6D798FBD" w14:textId="77777777" w:rsidTr="00D857AC">
        <w:trPr>
          <w:trHeight w:val="111"/>
        </w:trPr>
        <w:tc>
          <w:tcPr>
            <w:tcW w:w="3787" w:type="dxa"/>
            <w:tcBorders>
              <w:top w:val="single" w:sz="4" w:space="0" w:color="auto"/>
              <w:left w:val="single" w:sz="4" w:space="0" w:color="auto"/>
              <w:bottom w:val="single" w:sz="4" w:space="0" w:color="auto"/>
              <w:right w:val="single" w:sz="4" w:space="0" w:color="auto"/>
            </w:tcBorders>
            <w:hideMark/>
          </w:tcPr>
          <w:p w14:paraId="0ABCD8F9"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HR (95% CI); stratifikovan </w:t>
            </w:r>
            <w:r w:rsidRPr="00234ECD">
              <w:rPr>
                <w:rFonts w:eastAsia="Calibri"/>
                <w:color w:val="000000"/>
                <w:sz w:val="22"/>
                <w:szCs w:val="22"/>
                <w:vertAlign w:val="superscript"/>
                <w:lang w:val="sr-Latn-RS"/>
              </w:rPr>
              <w:t>b,c</w:t>
            </w:r>
          </w:p>
        </w:tc>
        <w:tc>
          <w:tcPr>
            <w:tcW w:w="5955" w:type="dxa"/>
            <w:gridSpan w:val="2"/>
            <w:tcBorders>
              <w:top w:val="single" w:sz="4" w:space="0" w:color="auto"/>
              <w:left w:val="single" w:sz="4" w:space="0" w:color="auto"/>
              <w:bottom w:val="single" w:sz="4" w:space="0" w:color="auto"/>
              <w:right w:val="single" w:sz="4" w:space="0" w:color="auto"/>
            </w:tcBorders>
            <w:hideMark/>
          </w:tcPr>
          <w:p w14:paraId="09DC8F7E"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0,56 (0,37; 0,83)</w:t>
            </w:r>
          </w:p>
        </w:tc>
      </w:tr>
      <w:tr w:rsidR="00D857AC" w:rsidRPr="00234ECD" w14:paraId="0293F8F2" w14:textId="77777777" w:rsidTr="00D857AC">
        <w:trPr>
          <w:trHeight w:val="111"/>
        </w:trPr>
        <w:tc>
          <w:tcPr>
            <w:tcW w:w="3787" w:type="dxa"/>
            <w:tcBorders>
              <w:top w:val="single" w:sz="4" w:space="0" w:color="auto"/>
              <w:left w:val="single" w:sz="4" w:space="0" w:color="auto"/>
              <w:bottom w:val="single" w:sz="4" w:space="0" w:color="auto"/>
              <w:right w:val="single" w:sz="4" w:space="0" w:color="auto"/>
            </w:tcBorders>
            <w:hideMark/>
          </w:tcPr>
          <w:p w14:paraId="6B8C43FD" w14:textId="7103CA08"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Dvostrana log-rank p-vr</w:t>
            </w:r>
            <w:r w:rsidR="002A78A2" w:rsidRPr="00234ECD">
              <w:rPr>
                <w:rFonts w:eastAsia="Calibri"/>
                <w:color w:val="000000"/>
                <w:sz w:val="22"/>
                <w:szCs w:val="22"/>
                <w:lang w:val="sr-Latn-RS"/>
              </w:rPr>
              <w:t>ij</w:t>
            </w:r>
            <w:r w:rsidRPr="00234ECD">
              <w:rPr>
                <w:rFonts w:eastAsia="Calibri"/>
                <w:color w:val="000000"/>
                <w:sz w:val="22"/>
                <w:szCs w:val="22"/>
                <w:lang w:val="sr-Latn-RS"/>
              </w:rPr>
              <w:t xml:space="preserve">ednost: stratifikovana </w:t>
            </w:r>
            <w:r w:rsidRPr="00234ECD">
              <w:rPr>
                <w:rFonts w:eastAsia="Calibri"/>
                <w:color w:val="000000"/>
                <w:sz w:val="22"/>
                <w:szCs w:val="22"/>
                <w:vertAlign w:val="superscript"/>
                <w:lang w:val="sr-Latn-RS"/>
              </w:rPr>
              <w:t>b</w:t>
            </w:r>
            <w:r w:rsidRPr="00234ECD">
              <w:rPr>
                <w:rFonts w:eastAsia="Calibri"/>
                <w:color w:val="000000"/>
                <w:sz w:val="22"/>
                <w:szCs w:val="22"/>
                <w:lang w:val="sr-Latn-RS"/>
              </w:rPr>
              <w:t xml:space="preserve"> </w:t>
            </w:r>
          </w:p>
        </w:tc>
        <w:tc>
          <w:tcPr>
            <w:tcW w:w="5955" w:type="dxa"/>
            <w:gridSpan w:val="2"/>
            <w:tcBorders>
              <w:top w:val="single" w:sz="4" w:space="0" w:color="auto"/>
              <w:left w:val="single" w:sz="4" w:space="0" w:color="auto"/>
              <w:bottom w:val="single" w:sz="4" w:space="0" w:color="auto"/>
              <w:right w:val="single" w:sz="4" w:space="0" w:color="auto"/>
            </w:tcBorders>
            <w:hideMark/>
          </w:tcPr>
          <w:p w14:paraId="7F192456"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p=0,0042</w:t>
            </w:r>
          </w:p>
        </w:tc>
      </w:tr>
      <w:tr w:rsidR="00D857AC" w:rsidRPr="00234ECD" w14:paraId="0F422512" w14:textId="77777777" w:rsidTr="00D857AC">
        <w:trPr>
          <w:trHeight w:val="98"/>
        </w:trPr>
        <w:tc>
          <w:tcPr>
            <w:tcW w:w="9742" w:type="dxa"/>
            <w:gridSpan w:val="3"/>
            <w:tcBorders>
              <w:top w:val="single" w:sz="4" w:space="0" w:color="auto"/>
              <w:left w:val="single" w:sz="4" w:space="0" w:color="auto"/>
              <w:bottom w:val="single" w:sz="4" w:space="0" w:color="auto"/>
              <w:right w:val="single" w:sz="4" w:space="0" w:color="auto"/>
            </w:tcBorders>
            <w:hideMark/>
          </w:tcPr>
          <w:p w14:paraId="01C21F94" w14:textId="6B4E1202" w:rsidR="00D857AC" w:rsidRPr="00234ECD" w:rsidRDefault="00D857AC" w:rsidP="00D857AC">
            <w:pPr>
              <w:autoSpaceDE w:val="0"/>
              <w:autoSpaceDN w:val="0"/>
              <w:adjustRightInd w:val="0"/>
              <w:rPr>
                <w:rFonts w:eastAsia="Calibri"/>
                <w:color w:val="000000"/>
                <w:sz w:val="22"/>
                <w:szCs w:val="22"/>
                <w:u w:val="single"/>
                <w:lang w:val="sr-Latn-RS"/>
              </w:rPr>
            </w:pPr>
            <w:r w:rsidRPr="00234ECD">
              <w:rPr>
                <w:rFonts w:eastAsia="Calibri"/>
                <w:b/>
                <w:bCs/>
                <w:color w:val="000000"/>
                <w:sz w:val="22"/>
                <w:szCs w:val="22"/>
                <w:u w:val="single"/>
                <w:lang w:val="sr-Latn-RS"/>
              </w:rPr>
              <w:t>Ukupno preživljavanje</w:t>
            </w:r>
            <w:r w:rsidR="00B91A31" w:rsidRPr="00234ECD">
              <w:rPr>
                <w:rFonts w:eastAsia="Calibri"/>
                <w:b/>
                <w:bCs/>
                <w:color w:val="000000"/>
                <w:sz w:val="22"/>
                <w:szCs w:val="22"/>
                <w:u w:val="single"/>
                <w:lang w:val="sr-Latn-RS"/>
              </w:rPr>
              <w:t xml:space="preserve"> (OS)</w:t>
            </w:r>
          </w:p>
        </w:tc>
      </w:tr>
      <w:tr w:rsidR="00D857AC" w:rsidRPr="00234ECD" w14:paraId="04CAF002" w14:textId="77777777" w:rsidTr="00D857AC">
        <w:trPr>
          <w:trHeight w:val="100"/>
        </w:trPr>
        <w:tc>
          <w:tcPr>
            <w:tcW w:w="3787" w:type="dxa"/>
            <w:tcBorders>
              <w:top w:val="single" w:sz="4" w:space="0" w:color="auto"/>
              <w:left w:val="single" w:sz="4" w:space="0" w:color="auto"/>
              <w:bottom w:val="single" w:sz="4" w:space="0" w:color="auto"/>
              <w:right w:val="single" w:sz="4" w:space="0" w:color="auto"/>
            </w:tcBorders>
            <w:hideMark/>
          </w:tcPr>
          <w:p w14:paraId="7794E5C5" w14:textId="396A8B98"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Medijana OS (95% CI), m</w:t>
            </w:r>
            <w:r w:rsidR="002A78A2" w:rsidRPr="00234ECD">
              <w:rPr>
                <w:rFonts w:eastAsia="Calibri"/>
                <w:color w:val="000000"/>
                <w:sz w:val="22"/>
                <w:szCs w:val="22"/>
                <w:lang w:val="sr-Latn-RS"/>
              </w:rPr>
              <w:t>j</w:t>
            </w:r>
            <w:r w:rsidRPr="00234ECD">
              <w:rPr>
                <w:rFonts w:eastAsia="Calibri"/>
                <w:color w:val="000000"/>
                <w:sz w:val="22"/>
                <w:szCs w:val="22"/>
                <w:lang w:val="sr-Latn-RS"/>
              </w:rPr>
              <w:t>eseci</w:t>
            </w:r>
          </w:p>
        </w:tc>
        <w:tc>
          <w:tcPr>
            <w:tcW w:w="2978" w:type="dxa"/>
            <w:tcBorders>
              <w:top w:val="single" w:sz="4" w:space="0" w:color="auto"/>
              <w:left w:val="single" w:sz="4" w:space="0" w:color="auto"/>
              <w:bottom w:val="single" w:sz="4" w:space="0" w:color="auto"/>
              <w:right w:val="single" w:sz="4" w:space="0" w:color="auto"/>
            </w:tcBorders>
            <w:hideMark/>
          </w:tcPr>
          <w:p w14:paraId="263F9EAA"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30,3 (14,6; NP)</w:t>
            </w:r>
          </w:p>
        </w:tc>
        <w:tc>
          <w:tcPr>
            <w:tcW w:w="2977" w:type="dxa"/>
            <w:tcBorders>
              <w:top w:val="single" w:sz="4" w:space="0" w:color="auto"/>
              <w:left w:val="single" w:sz="4" w:space="0" w:color="auto"/>
              <w:bottom w:val="single" w:sz="4" w:space="0" w:color="auto"/>
              <w:right w:val="single" w:sz="4" w:space="0" w:color="auto"/>
            </w:tcBorders>
            <w:hideMark/>
          </w:tcPr>
          <w:p w14:paraId="71B696FA"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21,0 (16,3; 27,0)</w:t>
            </w:r>
          </w:p>
        </w:tc>
      </w:tr>
      <w:tr w:rsidR="00D857AC" w:rsidRPr="00234ECD" w14:paraId="5C89B748" w14:textId="77777777" w:rsidTr="00D857AC">
        <w:trPr>
          <w:trHeight w:val="111"/>
        </w:trPr>
        <w:tc>
          <w:tcPr>
            <w:tcW w:w="3787" w:type="dxa"/>
            <w:tcBorders>
              <w:top w:val="single" w:sz="4" w:space="0" w:color="auto"/>
              <w:left w:val="single" w:sz="4" w:space="0" w:color="auto"/>
              <w:bottom w:val="single" w:sz="4" w:space="0" w:color="auto"/>
              <w:right w:val="single" w:sz="4" w:space="0" w:color="auto"/>
            </w:tcBorders>
            <w:hideMark/>
          </w:tcPr>
          <w:p w14:paraId="78662183" w14:textId="77777777" w:rsidR="00D857AC" w:rsidRPr="00234ECD" w:rsidRDefault="00D857AC" w:rsidP="00D857AC">
            <w:pPr>
              <w:autoSpaceDE w:val="0"/>
              <w:autoSpaceDN w:val="0"/>
              <w:adjustRightInd w:val="0"/>
              <w:rPr>
                <w:rFonts w:eastAsia="Calibri"/>
                <w:color w:val="000000"/>
                <w:sz w:val="22"/>
                <w:szCs w:val="22"/>
                <w:u w:val="single"/>
                <w:lang w:val="sr-Latn-RS"/>
              </w:rPr>
            </w:pPr>
            <w:r w:rsidRPr="00234ECD">
              <w:rPr>
                <w:rFonts w:eastAsia="Calibri"/>
                <w:color w:val="000000"/>
                <w:sz w:val="22"/>
                <w:szCs w:val="22"/>
                <w:u w:val="single"/>
                <w:lang w:val="sr-Latn-RS"/>
              </w:rPr>
              <w:t xml:space="preserve">HR (95% CI); stratifikovan </w:t>
            </w:r>
            <w:r w:rsidRPr="00234ECD">
              <w:rPr>
                <w:rFonts w:eastAsia="Calibri"/>
                <w:color w:val="000000"/>
                <w:sz w:val="22"/>
                <w:szCs w:val="22"/>
                <w:u w:val="single"/>
                <w:vertAlign w:val="superscript"/>
                <w:lang w:val="sr-Latn-RS"/>
              </w:rPr>
              <w:t>b,c</w:t>
            </w:r>
          </w:p>
        </w:tc>
        <w:tc>
          <w:tcPr>
            <w:tcW w:w="5955" w:type="dxa"/>
            <w:gridSpan w:val="2"/>
            <w:tcBorders>
              <w:top w:val="single" w:sz="4" w:space="0" w:color="auto"/>
              <w:left w:val="single" w:sz="4" w:space="0" w:color="auto"/>
              <w:bottom w:val="single" w:sz="4" w:space="0" w:color="auto"/>
              <w:right w:val="single" w:sz="4" w:space="0" w:color="auto"/>
            </w:tcBorders>
            <w:hideMark/>
          </w:tcPr>
          <w:p w14:paraId="0120A5EA"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0,74 (0,47; 1,14)</w:t>
            </w:r>
          </w:p>
        </w:tc>
      </w:tr>
      <w:tr w:rsidR="00D857AC" w:rsidRPr="00234ECD" w14:paraId="530E9013" w14:textId="77777777" w:rsidTr="00D857AC">
        <w:trPr>
          <w:trHeight w:val="98"/>
        </w:trPr>
        <w:tc>
          <w:tcPr>
            <w:tcW w:w="9742" w:type="dxa"/>
            <w:gridSpan w:val="3"/>
            <w:tcBorders>
              <w:top w:val="single" w:sz="4" w:space="0" w:color="auto"/>
              <w:left w:val="single" w:sz="4" w:space="0" w:color="auto"/>
              <w:bottom w:val="single" w:sz="4" w:space="0" w:color="auto"/>
              <w:right w:val="single" w:sz="4" w:space="0" w:color="auto"/>
            </w:tcBorders>
            <w:hideMark/>
          </w:tcPr>
          <w:p w14:paraId="2A49249E"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b/>
                <w:bCs/>
                <w:color w:val="000000"/>
                <w:sz w:val="22"/>
                <w:szCs w:val="22"/>
                <w:lang w:val="sr-Latn-RS"/>
              </w:rPr>
              <w:t>Stopa objektivnog odgovora n (%) prema IRC</w:t>
            </w:r>
          </w:p>
        </w:tc>
      </w:tr>
      <w:tr w:rsidR="00D857AC" w:rsidRPr="00234ECD" w14:paraId="32393C85" w14:textId="77777777" w:rsidTr="00D857AC">
        <w:trPr>
          <w:trHeight w:val="100"/>
        </w:trPr>
        <w:tc>
          <w:tcPr>
            <w:tcW w:w="3787" w:type="dxa"/>
            <w:tcBorders>
              <w:top w:val="single" w:sz="4" w:space="0" w:color="auto"/>
              <w:left w:val="single" w:sz="4" w:space="0" w:color="auto"/>
              <w:bottom w:val="single" w:sz="4" w:space="0" w:color="auto"/>
              <w:right w:val="single" w:sz="4" w:space="0" w:color="auto"/>
            </w:tcBorders>
            <w:hideMark/>
          </w:tcPr>
          <w:p w14:paraId="70B9F819"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Potpuni odgovor </w:t>
            </w:r>
          </w:p>
        </w:tc>
        <w:tc>
          <w:tcPr>
            <w:tcW w:w="2978" w:type="dxa"/>
            <w:tcBorders>
              <w:top w:val="single" w:sz="4" w:space="0" w:color="auto"/>
              <w:left w:val="single" w:sz="4" w:space="0" w:color="auto"/>
              <w:bottom w:val="single" w:sz="4" w:space="0" w:color="auto"/>
              <w:right w:val="single" w:sz="4" w:space="0" w:color="auto"/>
            </w:tcBorders>
            <w:hideMark/>
          </w:tcPr>
          <w:p w14:paraId="296FD710"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0</w:t>
            </w:r>
          </w:p>
        </w:tc>
        <w:tc>
          <w:tcPr>
            <w:tcW w:w="2977" w:type="dxa"/>
            <w:tcBorders>
              <w:top w:val="single" w:sz="4" w:space="0" w:color="auto"/>
              <w:left w:val="single" w:sz="4" w:space="0" w:color="auto"/>
              <w:bottom w:val="single" w:sz="4" w:space="0" w:color="auto"/>
              <w:right w:val="single" w:sz="4" w:space="0" w:color="auto"/>
            </w:tcBorders>
            <w:hideMark/>
          </w:tcPr>
          <w:p w14:paraId="429A3D94"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0</w:t>
            </w:r>
          </w:p>
        </w:tc>
      </w:tr>
      <w:tr w:rsidR="00D857AC" w:rsidRPr="00234ECD" w14:paraId="2A591DEA" w14:textId="77777777" w:rsidTr="00D857AC">
        <w:trPr>
          <w:trHeight w:val="100"/>
        </w:trPr>
        <w:tc>
          <w:tcPr>
            <w:tcW w:w="3787" w:type="dxa"/>
            <w:tcBorders>
              <w:top w:val="single" w:sz="4" w:space="0" w:color="auto"/>
              <w:left w:val="single" w:sz="4" w:space="0" w:color="auto"/>
              <w:bottom w:val="single" w:sz="4" w:space="0" w:color="auto"/>
              <w:right w:val="single" w:sz="4" w:space="0" w:color="auto"/>
            </w:tcBorders>
            <w:hideMark/>
          </w:tcPr>
          <w:p w14:paraId="58D3876B"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Parcijalni odgovor</w:t>
            </w:r>
          </w:p>
        </w:tc>
        <w:tc>
          <w:tcPr>
            <w:tcW w:w="2978" w:type="dxa"/>
            <w:tcBorders>
              <w:top w:val="single" w:sz="4" w:space="0" w:color="auto"/>
              <w:left w:val="single" w:sz="4" w:space="0" w:color="auto"/>
              <w:bottom w:val="single" w:sz="4" w:space="0" w:color="auto"/>
              <w:right w:val="single" w:sz="4" w:space="0" w:color="auto"/>
            </w:tcBorders>
            <w:hideMark/>
          </w:tcPr>
          <w:p w14:paraId="45FEEA30"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16 (20)</w:t>
            </w:r>
          </w:p>
        </w:tc>
        <w:tc>
          <w:tcPr>
            <w:tcW w:w="2977" w:type="dxa"/>
            <w:tcBorders>
              <w:top w:val="single" w:sz="4" w:space="0" w:color="auto"/>
              <w:left w:val="single" w:sz="4" w:space="0" w:color="auto"/>
              <w:bottom w:val="single" w:sz="4" w:space="0" w:color="auto"/>
              <w:right w:val="single" w:sz="4" w:space="0" w:color="auto"/>
            </w:tcBorders>
            <w:hideMark/>
          </w:tcPr>
          <w:p w14:paraId="5F6B16DE"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7 (9)</w:t>
            </w:r>
          </w:p>
        </w:tc>
      </w:tr>
      <w:tr w:rsidR="00D857AC" w:rsidRPr="00234ECD" w14:paraId="119AD7C3" w14:textId="77777777" w:rsidTr="00D857AC">
        <w:trPr>
          <w:trHeight w:val="100"/>
        </w:trPr>
        <w:tc>
          <w:tcPr>
            <w:tcW w:w="3787" w:type="dxa"/>
            <w:tcBorders>
              <w:top w:val="single" w:sz="4" w:space="0" w:color="auto"/>
              <w:left w:val="single" w:sz="4" w:space="0" w:color="auto"/>
              <w:bottom w:val="single" w:sz="4" w:space="0" w:color="auto"/>
              <w:right w:val="single" w:sz="4" w:space="0" w:color="auto"/>
            </w:tcBorders>
            <w:hideMark/>
          </w:tcPr>
          <w:p w14:paraId="37DD56A0"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ORR (samo parcijalni odgovor) </w:t>
            </w:r>
          </w:p>
        </w:tc>
        <w:tc>
          <w:tcPr>
            <w:tcW w:w="2978" w:type="dxa"/>
            <w:tcBorders>
              <w:top w:val="single" w:sz="4" w:space="0" w:color="auto"/>
              <w:left w:val="single" w:sz="4" w:space="0" w:color="auto"/>
              <w:bottom w:val="single" w:sz="4" w:space="0" w:color="auto"/>
              <w:right w:val="single" w:sz="4" w:space="0" w:color="auto"/>
            </w:tcBorders>
            <w:hideMark/>
          </w:tcPr>
          <w:p w14:paraId="41510FF1"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16 (20)</w:t>
            </w:r>
          </w:p>
        </w:tc>
        <w:tc>
          <w:tcPr>
            <w:tcW w:w="2977" w:type="dxa"/>
            <w:tcBorders>
              <w:top w:val="single" w:sz="4" w:space="0" w:color="auto"/>
              <w:left w:val="single" w:sz="4" w:space="0" w:color="auto"/>
              <w:bottom w:val="single" w:sz="4" w:space="0" w:color="auto"/>
              <w:right w:val="single" w:sz="4" w:space="0" w:color="auto"/>
            </w:tcBorders>
            <w:hideMark/>
          </w:tcPr>
          <w:p w14:paraId="5DDD65E5"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7 (9)</w:t>
            </w:r>
          </w:p>
        </w:tc>
      </w:tr>
      <w:tr w:rsidR="00D857AC" w:rsidRPr="00234ECD" w14:paraId="19793533" w14:textId="77777777" w:rsidTr="00D857AC">
        <w:trPr>
          <w:trHeight w:val="100"/>
        </w:trPr>
        <w:tc>
          <w:tcPr>
            <w:tcW w:w="3787" w:type="dxa"/>
            <w:tcBorders>
              <w:top w:val="single" w:sz="4" w:space="0" w:color="auto"/>
              <w:left w:val="single" w:sz="4" w:space="0" w:color="auto"/>
              <w:bottom w:val="single" w:sz="4" w:space="0" w:color="auto"/>
              <w:right w:val="single" w:sz="4" w:space="0" w:color="auto"/>
            </w:tcBorders>
            <w:hideMark/>
          </w:tcPr>
          <w:p w14:paraId="7C5417F2"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Stabilna bolest </w:t>
            </w:r>
          </w:p>
        </w:tc>
        <w:tc>
          <w:tcPr>
            <w:tcW w:w="2978" w:type="dxa"/>
            <w:tcBorders>
              <w:top w:val="single" w:sz="4" w:space="0" w:color="auto"/>
              <w:left w:val="single" w:sz="4" w:space="0" w:color="auto"/>
              <w:bottom w:val="single" w:sz="4" w:space="0" w:color="auto"/>
              <w:right w:val="single" w:sz="4" w:space="0" w:color="auto"/>
            </w:tcBorders>
            <w:hideMark/>
          </w:tcPr>
          <w:p w14:paraId="4127A363"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43 (54)</w:t>
            </w:r>
          </w:p>
        </w:tc>
        <w:tc>
          <w:tcPr>
            <w:tcW w:w="2977" w:type="dxa"/>
            <w:tcBorders>
              <w:top w:val="single" w:sz="4" w:space="0" w:color="auto"/>
              <w:left w:val="single" w:sz="4" w:space="0" w:color="auto"/>
              <w:bottom w:val="single" w:sz="4" w:space="0" w:color="auto"/>
              <w:right w:val="single" w:sz="4" w:space="0" w:color="auto"/>
            </w:tcBorders>
            <w:hideMark/>
          </w:tcPr>
          <w:p w14:paraId="28B3EC33"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30 (38)</w:t>
            </w:r>
          </w:p>
        </w:tc>
      </w:tr>
      <w:tr w:rsidR="00D857AC" w:rsidRPr="00234ECD" w14:paraId="342EBB0E" w14:textId="77777777" w:rsidTr="00D857AC">
        <w:trPr>
          <w:trHeight w:val="100"/>
        </w:trPr>
        <w:tc>
          <w:tcPr>
            <w:tcW w:w="3787" w:type="dxa"/>
            <w:tcBorders>
              <w:top w:val="single" w:sz="4" w:space="0" w:color="auto"/>
              <w:left w:val="single" w:sz="4" w:space="0" w:color="auto"/>
              <w:bottom w:val="single" w:sz="4" w:space="0" w:color="auto"/>
              <w:right w:val="single" w:sz="4" w:space="0" w:color="auto"/>
            </w:tcBorders>
            <w:hideMark/>
          </w:tcPr>
          <w:p w14:paraId="59FAA2BE"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lastRenderedPageBreak/>
              <w:t xml:space="preserve">Progresivna bolest </w:t>
            </w:r>
          </w:p>
        </w:tc>
        <w:tc>
          <w:tcPr>
            <w:tcW w:w="2978" w:type="dxa"/>
            <w:tcBorders>
              <w:top w:val="single" w:sz="4" w:space="0" w:color="auto"/>
              <w:left w:val="single" w:sz="4" w:space="0" w:color="auto"/>
              <w:bottom w:val="single" w:sz="4" w:space="0" w:color="auto"/>
              <w:right w:val="single" w:sz="4" w:space="0" w:color="auto"/>
            </w:tcBorders>
            <w:hideMark/>
          </w:tcPr>
          <w:p w14:paraId="7F423C38"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14 (18)</w:t>
            </w:r>
          </w:p>
        </w:tc>
        <w:tc>
          <w:tcPr>
            <w:tcW w:w="2977" w:type="dxa"/>
            <w:tcBorders>
              <w:top w:val="single" w:sz="4" w:space="0" w:color="auto"/>
              <w:left w:val="single" w:sz="4" w:space="0" w:color="auto"/>
              <w:bottom w:val="single" w:sz="4" w:space="0" w:color="auto"/>
              <w:right w:val="single" w:sz="4" w:space="0" w:color="auto"/>
            </w:tcBorders>
            <w:hideMark/>
          </w:tcPr>
          <w:p w14:paraId="2B0D3172"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23 (29)</w:t>
            </w:r>
          </w:p>
        </w:tc>
      </w:tr>
      <w:tr w:rsidR="00D857AC" w:rsidRPr="00234ECD" w14:paraId="249ABAA9" w14:textId="77777777" w:rsidTr="00D857AC">
        <w:trPr>
          <w:trHeight w:val="98"/>
        </w:trPr>
        <w:tc>
          <w:tcPr>
            <w:tcW w:w="9742" w:type="dxa"/>
            <w:gridSpan w:val="3"/>
            <w:tcBorders>
              <w:top w:val="single" w:sz="4" w:space="0" w:color="auto"/>
              <w:left w:val="single" w:sz="4" w:space="0" w:color="auto"/>
              <w:bottom w:val="single" w:sz="4" w:space="0" w:color="auto"/>
              <w:right w:val="single" w:sz="4" w:space="0" w:color="auto"/>
            </w:tcBorders>
            <w:hideMark/>
          </w:tcPr>
          <w:p w14:paraId="7FCADD5A"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b/>
                <w:bCs/>
                <w:color w:val="000000"/>
                <w:sz w:val="22"/>
                <w:szCs w:val="22"/>
                <w:lang w:val="sr-Latn-RS"/>
              </w:rPr>
              <w:t>Stopa objektivnog odgovora n (%) prema ispitivaču</w:t>
            </w:r>
          </w:p>
        </w:tc>
      </w:tr>
      <w:tr w:rsidR="00D857AC" w:rsidRPr="00234ECD" w14:paraId="291D8854" w14:textId="77777777" w:rsidTr="00D857AC">
        <w:trPr>
          <w:trHeight w:val="100"/>
        </w:trPr>
        <w:tc>
          <w:tcPr>
            <w:tcW w:w="3787" w:type="dxa"/>
            <w:tcBorders>
              <w:top w:val="single" w:sz="4" w:space="0" w:color="auto"/>
              <w:left w:val="single" w:sz="4" w:space="0" w:color="auto"/>
              <w:bottom w:val="single" w:sz="4" w:space="0" w:color="auto"/>
              <w:right w:val="single" w:sz="4" w:space="0" w:color="auto"/>
            </w:tcBorders>
            <w:hideMark/>
          </w:tcPr>
          <w:p w14:paraId="5EF7ADB3"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Potpuni odgovor </w:t>
            </w:r>
          </w:p>
        </w:tc>
        <w:tc>
          <w:tcPr>
            <w:tcW w:w="2978" w:type="dxa"/>
            <w:tcBorders>
              <w:top w:val="single" w:sz="4" w:space="0" w:color="auto"/>
              <w:left w:val="single" w:sz="4" w:space="0" w:color="auto"/>
              <w:bottom w:val="single" w:sz="4" w:space="0" w:color="auto"/>
              <w:right w:val="single" w:sz="4" w:space="0" w:color="auto"/>
            </w:tcBorders>
            <w:hideMark/>
          </w:tcPr>
          <w:p w14:paraId="5ECF90BB"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1 (1)</w:t>
            </w:r>
          </w:p>
        </w:tc>
        <w:tc>
          <w:tcPr>
            <w:tcW w:w="2977" w:type="dxa"/>
            <w:tcBorders>
              <w:top w:val="single" w:sz="4" w:space="0" w:color="auto"/>
              <w:left w:val="single" w:sz="4" w:space="0" w:color="auto"/>
              <w:bottom w:val="single" w:sz="4" w:space="0" w:color="auto"/>
              <w:right w:val="single" w:sz="4" w:space="0" w:color="auto"/>
            </w:tcBorders>
            <w:hideMark/>
          </w:tcPr>
          <w:p w14:paraId="5BF03491"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0</w:t>
            </w:r>
          </w:p>
        </w:tc>
      </w:tr>
      <w:tr w:rsidR="00D857AC" w:rsidRPr="00234ECD" w14:paraId="35F25153" w14:textId="77777777" w:rsidTr="00D857AC">
        <w:trPr>
          <w:trHeight w:val="100"/>
        </w:trPr>
        <w:tc>
          <w:tcPr>
            <w:tcW w:w="3787" w:type="dxa"/>
            <w:tcBorders>
              <w:top w:val="single" w:sz="4" w:space="0" w:color="auto"/>
              <w:left w:val="single" w:sz="4" w:space="0" w:color="auto"/>
              <w:bottom w:val="single" w:sz="4" w:space="0" w:color="auto"/>
              <w:right w:val="single" w:sz="4" w:space="0" w:color="auto"/>
            </w:tcBorders>
            <w:hideMark/>
          </w:tcPr>
          <w:p w14:paraId="6D03B656"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Parcijalni odgovor</w:t>
            </w:r>
          </w:p>
        </w:tc>
        <w:tc>
          <w:tcPr>
            <w:tcW w:w="2978" w:type="dxa"/>
            <w:tcBorders>
              <w:top w:val="single" w:sz="4" w:space="0" w:color="auto"/>
              <w:left w:val="single" w:sz="4" w:space="0" w:color="auto"/>
              <w:bottom w:val="single" w:sz="4" w:space="0" w:color="auto"/>
              <w:right w:val="single" w:sz="4" w:space="0" w:color="auto"/>
            </w:tcBorders>
            <w:hideMark/>
          </w:tcPr>
          <w:p w14:paraId="4276E772"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25 (32)</w:t>
            </w:r>
          </w:p>
        </w:tc>
        <w:tc>
          <w:tcPr>
            <w:tcW w:w="2977" w:type="dxa"/>
            <w:tcBorders>
              <w:top w:val="single" w:sz="4" w:space="0" w:color="auto"/>
              <w:left w:val="single" w:sz="4" w:space="0" w:color="auto"/>
              <w:bottom w:val="single" w:sz="4" w:space="0" w:color="auto"/>
              <w:right w:val="single" w:sz="4" w:space="0" w:color="auto"/>
            </w:tcBorders>
            <w:hideMark/>
          </w:tcPr>
          <w:p w14:paraId="6699D0F6"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9 (12)</w:t>
            </w:r>
          </w:p>
        </w:tc>
      </w:tr>
      <w:tr w:rsidR="00D857AC" w:rsidRPr="00234ECD" w14:paraId="1DB856C9" w14:textId="77777777" w:rsidTr="00D857AC">
        <w:trPr>
          <w:trHeight w:val="100"/>
        </w:trPr>
        <w:tc>
          <w:tcPr>
            <w:tcW w:w="3787" w:type="dxa"/>
            <w:tcBorders>
              <w:top w:val="single" w:sz="4" w:space="0" w:color="auto"/>
              <w:left w:val="single" w:sz="4" w:space="0" w:color="auto"/>
              <w:bottom w:val="single" w:sz="4" w:space="0" w:color="auto"/>
              <w:right w:val="single" w:sz="4" w:space="0" w:color="auto"/>
            </w:tcBorders>
            <w:hideMark/>
          </w:tcPr>
          <w:p w14:paraId="2C269C78"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ORR (samo parcijalni odgovor) </w:t>
            </w:r>
          </w:p>
        </w:tc>
        <w:tc>
          <w:tcPr>
            <w:tcW w:w="2978" w:type="dxa"/>
            <w:tcBorders>
              <w:top w:val="single" w:sz="4" w:space="0" w:color="auto"/>
              <w:left w:val="single" w:sz="4" w:space="0" w:color="auto"/>
              <w:bottom w:val="single" w:sz="4" w:space="0" w:color="auto"/>
              <w:right w:val="single" w:sz="4" w:space="0" w:color="auto"/>
            </w:tcBorders>
            <w:hideMark/>
          </w:tcPr>
          <w:p w14:paraId="604D6DBA"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26 (33)</w:t>
            </w:r>
          </w:p>
        </w:tc>
        <w:tc>
          <w:tcPr>
            <w:tcW w:w="2977" w:type="dxa"/>
            <w:tcBorders>
              <w:top w:val="single" w:sz="4" w:space="0" w:color="auto"/>
              <w:left w:val="single" w:sz="4" w:space="0" w:color="auto"/>
              <w:bottom w:val="single" w:sz="4" w:space="0" w:color="auto"/>
              <w:right w:val="single" w:sz="4" w:space="0" w:color="auto"/>
            </w:tcBorders>
            <w:hideMark/>
          </w:tcPr>
          <w:p w14:paraId="15775303"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9 (12)</w:t>
            </w:r>
          </w:p>
        </w:tc>
      </w:tr>
      <w:tr w:rsidR="00D857AC" w:rsidRPr="00234ECD" w14:paraId="4CE8738A" w14:textId="77777777" w:rsidTr="00D857AC">
        <w:trPr>
          <w:trHeight w:val="100"/>
        </w:trPr>
        <w:tc>
          <w:tcPr>
            <w:tcW w:w="3787" w:type="dxa"/>
            <w:tcBorders>
              <w:top w:val="single" w:sz="4" w:space="0" w:color="auto"/>
              <w:left w:val="single" w:sz="4" w:space="0" w:color="auto"/>
              <w:bottom w:val="single" w:sz="4" w:space="0" w:color="auto"/>
              <w:right w:val="single" w:sz="4" w:space="0" w:color="auto"/>
            </w:tcBorders>
            <w:hideMark/>
          </w:tcPr>
          <w:p w14:paraId="43E61571"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Stabilna bolest </w:t>
            </w:r>
          </w:p>
        </w:tc>
        <w:tc>
          <w:tcPr>
            <w:tcW w:w="2978" w:type="dxa"/>
            <w:tcBorders>
              <w:top w:val="single" w:sz="4" w:space="0" w:color="auto"/>
              <w:left w:val="single" w:sz="4" w:space="0" w:color="auto"/>
              <w:bottom w:val="single" w:sz="4" w:space="0" w:color="auto"/>
              <w:right w:val="single" w:sz="4" w:space="0" w:color="auto"/>
            </w:tcBorders>
            <w:hideMark/>
          </w:tcPr>
          <w:p w14:paraId="6CD16145"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34 (43)</w:t>
            </w:r>
          </w:p>
        </w:tc>
        <w:tc>
          <w:tcPr>
            <w:tcW w:w="2977" w:type="dxa"/>
            <w:tcBorders>
              <w:top w:val="single" w:sz="4" w:space="0" w:color="auto"/>
              <w:left w:val="single" w:sz="4" w:space="0" w:color="auto"/>
              <w:bottom w:val="single" w:sz="4" w:space="0" w:color="auto"/>
              <w:right w:val="single" w:sz="4" w:space="0" w:color="auto"/>
            </w:tcBorders>
            <w:hideMark/>
          </w:tcPr>
          <w:p w14:paraId="378D9060"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29 (37)</w:t>
            </w:r>
          </w:p>
        </w:tc>
      </w:tr>
      <w:tr w:rsidR="00D857AC" w:rsidRPr="00234ECD" w14:paraId="6212251E" w14:textId="77777777" w:rsidTr="00D857AC">
        <w:trPr>
          <w:trHeight w:val="100"/>
        </w:trPr>
        <w:tc>
          <w:tcPr>
            <w:tcW w:w="3787" w:type="dxa"/>
            <w:tcBorders>
              <w:top w:val="single" w:sz="4" w:space="0" w:color="auto"/>
              <w:left w:val="single" w:sz="4" w:space="0" w:color="auto"/>
              <w:bottom w:val="single" w:sz="4" w:space="0" w:color="auto"/>
              <w:right w:val="single" w:sz="4" w:space="0" w:color="auto"/>
            </w:tcBorders>
            <w:hideMark/>
          </w:tcPr>
          <w:p w14:paraId="0CA5459C"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Progresivna bolest </w:t>
            </w:r>
          </w:p>
        </w:tc>
        <w:tc>
          <w:tcPr>
            <w:tcW w:w="2978" w:type="dxa"/>
            <w:tcBorders>
              <w:top w:val="single" w:sz="4" w:space="0" w:color="auto"/>
              <w:left w:val="single" w:sz="4" w:space="0" w:color="auto"/>
              <w:bottom w:val="single" w:sz="4" w:space="0" w:color="auto"/>
              <w:right w:val="single" w:sz="4" w:space="0" w:color="auto"/>
            </w:tcBorders>
            <w:hideMark/>
          </w:tcPr>
          <w:p w14:paraId="3B6C284C"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14 (18)</w:t>
            </w:r>
          </w:p>
        </w:tc>
        <w:tc>
          <w:tcPr>
            <w:tcW w:w="2977" w:type="dxa"/>
            <w:tcBorders>
              <w:top w:val="single" w:sz="4" w:space="0" w:color="auto"/>
              <w:left w:val="single" w:sz="4" w:space="0" w:color="auto"/>
              <w:bottom w:val="single" w:sz="4" w:space="0" w:color="auto"/>
              <w:right w:val="single" w:sz="4" w:space="0" w:color="auto"/>
            </w:tcBorders>
            <w:hideMark/>
          </w:tcPr>
          <w:p w14:paraId="3F52AF0C" w14:textId="77777777" w:rsidR="00D857AC" w:rsidRPr="00234ECD" w:rsidRDefault="00D857AC" w:rsidP="00D857AC">
            <w:pPr>
              <w:autoSpaceDE w:val="0"/>
              <w:autoSpaceDN w:val="0"/>
              <w:adjustRightInd w:val="0"/>
              <w:jc w:val="center"/>
              <w:rPr>
                <w:rFonts w:eastAsia="Calibri"/>
                <w:color w:val="000000"/>
                <w:sz w:val="22"/>
                <w:szCs w:val="22"/>
                <w:lang w:val="sr-Latn-RS"/>
              </w:rPr>
            </w:pPr>
            <w:r w:rsidRPr="00234ECD">
              <w:rPr>
                <w:rFonts w:eastAsia="Calibri"/>
                <w:color w:val="000000"/>
                <w:sz w:val="22"/>
                <w:szCs w:val="22"/>
                <w:lang w:val="sr-Latn-RS"/>
              </w:rPr>
              <w:t>19 (24)</w:t>
            </w:r>
          </w:p>
        </w:tc>
      </w:tr>
    </w:tbl>
    <w:p w14:paraId="6D26CDDB" w14:textId="77777777" w:rsidR="00D857AC" w:rsidRPr="00234ECD" w:rsidRDefault="00D857AC" w:rsidP="00D857AC">
      <w:pPr>
        <w:jc w:val="both"/>
        <w:rPr>
          <w:rFonts w:eastAsia="Calibri"/>
          <w:sz w:val="22"/>
          <w:szCs w:val="22"/>
          <w:lang w:val="sr-Latn-RS"/>
        </w:rPr>
      </w:pPr>
    </w:p>
    <w:p w14:paraId="04B44239" w14:textId="77777777" w:rsidR="00D857AC" w:rsidRPr="00234ECD" w:rsidRDefault="00D857AC" w:rsidP="00D857AC">
      <w:pPr>
        <w:jc w:val="both"/>
        <w:rPr>
          <w:rFonts w:eastAsia="Calibri"/>
          <w:sz w:val="22"/>
          <w:szCs w:val="22"/>
          <w:lang w:val="sr-Latn-RS"/>
        </w:rPr>
      </w:pPr>
      <w:r w:rsidRPr="00234ECD">
        <w:rPr>
          <w:rFonts w:eastAsia="Calibri"/>
          <w:sz w:val="22"/>
          <w:szCs w:val="22"/>
          <w:vertAlign w:val="superscript"/>
          <w:lang w:val="sr-Latn-RS"/>
        </w:rPr>
        <w:t>a</w:t>
      </w:r>
      <w:r w:rsidRPr="00234ECD">
        <w:rPr>
          <w:rFonts w:eastAsia="Calibri"/>
          <w:sz w:val="22"/>
          <w:szCs w:val="22"/>
          <w:lang w:val="sr-Latn-RS"/>
        </w:rPr>
        <w:t xml:space="preserve"> u skladu sa EU cenzurom</w:t>
      </w:r>
    </w:p>
    <w:p w14:paraId="125D3B55" w14:textId="7964C807" w:rsidR="00D857AC" w:rsidRPr="00234ECD" w:rsidRDefault="00D857AC" w:rsidP="00D857AC">
      <w:pPr>
        <w:jc w:val="both"/>
        <w:rPr>
          <w:rFonts w:eastAsia="Calibri"/>
          <w:sz w:val="22"/>
          <w:szCs w:val="22"/>
          <w:lang w:val="sr-Latn-RS"/>
        </w:rPr>
      </w:pPr>
      <w:r w:rsidRPr="00234ECD">
        <w:rPr>
          <w:rFonts w:eastAsia="Calibri"/>
          <w:sz w:val="22"/>
          <w:szCs w:val="22"/>
          <w:vertAlign w:val="superscript"/>
          <w:lang w:val="sr-Latn-RS"/>
        </w:rPr>
        <w:t>b</w:t>
      </w:r>
      <w:r w:rsidRPr="00234ECD">
        <w:rPr>
          <w:rFonts w:eastAsia="Calibri"/>
          <w:sz w:val="22"/>
          <w:szCs w:val="22"/>
          <w:lang w:val="sr-Latn-RS"/>
        </w:rPr>
        <w:t xml:space="preserve"> Faktori stratifikacije prema IxRS (eng</w:t>
      </w:r>
      <w:r w:rsidR="00781CEA" w:rsidRPr="00234ECD">
        <w:rPr>
          <w:rFonts w:eastAsia="Calibri"/>
          <w:sz w:val="22"/>
          <w:szCs w:val="22"/>
          <w:lang w:val="sr-Latn-RS"/>
        </w:rPr>
        <w:t>l</w:t>
      </w:r>
      <w:r w:rsidRPr="00234ECD">
        <w:rPr>
          <w:rFonts w:eastAsia="Calibri"/>
          <w:sz w:val="22"/>
          <w:szCs w:val="22"/>
          <w:lang w:val="sr-Latn-RS"/>
        </w:rPr>
        <w:t xml:space="preserve">. </w:t>
      </w:r>
      <w:r w:rsidRPr="00234ECD">
        <w:rPr>
          <w:rFonts w:eastAsia="Calibri"/>
          <w:i/>
          <w:sz w:val="22"/>
          <w:szCs w:val="22"/>
          <w:lang w:val="sr-Latn-RS"/>
        </w:rPr>
        <w:t>Interactive Voice/Web Response System</w:t>
      </w:r>
      <w:r w:rsidRPr="00234ECD">
        <w:rPr>
          <w:rFonts w:eastAsia="Calibri"/>
          <w:sz w:val="22"/>
          <w:szCs w:val="22"/>
          <w:lang w:val="sr-Latn-RS"/>
        </w:rPr>
        <w:t xml:space="preserve"> - interaktivni sistem govornog/mrežnog odgovora) obuhvataju IMDC kategorije rizika (srednji rizik, loš rizik i metastaze na kostima (da, ne))</w:t>
      </w:r>
    </w:p>
    <w:p w14:paraId="1DB9EF51" w14:textId="1D9A7559" w:rsidR="00D857AC" w:rsidRPr="00234ECD" w:rsidRDefault="00D857AC" w:rsidP="00D857AC">
      <w:pPr>
        <w:jc w:val="both"/>
        <w:rPr>
          <w:rFonts w:eastAsia="Calibri"/>
          <w:sz w:val="22"/>
          <w:szCs w:val="22"/>
          <w:lang w:val="sr-Latn-RS"/>
        </w:rPr>
      </w:pPr>
      <w:r w:rsidRPr="00234ECD">
        <w:rPr>
          <w:rFonts w:eastAsia="Calibri"/>
          <w:sz w:val="22"/>
          <w:szCs w:val="22"/>
          <w:vertAlign w:val="superscript"/>
          <w:lang w:val="sr-Latn-RS"/>
        </w:rPr>
        <w:t>c</w:t>
      </w:r>
      <w:r w:rsidRPr="00234ECD">
        <w:rPr>
          <w:rFonts w:eastAsia="Calibri"/>
          <w:sz w:val="22"/>
          <w:szCs w:val="22"/>
          <w:lang w:val="sr-Latn-RS"/>
        </w:rPr>
        <w:t xml:space="preserve"> Proc</w:t>
      </w:r>
      <w:r w:rsidR="005144DD" w:rsidRPr="00234ECD">
        <w:rPr>
          <w:rFonts w:eastAsia="Calibri"/>
          <w:sz w:val="22"/>
          <w:szCs w:val="22"/>
          <w:lang w:val="sr-Latn-RS"/>
        </w:rPr>
        <w:t>ij</w:t>
      </w:r>
      <w:r w:rsidRPr="00234ECD">
        <w:rPr>
          <w:rFonts w:eastAsia="Calibri"/>
          <w:sz w:val="22"/>
          <w:szCs w:val="22"/>
          <w:lang w:val="sr-Latn-RS"/>
        </w:rPr>
        <w:t xml:space="preserve">enjeno na osnovu </w:t>
      </w:r>
      <w:r w:rsidRPr="00234ECD">
        <w:rPr>
          <w:rFonts w:eastAsia="Calibri"/>
          <w:i/>
          <w:sz w:val="22"/>
          <w:szCs w:val="22"/>
          <w:lang w:val="sr-Latn-RS"/>
        </w:rPr>
        <w:t>Cox</w:t>
      </w:r>
      <w:r w:rsidRPr="00234ECD">
        <w:rPr>
          <w:rFonts w:eastAsia="Calibri"/>
          <w:sz w:val="22"/>
          <w:szCs w:val="22"/>
          <w:lang w:val="sr-Latn-RS"/>
        </w:rPr>
        <w:t>-ovog modela proporcionalnog rizika prilagođenog za faktore stratifikacije prema IxRS. Koeficijent rizika &lt;1 ukazuje na preživljavanje bez progresije bolesti u korist kabozantiniba</w:t>
      </w:r>
    </w:p>
    <w:p w14:paraId="011EBC30" w14:textId="77777777" w:rsidR="00D857AC" w:rsidRPr="00234ECD" w:rsidRDefault="00D857AC" w:rsidP="00D857AC">
      <w:pPr>
        <w:jc w:val="both"/>
        <w:rPr>
          <w:rFonts w:eastAsia="Calibri"/>
          <w:sz w:val="22"/>
          <w:szCs w:val="22"/>
          <w:lang w:val="sr-Latn-RS"/>
        </w:rPr>
      </w:pPr>
    </w:p>
    <w:p w14:paraId="1326350A" w14:textId="77777777" w:rsidR="00D857AC" w:rsidRPr="00234ECD" w:rsidRDefault="00D857AC" w:rsidP="00D857AC">
      <w:pPr>
        <w:autoSpaceDE w:val="0"/>
        <w:autoSpaceDN w:val="0"/>
        <w:adjustRightInd w:val="0"/>
        <w:jc w:val="both"/>
        <w:rPr>
          <w:rFonts w:eastAsia="Calibri"/>
          <w:color w:val="000000"/>
          <w:sz w:val="22"/>
          <w:szCs w:val="22"/>
          <w:u w:val="single"/>
          <w:lang w:val="sr-Latn-RS"/>
        </w:rPr>
      </w:pPr>
      <w:r w:rsidRPr="00234ECD">
        <w:rPr>
          <w:rFonts w:eastAsia="Calibri"/>
          <w:i/>
          <w:iCs/>
          <w:color w:val="000000"/>
          <w:sz w:val="22"/>
          <w:szCs w:val="22"/>
          <w:u w:val="single"/>
          <w:lang w:val="sr-Latn-RS"/>
        </w:rPr>
        <w:t xml:space="preserve">Randomizovano ispitivanje faze 3 kabozantiniba u kombinaciji sa nivolumabom u odnosu na sunitinib (CA2099ER) </w:t>
      </w:r>
    </w:p>
    <w:p w14:paraId="3BCD6B92" w14:textId="171C3FFB" w:rsidR="00D857AC" w:rsidRPr="00234ECD" w:rsidRDefault="00D857AC" w:rsidP="00D857AC">
      <w:pPr>
        <w:spacing w:before="120" w:after="120" w:line="280" w:lineRule="atLeast"/>
        <w:jc w:val="both"/>
        <w:rPr>
          <w:rFonts w:eastAsia="Calibri"/>
          <w:color w:val="000000"/>
          <w:sz w:val="22"/>
          <w:szCs w:val="22"/>
          <w:lang w:val="sr-Latn-RS"/>
        </w:rPr>
      </w:pPr>
      <w:r w:rsidRPr="00234ECD">
        <w:rPr>
          <w:rFonts w:eastAsia="Calibri"/>
          <w:color w:val="000000"/>
          <w:sz w:val="22"/>
          <w:szCs w:val="22"/>
          <w:lang w:val="sr-Latn-RS"/>
        </w:rPr>
        <w:t>Bezb</w:t>
      </w:r>
      <w:r w:rsidR="00736379" w:rsidRPr="00234ECD">
        <w:rPr>
          <w:rFonts w:eastAsia="Calibri"/>
          <w:color w:val="000000"/>
          <w:sz w:val="22"/>
          <w:szCs w:val="22"/>
          <w:lang w:val="sr-Latn-RS"/>
        </w:rPr>
        <w:t>j</w:t>
      </w:r>
      <w:r w:rsidRPr="00234ECD">
        <w:rPr>
          <w:rFonts w:eastAsia="Calibri"/>
          <w:color w:val="000000"/>
          <w:sz w:val="22"/>
          <w:szCs w:val="22"/>
          <w:lang w:val="sr-Latn-RS"/>
        </w:rPr>
        <w:t>ednost i efikasnost kabozantiniba u dnevnoj dozi od 40 mg oralno u kombinaciji sa nivolumabom od 240 mg intravenski svake 2 ned</w:t>
      </w:r>
      <w:r w:rsidR="00736379" w:rsidRPr="00234ECD">
        <w:rPr>
          <w:rFonts w:eastAsia="Calibri"/>
          <w:color w:val="000000"/>
          <w:sz w:val="22"/>
          <w:szCs w:val="22"/>
          <w:lang w:val="sr-Latn-RS"/>
        </w:rPr>
        <w:t>j</w:t>
      </w:r>
      <w:r w:rsidRPr="00234ECD">
        <w:rPr>
          <w:rFonts w:eastAsia="Calibri"/>
          <w:color w:val="000000"/>
          <w:sz w:val="22"/>
          <w:szCs w:val="22"/>
          <w:lang w:val="sr-Latn-RS"/>
        </w:rPr>
        <w:t>elje za prvu liniju l</w:t>
      </w:r>
      <w:r w:rsidR="00736379" w:rsidRPr="00234ECD">
        <w:rPr>
          <w:rFonts w:eastAsia="Calibri"/>
          <w:color w:val="000000"/>
          <w:sz w:val="22"/>
          <w:szCs w:val="22"/>
          <w:lang w:val="sr-Latn-RS"/>
        </w:rPr>
        <w:t>ij</w:t>
      </w:r>
      <w:r w:rsidRPr="00234ECD">
        <w:rPr>
          <w:rFonts w:eastAsia="Calibri"/>
          <w:color w:val="000000"/>
          <w:sz w:val="22"/>
          <w:szCs w:val="22"/>
          <w:lang w:val="sr-Latn-RS"/>
        </w:rPr>
        <w:t xml:space="preserve">ečenja uznapredovalog/metastatskog RCC-a procjenjivani su u fazi 3, randomizovanom, otvorenom studijom (CA2099ER). Ispitivanje je obuhvatilo pacijente (18 godina i starije) sa uznapredovalim ili metastatskim </w:t>
      </w:r>
      <w:r w:rsidR="00C52527" w:rsidRPr="00234ECD">
        <w:rPr>
          <w:rFonts w:eastAsia="Calibri"/>
          <w:color w:val="000000"/>
          <w:sz w:val="22"/>
          <w:szCs w:val="22"/>
          <w:lang w:val="sr-Latn-RS"/>
        </w:rPr>
        <w:t xml:space="preserve">svijetloćelijskim </w:t>
      </w:r>
      <w:r w:rsidRPr="00234ECD">
        <w:rPr>
          <w:rFonts w:eastAsia="Calibri"/>
          <w:color w:val="000000"/>
          <w:sz w:val="22"/>
          <w:szCs w:val="22"/>
          <w:lang w:val="sr-Latn-RS"/>
        </w:rPr>
        <w:t>RCC-om, funkcionalnim statusom prema Karnofskom (KPS) &gt; 70 %, a uključene su i m</w:t>
      </w:r>
      <w:r w:rsidR="0015535B" w:rsidRPr="00234ECD">
        <w:rPr>
          <w:rFonts w:eastAsia="Calibri"/>
          <w:color w:val="000000"/>
          <w:sz w:val="22"/>
          <w:szCs w:val="22"/>
          <w:lang w:val="sr-Latn-RS"/>
        </w:rPr>
        <w:t>j</w:t>
      </w:r>
      <w:r w:rsidRPr="00234ECD">
        <w:rPr>
          <w:rFonts w:eastAsia="Calibri"/>
          <w:color w:val="000000"/>
          <w:sz w:val="22"/>
          <w:szCs w:val="22"/>
          <w:lang w:val="sr-Latn-RS"/>
        </w:rPr>
        <w:t>erljive bolesti prema RECIST (</w:t>
      </w:r>
      <w:r w:rsidRPr="00234ECD">
        <w:rPr>
          <w:rFonts w:eastAsia="Calibri"/>
          <w:iCs/>
          <w:color w:val="000000"/>
          <w:sz w:val="22"/>
          <w:szCs w:val="22"/>
          <w:lang w:val="sr-Latn-RS"/>
        </w:rPr>
        <w:t>engl.</w:t>
      </w:r>
      <w:r w:rsidRPr="00234ECD">
        <w:rPr>
          <w:rFonts w:eastAsia="Calibri"/>
          <w:i/>
          <w:iCs/>
          <w:color w:val="000000"/>
          <w:sz w:val="22"/>
          <w:szCs w:val="22"/>
          <w:lang w:val="sr-Latn-RS"/>
        </w:rPr>
        <w:t xml:space="preserve"> Response Evaluation Criteria in Solid Tumours</w:t>
      </w:r>
      <w:r w:rsidRPr="00234ECD">
        <w:rPr>
          <w:rFonts w:eastAsia="Calibri"/>
          <w:color w:val="000000"/>
          <w:sz w:val="22"/>
          <w:szCs w:val="22"/>
          <w:lang w:val="sr-Latn-RS"/>
        </w:rPr>
        <w:t>) 1.1 bez obzira na njihov PD-L1 status ili IMDC rizičnu grupu. Ispitivanje je isključilo pacijente sa autoimunom bolešću ili drugim medicinskim stanjima koja zaht</w:t>
      </w:r>
      <w:r w:rsidR="00550852" w:rsidRPr="00234ECD">
        <w:rPr>
          <w:rFonts w:eastAsia="Calibri"/>
          <w:color w:val="000000"/>
          <w:sz w:val="22"/>
          <w:szCs w:val="22"/>
          <w:lang w:val="sr-Latn-RS"/>
        </w:rPr>
        <w:t>ij</w:t>
      </w:r>
      <w:r w:rsidRPr="00234ECD">
        <w:rPr>
          <w:rFonts w:eastAsia="Calibri"/>
          <w:color w:val="000000"/>
          <w:sz w:val="22"/>
          <w:szCs w:val="22"/>
          <w:lang w:val="sr-Latn-RS"/>
        </w:rPr>
        <w:t>evaju sistemsku imunosupresiju, pacijente koji su prethodno l</w:t>
      </w:r>
      <w:r w:rsidR="00550852" w:rsidRPr="00234ECD">
        <w:rPr>
          <w:rFonts w:eastAsia="Calibri"/>
          <w:color w:val="000000"/>
          <w:sz w:val="22"/>
          <w:szCs w:val="22"/>
          <w:lang w:val="sr-Latn-RS"/>
        </w:rPr>
        <w:t>ij</w:t>
      </w:r>
      <w:r w:rsidRPr="00234ECD">
        <w:rPr>
          <w:rFonts w:eastAsia="Calibri"/>
          <w:color w:val="000000"/>
          <w:sz w:val="22"/>
          <w:szCs w:val="22"/>
          <w:lang w:val="sr-Latn-RS"/>
        </w:rPr>
        <w:t>ečeni anti-PD-1, anti PD-L1, anti-PD-L2, anti-CD137 ili anti-CTLA-4 antit</w:t>
      </w:r>
      <w:r w:rsidR="005A0E6A" w:rsidRPr="00234ECD">
        <w:rPr>
          <w:rFonts w:eastAsia="Calibri"/>
          <w:color w:val="000000"/>
          <w:sz w:val="22"/>
          <w:szCs w:val="22"/>
          <w:lang w:val="sr-Latn-RS"/>
        </w:rPr>
        <w:t>ij</w:t>
      </w:r>
      <w:r w:rsidRPr="00234ECD">
        <w:rPr>
          <w:rFonts w:eastAsia="Calibri"/>
          <w:color w:val="000000"/>
          <w:sz w:val="22"/>
          <w:szCs w:val="22"/>
          <w:lang w:val="sr-Latn-RS"/>
        </w:rPr>
        <w:t>elom, pacijente sa slabo kontrolisanom hipertenzijom uprkos antihipertenzivnoj terapiji, pacijente sa aktivnim metastazama u mozgu i nekontrolisanom insuficijencijom nadbubrežne žl</w:t>
      </w:r>
      <w:r w:rsidR="00C40A30" w:rsidRPr="00234ECD">
        <w:rPr>
          <w:rFonts w:eastAsia="Calibri"/>
          <w:color w:val="000000"/>
          <w:sz w:val="22"/>
          <w:szCs w:val="22"/>
          <w:lang w:val="sr-Latn-RS"/>
        </w:rPr>
        <w:t>ij</w:t>
      </w:r>
      <w:r w:rsidRPr="00234ECD">
        <w:rPr>
          <w:rFonts w:eastAsia="Calibri"/>
          <w:color w:val="000000"/>
          <w:sz w:val="22"/>
          <w:szCs w:val="22"/>
          <w:lang w:val="sr-Latn-RS"/>
        </w:rPr>
        <w:t xml:space="preserve">ezde. Pacijenti su bili stratifikovani prema IMDC prognostičkom rezultatu, PD-L1 ekspresiji tumora i regiji. </w:t>
      </w:r>
    </w:p>
    <w:p w14:paraId="52A48216" w14:textId="5098862E" w:rsidR="00D857AC" w:rsidRPr="00234ECD" w:rsidRDefault="00D857AC" w:rsidP="00D857AC">
      <w:pPr>
        <w:spacing w:before="120" w:after="120" w:line="280" w:lineRule="atLeast"/>
        <w:jc w:val="both"/>
        <w:rPr>
          <w:rFonts w:eastAsia="SimSun"/>
          <w:sz w:val="22"/>
          <w:szCs w:val="22"/>
          <w:lang w:val="sr-Latn-RS"/>
        </w:rPr>
      </w:pPr>
      <w:r w:rsidRPr="00234ECD">
        <w:rPr>
          <w:rFonts w:eastAsia="SimSun"/>
          <w:sz w:val="22"/>
          <w:szCs w:val="22"/>
          <w:lang w:val="sr-Latn-RS"/>
        </w:rPr>
        <w:t>Ukupno 651 pacijent je randomizovan da prima oralno 40 mg kabozantiniba jednom dnevno u kombinaciji sa 240 mg nivolumaba (n = 323) intravenozno svake 2 ned</w:t>
      </w:r>
      <w:r w:rsidR="0081131E" w:rsidRPr="00234ECD">
        <w:rPr>
          <w:rFonts w:eastAsia="SimSun"/>
          <w:sz w:val="22"/>
          <w:szCs w:val="22"/>
          <w:lang w:val="sr-Latn-RS"/>
        </w:rPr>
        <w:t>j</w:t>
      </w:r>
      <w:r w:rsidRPr="00234ECD">
        <w:rPr>
          <w:rFonts w:eastAsia="SimSun"/>
          <w:sz w:val="22"/>
          <w:szCs w:val="22"/>
          <w:lang w:val="sr-Latn-RS"/>
        </w:rPr>
        <w:t>elje ili sunitinib (n = 328) 50 mg dnevno, oralno tokom 4 ned</w:t>
      </w:r>
      <w:r w:rsidR="00A54EC0" w:rsidRPr="00234ECD">
        <w:rPr>
          <w:rFonts w:eastAsia="SimSun"/>
          <w:sz w:val="22"/>
          <w:szCs w:val="22"/>
          <w:lang w:val="sr-Latn-RS"/>
        </w:rPr>
        <w:t>j</w:t>
      </w:r>
      <w:r w:rsidRPr="00234ECD">
        <w:rPr>
          <w:rFonts w:eastAsia="SimSun"/>
          <w:sz w:val="22"/>
          <w:szCs w:val="22"/>
          <w:lang w:val="sr-Latn-RS"/>
        </w:rPr>
        <w:t>elje, nakon čega sl</w:t>
      </w:r>
      <w:r w:rsidR="00A54EC0" w:rsidRPr="00234ECD">
        <w:rPr>
          <w:rFonts w:eastAsia="SimSun"/>
          <w:sz w:val="22"/>
          <w:szCs w:val="22"/>
          <w:lang w:val="sr-Latn-RS"/>
        </w:rPr>
        <w:t>ij</w:t>
      </w:r>
      <w:r w:rsidRPr="00234ECD">
        <w:rPr>
          <w:rFonts w:eastAsia="SimSun"/>
          <w:sz w:val="22"/>
          <w:szCs w:val="22"/>
          <w:lang w:val="sr-Latn-RS"/>
        </w:rPr>
        <w:t>edi 2 ned</w:t>
      </w:r>
      <w:r w:rsidR="00A54EC0" w:rsidRPr="00234ECD">
        <w:rPr>
          <w:rFonts w:eastAsia="SimSun"/>
          <w:sz w:val="22"/>
          <w:szCs w:val="22"/>
          <w:lang w:val="sr-Latn-RS"/>
        </w:rPr>
        <w:t>j</w:t>
      </w:r>
      <w:r w:rsidRPr="00234ECD">
        <w:rPr>
          <w:rFonts w:eastAsia="SimSun"/>
          <w:sz w:val="22"/>
          <w:szCs w:val="22"/>
          <w:lang w:val="sr-Latn-RS"/>
        </w:rPr>
        <w:t>elje odmora. L</w:t>
      </w:r>
      <w:r w:rsidR="00A54EC0" w:rsidRPr="00234ECD">
        <w:rPr>
          <w:rFonts w:eastAsia="SimSun"/>
          <w:sz w:val="22"/>
          <w:szCs w:val="22"/>
          <w:lang w:val="sr-Latn-RS"/>
        </w:rPr>
        <w:t>ij</w:t>
      </w:r>
      <w:r w:rsidRPr="00234ECD">
        <w:rPr>
          <w:rFonts w:eastAsia="SimSun"/>
          <w:sz w:val="22"/>
          <w:szCs w:val="22"/>
          <w:lang w:val="sr-Latn-RS"/>
        </w:rPr>
        <w:t>ečenje se nastavljalo do progresije bolesti ili neprihvatljive toksičnosti uz prim</w:t>
      </w:r>
      <w:r w:rsidR="00A2293E" w:rsidRPr="00234ECD">
        <w:rPr>
          <w:rFonts w:eastAsia="SimSun"/>
          <w:sz w:val="22"/>
          <w:szCs w:val="22"/>
          <w:lang w:val="sr-Latn-RS"/>
        </w:rPr>
        <w:t>j</w:t>
      </w:r>
      <w:r w:rsidRPr="00234ECD">
        <w:rPr>
          <w:rFonts w:eastAsia="SimSun"/>
          <w:sz w:val="22"/>
          <w:szCs w:val="22"/>
          <w:lang w:val="sr-Latn-RS"/>
        </w:rPr>
        <w:t>enu nivoalumaba do 24 m</w:t>
      </w:r>
      <w:r w:rsidR="00A2293E" w:rsidRPr="00234ECD">
        <w:rPr>
          <w:rFonts w:eastAsia="SimSun"/>
          <w:sz w:val="22"/>
          <w:szCs w:val="22"/>
          <w:lang w:val="sr-Latn-RS"/>
        </w:rPr>
        <w:t>j</w:t>
      </w:r>
      <w:r w:rsidRPr="00234ECD">
        <w:rPr>
          <w:rFonts w:eastAsia="SimSun"/>
          <w:sz w:val="22"/>
          <w:szCs w:val="22"/>
          <w:lang w:val="sr-Latn-RS"/>
        </w:rPr>
        <w:t>eseca. L</w:t>
      </w:r>
      <w:r w:rsidR="00A2293E" w:rsidRPr="00234ECD">
        <w:rPr>
          <w:rFonts w:eastAsia="SimSun"/>
          <w:sz w:val="22"/>
          <w:szCs w:val="22"/>
          <w:lang w:val="sr-Latn-RS"/>
        </w:rPr>
        <w:t>ij</w:t>
      </w:r>
      <w:r w:rsidRPr="00234ECD">
        <w:rPr>
          <w:rFonts w:eastAsia="SimSun"/>
          <w:sz w:val="22"/>
          <w:szCs w:val="22"/>
          <w:lang w:val="sr-Latn-RS"/>
        </w:rPr>
        <w:t>ečenje izvan početne progresije prema RECIST-u verzija 1.1, proc</w:t>
      </w:r>
      <w:r w:rsidR="00A2293E" w:rsidRPr="00234ECD">
        <w:rPr>
          <w:rFonts w:eastAsia="SimSun"/>
          <w:sz w:val="22"/>
          <w:szCs w:val="22"/>
          <w:lang w:val="sr-Latn-RS"/>
        </w:rPr>
        <w:t>ij</w:t>
      </w:r>
      <w:r w:rsidRPr="00234ECD">
        <w:rPr>
          <w:rFonts w:eastAsia="SimSun"/>
          <w:sz w:val="22"/>
          <w:szCs w:val="22"/>
          <w:lang w:val="sr-Latn-RS"/>
        </w:rPr>
        <w:t>enjeno od strane istraživača, bilo je dozvoljeno ako je pacijent imao kliničku korist i ako je podnosio ispitivani l</w:t>
      </w:r>
      <w:r w:rsidR="00A2293E" w:rsidRPr="00234ECD">
        <w:rPr>
          <w:rFonts w:eastAsia="SimSun"/>
          <w:sz w:val="22"/>
          <w:szCs w:val="22"/>
          <w:lang w:val="sr-Latn-RS"/>
        </w:rPr>
        <w:t>ij</w:t>
      </w:r>
      <w:r w:rsidRPr="00234ECD">
        <w:rPr>
          <w:rFonts w:eastAsia="SimSun"/>
          <w:sz w:val="22"/>
          <w:szCs w:val="22"/>
          <w:lang w:val="sr-Latn-RS"/>
        </w:rPr>
        <w:t>ek, kako je utvrdio istraživač. Prva proc</w:t>
      </w:r>
      <w:r w:rsidR="00A2293E" w:rsidRPr="00234ECD">
        <w:rPr>
          <w:rFonts w:eastAsia="SimSun"/>
          <w:sz w:val="22"/>
          <w:szCs w:val="22"/>
          <w:lang w:val="sr-Latn-RS"/>
        </w:rPr>
        <w:t>j</w:t>
      </w:r>
      <w:r w:rsidRPr="00234ECD">
        <w:rPr>
          <w:rFonts w:eastAsia="SimSun"/>
          <w:sz w:val="22"/>
          <w:szCs w:val="22"/>
          <w:lang w:val="sr-Latn-RS"/>
        </w:rPr>
        <w:t xml:space="preserve">ena tumora nakon početka je izvršena </w:t>
      </w:r>
      <w:r w:rsidR="003F6399" w:rsidRPr="00234ECD">
        <w:rPr>
          <w:rFonts w:eastAsia="SimSun"/>
          <w:sz w:val="22"/>
          <w:szCs w:val="22"/>
          <w:lang w:val="sr-Latn-RS"/>
        </w:rPr>
        <w:t xml:space="preserve">nakon </w:t>
      </w:r>
      <w:r w:rsidRPr="00234ECD">
        <w:rPr>
          <w:rFonts w:eastAsia="SimSun"/>
          <w:sz w:val="22"/>
          <w:szCs w:val="22"/>
          <w:lang w:val="sr-Latn-RS"/>
        </w:rPr>
        <w:t>12 ned</w:t>
      </w:r>
      <w:r w:rsidR="00A2293E" w:rsidRPr="00234ECD">
        <w:rPr>
          <w:rFonts w:eastAsia="SimSun"/>
          <w:sz w:val="22"/>
          <w:szCs w:val="22"/>
          <w:lang w:val="sr-Latn-RS"/>
        </w:rPr>
        <w:t>j</w:t>
      </w:r>
      <w:r w:rsidRPr="00234ECD">
        <w:rPr>
          <w:rFonts w:eastAsia="SimSun"/>
          <w:sz w:val="22"/>
          <w:szCs w:val="22"/>
          <w:lang w:val="sr-Latn-RS"/>
        </w:rPr>
        <w:t>elja (± 7 dana) nakon randomizacije. Naknadne proc</w:t>
      </w:r>
      <w:r w:rsidR="00951B5E" w:rsidRPr="00234ECD">
        <w:rPr>
          <w:rFonts w:eastAsia="SimSun"/>
          <w:sz w:val="22"/>
          <w:szCs w:val="22"/>
          <w:lang w:val="sr-Latn-RS"/>
        </w:rPr>
        <w:t>j</w:t>
      </w:r>
      <w:r w:rsidRPr="00234ECD">
        <w:rPr>
          <w:rFonts w:eastAsia="SimSun"/>
          <w:sz w:val="22"/>
          <w:szCs w:val="22"/>
          <w:lang w:val="sr-Latn-RS"/>
        </w:rPr>
        <w:t>ene tumora sprovođene su na svakih 6 ned</w:t>
      </w:r>
      <w:r w:rsidR="0006352D" w:rsidRPr="00234ECD">
        <w:rPr>
          <w:rFonts w:eastAsia="SimSun"/>
          <w:sz w:val="22"/>
          <w:szCs w:val="22"/>
          <w:lang w:val="sr-Latn-RS"/>
        </w:rPr>
        <w:t>j</w:t>
      </w:r>
      <w:r w:rsidRPr="00234ECD">
        <w:rPr>
          <w:rFonts w:eastAsia="SimSun"/>
          <w:sz w:val="22"/>
          <w:szCs w:val="22"/>
          <w:lang w:val="sr-Latn-RS"/>
        </w:rPr>
        <w:t>elja (± 7 dana) do 60. ned</w:t>
      </w:r>
      <w:r w:rsidR="0006352D" w:rsidRPr="00234ECD">
        <w:rPr>
          <w:rFonts w:eastAsia="SimSun"/>
          <w:sz w:val="22"/>
          <w:szCs w:val="22"/>
          <w:lang w:val="sr-Latn-RS"/>
        </w:rPr>
        <w:t>j</w:t>
      </w:r>
      <w:r w:rsidRPr="00234ECD">
        <w:rPr>
          <w:rFonts w:eastAsia="SimSun"/>
          <w:sz w:val="22"/>
          <w:szCs w:val="22"/>
          <w:lang w:val="sr-Latn-RS"/>
        </w:rPr>
        <w:t>elje, zatim svakih 12 ned</w:t>
      </w:r>
      <w:r w:rsidR="0006352D" w:rsidRPr="00234ECD">
        <w:rPr>
          <w:rFonts w:eastAsia="SimSun"/>
          <w:sz w:val="22"/>
          <w:szCs w:val="22"/>
          <w:lang w:val="sr-Latn-RS"/>
        </w:rPr>
        <w:t>j</w:t>
      </w:r>
      <w:r w:rsidRPr="00234ECD">
        <w:rPr>
          <w:rFonts w:eastAsia="SimSun"/>
          <w:sz w:val="22"/>
          <w:szCs w:val="22"/>
          <w:lang w:val="sr-Latn-RS"/>
        </w:rPr>
        <w:t>elja (± 14 dana) do radiografske progresije, potvrđeno sl</w:t>
      </w:r>
      <w:r w:rsidR="0006352D" w:rsidRPr="00234ECD">
        <w:rPr>
          <w:rFonts w:eastAsia="SimSun"/>
          <w:sz w:val="22"/>
          <w:szCs w:val="22"/>
          <w:lang w:val="sr-Latn-RS"/>
        </w:rPr>
        <w:t>ij</w:t>
      </w:r>
      <w:r w:rsidRPr="00234ECD">
        <w:rPr>
          <w:rFonts w:eastAsia="SimSun"/>
          <w:sz w:val="22"/>
          <w:szCs w:val="22"/>
          <w:lang w:val="sr-Latn-RS"/>
        </w:rPr>
        <w:t>epim nezavisnim centralnim pregledom (</w:t>
      </w:r>
      <w:r w:rsidR="00FB5B48" w:rsidRPr="00234ECD">
        <w:rPr>
          <w:rFonts w:eastAsia="SimSun"/>
          <w:sz w:val="22"/>
          <w:szCs w:val="22"/>
          <w:lang w:val="sr-Latn-RS"/>
        </w:rPr>
        <w:t xml:space="preserve">engl. </w:t>
      </w:r>
      <w:r w:rsidR="00FB5B48" w:rsidRPr="00234ECD">
        <w:rPr>
          <w:rFonts w:eastAsia="SimSun"/>
          <w:i/>
          <w:sz w:val="22"/>
          <w:szCs w:val="22"/>
          <w:lang w:val="sr-Latn-RS"/>
        </w:rPr>
        <w:t>Blinded Independent Central review</w:t>
      </w:r>
      <w:r w:rsidR="00FB5B48" w:rsidRPr="00234ECD">
        <w:rPr>
          <w:rFonts w:eastAsia="SimSun"/>
          <w:sz w:val="22"/>
          <w:szCs w:val="22"/>
          <w:lang w:val="sr-Latn-RS"/>
        </w:rPr>
        <w:t xml:space="preserve">, </w:t>
      </w:r>
      <w:r w:rsidRPr="00234ECD">
        <w:rPr>
          <w:rFonts w:eastAsia="SimSun"/>
          <w:sz w:val="22"/>
          <w:szCs w:val="22"/>
          <w:lang w:val="sr-Latn-RS"/>
        </w:rPr>
        <w:t>BICR). Primarna m</w:t>
      </w:r>
      <w:r w:rsidR="009308B5" w:rsidRPr="00234ECD">
        <w:rPr>
          <w:rFonts w:eastAsia="SimSun"/>
          <w:sz w:val="22"/>
          <w:szCs w:val="22"/>
          <w:lang w:val="sr-Latn-RS"/>
        </w:rPr>
        <w:t>j</w:t>
      </w:r>
      <w:r w:rsidRPr="00234ECD">
        <w:rPr>
          <w:rFonts w:eastAsia="SimSun"/>
          <w:sz w:val="22"/>
          <w:szCs w:val="22"/>
          <w:lang w:val="sr-Latn-RS"/>
        </w:rPr>
        <w:t>era ishoda efikasnosti bila je PFS kako je utvrđeno BICR -om. Dodatne m</w:t>
      </w:r>
      <w:r w:rsidR="009308B5" w:rsidRPr="00234ECD">
        <w:rPr>
          <w:rFonts w:eastAsia="SimSun"/>
          <w:sz w:val="22"/>
          <w:szCs w:val="22"/>
          <w:lang w:val="sr-Latn-RS"/>
        </w:rPr>
        <w:t>j</w:t>
      </w:r>
      <w:r w:rsidRPr="00234ECD">
        <w:rPr>
          <w:rFonts w:eastAsia="SimSun"/>
          <w:sz w:val="22"/>
          <w:szCs w:val="22"/>
          <w:lang w:val="sr-Latn-RS"/>
        </w:rPr>
        <w:t>ere efikasnosti uključivale su OS i ORR kao ključne sekundarne krajnje tačke.</w:t>
      </w:r>
    </w:p>
    <w:p w14:paraId="0C1F7770" w14:textId="6827DC67" w:rsidR="00D857AC" w:rsidRPr="00234ECD" w:rsidRDefault="003706F7" w:rsidP="00D857AC">
      <w:pPr>
        <w:spacing w:before="120" w:after="120" w:line="280" w:lineRule="atLeast"/>
        <w:jc w:val="both"/>
        <w:rPr>
          <w:rFonts w:eastAsia="SimSun"/>
          <w:sz w:val="22"/>
          <w:szCs w:val="22"/>
          <w:lang w:val="sr-Latn-RS"/>
        </w:rPr>
      </w:pPr>
      <w:r w:rsidRPr="00234ECD">
        <w:rPr>
          <w:rFonts w:eastAsia="SimSun"/>
          <w:sz w:val="22"/>
          <w:szCs w:val="22"/>
          <w:lang w:val="sr-Latn-RS"/>
        </w:rPr>
        <w:t xml:space="preserve">Početne </w:t>
      </w:r>
      <w:r w:rsidR="00D857AC" w:rsidRPr="00234ECD">
        <w:rPr>
          <w:rFonts w:eastAsia="SimSun"/>
          <w:sz w:val="22"/>
          <w:szCs w:val="22"/>
          <w:lang w:val="sr-Latn-RS"/>
        </w:rPr>
        <w:t>karakteristike su uglavnom bile uravnotežene između dv</w:t>
      </w:r>
      <w:r w:rsidR="009308B5" w:rsidRPr="00234ECD">
        <w:rPr>
          <w:rFonts w:eastAsia="SimSun"/>
          <w:sz w:val="22"/>
          <w:szCs w:val="22"/>
          <w:lang w:val="sr-Latn-RS"/>
        </w:rPr>
        <w:t>ij</w:t>
      </w:r>
      <w:r w:rsidR="00D857AC" w:rsidRPr="00234ECD">
        <w:rPr>
          <w:rFonts w:eastAsia="SimSun"/>
          <w:sz w:val="22"/>
          <w:szCs w:val="22"/>
          <w:lang w:val="sr-Latn-RS"/>
        </w:rPr>
        <w:t xml:space="preserve">e grupe. </w:t>
      </w:r>
      <w:r w:rsidRPr="00234ECD">
        <w:rPr>
          <w:rFonts w:eastAsia="SimSun"/>
          <w:sz w:val="22"/>
          <w:szCs w:val="22"/>
          <w:lang w:val="sr-Latn-RS"/>
        </w:rPr>
        <w:t xml:space="preserve">Medijana </w:t>
      </w:r>
      <w:r w:rsidR="00D857AC" w:rsidRPr="00234ECD">
        <w:rPr>
          <w:rFonts w:eastAsia="SimSun"/>
          <w:sz w:val="22"/>
          <w:szCs w:val="22"/>
          <w:lang w:val="sr-Latn-RS"/>
        </w:rPr>
        <w:t>starost</w:t>
      </w:r>
      <w:r w:rsidRPr="00234ECD">
        <w:rPr>
          <w:rFonts w:eastAsia="SimSun"/>
          <w:sz w:val="22"/>
          <w:szCs w:val="22"/>
          <w:lang w:val="sr-Latn-RS"/>
        </w:rPr>
        <w:t>i</w:t>
      </w:r>
      <w:r w:rsidR="00D857AC" w:rsidRPr="00234ECD">
        <w:rPr>
          <w:rFonts w:eastAsia="SimSun"/>
          <w:sz w:val="22"/>
          <w:szCs w:val="22"/>
          <w:lang w:val="sr-Latn-RS"/>
        </w:rPr>
        <w:t xml:space="preserve"> je bila 61 godina (raspon: 28-90) sa 38,4% ≥ 65 godina i 9,5% ≥ 75 godina. Većina pacijenata bili su muškarci (73,9%) i b</w:t>
      </w:r>
      <w:r w:rsidR="009308B5" w:rsidRPr="00234ECD">
        <w:rPr>
          <w:rFonts w:eastAsia="SimSun"/>
          <w:sz w:val="22"/>
          <w:szCs w:val="22"/>
          <w:lang w:val="sr-Latn-RS"/>
        </w:rPr>
        <w:t>ij</w:t>
      </w:r>
      <w:r w:rsidR="00D857AC" w:rsidRPr="00234ECD">
        <w:rPr>
          <w:rFonts w:eastAsia="SimSun"/>
          <w:sz w:val="22"/>
          <w:szCs w:val="22"/>
          <w:lang w:val="sr-Latn-RS"/>
        </w:rPr>
        <w:t xml:space="preserve">elci (81,9%). Osam procenata pacijenata bili su Azijci, 23,2% i 76,5% pacijenata imali su bazni KPS od 70 do 80%, odnosno 90 do 100%. Distribucija pacijenata prema kategorijama rizika IMDC -a bila je 22,6% povoljna, 57,6% srednja i 19,7% siromašna. Za tumorsku ekspresiju PD-L1, 72,5% pacijenata imalo je ekspresiju PD-L1 &lt;1% ili neodređenu, a 24,9% pacijenata je imalo ekspresiju PD-L1 ≥ 1%. 11,5% pacijenata imalo je tumore sa sarkomatoidnim osobinama. </w:t>
      </w:r>
      <w:r w:rsidRPr="00234ECD">
        <w:rPr>
          <w:rFonts w:eastAsia="SimSun"/>
          <w:sz w:val="22"/>
          <w:szCs w:val="22"/>
          <w:lang w:val="sr-Latn-RS"/>
        </w:rPr>
        <w:t xml:space="preserve">Medijana </w:t>
      </w:r>
      <w:r w:rsidR="00D857AC" w:rsidRPr="00234ECD">
        <w:rPr>
          <w:rFonts w:eastAsia="SimSun"/>
          <w:sz w:val="22"/>
          <w:szCs w:val="22"/>
          <w:lang w:val="sr-Latn-RS"/>
        </w:rPr>
        <w:t>trajanj</w:t>
      </w:r>
      <w:r w:rsidRPr="00234ECD">
        <w:rPr>
          <w:rFonts w:eastAsia="SimSun"/>
          <w:sz w:val="22"/>
          <w:szCs w:val="22"/>
          <w:lang w:val="sr-Latn-RS"/>
        </w:rPr>
        <w:t>a</w:t>
      </w:r>
      <w:r w:rsidR="00D857AC" w:rsidRPr="00234ECD">
        <w:rPr>
          <w:rFonts w:eastAsia="SimSun"/>
          <w:sz w:val="22"/>
          <w:szCs w:val="22"/>
          <w:lang w:val="sr-Latn-RS"/>
        </w:rPr>
        <w:t xml:space="preserve"> l</w:t>
      </w:r>
      <w:r w:rsidR="009A2F00" w:rsidRPr="00234ECD">
        <w:rPr>
          <w:rFonts w:eastAsia="SimSun"/>
          <w:sz w:val="22"/>
          <w:szCs w:val="22"/>
          <w:lang w:val="sr-Latn-RS"/>
        </w:rPr>
        <w:t>ij</w:t>
      </w:r>
      <w:r w:rsidR="00D857AC" w:rsidRPr="00234ECD">
        <w:rPr>
          <w:rFonts w:eastAsia="SimSun"/>
          <w:sz w:val="22"/>
          <w:szCs w:val="22"/>
          <w:lang w:val="sr-Latn-RS"/>
        </w:rPr>
        <w:t>ečenja iznosil</w:t>
      </w:r>
      <w:r w:rsidR="003F1199" w:rsidRPr="00234ECD">
        <w:rPr>
          <w:rFonts w:eastAsia="SimSun"/>
          <w:sz w:val="22"/>
          <w:szCs w:val="22"/>
          <w:lang w:val="sr-Latn-RS"/>
        </w:rPr>
        <w:t>a</w:t>
      </w:r>
      <w:r w:rsidR="00D857AC" w:rsidRPr="00234ECD">
        <w:rPr>
          <w:rFonts w:eastAsia="SimSun"/>
          <w:sz w:val="22"/>
          <w:szCs w:val="22"/>
          <w:lang w:val="sr-Latn-RS"/>
        </w:rPr>
        <w:t xml:space="preserve"> je 14,26 m</w:t>
      </w:r>
      <w:r w:rsidR="009A2F00" w:rsidRPr="00234ECD">
        <w:rPr>
          <w:rFonts w:eastAsia="SimSun"/>
          <w:sz w:val="22"/>
          <w:szCs w:val="22"/>
          <w:lang w:val="sr-Latn-RS"/>
        </w:rPr>
        <w:t>j</w:t>
      </w:r>
      <w:r w:rsidR="00D857AC" w:rsidRPr="00234ECD">
        <w:rPr>
          <w:rFonts w:eastAsia="SimSun"/>
          <w:sz w:val="22"/>
          <w:szCs w:val="22"/>
          <w:lang w:val="sr-Latn-RS"/>
        </w:rPr>
        <w:t>eseci (raspon: 0,2 - 27,3 m</w:t>
      </w:r>
      <w:r w:rsidR="009A2F00" w:rsidRPr="00234ECD">
        <w:rPr>
          <w:rFonts w:eastAsia="SimSun"/>
          <w:sz w:val="22"/>
          <w:szCs w:val="22"/>
          <w:lang w:val="sr-Latn-RS"/>
        </w:rPr>
        <w:t>j</w:t>
      </w:r>
      <w:r w:rsidR="00D857AC" w:rsidRPr="00234ECD">
        <w:rPr>
          <w:rFonts w:eastAsia="SimSun"/>
          <w:sz w:val="22"/>
          <w:szCs w:val="22"/>
          <w:lang w:val="sr-Latn-RS"/>
        </w:rPr>
        <w:t>eseca) kod pacijenata l</w:t>
      </w:r>
      <w:r w:rsidR="009A2F00" w:rsidRPr="00234ECD">
        <w:rPr>
          <w:rFonts w:eastAsia="SimSun"/>
          <w:sz w:val="22"/>
          <w:szCs w:val="22"/>
          <w:lang w:val="sr-Latn-RS"/>
        </w:rPr>
        <w:t>ij</w:t>
      </w:r>
      <w:r w:rsidR="00D857AC" w:rsidRPr="00234ECD">
        <w:rPr>
          <w:rFonts w:eastAsia="SimSun"/>
          <w:sz w:val="22"/>
          <w:szCs w:val="22"/>
          <w:lang w:val="sr-Latn-RS"/>
        </w:rPr>
        <w:t>ečenih kabozantinibom u kombinaciji sa nivolumabom i 9,23 m</w:t>
      </w:r>
      <w:r w:rsidR="009A2F00" w:rsidRPr="00234ECD">
        <w:rPr>
          <w:rFonts w:eastAsia="SimSun"/>
          <w:sz w:val="22"/>
          <w:szCs w:val="22"/>
          <w:lang w:val="sr-Latn-RS"/>
        </w:rPr>
        <w:t>j</w:t>
      </w:r>
      <w:r w:rsidR="00D857AC" w:rsidRPr="00234ECD">
        <w:rPr>
          <w:rFonts w:eastAsia="SimSun"/>
          <w:sz w:val="22"/>
          <w:szCs w:val="22"/>
          <w:lang w:val="sr-Latn-RS"/>
        </w:rPr>
        <w:t>eseca (raspon: 0,8 - 27,6 m</w:t>
      </w:r>
      <w:r w:rsidR="009A2F00" w:rsidRPr="00234ECD">
        <w:rPr>
          <w:rFonts w:eastAsia="SimSun"/>
          <w:sz w:val="22"/>
          <w:szCs w:val="22"/>
          <w:lang w:val="sr-Latn-RS"/>
        </w:rPr>
        <w:t>j</w:t>
      </w:r>
      <w:r w:rsidR="00D857AC" w:rsidRPr="00234ECD">
        <w:rPr>
          <w:rFonts w:eastAsia="SimSun"/>
          <w:sz w:val="22"/>
          <w:szCs w:val="22"/>
          <w:lang w:val="sr-Latn-RS"/>
        </w:rPr>
        <w:t>eseci) kod pacijenata l</w:t>
      </w:r>
      <w:r w:rsidR="00E56030" w:rsidRPr="00234ECD">
        <w:rPr>
          <w:rFonts w:eastAsia="SimSun"/>
          <w:sz w:val="22"/>
          <w:szCs w:val="22"/>
          <w:lang w:val="sr-Latn-RS"/>
        </w:rPr>
        <w:t>ij</w:t>
      </w:r>
      <w:r w:rsidR="00D857AC" w:rsidRPr="00234ECD">
        <w:rPr>
          <w:rFonts w:eastAsia="SimSun"/>
          <w:sz w:val="22"/>
          <w:szCs w:val="22"/>
          <w:lang w:val="sr-Latn-RS"/>
        </w:rPr>
        <w:t>ečenih sunitinibom.</w:t>
      </w:r>
    </w:p>
    <w:p w14:paraId="2E35B751" w14:textId="3B1878C0" w:rsidR="00D857AC" w:rsidRPr="00234ECD" w:rsidRDefault="00D857AC" w:rsidP="00D857AC">
      <w:pPr>
        <w:spacing w:before="120" w:after="120" w:line="280" w:lineRule="atLeast"/>
        <w:jc w:val="both"/>
        <w:rPr>
          <w:rFonts w:eastAsia="SimSun"/>
          <w:sz w:val="22"/>
          <w:szCs w:val="22"/>
          <w:lang w:val="sr-Latn-RS"/>
        </w:rPr>
      </w:pPr>
      <w:r w:rsidRPr="00234ECD">
        <w:rPr>
          <w:rFonts w:eastAsia="SimSun"/>
          <w:sz w:val="22"/>
          <w:szCs w:val="22"/>
          <w:lang w:val="sr-Latn-RS"/>
        </w:rPr>
        <w:lastRenderedPageBreak/>
        <w:t xml:space="preserve">Studija je pokazala statistički značajnu korist u PFS, OS i ORR za pacijente randomizovane </w:t>
      </w:r>
      <w:r w:rsidR="003706F7" w:rsidRPr="00234ECD">
        <w:rPr>
          <w:rFonts w:eastAsia="SimSun"/>
          <w:sz w:val="22"/>
          <w:szCs w:val="22"/>
          <w:lang w:val="sr-Latn-RS"/>
        </w:rPr>
        <w:t xml:space="preserve">za </w:t>
      </w:r>
      <w:r w:rsidRPr="00234ECD">
        <w:rPr>
          <w:rFonts w:eastAsia="SimSun"/>
          <w:sz w:val="22"/>
          <w:szCs w:val="22"/>
          <w:lang w:val="sr-Latn-RS"/>
        </w:rPr>
        <w:t>prim</w:t>
      </w:r>
      <w:r w:rsidR="00E56030" w:rsidRPr="00234ECD">
        <w:rPr>
          <w:rFonts w:eastAsia="SimSun"/>
          <w:sz w:val="22"/>
          <w:szCs w:val="22"/>
          <w:lang w:val="sr-Latn-RS"/>
        </w:rPr>
        <w:t>j</w:t>
      </w:r>
      <w:r w:rsidRPr="00234ECD">
        <w:rPr>
          <w:rFonts w:eastAsia="SimSun"/>
          <w:sz w:val="22"/>
          <w:szCs w:val="22"/>
          <w:lang w:val="sr-Latn-RS"/>
        </w:rPr>
        <w:t>enu kabozantiniba u kombinaciji sa nivolumabom u poređenju sa sunitinibom.</w:t>
      </w:r>
    </w:p>
    <w:p w14:paraId="24FC435F" w14:textId="77F1ED48" w:rsidR="00322B0D" w:rsidRPr="00234ECD" w:rsidRDefault="00D857AC" w:rsidP="00D857AC">
      <w:pPr>
        <w:spacing w:before="120" w:after="120" w:line="280" w:lineRule="atLeast"/>
        <w:jc w:val="both"/>
        <w:rPr>
          <w:rFonts w:eastAsia="SimSun"/>
          <w:sz w:val="22"/>
          <w:szCs w:val="22"/>
          <w:lang w:val="sr-Latn-RS"/>
        </w:rPr>
      </w:pPr>
      <w:r w:rsidRPr="00234ECD">
        <w:rPr>
          <w:rFonts w:eastAsia="SimSun"/>
          <w:sz w:val="22"/>
          <w:szCs w:val="22"/>
          <w:lang w:val="sr-Latn-RS"/>
        </w:rPr>
        <w:t>Rezultati efikasnosti primarne analize (minimalno praćenje 10,6 m</w:t>
      </w:r>
      <w:r w:rsidR="00E56030" w:rsidRPr="00234ECD">
        <w:rPr>
          <w:rFonts w:eastAsia="SimSun"/>
          <w:sz w:val="22"/>
          <w:szCs w:val="22"/>
          <w:lang w:val="sr-Latn-RS"/>
        </w:rPr>
        <w:t>j</w:t>
      </w:r>
      <w:r w:rsidRPr="00234ECD">
        <w:rPr>
          <w:rFonts w:eastAsia="SimSun"/>
          <w:sz w:val="22"/>
          <w:szCs w:val="22"/>
          <w:lang w:val="sr-Latn-RS"/>
        </w:rPr>
        <w:t>eseci; medijan</w:t>
      </w:r>
      <w:r w:rsidR="00567A3C" w:rsidRPr="00234ECD">
        <w:rPr>
          <w:rFonts w:eastAsia="SimSun"/>
          <w:sz w:val="22"/>
          <w:szCs w:val="22"/>
          <w:lang w:val="sr-Latn-RS"/>
        </w:rPr>
        <w:t>a</w:t>
      </w:r>
      <w:r w:rsidRPr="00234ECD">
        <w:rPr>
          <w:rFonts w:eastAsia="SimSun"/>
          <w:sz w:val="22"/>
          <w:szCs w:val="22"/>
          <w:lang w:val="sr-Latn-RS"/>
        </w:rPr>
        <w:t xml:space="preserve"> praćenja 18,1 m</w:t>
      </w:r>
      <w:r w:rsidR="00E56030" w:rsidRPr="00234ECD">
        <w:rPr>
          <w:rFonts w:eastAsia="SimSun"/>
          <w:sz w:val="22"/>
          <w:szCs w:val="22"/>
          <w:lang w:val="sr-Latn-RS"/>
        </w:rPr>
        <w:t>j</w:t>
      </w:r>
      <w:r w:rsidRPr="00234ECD">
        <w:rPr>
          <w:rFonts w:eastAsia="SimSun"/>
          <w:sz w:val="22"/>
          <w:szCs w:val="22"/>
          <w:lang w:val="sr-Latn-RS"/>
        </w:rPr>
        <w:t xml:space="preserve">esec) prikazani su u Tabeli 7. </w:t>
      </w:r>
    </w:p>
    <w:p w14:paraId="78E344B4" w14:textId="77777777" w:rsidR="008C2157" w:rsidRPr="00234ECD" w:rsidRDefault="008C2157" w:rsidP="00D857AC">
      <w:pPr>
        <w:jc w:val="both"/>
        <w:rPr>
          <w:b/>
          <w:sz w:val="22"/>
          <w:szCs w:val="22"/>
          <w:lang w:val="sr-Latn-RS"/>
        </w:rPr>
      </w:pPr>
    </w:p>
    <w:p w14:paraId="50F1E4B3" w14:textId="45A227F2" w:rsidR="00D857AC" w:rsidRPr="00234ECD" w:rsidRDefault="00D857AC" w:rsidP="00D857AC">
      <w:pPr>
        <w:jc w:val="both"/>
        <w:rPr>
          <w:b/>
          <w:sz w:val="22"/>
          <w:szCs w:val="22"/>
          <w:lang w:val="sr-Latn-RS"/>
        </w:rPr>
      </w:pPr>
      <w:r w:rsidRPr="00234ECD">
        <w:rPr>
          <w:b/>
          <w:sz w:val="22"/>
          <w:szCs w:val="22"/>
          <w:lang w:val="sr-Latn-RS"/>
        </w:rPr>
        <w:t>Tabela 7: Rezultati efikasnosti (CA2099ER)</w:t>
      </w:r>
    </w:p>
    <w:p w14:paraId="6ADF8BA7" w14:textId="77777777" w:rsidR="00D857AC" w:rsidRPr="00234ECD" w:rsidRDefault="00D857AC" w:rsidP="00D857AC">
      <w:pPr>
        <w:jc w:val="both"/>
        <w:rPr>
          <w:b/>
          <w:sz w:val="22"/>
          <w:szCs w:val="22"/>
          <w:lang w:val="sr-Latn-RS"/>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3291"/>
        <w:gridCol w:w="2823"/>
      </w:tblGrid>
      <w:tr w:rsidR="00D857AC" w:rsidRPr="00234ECD" w14:paraId="3F6BCEDB" w14:textId="77777777" w:rsidTr="00D857AC">
        <w:tc>
          <w:tcPr>
            <w:tcW w:w="3060" w:type="dxa"/>
            <w:tcBorders>
              <w:top w:val="single" w:sz="4" w:space="0" w:color="auto"/>
              <w:left w:val="single" w:sz="4" w:space="0" w:color="auto"/>
              <w:bottom w:val="single" w:sz="4" w:space="0" w:color="auto"/>
              <w:right w:val="single" w:sz="4" w:space="0" w:color="auto"/>
            </w:tcBorders>
          </w:tcPr>
          <w:p w14:paraId="1CFD83B3" w14:textId="77777777" w:rsidR="00D857AC" w:rsidRPr="00234ECD" w:rsidRDefault="00D857AC" w:rsidP="00D857AC">
            <w:pPr>
              <w:jc w:val="center"/>
              <w:rPr>
                <w:b/>
                <w:sz w:val="22"/>
                <w:szCs w:val="22"/>
                <w:lang w:val="sr-Latn-RS"/>
              </w:rPr>
            </w:pPr>
          </w:p>
        </w:tc>
        <w:tc>
          <w:tcPr>
            <w:tcW w:w="3291" w:type="dxa"/>
            <w:tcBorders>
              <w:top w:val="single" w:sz="4" w:space="0" w:color="auto"/>
              <w:left w:val="single" w:sz="4" w:space="0" w:color="auto"/>
              <w:bottom w:val="single" w:sz="4" w:space="0" w:color="auto"/>
              <w:right w:val="single" w:sz="4" w:space="0" w:color="auto"/>
            </w:tcBorders>
            <w:hideMark/>
          </w:tcPr>
          <w:p w14:paraId="44B23195" w14:textId="17B699AF" w:rsidR="00D857AC" w:rsidRPr="00234ECD" w:rsidRDefault="003706F7" w:rsidP="00D857AC">
            <w:pPr>
              <w:jc w:val="center"/>
              <w:rPr>
                <w:b/>
                <w:sz w:val="22"/>
                <w:szCs w:val="22"/>
                <w:lang w:val="sr-Latn-RS"/>
              </w:rPr>
            </w:pPr>
            <w:r w:rsidRPr="00234ECD">
              <w:rPr>
                <w:b/>
                <w:sz w:val="22"/>
                <w:szCs w:val="22"/>
                <w:lang w:val="sr-Latn-RS"/>
              </w:rPr>
              <w:t>N</w:t>
            </w:r>
            <w:r w:rsidR="00D857AC" w:rsidRPr="00234ECD">
              <w:rPr>
                <w:b/>
                <w:sz w:val="22"/>
                <w:szCs w:val="22"/>
                <w:lang w:val="sr-Latn-RS"/>
              </w:rPr>
              <w:t>ivolumab + kabozantinib</w:t>
            </w:r>
            <w:r w:rsidR="00D857AC" w:rsidRPr="00234ECD">
              <w:rPr>
                <w:b/>
                <w:sz w:val="22"/>
                <w:szCs w:val="22"/>
                <w:lang w:val="sr-Latn-RS"/>
              </w:rPr>
              <w:br/>
              <w:t>(n = 323)</w:t>
            </w:r>
          </w:p>
        </w:tc>
        <w:tc>
          <w:tcPr>
            <w:tcW w:w="2823" w:type="dxa"/>
            <w:tcBorders>
              <w:top w:val="single" w:sz="4" w:space="0" w:color="auto"/>
              <w:left w:val="single" w:sz="4" w:space="0" w:color="auto"/>
              <w:bottom w:val="single" w:sz="4" w:space="0" w:color="auto"/>
              <w:right w:val="single" w:sz="4" w:space="0" w:color="auto"/>
            </w:tcBorders>
            <w:hideMark/>
          </w:tcPr>
          <w:p w14:paraId="03250CE1" w14:textId="552CE937" w:rsidR="00D857AC" w:rsidRPr="00234ECD" w:rsidRDefault="003706F7" w:rsidP="00D857AC">
            <w:pPr>
              <w:jc w:val="center"/>
              <w:rPr>
                <w:b/>
                <w:sz w:val="22"/>
                <w:szCs w:val="22"/>
                <w:lang w:val="sr-Latn-RS"/>
              </w:rPr>
            </w:pPr>
            <w:r w:rsidRPr="00234ECD">
              <w:rPr>
                <w:b/>
                <w:sz w:val="22"/>
                <w:szCs w:val="22"/>
                <w:lang w:val="sr-Latn-RS"/>
              </w:rPr>
              <w:t>S</w:t>
            </w:r>
            <w:r w:rsidR="00D857AC" w:rsidRPr="00234ECD">
              <w:rPr>
                <w:b/>
                <w:sz w:val="22"/>
                <w:szCs w:val="22"/>
                <w:lang w:val="sr-Latn-RS"/>
              </w:rPr>
              <w:t>unitinib</w:t>
            </w:r>
            <w:r w:rsidR="00D857AC" w:rsidRPr="00234ECD">
              <w:rPr>
                <w:b/>
                <w:sz w:val="22"/>
                <w:szCs w:val="22"/>
                <w:lang w:val="sr-Latn-RS"/>
              </w:rPr>
              <w:br/>
              <w:t>(n = 328)</w:t>
            </w:r>
          </w:p>
        </w:tc>
      </w:tr>
      <w:tr w:rsidR="00D857AC" w:rsidRPr="00234ECD" w14:paraId="515FDFAC" w14:textId="77777777" w:rsidTr="00D857AC">
        <w:tc>
          <w:tcPr>
            <w:tcW w:w="3060" w:type="dxa"/>
            <w:tcBorders>
              <w:top w:val="single" w:sz="4" w:space="0" w:color="auto"/>
              <w:left w:val="single" w:sz="4" w:space="0" w:color="auto"/>
              <w:bottom w:val="single" w:sz="4" w:space="0" w:color="auto"/>
              <w:right w:val="single" w:sz="4" w:space="0" w:color="auto"/>
            </w:tcBorders>
            <w:hideMark/>
          </w:tcPr>
          <w:p w14:paraId="25EB8D77" w14:textId="77777777" w:rsidR="00D857AC" w:rsidRPr="00234ECD" w:rsidRDefault="00D857AC" w:rsidP="00D857AC">
            <w:pPr>
              <w:rPr>
                <w:b/>
                <w:sz w:val="22"/>
                <w:szCs w:val="22"/>
                <w:lang w:val="sr-Latn-RS"/>
              </w:rPr>
            </w:pPr>
            <w:r w:rsidRPr="00234ECD">
              <w:rPr>
                <w:b/>
                <w:sz w:val="22"/>
                <w:szCs w:val="22"/>
                <w:lang w:val="sr-Latn-RS"/>
              </w:rPr>
              <w:t>Preživljavanje bez progresije bolesti (PFS) prema BICR-u</w:t>
            </w:r>
          </w:p>
        </w:tc>
        <w:tc>
          <w:tcPr>
            <w:tcW w:w="3291" w:type="dxa"/>
            <w:tcBorders>
              <w:top w:val="single" w:sz="4" w:space="0" w:color="auto"/>
              <w:left w:val="single" w:sz="4" w:space="0" w:color="auto"/>
              <w:bottom w:val="single" w:sz="4" w:space="0" w:color="auto"/>
              <w:right w:val="single" w:sz="4" w:space="0" w:color="auto"/>
            </w:tcBorders>
          </w:tcPr>
          <w:p w14:paraId="589ED9E8" w14:textId="77777777" w:rsidR="00D857AC" w:rsidRPr="00234ECD" w:rsidRDefault="00D857AC" w:rsidP="00D857AC">
            <w:pPr>
              <w:rPr>
                <w:sz w:val="22"/>
                <w:szCs w:val="22"/>
                <w:lang w:val="sr-Latn-RS"/>
              </w:rPr>
            </w:pPr>
          </w:p>
        </w:tc>
        <w:tc>
          <w:tcPr>
            <w:tcW w:w="2823" w:type="dxa"/>
            <w:tcBorders>
              <w:top w:val="single" w:sz="4" w:space="0" w:color="auto"/>
              <w:left w:val="single" w:sz="4" w:space="0" w:color="auto"/>
              <w:bottom w:val="single" w:sz="4" w:space="0" w:color="auto"/>
              <w:right w:val="single" w:sz="4" w:space="0" w:color="auto"/>
            </w:tcBorders>
          </w:tcPr>
          <w:p w14:paraId="611A84A7" w14:textId="77777777" w:rsidR="00D857AC" w:rsidRPr="00234ECD" w:rsidRDefault="00D857AC" w:rsidP="00D857AC">
            <w:pPr>
              <w:rPr>
                <w:sz w:val="22"/>
                <w:szCs w:val="22"/>
                <w:lang w:val="sr-Latn-RS"/>
              </w:rPr>
            </w:pPr>
          </w:p>
        </w:tc>
      </w:tr>
      <w:tr w:rsidR="00D857AC" w:rsidRPr="00234ECD" w14:paraId="7AEE74CF" w14:textId="77777777" w:rsidTr="00D857AC">
        <w:tc>
          <w:tcPr>
            <w:tcW w:w="3060" w:type="dxa"/>
            <w:tcBorders>
              <w:top w:val="single" w:sz="4" w:space="0" w:color="auto"/>
              <w:left w:val="single" w:sz="4" w:space="0" w:color="auto"/>
              <w:bottom w:val="single" w:sz="4" w:space="0" w:color="auto"/>
              <w:right w:val="single" w:sz="4" w:space="0" w:color="auto"/>
            </w:tcBorders>
            <w:hideMark/>
          </w:tcPr>
          <w:p w14:paraId="66149DA0" w14:textId="77777777" w:rsidR="00D857AC" w:rsidRPr="00234ECD" w:rsidRDefault="00D857AC" w:rsidP="00D857AC">
            <w:pPr>
              <w:tabs>
                <w:tab w:val="left" w:pos="201"/>
              </w:tabs>
              <w:rPr>
                <w:sz w:val="22"/>
                <w:szCs w:val="22"/>
                <w:lang w:val="sr-Latn-RS"/>
              </w:rPr>
            </w:pPr>
            <w:r w:rsidRPr="00234ECD">
              <w:rPr>
                <w:sz w:val="22"/>
                <w:szCs w:val="22"/>
                <w:lang w:val="sr-Latn-RS"/>
              </w:rPr>
              <w:tab/>
              <w:t>Događaji</w:t>
            </w:r>
          </w:p>
        </w:tc>
        <w:tc>
          <w:tcPr>
            <w:tcW w:w="3291" w:type="dxa"/>
            <w:tcBorders>
              <w:top w:val="single" w:sz="4" w:space="0" w:color="auto"/>
              <w:left w:val="single" w:sz="4" w:space="0" w:color="auto"/>
              <w:bottom w:val="single" w:sz="4" w:space="0" w:color="auto"/>
              <w:right w:val="single" w:sz="4" w:space="0" w:color="auto"/>
            </w:tcBorders>
            <w:hideMark/>
          </w:tcPr>
          <w:p w14:paraId="3FF002A7" w14:textId="77777777" w:rsidR="00D857AC" w:rsidRPr="00234ECD" w:rsidRDefault="00D857AC" w:rsidP="00D857AC">
            <w:pPr>
              <w:jc w:val="center"/>
              <w:rPr>
                <w:sz w:val="22"/>
                <w:szCs w:val="22"/>
                <w:lang w:val="sr-Latn-RS"/>
              </w:rPr>
            </w:pPr>
            <w:r w:rsidRPr="00234ECD">
              <w:rPr>
                <w:sz w:val="22"/>
                <w:szCs w:val="22"/>
                <w:lang w:val="sr-Latn-RS"/>
              </w:rPr>
              <w:t>144 (44,6%)</w:t>
            </w:r>
          </w:p>
        </w:tc>
        <w:tc>
          <w:tcPr>
            <w:tcW w:w="2823" w:type="dxa"/>
            <w:tcBorders>
              <w:top w:val="single" w:sz="4" w:space="0" w:color="auto"/>
              <w:left w:val="single" w:sz="4" w:space="0" w:color="auto"/>
              <w:bottom w:val="single" w:sz="4" w:space="0" w:color="auto"/>
              <w:right w:val="single" w:sz="4" w:space="0" w:color="auto"/>
            </w:tcBorders>
            <w:hideMark/>
          </w:tcPr>
          <w:p w14:paraId="75A2A059" w14:textId="77777777" w:rsidR="00D857AC" w:rsidRPr="00234ECD" w:rsidRDefault="00D857AC" w:rsidP="00D857AC">
            <w:pPr>
              <w:jc w:val="center"/>
              <w:rPr>
                <w:sz w:val="22"/>
                <w:szCs w:val="22"/>
                <w:lang w:val="sr-Latn-RS"/>
              </w:rPr>
            </w:pPr>
            <w:r w:rsidRPr="00234ECD">
              <w:rPr>
                <w:sz w:val="22"/>
                <w:szCs w:val="22"/>
                <w:lang w:val="sr-Latn-RS"/>
              </w:rPr>
              <w:t>191 (58,2%)</w:t>
            </w:r>
          </w:p>
        </w:tc>
      </w:tr>
      <w:tr w:rsidR="00D857AC" w:rsidRPr="00234ECD" w14:paraId="5C833F7B" w14:textId="77777777" w:rsidTr="00D857AC">
        <w:tc>
          <w:tcPr>
            <w:tcW w:w="3060" w:type="dxa"/>
            <w:tcBorders>
              <w:top w:val="single" w:sz="4" w:space="0" w:color="auto"/>
              <w:left w:val="single" w:sz="4" w:space="0" w:color="auto"/>
              <w:bottom w:val="single" w:sz="4" w:space="0" w:color="auto"/>
              <w:right w:val="single" w:sz="4" w:space="0" w:color="auto"/>
            </w:tcBorders>
            <w:hideMark/>
          </w:tcPr>
          <w:p w14:paraId="29041A6B" w14:textId="77777777" w:rsidR="00D857AC" w:rsidRPr="00234ECD" w:rsidRDefault="00D857AC" w:rsidP="00D857AC">
            <w:pPr>
              <w:tabs>
                <w:tab w:val="left" w:pos="180"/>
              </w:tabs>
              <w:jc w:val="center"/>
              <w:rPr>
                <w:sz w:val="22"/>
                <w:szCs w:val="22"/>
                <w:lang w:val="sr-Latn-RS"/>
              </w:rPr>
            </w:pPr>
            <w:r w:rsidRPr="00234ECD">
              <w:rPr>
                <w:sz w:val="22"/>
                <w:szCs w:val="22"/>
                <w:lang w:val="sr-Latn-RS"/>
              </w:rPr>
              <w:t>Odnos rizika</w:t>
            </w:r>
            <w:r w:rsidRPr="00234ECD">
              <w:rPr>
                <w:sz w:val="22"/>
                <w:szCs w:val="22"/>
                <w:vertAlign w:val="superscript"/>
                <w:lang w:val="sr-Latn-RS"/>
              </w:rPr>
              <w:t>a</w:t>
            </w:r>
            <w:r w:rsidRPr="00234ECD">
              <w:rPr>
                <w:sz w:val="22"/>
                <w:szCs w:val="22"/>
                <w:lang w:val="sr-Latn-RS"/>
              </w:rPr>
              <w:t xml:space="preserve"> </w:t>
            </w:r>
          </w:p>
        </w:tc>
        <w:tc>
          <w:tcPr>
            <w:tcW w:w="6114" w:type="dxa"/>
            <w:gridSpan w:val="2"/>
            <w:tcBorders>
              <w:top w:val="single" w:sz="4" w:space="0" w:color="auto"/>
              <w:left w:val="single" w:sz="4" w:space="0" w:color="auto"/>
              <w:bottom w:val="single" w:sz="4" w:space="0" w:color="auto"/>
              <w:right w:val="single" w:sz="4" w:space="0" w:color="auto"/>
            </w:tcBorders>
            <w:hideMark/>
          </w:tcPr>
          <w:p w14:paraId="1D764008" w14:textId="77777777" w:rsidR="00D857AC" w:rsidRPr="00234ECD" w:rsidRDefault="00D857AC" w:rsidP="00D857AC">
            <w:pPr>
              <w:jc w:val="center"/>
              <w:rPr>
                <w:sz w:val="22"/>
                <w:szCs w:val="22"/>
                <w:lang w:val="sr-Latn-RS"/>
              </w:rPr>
            </w:pPr>
            <w:r w:rsidRPr="00234ECD">
              <w:rPr>
                <w:sz w:val="22"/>
                <w:szCs w:val="22"/>
                <w:lang w:val="sr-Latn-RS"/>
              </w:rPr>
              <w:t>0,51</w:t>
            </w:r>
          </w:p>
        </w:tc>
      </w:tr>
      <w:tr w:rsidR="00D857AC" w:rsidRPr="00234ECD" w14:paraId="265C7F71" w14:textId="77777777" w:rsidTr="00D857AC">
        <w:tc>
          <w:tcPr>
            <w:tcW w:w="3060" w:type="dxa"/>
            <w:tcBorders>
              <w:top w:val="single" w:sz="4" w:space="0" w:color="auto"/>
              <w:left w:val="single" w:sz="4" w:space="0" w:color="auto"/>
              <w:bottom w:val="single" w:sz="4" w:space="0" w:color="auto"/>
              <w:right w:val="single" w:sz="4" w:space="0" w:color="auto"/>
            </w:tcBorders>
            <w:hideMark/>
          </w:tcPr>
          <w:p w14:paraId="322743F3" w14:textId="77777777" w:rsidR="00D857AC" w:rsidRPr="00234ECD" w:rsidRDefault="00D857AC" w:rsidP="00D857AC">
            <w:pPr>
              <w:tabs>
                <w:tab w:val="left" w:pos="180"/>
              </w:tabs>
              <w:jc w:val="center"/>
              <w:rPr>
                <w:sz w:val="22"/>
                <w:szCs w:val="22"/>
                <w:lang w:val="sr-Latn-RS"/>
              </w:rPr>
            </w:pPr>
            <w:r w:rsidRPr="00234ECD">
              <w:rPr>
                <w:color w:val="000000"/>
                <w:sz w:val="22"/>
                <w:szCs w:val="22"/>
                <w:lang w:val="sr-Latn-RS"/>
              </w:rPr>
              <w:t>95% CI</w:t>
            </w:r>
          </w:p>
        </w:tc>
        <w:tc>
          <w:tcPr>
            <w:tcW w:w="6114" w:type="dxa"/>
            <w:gridSpan w:val="2"/>
            <w:tcBorders>
              <w:top w:val="single" w:sz="4" w:space="0" w:color="auto"/>
              <w:left w:val="single" w:sz="4" w:space="0" w:color="auto"/>
              <w:bottom w:val="single" w:sz="4" w:space="0" w:color="auto"/>
              <w:right w:val="single" w:sz="4" w:space="0" w:color="auto"/>
            </w:tcBorders>
            <w:hideMark/>
          </w:tcPr>
          <w:p w14:paraId="27669B31" w14:textId="77777777" w:rsidR="00D857AC" w:rsidRPr="00234ECD" w:rsidRDefault="00D857AC" w:rsidP="00D857AC">
            <w:pPr>
              <w:jc w:val="center"/>
              <w:rPr>
                <w:sz w:val="22"/>
                <w:szCs w:val="22"/>
                <w:lang w:val="sr-Latn-RS"/>
              </w:rPr>
            </w:pPr>
            <w:r w:rsidRPr="00234ECD">
              <w:rPr>
                <w:sz w:val="22"/>
                <w:szCs w:val="22"/>
                <w:lang w:val="sr-Latn-RS"/>
              </w:rPr>
              <w:t>(0,41; 0,64)</w:t>
            </w:r>
          </w:p>
        </w:tc>
      </w:tr>
      <w:tr w:rsidR="00D857AC" w:rsidRPr="00234ECD" w14:paraId="5CE2DB8F" w14:textId="77777777" w:rsidTr="00D857AC">
        <w:tc>
          <w:tcPr>
            <w:tcW w:w="3060" w:type="dxa"/>
            <w:tcBorders>
              <w:top w:val="single" w:sz="4" w:space="0" w:color="auto"/>
              <w:left w:val="single" w:sz="4" w:space="0" w:color="auto"/>
              <w:bottom w:val="single" w:sz="4" w:space="0" w:color="auto"/>
              <w:right w:val="single" w:sz="4" w:space="0" w:color="auto"/>
            </w:tcBorders>
            <w:hideMark/>
          </w:tcPr>
          <w:p w14:paraId="4591E752" w14:textId="48E51942" w:rsidR="00D857AC" w:rsidRPr="00234ECD" w:rsidRDefault="00D857AC" w:rsidP="00D857AC">
            <w:pPr>
              <w:tabs>
                <w:tab w:val="left" w:pos="180"/>
              </w:tabs>
              <w:jc w:val="center"/>
              <w:rPr>
                <w:sz w:val="22"/>
                <w:szCs w:val="22"/>
                <w:vertAlign w:val="superscript"/>
                <w:lang w:val="sr-Latn-RS"/>
              </w:rPr>
            </w:pPr>
            <w:r w:rsidRPr="00234ECD">
              <w:rPr>
                <w:sz w:val="22"/>
                <w:szCs w:val="22"/>
                <w:lang w:val="sr-Latn-RS"/>
              </w:rPr>
              <w:t>p</w:t>
            </w:r>
            <w:r w:rsidRPr="00234ECD">
              <w:rPr>
                <w:sz w:val="22"/>
                <w:szCs w:val="22"/>
                <w:lang w:val="sr-Latn-RS"/>
              </w:rPr>
              <w:noBreakHyphen/>
              <w:t>vr</w:t>
            </w:r>
            <w:r w:rsidR="004F4C84" w:rsidRPr="00234ECD">
              <w:rPr>
                <w:sz w:val="22"/>
                <w:szCs w:val="22"/>
                <w:lang w:val="sr-Latn-RS"/>
              </w:rPr>
              <w:t>ij</w:t>
            </w:r>
            <w:r w:rsidRPr="00234ECD">
              <w:rPr>
                <w:sz w:val="22"/>
                <w:szCs w:val="22"/>
                <w:lang w:val="sr-Latn-RS"/>
              </w:rPr>
              <w:t>ednost</w:t>
            </w:r>
            <w:r w:rsidRPr="00234ECD">
              <w:rPr>
                <w:sz w:val="22"/>
                <w:szCs w:val="22"/>
                <w:vertAlign w:val="superscript"/>
                <w:lang w:val="sr-Latn-RS"/>
              </w:rPr>
              <w:t>b, c</w:t>
            </w:r>
          </w:p>
        </w:tc>
        <w:tc>
          <w:tcPr>
            <w:tcW w:w="6114" w:type="dxa"/>
            <w:gridSpan w:val="2"/>
            <w:tcBorders>
              <w:top w:val="single" w:sz="4" w:space="0" w:color="auto"/>
              <w:left w:val="single" w:sz="4" w:space="0" w:color="auto"/>
              <w:bottom w:val="single" w:sz="4" w:space="0" w:color="auto"/>
              <w:right w:val="single" w:sz="4" w:space="0" w:color="auto"/>
            </w:tcBorders>
            <w:hideMark/>
          </w:tcPr>
          <w:p w14:paraId="09640364" w14:textId="77777777" w:rsidR="00D857AC" w:rsidRPr="00234ECD" w:rsidRDefault="00D857AC" w:rsidP="00D857AC">
            <w:pPr>
              <w:jc w:val="center"/>
              <w:rPr>
                <w:sz w:val="22"/>
                <w:szCs w:val="22"/>
                <w:lang w:val="sr-Latn-RS"/>
              </w:rPr>
            </w:pPr>
            <w:r w:rsidRPr="00234ECD">
              <w:rPr>
                <w:sz w:val="22"/>
                <w:szCs w:val="22"/>
                <w:lang w:val="sr-Latn-RS"/>
              </w:rPr>
              <w:t>&lt; 0,0001</w:t>
            </w:r>
          </w:p>
        </w:tc>
      </w:tr>
      <w:tr w:rsidR="00D857AC" w:rsidRPr="00234ECD" w14:paraId="703E8816" w14:textId="77777777" w:rsidTr="00D857AC">
        <w:tc>
          <w:tcPr>
            <w:tcW w:w="3060" w:type="dxa"/>
            <w:tcBorders>
              <w:top w:val="single" w:sz="4" w:space="0" w:color="auto"/>
              <w:left w:val="single" w:sz="4" w:space="0" w:color="auto"/>
              <w:bottom w:val="single" w:sz="4" w:space="0" w:color="auto"/>
              <w:right w:val="single" w:sz="4" w:space="0" w:color="auto"/>
            </w:tcBorders>
            <w:hideMark/>
          </w:tcPr>
          <w:p w14:paraId="060DDAB0" w14:textId="4DB7D2CC" w:rsidR="00D857AC" w:rsidRPr="00234ECD" w:rsidRDefault="00D857AC" w:rsidP="00D857AC">
            <w:pPr>
              <w:tabs>
                <w:tab w:val="left" w:pos="180"/>
              </w:tabs>
              <w:rPr>
                <w:sz w:val="22"/>
                <w:szCs w:val="22"/>
                <w:vertAlign w:val="superscript"/>
                <w:lang w:val="sr-Latn-RS"/>
              </w:rPr>
            </w:pPr>
            <w:r w:rsidRPr="00234ECD">
              <w:rPr>
                <w:sz w:val="22"/>
                <w:szCs w:val="22"/>
                <w:lang w:val="sr-Latn-RS"/>
              </w:rPr>
              <w:tab/>
              <w:t>Medijan</w:t>
            </w:r>
            <w:r w:rsidR="003706F7" w:rsidRPr="00234ECD">
              <w:rPr>
                <w:sz w:val="22"/>
                <w:szCs w:val="22"/>
                <w:lang w:val="sr-Latn-RS"/>
              </w:rPr>
              <w:t>a</w:t>
            </w:r>
            <w:r w:rsidRPr="00234ECD">
              <w:rPr>
                <w:sz w:val="22"/>
                <w:szCs w:val="22"/>
                <w:lang w:val="sr-Latn-RS"/>
              </w:rPr>
              <w:t xml:space="preserve"> (95% CI)</w:t>
            </w:r>
            <w:r w:rsidRPr="00234ECD">
              <w:rPr>
                <w:sz w:val="22"/>
                <w:szCs w:val="22"/>
                <w:vertAlign w:val="superscript"/>
                <w:lang w:val="sr-Latn-RS"/>
              </w:rPr>
              <w:t>d</w:t>
            </w:r>
          </w:p>
        </w:tc>
        <w:tc>
          <w:tcPr>
            <w:tcW w:w="3291" w:type="dxa"/>
            <w:tcBorders>
              <w:top w:val="single" w:sz="4" w:space="0" w:color="auto"/>
              <w:left w:val="single" w:sz="4" w:space="0" w:color="auto"/>
              <w:bottom w:val="single" w:sz="4" w:space="0" w:color="auto"/>
              <w:right w:val="single" w:sz="4" w:space="0" w:color="auto"/>
            </w:tcBorders>
            <w:hideMark/>
          </w:tcPr>
          <w:p w14:paraId="5C8B4E54" w14:textId="77777777" w:rsidR="00D857AC" w:rsidRPr="00234ECD" w:rsidRDefault="00D857AC" w:rsidP="00D857AC">
            <w:pPr>
              <w:jc w:val="center"/>
              <w:rPr>
                <w:sz w:val="22"/>
                <w:szCs w:val="22"/>
                <w:lang w:val="sr-Latn-RS"/>
              </w:rPr>
            </w:pPr>
            <w:r w:rsidRPr="00234ECD">
              <w:rPr>
                <w:sz w:val="22"/>
                <w:szCs w:val="22"/>
                <w:lang w:val="sr-Latn-RS"/>
              </w:rPr>
              <w:t>16,59 (12,45; 24,94)</w:t>
            </w:r>
          </w:p>
        </w:tc>
        <w:tc>
          <w:tcPr>
            <w:tcW w:w="2823" w:type="dxa"/>
            <w:tcBorders>
              <w:top w:val="single" w:sz="4" w:space="0" w:color="auto"/>
              <w:left w:val="single" w:sz="4" w:space="0" w:color="auto"/>
              <w:bottom w:val="single" w:sz="4" w:space="0" w:color="auto"/>
              <w:right w:val="single" w:sz="4" w:space="0" w:color="auto"/>
            </w:tcBorders>
            <w:hideMark/>
          </w:tcPr>
          <w:p w14:paraId="6748D5CA" w14:textId="77777777" w:rsidR="00D857AC" w:rsidRPr="00234ECD" w:rsidRDefault="00D857AC" w:rsidP="00D857AC">
            <w:pPr>
              <w:jc w:val="center"/>
              <w:rPr>
                <w:sz w:val="22"/>
                <w:szCs w:val="22"/>
                <w:lang w:val="sr-Latn-RS"/>
              </w:rPr>
            </w:pPr>
            <w:r w:rsidRPr="00234ECD">
              <w:rPr>
                <w:sz w:val="22"/>
                <w:szCs w:val="22"/>
                <w:lang w:val="sr-Latn-RS"/>
              </w:rPr>
              <w:t>8,31 (6,97; 9,69)</w:t>
            </w:r>
          </w:p>
        </w:tc>
      </w:tr>
      <w:tr w:rsidR="00D857AC" w:rsidRPr="00234ECD" w14:paraId="0AD0ABDF" w14:textId="77777777" w:rsidTr="00D857AC">
        <w:tc>
          <w:tcPr>
            <w:tcW w:w="3060" w:type="dxa"/>
            <w:tcBorders>
              <w:top w:val="single" w:sz="4" w:space="0" w:color="auto"/>
              <w:left w:val="single" w:sz="4" w:space="0" w:color="auto"/>
              <w:bottom w:val="single" w:sz="4" w:space="0" w:color="auto"/>
              <w:right w:val="single" w:sz="4" w:space="0" w:color="auto"/>
            </w:tcBorders>
            <w:hideMark/>
          </w:tcPr>
          <w:p w14:paraId="29F7AECD" w14:textId="68E4E3DE" w:rsidR="00D857AC" w:rsidRPr="00234ECD" w:rsidRDefault="00D857AC" w:rsidP="00D857AC">
            <w:pPr>
              <w:tabs>
                <w:tab w:val="left" w:pos="180"/>
              </w:tabs>
              <w:rPr>
                <w:sz w:val="22"/>
                <w:szCs w:val="22"/>
                <w:lang w:val="sr-Latn-RS"/>
              </w:rPr>
            </w:pPr>
            <w:r w:rsidRPr="00234ECD">
              <w:rPr>
                <w:b/>
                <w:sz w:val="22"/>
                <w:szCs w:val="22"/>
                <w:lang w:val="sr-Latn-RS"/>
              </w:rPr>
              <w:t xml:space="preserve">Ukupno preživljavanje </w:t>
            </w:r>
            <w:r w:rsidR="003706F7" w:rsidRPr="00234ECD">
              <w:rPr>
                <w:b/>
                <w:sz w:val="22"/>
                <w:szCs w:val="22"/>
                <w:lang w:val="sr-Latn-RS"/>
              </w:rPr>
              <w:t>(OS)</w:t>
            </w:r>
          </w:p>
        </w:tc>
        <w:tc>
          <w:tcPr>
            <w:tcW w:w="3291" w:type="dxa"/>
            <w:tcBorders>
              <w:top w:val="single" w:sz="4" w:space="0" w:color="auto"/>
              <w:left w:val="single" w:sz="4" w:space="0" w:color="auto"/>
              <w:bottom w:val="single" w:sz="4" w:space="0" w:color="auto"/>
              <w:right w:val="single" w:sz="4" w:space="0" w:color="auto"/>
            </w:tcBorders>
          </w:tcPr>
          <w:p w14:paraId="1DF9BD3A" w14:textId="77777777" w:rsidR="00D857AC" w:rsidRPr="00234ECD" w:rsidRDefault="00D857AC" w:rsidP="00D857AC">
            <w:pPr>
              <w:jc w:val="center"/>
              <w:rPr>
                <w:sz w:val="22"/>
                <w:szCs w:val="22"/>
                <w:lang w:val="sr-Latn-RS"/>
              </w:rPr>
            </w:pPr>
          </w:p>
        </w:tc>
        <w:tc>
          <w:tcPr>
            <w:tcW w:w="2823" w:type="dxa"/>
            <w:tcBorders>
              <w:top w:val="single" w:sz="4" w:space="0" w:color="auto"/>
              <w:left w:val="single" w:sz="4" w:space="0" w:color="auto"/>
              <w:bottom w:val="single" w:sz="4" w:space="0" w:color="auto"/>
              <w:right w:val="single" w:sz="4" w:space="0" w:color="auto"/>
            </w:tcBorders>
          </w:tcPr>
          <w:p w14:paraId="10DD09E1" w14:textId="77777777" w:rsidR="00D857AC" w:rsidRPr="00234ECD" w:rsidRDefault="00D857AC" w:rsidP="00D857AC">
            <w:pPr>
              <w:jc w:val="center"/>
              <w:rPr>
                <w:sz w:val="22"/>
                <w:szCs w:val="22"/>
                <w:lang w:val="sr-Latn-RS"/>
              </w:rPr>
            </w:pPr>
          </w:p>
        </w:tc>
      </w:tr>
      <w:tr w:rsidR="00D857AC" w:rsidRPr="00234ECD" w14:paraId="35899847" w14:textId="77777777" w:rsidTr="00D857AC">
        <w:tc>
          <w:tcPr>
            <w:tcW w:w="3060" w:type="dxa"/>
            <w:tcBorders>
              <w:top w:val="single" w:sz="4" w:space="0" w:color="auto"/>
              <w:left w:val="single" w:sz="4" w:space="0" w:color="auto"/>
              <w:bottom w:val="single" w:sz="4" w:space="0" w:color="auto"/>
              <w:right w:val="single" w:sz="4" w:space="0" w:color="auto"/>
            </w:tcBorders>
            <w:hideMark/>
          </w:tcPr>
          <w:p w14:paraId="025E4728" w14:textId="77777777" w:rsidR="00D857AC" w:rsidRPr="00234ECD" w:rsidRDefault="00D857AC" w:rsidP="00D857AC">
            <w:pPr>
              <w:tabs>
                <w:tab w:val="left" w:pos="180"/>
              </w:tabs>
              <w:rPr>
                <w:b/>
                <w:sz w:val="22"/>
                <w:szCs w:val="22"/>
                <w:lang w:val="sr-Latn-RS"/>
              </w:rPr>
            </w:pPr>
            <w:r w:rsidRPr="00234ECD">
              <w:rPr>
                <w:sz w:val="22"/>
                <w:szCs w:val="22"/>
                <w:lang w:val="sr-Latn-RS"/>
              </w:rPr>
              <w:tab/>
              <w:t>Događaji</w:t>
            </w:r>
          </w:p>
        </w:tc>
        <w:tc>
          <w:tcPr>
            <w:tcW w:w="3291" w:type="dxa"/>
            <w:tcBorders>
              <w:top w:val="single" w:sz="4" w:space="0" w:color="auto"/>
              <w:left w:val="single" w:sz="4" w:space="0" w:color="auto"/>
              <w:bottom w:val="single" w:sz="4" w:space="0" w:color="auto"/>
              <w:right w:val="single" w:sz="4" w:space="0" w:color="auto"/>
            </w:tcBorders>
            <w:hideMark/>
          </w:tcPr>
          <w:p w14:paraId="75DC8565" w14:textId="77777777" w:rsidR="00D857AC" w:rsidRPr="00234ECD" w:rsidRDefault="00D857AC" w:rsidP="00D857AC">
            <w:pPr>
              <w:jc w:val="center"/>
              <w:rPr>
                <w:sz w:val="22"/>
                <w:szCs w:val="22"/>
                <w:lang w:val="sr-Latn-RS"/>
              </w:rPr>
            </w:pPr>
            <w:r w:rsidRPr="00234ECD">
              <w:rPr>
                <w:sz w:val="22"/>
                <w:szCs w:val="22"/>
                <w:lang w:val="sr-Latn-RS"/>
              </w:rPr>
              <w:t>67 (20,7%)</w:t>
            </w:r>
          </w:p>
        </w:tc>
        <w:tc>
          <w:tcPr>
            <w:tcW w:w="2823" w:type="dxa"/>
            <w:tcBorders>
              <w:top w:val="single" w:sz="4" w:space="0" w:color="auto"/>
              <w:left w:val="single" w:sz="4" w:space="0" w:color="auto"/>
              <w:bottom w:val="single" w:sz="4" w:space="0" w:color="auto"/>
              <w:right w:val="single" w:sz="4" w:space="0" w:color="auto"/>
            </w:tcBorders>
            <w:hideMark/>
          </w:tcPr>
          <w:p w14:paraId="27F678EB" w14:textId="77777777" w:rsidR="00D857AC" w:rsidRPr="00234ECD" w:rsidRDefault="00D857AC" w:rsidP="00D857AC">
            <w:pPr>
              <w:jc w:val="center"/>
              <w:rPr>
                <w:sz w:val="22"/>
                <w:szCs w:val="22"/>
                <w:lang w:val="sr-Latn-RS"/>
              </w:rPr>
            </w:pPr>
            <w:r w:rsidRPr="00234ECD">
              <w:rPr>
                <w:sz w:val="22"/>
                <w:szCs w:val="22"/>
                <w:lang w:val="sr-Latn-RS"/>
              </w:rPr>
              <w:t>99 (30,2%)</w:t>
            </w:r>
          </w:p>
        </w:tc>
      </w:tr>
      <w:tr w:rsidR="00D857AC" w:rsidRPr="00234ECD" w14:paraId="0432EBE9" w14:textId="77777777" w:rsidTr="00D857AC">
        <w:tc>
          <w:tcPr>
            <w:tcW w:w="3060" w:type="dxa"/>
            <w:tcBorders>
              <w:top w:val="single" w:sz="4" w:space="0" w:color="auto"/>
              <w:left w:val="single" w:sz="4" w:space="0" w:color="auto"/>
              <w:bottom w:val="single" w:sz="4" w:space="0" w:color="auto"/>
              <w:right w:val="single" w:sz="4" w:space="0" w:color="auto"/>
            </w:tcBorders>
            <w:hideMark/>
          </w:tcPr>
          <w:p w14:paraId="7AA3AB83" w14:textId="77777777" w:rsidR="00D857AC" w:rsidRPr="00234ECD" w:rsidRDefault="00D857AC" w:rsidP="00D857AC">
            <w:pPr>
              <w:tabs>
                <w:tab w:val="left" w:pos="180"/>
              </w:tabs>
              <w:jc w:val="center"/>
              <w:rPr>
                <w:b/>
                <w:sz w:val="22"/>
                <w:szCs w:val="22"/>
                <w:lang w:val="sr-Latn-RS"/>
              </w:rPr>
            </w:pPr>
            <w:r w:rsidRPr="00234ECD">
              <w:rPr>
                <w:sz w:val="22"/>
                <w:szCs w:val="22"/>
                <w:lang w:val="sr-Latn-RS"/>
              </w:rPr>
              <w:t>Odnos rizika</w:t>
            </w:r>
            <w:r w:rsidRPr="00234ECD">
              <w:rPr>
                <w:sz w:val="22"/>
                <w:szCs w:val="22"/>
                <w:vertAlign w:val="superscript"/>
                <w:lang w:val="sr-Latn-RS"/>
              </w:rPr>
              <w:t>a</w:t>
            </w:r>
            <w:r w:rsidRPr="00234ECD">
              <w:rPr>
                <w:sz w:val="22"/>
                <w:szCs w:val="22"/>
                <w:lang w:val="sr-Latn-RS"/>
              </w:rPr>
              <w:t xml:space="preserve"> </w:t>
            </w:r>
          </w:p>
        </w:tc>
        <w:tc>
          <w:tcPr>
            <w:tcW w:w="6114" w:type="dxa"/>
            <w:gridSpan w:val="2"/>
            <w:tcBorders>
              <w:top w:val="single" w:sz="4" w:space="0" w:color="auto"/>
              <w:left w:val="single" w:sz="4" w:space="0" w:color="auto"/>
              <w:bottom w:val="single" w:sz="4" w:space="0" w:color="auto"/>
              <w:right w:val="single" w:sz="4" w:space="0" w:color="auto"/>
            </w:tcBorders>
            <w:hideMark/>
          </w:tcPr>
          <w:p w14:paraId="73F7CAFB" w14:textId="77777777" w:rsidR="00D857AC" w:rsidRPr="00234ECD" w:rsidRDefault="00D857AC" w:rsidP="00D857AC">
            <w:pPr>
              <w:jc w:val="center"/>
              <w:rPr>
                <w:sz w:val="22"/>
                <w:szCs w:val="22"/>
                <w:lang w:val="sr-Latn-RS"/>
              </w:rPr>
            </w:pPr>
            <w:r w:rsidRPr="00234ECD">
              <w:rPr>
                <w:sz w:val="22"/>
                <w:szCs w:val="22"/>
                <w:lang w:val="sr-Latn-RS"/>
              </w:rPr>
              <w:t>0,60</w:t>
            </w:r>
          </w:p>
        </w:tc>
      </w:tr>
      <w:tr w:rsidR="00D857AC" w:rsidRPr="00234ECD" w14:paraId="7A0F85B4" w14:textId="77777777" w:rsidTr="00D857AC">
        <w:tc>
          <w:tcPr>
            <w:tcW w:w="3060" w:type="dxa"/>
            <w:tcBorders>
              <w:top w:val="single" w:sz="4" w:space="0" w:color="auto"/>
              <w:left w:val="single" w:sz="4" w:space="0" w:color="auto"/>
              <w:bottom w:val="single" w:sz="4" w:space="0" w:color="auto"/>
              <w:right w:val="single" w:sz="4" w:space="0" w:color="auto"/>
            </w:tcBorders>
            <w:hideMark/>
          </w:tcPr>
          <w:p w14:paraId="3090EC56" w14:textId="77777777" w:rsidR="00D857AC" w:rsidRPr="00234ECD" w:rsidRDefault="00D857AC" w:rsidP="00D857AC">
            <w:pPr>
              <w:tabs>
                <w:tab w:val="left" w:pos="180"/>
              </w:tabs>
              <w:jc w:val="center"/>
              <w:rPr>
                <w:b/>
                <w:sz w:val="22"/>
                <w:szCs w:val="22"/>
                <w:lang w:val="sr-Latn-RS"/>
              </w:rPr>
            </w:pPr>
            <w:r w:rsidRPr="00234ECD">
              <w:rPr>
                <w:color w:val="000000"/>
                <w:sz w:val="22"/>
                <w:szCs w:val="22"/>
                <w:lang w:val="sr-Latn-RS"/>
              </w:rPr>
              <w:t>98,89% CI</w:t>
            </w:r>
          </w:p>
        </w:tc>
        <w:tc>
          <w:tcPr>
            <w:tcW w:w="6114" w:type="dxa"/>
            <w:gridSpan w:val="2"/>
            <w:tcBorders>
              <w:top w:val="single" w:sz="4" w:space="0" w:color="auto"/>
              <w:left w:val="single" w:sz="4" w:space="0" w:color="auto"/>
              <w:bottom w:val="single" w:sz="4" w:space="0" w:color="auto"/>
              <w:right w:val="single" w:sz="4" w:space="0" w:color="auto"/>
            </w:tcBorders>
            <w:hideMark/>
          </w:tcPr>
          <w:p w14:paraId="42C77CE7" w14:textId="77777777" w:rsidR="00D857AC" w:rsidRPr="00234ECD" w:rsidRDefault="00D857AC" w:rsidP="00D857AC">
            <w:pPr>
              <w:jc w:val="center"/>
              <w:rPr>
                <w:sz w:val="22"/>
                <w:szCs w:val="22"/>
                <w:lang w:val="sr-Latn-RS"/>
              </w:rPr>
            </w:pPr>
            <w:r w:rsidRPr="00234ECD">
              <w:rPr>
                <w:sz w:val="22"/>
                <w:szCs w:val="22"/>
                <w:lang w:val="sr-Latn-RS"/>
              </w:rPr>
              <w:t>(0,40; 0,89)</w:t>
            </w:r>
          </w:p>
        </w:tc>
      </w:tr>
      <w:tr w:rsidR="00D857AC" w:rsidRPr="00234ECD" w14:paraId="5E1083A9" w14:textId="77777777" w:rsidTr="00D857AC">
        <w:trPr>
          <w:trHeight w:val="56"/>
        </w:trPr>
        <w:tc>
          <w:tcPr>
            <w:tcW w:w="3060" w:type="dxa"/>
            <w:tcBorders>
              <w:top w:val="single" w:sz="4" w:space="0" w:color="auto"/>
              <w:left w:val="single" w:sz="4" w:space="0" w:color="auto"/>
              <w:bottom w:val="single" w:sz="4" w:space="0" w:color="auto"/>
              <w:right w:val="single" w:sz="4" w:space="0" w:color="auto"/>
            </w:tcBorders>
            <w:hideMark/>
          </w:tcPr>
          <w:p w14:paraId="408937C9" w14:textId="4790F168" w:rsidR="00D857AC" w:rsidRPr="00234ECD" w:rsidRDefault="00D857AC" w:rsidP="00D857AC">
            <w:pPr>
              <w:tabs>
                <w:tab w:val="left" w:pos="180"/>
              </w:tabs>
              <w:jc w:val="center"/>
              <w:rPr>
                <w:b/>
                <w:sz w:val="22"/>
                <w:szCs w:val="22"/>
                <w:lang w:val="sr-Latn-RS"/>
              </w:rPr>
            </w:pPr>
            <w:r w:rsidRPr="00234ECD">
              <w:rPr>
                <w:sz w:val="22"/>
                <w:szCs w:val="22"/>
                <w:lang w:val="sr-Latn-RS"/>
              </w:rPr>
              <w:t>p</w:t>
            </w:r>
            <w:r w:rsidRPr="00234ECD">
              <w:rPr>
                <w:sz w:val="22"/>
                <w:szCs w:val="22"/>
                <w:lang w:val="sr-Latn-RS"/>
              </w:rPr>
              <w:noBreakHyphen/>
              <w:t>vr</w:t>
            </w:r>
            <w:r w:rsidR="00C020F9" w:rsidRPr="00234ECD">
              <w:rPr>
                <w:sz w:val="22"/>
                <w:szCs w:val="22"/>
                <w:lang w:val="sr-Latn-RS"/>
              </w:rPr>
              <w:t>ij</w:t>
            </w:r>
            <w:r w:rsidRPr="00234ECD">
              <w:rPr>
                <w:sz w:val="22"/>
                <w:szCs w:val="22"/>
                <w:lang w:val="sr-Latn-RS"/>
              </w:rPr>
              <w:t>ednost</w:t>
            </w:r>
            <w:r w:rsidRPr="00234ECD">
              <w:rPr>
                <w:sz w:val="22"/>
                <w:szCs w:val="22"/>
                <w:vertAlign w:val="superscript"/>
                <w:lang w:val="sr-Latn-RS"/>
              </w:rPr>
              <w:t>b,c,e</w:t>
            </w:r>
          </w:p>
        </w:tc>
        <w:tc>
          <w:tcPr>
            <w:tcW w:w="6114" w:type="dxa"/>
            <w:gridSpan w:val="2"/>
            <w:tcBorders>
              <w:top w:val="single" w:sz="4" w:space="0" w:color="auto"/>
              <w:left w:val="single" w:sz="4" w:space="0" w:color="auto"/>
              <w:bottom w:val="single" w:sz="4" w:space="0" w:color="auto"/>
              <w:right w:val="single" w:sz="4" w:space="0" w:color="auto"/>
            </w:tcBorders>
            <w:hideMark/>
          </w:tcPr>
          <w:p w14:paraId="6B2DFB59" w14:textId="77777777" w:rsidR="00D857AC" w:rsidRPr="00234ECD" w:rsidRDefault="00D857AC" w:rsidP="00D857AC">
            <w:pPr>
              <w:jc w:val="center"/>
              <w:rPr>
                <w:sz w:val="22"/>
                <w:szCs w:val="22"/>
                <w:lang w:val="sr-Latn-RS"/>
              </w:rPr>
            </w:pPr>
            <w:r w:rsidRPr="00234ECD">
              <w:rPr>
                <w:sz w:val="22"/>
                <w:szCs w:val="22"/>
                <w:lang w:val="sr-Latn-RS"/>
              </w:rPr>
              <w:t>0,0010</w:t>
            </w:r>
          </w:p>
        </w:tc>
      </w:tr>
      <w:tr w:rsidR="00D857AC" w:rsidRPr="00234ECD" w14:paraId="400F0ACD" w14:textId="77777777" w:rsidTr="00D857AC">
        <w:tc>
          <w:tcPr>
            <w:tcW w:w="3060" w:type="dxa"/>
            <w:tcBorders>
              <w:top w:val="single" w:sz="4" w:space="0" w:color="auto"/>
              <w:left w:val="single" w:sz="4" w:space="0" w:color="auto"/>
              <w:bottom w:val="single" w:sz="4" w:space="0" w:color="auto"/>
              <w:right w:val="single" w:sz="4" w:space="0" w:color="auto"/>
            </w:tcBorders>
            <w:hideMark/>
          </w:tcPr>
          <w:p w14:paraId="3A97CDD3" w14:textId="55436E38" w:rsidR="00D857AC" w:rsidRPr="00234ECD" w:rsidRDefault="00D857AC" w:rsidP="00D857AC">
            <w:pPr>
              <w:tabs>
                <w:tab w:val="left" w:pos="180"/>
              </w:tabs>
              <w:rPr>
                <w:b/>
                <w:sz w:val="22"/>
                <w:szCs w:val="22"/>
                <w:lang w:val="sr-Latn-RS"/>
              </w:rPr>
            </w:pPr>
            <w:r w:rsidRPr="00234ECD">
              <w:rPr>
                <w:sz w:val="22"/>
                <w:szCs w:val="22"/>
                <w:lang w:val="sr-Latn-RS"/>
              </w:rPr>
              <w:tab/>
              <w:t>Medijan</w:t>
            </w:r>
            <w:r w:rsidR="003706F7" w:rsidRPr="00234ECD">
              <w:rPr>
                <w:sz w:val="22"/>
                <w:szCs w:val="22"/>
                <w:lang w:val="sr-Latn-RS"/>
              </w:rPr>
              <w:t>a</w:t>
            </w:r>
            <w:r w:rsidRPr="00234ECD">
              <w:rPr>
                <w:sz w:val="22"/>
                <w:szCs w:val="22"/>
                <w:lang w:val="sr-Latn-RS"/>
              </w:rPr>
              <w:t xml:space="preserve"> (95% CI)</w:t>
            </w:r>
          </w:p>
        </w:tc>
        <w:tc>
          <w:tcPr>
            <w:tcW w:w="3291" w:type="dxa"/>
            <w:tcBorders>
              <w:top w:val="single" w:sz="4" w:space="0" w:color="auto"/>
              <w:left w:val="single" w:sz="4" w:space="0" w:color="auto"/>
              <w:bottom w:val="single" w:sz="4" w:space="0" w:color="auto"/>
              <w:right w:val="single" w:sz="4" w:space="0" w:color="auto"/>
            </w:tcBorders>
            <w:hideMark/>
          </w:tcPr>
          <w:p w14:paraId="6CBFF2EA" w14:textId="77777777" w:rsidR="00D857AC" w:rsidRPr="00234ECD" w:rsidRDefault="00D857AC" w:rsidP="00D857AC">
            <w:pPr>
              <w:jc w:val="center"/>
              <w:rPr>
                <w:sz w:val="22"/>
                <w:szCs w:val="22"/>
                <w:lang w:val="sr-Latn-RS"/>
              </w:rPr>
            </w:pPr>
            <w:r w:rsidRPr="00234ECD">
              <w:rPr>
                <w:color w:val="000000"/>
                <w:sz w:val="22"/>
                <w:szCs w:val="22"/>
                <w:lang w:val="sr-Latn-RS"/>
              </w:rPr>
              <w:t>N.E.</w:t>
            </w:r>
          </w:p>
        </w:tc>
        <w:tc>
          <w:tcPr>
            <w:tcW w:w="2823" w:type="dxa"/>
            <w:tcBorders>
              <w:top w:val="single" w:sz="4" w:space="0" w:color="auto"/>
              <w:left w:val="single" w:sz="4" w:space="0" w:color="auto"/>
              <w:bottom w:val="single" w:sz="4" w:space="0" w:color="auto"/>
              <w:right w:val="single" w:sz="4" w:space="0" w:color="auto"/>
            </w:tcBorders>
            <w:hideMark/>
          </w:tcPr>
          <w:p w14:paraId="1AD6DDFE" w14:textId="77777777" w:rsidR="00D857AC" w:rsidRPr="00234ECD" w:rsidRDefault="00D857AC" w:rsidP="00D857AC">
            <w:pPr>
              <w:jc w:val="center"/>
              <w:rPr>
                <w:sz w:val="22"/>
                <w:szCs w:val="22"/>
                <w:lang w:val="sr-Latn-RS"/>
              </w:rPr>
            </w:pPr>
            <w:r w:rsidRPr="00234ECD">
              <w:rPr>
                <w:color w:val="000000"/>
                <w:sz w:val="22"/>
                <w:szCs w:val="22"/>
                <w:lang w:val="sr-Latn-RS"/>
              </w:rPr>
              <w:t>N.E. (22,6; N.E.)</w:t>
            </w:r>
          </w:p>
        </w:tc>
      </w:tr>
      <w:tr w:rsidR="00D857AC" w:rsidRPr="00234ECD" w14:paraId="466917DB" w14:textId="77777777" w:rsidTr="00D857AC">
        <w:tc>
          <w:tcPr>
            <w:tcW w:w="3060" w:type="dxa"/>
            <w:tcBorders>
              <w:top w:val="single" w:sz="4" w:space="0" w:color="auto"/>
              <w:left w:val="single" w:sz="4" w:space="0" w:color="auto"/>
              <w:bottom w:val="single" w:sz="4" w:space="0" w:color="auto"/>
              <w:right w:val="single" w:sz="4" w:space="0" w:color="auto"/>
            </w:tcBorders>
            <w:hideMark/>
          </w:tcPr>
          <w:p w14:paraId="1C1E36C9" w14:textId="77777777" w:rsidR="00D857AC" w:rsidRPr="00234ECD" w:rsidRDefault="00D857AC" w:rsidP="00D857AC">
            <w:pPr>
              <w:tabs>
                <w:tab w:val="left" w:pos="180"/>
              </w:tabs>
              <w:rPr>
                <w:sz w:val="22"/>
                <w:szCs w:val="22"/>
                <w:lang w:val="sr-Latn-RS"/>
              </w:rPr>
            </w:pPr>
            <w:r w:rsidRPr="00234ECD">
              <w:rPr>
                <w:sz w:val="22"/>
                <w:szCs w:val="22"/>
                <w:lang w:val="sr-Latn-RS"/>
              </w:rPr>
              <w:tab/>
              <w:t>Stopa (95% CI)</w:t>
            </w:r>
          </w:p>
        </w:tc>
        <w:tc>
          <w:tcPr>
            <w:tcW w:w="3291" w:type="dxa"/>
            <w:tcBorders>
              <w:top w:val="single" w:sz="4" w:space="0" w:color="auto"/>
              <w:left w:val="single" w:sz="4" w:space="0" w:color="auto"/>
              <w:bottom w:val="single" w:sz="4" w:space="0" w:color="auto"/>
              <w:right w:val="single" w:sz="4" w:space="0" w:color="auto"/>
            </w:tcBorders>
          </w:tcPr>
          <w:p w14:paraId="4E288E77" w14:textId="77777777" w:rsidR="00D857AC" w:rsidRPr="00234ECD" w:rsidRDefault="00D857AC" w:rsidP="00D857AC">
            <w:pPr>
              <w:jc w:val="center"/>
              <w:rPr>
                <w:color w:val="000000"/>
                <w:sz w:val="22"/>
                <w:szCs w:val="22"/>
                <w:lang w:val="sr-Latn-RS"/>
              </w:rPr>
            </w:pPr>
          </w:p>
        </w:tc>
        <w:tc>
          <w:tcPr>
            <w:tcW w:w="2823" w:type="dxa"/>
            <w:tcBorders>
              <w:top w:val="single" w:sz="4" w:space="0" w:color="auto"/>
              <w:left w:val="single" w:sz="4" w:space="0" w:color="auto"/>
              <w:bottom w:val="single" w:sz="4" w:space="0" w:color="auto"/>
              <w:right w:val="single" w:sz="4" w:space="0" w:color="auto"/>
            </w:tcBorders>
          </w:tcPr>
          <w:p w14:paraId="04EE5615" w14:textId="77777777" w:rsidR="00D857AC" w:rsidRPr="00234ECD" w:rsidRDefault="00D857AC" w:rsidP="00D857AC">
            <w:pPr>
              <w:jc w:val="center"/>
              <w:rPr>
                <w:color w:val="000000"/>
                <w:sz w:val="22"/>
                <w:szCs w:val="22"/>
                <w:lang w:val="sr-Latn-RS"/>
              </w:rPr>
            </w:pPr>
          </w:p>
        </w:tc>
      </w:tr>
      <w:tr w:rsidR="00D857AC" w:rsidRPr="00234ECD" w14:paraId="1F94726F" w14:textId="77777777" w:rsidTr="00D857AC">
        <w:tc>
          <w:tcPr>
            <w:tcW w:w="3060" w:type="dxa"/>
            <w:tcBorders>
              <w:top w:val="single" w:sz="4" w:space="0" w:color="auto"/>
              <w:left w:val="single" w:sz="4" w:space="0" w:color="auto"/>
              <w:bottom w:val="single" w:sz="4" w:space="0" w:color="auto"/>
              <w:right w:val="single" w:sz="4" w:space="0" w:color="auto"/>
            </w:tcBorders>
            <w:hideMark/>
          </w:tcPr>
          <w:p w14:paraId="48C4F730" w14:textId="1E89FE32" w:rsidR="00D857AC" w:rsidRPr="00234ECD" w:rsidRDefault="00D857AC" w:rsidP="00D857AC">
            <w:pPr>
              <w:tabs>
                <w:tab w:val="left" w:pos="180"/>
              </w:tabs>
              <w:rPr>
                <w:sz w:val="22"/>
                <w:szCs w:val="22"/>
                <w:lang w:val="sr-Latn-RS"/>
              </w:rPr>
            </w:pPr>
            <w:r w:rsidRPr="00234ECD">
              <w:rPr>
                <w:sz w:val="22"/>
                <w:szCs w:val="22"/>
                <w:lang w:val="sr-Latn-RS"/>
              </w:rPr>
              <w:tab/>
            </w:r>
            <w:r w:rsidRPr="00234ECD">
              <w:rPr>
                <w:sz w:val="22"/>
                <w:szCs w:val="22"/>
                <w:lang w:val="sr-Latn-RS"/>
              </w:rPr>
              <w:tab/>
              <w:t>Nakon 6 m</w:t>
            </w:r>
            <w:r w:rsidR="00C020F9" w:rsidRPr="00234ECD">
              <w:rPr>
                <w:sz w:val="22"/>
                <w:szCs w:val="22"/>
                <w:lang w:val="sr-Latn-RS"/>
              </w:rPr>
              <w:t>j</w:t>
            </w:r>
            <w:r w:rsidRPr="00234ECD">
              <w:rPr>
                <w:sz w:val="22"/>
                <w:szCs w:val="22"/>
                <w:lang w:val="sr-Latn-RS"/>
              </w:rPr>
              <w:t>eseci</w:t>
            </w:r>
          </w:p>
        </w:tc>
        <w:tc>
          <w:tcPr>
            <w:tcW w:w="3291" w:type="dxa"/>
            <w:tcBorders>
              <w:top w:val="single" w:sz="4" w:space="0" w:color="auto"/>
              <w:left w:val="single" w:sz="4" w:space="0" w:color="auto"/>
              <w:bottom w:val="single" w:sz="4" w:space="0" w:color="auto"/>
              <w:right w:val="single" w:sz="4" w:space="0" w:color="auto"/>
            </w:tcBorders>
            <w:hideMark/>
          </w:tcPr>
          <w:p w14:paraId="474BC2FB" w14:textId="77777777" w:rsidR="00D857AC" w:rsidRPr="00234ECD" w:rsidRDefault="00D857AC" w:rsidP="00D857AC">
            <w:pPr>
              <w:jc w:val="center"/>
              <w:rPr>
                <w:color w:val="000000"/>
                <w:sz w:val="22"/>
                <w:szCs w:val="22"/>
                <w:lang w:val="sr-Latn-RS"/>
              </w:rPr>
            </w:pPr>
            <w:r w:rsidRPr="00234ECD">
              <w:rPr>
                <w:color w:val="000000"/>
                <w:sz w:val="22"/>
                <w:szCs w:val="22"/>
                <w:lang w:val="sr-Latn-RS"/>
              </w:rPr>
              <w:t>93,1 (89,7; 95,4)</w:t>
            </w:r>
          </w:p>
        </w:tc>
        <w:tc>
          <w:tcPr>
            <w:tcW w:w="2823" w:type="dxa"/>
            <w:tcBorders>
              <w:top w:val="single" w:sz="4" w:space="0" w:color="auto"/>
              <w:left w:val="single" w:sz="4" w:space="0" w:color="auto"/>
              <w:bottom w:val="single" w:sz="4" w:space="0" w:color="auto"/>
              <w:right w:val="single" w:sz="4" w:space="0" w:color="auto"/>
            </w:tcBorders>
            <w:hideMark/>
          </w:tcPr>
          <w:p w14:paraId="4083E928" w14:textId="77777777" w:rsidR="00D857AC" w:rsidRPr="00234ECD" w:rsidRDefault="00D857AC" w:rsidP="00D857AC">
            <w:pPr>
              <w:jc w:val="center"/>
              <w:rPr>
                <w:color w:val="000000"/>
                <w:sz w:val="22"/>
                <w:szCs w:val="22"/>
                <w:lang w:val="sr-Latn-RS"/>
              </w:rPr>
            </w:pPr>
            <w:r w:rsidRPr="00234ECD">
              <w:rPr>
                <w:color w:val="000000"/>
                <w:sz w:val="22"/>
                <w:szCs w:val="22"/>
                <w:lang w:val="sr-Latn-RS"/>
              </w:rPr>
              <w:t>86,2 (81,9; 89,5)</w:t>
            </w:r>
          </w:p>
        </w:tc>
      </w:tr>
      <w:tr w:rsidR="00D857AC" w:rsidRPr="00234ECD" w14:paraId="3125A19D" w14:textId="77777777" w:rsidTr="00D857AC">
        <w:tc>
          <w:tcPr>
            <w:tcW w:w="3060" w:type="dxa"/>
            <w:tcBorders>
              <w:top w:val="single" w:sz="4" w:space="0" w:color="auto"/>
              <w:left w:val="single" w:sz="4" w:space="0" w:color="auto"/>
              <w:bottom w:val="single" w:sz="4" w:space="0" w:color="auto"/>
              <w:right w:val="single" w:sz="4" w:space="0" w:color="auto"/>
            </w:tcBorders>
            <w:vAlign w:val="center"/>
            <w:hideMark/>
          </w:tcPr>
          <w:p w14:paraId="1CF6CA11" w14:textId="77777777" w:rsidR="00D857AC" w:rsidRPr="00234ECD" w:rsidRDefault="00D857AC" w:rsidP="00D857AC">
            <w:pPr>
              <w:rPr>
                <w:b/>
                <w:sz w:val="22"/>
                <w:szCs w:val="22"/>
                <w:lang w:val="sr-Latn-RS"/>
              </w:rPr>
            </w:pPr>
            <w:r w:rsidRPr="00234ECD">
              <w:rPr>
                <w:b/>
                <w:sz w:val="22"/>
                <w:szCs w:val="22"/>
                <w:lang w:val="sr-Latn-RS"/>
              </w:rPr>
              <w:t xml:space="preserve">Stopa objektivnog odgovora (ORR) prema BICR </w:t>
            </w:r>
          </w:p>
          <w:p w14:paraId="42B2BB6D" w14:textId="77777777" w:rsidR="00D857AC" w:rsidRPr="00234ECD" w:rsidRDefault="00D857AC" w:rsidP="00D857AC">
            <w:pPr>
              <w:rPr>
                <w:b/>
                <w:sz w:val="22"/>
                <w:szCs w:val="22"/>
                <w:lang w:val="sr-Latn-RS"/>
              </w:rPr>
            </w:pPr>
            <w:r w:rsidRPr="00234ECD">
              <w:rPr>
                <w:b/>
                <w:sz w:val="22"/>
                <w:szCs w:val="22"/>
                <w:lang w:val="sr-Latn-RS"/>
              </w:rPr>
              <w:t>(CR + PR)</w:t>
            </w:r>
          </w:p>
        </w:tc>
        <w:tc>
          <w:tcPr>
            <w:tcW w:w="3291" w:type="dxa"/>
            <w:tcBorders>
              <w:top w:val="single" w:sz="4" w:space="0" w:color="auto"/>
              <w:left w:val="single" w:sz="4" w:space="0" w:color="auto"/>
              <w:bottom w:val="single" w:sz="4" w:space="0" w:color="auto"/>
              <w:right w:val="single" w:sz="4" w:space="0" w:color="auto"/>
            </w:tcBorders>
            <w:vAlign w:val="center"/>
            <w:hideMark/>
          </w:tcPr>
          <w:p w14:paraId="5DCD28DA" w14:textId="77777777" w:rsidR="00D857AC" w:rsidRPr="00234ECD" w:rsidRDefault="00D857AC" w:rsidP="00D857AC">
            <w:pPr>
              <w:jc w:val="center"/>
              <w:rPr>
                <w:sz w:val="22"/>
                <w:szCs w:val="22"/>
                <w:lang w:val="sr-Latn-RS"/>
              </w:rPr>
            </w:pPr>
            <w:r w:rsidRPr="00234ECD">
              <w:rPr>
                <w:sz w:val="22"/>
                <w:szCs w:val="22"/>
                <w:lang w:val="sr-Latn-RS"/>
              </w:rPr>
              <w:t>180 (55,7%)</w:t>
            </w:r>
          </w:p>
        </w:tc>
        <w:tc>
          <w:tcPr>
            <w:tcW w:w="2823" w:type="dxa"/>
            <w:tcBorders>
              <w:top w:val="single" w:sz="4" w:space="0" w:color="auto"/>
              <w:left w:val="single" w:sz="4" w:space="0" w:color="auto"/>
              <w:bottom w:val="single" w:sz="4" w:space="0" w:color="auto"/>
              <w:right w:val="single" w:sz="4" w:space="0" w:color="auto"/>
            </w:tcBorders>
            <w:vAlign w:val="center"/>
            <w:hideMark/>
          </w:tcPr>
          <w:p w14:paraId="22A50E63" w14:textId="77777777" w:rsidR="00D857AC" w:rsidRPr="00234ECD" w:rsidRDefault="00D857AC" w:rsidP="00D857AC">
            <w:pPr>
              <w:jc w:val="center"/>
              <w:rPr>
                <w:sz w:val="22"/>
                <w:szCs w:val="22"/>
                <w:lang w:val="sr-Latn-RS"/>
              </w:rPr>
            </w:pPr>
            <w:r w:rsidRPr="00234ECD">
              <w:rPr>
                <w:sz w:val="22"/>
                <w:szCs w:val="22"/>
                <w:lang w:val="sr-Latn-RS"/>
              </w:rPr>
              <w:t>89 (27,1%)</w:t>
            </w:r>
          </w:p>
        </w:tc>
      </w:tr>
      <w:tr w:rsidR="00D857AC" w:rsidRPr="00234ECD" w14:paraId="620A56A7" w14:textId="77777777" w:rsidTr="00D857AC">
        <w:tc>
          <w:tcPr>
            <w:tcW w:w="3060" w:type="dxa"/>
            <w:tcBorders>
              <w:top w:val="single" w:sz="4" w:space="0" w:color="auto"/>
              <w:left w:val="single" w:sz="4" w:space="0" w:color="auto"/>
              <w:bottom w:val="single" w:sz="4" w:space="0" w:color="auto"/>
              <w:right w:val="single" w:sz="4" w:space="0" w:color="auto"/>
            </w:tcBorders>
            <w:hideMark/>
          </w:tcPr>
          <w:p w14:paraId="0BB5DFFA" w14:textId="77777777" w:rsidR="00D857AC" w:rsidRPr="00234ECD" w:rsidRDefault="00D857AC" w:rsidP="00D857AC">
            <w:pPr>
              <w:jc w:val="center"/>
              <w:rPr>
                <w:sz w:val="22"/>
                <w:szCs w:val="22"/>
                <w:vertAlign w:val="superscript"/>
                <w:lang w:val="sr-Latn-RS"/>
              </w:rPr>
            </w:pPr>
            <w:r w:rsidRPr="00234ECD">
              <w:rPr>
                <w:sz w:val="22"/>
                <w:szCs w:val="22"/>
                <w:lang w:val="sr-Latn-RS"/>
              </w:rPr>
              <w:t>(95% CI)</w:t>
            </w:r>
            <w:r w:rsidRPr="00234ECD">
              <w:rPr>
                <w:sz w:val="22"/>
                <w:szCs w:val="22"/>
                <w:vertAlign w:val="superscript"/>
                <w:lang w:val="sr-Latn-RS"/>
              </w:rPr>
              <w:t>f</w:t>
            </w:r>
          </w:p>
        </w:tc>
        <w:tc>
          <w:tcPr>
            <w:tcW w:w="3291" w:type="dxa"/>
            <w:tcBorders>
              <w:top w:val="single" w:sz="4" w:space="0" w:color="auto"/>
              <w:left w:val="single" w:sz="4" w:space="0" w:color="auto"/>
              <w:bottom w:val="single" w:sz="4" w:space="0" w:color="auto"/>
              <w:right w:val="single" w:sz="4" w:space="0" w:color="auto"/>
            </w:tcBorders>
            <w:hideMark/>
          </w:tcPr>
          <w:p w14:paraId="5B5E286D" w14:textId="77777777" w:rsidR="00D857AC" w:rsidRPr="00234ECD" w:rsidRDefault="00D857AC" w:rsidP="00D857AC">
            <w:pPr>
              <w:jc w:val="center"/>
              <w:rPr>
                <w:sz w:val="22"/>
                <w:szCs w:val="22"/>
                <w:lang w:val="sr-Latn-RS"/>
              </w:rPr>
            </w:pPr>
            <w:r w:rsidRPr="00234ECD">
              <w:rPr>
                <w:sz w:val="22"/>
                <w:szCs w:val="22"/>
                <w:lang w:val="sr-Latn-RS"/>
              </w:rPr>
              <w:t>(50,1; 61,2)</w:t>
            </w:r>
          </w:p>
        </w:tc>
        <w:tc>
          <w:tcPr>
            <w:tcW w:w="2823" w:type="dxa"/>
            <w:tcBorders>
              <w:top w:val="single" w:sz="4" w:space="0" w:color="auto"/>
              <w:left w:val="single" w:sz="4" w:space="0" w:color="auto"/>
              <w:bottom w:val="single" w:sz="4" w:space="0" w:color="auto"/>
              <w:right w:val="single" w:sz="4" w:space="0" w:color="auto"/>
            </w:tcBorders>
            <w:hideMark/>
          </w:tcPr>
          <w:p w14:paraId="4641B6B0" w14:textId="77777777" w:rsidR="00D857AC" w:rsidRPr="00234ECD" w:rsidRDefault="00D857AC" w:rsidP="00D857AC">
            <w:pPr>
              <w:jc w:val="center"/>
              <w:rPr>
                <w:sz w:val="22"/>
                <w:szCs w:val="22"/>
                <w:lang w:val="sr-Latn-RS"/>
              </w:rPr>
            </w:pPr>
            <w:r w:rsidRPr="00234ECD">
              <w:rPr>
                <w:sz w:val="22"/>
                <w:szCs w:val="22"/>
                <w:lang w:val="sr-Latn-RS"/>
              </w:rPr>
              <w:t>(22,4; 32,3)</w:t>
            </w:r>
          </w:p>
        </w:tc>
      </w:tr>
      <w:tr w:rsidR="00D857AC" w:rsidRPr="00234ECD" w14:paraId="5080B772" w14:textId="77777777" w:rsidTr="00D857AC">
        <w:tc>
          <w:tcPr>
            <w:tcW w:w="3060" w:type="dxa"/>
            <w:tcBorders>
              <w:top w:val="single" w:sz="4" w:space="0" w:color="auto"/>
              <w:left w:val="single" w:sz="4" w:space="0" w:color="auto"/>
              <w:bottom w:val="single" w:sz="4" w:space="0" w:color="auto"/>
              <w:right w:val="single" w:sz="4" w:space="0" w:color="auto"/>
            </w:tcBorders>
            <w:hideMark/>
          </w:tcPr>
          <w:p w14:paraId="41AB20E8" w14:textId="77777777" w:rsidR="00D857AC" w:rsidRPr="00234ECD" w:rsidRDefault="00D857AC" w:rsidP="00D857AC">
            <w:pPr>
              <w:tabs>
                <w:tab w:val="left" w:pos="180"/>
              </w:tabs>
              <w:jc w:val="center"/>
              <w:rPr>
                <w:sz w:val="22"/>
                <w:szCs w:val="22"/>
                <w:vertAlign w:val="superscript"/>
                <w:lang w:val="sr-Latn-RS"/>
              </w:rPr>
            </w:pPr>
            <w:r w:rsidRPr="00234ECD">
              <w:rPr>
                <w:sz w:val="22"/>
                <w:szCs w:val="22"/>
                <w:lang w:val="sr-Latn-RS"/>
              </w:rPr>
              <w:t>Razlika u ORR (95% CI)</w:t>
            </w:r>
            <w:r w:rsidRPr="00234ECD">
              <w:rPr>
                <w:sz w:val="22"/>
                <w:szCs w:val="22"/>
                <w:vertAlign w:val="superscript"/>
                <w:lang w:val="sr-Latn-RS"/>
              </w:rPr>
              <w:t>g</w:t>
            </w:r>
          </w:p>
        </w:tc>
        <w:tc>
          <w:tcPr>
            <w:tcW w:w="6114" w:type="dxa"/>
            <w:gridSpan w:val="2"/>
            <w:tcBorders>
              <w:top w:val="single" w:sz="4" w:space="0" w:color="auto"/>
              <w:left w:val="single" w:sz="4" w:space="0" w:color="auto"/>
              <w:bottom w:val="single" w:sz="4" w:space="0" w:color="auto"/>
              <w:right w:val="single" w:sz="4" w:space="0" w:color="auto"/>
            </w:tcBorders>
            <w:hideMark/>
          </w:tcPr>
          <w:p w14:paraId="5D1A2EC2" w14:textId="77777777" w:rsidR="00D857AC" w:rsidRPr="00234ECD" w:rsidRDefault="00D857AC" w:rsidP="00D857AC">
            <w:pPr>
              <w:jc w:val="center"/>
              <w:rPr>
                <w:sz w:val="22"/>
                <w:szCs w:val="22"/>
                <w:lang w:val="sr-Latn-RS"/>
              </w:rPr>
            </w:pPr>
            <w:r w:rsidRPr="00234ECD">
              <w:rPr>
                <w:sz w:val="22"/>
                <w:szCs w:val="22"/>
                <w:lang w:val="sr-Latn-RS"/>
              </w:rPr>
              <w:t>28,6 (21,7; 35,6)</w:t>
            </w:r>
          </w:p>
        </w:tc>
      </w:tr>
      <w:tr w:rsidR="00D857AC" w:rsidRPr="00234ECD" w14:paraId="1E530871" w14:textId="77777777" w:rsidTr="00D857AC">
        <w:tc>
          <w:tcPr>
            <w:tcW w:w="3060" w:type="dxa"/>
            <w:tcBorders>
              <w:top w:val="single" w:sz="4" w:space="0" w:color="auto"/>
              <w:left w:val="single" w:sz="4" w:space="0" w:color="auto"/>
              <w:bottom w:val="single" w:sz="4" w:space="0" w:color="auto"/>
              <w:right w:val="single" w:sz="4" w:space="0" w:color="auto"/>
            </w:tcBorders>
            <w:hideMark/>
          </w:tcPr>
          <w:p w14:paraId="750A6AA0" w14:textId="5114F86B" w:rsidR="00D857AC" w:rsidRPr="00234ECD" w:rsidRDefault="00D857AC" w:rsidP="00D857AC">
            <w:pPr>
              <w:tabs>
                <w:tab w:val="left" w:pos="180"/>
              </w:tabs>
              <w:jc w:val="center"/>
              <w:rPr>
                <w:sz w:val="22"/>
                <w:szCs w:val="22"/>
                <w:vertAlign w:val="superscript"/>
                <w:lang w:val="sr-Latn-RS"/>
              </w:rPr>
            </w:pPr>
            <w:r w:rsidRPr="00234ECD">
              <w:rPr>
                <w:sz w:val="22"/>
                <w:szCs w:val="22"/>
                <w:lang w:val="sr-Latn-RS"/>
              </w:rPr>
              <w:t>p</w:t>
            </w:r>
            <w:r w:rsidRPr="00234ECD">
              <w:rPr>
                <w:sz w:val="22"/>
                <w:szCs w:val="22"/>
                <w:lang w:val="sr-Latn-RS"/>
              </w:rPr>
              <w:noBreakHyphen/>
              <w:t>vr</w:t>
            </w:r>
            <w:r w:rsidR="00C020F9" w:rsidRPr="00234ECD">
              <w:rPr>
                <w:sz w:val="22"/>
                <w:szCs w:val="22"/>
                <w:lang w:val="sr-Latn-RS"/>
              </w:rPr>
              <w:t>ij</w:t>
            </w:r>
            <w:r w:rsidRPr="00234ECD">
              <w:rPr>
                <w:sz w:val="22"/>
                <w:szCs w:val="22"/>
                <w:lang w:val="sr-Latn-RS"/>
              </w:rPr>
              <w:t>ednost</w:t>
            </w:r>
            <w:r w:rsidRPr="00234ECD">
              <w:rPr>
                <w:sz w:val="22"/>
                <w:szCs w:val="22"/>
                <w:vertAlign w:val="superscript"/>
                <w:lang w:val="sr-Latn-RS"/>
              </w:rPr>
              <w:t>h</w:t>
            </w:r>
          </w:p>
        </w:tc>
        <w:tc>
          <w:tcPr>
            <w:tcW w:w="6114" w:type="dxa"/>
            <w:gridSpan w:val="2"/>
            <w:tcBorders>
              <w:top w:val="single" w:sz="4" w:space="0" w:color="auto"/>
              <w:left w:val="single" w:sz="4" w:space="0" w:color="auto"/>
              <w:bottom w:val="single" w:sz="4" w:space="0" w:color="auto"/>
              <w:right w:val="single" w:sz="4" w:space="0" w:color="auto"/>
            </w:tcBorders>
            <w:hideMark/>
          </w:tcPr>
          <w:p w14:paraId="2BA970A4" w14:textId="77777777" w:rsidR="00D857AC" w:rsidRPr="00234ECD" w:rsidRDefault="00D857AC" w:rsidP="00D857AC">
            <w:pPr>
              <w:jc w:val="center"/>
              <w:rPr>
                <w:sz w:val="22"/>
                <w:szCs w:val="22"/>
                <w:lang w:val="sr-Latn-RS"/>
              </w:rPr>
            </w:pPr>
            <w:r w:rsidRPr="00234ECD">
              <w:rPr>
                <w:sz w:val="22"/>
                <w:szCs w:val="22"/>
                <w:lang w:val="sr-Latn-RS"/>
              </w:rPr>
              <w:t>&lt; 0,0001</w:t>
            </w:r>
          </w:p>
        </w:tc>
      </w:tr>
      <w:tr w:rsidR="00D857AC" w:rsidRPr="00234ECD" w14:paraId="7DFCB0AD" w14:textId="77777777" w:rsidTr="00D857AC">
        <w:tc>
          <w:tcPr>
            <w:tcW w:w="3060" w:type="dxa"/>
            <w:tcBorders>
              <w:top w:val="single" w:sz="4" w:space="0" w:color="auto"/>
              <w:left w:val="single" w:sz="4" w:space="0" w:color="auto"/>
              <w:bottom w:val="single" w:sz="4" w:space="0" w:color="auto"/>
              <w:right w:val="single" w:sz="4" w:space="0" w:color="auto"/>
            </w:tcBorders>
            <w:hideMark/>
          </w:tcPr>
          <w:p w14:paraId="727787C0" w14:textId="77777777" w:rsidR="00D857AC" w:rsidRPr="00234ECD" w:rsidRDefault="00D857AC" w:rsidP="00D857AC">
            <w:pPr>
              <w:tabs>
                <w:tab w:val="left" w:pos="180"/>
              </w:tabs>
              <w:rPr>
                <w:sz w:val="22"/>
                <w:szCs w:val="22"/>
                <w:lang w:val="sr-Latn-RS"/>
              </w:rPr>
            </w:pPr>
            <w:r w:rsidRPr="00234ECD">
              <w:rPr>
                <w:sz w:val="22"/>
                <w:szCs w:val="22"/>
                <w:lang w:val="sr-Latn-RS"/>
              </w:rPr>
              <w:tab/>
              <w:t>Potpuni odgovor (CR)</w:t>
            </w:r>
          </w:p>
        </w:tc>
        <w:tc>
          <w:tcPr>
            <w:tcW w:w="3291" w:type="dxa"/>
            <w:tcBorders>
              <w:top w:val="single" w:sz="4" w:space="0" w:color="auto"/>
              <w:left w:val="single" w:sz="4" w:space="0" w:color="auto"/>
              <w:bottom w:val="single" w:sz="4" w:space="0" w:color="auto"/>
              <w:right w:val="single" w:sz="4" w:space="0" w:color="auto"/>
            </w:tcBorders>
            <w:hideMark/>
          </w:tcPr>
          <w:p w14:paraId="6E9FD37F" w14:textId="77777777" w:rsidR="00D857AC" w:rsidRPr="00234ECD" w:rsidRDefault="00D857AC" w:rsidP="00D857AC">
            <w:pPr>
              <w:jc w:val="center"/>
              <w:rPr>
                <w:sz w:val="22"/>
                <w:szCs w:val="22"/>
                <w:lang w:val="sr-Latn-RS"/>
              </w:rPr>
            </w:pPr>
            <w:r w:rsidRPr="00234ECD">
              <w:rPr>
                <w:sz w:val="22"/>
                <w:szCs w:val="22"/>
                <w:lang w:val="sr-Latn-RS"/>
              </w:rPr>
              <w:t>26 (8,0%)</w:t>
            </w:r>
          </w:p>
        </w:tc>
        <w:tc>
          <w:tcPr>
            <w:tcW w:w="2823" w:type="dxa"/>
            <w:tcBorders>
              <w:top w:val="single" w:sz="4" w:space="0" w:color="auto"/>
              <w:left w:val="single" w:sz="4" w:space="0" w:color="auto"/>
              <w:bottom w:val="single" w:sz="4" w:space="0" w:color="auto"/>
              <w:right w:val="single" w:sz="4" w:space="0" w:color="auto"/>
            </w:tcBorders>
            <w:hideMark/>
          </w:tcPr>
          <w:p w14:paraId="0481ADFF" w14:textId="77777777" w:rsidR="00D857AC" w:rsidRPr="00234ECD" w:rsidRDefault="00D857AC" w:rsidP="00D857AC">
            <w:pPr>
              <w:jc w:val="center"/>
              <w:rPr>
                <w:sz w:val="22"/>
                <w:szCs w:val="22"/>
                <w:lang w:val="sr-Latn-RS"/>
              </w:rPr>
            </w:pPr>
            <w:r w:rsidRPr="00234ECD">
              <w:rPr>
                <w:sz w:val="22"/>
                <w:szCs w:val="22"/>
                <w:lang w:val="sr-Latn-RS"/>
              </w:rPr>
              <w:t>15 (4,6%)</w:t>
            </w:r>
          </w:p>
        </w:tc>
      </w:tr>
      <w:tr w:rsidR="00D857AC" w:rsidRPr="00234ECD" w14:paraId="79C14F99" w14:textId="77777777" w:rsidTr="00D857AC">
        <w:tc>
          <w:tcPr>
            <w:tcW w:w="3060" w:type="dxa"/>
            <w:tcBorders>
              <w:top w:val="single" w:sz="4" w:space="0" w:color="auto"/>
              <w:left w:val="single" w:sz="4" w:space="0" w:color="auto"/>
              <w:bottom w:val="single" w:sz="4" w:space="0" w:color="auto"/>
              <w:right w:val="single" w:sz="4" w:space="0" w:color="auto"/>
            </w:tcBorders>
            <w:hideMark/>
          </w:tcPr>
          <w:p w14:paraId="6212E105" w14:textId="2C8AF6F7" w:rsidR="00D857AC" w:rsidRPr="00234ECD" w:rsidRDefault="00D857AC" w:rsidP="00D857AC">
            <w:pPr>
              <w:tabs>
                <w:tab w:val="left" w:pos="180"/>
              </w:tabs>
              <w:rPr>
                <w:sz w:val="22"/>
                <w:szCs w:val="22"/>
                <w:lang w:val="sr-Latn-RS"/>
              </w:rPr>
            </w:pPr>
            <w:r w:rsidRPr="00234ECD">
              <w:rPr>
                <w:sz w:val="22"/>
                <w:szCs w:val="22"/>
                <w:lang w:val="sr-Latn-RS"/>
              </w:rPr>
              <w:tab/>
              <w:t>D</w:t>
            </w:r>
            <w:r w:rsidR="00C020F9" w:rsidRPr="00234ECD">
              <w:rPr>
                <w:sz w:val="22"/>
                <w:szCs w:val="22"/>
                <w:lang w:val="sr-Latn-RS"/>
              </w:rPr>
              <w:t>j</w:t>
            </w:r>
            <w:r w:rsidRPr="00234ECD">
              <w:rPr>
                <w:sz w:val="22"/>
                <w:szCs w:val="22"/>
                <w:lang w:val="sr-Latn-RS"/>
              </w:rPr>
              <w:t>elimičan odgovor (PR)</w:t>
            </w:r>
          </w:p>
        </w:tc>
        <w:tc>
          <w:tcPr>
            <w:tcW w:w="3291" w:type="dxa"/>
            <w:tcBorders>
              <w:top w:val="single" w:sz="4" w:space="0" w:color="auto"/>
              <w:left w:val="single" w:sz="4" w:space="0" w:color="auto"/>
              <w:bottom w:val="single" w:sz="4" w:space="0" w:color="auto"/>
              <w:right w:val="single" w:sz="4" w:space="0" w:color="auto"/>
            </w:tcBorders>
            <w:hideMark/>
          </w:tcPr>
          <w:p w14:paraId="094F668B" w14:textId="77777777" w:rsidR="00D857AC" w:rsidRPr="00234ECD" w:rsidRDefault="00D857AC" w:rsidP="00D857AC">
            <w:pPr>
              <w:jc w:val="center"/>
              <w:rPr>
                <w:sz w:val="22"/>
                <w:szCs w:val="22"/>
                <w:lang w:val="sr-Latn-RS"/>
              </w:rPr>
            </w:pPr>
            <w:r w:rsidRPr="00234ECD">
              <w:rPr>
                <w:sz w:val="22"/>
                <w:szCs w:val="22"/>
                <w:lang w:val="sr-Latn-RS"/>
              </w:rPr>
              <w:t>154 (47,7%)</w:t>
            </w:r>
          </w:p>
        </w:tc>
        <w:tc>
          <w:tcPr>
            <w:tcW w:w="2823" w:type="dxa"/>
            <w:tcBorders>
              <w:top w:val="single" w:sz="4" w:space="0" w:color="auto"/>
              <w:left w:val="single" w:sz="4" w:space="0" w:color="auto"/>
              <w:bottom w:val="single" w:sz="4" w:space="0" w:color="auto"/>
              <w:right w:val="single" w:sz="4" w:space="0" w:color="auto"/>
            </w:tcBorders>
            <w:hideMark/>
          </w:tcPr>
          <w:p w14:paraId="461DA149" w14:textId="77777777" w:rsidR="00D857AC" w:rsidRPr="00234ECD" w:rsidRDefault="00D857AC" w:rsidP="00D857AC">
            <w:pPr>
              <w:jc w:val="center"/>
              <w:rPr>
                <w:sz w:val="22"/>
                <w:szCs w:val="22"/>
                <w:lang w:val="sr-Latn-RS"/>
              </w:rPr>
            </w:pPr>
            <w:r w:rsidRPr="00234ECD">
              <w:rPr>
                <w:sz w:val="22"/>
                <w:szCs w:val="22"/>
                <w:lang w:val="sr-Latn-RS"/>
              </w:rPr>
              <w:t>74 (22,6%)</w:t>
            </w:r>
          </w:p>
        </w:tc>
      </w:tr>
      <w:tr w:rsidR="00D857AC" w:rsidRPr="00234ECD" w14:paraId="5D721F65" w14:textId="77777777" w:rsidTr="00D857AC">
        <w:tc>
          <w:tcPr>
            <w:tcW w:w="3060" w:type="dxa"/>
            <w:tcBorders>
              <w:top w:val="single" w:sz="4" w:space="0" w:color="auto"/>
              <w:left w:val="single" w:sz="4" w:space="0" w:color="auto"/>
              <w:bottom w:val="single" w:sz="4" w:space="0" w:color="auto"/>
              <w:right w:val="single" w:sz="4" w:space="0" w:color="auto"/>
            </w:tcBorders>
            <w:hideMark/>
          </w:tcPr>
          <w:p w14:paraId="081797DF" w14:textId="77777777" w:rsidR="00D857AC" w:rsidRPr="00234ECD" w:rsidRDefault="00D857AC" w:rsidP="00D857AC">
            <w:pPr>
              <w:tabs>
                <w:tab w:val="left" w:pos="180"/>
              </w:tabs>
              <w:rPr>
                <w:sz w:val="22"/>
                <w:szCs w:val="22"/>
                <w:lang w:val="sr-Latn-RS"/>
              </w:rPr>
            </w:pPr>
            <w:r w:rsidRPr="00234ECD">
              <w:rPr>
                <w:sz w:val="22"/>
                <w:szCs w:val="22"/>
                <w:lang w:val="sr-Latn-RS"/>
              </w:rPr>
              <w:tab/>
              <w:t>Stabilna bolest (SD)</w:t>
            </w:r>
          </w:p>
        </w:tc>
        <w:tc>
          <w:tcPr>
            <w:tcW w:w="3291" w:type="dxa"/>
            <w:tcBorders>
              <w:top w:val="single" w:sz="4" w:space="0" w:color="auto"/>
              <w:left w:val="single" w:sz="4" w:space="0" w:color="auto"/>
              <w:bottom w:val="single" w:sz="4" w:space="0" w:color="auto"/>
              <w:right w:val="single" w:sz="4" w:space="0" w:color="auto"/>
            </w:tcBorders>
            <w:hideMark/>
          </w:tcPr>
          <w:p w14:paraId="0C2A0016" w14:textId="77777777" w:rsidR="00D857AC" w:rsidRPr="00234ECD" w:rsidRDefault="00D857AC" w:rsidP="00D857AC">
            <w:pPr>
              <w:jc w:val="center"/>
              <w:rPr>
                <w:sz w:val="22"/>
                <w:szCs w:val="22"/>
                <w:lang w:val="sr-Latn-RS"/>
              </w:rPr>
            </w:pPr>
            <w:r w:rsidRPr="00234ECD">
              <w:rPr>
                <w:sz w:val="22"/>
                <w:szCs w:val="22"/>
                <w:lang w:val="sr-Latn-RS"/>
              </w:rPr>
              <w:t>104 (32,2%)</w:t>
            </w:r>
          </w:p>
        </w:tc>
        <w:tc>
          <w:tcPr>
            <w:tcW w:w="2823" w:type="dxa"/>
            <w:tcBorders>
              <w:top w:val="single" w:sz="4" w:space="0" w:color="auto"/>
              <w:left w:val="single" w:sz="4" w:space="0" w:color="auto"/>
              <w:bottom w:val="single" w:sz="4" w:space="0" w:color="auto"/>
              <w:right w:val="single" w:sz="4" w:space="0" w:color="auto"/>
            </w:tcBorders>
            <w:hideMark/>
          </w:tcPr>
          <w:p w14:paraId="4251F6B4" w14:textId="77777777" w:rsidR="00D857AC" w:rsidRPr="00234ECD" w:rsidRDefault="00D857AC" w:rsidP="00D857AC">
            <w:pPr>
              <w:jc w:val="center"/>
              <w:rPr>
                <w:sz w:val="22"/>
                <w:szCs w:val="22"/>
                <w:lang w:val="sr-Latn-RS"/>
              </w:rPr>
            </w:pPr>
            <w:r w:rsidRPr="00234ECD">
              <w:rPr>
                <w:sz w:val="22"/>
                <w:szCs w:val="22"/>
                <w:lang w:val="sr-Latn-RS"/>
              </w:rPr>
              <w:t>138 (42,1%)</w:t>
            </w:r>
          </w:p>
        </w:tc>
      </w:tr>
      <w:tr w:rsidR="00D857AC" w:rsidRPr="00234ECD" w14:paraId="7FB7E2E9" w14:textId="77777777" w:rsidTr="00D857AC">
        <w:tc>
          <w:tcPr>
            <w:tcW w:w="3060" w:type="dxa"/>
            <w:tcBorders>
              <w:top w:val="single" w:sz="4" w:space="0" w:color="auto"/>
              <w:left w:val="single" w:sz="4" w:space="0" w:color="auto"/>
              <w:bottom w:val="single" w:sz="4" w:space="0" w:color="auto"/>
              <w:right w:val="single" w:sz="4" w:space="0" w:color="auto"/>
            </w:tcBorders>
            <w:hideMark/>
          </w:tcPr>
          <w:p w14:paraId="7E2B54E2" w14:textId="12E0ACDB" w:rsidR="00D857AC" w:rsidRPr="00234ECD" w:rsidRDefault="00D857AC" w:rsidP="00D857AC">
            <w:pPr>
              <w:tabs>
                <w:tab w:val="left" w:pos="180"/>
              </w:tabs>
              <w:rPr>
                <w:b/>
                <w:sz w:val="22"/>
                <w:szCs w:val="22"/>
                <w:lang w:val="sr-Latn-RS"/>
              </w:rPr>
            </w:pPr>
            <w:r w:rsidRPr="00234ECD">
              <w:rPr>
                <w:b/>
                <w:sz w:val="22"/>
                <w:szCs w:val="22"/>
                <w:lang w:val="sr-Latn-RS"/>
              </w:rPr>
              <w:t>Medijan</w:t>
            </w:r>
            <w:r w:rsidR="003706F7" w:rsidRPr="00234ECD">
              <w:rPr>
                <w:b/>
                <w:sz w:val="22"/>
                <w:szCs w:val="22"/>
                <w:lang w:val="sr-Latn-RS"/>
              </w:rPr>
              <w:t>a</w:t>
            </w:r>
            <w:r w:rsidRPr="00234ECD">
              <w:rPr>
                <w:b/>
                <w:sz w:val="22"/>
                <w:szCs w:val="22"/>
                <w:lang w:val="sr-Latn-RS"/>
              </w:rPr>
              <w:t xml:space="preserve"> trajanja odgovora</w:t>
            </w:r>
            <w:r w:rsidRPr="00234ECD">
              <w:rPr>
                <w:b/>
                <w:sz w:val="22"/>
                <w:szCs w:val="22"/>
                <w:vertAlign w:val="superscript"/>
                <w:lang w:val="sr-Latn-RS"/>
              </w:rPr>
              <w:t>d</w:t>
            </w:r>
            <w:r w:rsidRPr="00234ECD">
              <w:rPr>
                <w:b/>
                <w:sz w:val="22"/>
                <w:szCs w:val="22"/>
                <w:lang w:val="sr-Latn-RS"/>
              </w:rPr>
              <w:t xml:space="preserve"> </w:t>
            </w:r>
          </w:p>
        </w:tc>
        <w:tc>
          <w:tcPr>
            <w:tcW w:w="3291" w:type="dxa"/>
            <w:tcBorders>
              <w:top w:val="single" w:sz="4" w:space="0" w:color="auto"/>
              <w:left w:val="single" w:sz="4" w:space="0" w:color="auto"/>
              <w:bottom w:val="single" w:sz="4" w:space="0" w:color="auto"/>
              <w:right w:val="single" w:sz="4" w:space="0" w:color="auto"/>
            </w:tcBorders>
          </w:tcPr>
          <w:p w14:paraId="5F645138" w14:textId="77777777" w:rsidR="00D857AC" w:rsidRPr="00234ECD" w:rsidRDefault="00D857AC" w:rsidP="00D857AC">
            <w:pPr>
              <w:rPr>
                <w:sz w:val="22"/>
                <w:szCs w:val="22"/>
                <w:lang w:val="sr-Latn-RS"/>
              </w:rPr>
            </w:pPr>
          </w:p>
        </w:tc>
        <w:tc>
          <w:tcPr>
            <w:tcW w:w="2823" w:type="dxa"/>
            <w:tcBorders>
              <w:top w:val="single" w:sz="4" w:space="0" w:color="auto"/>
              <w:left w:val="single" w:sz="4" w:space="0" w:color="auto"/>
              <w:bottom w:val="single" w:sz="4" w:space="0" w:color="auto"/>
              <w:right w:val="single" w:sz="4" w:space="0" w:color="auto"/>
            </w:tcBorders>
          </w:tcPr>
          <w:p w14:paraId="268CB992" w14:textId="77777777" w:rsidR="00D857AC" w:rsidRPr="00234ECD" w:rsidRDefault="00D857AC" w:rsidP="00D857AC">
            <w:pPr>
              <w:rPr>
                <w:sz w:val="22"/>
                <w:szCs w:val="22"/>
                <w:lang w:val="sr-Latn-RS"/>
              </w:rPr>
            </w:pPr>
          </w:p>
        </w:tc>
      </w:tr>
      <w:tr w:rsidR="00D857AC" w:rsidRPr="00234ECD" w14:paraId="5F378B71" w14:textId="77777777" w:rsidTr="00D857AC">
        <w:tc>
          <w:tcPr>
            <w:tcW w:w="3060" w:type="dxa"/>
            <w:tcBorders>
              <w:top w:val="single" w:sz="4" w:space="0" w:color="auto"/>
              <w:left w:val="single" w:sz="4" w:space="0" w:color="auto"/>
              <w:bottom w:val="single" w:sz="4" w:space="0" w:color="auto"/>
              <w:right w:val="single" w:sz="4" w:space="0" w:color="auto"/>
            </w:tcBorders>
            <w:hideMark/>
          </w:tcPr>
          <w:p w14:paraId="4C8912C8" w14:textId="6A313041" w:rsidR="00D857AC" w:rsidRPr="00234ECD" w:rsidRDefault="00D857AC" w:rsidP="00D857AC">
            <w:pPr>
              <w:tabs>
                <w:tab w:val="left" w:pos="180"/>
              </w:tabs>
              <w:rPr>
                <w:sz w:val="22"/>
                <w:szCs w:val="22"/>
                <w:lang w:val="sr-Latn-RS"/>
              </w:rPr>
            </w:pPr>
            <w:r w:rsidRPr="00234ECD">
              <w:rPr>
                <w:sz w:val="22"/>
                <w:szCs w:val="22"/>
                <w:lang w:val="sr-Latn-RS"/>
              </w:rPr>
              <w:t xml:space="preserve"> </w:t>
            </w:r>
            <w:r w:rsidRPr="00234ECD">
              <w:rPr>
                <w:sz w:val="22"/>
                <w:szCs w:val="22"/>
                <w:lang w:val="sr-Latn-RS"/>
              </w:rPr>
              <w:tab/>
              <w:t>M</w:t>
            </w:r>
            <w:r w:rsidR="00C020F9" w:rsidRPr="00234ECD">
              <w:rPr>
                <w:sz w:val="22"/>
                <w:szCs w:val="22"/>
                <w:lang w:val="sr-Latn-RS"/>
              </w:rPr>
              <w:t>j</w:t>
            </w:r>
            <w:r w:rsidRPr="00234ECD">
              <w:rPr>
                <w:sz w:val="22"/>
                <w:szCs w:val="22"/>
                <w:lang w:val="sr-Latn-RS"/>
              </w:rPr>
              <w:t>eseci (raspon)</w:t>
            </w:r>
          </w:p>
        </w:tc>
        <w:tc>
          <w:tcPr>
            <w:tcW w:w="3291" w:type="dxa"/>
            <w:tcBorders>
              <w:top w:val="single" w:sz="4" w:space="0" w:color="auto"/>
              <w:left w:val="single" w:sz="4" w:space="0" w:color="auto"/>
              <w:bottom w:val="single" w:sz="4" w:space="0" w:color="auto"/>
              <w:right w:val="single" w:sz="4" w:space="0" w:color="auto"/>
            </w:tcBorders>
            <w:hideMark/>
          </w:tcPr>
          <w:p w14:paraId="41A27286" w14:textId="77777777" w:rsidR="00D857AC" w:rsidRPr="00234ECD" w:rsidRDefault="00D857AC" w:rsidP="00D857AC">
            <w:pPr>
              <w:jc w:val="center"/>
              <w:rPr>
                <w:sz w:val="22"/>
                <w:szCs w:val="22"/>
                <w:lang w:val="sr-Latn-RS"/>
              </w:rPr>
            </w:pPr>
            <w:r w:rsidRPr="00234ECD">
              <w:rPr>
                <w:sz w:val="22"/>
                <w:szCs w:val="22"/>
                <w:lang w:val="sr-Latn-RS"/>
              </w:rPr>
              <w:t>20,17 (17,31; N.E.)</w:t>
            </w:r>
          </w:p>
        </w:tc>
        <w:tc>
          <w:tcPr>
            <w:tcW w:w="2823" w:type="dxa"/>
            <w:tcBorders>
              <w:top w:val="single" w:sz="4" w:space="0" w:color="auto"/>
              <w:left w:val="single" w:sz="4" w:space="0" w:color="auto"/>
              <w:bottom w:val="single" w:sz="4" w:space="0" w:color="auto"/>
              <w:right w:val="single" w:sz="4" w:space="0" w:color="auto"/>
            </w:tcBorders>
            <w:hideMark/>
          </w:tcPr>
          <w:p w14:paraId="10105FCA" w14:textId="77777777" w:rsidR="00D857AC" w:rsidRPr="00234ECD" w:rsidRDefault="00D857AC" w:rsidP="00D857AC">
            <w:pPr>
              <w:jc w:val="center"/>
              <w:rPr>
                <w:sz w:val="22"/>
                <w:szCs w:val="22"/>
                <w:lang w:val="sr-Latn-RS"/>
              </w:rPr>
            </w:pPr>
            <w:r w:rsidRPr="00234ECD">
              <w:rPr>
                <w:sz w:val="22"/>
                <w:szCs w:val="22"/>
                <w:lang w:val="sr-Latn-RS"/>
              </w:rPr>
              <w:t>11,47 (8,31; 18,43)</w:t>
            </w:r>
          </w:p>
        </w:tc>
      </w:tr>
      <w:tr w:rsidR="00D857AC" w:rsidRPr="00234ECD" w14:paraId="1BA7CDEE" w14:textId="77777777" w:rsidTr="00D857AC">
        <w:tc>
          <w:tcPr>
            <w:tcW w:w="3060" w:type="dxa"/>
            <w:tcBorders>
              <w:top w:val="single" w:sz="4" w:space="0" w:color="auto"/>
              <w:left w:val="single" w:sz="4" w:space="0" w:color="auto"/>
              <w:bottom w:val="single" w:sz="4" w:space="0" w:color="auto"/>
              <w:right w:val="single" w:sz="4" w:space="0" w:color="auto"/>
            </w:tcBorders>
            <w:hideMark/>
          </w:tcPr>
          <w:p w14:paraId="70ED5DB1" w14:textId="6EDF92CD" w:rsidR="00D857AC" w:rsidRPr="00234ECD" w:rsidRDefault="00D857AC" w:rsidP="00D857AC">
            <w:pPr>
              <w:tabs>
                <w:tab w:val="left" w:pos="180"/>
              </w:tabs>
              <w:rPr>
                <w:b/>
                <w:sz w:val="22"/>
                <w:szCs w:val="22"/>
                <w:lang w:val="sr-Latn-RS"/>
              </w:rPr>
            </w:pPr>
            <w:r w:rsidRPr="00234ECD">
              <w:rPr>
                <w:b/>
                <w:sz w:val="22"/>
                <w:szCs w:val="22"/>
                <w:lang w:val="sr-Latn-RS"/>
              </w:rPr>
              <w:t>Medijan</w:t>
            </w:r>
            <w:r w:rsidR="003706F7" w:rsidRPr="00234ECD">
              <w:rPr>
                <w:b/>
                <w:sz w:val="22"/>
                <w:szCs w:val="22"/>
                <w:lang w:val="sr-Latn-RS"/>
              </w:rPr>
              <w:t>a</w:t>
            </w:r>
            <w:r w:rsidRPr="00234ECD">
              <w:rPr>
                <w:b/>
                <w:sz w:val="22"/>
                <w:szCs w:val="22"/>
                <w:lang w:val="sr-Latn-RS"/>
              </w:rPr>
              <w:t xml:space="preserve"> vremena do prvog odgovora</w:t>
            </w:r>
          </w:p>
        </w:tc>
        <w:tc>
          <w:tcPr>
            <w:tcW w:w="3291" w:type="dxa"/>
            <w:tcBorders>
              <w:top w:val="single" w:sz="4" w:space="0" w:color="auto"/>
              <w:left w:val="single" w:sz="4" w:space="0" w:color="auto"/>
              <w:bottom w:val="single" w:sz="4" w:space="0" w:color="auto"/>
              <w:right w:val="single" w:sz="4" w:space="0" w:color="auto"/>
            </w:tcBorders>
          </w:tcPr>
          <w:p w14:paraId="5D3041DD" w14:textId="77777777" w:rsidR="00D857AC" w:rsidRPr="00234ECD" w:rsidRDefault="00D857AC" w:rsidP="00D857AC">
            <w:pPr>
              <w:rPr>
                <w:sz w:val="22"/>
                <w:szCs w:val="22"/>
                <w:lang w:val="sr-Latn-RS"/>
              </w:rPr>
            </w:pPr>
          </w:p>
        </w:tc>
        <w:tc>
          <w:tcPr>
            <w:tcW w:w="2823" w:type="dxa"/>
            <w:tcBorders>
              <w:top w:val="single" w:sz="4" w:space="0" w:color="auto"/>
              <w:left w:val="single" w:sz="4" w:space="0" w:color="auto"/>
              <w:bottom w:val="single" w:sz="4" w:space="0" w:color="auto"/>
              <w:right w:val="single" w:sz="4" w:space="0" w:color="auto"/>
            </w:tcBorders>
          </w:tcPr>
          <w:p w14:paraId="1F5BB126" w14:textId="77777777" w:rsidR="00D857AC" w:rsidRPr="00234ECD" w:rsidRDefault="00D857AC" w:rsidP="00D857AC">
            <w:pPr>
              <w:rPr>
                <w:sz w:val="22"/>
                <w:szCs w:val="22"/>
                <w:lang w:val="sr-Latn-RS"/>
              </w:rPr>
            </w:pPr>
          </w:p>
        </w:tc>
      </w:tr>
      <w:tr w:rsidR="00D857AC" w:rsidRPr="00234ECD" w14:paraId="67CE42A3" w14:textId="77777777" w:rsidTr="00D857AC">
        <w:trPr>
          <w:trHeight w:val="261"/>
        </w:trPr>
        <w:tc>
          <w:tcPr>
            <w:tcW w:w="3060" w:type="dxa"/>
            <w:tcBorders>
              <w:top w:val="single" w:sz="4" w:space="0" w:color="auto"/>
              <w:left w:val="single" w:sz="4" w:space="0" w:color="auto"/>
              <w:bottom w:val="single" w:sz="4" w:space="0" w:color="auto"/>
              <w:right w:val="single" w:sz="4" w:space="0" w:color="auto"/>
            </w:tcBorders>
            <w:hideMark/>
          </w:tcPr>
          <w:p w14:paraId="0F93F61C" w14:textId="7C15153C" w:rsidR="00D857AC" w:rsidRPr="00234ECD" w:rsidRDefault="00D857AC" w:rsidP="00D857AC">
            <w:pPr>
              <w:tabs>
                <w:tab w:val="left" w:pos="180"/>
              </w:tabs>
              <w:rPr>
                <w:sz w:val="22"/>
                <w:szCs w:val="22"/>
                <w:lang w:val="sr-Latn-RS"/>
              </w:rPr>
            </w:pPr>
            <w:r w:rsidRPr="00234ECD">
              <w:rPr>
                <w:sz w:val="22"/>
                <w:szCs w:val="22"/>
                <w:lang w:val="sr-Latn-RS"/>
              </w:rPr>
              <w:tab/>
              <w:t>M</w:t>
            </w:r>
            <w:r w:rsidR="00C020F9" w:rsidRPr="00234ECD">
              <w:rPr>
                <w:sz w:val="22"/>
                <w:szCs w:val="22"/>
                <w:lang w:val="sr-Latn-RS"/>
              </w:rPr>
              <w:t>j</w:t>
            </w:r>
            <w:r w:rsidRPr="00234ECD">
              <w:rPr>
                <w:sz w:val="22"/>
                <w:szCs w:val="22"/>
                <w:lang w:val="sr-Latn-RS"/>
              </w:rPr>
              <w:t>eseci (raspon)</w:t>
            </w:r>
          </w:p>
        </w:tc>
        <w:tc>
          <w:tcPr>
            <w:tcW w:w="3291" w:type="dxa"/>
            <w:tcBorders>
              <w:top w:val="single" w:sz="4" w:space="0" w:color="auto"/>
              <w:left w:val="single" w:sz="4" w:space="0" w:color="auto"/>
              <w:bottom w:val="single" w:sz="4" w:space="0" w:color="auto"/>
              <w:right w:val="single" w:sz="4" w:space="0" w:color="auto"/>
            </w:tcBorders>
            <w:hideMark/>
          </w:tcPr>
          <w:p w14:paraId="3A55510F" w14:textId="77777777" w:rsidR="00D857AC" w:rsidRPr="00234ECD" w:rsidRDefault="00D857AC" w:rsidP="00D857AC">
            <w:pPr>
              <w:jc w:val="center"/>
              <w:rPr>
                <w:sz w:val="22"/>
                <w:szCs w:val="22"/>
                <w:lang w:val="sr-Latn-RS"/>
              </w:rPr>
            </w:pPr>
            <w:r w:rsidRPr="00234ECD">
              <w:rPr>
                <w:sz w:val="22"/>
                <w:szCs w:val="22"/>
                <w:lang w:val="sr-Latn-RS"/>
              </w:rPr>
              <w:t>2,83 (1,0</w:t>
            </w:r>
            <w:r w:rsidRPr="00234ECD">
              <w:rPr>
                <w:sz w:val="22"/>
                <w:szCs w:val="22"/>
                <w:lang w:val="sr-Latn-RS"/>
              </w:rPr>
              <w:noBreakHyphen/>
              <w:t>19,4)</w:t>
            </w:r>
          </w:p>
        </w:tc>
        <w:tc>
          <w:tcPr>
            <w:tcW w:w="2823" w:type="dxa"/>
            <w:tcBorders>
              <w:top w:val="single" w:sz="4" w:space="0" w:color="auto"/>
              <w:left w:val="single" w:sz="4" w:space="0" w:color="auto"/>
              <w:bottom w:val="single" w:sz="4" w:space="0" w:color="auto"/>
              <w:right w:val="single" w:sz="4" w:space="0" w:color="auto"/>
            </w:tcBorders>
            <w:hideMark/>
          </w:tcPr>
          <w:p w14:paraId="761391D3" w14:textId="77777777" w:rsidR="00D857AC" w:rsidRPr="00234ECD" w:rsidRDefault="00D857AC" w:rsidP="00D857AC">
            <w:pPr>
              <w:jc w:val="center"/>
              <w:rPr>
                <w:sz w:val="22"/>
                <w:szCs w:val="22"/>
                <w:lang w:val="sr-Latn-RS"/>
              </w:rPr>
            </w:pPr>
            <w:r w:rsidRPr="00234ECD">
              <w:rPr>
                <w:sz w:val="22"/>
                <w:szCs w:val="22"/>
                <w:lang w:val="sr-Latn-RS"/>
              </w:rPr>
              <w:t>4,17 (1,7</w:t>
            </w:r>
            <w:r w:rsidRPr="00234ECD">
              <w:rPr>
                <w:sz w:val="22"/>
                <w:szCs w:val="22"/>
                <w:lang w:val="sr-Latn-RS"/>
              </w:rPr>
              <w:noBreakHyphen/>
              <w:t>12,3)</w:t>
            </w:r>
          </w:p>
        </w:tc>
      </w:tr>
    </w:tbl>
    <w:p w14:paraId="6EDF5223" w14:textId="1E35323C" w:rsidR="00D857AC" w:rsidRPr="00234ECD" w:rsidRDefault="00D857AC" w:rsidP="00D857AC">
      <w:pPr>
        <w:tabs>
          <w:tab w:val="left" w:pos="216"/>
        </w:tabs>
        <w:ind w:left="216" w:hanging="216"/>
        <w:jc w:val="both"/>
        <w:rPr>
          <w:rFonts w:eastAsia="TimesNewRoman"/>
          <w:sz w:val="22"/>
          <w:szCs w:val="22"/>
          <w:lang w:val="sr-Latn-RS" w:eastAsia="es-ES"/>
        </w:rPr>
      </w:pPr>
      <w:r w:rsidRPr="00234ECD">
        <w:rPr>
          <w:rFonts w:eastAsia="SimSun"/>
          <w:sz w:val="22"/>
          <w:szCs w:val="22"/>
          <w:vertAlign w:val="superscript"/>
          <w:lang w:val="sr-Latn-RS" w:eastAsia="es-ES"/>
        </w:rPr>
        <w:t>a</w:t>
      </w:r>
      <w:r w:rsidRPr="00234ECD">
        <w:rPr>
          <w:rFonts w:eastAsia="SimSun"/>
          <w:sz w:val="22"/>
          <w:szCs w:val="22"/>
          <w:lang w:val="sr-Latn-RS" w:eastAsia="es-ES"/>
        </w:rPr>
        <w:tab/>
      </w:r>
      <w:r w:rsidRPr="00234ECD">
        <w:rPr>
          <w:rFonts w:eastAsia="TimesNewRoman"/>
          <w:sz w:val="22"/>
          <w:szCs w:val="22"/>
          <w:lang w:val="sr-Latn-RS" w:eastAsia="es-ES"/>
        </w:rPr>
        <w:t xml:space="preserve">Stratifikovani </w:t>
      </w:r>
      <w:r w:rsidRPr="00234ECD">
        <w:rPr>
          <w:rFonts w:eastAsia="TimesNewRoman"/>
          <w:i/>
          <w:sz w:val="22"/>
          <w:szCs w:val="22"/>
          <w:lang w:val="sr-Latn-RS" w:eastAsia="es-ES"/>
        </w:rPr>
        <w:t>Co</w:t>
      </w:r>
      <w:r w:rsidR="00567A3C" w:rsidRPr="00234ECD">
        <w:rPr>
          <w:rFonts w:eastAsia="TimesNewRoman"/>
          <w:i/>
          <w:sz w:val="22"/>
          <w:szCs w:val="22"/>
          <w:lang w:val="sr-Latn-RS" w:eastAsia="es-ES"/>
        </w:rPr>
        <w:t>x</w:t>
      </w:r>
      <w:r w:rsidR="00567A3C" w:rsidRPr="00234ECD">
        <w:rPr>
          <w:rFonts w:eastAsia="TimesNewRoman"/>
          <w:sz w:val="22"/>
          <w:szCs w:val="22"/>
          <w:lang w:val="sr-Latn-RS" w:eastAsia="es-ES"/>
        </w:rPr>
        <w:t>-</w:t>
      </w:r>
      <w:r w:rsidRPr="00234ECD">
        <w:rPr>
          <w:rFonts w:eastAsia="TimesNewRoman"/>
          <w:sz w:val="22"/>
          <w:szCs w:val="22"/>
          <w:lang w:val="sr-Latn-RS" w:eastAsia="es-ES"/>
        </w:rPr>
        <w:t>ov model proporcionalnih opasnosti. Odnos opasnosti je nivolumab i kabozantinib u odnosu na sunitinib.</w:t>
      </w:r>
    </w:p>
    <w:p w14:paraId="085EEA46" w14:textId="7A9C57CB" w:rsidR="00D857AC" w:rsidRPr="00234ECD" w:rsidRDefault="00D857AC" w:rsidP="00D857AC">
      <w:pPr>
        <w:tabs>
          <w:tab w:val="left" w:pos="216"/>
        </w:tabs>
        <w:ind w:left="216" w:hanging="216"/>
        <w:jc w:val="both"/>
        <w:rPr>
          <w:rFonts w:eastAsia="TimesNewRoman"/>
          <w:sz w:val="22"/>
          <w:szCs w:val="22"/>
          <w:lang w:val="sr-Latn-RS" w:eastAsia="es-ES"/>
        </w:rPr>
      </w:pPr>
      <w:r w:rsidRPr="00234ECD">
        <w:rPr>
          <w:rFonts w:eastAsia="TimesNewRoman"/>
          <w:sz w:val="22"/>
          <w:szCs w:val="22"/>
          <w:vertAlign w:val="superscript"/>
          <w:lang w:val="sr-Latn-RS" w:eastAsia="es-ES"/>
        </w:rPr>
        <w:t>b</w:t>
      </w:r>
      <w:r w:rsidRPr="00234ECD">
        <w:rPr>
          <w:rFonts w:eastAsia="TimesNewRoman"/>
          <w:sz w:val="22"/>
          <w:szCs w:val="22"/>
          <w:lang w:val="sr-Latn-RS" w:eastAsia="es-ES"/>
        </w:rPr>
        <w:tab/>
        <w:t>Dvostrane p-vr</w:t>
      </w:r>
      <w:r w:rsidR="00E43C5A" w:rsidRPr="00234ECD">
        <w:rPr>
          <w:rFonts w:eastAsia="TimesNewRoman"/>
          <w:sz w:val="22"/>
          <w:szCs w:val="22"/>
          <w:lang w:val="sr-Latn-RS" w:eastAsia="es-ES"/>
        </w:rPr>
        <w:t>ij</w:t>
      </w:r>
      <w:r w:rsidRPr="00234ECD">
        <w:rPr>
          <w:rFonts w:eastAsia="TimesNewRoman"/>
          <w:sz w:val="22"/>
          <w:szCs w:val="22"/>
          <w:lang w:val="sr-Latn-RS" w:eastAsia="es-ES"/>
        </w:rPr>
        <w:t>ednosti iz stratifikovanog redovnog test log-rank.</w:t>
      </w:r>
    </w:p>
    <w:p w14:paraId="3C4E4616" w14:textId="1FB04468" w:rsidR="00D857AC" w:rsidRPr="00234ECD" w:rsidRDefault="00D857AC" w:rsidP="00D857AC">
      <w:pPr>
        <w:tabs>
          <w:tab w:val="left" w:pos="216"/>
        </w:tabs>
        <w:ind w:left="216" w:hanging="216"/>
        <w:jc w:val="both"/>
        <w:rPr>
          <w:rFonts w:eastAsia="TimesNewRoman"/>
          <w:sz w:val="22"/>
          <w:szCs w:val="22"/>
          <w:lang w:val="sr-Latn-RS" w:eastAsia="es-ES"/>
        </w:rPr>
      </w:pPr>
      <w:r w:rsidRPr="00234ECD">
        <w:rPr>
          <w:rFonts w:eastAsia="SimSun"/>
          <w:sz w:val="22"/>
          <w:szCs w:val="22"/>
          <w:vertAlign w:val="superscript"/>
          <w:lang w:val="sr-Latn-RS" w:eastAsia="es-ES"/>
        </w:rPr>
        <w:t>c</w:t>
      </w:r>
      <w:r w:rsidRPr="00234ECD">
        <w:rPr>
          <w:rFonts w:eastAsia="SimSun"/>
          <w:sz w:val="22"/>
          <w:szCs w:val="22"/>
          <w:lang w:val="sr-Latn-RS" w:eastAsia="es-ES"/>
        </w:rPr>
        <w:tab/>
      </w:r>
      <w:r w:rsidRPr="00234ECD">
        <w:rPr>
          <w:rFonts w:eastAsia="TimesNewRoman"/>
          <w:sz w:val="22"/>
          <w:szCs w:val="22"/>
          <w:lang w:val="sr-Latn-RS" w:eastAsia="es-ES"/>
        </w:rPr>
        <w:t xml:space="preserve">Log-rank test stratifikovan </w:t>
      </w:r>
      <w:r w:rsidRPr="00234ECD">
        <w:rPr>
          <w:rFonts w:eastAsia="Calibri"/>
          <w:sz w:val="22"/>
          <w:szCs w:val="22"/>
          <w:lang w:val="sr-Latn-RS"/>
        </w:rPr>
        <w:t xml:space="preserve">prema prognostičkom rezutatu za rizik prema IMDC kriterijumima </w:t>
      </w:r>
      <w:r w:rsidRPr="00234ECD">
        <w:rPr>
          <w:rFonts w:eastAsia="TimesNewRoman"/>
          <w:sz w:val="22"/>
          <w:szCs w:val="22"/>
          <w:lang w:val="sr-Latn-RS" w:eastAsia="es-ES"/>
        </w:rPr>
        <w:t>(0, 1-2, 3-6), tumorskoj ekspresiji PD-L1 (</w:t>
      </w:r>
      <w:r w:rsidRPr="00234ECD">
        <w:rPr>
          <w:rFonts w:eastAsia="TimesNewRoman"/>
          <w:sz w:val="22"/>
          <w:szCs w:val="22"/>
          <w:lang w:val="sr-Latn-RS" w:eastAsia="es-ES"/>
        </w:rPr>
        <w:sym w:font="Symbol" w:char="F0B3"/>
      </w:r>
      <w:r w:rsidRPr="00234ECD">
        <w:rPr>
          <w:rFonts w:eastAsia="TimesNewRoman"/>
          <w:sz w:val="22"/>
          <w:szCs w:val="22"/>
          <w:lang w:val="sr-Latn-RS" w:eastAsia="es-ES"/>
        </w:rPr>
        <w:t>1% naspram &lt;1% ili neodređeno) i regionu (SAD/Kanada/zapadna Evropa/S</w:t>
      </w:r>
      <w:r w:rsidR="003D6540" w:rsidRPr="00234ECD">
        <w:rPr>
          <w:rFonts w:eastAsia="TimesNewRoman"/>
          <w:sz w:val="22"/>
          <w:szCs w:val="22"/>
          <w:lang w:val="sr-Latn-RS" w:eastAsia="es-ES"/>
        </w:rPr>
        <w:t>j</w:t>
      </w:r>
      <w:r w:rsidRPr="00234ECD">
        <w:rPr>
          <w:rFonts w:eastAsia="TimesNewRoman"/>
          <w:sz w:val="22"/>
          <w:szCs w:val="22"/>
          <w:lang w:val="sr-Latn-RS" w:eastAsia="es-ES"/>
        </w:rPr>
        <w:t>everna Evropa, ostatak sv</w:t>
      </w:r>
      <w:r w:rsidR="00E43C5A" w:rsidRPr="00234ECD">
        <w:rPr>
          <w:rFonts w:eastAsia="TimesNewRoman"/>
          <w:sz w:val="22"/>
          <w:szCs w:val="22"/>
          <w:lang w:val="sr-Latn-RS" w:eastAsia="es-ES"/>
        </w:rPr>
        <w:t>ij</w:t>
      </w:r>
      <w:r w:rsidRPr="00234ECD">
        <w:rPr>
          <w:rFonts w:eastAsia="TimesNewRoman"/>
          <w:sz w:val="22"/>
          <w:szCs w:val="22"/>
          <w:lang w:val="sr-Latn-RS" w:eastAsia="es-ES"/>
        </w:rPr>
        <w:t>eta) kako je un</w:t>
      </w:r>
      <w:r w:rsidR="00E43C5A" w:rsidRPr="00234ECD">
        <w:rPr>
          <w:rFonts w:eastAsia="TimesNewRoman"/>
          <w:sz w:val="22"/>
          <w:szCs w:val="22"/>
          <w:lang w:val="sr-Latn-RS" w:eastAsia="es-ES"/>
        </w:rPr>
        <w:t>ij</w:t>
      </w:r>
      <w:r w:rsidRPr="00234ECD">
        <w:rPr>
          <w:rFonts w:eastAsia="TimesNewRoman"/>
          <w:sz w:val="22"/>
          <w:szCs w:val="22"/>
          <w:lang w:val="sr-Latn-RS" w:eastAsia="es-ES"/>
        </w:rPr>
        <w:t xml:space="preserve">eto u IRT </w:t>
      </w:r>
      <w:r w:rsidRPr="00234ECD">
        <w:rPr>
          <w:rFonts w:eastAsia="Calibri"/>
          <w:sz w:val="22"/>
          <w:szCs w:val="22"/>
          <w:lang w:val="sr-Latn-RS"/>
        </w:rPr>
        <w:t xml:space="preserve">(engl. </w:t>
      </w:r>
      <w:r w:rsidRPr="00234ECD">
        <w:rPr>
          <w:rFonts w:eastAsia="Calibri"/>
          <w:i/>
          <w:iCs/>
          <w:sz w:val="22"/>
          <w:szCs w:val="22"/>
          <w:lang w:val="sr-Latn-RS"/>
        </w:rPr>
        <w:t>Interactive Response Technology</w:t>
      </w:r>
      <w:r w:rsidRPr="00234ECD">
        <w:rPr>
          <w:rFonts w:eastAsia="Calibri"/>
          <w:sz w:val="22"/>
          <w:szCs w:val="22"/>
          <w:lang w:val="sr-Latn-RS"/>
        </w:rPr>
        <w:t>).</w:t>
      </w:r>
    </w:p>
    <w:p w14:paraId="21E39ED9" w14:textId="26DE327F" w:rsidR="00D857AC" w:rsidRPr="00234ECD" w:rsidRDefault="00D857AC" w:rsidP="00D857AC">
      <w:pPr>
        <w:tabs>
          <w:tab w:val="left" w:pos="216"/>
        </w:tabs>
        <w:ind w:left="216" w:hanging="216"/>
        <w:jc w:val="both"/>
        <w:rPr>
          <w:rFonts w:eastAsia="TimesNewRoman"/>
          <w:sz w:val="22"/>
          <w:szCs w:val="22"/>
          <w:lang w:val="sr-Latn-RS" w:eastAsia="es-ES"/>
        </w:rPr>
      </w:pPr>
      <w:r w:rsidRPr="00234ECD">
        <w:rPr>
          <w:rFonts w:eastAsia="SimSun"/>
          <w:sz w:val="22"/>
          <w:szCs w:val="22"/>
          <w:vertAlign w:val="superscript"/>
          <w:lang w:val="sr-Latn-RS" w:eastAsia="es-ES"/>
        </w:rPr>
        <w:t>d</w:t>
      </w:r>
      <w:r w:rsidRPr="00234ECD">
        <w:rPr>
          <w:rFonts w:eastAsia="SimSun"/>
          <w:sz w:val="22"/>
          <w:szCs w:val="22"/>
          <w:lang w:val="sr-Latn-RS" w:eastAsia="es-ES"/>
        </w:rPr>
        <w:tab/>
      </w:r>
      <w:r w:rsidRPr="00234ECD">
        <w:rPr>
          <w:rFonts w:eastAsia="TimesNewRoman"/>
          <w:sz w:val="22"/>
          <w:szCs w:val="22"/>
          <w:lang w:val="sr-Latn-RS" w:eastAsia="es-ES"/>
        </w:rPr>
        <w:t>Zasnovano na proc</w:t>
      </w:r>
      <w:r w:rsidR="00E43C5A" w:rsidRPr="00234ECD">
        <w:rPr>
          <w:rFonts w:eastAsia="TimesNewRoman"/>
          <w:sz w:val="22"/>
          <w:szCs w:val="22"/>
          <w:lang w:val="sr-Latn-RS" w:eastAsia="es-ES"/>
        </w:rPr>
        <w:t>j</w:t>
      </w:r>
      <w:r w:rsidRPr="00234ECD">
        <w:rPr>
          <w:rFonts w:eastAsia="TimesNewRoman"/>
          <w:sz w:val="22"/>
          <w:szCs w:val="22"/>
          <w:lang w:val="sr-Latn-RS" w:eastAsia="es-ES"/>
        </w:rPr>
        <w:t>eni prema Kaplan-Meier-u.</w:t>
      </w:r>
    </w:p>
    <w:p w14:paraId="3451B10A" w14:textId="09BDFED9" w:rsidR="00D857AC" w:rsidRPr="00234ECD" w:rsidRDefault="00D857AC" w:rsidP="00D857AC">
      <w:pPr>
        <w:tabs>
          <w:tab w:val="left" w:pos="216"/>
        </w:tabs>
        <w:ind w:left="216" w:hanging="216"/>
        <w:jc w:val="both"/>
        <w:rPr>
          <w:rFonts w:eastAsia="TimesNewRoman"/>
          <w:sz w:val="22"/>
          <w:szCs w:val="22"/>
          <w:lang w:val="sr-Latn-RS" w:eastAsia="es-ES"/>
        </w:rPr>
      </w:pPr>
      <w:r w:rsidRPr="00234ECD">
        <w:rPr>
          <w:rFonts w:eastAsia="SimSun"/>
          <w:sz w:val="22"/>
          <w:szCs w:val="22"/>
          <w:vertAlign w:val="superscript"/>
          <w:lang w:val="sr-Latn-RS" w:eastAsia="es-ES"/>
        </w:rPr>
        <w:t>e</w:t>
      </w:r>
      <w:r w:rsidRPr="00234ECD">
        <w:rPr>
          <w:rFonts w:eastAsia="SimSun"/>
          <w:sz w:val="22"/>
          <w:szCs w:val="22"/>
          <w:lang w:val="sr-Latn-RS" w:eastAsia="es-ES"/>
        </w:rPr>
        <w:tab/>
      </w:r>
      <w:r w:rsidRPr="00234ECD">
        <w:rPr>
          <w:rFonts w:eastAsia="TimesNewRoman"/>
          <w:sz w:val="22"/>
          <w:szCs w:val="22"/>
          <w:lang w:val="sr-Latn-RS" w:eastAsia="es-ES"/>
        </w:rPr>
        <w:t>Granica za statističku značajnost p-vr</w:t>
      </w:r>
      <w:r w:rsidR="00E43C5A" w:rsidRPr="00234ECD">
        <w:rPr>
          <w:rFonts w:eastAsia="TimesNewRoman"/>
          <w:sz w:val="22"/>
          <w:szCs w:val="22"/>
          <w:lang w:val="sr-Latn-RS" w:eastAsia="es-ES"/>
        </w:rPr>
        <w:t>ij</w:t>
      </w:r>
      <w:r w:rsidRPr="00234ECD">
        <w:rPr>
          <w:rFonts w:eastAsia="TimesNewRoman"/>
          <w:sz w:val="22"/>
          <w:szCs w:val="22"/>
          <w:lang w:val="sr-Latn-RS" w:eastAsia="es-ES"/>
        </w:rPr>
        <w:t>ednost &lt;0,0111.</w:t>
      </w:r>
    </w:p>
    <w:p w14:paraId="3D01AE0A" w14:textId="77777777" w:rsidR="00D857AC" w:rsidRPr="00234ECD" w:rsidRDefault="00D857AC" w:rsidP="00D857AC">
      <w:pPr>
        <w:tabs>
          <w:tab w:val="left" w:pos="216"/>
        </w:tabs>
        <w:ind w:left="216" w:hanging="216"/>
        <w:jc w:val="both"/>
        <w:rPr>
          <w:rFonts w:eastAsia="TimesNewRoman"/>
          <w:sz w:val="22"/>
          <w:szCs w:val="22"/>
          <w:lang w:val="sr-Latn-RS" w:eastAsia="es-ES"/>
        </w:rPr>
      </w:pPr>
      <w:r w:rsidRPr="00234ECD">
        <w:rPr>
          <w:rFonts w:eastAsia="SimSun"/>
          <w:sz w:val="22"/>
          <w:szCs w:val="22"/>
          <w:vertAlign w:val="superscript"/>
          <w:lang w:val="sr-Latn-RS" w:eastAsia="es-ES"/>
        </w:rPr>
        <w:t>f</w:t>
      </w:r>
      <w:r w:rsidRPr="00234ECD">
        <w:rPr>
          <w:rFonts w:eastAsia="SimSun"/>
          <w:sz w:val="22"/>
          <w:szCs w:val="22"/>
          <w:lang w:val="sr-Latn-RS" w:eastAsia="es-ES"/>
        </w:rPr>
        <w:tab/>
      </w:r>
      <w:r w:rsidRPr="00234ECD">
        <w:rPr>
          <w:rFonts w:eastAsia="TimesNewRoman"/>
          <w:sz w:val="22"/>
          <w:szCs w:val="22"/>
          <w:lang w:val="sr-Latn-RS" w:eastAsia="es-ES"/>
        </w:rPr>
        <w:t>CI zasnovan na Clopper-ovoj i Pearson-ovoj metodi.</w:t>
      </w:r>
    </w:p>
    <w:p w14:paraId="047E9492" w14:textId="77777777" w:rsidR="00D857AC" w:rsidRPr="00234ECD" w:rsidRDefault="00D857AC" w:rsidP="00D857AC">
      <w:pPr>
        <w:tabs>
          <w:tab w:val="left" w:pos="216"/>
        </w:tabs>
        <w:ind w:left="216" w:hanging="216"/>
        <w:jc w:val="both"/>
        <w:rPr>
          <w:rFonts w:eastAsia="SimSun"/>
          <w:sz w:val="22"/>
          <w:szCs w:val="22"/>
          <w:lang w:val="sr-Latn-RS" w:eastAsia="es-ES"/>
        </w:rPr>
      </w:pPr>
      <w:r w:rsidRPr="00234ECD">
        <w:rPr>
          <w:rFonts w:eastAsia="SimSun"/>
          <w:sz w:val="22"/>
          <w:szCs w:val="22"/>
          <w:vertAlign w:val="superscript"/>
          <w:lang w:val="sr-Latn-RS" w:eastAsia="es-ES"/>
        </w:rPr>
        <w:t>g</w:t>
      </w:r>
      <w:r w:rsidRPr="00234ECD">
        <w:rPr>
          <w:rFonts w:eastAsia="SimSun"/>
          <w:sz w:val="22"/>
          <w:szCs w:val="22"/>
          <w:lang w:val="sr-Latn-RS" w:eastAsia="es-ES"/>
        </w:rPr>
        <w:tab/>
      </w:r>
      <w:r w:rsidRPr="00234ECD">
        <w:rPr>
          <w:rFonts w:eastAsia="Calibri"/>
          <w:sz w:val="22"/>
          <w:szCs w:val="22"/>
          <w:lang w:val="sr-Latn-RS"/>
        </w:rPr>
        <w:t>Razlika u stopi objektivnog odgovora (nivolumab + kabozantinib - sunitinib) prilagođena za stratume prema DerSimonian-u i Laird-u</w:t>
      </w:r>
    </w:p>
    <w:p w14:paraId="07165DD7" w14:textId="12A12609" w:rsidR="00D857AC" w:rsidRPr="00234ECD" w:rsidRDefault="00D857AC" w:rsidP="00D857AC">
      <w:pPr>
        <w:tabs>
          <w:tab w:val="left" w:pos="216"/>
        </w:tabs>
        <w:ind w:left="216" w:hanging="216"/>
        <w:jc w:val="both"/>
        <w:rPr>
          <w:rFonts w:eastAsia="TimesNewRoman"/>
          <w:sz w:val="22"/>
          <w:szCs w:val="22"/>
          <w:lang w:val="sr-Latn-RS" w:eastAsia="es-ES"/>
        </w:rPr>
      </w:pPr>
      <w:r w:rsidRPr="00234ECD">
        <w:rPr>
          <w:rFonts w:eastAsia="SimSun"/>
          <w:sz w:val="22"/>
          <w:szCs w:val="22"/>
          <w:vertAlign w:val="superscript"/>
          <w:lang w:val="sr-Latn-RS" w:eastAsia="es-ES"/>
        </w:rPr>
        <w:t>h</w:t>
      </w:r>
      <w:r w:rsidRPr="00234ECD">
        <w:rPr>
          <w:rFonts w:eastAsia="SimSun"/>
          <w:sz w:val="22"/>
          <w:szCs w:val="22"/>
          <w:vertAlign w:val="superscript"/>
          <w:lang w:val="sr-Latn-RS" w:eastAsia="es-ES"/>
        </w:rPr>
        <w:tab/>
      </w:r>
      <w:r w:rsidRPr="00234ECD">
        <w:rPr>
          <w:rFonts w:eastAsia="Calibri"/>
          <w:sz w:val="22"/>
          <w:szCs w:val="22"/>
          <w:lang w:val="sr-Latn-RS"/>
        </w:rPr>
        <w:t>Dvostrane p-vr</w:t>
      </w:r>
      <w:r w:rsidR="00D45C4E" w:rsidRPr="00234ECD">
        <w:rPr>
          <w:rFonts w:eastAsia="Calibri"/>
          <w:sz w:val="22"/>
          <w:szCs w:val="22"/>
          <w:lang w:val="sr-Latn-RS"/>
        </w:rPr>
        <w:t>ij</w:t>
      </w:r>
      <w:r w:rsidRPr="00234ECD">
        <w:rPr>
          <w:rFonts w:eastAsia="Calibri"/>
          <w:sz w:val="22"/>
          <w:szCs w:val="22"/>
          <w:lang w:val="sr-Latn-RS"/>
        </w:rPr>
        <w:t xml:space="preserve">ednosti iz </w:t>
      </w:r>
      <w:r w:rsidR="00B14815" w:rsidRPr="00234ECD">
        <w:rPr>
          <w:i/>
          <w:sz w:val="22"/>
          <w:szCs w:val="22"/>
          <w:lang w:val="sr-Latn-RS"/>
        </w:rPr>
        <w:t>Cochran-Mantel-Haenszel</w:t>
      </w:r>
      <w:r w:rsidR="00B14815" w:rsidRPr="00234ECD">
        <w:rPr>
          <w:sz w:val="22"/>
          <w:szCs w:val="22"/>
          <w:lang w:val="sr-Latn-RS"/>
        </w:rPr>
        <w:t>-ovog (</w:t>
      </w:r>
      <w:r w:rsidRPr="00234ECD">
        <w:rPr>
          <w:rFonts w:eastAsia="Calibri"/>
          <w:sz w:val="22"/>
          <w:szCs w:val="22"/>
          <w:lang w:val="sr-Latn-RS"/>
        </w:rPr>
        <w:t>CMH</w:t>
      </w:r>
      <w:r w:rsidR="00B14815" w:rsidRPr="00234ECD">
        <w:rPr>
          <w:rFonts w:eastAsia="Calibri"/>
          <w:sz w:val="22"/>
          <w:szCs w:val="22"/>
          <w:lang w:val="sr-Latn-RS"/>
        </w:rPr>
        <w:t>)</w:t>
      </w:r>
      <w:r w:rsidRPr="00234ECD">
        <w:rPr>
          <w:rFonts w:eastAsia="Calibri"/>
          <w:sz w:val="22"/>
          <w:szCs w:val="22"/>
          <w:lang w:val="sr-Latn-RS"/>
        </w:rPr>
        <w:t xml:space="preserve"> testa</w:t>
      </w:r>
      <w:r w:rsidRPr="00234ECD">
        <w:rPr>
          <w:rFonts w:eastAsia="TimesNewRoman"/>
          <w:sz w:val="22"/>
          <w:szCs w:val="22"/>
          <w:lang w:val="sr-Latn-RS" w:eastAsia="es-ES"/>
        </w:rPr>
        <w:t>.</w:t>
      </w:r>
    </w:p>
    <w:p w14:paraId="001AA872" w14:textId="4CF700D5" w:rsidR="00D857AC" w:rsidRPr="00234ECD" w:rsidRDefault="00D857AC" w:rsidP="00D857AC">
      <w:pPr>
        <w:rPr>
          <w:noProof/>
          <w:sz w:val="22"/>
          <w:szCs w:val="22"/>
          <w:lang w:val="sr-Latn-RS"/>
        </w:rPr>
      </w:pPr>
      <w:r w:rsidRPr="00234ECD">
        <w:rPr>
          <w:noProof/>
          <w:sz w:val="22"/>
          <w:szCs w:val="22"/>
          <w:lang w:val="sr-Latn-RS"/>
        </w:rPr>
        <w:t>N.E. = </w:t>
      </w:r>
      <w:r w:rsidRPr="00234ECD">
        <w:rPr>
          <w:rFonts w:eastAsia="Calibri"/>
          <w:sz w:val="22"/>
          <w:szCs w:val="22"/>
          <w:lang w:val="sr-Latn-RS"/>
        </w:rPr>
        <w:t>ne može se proc</w:t>
      </w:r>
      <w:r w:rsidR="00D45C4E" w:rsidRPr="00234ECD">
        <w:rPr>
          <w:rFonts w:eastAsia="Calibri"/>
          <w:sz w:val="22"/>
          <w:szCs w:val="22"/>
          <w:lang w:val="sr-Latn-RS"/>
        </w:rPr>
        <w:t>ij</w:t>
      </w:r>
      <w:r w:rsidRPr="00234ECD">
        <w:rPr>
          <w:rFonts w:eastAsia="Calibri"/>
          <w:sz w:val="22"/>
          <w:szCs w:val="22"/>
          <w:lang w:val="sr-Latn-RS"/>
        </w:rPr>
        <w:t xml:space="preserve">eniti (engl. </w:t>
      </w:r>
      <w:r w:rsidRPr="00234ECD">
        <w:rPr>
          <w:rFonts w:eastAsia="Calibri"/>
          <w:i/>
          <w:iCs/>
          <w:sz w:val="22"/>
          <w:szCs w:val="22"/>
          <w:lang w:val="sr-Latn-RS"/>
        </w:rPr>
        <w:t>non- estimable</w:t>
      </w:r>
      <w:r w:rsidRPr="00234ECD">
        <w:rPr>
          <w:rFonts w:eastAsia="Calibri"/>
          <w:sz w:val="22"/>
          <w:szCs w:val="22"/>
          <w:lang w:val="sr-Latn-RS"/>
        </w:rPr>
        <w:t>)</w:t>
      </w:r>
    </w:p>
    <w:p w14:paraId="19BCDEC1" w14:textId="77777777" w:rsidR="00D857AC" w:rsidRPr="00234ECD" w:rsidRDefault="00D857AC" w:rsidP="00D857AC">
      <w:pPr>
        <w:rPr>
          <w:rFonts w:eastAsia="Calibri"/>
          <w:b/>
          <w:sz w:val="22"/>
          <w:szCs w:val="22"/>
          <w:lang w:val="sr-Latn-RS"/>
        </w:rPr>
      </w:pPr>
    </w:p>
    <w:p w14:paraId="2140D4B3" w14:textId="77777777" w:rsidR="00322B0D" w:rsidRPr="00234ECD" w:rsidRDefault="00322B0D" w:rsidP="00D857AC">
      <w:pPr>
        <w:jc w:val="both"/>
        <w:rPr>
          <w:rFonts w:eastAsia="Calibri"/>
          <w:sz w:val="22"/>
          <w:szCs w:val="22"/>
          <w:lang w:val="sr-Latn-RS"/>
        </w:rPr>
      </w:pPr>
    </w:p>
    <w:p w14:paraId="1A4894DD" w14:textId="74317F06" w:rsidR="00D857AC" w:rsidRPr="00234ECD" w:rsidRDefault="00D857AC" w:rsidP="00D857AC">
      <w:pPr>
        <w:jc w:val="both"/>
        <w:rPr>
          <w:rFonts w:eastAsia="Calibri"/>
          <w:b/>
          <w:sz w:val="22"/>
          <w:szCs w:val="22"/>
          <w:lang w:val="sr-Latn-RS"/>
        </w:rPr>
      </w:pPr>
      <w:r w:rsidRPr="00234ECD">
        <w:rPr>
          <w:rFonts w:eastAsia="Calibri"/>
          <w:sz w:val="22"/>
          <w:szCs w:val="22"/>
          <w:lang w:val="sr-Latn-RS"/>
        </w:rPr>
        <w:lastRenderedPageBreak/>
        <w:t>Primarna analiza PFS-a uključivala je cenzuru za novo l</w:t>
      </w:r>
      <w:r w:rsidR="00D45C4E" w:rsidRPr="00234ECD">
        <w:rPr>
          <w:rFonts w:eastAsia="Calibri"/>
          <w:sz w:val="22"/>
          <w:szCs w:val="22"/>
          <w:lang w:val="sr-Latn-RS"/>
        </w:rPr>
        <w:t>ij</w:t>
      </w:r>
      <w:r w:rsidRPr="00234ECD">
        <w:rPr>
          <w:rFonts w:eastAsia="Calibri"/>
          <w:sz w:val="22"/>
          <w:szCs w:val="22"/>
          <w:lang w:val="sr-Latn-RS"/>
        </w:rPr>
        <w:t>ečenje protiv kancera (Tabela 7). Rezultati za PFS sa i bez cenzure za novo l</w:t>
      </w:r>
      <w:r w:rsidR="00D45C4E" w:rsidRPr="00234ECD">
        <w:rPr>
          <w:rFonts w:eastAsia="Calibri"/>
          <w:sz w:val="22"/>
          <w:szCs w:val="22"/>
          <w:lang w:val="sr-Latn-RS"/>
        </w:rPr>
        <w:t>ij</w:t>
      </w:r>
      <w:r w:rsidRPr="00234ECD">
        <w:rPr>
          <w:rFonts w:eastAsia="Calibri"/>
          <w:sz w:val="22"/>
          <w:szCs w:val="22"/>
          <w:lang w:val="sr-Latn-RS"/>
        </w:rPr>
        <w:t>ečenje protiv kancera bili su dosl</w:t>
      </w:r>
      <w:r w:rsidR="00D45C4E" w:rsidRPr="00234ECD">
        <w:rPr>
          <w:rFonts w:eastAsia="Calibri"/>
          <w:sz w:val="22"/>
          <w:szCs w:val="22"/>
          <w:lang w:val="sr-Latn-RS"/>
        </w:rPr>
        <w:t>j</w:t>
      </w:r>
      <w:r w:rsidRPr="00234ECD">
        <w:rPr>
          <w:rFonts w:eastAsia="Calibri"/>
          <w:sz w:val="22"/>
          <w:szCs w:val="22"/>
          <w:lang w:val="sr-Latn-RS"/>
        </w:rPr>
        <w:t>edni.</w:t>
      </w:r>
    </w:p>
    <w:p w14:paraId="6D83A08C" w14:textId="77777777" w:rsidR="00D857AC" w:rsidRPr="00234ECD" w:rsidRDefault="00D857AC" w:rsidP="00D857AC">
      <w:pPr>
        <w:jc w:val="both"/>
        <w:rPr>
          <w:rFonts w:eastAsia="Calibri"/>
          <w:b/>
          <w:sz w:val="22"/>
          <w:szCs w:val="22"/>
          <w:lang w:val="sr-Latn-RS"/>
        </w:rPr>
      </w:pPr>
    </w:p>
    <w:p w14:paraId="6DB318E3" w14:textId="28D7003E" w:rsidR="00D857AC" w:rsidRPr="00234ECD" w:rsidRDefault="00D857AC" w:rsidP="00D857AC">
      <w:pPr>
        <w:jc w:val="both"/>
        <w:rPr>
          <w:rFonts w:eastAsia="Calibri"/>
          <w:b/>
          <w:sz w:val="22"/>
          <w:szCs w:val="22"/>
          <w:lang w:val="sr-Latn-RS"/>
        </w:rPr>
      </w:pPr>
      <w:r w:rsidRPr="00234ECD">
        <w:rPr>
          <w:rFonts w:eastAsia="Calibri"/>
          <w:color w:val="000000"/>
          <w:sz w:val="22"/>
          <w:szCs w:val="22"/>
          <w:lang w:val="sr-Latn-RS"/>
        </w:rPr>
        <w:t>Korist u pogledu PFS-a prim</w:t>
      </w:r>
      <w:r w:rsidR="00D45C4E" w:rsidRPr="00234ECD">
        <w:rPr>
          <w:rFonts w:eastAsia="Calibri"/>
          <w:color w:val="000000"/>
          <w:sz w:val="22"/>
          <w:szCs w:val="22"/>
          <w:lang w:val="sr-Latn-RS"/>
        </w:rPr>
        <w:t>ij</w:t>
      </w:r>
      <w:r w:rsidRPr="00234ECD">
        <w:rPr>
          <w:rFonts w:eastAsia="Calibri"/>
          <w:color w:val="000000"/>
          <w:sz w:val="22"/>
          <w:szCs w:val="22"/>
          <w:lang w:val="sr-Latn-RS"/>
        </w:rPr>
        <w:t>ećena je kod grupe l</w:t>
      </w:r>
      <w:r w:rsidR="003359F8" w:rsidRPr="00234ECD">
        <w:rPr>
          <w:rFonts w:eastAsia="Calibri"/>
          <w:color w:val="000000"/>
          <w:sz w:val="22"/>
          <w:szCs w:val="22"/>
          <w:lang w:val="sr-Latn-RS"/>
        </w:rPr>
        <w:t>ij</w:t>
      </w:r>
      <w:r w:rsidRPr="00234ECD">
        <w:rPr>
          <w:rFonts w:eastAsia="Calibri"/>
          <w:color w:val="000000"/>
          <w:sz w:val="22"/>
          <w:szCs w:val="22"/>
          <w:lang w:val="sr-Latn-RS"/>
        </w:rPr>
        <w:t>ečenih kabozantinibom u kombinaciji sa nivolumabom u odnosu na grupu l</w:t>
      </w:r>
      <w:r w:rsidR="003359F8" w:rsidRPr="00234ECD">
        <w:rPr>
          <w:rFonts w:eastAsia="Calibri"/>
          <w:color w:val="000000"/>
          <w:sz w:val="22"/>
          <w:szCs w:val="22"/>
          <w:lang w:val="sr-Latn-RS"/>
        </w:rPr>
        <w:t>ij</w:t>
      </w:r>
      <w:r w:rsidRPr="00234ECD">
        <w:rPr>
          <w:rFonts w:eastAsia="Calibri"/>
          <w:color w:val="000000"/>
          <w:sz w:val="22"/>
          <w:szCs w:val="22"/>
          <w:lang w:val="sr-Latn-RS"/>
        </w:rPr>
        <w:t xml:space="preserve">ečenu sunitinibom, bez obzira na tumorsku ekspresiju PD L1. </w:t>
      </w:r>
      <w:r w:rsidRPr="00234ECD">
        <w:rPr>
          <w:rFonts w:eastAsia="Calibri"/>
          <w:sz w:val="22"/>
          <w:szCs w:val="22"/>
          <w:lang w:val="sr-Latn-RS"/>
        </w:rPr>
        <w:t xml:space="preserve">Medijana PFS-a kod </w:t>
      </w:r>
      <w:r w:rsidRPr="00234ECD">
        <w:rPr>
          <w:rFonts w:eastAsia="Calibri"/>
          <w:color w:val="000000"/>
          <w:sz w:val="22"/>
          <w:szCs w:val="22"/>
          <w:lang w:val="sr-Latn-RS"/>
        </w:rPr>
        <w:t>tumorske ekspresije PD L1</w:t>
      </w:r>
      <w:r w:rsidRPr="00234ECD">
        <w:rPr>
          <w:rFonts w:eastAsia="Calibri"/>
          <w:sz w:val="22"/>
          <w:szCs w:val="22"/>
          <w:lang w:val="sr-Latn-RS"/>
        </w:rPr>
        <w:t xml:space="preserve"> ≥ 1% iznosila je 13,08 m</w:t>
      </w:r>
      <w:r w:rsidR="003359F8" w:rsidRPr="00234ECD">
        <w:rPr>
          <w:rFonts w:eastAsia="Calibri"/>
          <w:sz w:val="22"/>
          <w:szCs w:val="22"/>
          <w:lang w:val="sr-Latn-RS"/>
        </w:rPr>
        <w:t>j</w:t>
      </w:r>
      <w:r w:rsidRPr="00234ECD">
        <w:rPr>
          <w:rFonts w:eastAsia="Calibri"/>
          <w:sz w:val="22"/>
          <w:szCs w:val="22"/>
          <w:lang w:val="sr-Latn-RS"/>
        </w:rPr>
        <w:t>eseci za kabozantinib u kombinaciji sa nivolumabom i 4,67 m</w:t>
      </w:r>
      <w:r w:rsidR="003359F8" w:rsidRPr="00234ECD">
        <w:rPr>
          <w:rFonts w:eastAsia="Calibri"/>
          <w:sz w:val="22"/>
          <w:szCs w:val="22"/>
          <w:lang w:val="sr-Latn-RS"/>
        </w:rPr>
        <w:t>j</w:t>
      </w:r>
      <w:r w:rsidRPr="00234ECD">
        <w:rPr>
          <w:rFonts w:eastAsia="Calibri"/>
          <w:sz w:val="22"/>
          <w:szCs w:val="22"/>
          <w:lang w:val="sr-Latn-RS"/>
        </w:rPr>
        <w:t xml:space="preserve">eseci u grupi koja je primala sunitinib (HR = 0,45; 95% CI: 0,29; 0,68). Kod </w:t>
      </w:r>
      <w:r w:rsidRPr="00234ECD">
        <w:rPr>
          <w:rFonts w:eastAsia="Calibri"/>
          <w:color w:val="000000"/>
          <w:sz w:val="22"/>
          <w:szCs w:val="22"/>
          <w:lang w:val="sr-Latn-RS"/>
        </w:rPr>
        <w:t>tumorske ekspresije PD L1</w:t>
      </w:r>
      <w:r w:rsidRPr="00234ECD">
        <w:rPr>
          <w:rFonts w:eastAsia="Calibri"/>
          <w:sz w:val="22"/>
          <w:szCs w:val="22"/>
          <w:lang w:val="sr-Latn-RS"/>
        </w:rPr>
        <w:t xml:space="preserve"> &lt; 1% medijana PFS-a iznosila je 19,84 m</w:t>
      </w:r>
      <w:r w:rsidR="00025864" w:rsidRPr="00234ECD">
        <w:rPr>
          <w:rFonts w:eastAsia="Calibri"/>
          <w:sz w:val="22"/>
          <w:szCs w:val="22"/>
          <w:lang w:val="sr-Latn-RS"/>
        </w:rPr>
        <w:t>j</w:t>
      </w:r>
      <w:r w:rsidRPr="00234ECD">
        <w:rPr>
          <w:rFonts w:eastAsia="Calibri"/>
          <w:sz w:val="22"/>
          <w:szCs w:val="22"/>
          <w:lang w:val="sr-Latn-RS"/>
        </w:rPr>
        <w:t>eseca za kabozantinib u kombinaciji sa nivolumabom i 9,26 m</w:t>
      </w:r>
      <w:r w:rsidR="00025864" w:rsidRPr="00234ECD">
        <w:rPr>
          <w:rFonts w:eastAsia="Calibri"/>
          <w:sz w:val="22"/>
          <w:szCs w:val="22"/>
          <w:lang w:val="sr-Latn-RS"/>
        </w:rPr>
        <w:t>j</w:t>
      </w:r>
      <w:r w:rsidRPr="00234ECD">
        <w:rPr>
          <w:rFonts w:eastAsia="Calibri"/>
          <w:sz w:val="22"/>
          <w:szCs w:val="22"/>
          <w:lang w:val="sr-Latn-RS"/>
        </w:rPr>
        <w:t>eseci u grupi koja je primala sunitinib (HR = 0,50; 95% CI: 0,38; 0,65).</w:t>
      </w:r>
    </w:p>
    <w:p w14:paraId="0ACEAA63" w14:textId="77777777" w:rsidR="00D857AC" w:rsidRPr="00234ECD" w:rsidRDefault="00D857AC" w:rsidP="00D857AC">
      <w:pPr>
        <w:autoSpaceDE w:val="0"/>
        <w:autoSpaceDN w:val="0"/>
        <w:adjustRightInd w:val="0"/>
        <w:jc w:val="both"/>
        <w:rPr>
          <w:rFonts w:eastAsia="Calibri"/>
          <w:color w:val="000000"/>
          <w:sz w:val="22"/>
          <w:szCs w:val="22"/>
          <w:lang w:val="sr-Latn-RS"/>
        </w:rPr>
      </w:pPr>
    </w:p>
    <w:p w14:paraId="356B5D6D" w14:textId="3A2C0C80" w:rsidR="00D857AC" w:rsidRPr="00234ECD" w:rsidRDefault="00D857AC" w:rsidP="00D857AC">
      <w:pPr>
        <w:jc w:val="both"/>
        <w:rPr>
          <w:rFonts w:eastAsia="Calibri"/>
          <w:b/>
          <w:sz w:val="22"/>
          <w:szCs w:val="22"/>
          <w:lang w:val="sr-Latn-RS"/>
        </w:rPr>
      </w:pPr>
      <w:r w:rsidRPr="00234ECD">
        <w:rPr>
          <w:rFonts w:eastAsia="Calibri"/>
          <w:color w:val="000000"/>
          <w:sz w:val="22"/>
          <w:szCs w:val="22"/>
          <w:lang w:val="sr-Latn-RS"/>
        </w:rPr>
        <w:t>Korist u pogledu PFS-a prim</w:t>
      </w:r>
      <w:r w:rsidR="00025864" w:rsidRPr="00234ECD">
        <w:rPr>
          <w:rFonts w:eastAsia="Calibri"/>
          <w:color w:val="000000"/>
          <w:sz w:val="22"/>
          <w:szCs w:val="22"/>
          <w:lang w:val="sr-Latn-RS"/>
        </w:rPr>
        <w:t>ij</w:t>
      </w:r>
      <w:r w:rsidRPr="00234ECD">
        <w:rPr>
          <w:rFonts w:eastAsia="Calibri"/>
          <w:color w:val="000000"/>
          <w:sz w:val="22"/>
          <w:szCs w:val="22"/>
          <w:lang w:val="sr-Latn-RS"/>
        </w:rPr>
        <w:t>ećena je kod grupe l</w:t>
      </w:r>
      <w:r w:rsidR="00025864" w:rsidRPr="00234ECD">
        <w:rPr>
          <w:rFonts w:eastAsia="Calibri"/>
          <w:color w:val="000000"/>
          <w:sz w:val="22"/>
          <w:szCs w:val="22"/>
          <w:lang w:val="sr-Latn-RS"/>
        </w:rPr>
        <w:t>ij</w:t>
      </w:r>
      <w:r w:rsidRPr="00234ECD">
        <w:rPr>
          <w:rFonts w:eastAsia="Calibri"/>
          <w:color w:val="000000"/>
          <w:sz w:val="22"/>
          <w:szCs w:val="22"/>
          <w:lang w:val="sr-Latn-RS"/>
        </w:rPr>
        <w:t xml:space="preserve">ečenih kabozantinibom u kombinaciji sa nivolumabom u odnosu na sunitinib, bez obzira na kategoriju rizika (IMDC). </w:t>
      </w:r>
      <w:r w:rsidRPr="00234ECD">
        <w:rPr>
          <w:rFonts w:eastAsia="Calibri"/>
          <w:sz w:val="22"/>
          <w:szCs w:val="22"/>
          <w:lang w:val="sr-Latn-RS"/>
        </w:rPr>
        <w:t>Medijan</w:t>
      </w:r>
      <w:r w:rsidR="000F5FE7" w:rsidRPr="00234ECD">
        <w:rPr>
          <w:rFonts w:eastAsia="Calibri"/>
          <w:sz w:val="22"/>
          <w:szCs w:val="22"/>
          <w:lang w:val="sr-Latn-RS"/>
        </w:rPr>
        <w:t>a</w:t>
      </w:r>
      <w:r w:rsidRPr="00234ECD">
        <w:rPr>
          <w:rFonts w:eastAsia="Calibri"/>
          <w:sz w:val="22"/>
          <w:szCs w:val="22"/>
          <w:lang w:val="sr-Latn-RS"/>
        </w:rPr>
        <w:t xml:space="preserve"> PFS-a u grupi </w:t>
      </w:r>
      <w:r w:rsidR="00437D68" w:rsidRPr="00234ECD">
        <w:rPr>
          <w:rFonts w:eastAsia="Calibri"/>
          <w:sz w:val="22"/>
          <w:szCs w:val="22"/>
          <w:lang w:val="sr-Latn-RS"/>
        </w:rPr>
        <w:t xml:space="preserve">sa povoljnim rizikom </w:t>
      </w:r>
      <w:r w:rsidRPr="00234ECD">
        <w:rPr>
          <w:rFonts w:eastAsia="Calibri"/>
          <w:sz w:val="22"/>
          <w:szCs w:val="22"/>
          <w:lang w:val="sr-Latn-RS"/>
        </w:rPr>
        <w:t>nije dostignut</w:t>
      </w:r>
      <w:r w:rsidR="00437D68" w:rsidRPr="00234ECD">
        <w:rPr>
          <w:rFonts w:eastAsia="Calibri"/>
          <w:sz w:val="22"/>
          <w:szCs w:val="22"/>
          <w:lang w:val="sr-Latn-RS"/>
        </w:rPr>
        <w:t>a</w:t>
      </w:r>
      <w:r w:rsidRPr="00234ECD">
        <w:rPr>
          <w:rFonts w:eastAsia="Calibri"/>
          <w:sz w:val="22"/>
          <w:szCs w:val="22"/>
          <w:lang w:val="sr-Latn-RS"/>
        </w:rPr>
        <w:t xml:space="preserve"> </w:t>
      </w:r>
      <w:r w:rsidR="00437D68" w:rsidRPr="00234ECD">
        <w:rPr>
          <w:rFonts w:eastAsia="Calibri"/>
          <w:sz w:val="22"/>
          <w:szCs w:val="22"/>
          <w:lang w:val="sr-Latn-RS"/>
        </w:rPr>
        <w:t xml:space="preserve">za </w:t>
      </w:r>
      <w:r w:rsidRPr="00234ECD">
        <w:rPr>
          <w:rFonts w:eastAsia="Calibri"/>
          <w:sz w:val="22"/>
          <w:szCs w:val="22"/>
          <w:lang w:val="sr-Latn-RS"/>
        </w:rPr>
        <w:t>kabozantinib u kombinaciji s nivolumabom i 12,81 m</w:t>
      </w:r>
      <w:r w:rsidR="00025864" w:rsidRPr="00234ECD">
        <w:rPr>
          <w:rFonts w:eastAsia="Calibri"/>
          <w:sz w:val="22"/>
          <w:szCs w:val="22"/>
          <w:lang w:val="sr-Latn-RS"/>
        </w:rPr>
        <w:t>j</w:t>
      </w:r>
      <w:r w:rsidRPr="00234ECD">
        <w:rPr>
          <w:rFonts w:eastAsia="Calibri"/>
          <w:sz w:val="22"/>
          <w:szCs w:val="22"/>
          <w:lang w:val="sr-Latn-RS"/>
        </w:rPr>
        <w:t>esec je iznosi</w:t>
      </w:r>
      <w:r w:rsidR="00C23390" w:rsidRPr="00234ECD">
        <w:rPr>
          <w:rFonts w:eastAsia="Calibri"/>
          <w:sz w:val="22"/>
          <w:szCs w:val="22"/>
          <w:lang w:val="sr-Latn-RS"/>
        </w:rPr>
        <w:t>la</w:t>
      </w:r>
      <w:r w:rsidRPr="00234ECD">
        <w:rPr>
          <w:rFonts w:eastAsia="Calibri"/>
          <w:sz w:val="22"/>
          <w:szCs w:val="22"/>
          <w:lang w:val="sr-Latn-RS"/>
        </w:rPr>
        <w:t xml:space="preserve"> u grupi koja je primala sunitinib (HR = 0,60; 95% CI: 0,37; 0,98). Medijan</w:t>
      </w:r>
      <w:r w:rsidR="000F5FE7" w:rsidRPr="00234ECD">
        <w:rPr>
          <w:rFonts w:eastAsia="Calibri"/>
          <w:sz w:val="22"/>
          <w:szCs w:val="22"/>
          <w:lang w:val="sr-Latn-RS"/>
        </w:rPr>
        <w:t>a</w:t>
      </w:r>
      <w:r w:rsidRPr="00234ECD">
        <w:rPr>
          <w:rFonts w:eastAsia="Calibri"/>
          <w:sz w:val="22"/>
          <w:szCs w:val="22"/>
          <w:lang w:val="sr-Latn-RS"/>
        </w:rPr>
        <w:t xml:space="preserve"> PFS-a u grupi srednjeg rizika iznos</w:t>
      </w:r>
      <w:r w:rsidR="00854BEA" w:rsidRPr="00234ECD">
        <w:rPr>
          <w:rFonts w:eastAsia="Calibri"/>
          <w:sz w:val="22"/>
          <w:szCs w:val="22"/>
          <w:lang w:val="sr-Latn-RS"/>
        </w:rPr>
        <w:t>ila</w:t>
      </w:r>
      <w:r w:rsidRPr="00234ECD">
        <w:rPr>
          <w:rFonts w:eastAsia="Calibri"/>
          <w:sz w:val="22"/>
          <w:szCs w:val="22"/>
          <w:lang w:val="sr-Latn-RS"/>
        </w:rPr>
        <w:t xml:space="preserve"> je 17,71 m</w:t>
      </w:r>
      <w:r w:rsidR="00025864" w:rsidRPr="00234ECD">
        <w:rPr>
          <w:rFonts w:eastAsia="Calibri"/>
          <w:sz w:val="22"/>
          <w:szCs w:val="22"/>
          <w:lang w:val="sr-Latn-RS"/>
        </w:rPr>
        <w:t>j</w:t>
      </w:r>
      <w:r w:rsidRPr="00234ECD">
        <w:rPr>
          <w:rFonts w:eastAsia="Calibri"/>
          <w:sz w:val="22"/>
          <w:szCs w:val="22"/>
          <w:lang w:val="sr-Latn-RS"/>
        </w:rPr>
        <w:t>esec za kabozantinib u kombinaciji sa nivolumabom i 8,38 m</w:t>
      </w:r>
      <w:r w:rsidR="00025864" w:rsidRPr="00234ECD">
        <w:rPr>
          <w:rFonts w:eastAsia="Calibri"/>
          <w:sz w:val="22"/>
          <w:szCs w:val="22"/>
          <w:lang w:val="sr-Latn-RS"/>
        </w:rPr>
        <w:t>j</w:t>
      </w:r>
      <w:r w:rsidRPr="00234ECD">
        <w:rPr>
          <w:rFonts w:eastAsia="Calibri"/>
          <w:sz w:val="22"/>
          <w:szCs w:val="22"/>
          <w:lang w:val="sr-Latn-RS"/>
        </w:rPr>
        <w:t>eseci u grupi koja je primala sunitinib (HR = 0,54; 95 % CI: 0,41; 0,73). Medijana PFS-a u grupi visokog rizika iznosila je 12,29 m</w:t>
      </w:r>
      <w:r w:rsidR="00025864" w:rsidRPr="00234ECD">
        <w:rPr>
          <w:rFonts w:eastAsia="Calibri"/>
          <w:sz w:val="22"/>
          <w:szCs w:val="22"/>
          <w:lang w:val="sr-Latn-RS"/>
        </w:rPr>
        <w:t>j</w:t>
      </w:r>
      <w:r w:rsidRPr="00234ECD">
        <w:rPr>
          <w:rFonts w:eastAsia="Calibri"/>
          <w:sz w:val="22"/>
          <w:szCs w:val="22"/>
          <w:lang w:val="sr-Latn-RS"/>
        </w:rPr>
        <w:t>eseci za kabozantinib u kombinaciji sa nivolumabom i 4,21 m</w:t>
      </w:r>
      <w:r w:rsidR="00025864" w:rsidRPr="00234ECD">
        <w:rPr>
          <w:rFonts w:eastAsia="Calibri"/>
          <w:sz w:val="22"/>
          <w:szCs w:val="22"/>
          <w:lang w:val="sr-Latn-RS"/>
        </w:rPr>
        <w:t>j</w:t>
      </w:r>
      <w:r w:rsidRPr="00234ECD">
        <w:rPr>
          <w:rFonts w:eastAsia="Calibri"/>
          <w:sz w:val="22"/>
          <w:szCs w:val="22"/>
          <w:lang w:val="sr-Latn-RS"/>
        </w:rPr>
        <w:t>esec je iznosila u grupi koja je primala sunitinib (HR = 0,36; 95 % CI: 0,23; 0,58).</w:t>
      </w:r>
    </w:p>
    <w:p w14:paraId="72EBE0AE" w14:textId="5FA5507B" w:rsidR="00D857AC" w:rsidRPr="00234ECD" w:rsidRDefault="00D857AC" w:rsidP="00D857AC">
      <w:pPr>
        <w:jc w:val="both"/>
        <w:rPr>
          <w:rFonts w:eastAsia="Calibri"/>
          <w:b/>
          <w:sz w:val="22"/>
          <w:szCs w:val="22"/>
          <w:lang w:val="sr-Latn-RS"/>
        </w:rPr>
      </w:pPr>
    </w:p>
    <w:p w14:paraId="5E177B5B" w14:textId="47208F08" w:rsidR="00D857AC" w:rsidRPr="00234ECD" w:rsidRDefault="00D857AC" w:rsidP="00D857AC">
      <w:pPr>
        <w:jc w:val="both"/>
        <w:rPr>
          <w:rFonts w:eastAsia="Calibri"/>
          <w:bCs/>
          <w:sz w:val="22"/>
          <w:szCs w:val="22"/>
          <w:lang w:val="sr-Latn-RS"/>
        </w:rPr>
      </w:pPr>
      <w:r w:rsidRPr="00234ECD">
        <w:rPr>
          <w:rFonts w:eastAsia="Calibri"/>
          <w:bCs/>
          <w:sz w:val="22"/>
          <w:szCs w:val="22"/>
          <w:lang w:val="sr-Latn-RS"/>
        </w:rPr>
        <w:t>Ažurirane PFS i OS analize izvršene su kada su svi pacijenti imali minimalno praćenje od 16 m</w:t>
      </w:r>
      <w:r w:rsidR="00332FDD" w:rsidRPr="00234ECD">
        <w:rPr>
          <w:rFonts w:eastAsia="Calibri"/>
          <w:bCs/>
          <w:sz w:val="22"/>
          <w:szCs w:val="22"/>
          <w:lang w:val="sr-Latn-RS"/>
        </w:rPr>
        <w:t>j</w:t>
      </w:r>
      <w:r w:rsidRPr="00234ECD">
        <w:rPr>
          <w:rFonts w:eastAsia="Calibri"/>
          <w:bCs/>
          <w:sz w:val="22"/>
          <w:szCs w:val="22"/>
          <w:lang w:val="sr-Latn-RS"/>
        </w:rPr>
        <w:t>eseci i medijan</w:t>
      </w:r>
      <w:r w:rsidR="000F5FE7" w:rsidRPr="00234ECD">
        <w:rPr>
          <w:rFonts w:eastAsia="Calibri"/>
          <w:bCs/>
          <w:sz w:val="22"/>
          <w:szCs w:val="22"/>
          <w:lang w:val="sr-Latn-RS"/>
        </w:rPr>
        <w:t>a</w:t>
      </w:r>
      <w:r w:rsidRPr="00234ECD">
        <w:rPr>
          <w:rFonts w:eastAsia="Calibri"/>
          <w:bCs/>
          <w:sz w:val="22"/>
          <w:szCs w:val="22"/>
          <w:lang w:val="sr-Latn-RS"/>
        </w:rPr>
        <w:t xml:space="preserve"> praćenja od 23,5 m</w:t>
      </w:r>
      <w:r w:rsidR="00332FDD" w:rsidRPr="00234ECD">
        <w:rPr>
          <w:rFonts w:eastAsia="Calibri"/>
          <w:bCs/>
          <w:sz w:val="22"/>
          <w:szCs w:val="22"/>
          <w:lang w:val="sr-Latn-RS"/>
        </w:rPr>
        <w:t>j</w:t>
      </w:r>
      <w:r w:rsidRPr="00234ECD">
        <w:rPr>
          <w:rFonts w:eastAsia="Calibri"/>
          <w:bCs/>
          <w:sz w:val="22"/>
          <w:szCs w:val="22"/>
          <w:lang w:val="sr-Latn-RS"/>
        </w:rPr>
        <w:t>eseci (vid</w:t>
      </w:r>
      <w:r w:rsidR="00332FDD" w:rsidRPr="00234ECD">
        <w:rPr>
          <w:rFonts w:eastAsia="Calibri"/>
          <w:bCs/>
          <w:sz w:val="22"/>
          <w:szCs w:val="22"/>
          <w:lang w:val="sr-Latn-RS"/>
        </w:rPr>
        <w:t>j</w:t>
      </w:r>
      <w:r w:rsidRPr="00234ECD">
        <w:rPr>
          <w:rFonts w:eastAsia="Calibri"/>
          <w:bCs/>
          <w:sz w:val="22"/>
          <w:szCs w:val="22"/>
          <w:lang w:val="sr-Latn-RS"/>
        </w:rPr>
        <w:t xml:space="preserve">eti slike 4 i 5). Odnos opasnosti od PFS -a bio je 0,52 (95% CI: 0,43; 0,64). Odnos </w:t>
      </w:r>
      <w:r w:rsidR="00C23390" w:rsidRPr="00234ECD">
        <w:rPr>
          <w:rFonts w:eastAsia="Calibri"/>
          <w:bCs/>
          <w:sz w:val="22"/>
          <w:szCs w:val="22"/>
          <w:lang w:val="sr-Latn-RS"/>
        </w:rPr>
        <w:t xml:space="preserve">rizika </w:t>
      </w:r>
      <w:r w:rsidRPr="00234ECD">
        <w:rPr>
          <w:rFonts w:eastAsia="Calibri"/>
          <w:bCs/>
          <w:sz w:val="22"/>
          <w:szCs w:val="22"/>
          <w:lang w:val="sr-Latn-RS"/>
        </w:rPr>
        <w:t>za OS bio je 0,66 (95% CI: 0,50; 0,87). Ažurirani podaci o efikasnosti (PFS i OS) u podgrupama za IMDC kategorije rizika i nivoe izraženosti PD-L1 potvrdili su originalne rezultate. Ažuriranom analizom postiže se medijan</w:t>
      </w:r>
      <w:r w:rsidR="000F5FE7" w:rsidRPr="00234ECD">
        <w:rPr>
          <w:rFonts w:eastAsia="Calibri"/>
          <w:bCs/>
          <w:sz w:val="22"/>
          <w:szCs w:val="22"/>
          <w:lang w:val="sr-Latn-RS"/>
        </w:rPr>
        <w:t>a</w:t>
      </w:r>
      <w:r w:rsidRPr="00234ECD">
        <w:rPr>
          <w:rFonts w:eastAsia="Calibri"/>
          <w:bCs/>
          <w:sz w:val="22"/>
          <w:szCs w:val="22"/>
          <w:lang w:val="sr-Latn-RS"/>
        </w:rPr>
        <w:t xml:space="preserve"> PFS -a za povoljnu rizičnu grupu.</w:t>
      </w:r>
    </w:p>
    <w:p w14:paraId="75DE444E" w14:textId="77777777" w:rsidR="00D857AC" w:rsidRPr="00234ECD" w:rsidRDefault="00D857AC" w:rsidP="00D857AC">
      <w:pPr>
        <w:rPr>
          <w:rFonts w:eastAsia="Calibri"/>
          <w:b/>
          <w:sz w:val="22"/>
          <w:szCs w:val="22"/>
          <w:lang w:val="sr-Latn-RS"/>
        </w:rPr>
      </w:pPr>
    </w:p>
    <w:p w14:paraId="6AEF5A92" w14:textId="333611CE" w:rsidR="00D857AC" w:rsidRPr="00234ECD" w:rsidRDefault="00D857AC" w:rsidP="00D857AC">
      <w:pPr>
        <w:rPr>
          <w:b/>
          <w:noProof/>
          <w:sz w:val="22"/>
          <w:szCs w:val="22"/>
          <w:lang w:val="sr-Latn-RS"/>
        </w:rPr>
      </w:pPr>
      <w:r w:rsidRPr="00234ECD">
        <w:rPr>
          <w:rFonts w:eastAsia="Calibri"/>
          <w:b/>
          <w:sz w:val="22"/>
          <w:szCs w:val="22"/>
          <w:lang w:val="sr-Latn-RS"/>
        </w:rPr>
        <w:t>Slika 4:</w:t>
      </w:r>
      <w:r w:rsidRPr="00234ECD">
        <w:rPr>
          <w:rFonts w:eastAsia="Calibri"/>
          <w:sz w:val="22"/>
          <w:szCs w:val="22"/>
          <w:lang w:val="sr-Latn-RS"/>
        </w:rPr>
        <w:t xml:space="preserve"> </w:t>
      </w:r>
      <w:r w:rsidRPr="00234ECD">
        <w:rPr>
          <w:rFonts w:eastAsia="Calibri"/>
          <w:b/>
          <w:i/>
          <w:sz w:val="22"/>
          <w:szCs w:val="22"/>
          <w:lang w:val="sr-Latn-RS"/>
        </w:rPr>
        <w:t>Kaplan-Meier</w:t>
      </w:r>
      <w:r w:rsidRPr="00234ECD">
        <w:rPr>
          <w:rFonts w:eastAsia="Calibri"/>
          <w:b/>
          <w:sz w:val="22"/>
          <w:szCs w:val="22"/>
          <w:lang w:val="sr-Latn-RS"/>
        </w:rPr>
        <w:t xml:space="preserve">-ova kriva </w:t>
      </w:r>
      <w:r w:rsidRPr="00234ECD">
        <w:rPr>
          <w:b/>
          <w:noProof/>
          <w:sz w:val="22"/>
          <w:szCs w:val="22"/>
          <w:lang w:val="sr-Latn-RS"/>
        </w:rPr>
        <w:t>PFS-a (CA2099ER)</w:t>
      </w:r>
    </w:p>
    <w:p w14:paraId="3C55CFB9" w14:textId="77777777" w:rsidR="00D20C7E" w:rsidRPr="00234ECD" w:rsidRDefault="00D20C7E" w:rsidP="00D857AC">
      <w:pPr>
        <w:rPr>
          <w:rFonts w:eastAsia="Calibri"/>
          <w:b/>
          <w:noProof/>
          <w:sz w:val="22"/>
          <w:szCs w:val="22"/>
          <w:lang w:val="sr-Latn-RS" w:eastAsia="sr-Latn-R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
        <w:gridCol w:w="8526"/>
      </w:tblGrid>
      <w:tr w:rsidR="00D20C7E" w:rsidRPr="00234ECD" w14:paraId="5A58A637" w14:textId="77777777" w:rsidTr="00D20C7E">
        <w:trPr>
          <w:cantSplit/>
          <w:trHeight w:val="5561"/>
        </w:trPr>
        <w:tc>
          <w:tcPr>
            <w:tcW w:w="537" w:type="dxa"/>
            <w:textDirection w:val="btLr"/>
            <w:vAlign w:val="bottom"/>
          </w:tcPr>
          <w:p w14:paraId="03AEB4D9" w14:textId="68ADB263" w:rsidR="00D20C7E" w:rsidRPr="00234ECD" w:rsidRDefault="00D20C7E" w:rsidP="00D20C7E">
            <w:pPr>
              <w:ind w:left="113" w:right="113"/>
              <w:jc w:val="right"/>
              <w:rPr>
                <w:rFonts w:ascii="Times New Roman" w:hAnsi="Times New Roman" w:cs="Times New Roman"/>
                <w:b/>
                <w:sz w:val="22"/>
                <w:szCs w:val="22"/>
                <w:lang w:val="sr-Latn-RS"/>
              </w:rPr>
            </w:pPr>
            <w:r w:rsidRPr="00234ECD">
              <w:rPr>
                <w:rFonts w:ascii="Times New Roman" w:hAnsi="Times New Roman" w:cs="Times New Roman"/>
                <w:b/>
                <w:sz w:val="22"/>
                <w:szCs w:val="22"/>
                <w:lang w:val="sr-Latn-RS"/>
              </w:rPr>
              <w:t>V</w:t>
            </w:r>
            <w:r w:rsidR="00CA7A1C" w:rsidRPr="00234ECD">
              <w:rPr>
                <w:rFonts w:ascii="Times New Roman" w:hAnsi="Times New Roman" w:cs="Times New Roman"/>
                <w:b/>
                <w:sz w:val="22"/>
                <w:szCs w:val="22"/>
                <w:lang w:val="sr-Latn-RS"/>
              </w:rPr>
              <w:t>j</w:t>
            </w:r>
            <w:r w:rsidRPr="00234ECD">
              <w:rPr>
                <w:rFonts w:ascii="Times New Roman" w:hAnsi="Times New Roman" w:cs="Times New Roman"/>
                <w:b/>
                <w:sz w:val="22"/>
                <w:szCs w:val="22"/>
                <w:lang w:val="sr-Latn-RS"/>
              </w:rPr>
              <w:t>erovatnoća preživljavanja bez progresije bolesti</w:t>
            </w:r>
          </w:p>
        </w:tc>
        <w:tc>
          <w:tcPr>
            <w:tcW w:w="8526" w:type="dxa"/>
          </w:tcPr>
          <w:p w14:paraId="605C91F7" w14:textId="07C366D2" w:rsidR="00D20C7E" w:rsidRPr="00234ECD" w:rsidRDefault="00D20C7E" w:rsidP="00D857AC">
            <w:pPr>
              <w:rPr>
                <w:rFonts w:ascii="Times New Roman" w:hAnsi="Times New Roman" w:cs="Times New Roman"/>
                <w:b/>
                <w:sz w:val="22"/>
                <w:szCs w:val="22"/>
                <w:lang w:val="sr-Latn-RS"/>
              </w:rPr>
            </w:pPr>
            <w:r w:rsidRPr="00234ECD">
              <w:rPr>
                <w:rFonts w:ascii="Times New Roman" w:hAnsi="Times New Roman" w:cs="Times New Roman"/>
                <w:b/>
                <w:noProof/>
                <w:sz w:val="22"/>
                <w:szCs w:val="22"/>
                <w:lang w:val="sr-Latn-RS"/>
              </w:rPr>
              <w:drawing>
                <wp:inline distT="0" distB="0" distL="0" distR="0" wp14:anchorId="43094C7D" wp14:editId="226DCCF1">
                  <wp:extent cx="5267325" cy="347472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67325" cy="3474720"/>
                          </a:xfrm>
                          <a:prstGeom prst="rect">
                            <a:avLst/>
                          </a:prstGeom>
                          <a:noFill/>
                        </pic:spPr>
                      </pic:pic>
                    </a:graphicData>
                  </a:graphic>
                </wp:inline>
              </w:drawing>
            </w:r>
          </w:p>
        </w:tc>
      </w:tr>
    </w:tbl>
    <w:p w14:paraId="08CAEF88" w14:textId="5A157E63" w:rsidR="00D857AC" w:rsidRPr="00234ECD" w:rsidRDefault="00D857AC" w:rsidP="00D857AC">
      <w:pPr>
        <w:ind w:left="1416" w:firstLine="708"/>
        <w:rPr>
          <w:rFonts w:eastAsia="Calibri"/>
          <w:b/>
          <w:bCs/>
          <w:sz w:val="22"/>
          <w:szCs w:val="22"/>
          <w:lang w:val="sr-Latn-RS"/>
        </w:rPr>
      </w:pPr>
      <w:r w:rsidRPr="00234ECD">
        <w:rPr>
          <w:rFonts w:eastAsia="Calibri"/>
          <w:b/>
          <w:bCs/>
          <w:sz w:val="22"/>
          <w:szCs w:val="22"/>
          <w:lang w:val="sr-Latn-RS"/>
        </w:rPr>
        <w:t>Preživljavanje bez progresije bolesti prema BICR-u (m</w:t>
      </w:r>
      <w:r w:rsidR="00EA7EB6" w:rsidRPr="00234ECD">
        <w:rPr>
          <w:rFonts w:eastAsia="Calibri"/>
          <w:b/>
          <w:bCs/>
          <w:sz w:val="22"/>
          <w:szCs w:val="22"/>
          <w:lang w:val="sr-Latn-RS"/>
        </w:rPr>
        <w:t>j</w:t>
      </w:r>
      <w:r w:rsidRPr="00234ECD">
        <w:rPr>
          <w:rFonts w:eastAsia="Calibri"/>
          <w:b/>
          <w:bCs/>
          <w:sz w:val="22"/>
          <w:szCs w:val="22"/>
          <w:lang w:val="sr-Latn-RS"/>
        </w:rPr>
        <w:t>eseci)</w:t>
      </w:r>
    </w:p>
    <w:p w14:paraId="6C53E6FB" w14:textId="02A7F549" w:rsidR="00D857AC" w:rsidRPr="00234ECD" w:rsidRDefault="00D857AC" w:rsidP="00D857AC">
      <w:pPr>
        <w:tabs>
          <w:tab w:val="left" w:pos="284"/>
        </w:tabs>
        <w:jc w:val="both"/>
        <w:rPr>
          <w:b/>
          <w:bCs/>
          <w:sz w:val="22"/>
          <w:szCs w:val="22"/>
          <w:lang w:val="sr-Latn-RS"/>
        </w:rPr>
      </w:pPr>
    </w:p>
    <w:tbl>
      <w:tblPr>
        <w:tblW w:w="0" w:type="auto"/>
        <w:tblInd w:w="-108" w:type="dxa"/>
        <w:tblLayout w:type="fixed"/>
        <w:tblLook w:val="04A0" w:firstRow="1" w:lastRow="0" w:firstColumn="1" w:lastColumn="0" w:noHBand="0" w:noVBand="1"/>
      </w:tblPr>
      <w:tblGrid>
        <w:gridCol w:w="665"/>
        <w:gridCol w:w="665"/>
        <w:gridCol w:w="665"/>
        <w:gridCol w:w="665"/>
        <w:gridCol w:w="665"/>
        <w:gridCol w:w="665"/>
        <w:gridCol w:w="665"/>
        <w:gridCol w:w="665"/>
        <w:gridCol w:w="665"/>
        <w:gridCol w:w="665"/>
        <w:gridCol w:w="665"/>
        <w:gridCol w:w="668"/>
      </w:tblGrid>
      <w:tr w:rsidR="00D857AC" w:rsidRPr="00234ECD" w14:paraId="10B15053" w14:textId="77777777" w:rsidTr="00D857AC">
        <w:trPr>
          <w:trHeight w:val="100"/>
        </w:trPr>
        <w:tc>
          <w:tcPr>
            <w:tcW w:w="7983" w:type="dxa"/>
            <w:gridSpan w:val="12"/>
            <w:tcBorders>
              <w:top w:val="nil"/>
              <w:left w:val="nil"/>
              <w:bottom w:val="nil"/>
              <w:right w:val="nil"/>
            </w:tcBorders>
            <w:hideMark/>
          </w:tcPr>
          <w:p w14:paraId="69D11C53" w14:textId="5599F854"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 xml:space="preserve">Broj ispitanika pod rizikom </w:t>
            </w:r>
          </w:p>
          <w:p w14:paraId="163880C9"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 xml:space="preserve">Nivolumab + kabozantinib </w:t>
            </w:r>
          </w:p>
        </w:tc>
      </w:tr>
      <w:tr w:rsidR="00D857AC" w:rsidRPr="00234ECD" w14:paraId="54C04157" w14:textId="77777777" w:rsidTr="00D857AC">
        <w:trPr>
          <w:trHeight w:val="100"/>
        </w:trPr>
        <w:tc>
          <w:tcPr>
            <w:tcW w:w="665" w:type="dxa"/>
            <w:tcBorders>
              <w:top w:val="nil"/>
              <w:left w:val="nil"/>
              <w:bottom w:val="nil"/>
              <w:right w:val="nil"/>
            </w:tcBorders>
            <w:hideMark/>
          </w:tcPr>
          <w:p w14:paraId="7D63478E"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 xml:space="preserve">323 </w:t>
            </w:r>
          </w:p>
        </w:tc>
        <w:tc>
          <w:tcPr>
            <w:tcW w:w="665" w:type="dxa"/>
            <w:tcBorders>
              <w:top w:val="nil"/>
              <w:left w:val="nil"/>
              <w:bottom w:val="nil"/>
              <w:right w:val="nil"/>
            </w:tcBorders>
            <w:hideMark/>
          </w:tcPr>
          <w:p w14:paraId="64BD16C2"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 xml:space="preserve">280 </w:t>
            </w:r>
          </w:p>
        </w:tc>
        <w:tc>
          <w:tcPr>
            <w:tcW w:w="665" w:type="dxa"/>
            <w:tcBorders>
              <w:top w:val="nil"/>
              <w:left w:val="nil"/>
              <w:bottom w:val="nil"/>
              <w:right w:val="nil"/>
            </w:tcBorders>
            <w:hideMark/>
          </w:tcPr>
          <w:p w14:paraId="451EFA33"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 xml:space="preserve">236 </w:t>
            </w:r>
          </w:p>
        </w:tc>
        <w:tc>
          <w:tcPr>
            <w:tcW w:w="665" w:type="dxa"/>
            <w:tcBorders>
              <w:top w:val="nil"/>
              <w:left w:val="nil"/>
              <w:bottom w:val="nil"/>
              <w:right w:val="nil"/>
            </w:tcBorders>
            <w:hideMark/>
          </w:tcPr>
          <w:p w14:paraId="50715BAE"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 xml:space="preserve">201 </w:t>
            </w:r>
          </w:p>
        </w:tc>
        <w:tc>
          <w:tcPr>
            <w:tcW w:w="665" w:type="dxa"/>
            <w:tcBorders>
              <w:top w:val="nil"/>
              <w:left w:val="nil"/>
              <w:bottom w:val="nil"/>
              <w:right w:val="nil"/>
            </w:tcBorders>
            <w:hideMark/>
          </w:tcPr>
          <w:p w14:paraId="27D7044B"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 xml:space="preserve">166 </w:t>
            </w:r>
          </w:p>
        </w:tc>
        <w:tc>
          <w:tcPr>
            <w:tcW w:w="665" w:type="dxa"/>
            <w:tcBorders>
              <w:top w:val="nil"/>
              <w:left w:val="nil"/>
              <w:bottom w:val="nil"/>
              <w:right w:val="nil"/>
            </w:tcBorders>
            <w:hideMark/>
          </w:tcPr>
          <w:p w14:paraId="7ECC822A"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 xml:space="preserve">145 </w:t>
            </w:r>
          </w:p>
        </w:tc>
        <w:tc>
          <w:tcPr>
            <w:tcW w:w="665" w:type="dxa"/>
            <w:tcBorders>
              <w:top w:val="nil"/>
              <w:left w:val="nil"/>
              <w:bottom w:val="nil"/>
              <w:right w:val="nil"/>
            </w:tcBorders>
            <w:hideMark/>
          </w:tcPr>
          <w:p w14:paraId="06AA8C0F"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 xml:space="preserve">102 </w:t>
            </w:r>
          </w:p>
        </w:tc>
        <w:tc>
          <w:tcPr>
            <w:tcW w:w="665" w:type="dxa"/>
            <w:tcBorders>
              <w:top w:val="nil"/>
              <w:left w:val="nil"/>
              <w:bottom w:val="nil"/>
              <w:right w:val="nil"/>
            </w:tcBorders>
            <w:hideMark/>
          </w:tcPr>
          <w:p w14:paraId="57CBC63B" w14:textId="1E8CE174"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 xml:space="preserve">56 </w:t>
            </w:r>
          </w:p>
        </w:tc>
        <w:tc>
          <w:tcPr>
            <w:tcW w:w="665" w:type="dxa"/>
            <w:tcBorders>
              <w:top w:val="nil"/>
              <w:left w:val="nil"/>
              <w:bottom w:val="nil"/>
              <w:right w:val="nil"/>
            </w:tcBorders>
            <w:hideMark/>
          </w:tcPr>
          <w:p w14:paraId="3F80BAC6" w14:textId="364BE642"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 xml:space="preserve">26 </w:t>
            </w:r>
          </w:p>
        </w:tc>
        <w:tc>
          <w:tcPr>
            <w:tcW w:w="665" w:type="dxa"/>
            <w:tcBorders>
              <w:top w:val="nil"/>
              <w:left w:val="nil"/>
              <w:bottom w:val="nil"/>
              <w:right w:val="nil"/>
            </w:tcBorders>
            <w:hideMark/>
          </w:tcPr>
          <w:p w14:paraId="488A02A4"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 xml:space="preserve">5 </w:t>
            </w:r>
          </w:p>
        </w:tc>
        <w:tc>
          <w:tcPr>
            <w:tcW w:w="665" w:type="dxa"/>
            <w:tcBorders>
              <w:top w:val="nil"/>
              <w:left w:val="nil"/>
              <w:bottom w:val="nil"/>
              <w:right w:val="nil"/>
            </w:tcBorders>
            <w:hideMark/>
          </w:tcPr>
          <w:p w14:paraId="719416B5"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 xml:space="preserve">2 </w:t>
            </w:r>
          </w:p>
        </w:tc>
        <w:tc>
          <w:tcPr>
            <w:tcW w:w="668" w:type="dxa"/>
            <w:tcBorders>
              <w:top w:val="nil"/>
              <w:left w:val="nil"/>
              <w:bottom w:val="nil"/>
              <w:right w:val="nil"/>
            </w:tcBorders>
            <w:hideMark/>
          </w:tcPr>
          <w:p w14:paraId="59380262"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 xml:space="preserve">0 </w:t>
            </w:r>
          </w:p>
        </w:tc>
      </w:tr>
      <w:tr w:rsidR="00D857AC" w:rsidRPr="00234ECD" w14:paraId="492F58A8" w14:textId="77777777" w:rsidTr="00D857AC">
        <w:trPr>
          <w:trHeight w:val="100"/>
        </w:trPr>
        <w:tc>
          <w:tcPr>
            <w:tcW w:w="7983" w:type="dxa"/>
            <w:gridSpan w:val="12"/>
            <w:tcBorders>
              <w:top w:val="nil"/>
              <w:left w:val="nil"/>
              <w:bottom w:val="nil"/>
              <w:right w:val="nil"/>
            </w:tcBorders>
            <w:hideMark/>
          </w:tcPr>
          <w:p w14:paraId="6E979B57" w14:textId="54B2056D"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 xml:space="preserve">Sunitinib </w:t>
            </w:r>
          </w:p>
        </w:tc>
      </w:tr>
      <w:tr w:rsidR="00D857AC" w:rsidRPr="00234ECD" w14:paraId="0D159616" w14:textId="77777777" w:rsidTr="00D857AC">
        <w:trPr>
          <w:trHeight w:val="100"/>
        </w:trPr>
        <w:tc>
          <w:tcPr>
            <w:tcW w:w="665" w:type="dxa"/>
            <w:tcBorders>
              <w:top w:val="nil"/>
              <w:left w:val="nil"/>
              <w:bottom w:val="nil"/>
              <w:right w:val="nil"/>
            </w:tcBorders>
            <w:hideMark/>
          </w:tcPr>
          <w:p w14:paraId="38690F35"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 xml:space="preserve">328 </w:t>
            </w:r>
          </w:p>
        </w:tc>
        <w:tc>
          <w:tcPr>
            <w:tcW w:w="665" w:type="dxa"/>
            <w:tcBorders>
              <w:top w:val="nil"/>
              <w:left w:val="nil"/>
              <w:bottom w:val="nil"/>
              <w:right w:val="nil"/>
            </w:tcBorders>
            <w:hideMark/>
          </w:tcPr>
          <w:p w14:paraId="3179267E"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 xml:space="preserve">230 </w:t>
            </w:r>
          </w:p>
        </w:tc>
        <w:tc>
          <w:tcPr>
            <w:tcW w:w="665" w:type="dxa"/>
            <w:tcBorders>
              <w:top w:val="nil"/>
              <w:left w:val="nil"/>
              <w:bottom w:val="nil"/>
              <w:right w:val="nil"/>
            </w:tcBorders>
            <w:hideMark/>
          </w:tcPr>
          <w:p w14:paraId="0FC67922"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 xml:space="preserve">160 </w:t>
            </w:r>
          </w:p>
        </w:tc>
        <w:tc>
          <w:tcPr>
            <w:tcW w:w="665" w:type="dxa"/>
            <w:tcBorders>
              <w:top w:val="nil"/>
              <w:left w:val="nil"/>
              <w:bottom w:val="nil"/>
              <w:right w:val="nil"/>
            </w:tcBorders>
            <w:hideMark/>
          </w:tcPr>
          <w:p w14:paraId="4C21BA29"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 xml:space="preserve">122 </w:t>
            </w:r>
          </w:p>
        </w:tc>
        <w:tc>
          <w:tcPr>
            <w:tcW w:w="665" w:type="dxa"/>
            <w:tcBorders>
              <w:top w:val="nil"/>
              <w:left w:val="nil"/>
              <w:bottom w:val="nil"/>
              <w:right w:val="nil"/>
            </w:tcBorders>
            <w:hideMark/>
          </w:tcPr>
          <w:p w14:paraId="44EF8233"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 xml:space="preserve">87 </w:t>
            </w:r>
          </w:p>
        </w:tc>
        <w:tc>
          <w:tcPr>
            <w:tcW w:w="665" w:type="dxa"/>
            <w:tcBorders>
              <w:top w:val="nil"/>
              <w:left w:val="nil"/>
              <w:bottom w:val="nil"/>
              <w:right w:val="nil"/>
            </w:tcBorders>
            <w:hideMark/>
          </w:tcPr>
          <w:p w14:paraId="3362A70F"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 xml:space="preserve">61 </w:t>
            </w:r>
          </w:p>
        </w:tc>
        <w:tc>
          <w:tcPr>
            <w:tcW w:w="665" w:type="dxa"/>
            <w:tcBorders>
              <w:top w:val="nil"/>
              <w:left w:val="nil"/>
              <w:bottom w:val="nil"/>
              <w:right w:val="nil"/>
            </w:tcBorders>
            <w:hideMark/>
          </w:tcPr>
          <w:p w14:paraId="6AAFBDB1"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 xml:space="preserve">37 </w:t>
            </w:r>
          </w:p>
        </w:tc>
        <w:tc>
          <w:tcPr>
            <w:tcW w:w="665" w:type="dxa"/>
            <w:tcBorders>
              <w:top w:val="nil"/>
              <w:left w:val="nil"/>
              <w:bottom w:val="nil"/>
              <w:right w:val="nil"/>
            </w:tcBorders>
            <w:hideMark/>
          </w:tcPr>
          <w:p w14:paraId="730D27EF" w14:textId="441E0A71"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 xml:space="preserve">17 </w:t>
            </w:r>
          </w:p>
        </w:tc>
        <w:tc>
          <w:tcPr>
            <w:tcW w:w="665" w:type="dxa"/>
            <w:tcBorders>
              <w:top w:val="nil"/>
              <w:left w:val="nil"/>
              <w:bottom w:val="nil"/>
              <w:right w:val="nil"/>
            </w:tcBorders>
            <w:hideMark/>
          </w:tcPr>
          <w:p w14:paraId="5AC1E699" w14:textId="076D84C8"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 xml:space="preserve">7 </w:t>
            </w:r>
          </w:p>
        </w:tc>
        <w:tc>
          <w:tcPr>
            <w:tcW w:w="665" w:type="dxa"/>
            <w:tcBorders>
              <w:top w:val="nil"/>
              <w:left w:val="nil"/>
              <w:bottom w:val="nil"/>
              <w:right w:val="nil"/>
            </w:tcBorders>
            <w:hideMark/>
          </w:tcPr>
          <w:p w14:paraId="5BB84F47"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 xml:space="preserve">2 </w:t>
            </w:r>
          </w:p>
        </w:tc>
        <w:tc>
          <w:tcPr>
            <w:tcW w:w="665" w:type="dxa"/>
            <w:tcBorders>
              <w:top w:val="nil"/>
              <w:left w:val="nil"/>
              <w:bottom w:val="nil"/>
              <w:right w:val="nil"/>
            </w:tcBorders>
            <w:hideMark/>
          </w:tcPr>
          <w:p w14:paraId="48C62C83"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 xml:space="preserve">1 </w:t>
            </w:r>
          </w:p>
        </w:tc>
        <w:tc>
          <w:tcPr>
            <w:tcW w:w="668" w:type="dxa"/>
            <w:tcBorders>
              <w:top w:val="nil"/>
              <w:left w:val="nil"/>
              <w:bottom w:val="nil"/>
              <w:right w:val="nil"/>
            </w:tcBorders>
            <w:hideMark/>
          </w:tcPr>
          <w:p w14:paraId="75A66FA2" w14:textId="77777777" w:rsidR="00D857AC" w:rsidRPr="00234ECD" w:rsidRDefault="00D857AC" w:rsidP="00D857AC">
            <w:pPr>
              <w:autoSpaceDE w:val="0"/>
              <w:autoSpaceDN w:val="0"/>
              <w:adjustRightInd w:val="0"/>
              <w:rPr>
                <w:rFonts w:eastAsia="Calibri"/>
                <w:sz w:val="22"/>
                <w:szCs w:val="22"/>
                <w:lang w:val="sr-Latn-RS"/>
              </w:rPr>
            </w:pPr>
            <w:r w:rsidRPr="00234ECD">
              <w:rPr>
                <w:rFonts w:eastAsia="Calibri"/>
                <w:sz w:val="22"/>
                <w:szCs w:val="22"/>
                <w:lang w:val="sr-Latn-RS"/>
              </w:rPr>
              <w:t xml:space="preserve">0 </w:t>
            </w:r>
          </w:p>
        </w:tc>
      </w:tr>
    </w:tbl>
    <w:p w14:paraId="102B83C4" w14:textId="0A36CE62" w:rsidR="00D857AC" w:rsidRPr="00234ECD" w:rsidRDefault="00D857AC" w:rsidP="00D857AC">
      <w:pPr>
        <w:tabs>
          <w:tab w:val="left" w:pos="284"/>
        </w:tabs>
        <w:jc w:val="both"/>
        <w:rPr>
          <w:sz w:val="22"/>
          <w:szCs w:val="22"/>
          <w:lang w:val="sr-Latn-RS"/>
        </w:rPr>
      </w:pPr>
      <w:r w:rsidRPr="00234ECD">
        <w:rPr>
          <w:noProof/>
          <w:sz w:val="22"/>
          <w:szCs w:val="22"/>
          <w:lang w:val="sr-Latn-RS"/>
        </w:rPr>
        <w:lastRenderedPageBreak/>
        <w:drawing>
          <wp:inline distT="0" distB="0" distL="0" distR="0" wp14:anchorId="118BBC88" wp14:editId="38CC7A95">
            <wp:extent cx="457200" cy="180975"/>
            <wp:effectExtent l="0" t="0" r="0" b="9525"/>
            <wp:docPr id="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234ECD">
        <w:rPr>
          <w:sz w:val="22"/>
          <w:szCs w:val="22"/>
          <w:lang w:val="sr-Latn-RS"/>
        </w:rPr>
        <w:t>Nivolumab + kabozantinib (događaji: 175/323), medijan</w:t>
      </w:r>
      <w:r w:rsidR="000F5FE7" w:rsidRPr="00234ECD">
        <w:rPr>
          <w:sz w:val="22"/>
          <w:szCs w:val="22"/>
          <w:lang w:val="sr-Latn-RS"/>
        </w:rPr>
        <w:t>a</w:t>
      </w:r>
      <w:r w:rsidRPr="00234ECD">
        <w:rPr>
          <w:sz w:val="22"/>
          <w:szCs w:val="22"/>
          <w:lang w:val="sr-Latn-RS"/>
        </w:rPr>
        <w:t xml:space="preserve"> i 95,0 % CI: 16,95 (12,58; 19,38)</w:t>
      </w:r>
    </w:p>
    <w:p w14:paraId="706AAB66" w14:textId="5B3D8FCA" w:rsidR="00D857AC" w:rsidRPr="00234ECD" w:rsidRDefault="00D857AC" w:rsidP="00D857AC">
      <w:pPr>
        <w:tabs>
          <w:tab w:val="left" w:pos="284"/>
        </w:tabs>
        <w:jc w:val="both"/>
        <w:rPr>
          <w:sz w:val="22"/>
          <w:szCs w:val="22"/>
          <w:lang w:val="sr-Latn-RS"/>
        </w:rPr>
      </w:pPr>
      <w:r w:rsidRPr="00234ECD">
        <w:rPr>
          <w:rFonts w:eastAsia="Calibri"/>
          <w:noProof/>
          <w:sz w:val="22"/>
          <w:szCs w:val="22"/>
          <w:lang w:val="sr-Latn-RS"/>
        </w:rPr>
        <w:drawing>
          <wp:inline distT="0" distB="0" distL="0" distR="0" wp14:anchorId="1787836B" wp14:editId="44C958D1">
            <wp:extent cx="457200" cy="180975"/>
            <wp:effectExtent l="0" t="0" r="0" b="9525"/>
            <wp:docPr id="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234ECD">
        <w:rPr>
          <w:sz w:val="22"/>
          <w:szCs w:val="22"/>
          <w:lang w:val="sr-Latn-RS"/>
        </w:rPr>
        <w:t>Sunitinib (događaji: 206/328), medijan</w:t>
      </w:r>
      <w:r w:rsidR="000F5FE7" w:rsidRPr="00234ECD">
        <w:rPr>
          <w:sz w:val="22"/>
          <w:szCs w:val="22"/>
          <w:lang w:val="sr-Latn-RS"/>
        </w:rPr>
        <w:t>a</w:t>
      </w:r>
      <w:r w:rsidRPr="00234ECD">
        <w:rPr>
          <w:sz w:val="22"/>
          <w:szCs w:val="22"/>
          <w:lang w:val="sr-Latn-RS"/>
        </w:rPr>
        <w:t xml:space="preserve"> i 950 % CI: 8,31 (6,93; 9</w:t>
      </w:r>
      <w:r w:rsidR="00C23390" w:rsidRPr="00234ECD">
        <w:rPr>
          <w:sz w:val="22"/>
          <w:szCs w:val="22"/>
          <w:lang w:val="sr-Latn-RS"/>
        </w:rPr>
        <w:t>,</w:t>
      </w:r>
      <w:r w:rsidRPr="00234ECD">
        <w:rPr>
          <w:sz w:val="22"/>
          <w:szCs w:val="22"/>
          <w:lang w:val="sr-Latn-RS"/>
        </w:rPr>
        <w:t>69)</w:t>
      </w:r>
    </w:p>
    <w:p w14:paraId="473E66E8" w14:textId="77777777" w:rsidR="00D857AC" w:rsidRPr="00234ECD" w:rsidRDefault="00D857AC" w:rsidP="00D857AC">
      <w:pPr>
        <w:tabs>
          <w:tab w:val="left" w:pos="284"/>
        </w:tabs>
        <w:jc w:val="both"/>
        <w:rPr>
          <w:b/>
          <w:bCs/>
          <w:sz w:val="22"/>
          <w:szCs w:val="22"/>
          <w:lang w:val="sr-Latn-RS"/>
        </w:rPr>
      </w:pPr>
    </w:p>
    <w:p w14:paraId="3FFEC00D" w14:textId="77777777" w:rsidR="00D857AC" w:rsidRPr="00234ECD" w:rsidRDefault="00D857AC" w:rsidP="00D857AC">
      <w:pPr>
        <w:tabs>
          <w:tab w:val="left" w:pos="284"/>
        </w:tabs>
        <w:jc w:val="both"/>
        <w:rPr>
          <w:b/>
          <w:bCs/>
          <w:sz w:val="22"/>
          <w:szCs w:val="22"/>
          <w:lang w:val="sr-Latn-RS"/>
        </w:rPr>
      </w:pPr>
    </w:p>
    <w:p w14:paraId="2B1A9089" w14:textId="77777777" w:rsidR="00D857AC" w:rsidRPr="00234ECD" w:rsidRDefault="00D857AC" w:rsidP="00D857AC">
      <w:pPr>
        <w:jc w:val="both"/>
        <w:rPr>
          <w:rFonts w:eastAsia="Calibri"/>
          <w:b/>
          <w:sz w:val="22"/>
          <w:szCs w:val="22"/>
          <w:lang w:val="sr-Latn-RS"/>
        </w:rPr>
      </w:pPr>
    </w:p>
    <w:p w14:paraId="35279B22" w14:textId="77777777" w:rsidR="00D857AC" w:rsidRPr="00234ECD" w:rsidRDefault="00D857AC" w:rsidP="00D857AC">
      <w:pPr>
        <w:jc w:val="both"/>
        <w:rPr>
          <w:rFonts w:eastAsia="Calibri"/>
          <w:b/>
          <w:sz w:val="22"/>
          <w:szCs w:val="22"/>
          <w:lang w:val="sr-Latn-RS"/>
        </w:rPr>
      </w:pPr>
    </w:p>
    <w:p w14:paraId="76BCF224" w14:textId="7BFBE5F7" w:rsidR="00D857AC" w:rsidRPr="00234ECD" w:rsidRDefault="00D857AC" w:rsidP="00D857AC">
      <w:pPr>
        <w:jc w:val="both"/>
        <w:rPr>
          <w:rFonts w:eastAsia="Calibri"/>
          <w:b/>
          <w:bCs/>
          <w:noProof/>
          <w:sz w:val="22"/>
          <w:szCs w:val="22"/>
          <w:lang w:val="sr-Latn-RS"/>
        </w:rPr>
      </w:pPr>
      <w:r w:rsidRPr="00234ECD">
        <w:rPr>
          <w:rFonts w:eastAsia="Calibri"/>
          <w:b/>
          <w:sz w:val="22"/>
          <w:szCs w:val="22"/>
          <w:lang w:val="sr-Latn-RS"/>
        </w:rPr>
        <w:t>Slika 5:</w:t>
      </w:r>
      <w:r w:rsidRPr="00234ECD">
        <w:rPr>
          <w:rFonts w:eastAsia="Calibri"/>
          <w:sz w:val="22"/>
          <w:szCs w:val="22"/>
          <w:lang w:val="sr-Latn-RS"/>
        </w:rPr>
        <w:t xml:space="preserve"> </w:t>
      </w:r>
      <w:r w:rsidRPr="00234ECD">
        <w:rPr>
          <w:rFonts w:eastAsia="Calibri"/>
          <w:b/>
          <w:i/>
          <w:sz w:val="22"/>
          <w:szCs w:val="22"/>
          <w:lang w:val="sr-Latn-RS"/>
        </w:rPr>
        <w:t>Kaplan-Meier</w:t>
      </w:r>
      <w:r w:rsidRPr="00234ECD">
        <w:rPr>
          <w:rFonts w:eastAsia="Calibri"/>
          <w:b/>
          <w:sz w:val="22"/>
          <w:szCs w:val="22"/>
          <w:lang w:val="sr-Latn-RS"/>
        </w:rPr>
        <w:t xml:space="preserve">-ova kriva </w:t>
      </w:r>
      <w:r w:rsidRPr="00234ECD">
        <w:rPr>
          <w:rFonts w:eastAsia="Calibri"/>
          <w:b/>
          <w:bCs/>
          <w:noProof/>
          <w:sz w:val="22"/>
          <w:szCs w:val="22"/>
          <w:lang w:val="sr-Latn-RS"/>
        </w:rPr>
        <w:t>OS-a (CA2099ER)</w:t>
      </w:r>
    </w:p>
    <w:p w14:paraId="09B22F51" w14:textId="1DA47D10" w:rsidR="00A220E8" w:rsidRPr="00234ECD" w:rsidRDefault="00A220E8" w:rsidP="00D857AC">
      <w:pPr>
        <w:jc w:val="both"/>
        <w:rPr>
          <w:rFonts w:eastAsia="Calibri"/>
          <w:b/>
          <w:bCs/>
          <w:noProof/>
          <w:sz w:val="22"/>
          <w:szCs w:val="22"/>
          <w:lang w:val="sr-Latn-R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8604"/>
      </w:tblGrid>
      <w:tr w:rsidR="00A220E8" w:rsidRPr="00234ECD" w14:paraId="3638D697" w14:textId="77777777" w:rsidTr="00A220E8">
        <w:trPr>
          <w:cantSplit/>
          <w:trHeight w:val="5426"/>
        </w:trPr>
        <w:tc>
          <w:tcPr>
            <w:tcW w:w="445" w:type="dxa"/>
            <w:textDirection w:val="btLr"/>
            <w:vAlign w:val="bottom"/>
          </w:tcPr>
          <w:p w14:paraId="3B326A21" w14:textId="58530136" w:rsidR="00A220E8" w:rsidRPr="00234ECD" w:rsidRDefault="00A220E8" w:rsidP="00A220E8">
            <w:pPr>
              <w:ind w:left="113" w:right="113"/>
              <w:jc w:val="center"/>
              <w:rPr>
                <w:rFonts w:ascii="Times New Roman" w:hAnsi="Times New Roman" w:cs="Times New Roman"/>
                <w:b/>
                <w:bCs/>
                <w:sz w:val="22"/>
                <w:szCs w:val="22"/>
                <w:lang w:val="sr-Latn-RS"/>
              </w:rPr>
            </w:pPr>
            <w:r w:rsidRPr="00234ECD">
              <w:rPr>
                <w:rFonts w:ascii="Times New Roman" w:hAnsi="Times New Roman" w:cs="Times New Roman"/>
                <w:b/>
                <w:bCs/>
                <w:sz w:val="22"/>
                <w:szCs w:val="22"/>
                <w:lang w:val="sr-Latn-RS"/>
              </w:rPr>
              <w:t>V</w:t>
            </w:r>
            <w:r w:rsidR="00CC46BC" w:rsidRPr="00234ECD">
              <w:rPr>
                <w:rFonts w:ascii="Times New Roman" w:hAnsi="Times New Roman" w:cs="Times New Roman"/>
                <w:b/>
                <w:bCs/>
                <w:sz w:val="22"/>
                <w:szCs w:val="22"/>
                <w:lang w:val="sr-Latn-RS"/>
              </w:rPr>
              <w:t>j</w:t>
            </w:r>
            <w:r w:rsidRPr="00234ECD">
              <w:rPr>
                <w:rFonts w:ascii="Times New Roman" w:hAnsi="Times New Roman" w:cs="Times New Roman"/>
                <w:b/>
                <w:bCs/>
                <w:sz w:val="22"/>
                <w:szCs w:val="22"/>
                <w:lang w:val="sr-Latn-RS"/>
              </w:rPr>
              <w:t>erovatnoća preživljavanja</w:t>
            </w:r>
          </w:p>
          <w:p w14:paraId="6E001FD4" w14:textId="77777777" w:rsidR="00A220E8" w:rsidRPr="00234ECD" w:rsidRDefault="00A220E8" w:rsidP="00A220E8">
            <w:pPr>
              <w:ind w:left="113" w:right="113"/>
              <w:jc w:val="center"/>
              <w:rPr>
                <w:rFonts w:ascii="Times New Roman" w:hAnsi="Times New Roman" w:cs="Times New Roman"/>
                <w:b/>
                <w:sz w:val="22"/>
                <w:szCs w:val="22"/>
                <w:lang w:val="sr-Latn-RS"/>
              </w:rPr>
            </w:pPr>
          </w:p>
        </w:tc>
        <w:tc>
          <w:tcPr>
            <w:tcW w:w="8618" w:type="dxa"/>
          </w:tcPr>
          <w:p w14:paraId="15D20C91" w14:textId="5392AE58" w:rsidR="00A220E8" w:rsidRPr="00234ECD" w:rsidRDefault="00A220E8" w:rsidP="00D857AC">
            <w:pPr>
              <w:jc w:val="both"/>
              <w:rPr>
                <w:rFonts w:ascii="Times New Roman" w:hAnsi="Times New Roman" w:cs="Times New Roman"/>
                <w:b/>
                <w:sz w:val="22"/>
                <w:szCs w:val="22"/>
                <w:lang w:val="sr-Latn-RS"/>
              </w:rPr>
            </w:pPr>
            <w:r w:rsidRPr="00234ECD">
              <w:rPr>
                <w:rFonts w:ascii="Times New Roman" w:hAnsi="Times New Roman" w:cs="Times New Roman"/>
                <w:noProof/>
                <w:sz w:val="22"/>
                <w:szCs w:val="22"/>
                <w:lang w:val="sr-Latn-RS"/>
              </w:rPr>
              <w:drawing>
                <wp:inline distT="0" distB="0" distL="0" distR="0" wp14:anchorId="3D373ADD" wp14:editId="0ADA0269">
                  <wp:extent cx="5457825" cy="3607871"/>
                  <wp:effectExtent l="0" t="0" r="0" b="0"/>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59318" cy="3608858"/>
                          </a:xfrm>
                          <a:prstGeom prst="rect">
                            <a:avLst/>
                          </a:prstGeom>
                          <a:noFill/>
                          <a:ln>
                            <a:noFill/>
                          </a:ln>
                        </pic:spPr>
                      </pic:pic>
                    </a:graphicData>
                  </a:graphic>
                </wp:inline>
              </w:drawing>
            </w:r>
          </w:p>
        </w:tc>
      </w:tr>
    </w:tbl>
    <w:p w14:paraId="4A5E9625" w14:textId="77777777" w:rsidR="00A220E8" w:rsidRPr="00234ECD" w:rsidRDefault="00A220E8" w:rsidP="00D857AC">
      <w:pPr>
        <w:jc w:val="both"/>
        <w:rPr>
          <w:rFonts w:eastAsia="Calibri"/>
          <w:b/>
          <w:sz w:val="22"/>
          <w:szCs w:val="22"/>
          <w:lang w:val="sr-Latn-RS"/>
        </w:rPr>
      </w:pPr>
    </w:p>
    <w:p w14:paraId="30B183B2" w14:textId="03626AEF" w:rsidR="00D857AC" w:rsidRPr="00234ECD" w:rsidRDefault="00D857AC" w:rsidP="00D857AC">
      <w:pPr>
        <w:jc w:val="center"/>
        <w:rPr>
          <w:rFonts w:eastAsia="Calibri"/>
          <w:b/>
          <w:bCs/>
          <w:sz w:val="22"/>
          <w:szCs w:val="22"/>
          <w:lang w:val="sr-Latn-RS"/>
        </w:rPr>
      </w:pPr>
      <w:r w:rsidRPr="00234ECD">
        <w:rPr>
          <w:rFonts w:eastAsia="Calibri"/>
          <w:b/>
          <w:bCs/>
          <w:sz w:val="22"/>
          <w:szCs w:val="22"/>
          <w:lang w:val="sr-Latn-RS"/>
        </w:rPr>
        <w:t>Ukupno preživljavanje (m</w:t>
      </w:r>
      <w:r w:rsidR="00CC46BC" w:rsidRPr="00234ECD">
        <w:rPr>
          <w:rFonts w:eastAsia="Calibri"/>
          <w:b/>
          <w:bCs/>
          <w:sz w:val="22"/>
          <w:szCs w:val="22"/>
          <w:lang w:val="sr-Latn-RS"/>
        </w:rPr>
        <w:t>j</w:t>
      </w:r>
      <w:r w:rsidRPr="00234ECD">
        <w:rPr>
          <w:rFonts w:eastAsia="Calibri"/>
          <w:b/>
          <w:bCs/>
          <w:sz w:val="22"/>
          <w:szCs w:val="22"/>
          <w:lang w:val="sr-Latn-RS"/>
        </w:rPr>
        <w:t>eseci)</w:t>
      </w:r>
    </w:p>
    <w:p w14:paraId="25161F61" w14:textId="77777777" w:rsidR="00D857AC" w:rsidRPr="00234ECD" w:rsidRDefault="00D857AC" w:rsidP="00D857AC">
      <w:pPr>
        <w:tabs>
          <w:tab w:val="left" w:pos="567"/>
        </w:tabs>
        <w:spacing w:line="260" w:lineRule="exact"/>
        <w:rPr>
          <w:bCs/>
          <w:sz w:val="22"/>
          <w:szCs w:val="22"/>
          <w:lang w:val="sr-Latn-RS"/>
        </w:rPr>
      </w:pPr>
    </w:p>
    <w:tbl>
      <w:tblPr>
        <w:tblW w:w="0" w:type="auto"/>
        <w:tblInd w:w="-108" w:type="dxa"/>
        <w:tblLayout w:type="fixed"/>
        <w:tblLook w:val="04A0" w:firstRow="1" w:lastRow="0" w:firstColumn="1" w:lastColumn="0" w:noHBand="0" w:noVBand="1"/>
      </w:tblPr>
      <w:tblGrid>
        <w:gridCol w:w="707"/>
        <w:gridCol w:w="707"/>
        <w:gridCol w:w="707"/>
        <w:gridCol w:w="707"/>
        <w:gridCol w:w="707"/>
        <w:gridCol w:w="707"/>
        <w:gridCol w:w="707"/>
        <w:gridCol w:w="707"/>
        <w:gridCol w:w="707"/>
        <w:gridCol w:w="707"/>
        <w:gridCol w:w="707"/>
        <w:gridCol w:w="707"/>
        <w:gridCol w:w="8"/>
      </w:tblGrid>
      <w:tr w:rsidR="00D857AC" w:rsidRPr="00234ECD" w14:paraId="066F6C31" w14:textId="77777777" w:rsidTr="00D857AC">
        <w:trPr>
          <w:trHeight w:val="100"/>
        </w:trPr>
        <w:tc>
          <w:tcPr>
            <w:tcW w:w="8492" w:type="dxa"/>
            <w:gridSpan w:val="13"/>
            <w:tcBorders>
              <w:top w:val="nil"/>
              <w:left w:val="nil"/>
              <w:bottom w:val="nil"/>
              <w:right w:val="nil"/>
            </w:tcBorders>
            <w:hideMark/>
          </w:tcPr>
          <w:p w14:paraId="5CBE8C4D"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Broj ispitanika pod rizikom </w:t>
            </w:r>
          </w:p>
          <w:p w14:paraId="15194B6E"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Nivolumab + kabozantinib </w:t>
            </w:r>
          </w:p>
        </w:tc>
      </w:tr>
      <w:tr w:rsidR="00D857AC" w:rsidRPr="00234ECD" w14:paraId="3DE1F18C" w14:textId="77777777" w:rsidTr="00D857AC">
        <w:trPr>
          <w:gridAfter w:val="1"/>
          <w:wAfter w:w="8" w:type="dxa"/>
          <w:trHeight w:val="100"/>
        </w:trPr>
        <w:tc>
          <w:tcPr>
            <w:tcW w:w="707" w:type="dxa"/>
            <w:tcBorders>
              <w:top w:val="nil"/>
              <w:left w:val="nil"/>
              <w:bottom w:val="nil"/>
              <w:right w:val="nil"/>
            </w:tcBorders>
            <w:hideMark/>
          </w:tcPr>
          <w:p w14:paraId="7B96543C"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323 </w:t>
            </w:r>
          </w:p>
        </w:tc>
        <w:tc>
          <w:tcPr>
            <w:tcW w:w="707" w:type="dxa"/>
            <w:tcBorders>
              <w:top w:val="nil"/>
              <w:left w:val="nil"/>
              <w:bottom w:val="nil"/>
              <w:right w:val="nil"/>
            </w:tcBorders>
            <w:hideMark/>
          </w:tcPr>
          <w:p w14:paraId="512A8A17"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308 </w:t>
            </w:r>
          </w:p>
        </w:tc>
        <w:tc>
          <w:tcPr>
            <w:tcW w:w="707" w:type="dxa"/>
            <w:tcBorders>
              <w:top w:val="nil"/>
              <w:left w:val="nil"/>
              <w:bottom w:val="nil"/>
              <w:right w:val="nil"/>
            </w:tcBorders>
            <w:hideMark/>
          </w:tcPr>
          <w:p w14:paraId="68007DC7"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295 </w:t>
            </w:r>
          </w:p>
        </w:tc>
        <w:tc>
          <w:tcPr>
            <w:tcW w:w="707" w:type="dxa"/>
            <w:tcBorders>
              <w:top w:val="nil"/>
              <w:left w:val="nil"/>
              <w:bottom w:val="nil"/>
              <w:right w:val="nil"/>
            </w:tcBorders>
            <w:hideMark/>
          </w:tcPr>
          <w:p w14:paraId="75E62AEF"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283 </w:t>
            </w:r>
          </w:p>
        </w:tc>
        <w:tc>
          <w:tcPr>
            <w:tcW w:w="707" w:type="dxa"/>
            <w:tcBorders>
              <w:top w:val="nil"/>
              <w:left w:val="nil"/>
              <w:bottom w:val="nil"/>
              <w:right w:val="nil"/>
            </w:tcBorders>
            <w:hideMark/>
          </w:tcPr>
          <w:p w14:paraId="1A0A0564"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269 </w:t>
            </w:r>
          </w:p>
        </w:tc>
        <w:tc>
          <w:tcPr>
            <w:tcW w:w="707" w:type="dxa"/>
            <w:tcBorders>
              <w:top w:val="nil"/>
              <w:left w:val="nil"/>
              <w:bottom w:val="nil"/>
              <w:right w:val="nil"/>
            </w:tcBorders>
            <w:hideMark/>
          </w:tcPr>
          <w:p w14:paraId="0D7D9CD5"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255 </w:t>
            </w:r>
          </w:p>
        </w:tc>
        <w:tc>
          <w:tcPr>
            <w:tcW w:w="707" w:type="dxa"/>
            <w:tcBorders>
              <w:top w:val="nil"/>
              <w:left w:val="nil"/>
              <w:bottom w:val="nil"/>
              <w:right w:val="nil"/>
            </w:tcBorders>
            <w:hideMark/>
          </w:tcPr>
          <w:p w14:paraId="26F64024"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220 </w:t>
            </w:r>
          </w:p>
        </w:tc>
        <w:tc>
          <w:tcPr>
            <w:tcW w:w="707" w:type="dxa"/>
            <w:tcBorders>
              <w:top w:val="nil"/>
              <w:left w:val="nil"/>
              <w:bottom w:val="nil"/>
              <w:right w:val="nil"/>
            </w:tcBorders>
            <w:hideMark/>
          </w:tcPr>
          <w:p w14:paraId="500777B9"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147 </w:t>
            </w:r>
          </w:p>
        </w:tc>
        <w:tc>
          <w:tcPr>
            <w:tcW w:w="707" w:type="dxa"/>
            <w:tcBorders>
              <w:top w:val="nil"/>
              <w:left w:val="nil"/>
              <w:bottom w:val="nil"/>
              <w:right w:val="nil"/>
            </w:tcBorders>
            <w:hideMark/>
          </w:tcPr>
          <w:p w14:paraId="4988DB75"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84 </w:t>
            </w:r>
          </w:p>
        </w:tc>
        <w:tc>
          <w:tcPr>
            <w:tcW w:w="707" w:type="dxa"/>
            <w:tcBorders>
              <w:top w:val="nil"/>
              <w:left w:val="nil"/>
              <w:bottom w:val="nil"/>
              <w:right w:val="nil"/>
            </w:tcBorders>
            <w:hideMark/>
          </w:tcPr>
          <w:p w14:paraId="2257FCE2"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40 </w:t>
            </w:r>
          </w:p>
        </w:tc>
        <w:tc>
          <w:tcPr>
            <w:tcW w:w="707" w:type="dxa"/>
            <w:tcBorders>
              <w:top w:val="nil"/>
              <w:left w:val="nil"/>
              <w:bottom w:val="nil"/>
              <w:right w:val="nil"/>
            </w:tcBorders>
            <w:hideMark/>
          </w:tcPr>
          <w:p w14:paraId="248D3ABA"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10 </w:t>
            </w:r>
          </w:p>
        </w:tc>
        <w:tc>
          <w:tcPr>
            <w:tcW w:w="707" w:type="dxa"/>
            <w:tcBorders>
              <w:top w:val="nil"/>
              <w:left w:val="nil"/>
              <w:bottom w:val="nil"/>
              <w:right w:val="nil"/>
            </w:tcBorders>
            <w:hideMark/>
          </w:tcPr>
          <w:p w14:paraId="5912B621"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0 </w:t>
            </w:r>
          </w:p>
        </w:tc>
      </w:tr>
      <w:tr w:rsidR="00D857AC" w:rsidRPr="00234ECD" w14:paraId="2D574311" w14:textId="77777777" w:rsidTr="00D857AC">
        <w:trPr>
          <w:trHeight w:val="100"/>
        </w:trPr>
        <w:tc>
          <w:tcPr>
            <w:tcW w:w="8492" w:type="dxa"/>
            <w:gridSpan w:val="13"/>
            <w:tcBorders>
              <w:top w:val="nil"/>
              <w:left w:val="nil"/>
              <w:bottom w:val="nil"/>
              <w:right w:val="nil"/>
            </w:tcBorders>
            <w:hideMark/>
          </w:tcPr>
          <w:p w14:paraId="1FFC4E5F"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Sunitinib </w:t>
            </w:r>
          </w:p>
        </w:tc>
      </w:tr>
      <w:tr w:rsidR="00D857AC" w:rsidRPr="00234ECD" w14:paraId="6B45F022" w14:textId="77777777" w:rsidTr="00D857AC">
        <w:trPr>
          <w:gridAfter w:val="1"/>
          <w:wAfter w:w="8" w:type="dxa"/>
          <w:trHeight w:val="100"/>
        </w:trPr>
        <w:tc>
          <w:tcPr>
            <w:tcW w:w="707" w:type="dxa"/>
            <w:tcBorders>
              <w:top w:val="nil"/>
              <w:left w:val="nil"/>
              <w:bottom w:val="nil"/>
              <w:right w:val="nil"/>
            </w:tcBorders>
            <w:hideMark/>
          </w:tcPr>
          <w:p w14:paraId="07B4B1A1"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328 </w:t>
            </w:r>
          </w:p>
        </w:tc>
        <w:tc>
          <w:tcPr>
            <w:tcW w:w="707" w:type="dxa"/>
            <w:tcBorders>
              <w:top w:val="nil"/>
              <w:left w:val="nil"/>
              <w:bottom w:val="nil"/>
              <w:right w:val="nil"/>
            </w:tcBorders>
            <w:hideMark/>
          </w:tcPr>
          <w:p w14:paraId="3A0F27C8"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295 </w:t>
            </w:r>
          </w:p>
        </w:tc>
        <w:tc>
          <w:tcPr>
            <w:tcW w:w="707" w:type="dxa"/>
            <w:tcBorders>
              <w:top w:val="nil"/>
              <w:left w:val="nil"/>
              <w:bottom w:val="nil"/>
              <w:right w:val="nil"/>
            </w:tcBorders>
            <w:hideMark/>
          </w:tcPr>
          <w:p w14:paraId="727609A2"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272 </w:t>
            </w:r>
          </w:p>
        </w:tc>
        <w:tc>
          <w:tcPr>
            <w:tcW w:w="707" w:type="dxa"/>
            <w:tcBorders>
              <w:top w:val="nil"/>
              <w:left w:val="nil"/>
              <w:bottom w:val="nil"/>
              <w:right w:val="nil"/>
            </w:tcBorders>
            <w:hideMark/>
          </w:tcPr>
          <w:p w14:paraId="355C6DDC"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254 </w:t>
            </w:r>
          </w:p>
        </w:tc>
        <w:tc>
          <w:tcPr>
            <w:tcW w:w="707" w:type="dxa"/>
            <w:tcBorders>
              <w:top w:val="nil"/>
              <w:left w:val="nil"/>
              <w:bottom w:val="nil"/>
              <w:right w:val="nil"/>
            </w:tcBorders>
            <w:hideMark/>
          </w:tcPr>
          <w:p w14:paraId="35EF5AE1"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236 </w:t>
            </w:r>
          </w:p>
        </w:tc>
        <w:tc>
          <w:tcPr>
            <w:tcW w:w="707" w:type="dxa"/>
            <w:tcBorders>
              <w:top w:val="nil"/>
              <w:left w:val="nil"/>
              <w:bottom w:val="nil"/>
              <w:right w:val="nil"/>
            </w:tcBorders>
            <w:hideMark/>
          </w:tcPr>
          <w:p w14:paraId="3A7E27EE"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217 </w:t>
            </w:r>
          </w:p>
        </w:tc>
        <w:tc>
          <w:tcPr>
            <w:tcW w:w="707" w:type="dxa"/>
            <w:tcBorders>
              <w:top w:val="nil"/>
              <w:left w:val="nil"/>
              <w:bottom w:val="nil"/>
              <w:right w:val="nil"/>
            </w:tcBorders>
            <w:hideMark/>
          </w:tcPr>
          <w:p w14:paraId="14CEA629"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189 </w:t>
            </w:r>
          </w:p>
        </w:tc>
        <w:tc>
          <w:tcPr>
            <w:tcW w:w="707" w:type="dxa"/>
            <w:tcBorders>
              <w:top w:val="nil"/>
              <w:left w:val="nil"/>
              <w:bottom w:val="nil"/>
              <w:right w:val="nil"/>
            </w:tcBorders>
            <w:hideMark/>
          </w:tcPr>
          <w:p w14:paraId="56C93E6C"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118 </w:t>
            </w:r>
          </w:p>
        </w:tc>
        <w:tc>
          <w:tcPr>
            <w:tcW w:w="707" w:type="dxa"/>
            <w:tcBorders>
              <w:top w:val="nil"/>
              <w:left w:val="nil"/>
              <w:bottom w:val="nil"/>
              <w:right w:val="nil"/>
            </w:tcBorders>
            <w:hideMark/>
          </w:tcPr>
          <w:p w14:paraId="016C92AD"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62 </w:t>
            </w:r>
          </w:p>
        </w:tc>
        <w:tc>
          <w:tcPr>
            <w:tcW w:w="707" w:type="dxa"/>
            <w:tcBorders>
              <w:top w:val="nil"/>
              <w:left w:val="nil"/>
              <w:bottom w:val="nil"/>
              <w:right w:val="nil"/>
            </w:tcBorders>
            <w:hideMark/>
          </w:tcPr>
          <w:p w14:paraId="3D43975E"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22 </w:t>
            </w:r>
          </w:p>
        </w:tc>
        <w:tc>
          <w:tcPr>
            <w:tcW w:w="707" w:type="dxa"/>
            <w:tcBorders>
              <w:top w:val="nil"/>
              <w:left w:val="nil"/>
              <w:bottom w:val="nil"/>
              <w:right w:val="nil"/>
            </w:tcBorders>
            <w:hideMark/>
          </w:tcPr>
          <w:p w14:paraId="6512C48B"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4 </w:t>
            </w:r>
          </w:p>
        </w:tc>
        <w:tc>
          <w:tcPr>
            <w:tcW w:w="707" w:type="dxa"/>
            <w:tcBorders>
              <w:top w:val="nil"/>
              <w:left w:val="nil"/>
              <w:bottom w:val="nil"/>
              <w:right w:val="nil"/>
            </w:tcBorders>
            <w:hideMark/>
          </w:tcPr>
          <w:p w14:paraId="1C0AF42C" w14:textId="77777777" w:rsidR="00D857AC" w:rsidRPr="00234ECD" w:rsidRDefault="00D857AC" w:rsidP="00D857AC">
            <w:pPr>
              <w:autoSpaceDE w:val="0"/>
              <w:autoSpaceDN w:val="0"/>
              <w:adjustRightInd w:val="0"/>
              <w:rPr>
                <w:rFonts w:eastAsia="Calibri"/>
                <w:color w:val="000000"/>
                <w:sz w:val="22"/>
                <w:szCs w:val="22"/>
                <w:lang w:val="sr-Latn-RS"/>
              </w:rPr>
            </w:pPr>
            <w:r w:rsidRPr="00234ECD">
              <w:rPr>
                <w:rFonts w:eastAsia="Calibri"/>
                <w:color w:val="000000"/>
                <w:sz w:val="22"/>
                <w:szCs w:val="22"/>
                <w:lang w:val="sr-Latn-RS"/>
              </w:rPr>
              <w:t xml:space="preserve">0 </w:t>
            </w:r>
          </w:p>
        </w:tc>
      </w:tr>
    </w:tbl>
    <w:p w14:paraId="751A325F" w14:textId="67DB99E9" w:rsidR="00D857AC" w:rsidRPr="00234ECD" w:rsidRDefault="00D857AC" w:rsidP="00D857AC">
      <w:pPr>
        <w:tabs>
          <w:tab w:val="left" w:pos="567"/>
        </w:tabs>
        <w:spacing w:line="260" w:lineRule="exact"/>
        <w:rPr>
          <w:bCs/>
          <w:sz w:val="22"/>
          <w:szCs w:val="22"/>
          <w:lang w:val="sr-Latn-RS"/>
        </w:rPr>
      </w:pPr>
      <w:r w:rsidRPr="00234ECD">
        <w:rPr>
          <w:noProof/>
          <w:sz w:val="22"/>
          <w:szCs w:val="22"/>
          <w:lang w:val="sr-Latn-RS"/>
        </w:rPr>
        <w:drawing>
          <wp:inline distT="0" distB="0" distL="0" distR="0" wp14:anchorId="2627625A" wp14:editId="4FF4E79E">
            <wp:extent cx="457200" cy="180975"/>
            <wp:effectExtent l="0" t="0" r="0" b="9525"/>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234ECD">
        <w:rPr>
          <w:bCs/>
          <w:sz w:val="22"/>
          <w:szCs w:val="22"/>
          <w:lang w:val="sr-Latn-RS"/>
        </w:rPr>
        <w:t>Nivolumab + kabozantinib (događaji: 86/323), medijan</w:t>
      </w:r>
      <w:r w:rsidR="000F5FE7" w:rsidRPr="00234ECD">
        <w:rPr>
          <w:bCs/>
          <w:sz w:val="22"/>
          <w:szCs w:val="22"/>
          <w:lang w:val="sr-Latn-RS"/>
        </w:rPr>
        <w:t>a</w:t>
      </w:r>
      <w:r w:rsidRPr="00234ECD">
        <w:rPr>
          <w:bCs/>
          <w:sz w:val="22"/>
          <w:szCs w:val="22"/>
          <w:lang w:val="sr-Latn-RS"/>
        </w:rPr>
        <w:t xml:space="preserve"> i 95 % CI: NE</w:t>
      </w:r>
    </w:p>
    <w:p w14:paraId="090B679E" w14:textId="6C7C1D3A" w:rsidR="00D857AC" w:rsidRPr="00234ECD" w:rsidRDefault="00D857AC" w:rsidP="00D857AC">
      <w:pPr>
        <w:tabs>
          <w:tab w:val="left" w:pos="567"/>
        </w:tabs>
        <w:spacing w:line="260" w:lineRule="exact"/>
        <w:rPr>
          <w:bCs/>
          <w:sz w:val="22"/>
          <w:szCs w:val="22"/>
          <w:lang w:val="sr-Latn-RS"/>
        </w:rPr>
      </w:pPr>
      <w:r w:rsidRPr="00234ECD">
        <w:rPr>
          <w:noProof/>
          <w:sz w:val="22"/>
          <w:szCs w:val="22"/>
          <w:lang w:val="sr-Latn-RS"/>
        </w:rPr>
        <w:drawing>
          <wp:inline distT="0" distB="0" distL="0" distR="0" wp14:anchorId="016678D6" wp14:editId="53365473">
            <wp:extent cx="457200" cy="180975"/>
            <wp:effectExtent l="0" t="0" r="0" b="9525"/>
            <wp:docPr id="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180975"/>
                    </a:xfrm>
                    <a:prstGeom prst="rect">
                      <a:avLst/>
                    </a:prstGeom>
                    <a:noFill/>
                    <a:ln>
                      <a:noFill/>
                    </a:ln>
                  </pic:spPr>
                </pic:pic>
              </a:graphicData>
            </a:graphic>
          </wp:inline>
        </w:drawing>
      </w:r>
      <w:r w:rsidRPr="00234ECD">
        <w:rPr>
          <w:bCs/>
          <w:sz w:val="22"/>
          <w:szCs w:val="22"/>
          <w:lang w:val="sr-Latn-RS"/>
        </w:rPr>
        <w:t>Sunitinib (događaji: 116/328), medijan</w:t>
      </w:r>
      <w:r w:rsidR="000F5FE7" w:rsidRPr="00234ECD">
        <w:rPr>
          <w:bCs/>
          <w:sz w:val="22"/>
          <w:szCs w:val="22"/>
          <w:lang w:val="sr-Latn-RS"/>
        </w:rPr>
        <w:t>a</w:t>
      </w:r>
      <w:r w:rsidRPr="00234ECD">
        <w:rPr>
          <w:bCs/>
          <w:sz w:val="22"/>
          <w:szCs w:val="22"/>
          <w:lang w:val="sr-Latn-RS"/>
        </w:rPr>
        <w:t xml:space="preserve"> i 95 % CI:29,47 (28,35; NE)</w:t>
      </w:r>
    </w:p>
    <w:p w14:paraId="1592CAAE" w14:textId="77777777" w:rsidR="00D857AC" w:rsidRPr="00234ECD" w:rsidRDefault="00D857AC" w:rsidP="00D857AC">
      <w:pPr>
        <w:tabs>
          <w:tab w:val="left" w:pos="567"/>
        </w:tabs>
        <w:spacing w:line="260" w:lineRule="exact"/>
        <w:rPr>
          <w:bCs/>
          <w:sz w:val="22"/>
          <w:szCs w:val="22"/>
          <w:lang w:val="sr-Latn-RS"/>
        </w:rPr>
      </w:pPr>
    </w:p>
    <w:p w14:paraId="3B76241E" w14:textId="77777777" w:rsidR="00D857AC" w:rsidRPr="00234ECD" w:rsidRDefault="00D857AC" w:rsidP="00D857AC">
      <w:pPr>
        <w:autoSpaceDE w:val="0"/>
        <w:autoSpaceDN w:val="0"/>
        <w:adjustRightInd w:val="0"/>
        <w:rPr>
          <w:rFonts w:eastAsia="Calibri"/>
          <w:i/>
          <w:iCs/>
          <w:color w:val="000000"/>
          <w:sz w:val="22"/>
          <w:szCs w:val="22"/>
          <w:lang w:val="sr-Latn-RS"/>
        </w:rPr>
      </w:pPr>
    </w:p>
    <w:p w14:paraId="3E546180" w14:textId="540EFAEB" w:rsidR="00D857AC" w:rsidRPr="00234ECD" w:rsidRDefault="00D857AC" w:rsidP="00D857AC">
      <w:pPr>
        <w:autoSpaceDE w:val="0"/>
        <w:autoSpaceDN w:val="0"/>
        <w:adjustRightInd w:val="0"/>
        <w:rPr>
          <w:rFonts w:eastAsia="Calibri"/>
          <w:i/>
          <w:iCs/>
          <w:color w:val="000000"/>
          <w:sz w:val="22"/>
          <w:szCs w:val="22"/>
          <w:lang w:val="sr-Latn-RS"/>
        </w:rPr>
      </w:pPr>
      <w:r w:rsidRPr="00234ECD">
        <w:rPr>
          <w:rFonts w:eastAsia="Calibri"/>
          <w:i/>
          <w:iCs/>
          <w:color w:val="000000"/>
          <w:sz w:val="22"/>
          <w:szCs w:val="22"/>
          <w:lang w:val="sr-Latn-RS"/>
        </w:rPr>
        <w:t xml:space="preserve">Hepatocelularni karcinom </w:t>
      </w:r>
    </w:p>
    <w:p w14:paraId="5DBCFAE3" w14:textId="77777777" w:rsidR="00C23390" w:rsidRPr="00234ECD" w:rsidRDefault="00C23390" w:rsidP="00D857AC">
      <w:pPr>
        <w:autoSpaceDE w:val="0"/>
        <w:autoSpaceDN w:val="0"/>
        <w:adjustRightInd w:val="0"/>
        <w:rPr>
          <w:rFonts w:eastAsia="Calibri"/>
          <w:color w:val="000000"/>
          <w:sz w:val="22"/>
          <w:szCs w:val="22"/>
          <w:lang w:val="sr-Latn-RS"/>
        </w:rPr>
      </w:pPr>
    </w:p>
    <w:p w14:paraId="462D33BB" w14:textId="77777777" w:rsidR="00D857AC" w:rsidRPr="00234ECD" w:rsidRDefault="00D857AC" w:rsidP="00D857AC">
      <w:pPr>
        <w:tabs>
          <w:tab w:val="left" w:pos="567"/>
        </w:tabs>
        <w:spacing w:line="260" w:lineRule="exact"/>
        <w:rPr>
          <w:rFonts w:eastAsia="Calibri"/>
          <w:i/>
          <w:iCs/>
          <w:color w:val="000000"/>
          <w:sz w:val="22"/>
          <w:szCs w:val="22"/>
          <w:u w:val="single"/>
          <w:lang w:val="sr-Latn-RS"/>
        </w:rPr>
      </w:pPr>
      <w:r w:rsidRPr="00234ECD">
        <w:rPr>
          <w:rFonts w:eastAsia="Calibri"/>
          <w:i/>
          <w:iCs/>
          <w:color w:val="000000"/>
          <w:sz w:val="22"/>
          <w:szCs w:val="22"/>
          <w:u w:val="single"/>
          <w:lang w:val="sr-Latn-RS"/>
        </w:rPr>
        <w:t xml:space="preserve">Kontrolisano ispitivanje kod pacijenata koji su primali sorafenib (CELESTIAL) </w:t>
      </w:r>
    </w:p>
    <w:p w14:paraId="4F266AAB" w14:textId="77777777" w:rsidR="00D857AC" w:rsidRPr="00234ECD" w:rsidRDefault="00D857AC" w:rsidP="00D857AC">
      <w:pPr>
        <w:tabs>
          <w:tab w:val="left" w:pos="567"/>
        </w:tabs>
        <w:spacing w:line="260" w:lineRule="exact"/>
        <w:rPr>
          <w:rFonts w:eastAsia="Calibri"/>
          <w:sz w:val="22"/>
          <w:szCs w:val="22"/>
          <w:lang w:val="sr-Latn-RS"/>
        </w:rPr>
      </w:pPr>
    </w:p>
    <w:p w14:paraId="0FD704E1" w14:textId="69B3B275" w:rsidR="00D857AC" w:rsidRPr="00234ECD" w:rsidRDefault="00D857AC" w:rsidP="00D857AC">
      <w:pPr>
        <w:tabs>
          <w:tab w:val="left" w:pos="567"/>
        </w:tabs>
        <w:spacing w:line="260" w:lineRule="exact"/>
        <w:jc w:val="both"/>
        <w:rPr>
          <w:bCs/>
          <w:sz w:val="22"/>
          <w:szCs w:val="22"/>
          <w:lang w:val="sr-Latn-RS"/>
        </w:rPr>
      </w:pPr>
      <w:r w:rsidRPr="00234ECD">
        <w:rPr>
          <w:rFonts w:eastAsia="SimSun"/>
          <w:sz w:val="22"/>
          <w:szCs w:val="22"/>
          <w:lang w:val="sr-Latn-RS"/>
        </w:rPr>
        <w:t>Bezb</w:t>
      </w:r>
      <w:r w:rsidR="00CC46BC" w:rsidRPr="00234ECD">
        <w:rPr>
          <w:rFonts w:eastAsia="SimSun"/>
          <w:sz w:val="22"/>
          <w:szCs w:val="22"/>
          <w:lang w:val="sr-Latn-RS"/>
        </w:rPr>
        <w:t>j</w:t>
      </w:r>
      <w:r w:rsidRPr="00234ECD">
        <w:rPr>
          <w:rFonts w:eastAsia="SimSun"/>
          <w:sz w:val="22"/>
          <w:szCs w:val="22"/>
          <w:lang w:val="sr-Latn-RS"/>
        </w:rPr>
        <w:t>ednost i efikasnost l</w:t>
      </w:r>
      <w:r w:rsidR="00CC46BC" w:rsidRPr="00234ECD">
        <w:rPr>
          <w:rFonts w:eastAsia="SimSun"/>
          <w:sz w:val="22"/>
          <w:szCs w:val="22"/>
          <w:lang w:val="sr-Latn-RS"/>
        </w:rPr>
        <w:t>ij</w:t>
      </w:r>
      <w:r w:rsidRPr="00234ECD">
        <w:rPr>
          <w:rFonts w:eastAsia="SimSun"/>
          <w:sz w:val="22"/>
          <w:szCs w:val="22"/>
          <w:lang w:val="sr-Latn-RS"/>
        </w:rPr>
        <w:t>eka Cabometyx proc</w:t>
      </w:r>
      <w:r w:rsidR="007A531E" w:rsidRPr="00234ECD">
        <w:rPr>
          <w:rFonts w:eastAsia="SimSun"/>
          <w:sz w:val="22"/>
          <w:szCs w:val="22"/>
          <w:lang w:val="sr-Latn-RS"/>
        </w:rPr>
        <w:t>ije</w:t>
      </w:r>
      <w:r w:rsidRPr="00234ECD">
        <w:rPr>
          <w:rFonts w:eastAsia="SimSun"/>
          <w:sz w:val="22"/>
          <w:szCs w:val="22"/>
          <w:lang w:val="sr-Latn-RS"/>
        </w:rPr>
        <w:t>njene su u randomizovanoj, dvostruko sl</w:t>
      </w:r>
      <w:r w:rsidR="00CC46BC" w:rsidRPr="00234ECD">
        <w:rPr>
          <w:rFonts w:eastAsia="SimSun"/>
          <w:sz w:val="22"/>
          <w:szCs w:val="22"/>
          <w:lang w:val="sr-Latn-RS"/>
        </w:rPr>
        <w:t>ij</w:t>
      </w:r>
      <w:r w:rsidRPr="00234ECD">
        <w:rPr>
          <w:rFonts w:eastAsia="SimSun"/>
          <w:sz w:val="22"/>
          <w:szCs w:val="22"/>
          <w:lang w:val="sr-Latn-RS"/>
        </w:rPr>
        <w:t>epoj, placebo kontrolisanoj studiji faze 3</w:t>
      </w:r>
      <w:r w:rsidRPr="00234ECD">
        <w:rPr>
          <w:rFonts w:eastAsia="Calibri"/>
          <w:sz w:val="22"/>
          <w:szCs w:val="22"/>
          <w:lang w:val="sr-Latn-RS"/>
        </w:rPr>
        <w:t xml:space="preserve"> (CELESTIAL). Pacijenti (N=707) </w:t>
      </w:r>
      <w:r w:rsidRPr="00234ECD">
        <w:rPr>
          <w:rFonts w:eastAsia="SimSun"/>
          <w:sz w:val="22"/>
          <w:szCs w:val="22"/>
          <w:lang w:val="sr-Latn-RS"/>
        </w:rPr>
        <w:t xml:space="preserve">sa </w:t>
      </w:r>
      <w:r w:rsidRPr="00234ECD">
        <w:rPr>
          <w:bCs/>
          <w:iCs/>
          <w:sz w:val="22"/>
          <w:szCs w:val="22"/>
          <w:lang w:val="sr-Latn-RS"/>
        </w:rPr>
        <w:t>hepatocelularnim karcinomom</w:t>
      </w:r>
      <w:r w:rsidRPr="00234ECD">
        <w:rPr>
          <w:rFonts w:eastAsia="SimSun"/>
          <w:sz w:val="22"/>
          <w:szCs w:val="22"/>
          <w:lang w:val="sr-Latn-RS"/>
        </w:rPr>
        <w:t xml:space="preserve"> koji ne odgovara</w:t>
      </w:r>
      <w:r w:rsidR="0089307E" w:rsidRPr="00234ECD">
        <w:rPr>
          <w:rFonts w:eastAsia="SimSun"/>
          <w:sz w:val="22"/>
          <w:szCs w:val="22"/>
          <w:lang w:val="sr-Latn-RS"/>
        </w:rPr>
        <w:t>ju</w:t>
      </w:r>
      <w:r w:rsidRPr="00234ECD">
        <w:rPr>
          <w:rFonts w:eastAsia="SimSun"/>
          <w:sz w:val="22"/>
          <w:szCs w:val="22"/>
          <w:lang w:val="sr-Latn-RS"/>
        </w:rPr>
        <w:t xml:space="preserve"> na kurativno l</w:t>
      </w:r>
      <w:r w:rsidR="00CC46BC" w:rsidRPr="00234ECD">
        <w:rPr>
          <w:rFonts w:eastAsia="SimSun"/>
          <w:sz w:val="22"/>
          <w:szCs w:val="22"/>
          <w:lang w:val="sr-Latn-RS"/>
        </w:rPr>
        <w:t>ij</w:t>
      </w:r>
      <w:r w:rsidRPr="00234ECD">
        <w:rPr>
          <w:rFonts w:eastAsia="SimSun"/>
          <w:sz w:val="22"/>
          <w:szCs w:val="22"/>
          <w:lang w:val="sr-Latn-RS"/>
        </w:rPr>
        <w:t>ečenje i koji su prethodno l</w:t>
      </w:r>
      <w:r w:rsidR="00CC46BC" w:rsidRPr="00234ECD">
        <w:rPr>
          <w:rFonts w:eastAsia="SimSun"/>
          <w:sz w:val="22"/>
          <w:szCs w:val="22"/>
          <w:lang w:val="sr-Latn-RS"/>
        </w:rPr>
        <w:t>ij</w:t>
      </w:r>
      <w:r w:rsidRPr="00234ECD">
        <w:rPr>
          <w:rFonts w:eastAsia="SimSun"/>
          <w:sz w:val="22"/>
          <w:szCs w:val="22"/>
          <w:lang w:val="sr-Latn-RS"/>
        </w:rPr>
        <w:t xml:space="preserve">ečeni sorafenibom zbog uznapredovale bolesti randomizovani su (2:1) za primanje </w:t>
      </w:r>
      <w:r w:rsidR="005F42FA" w:rsidRPr="00234ECD">
        <w:rPr>
          <w:rFonts w:eastAsia="Calibri"/>
          <w:sz w:val="22"/>
          <w:szCs w:val="22"/>
          <w:lang w:val="sr-Latn-RS"/>
        </w:rPr>
        <w:t>kabozantiniba</w:t>
      </w:r>
      <w:r w:rsidRPr="00234ECD">
        <w:rPr>
          <w:rFonts w:eastAsia="Calibri"/>
          <w:sz w:val="22"/>
          <w:szCs w:val="22"/>
          <w:lang w:val="sr-Latn-RS"/>
        </w:rPr>
        <w:t xml:space="preserve"> (N=470) ili placeba (N=237). Pacijenti su mogli da prime jednu drugu prethodnu sistemsku terapiju za uznapredovalu bolest uz sorafenib. Randomizacija je stratifikovana </w:t>
      </w:r>
      <w:r w:rsidRPr="00234ECD">
        <w:rPr>
          <w:rFonts w:eastAsia="SimSun"/>
          <w:sz w:val="22"/>
          <w:szCs w:val="22"/>
          <w:lang w:val="sr-Latn-RS"/>
        </w:rPr>
        <w:t xml:space="preserve">prema etiologiji bolesti </w:t>
      </w:r>
      <w:r w:rsidRPr="00234ECD">
        <w:rPr>
          <w:rFonts w:eastAsia="Calibri"/>
          <w:sz w:val="22"/>
          <w:szCs w:val="22"/>
          <w:lang w:val="sr-Latn-RS"/>
        </w:rPr>
        <w:t xml:space="preserve">(HBV [s HCV-om ili bez], HCV [bez HBV-a] ili drugo), geografskim područjem (Azija, drugi regioni) i </w:t>
      </w:r>
      <w:r w:rsidRPr="00234ECD">
        <w:rPr>
          <w:rFonts w:eastAsia="SimSun"/>
          <w:sz w:val="22"/>
          <w:szCs w:val="22"/>
          <w:lang w:val="sr-Latn-RS"/>
        </w:rPr>
        <w:t xml:space="preserve">prisustvu ekstrahepatalnog širenja bolesti i/ili makrovaskularnih invazija </w:t>
      </w:r>
      <w:r w:rsidRPr="00234ECD">
        <w:rPr>
          <w:rFonts w:eastAsia="Calibri"/>
          <w:sz w:val="22"/>
          <w:szCs w:val="22"/>
          <w:lang w:val="sr-Latn-RS"/>
        </w:rPr>
        <w:t>(Da, Ne).</w:t>
      </w:r>
    </w:p>
    <w:p w14:paraId="46E2EEA6" w14:textId="77777777" w:rsidR="00D857AC" w:rsidRPr="00234ECD" w:rsidRDefault="00D857AC" w:rsidP="00D857AC">
      <w:pPr>
        <w:tabs>
          <w:tab w:val="left" w:pos="567"/>
        </w:tabs>
        <w:spacing w:line="260" w:lineRule="exact"/>
        <w:rPr>
          <w:bCs/>
          <w:sz w:val="22"/>
          <w:szCs w:val="22"/>
          <w:lang w:val="sr-Latn-RS"/>
        </w:rPr>
      </w:pPr>
    </w:p>
    <w:p w14:paraId="56739F88" w14:textId="21C75756" w:rsidR="00D857AC" w:rsidRPr="00234ECD" w:rsidRDefault="00D857AC" w:rsidP="00784AE1">
      <w:pPr>
        <w:spacing w:before="120" w:after="120" w:line="280" w:lineRule="atLeast"/>
        <w:jc w:val="both"/>
        <w:rPr>
          <w:rFonts w:eastAsia="Calibri"/>
          <w:sz w:val="22"/>
          <w:szCs w:val="22"/>
          <w:lang w:val="sr-Latn-RS"/>
        </w:rPr>
      </w:pPr>
      <w:r w:rsidRPr="00234ECD">
        <w:rPr>
          <w:rFonts w:eastAsia="SimSun"/>
          <w:sz w:val="22"/>
          <w:szCs w:val="22"/>
          <w:lang w:val="sr-Latn-RS"/>
        </w:rPr>
        <w:lastRenderedPageBreak/>
        <w:t>Primarni parametar praćenja ishoda efikasnosti bilo je ukupno preživljavanje (OS). Sekundarni parametri praćenja ishoda efikasnosti bili su preživljavanje bez progresije bolesti (PFS) i stopa objektivnog odgovora (ORR), koje proc</w:t>
      </w:r>
      <w:r w:rsidR="00DE4C52" w:rsidRPr="00234ECD">
        <w:rPr>
          <w:rFonts w:eastAsia="SimSun"/>
          <w:sz w:val="22"/>
          <w:szCs w:val="22"/>
          <w:lang w:val="sr-Latn-RS"/>
        </w:rPr>
        <w:t>j</w:t>
      </w:r>
      <w:r w:rsidRPr="00234ECD">
        <w:rPr>
          <w:rFonts w:eastAsia="SimSun"/>
          <w:sz w:val="22"/>
          <w:szCs w:val="22"/>
          <w:lang w:val="sr-Latn-RS"/>
        </w:rPr>
        <w:t xml:space="preserve">enjuje ispitivač prema kriterijumu RECIST 1.1. </w:t>
      </w:r>
      <w:r w:rsidRPr="00234ECD">
        <w:rPr>
          <w:rFonts w:eastAsia="Calibri"/>
          <w:sz w:val="22"/>
          <w:szCs w:val="22"/>
          <w:lang w:val="sr-Latn-RS"/>
        </w:rPr>
        <w:t>Proc</w:t>
      </w:r>
      <w:r w:rsidR="00F6259F" w:rsidRPr="00234ECD">
        <w:rPr>
          <w:rFonts w:eastAsia="Calibri"/>
          <w:sz w:val="22"/>
          <w:szCs w:val="22"/>
          <w:lang w:val="sr-Latn-RS"/>
        </w:rPr>
        <w:t>j</w:t>
      </w:r>
      <w:r w:rsidRPr="00234ECD">
        <w:rPr>
          <w:rFonts w:eastAsia="Calibri"/>
          <w:sz w:val="22"/>
          <w:szCs w:val="22"/>
          <w:lang w:val="sr-Latn-RS"/>
        </w:rPr>
        <w:t>ene tumora sprovođene su na svakih osam ned</w:t>
      </w:r>
      <w:r w:rsidR="00F6259F" w:rsidRPr="00234ECD">
        <w:rPr>
          <w:rFonts w:eastAsia="Calibri"/>
          <w:sz w:val="22"/>
          <w:szCs w:val="22"/>
          <w:lang w:val="sr-Latn-RS"/>
        </w:rPr>
        <w:t>j</w:t>
      </w:r>
      <w:r w:rsidRPr="00234ECD">
        <w:rPr>
          <w:rFonts w:eastAsia="Calibri"/>
          <w:sz w:val="22"/>
          <w:szCs w:val="22"/>
          <w:lang w:val="sr-Latn-RS"/>
        </w:rPr>
        <w:t xml:space="preserve">elja. </w:t>
      </w:r>
      <w:r w:rsidRPr="00234ECD">
        <w:rPr>
          <w:rFonts w:eastAsia="SimSun"/>
          <w:sz w:val="22"/>
          <w:szCs w:val="22"/>
          <w:lang w:val="sr-Latn-RS"/>
        </w:rPr>
        <w:t>Ispitanici su nastavili sa terapijom u okviru sl</w:t>
      </w:r>
      <w:r w:rsidR="00F6259F" w:rsidRPr="00234ECD">
        <w:rPr>
          <w:rFonts w:eastAsia="SimSun"/>
          <w:sz w:val="22"/>
          <w:szCs w:val="22"/>
          <w:lang w:val="sr-Latn-RS"/>
        </w:rPr>
        <w:t>ij</w:t>
      </w:r>
      <w:r w:rsidRPr="00234ECD">
        <w:rPr>
          <w:rFonts w:eastAsia="SimSun"/>
          <w:sz w:val="22"/>
          <w:szCs w:val="22"/>
          <w:lang w:val="sr-Latn-RS"/>
        </w:rPr>
        <w:t>epe studije nakon radiološke progresije bolesti dok su imali kliničke koristi ili do potrebe za naknadnom sistemskom terapijom protiv karcinoma ili lokalnom terapijom protiv karcinoma usm</w:t>
      </w:r>
      <w:r w:rsidR="00F6259F" w:rsidRPr="00234ECD">
        <w:rPr>
          <w:rFonts w:eastAsia="SimSun"/>
          <w:sz w:val="22"/>
          <w:szCs w:val="22"/>
          <w:lang w:val="sr-Latn-RS"/>
        </w:rPr>
        <w:t>j</w:t>
      </w:r>
      <w:r w:rsidRPr="00234ECD">
        <w:rPr>
          <w:rFonts w:eastAsia="SimSun"/>
          <w:sz w:val="22"/>
          <w:szCs w:val="22"/>
          <w:lang w:val="sr-Latn-RS"/>
        </w:rPr>
        <w:t>erenom na jetru. Prelaz sa placeba na kabozantinib nije bio dozvoljen za vr</w:t>
      </w:r>
      <w:r w:rsidR="00F6259F" w:rsidRPr="00234ECD">
        <w:rPr>
          <w:rFonts w:eastAsia="SimSun"/>
          <w:sz w:val="22"/>
          <w:szCs w:val="22"/>
          <w:lang w:val="sr-Latn-RS"/>
        </w:rPr>
        <w:t>ij</w:t>
      </w:r>
      <w:r w:rsidRPr="00234ECD">
        <w:rPr>
          <w:rFonts w:eastAsia="SimSun"/>
          <w:sz w:val="22"/>
          <w:szCs w:val="22"/>
          <w:lang w:val="sr-Latn-RS"/>
        </w:rPr>
        <w:t>eme zasl</w:t>
      </w:r>
      <w:r w:rsidR="00F6259F" w:rsidRPr="00234ECD">
        <w:rPr>
          <w:rFonts w:eastAsia="SimSun"/>
          <w:sz w:val="22"/>
          <w:szCs w:val="22"/>
          <w:lang w:val="sr-Latn-RS"/>
        </w:rPr>
        <w:t>ij</w:t>
      </w:r>
      <w:r w:rsidRPr="00234ECD">
        <w:rPr>
          <w:rFonts w:eastAsia="SimSun"/>
          <w:sz w:val="22"/>
          <w:szCs w:val="22"/>
          <w:lang w:val="sr-Latn-RS"/>
        </w:rPr>
        <w:t>epljene faze l</w:t>
      </w:r>
      <w:r w:rsidR="00F6259F" w:rsidRPr="00234ECD">
        <w:rPr>
          <w:rFonts w:eastAsia="SimSun"/>
          <w:sz w:val="22"/>
          <w:szCs w:val="22"/>
          <w:lang w:val="sr-Latn-RS"/>
        </w:rPr>
        <w:t>ij</w:t>
      </w:r>
      <w:r w:rsidRPr="00234ECD">
        <w:rPr>
          <w:rFonts w:eastAsia="SimSun"/>
          <w:sz w:val="22"/>
          <w:szCs w:val="22"/>
          <w:lang w:val="sr-Latn-RS"/>
        </w:rPr>
        <w:t>ečenja</w:t>
      </w:r>
      <w:r w:rsidRPr="00234ECD">
        <w:rPr>
          <w:rFonts w:eastAsia="SimSun"/>
          <w:bCs/>
          <w:sz w:val="22"/>
          <w:szCs w:val="22"/>
          <w:lang w:val="sr-Latn-RS"/>
        </w:rPr>
        <w:t xml:space="preserve">.  </w:t>
      </w:r>
    </w:p>
    <w:p w14:paraId="2CBC1972" w14:textId="3A93D351" w:rsidR="00D857AC" w:rsidRPr="00234ECD" w:rsidRDefault="00D857AC" w:rsidP="00D857AC">
      <w:pPr>
        <w:spacing w:before="120" w:after="120" w:line="280" w:lineRule="atLeast"/>
        <w:jc w:val="both"/>
        <w:rPr>
          <w:rFonts w:eastAsia="SimSun"/>
          <w:sz w:val="22"/>
          <w:szCs w:val="22"/>
          <w:lang w:val="sr-Latn-RS"/>
        </w:rPr>
      </w:pPr>
      <w:r w:rsidRPr="00234ECD">
        <w:rPr>
          <w:rFonts w:eastAsia="SimSun"/>
          <w:sz w:val="22"/>
          <w:szCs w:val="22"/>
          <w:lang w:val="sr-Latn-RS"/>
        </w:rPr>
        <w:t xml:space="preserve">Početni demografski podaci i karakteristike bolesti bile su slične između grupe koja je primala </w:t>
      </w:r>
      <w:r w:rsidR="005F42FA" w:rsidRPr="00234ECD">
        <w:rPr>
          <w:rFonts w:eastAsia="SimSun"/>
          <w:sz w:val="22"/>
          <w:szCs w:val="22"/>
          <w:lang w:val="sr-Latn-RS"/>
        </w:rPr>
        <w:t>kabozantinib</w:t>
      </w:r>
      <w:r w:rsidRPr="00234ECD">
        <w:rPr>
          <w:rFonts w:eastAsia="SimSun"/>
          <w:sz w:val="22"/>
          <w:szCs w:val="22"/>
          <w:lang w:val="sr-Latn-RS"/>
        </w:rPr>
        <w:t xml:space="preserve"> i grupe koja je primala placebo i prikazane su u nastavku za svih 707 randomizovanih pacijenata: </w:t>
      </w:r>
    </w:p>
    <w:p w14:paraId="4728F99D" w14:textId="6F8EC532" w:rsidR="00D857AC" w:rsidRPr="00234ECD" w:rsidRDefault="00D857AC" w:rsidP="00D857AC">
      <w:pPr>
        <w:autoSpaceDE w:val="0"/>
        <w:autoSpaceDN w:val="0"/>
        <w:adjustRightInd w:val="0"/>
        <w:jc w:val="both"/>
        <w:rPr>
          <w:rFonts w:eastAsia="Calibri"/>
          <w:color w:val="000000"/>
          <w:sz w:val="22"/>
          <w:szCs w:val="22"/>
          <w:lang w:val="sr-Latn-RS"/>
        </w:rPr>
      </w:pPr>
      <w:r w:rsidRPr="00234ECD">
        <w:rPr>
          <w:rFonts w:eastAsia="Calibri"/>
          <w:color w:val="000000"/>
          <w:sz w:val="22"/>
          <w:szCs w:val="22"/>
          <w:lang w:val="sr-Latn-RS"/>
        </w:rPr>
        <w:t>Većina pacijenata (82%) bili su muškarci: medijan</w:t>
      </w:r>
      <w:r w:rsidR="000F5FE7" w:rsidRPr="00234ECD">
        <w:rPr>
          <w:rFonts w:eastAsia="Calibri"/>
          <w:color w:val="000000"/>
          <w:sz w:val="22"/>
          <w:szCs w:val="22"/>
          <w:lang w:val="sr-Latn-RS"/>
        </w:rPr>
        <w:t>a</w:t>
      </w:r>
      <w:r w:rsidRPr="00234ECD">
        <w:rPr>
          <w:rFonts w:eastAsia="Calibri"/>
          <w:color w:val="000000"/>
          <w:sz w:val="22"/>
          <w:szCs w:val="22"/>
          <w:lang w:val="sr-Latn-RS"/>
        </w:rPr>
        <w:t xml:space="preserve"> starosti bio je 64 godine. Većina pacijenata (56%) bili su b</w:t>
      </w:r>
      <w:r w:rsidR="00B93B86" w:rsidRPr="00234ECD">
        <w:rPr>
          <w:rFonts w:eastAsia="Calibri"/>
          <w:color w:val="000000"/>
          <w:sz w:val="22"/>
          <w:szCs w:val="22"/>
          <w:lang w:val="sr-Latn-RS"/>
        </w:rPr>
        <w:t>i</w:t>
      </w:r>
      <w:r w:rsidR="00227795" w:rsidRPr="00234ECD">
        <w:rPr>
          <w:rFonts w:eastAsia="Calibri"/>
          <w:color w:val="000000"/>
          <w:sz w:val="22"/>
          <w:szCs w:val="22"/>
          <w:lang w:val="sr-Latn-RS"/>
        </w:rPr>
        <w:t>j</w:t>
      </w:r>
      <w:r w:rsidRPr="00234ECD">
        <w:rPr>
          <w:rFonts w:eastAsia="Calibri"/>
          <w:color w:val="000000"/>
          <w:sz w:val="22"/>
          <w:szCs w:val="22"/>
          <w:lang w:val="sr-Latn-RS"/>
        </w:rPr>
        <w:t xml:space="preserve">elci, a 34% pacijenata Azijci. ECOG funkcionalni status 0 imalo je 53% pacijenata, a 47% imalo je ECOG funkcionalni status 1. Gotovo svi pacijenti (99 %) imali su Child Pugh A, a 1 % Child Pugh B. </w:t>
      </w:r>
    </w:p>
    <w:p w14:paraId="09FCD5A7" w14:textId="77777777" w:rsidR="00D857AC" w:rsidRPr="00234ECD" w:rsidRDefault="00D857AC" w:rsidP="00D857AC">
      <w:pPr>
        <w:autoSpaceDE w:val="0"/>
        <w:autoSpaceDN w:val="0"/>
        <w:adjustRightInd w:val="0"/>
        <w:jc w:val="both"/>
        <w:rPr>
          <w:rFonts w:eastAsia="Calibri"/>
          <w:color w:val="000000"/>
          <w:sz w:val="22"/>
          <w:szCs w:val="22"/>
          <w:lang w:val="sr-Latn-RS"/>
        </w:rPr>
      </w:pPr>
    </w:p>
    <w:p w14:paraId="0302A089" w14:textId="7F0D3D23" w:rsidR="00D857AC" w:rsidRPr="00234ECD" w:rsidRDefault="00D857AC" w:rsidP="00D857AC">
      <w:pPr>
        <w:autoSpaceDE w:val="0"/>
        <w:autoSpaceDN w:val="0"/>
        <w:adjustRightInd w:val="0"/>
        <w:jc w:val="both"/>
        <w:rPr>
          <w:rFonts w:eastAsia="Calibri"/>
          <w:color w:val="000000"/>
          <w:sz w:val="22"/>
          <w:szCs w:val="22"/>
          <w:lang w:val="sr-Latn-RS"/>
        </w:rPr>
      </w:pPr>
      <w:r w:rsidRPr="00234ECD">
        <w:rPr>
          <w:rFonts w:eastAsia="Calibri"/>
          <w:color w:val="000000"/>
          <w:sz w:val="22"/>
          <w:szCs w:val="22"/>
          <w:lang w:val="sr-Latn-RS"/>
        </w:rPr>
        <w:t>Etiologija za HCC uključivala je 38% virus hepatitisa B (HBV), 21% virus hepatitisa C (HCV), 40% drugo (ni HBV niti HCV). Makroskopsku vaskularnu invaziju i/ili širenje ekstrahepatičnog tumora imalo je 78%. Nivo alfa-fetoproteina (AFP) ≥400 μg/L imalo je 41%.</w:t>
      </w:r>
      <w:r w:rsidR="002302CC" w:rsidRPr="00234ECD">
        <w:rPr>
          <w:rFonts w:eastAsia="Calibri"/>
          <w:color w:val="000000"/>
          <w:sz w:val="22"/>
          <w:szCs w:val="22"/>
          <w:lang w:val="sr-Latn-RS"/>
        </w:rPr>
        <w:t xml:space="preserve"> </w:t>
      </w:r>
      <w:r w:rsidRPr="00234ECD">
        <w:rPr>
          <w:rFonts w:eastAsia="Calibri"/>
          <w:color w:val="000000"/>
          <w:sz w:val="22"/>
          <w:szCs w:val="22"/>
          <w:lang w:val="sr-Latn-RS"/>
        </w:rPr>
        <w:t>Lokoregionalnom transarterijskom embolizacijom ili hemoinfuzijskim procedurama l</w:t>
      </w:r>
      <w:r w:rsidR="002508BD" w:rsidRPr="00234ECD">
        <w:rPr>
          <w:rFonts w:eastAsia="Calibri"/>
          <w:color w:val="000000"/>
          <w:sz w:val="22"/>
          <w:szCs w:val="22"/>
          <w:lang w:val="sr-Latn-RS"/>
        </w:rPr>
        <w:t>ij</w:t>
      </w:r>
      <w:r w:rsidRPr="00234ECD">
        <w:rPr>
          <w:rFonts w:eastAsia="Calibri"/>
          <w:color w:val="000000"/>
          <w:sz w:val="22"/>
          <w:szCs w:val="22"/>
          <w:lang w:val="sr-Latn-RS"/>
        </w:rPr>
        <w:t>ečeno je 44%.</w:t>
      </w:r>
      <w:r w:rsidR="0089307E" w:rsidRPr="00234ECD">
        <w:rPr>
          <w:rFonts w:eastAsia="Calibri"/>
          <w:color w:val="000000"/>
          <w:sz w:val="22"/>
          <w:szCs w:val="22"/>
          <w:lang w:val="sr-Latn-RS"/>
        </w:rPr>
        <w:t xml:space="preserve"> </w:t>
      </w:r>
      <w:r w:rsidRPr="00234ECD">
        <w:rPr>
          <w:rFonts w:eastAsia="Calibri"/>
          <w:color w:val="000000"/>
          <w:sz w:val="22"/>
          <w:szCs w:val="22"/>
          <w:lang w:val="sr-Latn-RS"/>
        </w:rPr>
        <w:t>Radioterapiju pr</w:t>
      </w:r>
      <w:r w:rsidR="002508BD" w:rsidRPr="00234ECD">
        <w:rPr>
          <w:rFonts w:eastAsia="Calibri"/>
          <w:color w:val="000000"/>
          <w:sz w:val="22"/>
          <w:szCs w:val="22"/>
          <w:lang w:val="sr-Latn-RS"/>
        </w:rPr>
        <w:t>ij</w:t>
      </w:r>
      <w:r w:rsidRPr="00234ECD">
        <w:rPr>
          <w:rFonts w:eastAsia="Calibri"/>
          <w:color w:val="000000"/>
          <w:sz w:val="22"/>
          <w:szCs w:val="22"/>
          <w:lang w:val="sr-Latn-RS"/>
        </w:rPr>
        <w:t>e l</w:t>
      </w:r>
      <w:r w:rsidR="002508BD" w:rsidRPr="00234ECD">
        <w:rPr>
          <w:rFonts w:eastAsia="Calibri"/>
          <w:color w:val="000000"/>
          <w:sz w:val="22"/>
          <w:szCs w:val="22"/>
          <w:lang w:val="sr-Latn-RS"/>
        </w:rPr>
        <w:t>ij</w:t>
      </w:r>
      <w:r w:rsidRPr="00234ECD">
        <w:rPr>
          <w:rFonts w:eastAsia="Calibri"/>
          <w:color w:val="000000"/>
          <w:sz w:val="22"/>
          <w:szCs w:val="22"/>
          <w:lang w:val="sr-Latn-RS"/>
        </w:rPr>
        <w:t>ečenja kabozantinibom imalo je 37%. Medijana trajanja l</w:t>
      </w:r>
      <w:r w:rsidR="002508BD" w:rsidRPr="00234ECD">
        <w:rPr>
          <w:rFonts w:eastAsia="Calibri"/>
          <w:color w:val="000000"/>
          <w:sz w:val="22"/>
          <w:szCs w:val="22"/>
          <w:lang w:val="sr-Latn-RS"/>
        </w:rPr>
        <w:t>ij</w:t>
      </w:r>
      <w:r w:rsidRPr="00234ECD">
        <w:rPr>
          <w:rFonts w:eastAsia="Calibri"/>
          <w:color w:val="000000"/>
          <w:sz w:val="22"/>
          <w:szCs w:val="22"/>
          <w:lang w:val="sr-Latn-RS"/>
        </w:rPr>
        <w:t>ečenja sorafenibom iznosila je 5,32 m</w:t>
      </w:r>
      <w:r w:rsidR="002508BD" w:rsidRPr="00234ECD">
        <w:rPr>
          <w:rFonts w:eastAsia="Calibri"/>
          <w:color w:val="000000"/>
          <w:sz w:val="22"/>
          <w:szCs w:val="22"/>
          <w:lang w:val="sr-Latn-RS"/>
        </w:rPr>
        <w:t>j</w:t>
      </w:r>
      <w:r w:rsidRPr="00234ECD">
        <w:rPr>
          <w:rFonts w:eastAsia="Calibri"/>
          <w:color w:val="000000"/>
          <w:sz w:val="22"/>
          <w:szCs w:val="22"/>
          <w:lang w:val="sr-Latn-RS"/>
        </w:rPr>
        <w:t xml:space="preserve">eseca. Sedamdeset dva procenta (72%) pacijenata prethodno je primilo jedan, a 28% njih dva režima sistemske terapije zbog uznapredovale bolesti. Statistički značajno poboljšanje </w:t>
      </w:r>
      <w:r w:rsidRPr="00234ECD">
        <w:rPr>
          <w:rFonts w:eastAsia="SimSun"/>
          <w:bCs/>
          <w:iCs/>
          <w:sz w:val="22"/>
          <w:szCs w:val="22"/>
          <w:lang w:val="sr-Latn-RS"/>
        </w:rPr>
        <w:t>ukupnog preživljavanja</w:t>
      </w:r>
      <w:r w:rsidRPr="00234ECD">
        <w:rPr>
          <w:rFonts w:eastAsia="Calibri"/>
          <w:color w:val="000000"/>
          <w:sz w:val="22"/>
          <w:szCs w:val="22"/>
          <w:lang w:val="sr-Latn-RS"/>
        </w:rPr>
        <w:t xml:space="preserve"> dokazano je za </w:t>
      </w:r>
      <w:r w:rsidR="005F42FA" w:rsidRPr="00234ECD">
        <w:rPr>
          <w:rFonts w:eastAsia="Calibri"/>
          <w:color w:val="000000"/>
          <w:sz w:val="22"/>
          <w:szCs w:val="22"/>
          <w:lang w:val="sr-Latn-RS"/>
        </w:rPr>
        <w:t>kabozantinib</w:t>
      </w:r>
      <w:r w:rsidRPr="00234ECD">
        <w:rPr>
          <w:rFonts w:eastAsia="Calibri"/>
          <w:color w:val="000000"/>
          <w:sz w:val="22"/>
          <w:szCs w:val="22"/>
          <w:lang w:val="sr-Latn-RS"/>
        </w:rPr>
        <w:t xml:space="preserve"> u poređenju sa placebom (</w:t>
      </w:r>
      <w:r w:rsidR="00DD4571" w:rsidRPr="00234ECD">
        <w:rPr>
          <w:rFonts w:eastAsia="Calibri"/>
          <w:color w:val="000000"/>
          <w:sz w:val="22"/>
          <w:szCs w:val="22"/>
          <w:lang w:val="sr-Latn-RS"/>
        </w:rPr>
        <w:t>T</w:t>
      </w:r>
      <w:r w:rsidRPr="00234ECD">
        <w:rPr>
          <w:rFonts w:eastAsia="Calibri"/>
          <w:color w:val="000000"/>
          <w:sz w:val="22"/>
          <w:szCs w:val="22"/>
          <w:lang w:val="sr-Latn-RS"/>
        </w:rPr>
        <w:t xml:space="preserve">abela 8 i </w:t>
      </w:r>
      <w:r w:rsidR="00DD4571" w:rsidRPr="00234ECD">
        <w:rPr>
          <w:rFonts w:eastAsia="Calibri"/>
          <w:color w:val="000000"/>
          <w:sz w:val="22"/>
          <w:szCs w:val="22"/>
          <w:lang w:val="sr-Latn-RS"/>
        </w:rPr>
        <w:t>s</w:t>
      </w:r>
      <w:r w:rsidRPr="00234ECD">
        <w:rPr>
          <w:rFonts w:eastAsia="Calibri"/>
          <w:color w:val="000000"/>
          <w:sz w:val="22"/>
          <w:szCs w:val="22"/>
          <w:lang w:val="sr-Latn-RS"/>
        </w:rPr>
        <w:t xml:space="preserve">lika 6). </w:t>
      </w:r>
    </w:p>
    <w:p w14:paraId="16D558DA" w14:textId="77777777" w:rsidR="00D857AC" w:rsidRPr="00234ECD" w:rsidRDefault="00D857AC" w:rsidP="00D857AC">
      <w:pPr>
        <w:tabs>
          <w:tab w:val="left" w:pos="567"/>
        </w:tabs>
        <w:spacing w:line="260" w:lineRule="exact"/>
        <w:jc w:val="both"/>
        <w:rPr>
          <w:rFonts w:eastAsia="Calibri"/>
          <w:color w:val="000000"/>
          <w:sz w:val="22"/>
          <w:szCs w:val="22"/>
          <w:lang w:val="sr-Latn-RS"/>
        </w:rPr>
      </w:pPr>
    </w:p>
    <w:p w14:paraId="11BE55B4" w14:textId="77777777" w:rsidR="00D857AC" w:rsidRPr="00234ECD" w:rsidRDefault="00D857AC" w:rsidP="00D857AC">
      <w:pPr>
        <w:tabs>
          <w:tab w:val="left" w:pos="567"/>
        </w:tabs>
        <w:spacing w:line="260" w:lineRule="exact"/>
        <w:jc w:val="both"/>
        <w:rPr>
          <w:rFonts w:eastAsia="Calibri"/>
          <w:color w:val="000000"/>
          <w:sz w:val="22"/>
          <w:szCs w:val="22"/>
          <w:lang w:val="sr-Latn-RS"/>
        </w:rPr>
      </w:pPr>
      <w:r w:rsidRPr="00234ECD">
        <w:rPr>
          <w:rFonts w:eastAsia="Calibri"/>
          <w:color w:val="000000"/>
          <w:sz w:val="22"/>
          <w:szCs w:val="22"/>
          <w:lang w:val="sr-Latn-RS"/>
        </w:rPr>
        <w:t>Nalazi za PFS i ORR sažeto su navedeni u Tabeli 8.</w:t>
      </w:r>
    </w:p>
    <w:p w14:paraId="4DEA8ED7" w14:textId="77777777" w:rsidR="00D857AC" w:rsidRPr="00234ECD" w:rsidRDefault="00D857AC" w:rsidP="00D857AC">
      <w:pPr>
        <w:rPr>
          <w:rFonts w:eastAsia="Calibri"/>
          <w:sz w:val="22"/>
          <w:szCs w:val="22"/>
          <w:lang w:val="sr-Latn-RS"/>
        </w:rPr>
      </w:pPr>
      <w:r w:rsidRPr="00234ECD">
        <w:rPr>
          <w:rFonts w:eastAsia="Calibri"/>
          <w:sz w:val="22"/>
          <w:szCs w:val="22"/>
          <w:lang w:val="sr-Latn-RS"/>
        </w:rPr>
        <w:br w:type="page"/>
      </w:r>
    </w:p>
    <w:p w14:paraId="3A76ADA4" w14:textId="77777777" w:rsidR="00D857AC" w:rsidRPr="00234ECD" w:rsidRDefault="00D857AC" w:rsidP="00D857AC">
      <w:pPr>
        <w:tabs>
          <w:tab w:val="left" w:pos="567"/>
        </w:tabs>
        <w:spacing w:line="260" w:lineRule="exact"/>
        <w:rPr>
          <w:rFonts w:eastAsia="Calibri"/>
          <w:sz w:val="22"/>
          <w:szCs w:val="22"/>
          <w:lang w:val="sr-Latn-RS"/>
        </w:rPr>
      </w:pPr>
    </w:p>
    <w:p w14:paraId="75F036C1" w14:textId="5C78B53F" w:rsidR="00D857AC" w:rsidRPr="00234ECD" w:rsidRDefault="00D857AC" w:rsidP="00D857AC">
      <w:pPr>
        <w:tabs>
          <w:tab w:val="left" w:pos="7164"/>
        </w:tabs>
        <w:rPr>
          <w:rFonts w:eastAsia="SimSun"/>
          <w:b/>
          <w:bCs/>
          <w:iCs/>
          <w:sz w:val="22"/>
          <w:szCs w:val="22"/>
          <w:lang w:val="sr-Latn-RS"/>
        </w:rPr>
      </w:pPr>
      <w:r w:rsidRPr="00234ECD">
        <w:rPr>
          <w:rFonts w:eastAsia="SimSun"/>
          <w:b/>
          <w:bCs/>
          <w:iCs/>
          <w:sz w:val="22"/>
          <w:szCs w:val="22"/>
          <w:lang w:val="sr-Latn-RS"/>
        </w:rPr>
        <w:t>Tabela br. 8: Rezultati efikasnosti za HCC (populacija</w:t>
      </w:r>
      <w:r w:rsidR="00DD4571" w:rsidRPr="00234ECD">
        <w:rPr>
          <w:rFonts w:eastAsia="SimSun"/>
          <w:b/>
          <w:bCs/>
          <w:iCs/>
          <w:sz w:val="22"/>
          <w:szCs w:val="22"/>
          <w:lang w:val="sr-Latn-RS"/>
        </w:rPr>
        <w:t xml:space="preserve"> pacijenata</w:t>
      </w:r>
      <w:r w:rsidRPr="00234ECD">
        <w:rPr>
          <w:rFonts w:eastAsia="SimSun"/>
          <w:b/>
          <w:bCs/>
          <w:iCs/>
          <w:sz w:val="22"/>
          <w:szCs w:val="22"/>
          <w:lang w:val="sr-Latn-RS"/>
        </w:rPr>
        <w:t xml:space="preserve"> koja treba da primi terapiju, CELESTIAL)</w:t>
      </w:r>
    </w:p>
    <w:p w14:paraId="1B718393" w14:textId="77777777" w:rsidR="00D857AC" w:rsidRPr="00234ECD" w:rsidRDefault="00D857AC" w:rsidP="00D857AC">
      <w:pPr>
        <w:tabs>
          <w:tab w:val="left" w:pos="7164"/>
        </w:tabs>
        <w:rPr>
          <w:rFonts w:eastAsia="SimSun"/>
          <w:b/>
          <w:bCs/>
          <w:iCs/>
          <w:sz w:val="22"/>
          <w:szCs w:val="22"/>
          <w:lang w:val="sr-Latn-RS"/>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2929"/>
        <w:gridCol w:w="15"/>
        <w:gridCol w:w="2977"/>
      </w:tblGrid>
      <w:tr w:rsidR="00D857AC" w:rsidRPr="00234ECD" w14:paraId="057B0F3D" w14:textId="77777777" w:rsidTr="00D857AC">
        <w:tc>
          <w:tcPr>
            <w:tcW w:w="3729" w:type="dxa"/>
            <w:tcBorders>
              <w:top w:val="single" w:sz="4" w:space="0" w:color="auto"/>
              <w:left w:val="single" w:sz="4" w:space="0" w:color="auto"/>
              <w:bottom w:val="single" w:sz="4" w:space="0" w:color="auto"/>
              <w:right w:val="single" w:sz="4" w:space="0" w:color="auto"/>
            </w:tcBorders>
          </w:tcPr>
          <w:p w14:paraId="6CD162CF" w14:textId="77777777" w:rsidR="00D857AC" w:rsidRPr="00234ECD" w:rsidRDefault="00D857AC" w:rsidP="00D857AC">
            <w:pPr>
              <w:suppressLineNumbers/>
              <w:tabs>
                <w:tab w:val="left" w:pos="567"/>
              </w:tabs>
              <w:jc w:val="both"/>
              <w:rPr>
                <w:bCs/>
                <w:iCs/>
                <w:sz w:val="22"/>
                <w:szCs w:val="22"/>
                <w:lang w:val="sr-Latn-RS"/>
              </w:rPr>
            </w:pPr>
          </w:p>
        </w:tc>
        <w:tc>
          <w:tcPr>
            <w:tcW w:w="2944" w:type="dxa"/>
            <w:gridSpan w:val="2"/>
            <w:tcBorders>
              <w:top w:val="single" w:sz="4" w:space="0" w:color="auto"/>
              <w:left w:val="single" w:sz="4" w:space="0" w:color="auto"/>
              <w:bottom w:val="single" w:sz="4" w:space="0" w:color="auto"/>
              <w:right w:val="single" w:sz="4" w:space="0" w:color="auto"/>
            </w:tcBorders>
            <w:hideMark/>
          </w:tcPr>
          <w:p w14:paraId="37C8992F" w14:textId="59DAD789" w:rsidR="00D857AC" w:rsidRPr="00234ECD" w:rsidRDefault="00D62353" w:rsidP="00D857AC">
            <w:pPr>
              <w:suppressLineNumbers/>
              <w:tabs>
                <w:tab w:val="left" w:pos="567"/>
              </w:tabs>
              <w:jc w:val="center"/>
              <w:rPr>
                <w:b/>
                <w:bCs/>
                <w:iCs/>
                <w:sz w:val="22"/>
                <w:szCs w:val="22"/>
                <w:lang w:val="sr-Latn-RS"/>
              </w:rPr>
            </w:pPr>
            <w:r w:rsidRPr="00234ECD">
              <w:rPr>
                <w:b/>
                <w:bCs/>
                <w:iCs/>
                <w:sz w:val="22"/>
                <w:szCs w:val="22"/>
                <w:lang w:val="sr-Latn-RS"/>
              </w:rPr>
              <w:t>Cabometyx</w:t>
            </w:r>
          </w:p>
          <w:p w14:paraId="25A96ED3" w14:textId="77777777" w:rsidR="00D857AC" w:rsidRPr="00234ECD" w:rsidRDefault="00D857AC" w:rsidP="00D857AC">
            <w:pPr>
              <w:suppressLineNumbers/>
              <w:tabs>
                <w:tab w:val="left" w:pos="567"/>
              </w:tabs>
              <w:jc w:val="center"/>
              <w:rPr>
                <w:b/>
                <w:bCs/>
                <w:iCs/>
                <w:sz w:val="22"/>
                <w:szCs w:val="22"/>
                <w:lang w:val="sr-Latn-RS"/>
              </w:rPr>
            </w:pPr>
            <w:r w:rsidRPr="00234ECD">
              <w:rPr>
                <w:b/>
                <w:bCs/>
                <w:iCs/>
                <w:sz w:val="22"/>
                <w:szCs w:val="22"/>
                <w:lang w:val="sr-Latn-RS"/>
              </w:rPr>
              <w:t>(N=470)</w:t>
            </w:r>
          </w:p>
        </w:tc>
        <w:tc>
          <w:tcPr>
            <w:tcW w:w="2977" w:type="dxa"/>
            <w:tcBorders>
              <w:top w:val="single" w:sz="4" w:space="0" w:color="auto"/>
              <w:left w:val="single" w:sz="4" w:space="0" w:color="auto"/>
              <w:bottom w:val="single" w:sz="4" w:space="0" w:color="auto"/>
              <w:right w:val="single" w:sz="4" w:space="0" w:color="auto"/>
            </w:tcBorders>
            <w:hideMark/>
          </w:tcPr>
          <w:p w14:paraId="700D6AD1" w14:textId="77777777" w:rsidR="00D857AC" w:rsidRPr="00234ECD" w:rsidRDefault="00D857AC" w:rsidP="00D857AC">
            <w:pPr>
              <w:suppressLineNumbers/>
              <w:tabs>
                <w:tab w:val="left" w:pos="567"/>
              </w:tabs>
              <w:jc w:val="center"/>
              <w:rPr>
                <w:b/>
                <w:bCs/>
                <w:iCs/>
                <w:sz w:val="22"/>
                <w:szCs w:val="22"/>
                <w:lang w:val="sr-Latn-RS"/>
              </w:rPr>
            </w:pPr>
            <w:r w:rsidRPr="00234ECD">
              <w:rPr>
                <w:b/>
                <w:bCs/>
                <w:iCs/>
                <w:sz w:val="22"/>
                <w:szCs w:val="22"/>
                <w:lang w:val="sr-Latn-RS"/>
              </w:rPr>
              <w:t>Placebo</w:t>
            </w:r>
          </w:p>
          <w:p w14:paraId="4DC7CFC8" w14:textId="77777777" w:rsidR="00D857AC" w:rsidRPr="00234ECD" w:rsidRDefault="00D857AC" w:rsidP="00D857AC">
            <w:pPr>
              <w:suppressLineNumbers/>
              <w:tabs>
                <w:tab w:val="left" w:pos="567"/>
              </w:tabs>
              <w:jc w:val="center"/>
              <w:rPr>
                <w:b/>
                <w:bCs/>
                <w:iCs/>
                <w:sz w:val="22"/>
                <w:szCs w:val="22"/>
                <w:lang w:val="sr-Latn-RS"/>
              </w:rPr>
            </w:pPr>
            <w:r w:rsidRPr="00234ECD">
              <w:rPr>
                <w:b/>
                <w:bCs/>
                <w:iCs/>
                <w:sz w:val="22"/>
                <w:szCs w:val="22"/>
                <w:lang w:val="sr-Latn-RS"/>
              </w:rPr>
              <w:t>(N=237)</w:t>
            </w:r>
          </w:p>
        </w:tc>
      </w:tr>
      <w:tr w:rsidR="00D857AC" w:rsidRPr="00234ECD" w14:paraId="0AFD6661" w14:textId="77777777" w:rsidTr="00D857AC">
        <w:tc>
          <w:tcPr>
            <w:tcW w:w="9650" w:type="dxa"/>
            <w:gridSpan w:val="4"/>
            <w:tcBorders>
              <w:top w:val="single" w:sz="4" w:space="0" w:color="auto"/>
              <w:left w:val="single" w:sz="4" w:space="0" w:color="auto"/>
              <w:bottom w:val="single" w:sz="4" w:space="0" w:color="auto"/>
              <w:right w:val="single" w:sz="4" w:space="0" w:color="auto"/>
            </w:tcBorders>
            <w:hideMark/>
          </w:tcPr>
          <w:p w14:paraId="5D0459FF" w14:textId="77777777" w:rsidR="00D857AC" w:rsidRPr="00234ECD" w:rsidRDefault="00D857AC" w:rsidP="00D857AC">
            <w:pPr>
              <w:suppressLineNumbers/>
              <w:tabs>
                <w:tab w:val="left" w:pos="567"/>
              </w:tabs>
              <w:jc w:val="both"/>
              <w:rPr>
                <w:bCs/>
                <w:iCs/>
                <w:sz w:val="22"/>
                <w:szCs w:val="22"/>
                <w:u w:val="single"/>
                <w:lang w:val="sr-Latn-RS"/>
              </w:rPr>
            </w:pPr>
            <w:r w:rsidRPr="00234ECD">
              <w:rPr>
                <w:b/>
                <w:bCs/>
                <w:iCs/>
                <w:sz w:val="22"/>
                <w:szCs w:val="22"/>
                <w:u w:val="single"/>
                <w:lang w:val="sr-Latn-RS"/>
              </w:rPr>
              <w:t>Ukupno preživljavanje</w:t>
            </w:r>
          </w:p>
        </w:tc>
      </w:tr>
      <w:tr w:rsidR="00D857AC" w:rsidRPr="00234ECD" w14:paraId="38D255BA" w14:textId="77777777" w:rsidTr="00D857AC">
        <w:tc>
          <w:tcPr>
            <w:tcW w:w="3729" w:type="dxa"/>
            <w:tcBorders>
              <w:top w:val="single" w:sz="4" w:space="0" w:color="auto"/>
              <w:left w:val="single" w:sz="4" w:space="0" w:color="auto"/>
              <w:bottom w:val="single" w:sz="4" w:space="0" w:color="auto"/>
              <w:right w:val="single" w:sz="4" w:space="0" w:color="auto"/>
            </w:tcBorders>
            <w:hideMark/>
          </w:tcPr>
          <w:p w14:paraId="364D4971" w14:textId="4696AFEC" w:rsidR="00D857AC" w:rsidRPr="00234ECD" w:rsidRDefault="00D857AC" w:rsidP="00D857AC">
            <w:pPr>
              <w:suppressLineNumbers/>
              <w:tabs>
                <w:tab w:val="left" w:pos="567"/>
              </w:tabs>
              <w:jc w:val="both"/>
              <w:rPr>
                <w:bCs/>
                <w:iCs/>
                <w:sz w:val="22"/>
                <w:szCs w:val="22"/>
                <w:vertAlign w:val="superscript"/>
                <w:lang w:val="sr-Latn-RS"/>
              </w:rPr>
            </w:pPr>
            <w:r w:rsidRPr="00234ECD">
              <w:rPr>
                <w:bCs/>
                <w:iCs/>
                <w:sz w:val="22"/>
                <w:szCs w:val="22"/>
                <w:lang w:val="sr-Latn-RS"/>
              </w:rPr>
              <w:t>Medijana OS (95% CI), m</w:t>
            </w:r>
            <w:r w:rsidR="00906699" w:rsidRPr="00234ECD">
              <w:rPr>
                <w:bCs/>
                <w:iCs/>
                <w:sz w:val="22"/>
                <w:szCs w:val="22"/>
                <w:lang w:val="sr-Latn-RS"/>
              </w:rPr>
              <w:t>j</w:t>
            </w:r>
            <w:r w:rsidRPr="00234ECD">
              <w:rPr>
                <w:bCs/>
                <w:iCs/>
                <w:sz w:val="22"/>
                <w:szCs w:val="22"/>
                <w:lang w:val="sr-Latn-RS"/>
              </w:rPr>
              <w:t>eseci</w:t>
            </w:r>
          </w:p>
        </w:tc>
        <w:tc>
          <w:tcPr>
            <w:tcW w:w="2944" w:type="dxa"/>
            <w:gridSpan w:val="2"/>
            <w:tcBorders>
              <w:top w:val="single" w:sz="4" w:space="0" w:color="auto"/>
              <w:left w:val="single" w:sz="4" w:space="0" w:color="auto"/>
              <w:bottom w:val="single" w:sz="4" w:space="0" w:color="auto"/>
              <w:right w:val="single" w:sz="4" w:space="0" w:color="auto"/>
            </w:tcBorders>
            <w:hideMark/>
          </w:tcPr>
          <w:p w14:paraId="4E07425A" w14:textId="77777777" w:rsidR="00D857AC" w:rsidRPr="00234ECD" w:rsidRDefault="00D857AC" w:rsidP="00D857AC">
            <w:pPr>
              <w:suppressLineNumbers/>
              <w:tabs>
                <w:tab w:val="left" w:pos="567"/>
              </w:tabs>
              <w:jc w:val="center"/>
              <w:rPr>
                <w:bCs/>
                <w:iCs/>
                <w:sz w:val="22"/>
                <w:szCs w:val="22"/>
                <w:lang w:val="sr-Latn-RS"/>
              </w:rPr>
            </w:pPr>
            <w:r w:rsidRPr="00234ECD">
              <w:rPr>
                <w:bCs/>
                <w:iCs/>
                <w:sz w:val="22"/>
                <w:szCs w:val="22"/>
                <w:lang w:val="sr-Latn-RS"/>
              </w:rPr>
              <w:t>10,2 (9,1; 12,0)</w:t>
            </w:r>
          </w:p>
        </w:tc>
        <w:tc>
          <w:tcPr>
            <w:tcW w:w="2977" w:type="dxa"/>
            <w:tcBorders>
              <w:top w:val="single" w:sz="4" w:space="0" w:color="auto"/>
              <w:left w:val="single" w:sz="4" w:space="0" w:color="auto"/>
              <w:bottom w:val="single" w:sz="4" w:space="0" w:color="auto"/>
              <w:right w:val="single" w:sz="4" w:space="0" w:color="auto"/>
            </w:tcBorders>
            <w:hideMark/>
          </w:tcPr>
          <w:p w14:paraId="0789496B" w14:textId="77777777" w:rsidR="00D857AC" w:rsidRPr="00234ECD" w:rsidRDefault="00D857AC" w:rsidP="00D857AC">
            <w:pPr>
              <w:suppressLineNumbers/>
              <w:tabs>
                <w:tab w:val="left" w:pos="567"/>
              </w:tabs>
              <w:jc w:val="center"/>
              <w:rPr>
                <w:bCs/>
                <w:iCs/>
                <w:sz w:val="22"/>
                <w:szCs w:val="22"/>
                <w:lang w:val="sr-Latn-RS"/>
              </w:rPr>
            </w:pPr>
            <w:r w:rsidRPr="00234ECD">
              <w:rPr>
                <w:bCs/>
                <w:iCs/>
                <w:sz w:val="22"/>
                <w:szCs w:val="22"/>
                <w:lang w:val="sr-Latn-RS"/>
              </w:rPr>
              <w:t>8,0 (6,8; 9,4)</w:t>
            </w:r>
          </w:p>
        </w:tc>
      </w:tr>
      <w:tr w:rsidR="00D857AC" w:rsidRPr="00234ECD" w14:paraId="3EC64191" w14:textId="77777777" w:rsidTr="00D857AC">
        <w:tc>
          <w:tcPr>
            <w:tcW w:w="3729" w:type="dxa"/>
            <w:tcBorders>
              <w:top w:val="single" w:sz="4" w:space="0" w:color="auto"/>
              <w:left w:val="single" w:sz="4" w:space="0" w:color="auto"/>
              <w:bottom w:val="single" w:sz="4" w:space="0" w:color="auto"/>
              <w:right w:val="single" w:sz="4" w:space="0" w:color="auto"/>
            </w:tcBorders>
            <w:hideMark/>
          </w:tcPr>
          <w:p w14:paraId="782FA1D3" w14:textId="77777777" w:rsidR="00D857AC" w:rsidRPr="00234ECD" w:rsidRDefault="00D857AC" w:rsidP="00D857AC">
            <w:pPr>
              <w:suppressLineNumbers/>
              <w:tabs>
                <w:tab w:val="left" w:pos="567"/>
              </w:tabs>
              <w:jc w:val="both"/>
              <w:rPr>
                <w:bCs/>
                <w:iCs/>
                <w:sz w:val="22"/>
                <w:szCs w:val="22"/>
                <w:u w:val="single"/>
                <w:lang w:val="sr-Latn-RS"/>
              </w:rPr>
            </w:pPr>
            <w:r w:rsidRPr="00234ECD">
              <w:rPr>
                <w:bCs/>
                <w:iCs/>
                <w:sz w:val="22"/>
                <w:szCs w:val="22"/>
                <w:u w:val="single"/>
                <w:lang w:val="sr-Latn-RS"/>
              </w:rPr>
              <w:t>HR (95% CI)</w:t>
            </w:r>
            <w:r w:rsidRPr="00234ECD">
              <w:rPr>
                <w:bCs/>
                <w:iCs/>
                <w:sz w:val="22"/>
                <w:szCs w:val="22"/>
                <w:u w:val="single"/>
                <w:vertAlign w:val="superscript"/>
                <w:lang w:val="sr-Latn-RS"/>
              </w:rPr>
              <w:t>1,2</w:t>
            </w:r>
          </w:p>
        </w:tc>
        <w:tc>
          <w:tcPr>
            <w:tcW w:w="5921" w:type="dxa"/>
            <w:gridSpan w:val="3"/>
            <w:tcBorders>
              <w:top w:val="single" w:sz="4" w:space="0" w:color="auto"/>
              <w:left w:val="single" w:sz="4" w:space="0" w:color="auto"/>
              <w:bottom w:val="single" w:sz="4" w:space="0" w:color="auto"/>
              <w:right w:val="single" w:sz="4" w:space="0" w:color="auto"/>
            </w:tcBorders>
            <w:hideMark/>
          </w:tcPr>
          <w:p w14:paraId="56601303" w14:textId="77777777" w:rsidR="00D857AC" w:rsidRPr="00234ECD" w:rsidRDefault="00D857AC" w:rsidP="00D857AC">
            <w:pPr>
              <w:suppressLineNumbers/>
              <w:tabs>
                <w:tab w:val="left" w:pos="567"/>
              </w:tabs>
              <w:jc w:val="center"/>
              <w:rPr>
                <w:bCs/>
                <w:iCs/>
                <w:sz w:val="22"/>
                <w:szCs w:val="22"/>
                <w:lang w:val="sr-Latn-RS"/>
              </w:rPr>
            </w:pPr>
            <w:r w:rsidRPr="00234ECD">
              <w:rPr>
                <w:bCs/>
                <w:iCs/>
                <w:sz w:val="22"/>
                <w:szCs w:val="22"/>
                <w:lang w:val="sr-Latn-RS"/>
              </w:rPr>
              <w:t>0,76 (0,63; 0,92)</w:t>
            </w:r>
          </w:p>
        </w:tc>
      </w:tr>
      <w:tr w:rsidR="00D857AC" w:rsidRPr="00234ECD" w14:paraId="36093427" w14:textId="77777777" w:rsidTr="00D857AC">
        <w:tc>
          <w:tcPr>
            <w:tcW w:w="3729" w:type="dxa"/>
            <w:tcBorders>
              <w:top w:val="single" w:sz="4" w:space="0" w:color="auto"/>
              <w:left w:val="single" w:sz="4" w:space="0" w:color="auto"/>
              <w:bottom w:val="single" w:sz="4" w:space="0" w:color="auto"/>
              <w:right w:val="single" w:sz="4" w:space="0" w:color="auto"/>
            </w:tcBorders>
            <w:hideMark/>
          </w:tcPr>
          <w:p w14:paraId="56CE2B98" w14:textId="70C6B64B" w:rsidR="00D857AC" w:rsidRPr="00234ECD" w:rsidRDefault="00D857AC" w:rsidP="00D857AC">
            <w:pPr>
              <w:suppressLineNumbers/>
              <w:tabs>
                <w:tab w:val="left" w:pos="567"/>
              </w:tabs>
              <w:jc w:val="both"/>
              <w:rPr>
                <w:bCs/>
                <w:iCs/>
                <w:sz w:val="22"/>
                <w:szCs w:val="22"/>
                <w:vertAlign w:val="superscript"/>
                <w:lang w:val="sr-Latn-RS"/>
              </w:rPr>
            </w:pPr>
            <w:r w:rsidRPr="00234ECD">
              <w:rPr>
                <w:bCs/>
                <w:iCs/>
                <w:sz w:val="22"/>
                <w:szCs w:val="22"/>
                <w:lang w:val="sr-Latn-RS"/>
              </w:rPr>
              <w:t>p-vr</w:t>
            </w:r>
            <w:r w:rsidR="000001A6" w:rsidRPr="00234ECD">
              <w:rPr>
                <w:bCs/>
                <w:iCs/>
                <w:sz w:val="22"/>
                <w:szCs w:val="22"/>
                <w:lang w:val="sr-Latn-RS"/>
              </w:rPr>
              <w:t>i</w:t>
            </w:r>
            <w:r w:rsidR="00ED116C" w:rsidRPr="00234ECD">
              <w:rPr>
                <w:bCs/>
                <w:iCs/>
                <w:sz w:val="22"/>
                <w:szCs w:val="22"/>
                <w:lang w:val="sr-Latn-RS"/>
              </w:rPr>
              <w:t>j</w:t>
            </w:r>
            <w:r w:rsidRPr="00234ECD">
              <w:rPr>
                <w:bCs/>
                <w:iCs/>
                <w:sz w:val="22"/>
                <w:szCs w:val="22"/>
                <w:lang w:val="sr-Latn-RS"/>
              </w:rPr>
              <w:t>ednost</w:t>
            </w:r>
            <w:r w:rsidRPr="00234ECD">
              <w:rPr>
                <w:bCs/>
                <w:iCs/>
                <w:sz w:val="22"/>
                <w:szCs w:val="22"/>
                <w:vertAlign w:val="superscript"/>
                <w:lang w:val="sr-Latn-RS"/>
              </w:rPr>
              <w:t>1</w:t>
            </w:r>
          </w:p>
        </w:tc>
        <w:tc>
          <w:tcPr>
            <w:tcW w:w="5921" w:type="dxa"/>
            <w:gridSpan w:val="3"/>
            <w:tcBorders>
              <w:top w:val="single" w:sz="4" w:space="0" w:color="auto"/>
              <w:left w:val="single" w:sz="4" w:space="0" w:color="auto"/>
              <w:bottom w:val="single" w:sz="4" w:space="0" w:color="auto"/>
              <w:right w:val="single" w:sz="4" w:space="0" w:color="auto"/>
            </w:tcBorders>
            <w:hideMark/>
          </w:tcPr>
          <w:p w14:paraId="3E6B50D8" w14:textId="77777777" w:rsidR="00D857AC" w:rsidRPr="00234ECD" w:rsidRDefault="00D857AC" w:rsidP="00D857AC">
            <w:pPr>
              <w:suppressLineNumbers/>
              <w:tabs>
                <w:tab w:val="left" w:pos="567"/>
                <w:tab w:val="left" w:pos="3645"/>
              </w:tabs>
              <w:jc w:val="center"/>
              <w:rPr>
                <w:bCs/>
                <w:iCs/>
                <w:sz w:val="22"/>
                <w:szCs w:val="22"/>
                <w:lang w:val="sr-Latn-RS"/>
              </w:rPr>
            </w:pPr>
            <w:r w:rsidRPr="00234ECD">
              <w:rPr>
                <w:bCs/>
                <w:iCs/>
                <w:sz w:val="22"/>
                <w:szCs w:val="22"/>
                <w:lang w:val="sr-Latn-RS"/>
              </w:rPr>
              <w:t>p=0,0049</w:t>
            </w:r>
          </w:p>
        </w:tc>
      </w:tr>
      <w:tr w:rsidR="00D857AC" w:rsidRPr="00234ECD" w14:paraId="3B746150" w14:textId="77777777" w:rsidTr="00D857AC">
        <w:tc>
          <w:tcPr>
            <w:tcW w:w="9650" w:type="dxa"/>
            <w:gridSpan w:val="4"/>
            <w:tcBorders>
              <w:top w:val="single" w:sz="4" w:space="0" w:color="auto"/>
              <w:left w:val="single" w:sz="4" w:space="0" w:color="auto"/>
              <w:bottom w:val="single" w:sz="4" w:space="0" w:color="auto"/>
              <w:right w:val="single" w:sz="4" w:space="0" w:color="auto"/>
            </w:tcBorders>
          </w:tcPr>
          <w:p w14:paraId="1A22932A" w14:textId="77777777" w:rsidR="00D857AC" w:rsidRPr="00234ECD" w:rsidRDefault="00D857AC" w:rsidP="00D857AC">
            <w:pPr>
              <w:suppressLineNumbers/>
              <w:tabs>
                <w:tab w:val="left" w:pos="567"/>
              </w:tabs>
              <w:jc w:val="both"/>
              <w:rPr>
                <w:b/>
                <w:bCs/>
                <w:iCs/>
                <w:sz w:val="22"/>
                <w:szCs w:val="22"/>
                <w:u w:val="single"/>
                <w:lang w:val="sr-Latn-RS"/>
              </w:rPr>
            </w:pPr>
          </w:p>
        </w:tc>
      </w:tr>
      <w:tr w:rsidR="00D857AC" w:rsidRPr="00234ECD" w14:paraId="1C5DD1F0" w14:textId="77777777" w:rsidTr="00D857AC">
        <w:tc>
          <w:tcPr>
            <w:tcW w:w="9650" w:type="dxa"/>
            <w:gridSpan w:val="4"/>
            <w:tcBorders>
              <w:top w:val="single" w:sz="4" w:space="0" w:color="auto"/>
              <w:left w:val="single" w:sz="4" w:space="0" w:color="auto"/>
              <w:bottom w:val="single" w:sz="4" w:space="0" w:color="auto"/>
              <w:right w:val="single" w:sz="4" w:space="0" w:color="auto"/>
            </w:tcBorders>
          </w:tcPr>
          <w:p w14:paraId="7AC61698" w14:textId="77777777" w:rsidR="00D857AC" w:rsidRPr="00234ECD" w:rsidRDefault="00D857AC" w:rsidP="00D857AC">
            <w:pPr>
              <w:suppressLineNumbers/>
              <w:tabs>
                <w:tab w:val="left" w:pos="567"/>
              </w:tabs>
              <w:jc w:val="both"/>
              <w:rPr>
                <w:b/>
                <w:bCs/>
                <w:iCs/>
                <w:sz w:val="22"/>
                <w:szCs w:val="22"/>
                <w:u w:val="single"/>
                <w:lang w:val="sr-Latn-RS"/>
              </w:rPr>
            </w:pPr>
          </w:p>
        </w:tc>
      </w:tr>
      <w:tr w:rsidR="00D857AC" w:rsidRPr="00234ECD" w14:paraId="2DBE1E27" w14:textId="77777777" w:rsidTr="00D857AC">
        <w:tc>
          <w:tcPr>
            <w:tcW w:w="9650" w:type="dxa"/>
            <w:gridSpan w:val="4"/>
            <w:tcBorders>
              <w:top w:val="single" w:sz="4" w:space="0" w:color="auto"/>
              <w:left w:val="single" w:sz="4" w:space="0" w:color="auto"/>
              <w:bottom w:val="single" w:sz="4" w:space="0" w:color="auto"/>
              <w:right w:val="single" w:sz="4" w:space="0" w:color="auto"/>
            </w:tcBorders>
            <w:hideMark/>
          </w:tcPr>
          <w:p w14:paraId="564B9C75" w14:textId="77777777" w:rsidR="00D857AC" w:rsidRPr="00234ECD" w:rsidRDefault="00D857AC" w:rsidP="00D857AC">
            <w:pPr>
              <w:suppressLineNumbers/>
              <w:tabs>
                <w:tab w:val="left" w:pos="567"/>
              </w:tabs>
              <w:jc w:val="both"/>
              <w:rPr>
                <w:b/>
                <w:bCs/>
                <w:iCs/>
                <w:sz w:val="22"/>
                <w:szCs w:val="22"/>
                <w:u w:val="single"/>
                <w:vertAlign w:val="superscript"/>
                <w:lang w:val="sr-Latn-RS"/>
              </w:rPr>
            </w:pPr>
            <w:r w:rsidRPr="00234ECD">
              <w:rPr>
                <w:b/>
                <w:bCs/>
                <w:iCs/>
                <w:sz w:val="22"/>
                <w:szCs w:val="22"/>
                <w:u w:val="single"/>
                <w:lang w:val="sr-Latn-RS"/>
              </w:rPr>
              <w:t>Preživljavanje bez progresije bolesti (PFS)</w:t>
            </w:r>
            <w:r w:rsidRPr="00234ECD">
              <w:rPr>
                <w:b/>
                <w:bCs/>
                <w:iCs/>
                <w:sz w:val="22"/>
                <w:szCs w:val="22"/>
                <w:u w:val="single"/>
                <w:vertAlign w:val="superscript"/>
                <w:lang w:val="sr-Latn-RS"/>
              </w:rPr>
              <w:t>3</w:t>
            </w:r>
          </w:p>
        </w:tc>
      </w:tr>
      <w:tr w:rsidR="00D857AC" w:rsidRPr="00234ECD" w14:paraId="1DD4EF67" w14:textId="77777777" w:rsidTr="00D857AC">
        <w:tc>
          <w:tcPr>
            <w:tcW w:w="3729" w:type="dxa"/>
            <w:tcBorders>
              <w:top w:val="single" w:sz="4" w:space="0" w:color="auto"/>
              <w:left w:val="single" w:sz="4" w:space="0" w:color="auto"/>
              <w:bottom w:val="single" w:sz="4" w:space="0" w:color="auto"/>
              <w:right w:val="single" w:sz="4" w:space="0" w:color="auto"/>
            </w:tcBorders>
            <w:hideMark/>
          </w:tcPr>
          <w:p w14:paraId="71979C5A" w14:textId="58377AD9" w:rsidR="00D857AC" w:rsidRPr="00234ECD" w:rsidRDefault="00D857AC" w:rsidP="00D857AC">
            <w:pPr>
              <w:suppressLineNumbers/>
              <w:tabs>
                <w:tab w:val="left" w:pos="567"/>
              </w:tabs>
              <w:jc w:val="both"/>
              <w:rPr>
                <w:bCs/>
                <w:iCs/>
                <w:sz w:val="22"/>
                <w:szCs w:val="22"/>
                <w:lang w:val="sr-Latn-RS"/>
              </w:rPr>
            </w:pPr>
            <w:r w:rsidRPr="00234ECD">
              <w:rPr>
                <w:bCs/>
                <w:iCs/>
                <w:sz w:val="22"/>
                <w:szCs w:val="22"/>
                <w:lang w:val="sr-Latn-RS"/>
              </w:rPr>
              <w:t>Medijana PFS u m</w:t>
            </w:r>
            <w:r w:rsidR="00ED116C" w:rsidRPr="00234ECD">
              <w:rPr>
                <w:bCs/>
                <w:iCs/>
                <w:sz w:val="22"/>
                <w:szCs w:val="22"/>
                <w:lang w:val="sr-Latn-RS"/>
              </w:rPr>
              <w:t>j</w:t>
            </w:r>
            <w:r w:rsidRPr="00234ECD">
              <w:rPr>
                <w:bCs/>
                <w:iCs/>
                <w:sz w:val="22"/>
                <w:szCs w:val="22"/>
                <w:lang w:val="sr-Latn-RS"/>
              </w:rPr>
              <w:t>esecima (95% CI)</w:t>
            </w:r>
          </w:p>
        </w:tc>
        <w:tc>
          <w:tcPr>
            <w:tcW w:w="2944" w:type="dxa"/>
            <w:gridSpan w:val="2"/>
            <w:tcBorders>
              <w:top w:val="single" w:sz="4" w:space="0" w:color="auto"/>
              <w:left w:val="single" w:sz="4" w:space="0" w:color="auto"/>
              <w:bottom w:val="single" w:sz="4" w:space="0" w:color="auto"/>
              <w:right w:val="single" w:sz="4" w:space="0" w:color="auto"/>
            </w:tcBorders>
            <w:hideMark/>
          </w:tcPr>
          <w:p w14:paraId="60560EE5" w14:textId="77777777" w:rsidR="00D857AC" w:rsidRPr="00234ECD" w:rsidRDefault="00D857AC" w:rsidP="00D857AC">
            <w:pPr>
              <w:suppressLineNumbers/>
              <w:tabs>
                <w:tab w:val="left" w:pos="567"/>
              </w:tabs>
              <w:jc w:val="center"/>
              <w:rPr>
                <w:bCs/>
                <w:iCs/>
                <w:sz w:val="22"/>
                <w:szCs w:val="22"/>
                <w:lang w:val="sr-Latn-RS"/>
              </w:rPr>
            </w:pPr>
            <w:r w:rsidRPr="00234ECD">
              <w:rPr>
                <w:bCs/>
                <w:iCs/>
                <w:sz w:val="22"/>
                <w:szCs w:val="22"/>
                <w:lang w:val="sr-Latn-RS"/>
              </w:rPr>
              <w:t>5,2 (4,0; 5,5)</w:t>
            </w:r>
          </w:p>
        </w:tc>
        <w:tc>
          <w:tcPr>
            <w:tcW w:w="2977" w:type="dxa"/>
            <w:tcBorders>
              <w:top w:val="single" w:sz="4" w:space="0" w:color="auto"/>
              <w:left w:val="single" w:sz="4" w:space="0" w:color="auto"/>
              <w:bottom w:val="single" w:sz="4" w:space="0" w:color="auto"/>
              <w:right w:val="single" w:sz="4" w:space="0" w:color="auto"/>
            </w:tcBorders>
            <w:hideMark/>
          </w:tcPr>
          <w:p w14:paraId="60865E1A" w14:textId="77777777" w:rsidR="00D857AC" w:rsidRPr="00234ECD" w:rsidRDefault="00D857AC" w:rsidP="00D857AC">
            <w:pPr>
              <w:suppressLineNumbers/>
              <w:tabs>
                <w:tab w:val="left" w:pos="567"/>
              </w:tabs>
              <w:jc w:val="center"/>
              <w:rPr>
                <w:bCs/>
                <w:iCs/>
                <w:sz w:val="22"/>
                <w:szCs w:val="22"/>
                <w:lang w:val="sr-Latn-RS"/>
              </w:rPr>
            </w:pPr>
            <w:r w:rsidRPr="00234ECD">
              <w:rPr>
                <w:bCs/>
                <w:iCs/>
                <w:sz w:val="22"/>
                <w:szCs w:val="22"/>
                <w:lang w:val="sr-Latn-RS"/>
              </w:rPr>
              <w:t>1,9 (1,9; 1,9)</w:t>
            </w:r>
          </w:p>
        </w:tc>
      </w:tr>
      <w:tr w:rsidR="00D857AC" w:rsidRPr="00234ECD" w14:paraId="62E00966" w14:textId="77777777" w:rsidTr="00D857AC">
        <w:tc>
          <w:tcPr>
            <w:tcW w:w="3729" w:type="dxa"/>
            <w:tcBorders>
              <w:top w:val="single" w:sz="4" w:space="0" w:color="auto"/>
              <w:left w:val="single" w:sz="4" w:space="0" w:color="auto"/>
              <w:bottom w:val="single" w:sz="4" w:space="0" w:color="auto"/>
              <w:right w:val="single" w:sz="4" w:space="0" w:color="auto"/>
            </w:tcBorders>
            <w:hideMark/>
          </w:tcPr>
          <w:p w14:paraId="0CF101BC" w14:textId="77777777" w:rsidR="00D857AC" w:rsidRPr="00234ECD" w:rsidRDefault="00D857AC" w:rsidP="00D857AC">
            <w:pPr>
              <w:suppressLineNumbers/>
              <w:tabs>
                <w:tab w:val="left" w:pos="567"/>
              </w:tabs>
              <w:jc w:val="both"/>
              <w:rPr>
                <w:bCs/>
                <w:iCs/>
                <w:sz w:val="22"/>
                <w:szCs w:val="22"/>
                <w:vertAlign w:val="superscript"/>
                <w:lang w:val="sr-Latn-RS"/>
              </w:rPr>
            </w:pPr>
            <w:r w:rsidRPr="00234ECD">
              <w:rPr>
                <w:bCs/>
                <w:iCs/>
                <w:sz w:val="22"/>
                <w:szCs w:val="22"/>
                <w:lang w:val="sr-Latn-RS"/>
              </w:rPr>
              <w:t>HR (95% CI)</w:t>
            </w:r>
            <w:r w:rsidRPr="00234ECD">
              <w:rPr>
                <w:bCs/>
                <w:iCs/>
                <w:sz w:val="22"/>
                <w:szCs w:val="22"/>
                <w:vertAlign w:val="superscript"/>
                <w:lang w:val="sr-Latn-RS"/>
              </w:rPr>
              <w:t>1</w:t>
            </w:r>
          </w:p>
        </w:tc>
        <w:tc>
          <w:tcPr>
            <w:tcW w:w="5921" w:type="dxa"/>
            <w:gridSpan w:val="3"/>
            <w:tcBorders>
              <w:top w:val="single" w:sz="4" w:space="0" w:color="auto"/>
              <w:left w:val="single" w:sz="4" w:space="0" w:color="auto"/>
              <w:bottom w:val="single" w:sz="4" w:space="0" w:color="auto"/>
              <w:right w:val="single" w:sz="4" w:space="0" w:color="auto"/>
            </w:tcBorders>
            <w:hideMark/>
          </w:tcPr>
          <w:p w14:paraId="14DC4F6F" w14:textId="77777777" w:rsidR="00D857AC" w:rsidRPr="00234ECD" w:rsidRDefault="00D857AC" w:rsidP="00D857AC">
            <w:pPr>
              <w:suppressLineNumbers/>
              <w:tabs>
                <w:tab w:val="left" w:pos="567"/>
              </w:tabs>
              <w:jc w:val="center"/>
              <w:rPr>
                <w:bCs/>
                <w:iCs/>
                <w:sz w:val="22"/>
                <w:szCs w:val="22"/>
                <w:lang w:val="sr-Latn-RS"/>
              </w:rPr>
            </w:pPr>
            <w:r w:rsidRPr="00234ECD">
              <w:rPr>
                <w:bCs/>
                <w:iCs/>
                <w:sz w:val="22"/>
                <w:szCs w:val="22"/>
                <w:lang w:val="sr-Latn-RS"/>
              </w:rPr>
              <w:t>0,44 (0,36; 0,52)</w:t>
            </w:r>
          </w:p>
        </w:tc>
      </w:tr>
      <w:tr w:rsidR="00D857AC" w:rsidRPr="00234ECD" w14:paraId="42C7113A" w14:textId="77777777" w:rsidTr="00D857AC">
        <w:tc>
          <w:tcPr>
            <w:tcW w:w="3729" w:type="dxa"/>
            <w:tcBorders>
              <w:top w:val="single" w:sz="4" w:space="0" w:color="auto"/>
              <w:left w:val="single" w:sz="4" w:space="0" w:color="auto"/>
              <w:bottom w:val="single" w:sz="4" w:space="0" w:color="auto"/>
              <w:right w:val="single" w:sz="4" w:space="0" w:color="auto"/>
            </w:tcBorders>
            <w:hideMark/>
          </w:tcPr>
          <w:p w14:paraId="47D5711C" w14:textId="77B78B50" w:rsidR="00D857AC" w:rsidRPr="00234ECD" w:rsidRDefault="00D857AC" w:rsidP="00D857AC">
            <w:pPr>
              <w:suppressLineNumbers/>
              <w:tabs>
                <w:tab w:val="left" w:pos="567"/>
              </w:tabs>
              <w:jc w:val="both"/>
              <w:rPr>
                <w:bCs/>
                <w:iCs/>
                <w:sz w:val="22"/>
                <w:szCs w:val="22"/>
                <w:vertAlign w:val="superscript"/>
                <w:lang w:val="sr-Latn-RS"/>
              </w:rPr>
            </w:pPr>
            <w:r w:rsidRPr="00234ECD">
              <w:rPr>
                <w:bCs/>
                <w:iCs/>
                <w:sz w:val="22"/>
                <w:szCs w:val="22"/>
                <w:lang w:val="sr-Latn-RS"/>
              </w:rPr>
              <w:t>p-vr</w:t>
            </w:r>
            <w:r w:rsidR="00ED116C" w:rsidRPr="00234ECD">
              <w:rPr>
                <w:bCs/>
                <w:iCs/>
                <w:sz w:val="22"/>
                <w:szCs w:val="22"/>
                <w:lang w:val="sr-Latn-RS"/>
              </w:rPr>
              <w:t>ij</w:t>
            </w:r>
            <w:r w:rsidRPr="00234ECD">
              <w:rPr>
                <w:bCs/>
                <w:iCs/>
                <w:sz w:val="22"/>
                <w:szCs w:val="22"/>
                <w:lang w:val="sr-Latn-RS"/>
              </w:rPr>
              <w:t>ednost</w:t>
            </w:r>
            <w:r w:rsidRPr="00234ECD">
              <w:rPr>
                <w:bCs/>
                <w:iCs/>
                <w:sz w:val="22"/>
                <w:szCs w:val="22"/>
                <w:vertAlign w:val="superscript"/>
                <w:lang w:val="sr-Latn-RS"/>
              </w:rPr>
              <w:t>1</w:t>
            </w:r>
          </w:p>
        </w:tc>
        <w:tc>
          <w:tcPr>
            <w:tcW w:w="5921" w:type="dxa"/>
            <w:gridSpan w:val="3"/>
            <w:tcBorders>
              <w:top w:val="single" w:sz="4" w:space="0" w:color="auto"/>
              <w:left w:val="single" w:sz="4" w:space="0" w:color="auto"/>
              <w:bottom w:val="single" w:sz="4" w:space="0" w:color="auto"/>
              <w:right w:val="single" w:sz="4" w:space="0" w:color="auto"/>
            </w:tcBorders>
            <w:hideMark/>
          </w:tcPr>
          <w:p w14:paraId="62611DF4" w14:textId="77777777" w:rsidR="00D857AC" w:rsidRPr="00234ECD" w:rsidRDefault="00D857AC" w:rsidP="00D857AC">
            <w:pPr>
              <w:suppressLineNumbers/>
              <w:tabs>
                <w:tab w:val="left" w:pos="567"/>
                <w:tab w:val="left" w:pos="3645"/>
              </w:tabs>
              <w:jc w:val="center"/>
              <w:rPr>
                <w:bCs/>
                <w:iCs/>
                <w:sz w:val="22"/>
                <w:szCs w:val="22"/>
                <w:lang w:val="sr-Latn-RS"/>
              </w:rPr>
            </w:pPr>
            <w:r w:rsidRPr="00234ECD">
              <w:rPr>
                <w:bCs/>
                <w:iCs/>
                <w:sz w:val="22"/>
                <w:szCs w:val="22"/>
                <w:lang w:val="sr-Latn-RS"/>
              </w:rPr>
              <w:t>p&lt;0,0001</w:t>
            </w:r>
          </w:p>
        </w:tc>
      </w:tr>
      <w:tr w:rsidR="00D857AC" w:rsidRPr="00234ECD" w14:paraId="22017581" w14:textId="77777777" w:rsidTr="00784AE1">
        <w:tc>
          <w:tcPr>
            <w:tcW w:w="3729" w:type="dxa"/>
            <w:tcBorders>
              <w:top w:val="nil"/>
              <w:left w:val="single" w:sz="8" w:space="0" w:color="auto"/>
              <w:bottom w:val="single" w:sz="8" w:space="0" w:color="auto"/>
              <w:right w:val="single" w:sz="8" w:space="0" w:color="auto"/>
            </w:tcBorders>
            <w:hideMark/>
          </w:tcPr>
          <w:p w14:paraId="69ECB403" w14:textId="66164A79" w:rsidR="00D857AC" w:rsidRPr="00234ECD" w:rsidRDefault="00D857AC" w:rsidP="00784AE1">
            <w:pPr>
              <w:suppressLineNumbers/>
              <w:tabs>
                <w:tab w:val="left" w:pos="567"/>
              </w:tabs>
              <w:rPr>
                <w:rFonts w:eastAsia="Calibri"/>
                <w:sz w:val="22"/>
                <w:szCs w:val="22"/>
                <w:u w:val="single"/>
                <w:lang w:val="sr-Latn-RS"/>
              </w:rPr>
            </w:pPr>
            <w:r w:rsidRPr="00234ECD">
              <w:rPr>
                <w:b/>
                <w:bCs/>
                <w:i/>
                <w:iCs/>
                <w:sz w:val="22"/>
                <w:szCs w:val="22"/>
                <w:u w:val="single"/>
                <w:lang w:val="sr-Latn-RS"/>
              </w:rPr>
              <w:t>Kaplan-Meier</w:t>
            </w:r>
            <w:r w:rsidRPr="00234ECD">
              <w:rPr>
                <w:b/>
                <w:bCs/>
                <w:iCs/>
                <w:sz w:val="22"/>
                <w:szCs w:val="22"/>
                <w:u w:val="single"/>
                <w:lang w:val="sr-Latn-RS"/>
              </w:rPr>
              <w:t>-ova „landmark“ proc</w:t>
            </w:r>
            <w:r w:rsidR="00F82C62" w:rsidRPr="00234ECD">
              <w:rPr>
                <w:b/>
                <w:bCs/>
                <w:iCs/>
                <w:sz w:val="22"/>
                <w:szCs w:val="22"/>
                <w:u w:val="single"/>
                <w:lang w:val="sr-Latn-RS"/>
              </w:rPr>
              <w:t>j</w:t>
            </w:r>
            <w:r w:rsidRPr="00234ECD">
              <w:rPr>
                <w:b/>
                <w:bCs/>
                <w:iCs/>
                <w:sz w:val="22"/>
                <w:szCs w:val="22"/>
                <w:u w:val="single"/>
                <w:lang w:val="sr-Latn-RS"/>
              </w:rPr>
              <w:t>ena procenta ispitanika bez događaja posl</w:t>
            </w:r>
            <w:r w:rsidR="00F82C62" w:rsidRPr="00234ECD">
              <w:rPr>
                <w:b/>
                <w:bCs/>
                <w:iCs/>
                <w:sz w:val="22"/>
                <w:szCs w:val="22"/>
                <w:u w:val="single"/>
                <w:lang w:val="sr-Latn-RS"/>
              </w:rPr>
              <w:t>ij</w:t>
            </w:r>
            <w:r w:rsidRPr="00234ECD">
              <w:rPr>
                <w:b/>
                <w:bCs/>
                <w:iCs/>
                <w:sz w:val="22"/>
                <w:szCs w:val="22"/>
                <w:u w:val="single"/>
                <w:lang w:val="sr-Latn-RS"/>
              </w:rPr>
              <w:t>e 3 m</w:t>
            </w:r>
            <w:r w:rsidR="00F82C62" w:rsidRPr="00234ECD">
              <w:rPr>
                <w:b/>
                <w:bCs/>
                <w:iCs/>
                <w:sz w:val="22"/>
                <w:szCs w:val="22"/>
                <w:u w:val="single"/>
                <w:lang w:val="sr-Latn-RS"/>
              </w:rPr>
              <w:t>j</w:t>
            </w:r>
            <w:r w:rsidRPr="00234ECD">
              <w:rPr>
                <w:b/>
                <w:bCs/>
                <w:iCs/>
                <w:sz w:val="22"/>
                <w:szCs w:val="22"/>
                <w:u w:val="single"/>
                <w:lang w:val="sr-Latn-RS"/>
              </w:rPr>
              <w:t>eseca</w:t>
            </w:r>
          </w:p>
        </w:tc>
        <w:tc>
          <w:tcPr>
            <w:tcW w:w="5921" w:type="dxa"/>
            <w:gridSpan w:val="3"/>
            <w:tcBorders>
              <w:top w:val="nil"/>
              <w:left w:val="nil"/>
              <w:bottom w:val="single" w:sz="8" w:space="0" w:color="auto"/>
              <w:right w:val="single" w:sz="8" w:space="0" w:color="auto"/>
            </w:tcBorders>
          </w:tcPr>
          <w:p w14:paraId="38C2BE0B" w14:textId="77777777" w:rsidR="00D857AC" w:rsidRPr="00234ECD" w:rsidRDefault="00D857AC" w:rsidP="00D857AC">
            <w:pPr>
              <w:tabs>
                <w:tab w:val="left" w:pos="567"/>
              </w:tabs>
              <w:spacing w:line="260" w:lineRule="exact"/>
              <w:jc w:val="center"/>
              <w:rPr>
                <w:rFonts w:eastAsia="Calibri"/>
                <w:sz w:val="22"/>
                <w:szCs w:val="22"/>
                <w:lang w:val="sr-Latn-RS"/>
              </w:rPr>
            </w:pPr>
          </w:p>
        </w:tc>
      </w:tr>
      <w:tr w:rsidR="00D857AC" w:rsidRPr="00234ECD" w14:paraId="113445F9" w14:textId="77777777" w:rsidTr="00784AE1">
        <w:tc>
          <w:tcPr>
            <w:tcW w:w="3729" w:type="dxa"/>
            <w:tcBorders>
              <w:top w:val="nil"/>
              <w:left w:val="single" w:sz="8" w:space="0" w:color="auto"/>
              <w:bottom w:val="single" w:sz="8" w:space="0" w:color="auto"/>
              <w:right w:val="single" w:sz="8" w:space="0" w:color="auto"/>
            </w:tcBorders>
            <w:hideMark/>
          </w:tcPr>
          <w:p w14:paraId="2D05909C" w14:textId="77777777" w:rsidR="00D857AC" w:rsidRPr="00234ECD" w:rsidRDefault="00D857AC" w:rsidP="00D857AC">
            <w:pPr>
              <w:tabs>
                <w:tab w:val="left" w:pos="567"/>
              </w:tabs>
              <w:spacing w:line="260" w:lineRule="exact"/>
              <w:ind w:right="-252"/>
              <w:jc w:val="both"/>
              <w:rPr>
                <w:rFonts w:eastAsia="Calibri"/>
                <w:sz w:val="22"/>
                <w:szCs w:val="22"/>
                <w:lang w:val="sr-Latn-RS"/>
              </w:rPr>
            </w:pPr>
            <w:r w:rsidRPr="00234ECD">
              <w:rPr>
                <w:sz w:val="22"/>
                <w:szCs w:val="22"/>
                <w:lang w:val="sr-Latn-RS"/>
              </w:rPr>
              <w:t>% (95% CI)</w:t>
            </w:r>
          </w:p>
        </w:tc>
        <w:tc>
          <w:tcPr>
            <w:tcW w:w="2929" w:type="dxa"/>
            <w:tcBorders>
              <w:top w:val="nil"/>
              <w:left w:val="nil"/>
              <w:bottom w:val="single" w:sz="8" w:space="0" w:color="auto"/>
              <w:right w:val="single" w:sz="8" w:space="0" w:color="auto"/>
            </w:tcBorders>
            <w:hideMark/>
          </w:tcPr>
          <w:p w14:paraId="498973BC" w14:textId="77777777" w:rsidR="00D857AC" w:rsidRPr="00234ECD" w:rsidRDefault="00D857AC" w:rsidP="00D857AC">
            <w:pPr>
              <w:tabs>
                <w:tab w:val="left" w:pos="567"/>
              </w:tabs>
              <w:spacing w:line="260" w:lineRule="exact"/>
              <w:jc w:val="center"/>
              <w:rPr>
                <w:rFonts w:eastAsia="Calibri"/>
                <w:sz w:val="22"/>
                <w:szCs w:val="22"/>
                <w:lang w:val="sr-Latn-RS"/>
              </w:rPr>
            </w:pPr>
            <w:r w:rsidRPr="00234ECD">
              <w:rPr>
                <w:sz w:val="22"/>
                <w:szCs w:val="22"/>
                <w:lang w:val="sr-Latn-RS"/>
              </w:rPr>
              <w:t>67,0% (62,2%; 71,3%)</w:t>
            </w:r>
          </w:p>
        </w:tc>
        <w:tc>
          <w:tcPr>
            <w:tcW w:w="2992" w:type="dxa"/>
            <w:gridSpan w:val="2"/>
            <w:tcBorders>
              <w:top w:val="nil"/>
              <w:left w:val="nil"/>
              <w:bottom w:val="single" w:sz="8" w:space="0" w:color="auto"/>
              <w:right w:val="single" w:sz="8" w:space="0" w:color="auto"/>
            </w:tcBorders>
            <w:hideMark/>
          </w:tcPr>
          <w:p w14:paraId="3929BC94" w14:textId="77777777" w:rsidR="00D857AC" w:rsidRPr="00234ECD" w:rsidRDefault="00D857AC" w:rsidP="00D857AC">
            <w:pPr>
              <w:tabs>
                <w:tab w:val="left" w:pos="567"/>
              </w:tabs>
              <w:spacing w:line="260" w:lineRule="exact"/>
              <w:jc w:val="center"/>
              <w:rPr>
                <w:rFonts w:eastAsia="Calibri"/>
                <w:sz w:val="22"/>
                <w:szCs w:val="22"/>
                <w:lang w:val="sr-Latn-RS"/>
              </w:rPr>
            </w:pPr>
            <w:r w:rsidRPr="00234ECD">
              <w:rPr>
                <w:sz w:val="22"/>
                <w:szCs w:val="22"/>
                <w:lang w:val="sr-Latn-RS"/>
              </w:rPr>
              <w:t>33,3% (27,1%; 39,7%)</w:t>
            </w:r>
          </w:p>
        </w:tc>
      </w:tr>
      <w:tr w:rsidR="00D857AC" w:rsidRPr="00234ECD" w14:paraId="7B395878" w14:textId="77777777" w:rsidTr="00D857AC">
        <w:tc>
          <w:tcPr>
            <w:tcW w:w="9650" w:type="dxa"/>
            <w:gridSpan w:val="4"/>
            <w:tcBorders>
              <w:top w:val="single" w:sz="4" w:space="0" w:color="auto"/>
              <w:left w:val="single" w:sz="4" w:space="0" w:color="auto"/>
              <w:bottom w:val="single" w:sz="4" w:space="0" w:color="auto"/>
              <w:right w:val="single" w:sz="4" w:space="0" w:color="auto"/>
            </w:tcBorders>
            <w:hideMark/>
          </w:tcPr>
          <w:p w14:paraId="1D6D0A85" w14:textId="77777777" w:rsidR="00D857AC" w:rsidRPr="00234ECD" w:rsidRDefault="00D857AC" w:rsidP="00D857AC">
            <w:pPr>
              <w:suppressLineNumbers/>
              <w:tabs>
                <w:tab w:val="left" w:pos="567"/>
              </w:tabs>
              <w:jc w:val="both"/>
              <w:rPr>
                <w:bCs/>
                <w:iCs/>
                <w:sz w:val="22"/>
                <w:szCs w:val="22"/>
                <w:u w:val="single"/>
                <w:vertAlign w:val="superscript"/>
                <w:lang w:val="sr-Latn-RS"/>
              </w:rPr>
            </w:pPr>
            <w:r w:rsidRPr="00234ECD">
              <w:rPr>
                <w:b/>
                <w:bCs/>
                <w:iCs/>
                <w:sz w:val="22"/>
                <w:szCs w:val="22"/>
                <w:lang w:val="sr-Latn-RS"/>
              </w:rPr>
              <w:t>Stopa objektivnog odgovora n (%)</w:t>
            </w:r>
            <w:r w:rsidRPr="00234ECD">
              <w:rPr>
                <w:b/>
                <w:bCs/>
                <w:iCs/>
                <w:sz w:val="22"/>
                <w:szCs w:val="22"/>
                <w:vertAlign w:val="superscript"/>
                <w:lang w:val="sr-Latn-RS"/>
              </w:rPr>
              <w:t>3</w:t>
            </w:r>
          </w:p>
        </w:tc>
      </w:tr>
      <w:tr w:rsidR="00D857AC" w:rsidRPr="00234ECD" w14:paraId="2D305A0E" w14:textId="77777777" w:rsidTr="00D857AC">
        <w:tc>
          <w:tcPr>
            <w:tcW w:w="3729" w:type="dxa"/>
            <w:tcBorders>
              <w:top w:val="single" w:sz="4" w:space="0" w:color="auto"/>
              <w:left w:val="single" w:sz="4" w:space="0" w:color="auto"/>
              <w:bottom w:val="single" w:sz="4" w:space="0" w:color="auto"/>
              <w:right w:val="single" w:sz="4" w:space="0" w:color="auto"/>
            </w:tcBorders>
            <w:hideMark/>
          </w:tcPr>
          <w:p w14:paraId="6203F0B9" w14:textId="77777777" w:rsidR="00D857AC" w:rsidRPr="00234ECD" w:rsidRDefault="00D857AC" w:rsidP="00D857AC">
            <w:pPr>
              <w:suppressLineNumbers/>
              <w:tabs>
                <w:tab w:val="left" w:pos="567"/>
              </w:tabs>
              <w:jc w:val="both"/>
              <w:rPr>
                <w:bCs/>
                <w:iCs/>
                <w:sz w:val="22"/>
                <w:szCs w:val="22"/>
                <w:lang w:val="sr-Latn-RS"/>
              </w:rPr>
            </w:pPr>
            <w:r w:rsidRPr="00234ECD">
              <w:rPr>
                <w:bCs/>
                <w:iCs/>
                <w:sz w:val="22"/>
                <w:szCs w:val="22"/>
                <w:lang w:val="sr-Latn-RS"/>
              </w:rPr>
              <w:t>Potpuni odgovori (CR)</w:t>
            </w:r>
          </w:p>
        </w:tc>
        <w:tc>
          <w:tcPr>
            <w:tcW w:w="2944" w:type="dxa"/>
            <w:gridSpan w:val="2"/>
            <w:tcBorders>
              <w:top w:val="single" w:sz="4" w:space="0" w:color="auto"/>
              <w:left w:val="single" w:sz="4" w:space="0" w:color="auto"/>
              <w:bottom w:val="single" w:sz="4" w:space="0" w:color="auto"/>
              <w:right w:val="single" w:sz="4" w:space="0" w:color="auto"/>
            </w:tcBorders>
            <w:hideMark/>
          </w:tcPr>
          <w:p w14:paraId="4C36D03C" w14:textId="77777777" w:rsidR="00D857AC" w:rsidRPr="00234ECD" w:rsidRDefault="00D857AC" w:rsidP="00D857AC">
            <w:pPr>
              <w:suppressLineNumbers/>
              <w:tabs>
                <w:tab w:val="left" w:pos="567"/>
              </w:tabs>
              <w:jc w:val="center"/>
              <w:rPr>
                <w:bCs/>
                <w:iCs/>
                <w:sz w:val="22"/>
                <w:szCs w:val="22"/>
                <w:lang w:val="sr-Latn-RS"/>
              </w:rPr>
            </w:pPr>
            <w:r w:rsidRPr="00234ECD">
              <w:rPr>
                <w:sz w:val="22"/>
                <w:szCs w:val="22"/>
                <w:lang w:val="sr-Latn-RS"/>
              </w:rPr>
              <w:t>0</w:t>
            </w:r>
          </w:p>
        </w:tc>
        <w:tc>
          <w:tcPr>
            <w:tcW w:w="2977" w:type="dxa"/>
            <w:tcBorders>
              <w:top w:val="single" w:sz="4" w:space="0" w:color="auto"/>
              <w:left w:val="single" w:sz="4" w:space="0" w:color="auto"/>
              <w:bottom w:val="single" w:sz="4" w:space="0" w:color="auto"/>
              <w:right w:val="single" w:sz="4" w:space="0" w:color="auto"/>
            </w:tcBorders>
            <w:hideMark/>
          </w:tcPr>
          <w:p w14:paraId="6DDF5E44" w14:textId="77777777" w:rsidR="00D857AC" w:rsidRPr="00234ECD" w:rsidRDefault="00D857AC" w:rsidP="00D857AC">
            <w:pPr>
              <w:suppressLineNumbers/>
              <w:tabs>
                <w:tab w:val="left" w:pos="567"/>
              </w:tabs>
              <w:jc w:val="center"/>
              <w:rPr>
                <w:bCs/>
                <w:iCs/>
                <w:sz w:val="22"/>
                <w:szCs w:val="22"/>
                <w:lang w:val="sr-Latn-RS"/>
              </w:rPr>
            </w:pPr>
            <w:r w:rsidRPr="00234ECD">
              <w:rPr>
                <w:sz w:val="22"/>
                <w:szCs w:val="22"/>
                <w:lang w:val="sr-Latn-RS"/>
              </w:rPr>
              <w:t>0</w:t>
            </w:r>
          </w:p>
        </w:tc>
      </w:tr>
      <w:tr w:rsidR="00D857AC" w:rsidRPr="00234ECD" w14:paraId="22723FE2" w14:textId="77777777" w:rsidTr="00D857AC">
        <w:tc>
          <w:tcPr>
            <w:tcW w:w="3729" w:type="dxa"/>
            <w:tcBorders>
              <w:top w:val="single" w:sz="4" w:space="0" w:color="auto"/>
              <w:left w:val="single" w:sz="4" w:space="0" w:color="auto"/>
              <w:bottom w:val="single" w:sz="4" w:space="0" w:color="auto"/>
              <w:right w:val="single" w:sz="4" w:space="0" w:color="auto"/>
            </w:tcBorders>
            <w:hideMark/>
          </w:tcPr>
          <w:p w14:paraId="32FB8E99" w14:textId="1706010C" w:rsidR="00D857AC" w:rsidRPr="00234ECD" w:rsidRDefault="00D857AC" w:rsidP="00D857AC">
            <w:pPr>
              <w:suppressLineNumbers/>
              <w:tabs>
                <w:tab w:val="left" w:pos="567"/>
              </w:tabs>
              <w:jc w:val="both"/>
              <w:rPr>
                <w:bCs/>
                <w:iCs/>
                <w:sz w:val="22"/>
                <w:szCs w:val="22"/>
                <w:lang w:val="sr-Latn-RS"/>
              </w:rPr>
            </w:pPr>
            <w:r w:rsidRPr="00234ECD">
              <w:rPr>
                <w:bCs/>
                <w:iCs/>
                <w:sz w:val="22"/>
                <w:szCs w:val="22"/>
                <w:lang w:val="sr-Latn-RS"/>
              </w:rPr>
              <w:t>D</w:t>
            </w:r>
            <w:r w:rsidR="00DD4571" w:rsidRPr="00234ECD">
              <w:rPr>
                <w:bCs/>
                <w:iCs/>
                <w:sz w:val="22"/>
                <w:szCs w:val="22"/>
                <w:lang w:val="sr-Latn-RS"/>
              </w:rPr>
              <w:t>j</w:t>
            </w:r>
            <w:r w:rsidRPr="00234ECD">
              <w:rPr>
                <w:bCs/>
                <w:iCs/>
                <w:sz w:val="22"/>
                <w:szCs w:val="22"/>
                <w:lang w:val="sr-Latn-RS"/>
              </w:rPr>
              <w:t>elimični odgovori (PR)</w:t>
            </w:r>
          </w:p>
        </w:tc>
        <w:tc>
          <w:tcPr>
            <w:tcW w:w="2944" w:type="dxa"/>
            <w:gridSpan w:val="2"/>
            <w:tcBorders>
              <w:top w:val="single" w:sz="4" w:space="0" w:color="auto"/>
              <w:left w:val="single" w:sz="4" w:space="0" w:color="auto"/>
              <w:bottom w:val="single" w:sz="4" w:space="0" w:color="auto"/>
              <w:right w:val="single" w:sz="4" w:space="0" w:color="auto"/>
            </w:tcBorders>
            <w:hideMark/>
          </w:tcPr>
          <w:p w14:paraId="779A504E" w14:textId="77777777" w:rsidR="00D857AC" w:rsidRPr="00234ECD" w:rsidRDefault="00D857AC" w:rsidP="00D857AC">
            <w:pPr>
              <w:suppressLineNumbers/>
              <w:tabs>
                <w:tab w:val="left" w:pos="567"/>
              </w:tabs>
              <w:jc w:val="center"/>
              <w:rPr>
                <w:bCs/>
                <w:iCs/>
                <w:sz w:val="22"/>
                <w:szCs w:val="22"/>
                <w:lang w:val="sr-Latn-RS"/>
              </w:rPr>
            </w:pPr>
            <w:r w:rsidRPr="00234ECD">
              <w:rPr>
                <w:sz w:val="22"/>
                <w:szCs w:val="22"/>
                <w:lang w:val="sr-Latn-RS"/>
              </w:rPr>
              <w:t>18 (4)</w:t>
            </w:r>
          </w:p>
        </w:tc>
        <w:tc>
          <w:tcPr>
            <w:tcW w:w="2977" w:type="dxa"/>
            <w:tcBorders>
              <w:top w:val="single" w:sz="4" w:space="0" w:color="auto"/>
              <w:left w:val="single" w:sz="4" w:space="0" w:color="auto"/>
              <w:bottom w:val="single" w:sz="4" w:space="0" w:color="auto"/>
              <w:right w:val="single" w:sz="4" w:space="0" w:color="auto"/>
            </w:tcBorders>
            <w:hideMark/>
          </w:tcPr>
          <w:p w14:paraId="7607C089" w14:textId="77777777" w:rsidR="00D857AC" w:rsidRPr="00234ECD" w:rsidRDefault="00D857AC" w:rsidP="00D857AC">
            <w:pPr>
              <w:suppressLineNumbers/>
              <w:tabs>
                <w:tab w:val="left" w:pos="567"/>
              </w:tabs>
              <w:jc w:val="center"/>
              <w:rPr>
                <w:bCs/>
                <w:iCs/>
                <w:sz w:val="22"/>
                <w:szCs w:val="22"/>
                <w:lang w:val="sr-Latn-RS"/>
              </w:rPr>
            </w:pPr>
            <w:r w:rsidRPr="00234ECD">
              <w:rPr>
                <w:sz w:val="22"/>
                <w:szCs w:val="22"/>
                <w:lang w:val="sr-Latn-RS"/>
              </w:rPr>
              <w:t>1 (0,4)</w:t>
            </w:r>
          </w:p>
        </w:tc>
      </w:tr>
      <w:tr w:rsidR="00D857AC" w:rsidRPr="00234ECD" w14:paraId="45A7B456" w14:textId="77777777" w:rsidTr="00D857AC">
        <w:tc>
          <w:tcPr>
            <w:tcW w:w="3729" w:type="dxa"/>
            <w:tcBorders>
              <w:top w:val="single" w:sz="4" w:space="0" w:color="auto"/>
              <w:left w:val="single" w:sz="4" w:space="0" w:color="auto"/>
              <w:bottom w:val="single" w:sz="4" w:space="0" w:color="auto"/>
              <w:right w:val="single" w:sz="4" w:space="0" w:color="auto"/>
            </w:tcBorders>
            <w:hideMark/>
          </w:tcPr>
          <w:p w14:paraId="14097B2D" w14:textId="6E8B7BA6" w:rsidR="00D857AC" w:rsidRPr="00234ECD" w:rsidRDefault="00D857AC" w:rsidP="00D857AC">
            <w:pPr>
              <w:suppressLineNumbers/>
              <w:tabs>
                <w:tab w:val="left" w:pos="567"/>
              </w:tabs>
              <w:jc w:val="both"/>
              <w:rPr>
                <w:bCs/>
                <w:iCs/>
                <w:sz w:val="22"/>
                <w:szCs w:val="22"/>
                <w:lang w:val="sr-Latn-RS"/>
              </w:rPr>
            </w:pPr>
            <w:r w:rsidRPr="00234ECD">
              <w:rPr>
                <w:bCs/>
                <w:iCs/>
                <w:sz w:val="22"/>
                <w:szCs w:val="22"/>
                <w:lang w:val="sr-Latn-RS"/>
              </w:rPr>
              <w:t>ORR (CR+PR)</w:t>
            </w:r>
          </w:p>
        </w:tc>
        <w:tc>
          <w:tcPr>
            <w:tcW w:w="2944" w:type="dxa"/>
            <w:gridSpan w:val="2"/>
            <w:tcBorders>
              <w:top w:val="single" w:sz="4" w:space="0" w:color="auto"/>
              <w:left w:val="single" w:sz="4" w:space="0" w:color="auto"/>
              <w:bottom w:val="single" w:sz="4" w:space="0" w:color="auto"/>
              <w:right w:val="single" w:sz="4" w:space="0" w:color="auto"/>
            </w:tcBorders>
            <w:hideMark/>
          </w:tcPr>
          <w:p w14:paraId="4AC7180E" w14:textId="77777777" w:rsidR="00D857AC" w:rsidRPr="00234ECD" w:rsidRDefault="00D857AC" w:rsidP="00D857AC">
            <w:pPr>
              <w:suppressLineNumbers/>
              <w:tabs>
                <w:tab w:val="left" w:pos="567"/>
              </w:tabs>
              <w:jc w:val="center"/>
              <w:rPr>
                <w:bCs/>
                <w:iCs/>
                <w:sz w:val="22"/>
                <w:szCs w:val="22"/>
                <w:lang w:val="sr-Latn-RS"/>
              </w:rPr>
            </w:pPr>
            <w:r w:rsidRPr="00234ECD">
              <w:rPr>
                <w:sz w:val="22"/>
                <w:szCs w:val="22"/>
                <w:lang w:val="sr-Latn-RS"/>
              </w:rPr>
              <w:t>18 (4)</w:t>
            </w:r>
          </w:p>
        </w:tc>
        <w:tc>
          <w:tcPr>
            <w:tcW w:w="2977" w:type="dxa"/>
            <w:tcBorders>
              <w:top w:val="single" w:sz="4" w:space="0" w:color="auto"/>
              <w:left w:val="single" w:sz="4" w:space="0" w:color="auto"/>
              <w:bottom w:val="single" w:sz="4" w:space="0" w:color="auto"/>
              <w:right w:val="single" w:sz="4" w:space="0" w:color="auto"/>
            </w:tcBorders>
            <w:hideMark/>
          </w:tcPr>
          <w:p w14:paraId="52F2BF74" w14:textId="77777777" w:rsidR="00D857AC" w:rsidRPr="00234ECD" w:rsidRDefault="00D857AC" w:rsidP="00D857AC">
            <w:pPr>
              <w:suppressLineNumbers/>
              <w:tabs>
                <w:tab w:val="left" w:pos="567"/>
              </w:tabs>
              <w:jc w:val="center"/>
              <w:rPr>
                <w:bCs/>
                <w:iCs/>
                <w:sz w:val="22"/>
                <w:szCs w:val="22"/>
                <w:lang w:val="sr-Latn-RS"/>
              </w:rPr>
            </w:pPr>
            <w:r w:rsidRPr="00234ECD">
              <w:rPr>
                <w:sz w:val="22"/>
                <w:szCs w:val="22"/>
                <w:lang w:val="sr-Latn-RS"/>
              </w:rPr>
              <w:t>1 (0,4)</w:t>
            </w:r>
          </w:p>
        </w:tc>
      </w:tr>
      <w:tr w:rsidR="00D857AC" w:rsidRPr="00234ECD" w14:paraId="1F7DB84B" w14:textId="77777777" w:rsidTr="00D857AC">
        <w:tc>
          <w:tcPr>
            <w:tcW w:w="3729" w:type="dxa"/>
            <w:tcBorders>
              <w:top w:val="single" w:sz="4" w:space="0" w:color="auto"/>
              <w:left w:val="single" w:sz="4" w:space="0" w:color="auto"/>
              <w:bottom w:val="single" w:sz="4" w:space="0" w:color="auto"/>
              <w:right w:val="single" w:sz="4" w:space="0" w:color="auto"/>
            </w:tcBorders>
            <w:hideMark/>
          </w:tcPr>
          <w:p w14:paraId="4DBE0FFF" w14:textId="6EE5F295" w:rsidR="00D857AC" w:rsidRPr="00234ECD" w:rsidRDefault="00D857AC" w:rsidP="00D857AC">
            <w:pPr>
              <w:suppressLineNumbers/>
              <w:tabs>
                <w:tab w:val="left" w:pos="567"/>
              </w:tabs>
              <w:jc w:val="both"/>
              <w:rPr>
                <w:bCs/>
                <w:iCs/>
                <w:sz w:val="22"/>
                <w:szCs w:val="22"/>
                <w:vertAlign w:val="superscript"/>
                <w:lang w:val="sr-Latn-RS"/>
              </w:rPr>
            </w:pPr>
            <w:r w:rsidRPr="00234ECD">
              <w:rPr>
                <w:bCs/>
                <w:iCs/>
                <w:sz w:val="22"/>
                <w:szCs w:val="22"/>
                <w:lang w:val="sr-Latn-RS"/>
              </w:rPr>
              <w:t>p-vr</w:t>
            </w:r>
            <w:r w:rsidR="00526F08" w:rsidRPr="00234ECD">
              <w:rPr>
                <w:bCs/>
                <w:iCs/>
                <w:sz w:val="22"/>
                <w:szCs w:val="22"/>
                <w:lang w:val="sr-Latn-RS"/>
              </w:rPr>
              <w:t>ij</w:t>
            </w:r>
            <w:r w:rsidRPr="00234ECD">
              <w:rPr>
                <w:bCs/>
                <w:iCs/>
                <w:sz w:val="22"/>
                <w:szCs w:val="22"/>
                <w:lang w:val="sr-Latn-RS"/>
              </w:rPr>
              <w:t>ednost</w:t>
            </w:r>
            <w:r w:rsidRPr="00234ECD">
              <w:rPr>
                <w:bCs/>
                <w:iCs/>
                <w:sz w:val="22"/>
                <w:szCs w:val="22"/>
                <w:vertAlign w:val="superscript"/>
                <w:lang w:val="sr-Latn-RS"/>
              </w:rPr>
              <w:t>1,4</w:t>
            </w:r>
          </w:p>
        </w:tc>
        <w:tc>
          <w:tcPr>
            <w:tcW w:w="5921" w:type="dxa"/>
            <w:gridSpan w:val="3"/>
            <w:tcBorders>
              <w:top w:val="single" w:sz="4" w:space="0" w:color="auto"/>
              <w:left w:val="single" w:sz="4" w:space="0" w:color="auto"/>
              <w:bottom w:val="single" w:sz="4" w:space="0" w:color="auto"/>
              <w:right w:val="single" w:sz="4" w:space="0" w:color="auto"/>
            </w:tcBorders>
            <w:hideMark/>
          </w:tcPr>
          <w:p w14:paraId="0F7891CA" w14:textId="77777777" w:rsidR="00D857AC" w:rsidRPr="00234ECD" w:rsidRDefault="00D857AC" w:rsidP="00D857AC">
            <w:pPr>
              <w:suppressLineNumbers/>
              <w:tabs>
                <w:tab w:val="left" w:pos="567"/>
              </w:tabs>
              <w:jc w:val="center"/>
              <w:rPr>
                <w:sz w:val="22"/>
                <w:szCs w:val="22"/>
                <w:lang w:val="sr-Latn-RS"/>
              </w:rPr>
            </w:pPr>
            <w:r w:rsidRPr="00234ECD">
              <w:rPr>
                <w:sz w:val="22"/>
                <w:szCs w:val="22"/>
                <w:lang w:val="sr-Latn-RS"/>
              </w:rPr>
              <w:t>p=0,0086</w:t>
            </w:r>
          </w:p>
        </w:tc>
      </w:tr>
      <w:tr w:rsidR="00D857AC" w:rsidRPr="00234ECD" w14:paraId="0BB33015" w14:textId="77777777" w:rsidTr="00D857AC">
        <w:tc>
          <w:tcPr>
            <w:tcW w:w="3729" w:type="dxa"/>
            <w:tcBorders>
              <w:top w:val="single" w:sz="4" w:space="0" w:color="auto"/>
              <w:left w:val="single" w:sz="4" w:space="0" w:color="auto"/>
              <w:bottom w:val="single" w:sz="4" w:space="0" w:color="auto"/>
              <w:right w:val="single" w:sz="4" w:space="0" w:color="auto"/>
            </w:tcBorders>
            <w:hideMark/>
          </w:tcPr>
          <w:p w14:paraId="3513DAC8" w14:textId="77777777" w:rsidR="00D857AC" w:rsidRPr="00234ECD" w:rsidRDefault="00D857AC" w:rsidP="00D857AC">
            <w:pPr>
              <w:suppressLineNumbers/>
              <w:tabs>
                <w:tab w:val="left" w:pos="567"/>
              </w:tabs>
              <w:jc w:val="both"/>
              <w:rPr>
                <w:bCs/>
                <w:iCs/>
                <w:sz w:val="22"/>
                <w:szCs w:val="22"/>
                <w:lang w:val="sr-Latn-RS"/>
              </w:rPr>
            </w:pPr>
            <w:r w:rsidRPr="00234ECD">
              <w:rPr>
                <w:bCs/>
                <w:iCs/>
                <w:sz w:val="22"/>
                <w:szCs w:val="22"/>
                <w:lang w:val="sr-Latn-RS"/>
              </w:rPr>
              <w:t>Stabilna bolest</w:t>
            </w:r>
          </w:p>
        </w:tc>
        <w:tc>
          <w:tcPr>
            <w:tcW w:w="2944" w:type="dxa"/>
            <w:gridSpan w:val="2"/>
            <w:tcBorders>
              <w:top w:val="single" w:sz="4" w:space="0" w:color="auto"/>
              <w:left w:val="single" w:sz="4" w:space="0" w:color="auto"/>
              <w:bottom w:val="single" w:sz="4" w:space="0" w:color="auto"/>
              <w:right w:val="single" w:sz="4" w:space="0" w:color="auto"/>
            </w:tcBorders>
            <w:hideMark/>
          </w:tcPr>
          <w:p w14:paraId="55BCF3B6" w14:textId="77777777" w:rsidR="00D857AC" w:rsidRPr="00234ECD" w:rsidRDefault="00D857AC" w:rsidP="00D857AC">
            <w:pPr>
              <w:suppressLineNumbers/>
              <w:tabs>
                <w:tab w:val="left" w:pos="567"/>
              </w:tabs>
              <w:jc w:val="center"/>
              <w:rPr>
                <w:bCs/>
                <w:iCs/>
                <w:sz w:val="22"/>
                <w:szCs w:val="22"/>
                <w:lang w:val="sr-Latn-RS"/>
              </w:rPr>
            </w:pPr>
            <w:r w:rsidRPr="00234ECD">
              <w:rPr>
                <w:sz w:val="22"/>
                <w:szCs w:val="22"/>
                <w:lang w:val="sr-Latn-RS"/>
              </w:rPr>
              <w:t>282 (60)</w:t>
            </w:r>
          </w:p>
        </w:tc>
        <w:tc>
          <w:tcPr>
            <w:tcW w:w="2977" w:type="dxa"/>
            <w:tcBorders>
              <w:top w:val="single" w:sz="4" w:space="0" w:color="auto"/>
              <w:left w:val="single" w:sz="4" w:space="0" w:color="auto"/>
              <w:bottom w:val="single" w:sz="4" w:space="0" w:color="auto"/>
              <w:right w:val="single" w:sz="4" w:space="0" w:color="auto"/>
            </w:tcBorders>
            <w:hideMark/>
          </w:tcPr>
          <w:p w14:paraId="4CDE6AC7" w14:textId="77777777" w:rsidR="00D857AC" w:rsidRPr="00234ECD" w:rsidRDefault="00D857AC" w:rsidP="00D857AC">
            <w:pPr>
              <w:suppressLineNumbers/>
              <w:tabs>
                <w:tab w:val="left" w:pos="567"/>
              </w:tabs>
              <w:jc w:val="center"/>
              <w:rPr>
                <w:bCs/>
                <w:iCs/>
                <w:sz w:val="22"/>
                <w:szCs w:val="22"/>
                <w:lang w:val="sr-Latn-RS"/>
              </w:rPr>
            </w:pPr>
            <w:r w:rsidRPr="00234ECD">
              <w:rPr>
                <w:sz w:val="22"/>
                <w:szCs w:val="22"/>
                <w:lang w:val="sr-Latn-RS"/>
              </w:rPr>
              <w:t>78 (33)</w:t>
            </w:r>
          </w:p>
        </w:tc>
      </w:tr>
      <w:tr w:rsidR="00D857AC" w:rsidRPr="00234ECD" w14:paraId="76C565EB" w14:textId="77777777" w:rsidTr="00D857AC">
        <w:tc>
          <w:tcPr>
            <w:tcW w:w="3729" w:type="dxa"/>
            <w:tcBorders>
              <w:top w:val="single" w:sz="4" w:space="0" w:color="auto"/>
              <w:left w:val="single" w:sz="4" w:space="0" w:color="auto"/>
              <w:bottom w:val="single" w:sz="4" w:space="0" w:color="auto"/>
              <w:right w:val="single" w:sz="4" w:space="0" w:color="auto"/>
            </w:tcBorders>
            <w:hideMark/>
          </w:tcPr>
          <w:p w14:paraId="74485CA8" w14:textId="77777777" w:rsidR="00D857AC" w:rsidRPr="00234ECD" w:rsidRDefault="00D857AC" w:rsidP="00D857AC">
            <w:pPr>
              <w:suppressLineNumbers/>
              <w:tabs>
                <w:tab w:val="left" w:pos="567"/>
              </w:tabs>
              <w:jc w:val="both"/>
              <w:rPr>
                <w:bCs/>
                <w:iCs/>
                <w:sz w:val="22"/>
                <w:szCs w:val="22"/>
                <w:lang w:val="sr-Latn-RS"/>
              </w:rPr>
            </w:pPr>
            <w:r w:rsidRPr="00234ECD">
              <w:rPr>
                <w:bCs/>
                <w:iCs/>
                <w:sz w:val="22"/>
                <w:szCs w:val="22"/>
                <w:lang w:val="sr-Latn-RS"/>
              </w:rPr>
              <w:t>Progresivna bolest</w:t>
            </w:r>
          </w:p>
        </w:tc>
        <w:tc>
          <w:tcPr>
            <w:tcW w:w="2944" w:type="dxa"/>
            <w:gridSpan w:val="2"/>
            <w:tcBorders>
              <w:top w:val="single" w:sz="4" w:space="0" w:color="auto"/>
              <w:left w:val="single" w:sz="4" w:space="0" w:color="auto"/>
              <w:bottom w:val="single" w:sz="4" w:space="0" w:color="auto"/>
              <w:right w:val="single" w:sz="4" w:space="0" w:color="auto"/>
            </w:tcBorders>
            <w:hideMark/>
          </w:tcPr>
          <w:p w14:paraId="1717A0BB" w14:textId="77777777" w:rsidR="00D857AC" w:rsidRPr="00234ECD" w:rsidRDefault="00D857AC" w:rsidP="00D857AC">
            <w:pPr>
              <w:suppressLineNumbers/>
              <w:tabs>
                <w:tab w:val="left" w:pos="567"/>
              </w:tabs>
              <w:jc w:val="center"/>
              <w:rPr>
                <w:bCs/>
                <w:iCs/>
                <w:sz w:val="22"/>
                <w:szCs w:val="22"/>
                <w:lang w:val="sr-Latn-RS"/>
              </w:rPr>
            </w:pPr>
            <w:r w:rsidRPr="00234ECD">
              <w:rPr>
                <w:bCs/>
                <w:iCs/>
                <w:sz w:val="22"/>
                <w:szCs w:val="22"/>
                <w:lang w:val="sr-Latn-RS"/>
              </w:rPr>
              <w:t xml:space="preserve">98 (21) </w:t>
            </w:r>
          </w:p>
        </w:tc>
        <w:tc>
          <w:tcPr>
            <w:tcW w:w="2977" w:type="dxa"/>
            <w:tcBorders>
              <w:top w:val="single" w:sz="4" w:space="0" w:color="auto"/>
              <w:left w:val="single" w:sz="4" w:space="0" w:color="auto"/>
              <w:bottom w:val="single" w:sz="4" w:space="0" w:color="auto"/>
              <w:right w:val="single" w:sz="4" w:space="0" w:color="auto"/>
            </w:tcBorders>
            <w:hideMark/>
          </w:tcPr>
          <w:p w14:paraId="007DD79E" w14:textId="77777777" w:rsidR="00D857AC" w:rsidRPr="00234ECD" w:rsidRDefault="00D857AC" w:rsidP="00D857AC">
            <w:pPr>
              <w:suppressLineNumbers/>
              <w:tabs>
                <w:tab w:val="left" w:pos="567"/>
              </w:tabs>
              <w:jc w:val="center"/>
              <w:rPr>
                <w:bCs/>
                <w:iCs/>
                <w:sz w:val="22"/>
                <w:szCs w:val="22"/>
                <w:lang w:val="sr-Latn-RS"/>
              </w:rPr>
            </w:pPr>
            <w:r w:rsidRPr="00234ECD">
              <w:rPr>
                <w:bCs/>
                <w:iCs/>
                <w:sz w:val="22"/>
                <w:szCs w:val="22"/>
                <w:lang w:val="sr-Latn-RS"/>
              </w:rPr>
              <w:t>131 (55)</w:t>
            </w:r>
          </w:p>
        </w:tc>
      </w:tr>
    </w:tbl>
    <w:p w14:paraId="78E00965" w14:textId="4E66CFB7" w:rsidR="00D857AC" w:rsidRPr="00234ECD" w:rsidRDefault="00D857AC" w:rsidP="00D857AC">
      <w:pPr>
        <w:rPr>
          <w:sz w:val="22"/>
          <w:szCs w:val="22"/>
          <w:lang w:val="sr-Latn-RS"/>
        </w:rPr>
      </w:pPr>
      <w:r w:rsidRPr="00234ECD">
        <w:rPr>
          <w:sz w:val="22"/>
          <w:szCs w:val="22"/>
          <w:vertAlign w:val="superscript"/>
          <w:lang w:val="sr-Latn-RS"/>
        </w:rPr>
        <w:t>1</w:t>
      </w:r>
      <w:r w:rsidRPr="00234ECD">
        <w:rPr>
          <w:sz w:val="22"/>
          <w:szCs w:val="22"/>
          <w:lang w:val="sr-Latn-RS"/>
        </w:rPr>
        <w:t xml:space="preserve"> dvostrani, stratifikovani log</w:t>
      </w:r>
      <w:r w:rsidR="00B14815" w:rsidRPr="00234ECD">
        <w:rPr>
          <w:sz w:val="22"/>
          <w:szCs w:val="22"/>
          <w:lang w:val="sr-Latn-RS"/>
        </w:rPr>
        <w:t>-</w:t>
      </w:r>
      <w:r w:rsidRPr="00234ECD">
        <w:rPr>
          <w:sz w:val="22"/>
          <w:szCs w:val="22"/>
          <w:lang w:val="sr-Latn-RS"/>
        </w:rPr>
        <w:t>ran</w:t>
      </w:r>
      <w:r w:rsidR="00B14815" w:rsidRPr="00234ECD">
        <w:rPr>
          <w:sz w:val="22"/>
          <w:szCs w:val="22"/>
          <w:lang w:val="sr-Latn-RS"/>
        </w:rPr>
        <w:t>k</w:t>
      </w:r>
      <w:r w:rsidRPr="00234ECD">
        <w:rPr>
          <w:sz w:val="22"/>
          <w:szCs w:val="22"/>
          <w:lang w:val="sr-Latn-RS"/>
        </w:rPr>
        <w:t xml:space="preserve"> test sa etiologijom bolesti (HBV [</w:t>
      </w:r>
      <w:r w:rsidRPr="00234ECD">
        <w:rPr>
          <w:rFonts w:eastAsia="SimSun"/>
          <w:sz w:val="22"/>
          <w:szCs w:val="22"/>
          <w:lang w:val="sr-Latn-RS"/>
        </w:rPr>
        <w:t>sa ili bez HCV-a</w:t>
      </w:r>
      <w:r w:rsidRPr="00234ECD">
        <w:rPr>
          <w:sz w:val="22"/>
          <w:szCs w:val="22"/>
          <w:lang w:val="sr-Latn-RS"/>
        </w:rPr>
        <w:t xml:space="preserve">], HCV [bez HBV-a] ili drugo), </w:t>
      </w:r>
      <w:r w:rsidRPr="00234ECD">
        <w:rPr>
          <w:rFonts w:eastAsia="SimSun"/>
          <w:sz w:val="22"/>
          <w:szCs w:val="22"/>
          <w:lang w:val="sr-Latn-RS"/>
        </w:rPr>
        <w:t>geografskim regionom (Azija, drugi regioni</w:t>
      </w:r>
      <w:r w:rsidRPr="00234ECD">
        <w:rPr>
          <w:sz w:val="22"/>
          <w:szCs w:val="22"/>
          <w:lang w:val="sr-Latn-RS"/>
        </w:rPr>
        <w:t xml:space="preserve">) i prisustvom </w:t>
      </w:r>
      <w:r w:rsidRPr="00234ECD">
        <w:rPr>
          <w:rFonts w:eastAsia="SimSun"/>
          <w:sz w:val="22"/>
          <w:szCs w:val="22"/>
          <w:lang w:val="sr-Latn-RS"/>
        </w:rPr>
        <w:t>ekstrahepatalnog širenja bolesti i/ili makrovaskularnih invazija (Da, Ne</w:t>
      </w:r>
      <w:r w:rsidRPr="00234ECD">
        <w:rPr>
          <w:sz w:val="22"/>
          <w:szCs w:val="22"/>
          <w:lang w:val="sr-Latn-RS"/>
        </w:rPr>
        <w:t>) kao faktori stratifikacije (prema IVRS podacima)</w:t>
      </w:r>
      <w:r w:rsidRPr="00234ECD">
        <w:rPr>
          <w:sz w:val="22"/>
          <w:szCs w:val="22"/>
          <w:lang w:val="sr-Latn-RS"/>
        </w:rPr>
        <w:br/>
      </w:r>
      <w:r w:rsidRPr="00234ECD">
        <w:rPr>
          <w:sz w:val="22"/>
          <w:szCs w:val="22"/>
          <w:vertAlign w:val="superscript"/>
          <w:lang w:val="sr-Latn-RS"/>
        </w:rPr>
        <w:t>2</w:t>
      </w:r>
      <w:r w:rsidRPr="00234ECD">
        <w:rPr>
          <w:sz w:val="22"/>
          <w:szCs w:val="22"/>
          <w:lang w:val="sr-Latn-RS"/>
        </w:rPr>
        <w:t xml:space="preserve"> proc</w:t>
      </w:r>
      <w:r w:rsidR="00D6733C" w:rsidRPr="00234ECD">
        <w:rPr>
          <w:sz w:val="22"/>
          <w:szCs w:val="22"/>
          <w:lang w:val="sr-Latn-RS"/>
        </w:rPr>
        <w:t>ij</w:t>
      </w:r>
      <w:r w:rsidRPr="00234ECD">
        <w:rPr>
          <w:sz w:val="22"/>
          <w:szCs w:val="22"/>
          <w:lang w:val="sr-Latn-RS"/>
        </w:rPr>
        <w:t xml:space="preserve">enjeno pomoću </w:t>
      </w:r>
      <w:r w:rsidRPr="00234ECD">
        <w:rPr>
          <w:i/>
          <w:sz w:val="22"/>
          <w:szCs w:val="22"/>
          <w:lang w:val="sr-Latn-RS"/>
        </w:rPr>
        <w:t>Cox</w:t>
      </w:r>
      <w:r w:rsidRPr="00234ECD">
        <w:rPr>
          <w:sz w:val="22"/>
          <w:szCs w:val="22"/>
          <w:lang w:val="sr-Latn-RS"/>
        </w:rPr>
        <w:t xml:space="preserve">-ovog modela proporcionalnog hazarda </w:t>
      </w:r>
      <w:r w:rsidRPr="00234ECD">
        <w:rPr>
          <w:sz w:val="22"/>
          <w:szCs w:val="22"/>
          <w:lang w:val="sr-Latn-RS"/>
        </w:rPr>
        <w:br/>
      </w:r>
      <w:r w:rsidRPr="00234ECD">
        <w:rPr>
          <w:sz w:val="22"/>
          <w:szCs w:val="22"/>
          <w:vertAlign w:val="superscript"/>
          <w:lang w:val="sr-Latn-RS"/>
        </w:rPr>
        <w:t>3</w:t>
      </w:r>
      <w:r w:rsidRPr="00234ECD">
        <w:rPr>
          <w:sz w:val="22"/>
          <w:szCs w:val="22"/>
          <w:lang w:val="sr-Latn-RS"/>
        </w:rPr>
        <w:t xml:space="preserve"> kako je proc</w:t>
      </w:r>
      <w:r w:rsidR="00D6733C" w:rsidRPr="00234ECD">
        <w:rPr>
          <w:sz w:val="22"/>
          <w:szCs w:val="22"/>
          <w:lang w:val="sr-Latn-RS"/>
        </w:rPr>
        <w:t>ij</w:t>
      </w:r>
      <w:r w:rsidRPr="00234ECD">
        <w:rPr>
          <w:sz w:val="22"/>
          <w:szCs w:val="22"/>
          <w:lang w:val="sr-Latn-RS"/>
        </w:rPr>
        <w:t>enio ispitivač prema kriterijumu RECIST 1.1</w:t>
      </w:r>
      <w:r w:rsidRPr="00234ECD">
        <w:rPr>
          <w:sz w:val="22"/>
          <w:szCs w:val="22"/>
          <w:lang w:val="sr-Latn-RS"/>
        </w:rPr>
        <w:br/>
      </w:r>
      <w:r w:rsidRPr="00234ECD">
        <w:rPr>
          <w:sz w:val="22"/>
          <w:szCs w:val="22"/>
          <w:vertAlign w:val="superscript"/>
          <w:lang w:val="sr-Latn-RS"/>
        </w:rPr>
        <w:t>4</w:t>
      </w:r>
      <w:r w:rsidRPr="00234ECD">
        <w:rPr>
          <w:sz w:val="22"/>
          <w:szCs w:val="22"/>
          <w:lang w:val="sr-Latn-RS"/>
        </w:rPr>
        <w:t xml:space="preserve"> stratifikovani </w:t>
      </w:r>
      <w:r w:rsidRPr="00234ECD">
        <w:rPr>
          <w:i/>
          <w:sz w:val="22"/>
          <w:szCs w:val="22"/>
          <w:lang w:val="sr-Latn-RS"/>
        </w:rPr>
        <w:t>Cochran-Mantel-Haenszel</w:t>
      </w:r>
      <w:r w:rsidRPr="00234ECD">
        <w:rPr>
          <w:sz w:val="22"/>
          <w:szCs w:val="22"/>
          <w:lang w:val="sr-Latn-RS"/>
        </w:rPr>
        <w:t>-ov (CMH) test</w:t>
      </w:r>
    </w:p>
    <w:p w14:paraId="45D56785" w14:textId="77777777" w:rsidR="00D857AC" w:rsidRPr="00234ECD" w:rsidRDefault="00D857AC" w:rsidP="00D857AC">
      <w:pPr>
        <w:tabs>
          <w:tab w:val="left" w:pos="567"/>
        </w:tabs>
        <w:spacing w:line="260" w:lineRule="exact"/>
        <w:rPr>
          <w:bCs/>
          <w:sz w:val="22"/>
          <w:szCs w:val="22"/>
          <w:lang w:val="sr-Latn-RS"/>
        </w:rPr>
      </w:pPr>
    </w:p>
    <w:p w14:paraId="26F12EA9" w14:textId="77777777" w:rsidR="00D857AC" w:rsidRPr="00234ECD" w:rsidRDefault="00D857AC" w:rsidP="00D857AC">
      <w:pPr>
        <w:rPr>
          <w:rFonts w:eastAsia="Calibri"/>
          <w:b/>
          <w:sz w:val="22"/>
          <w:szCs w:val="22"/>
          <w:lang w:val="sr-Latn-RS"/>
        </w:rPr>
      </w:pPr>
      <w:r w:rsidRPr="00234ECD">
        <w:rPr>
          <w:rFonts w:eastAsia="Calibri"/>
          <w:b/>
          <w:sz w:val="22"/>
          <w:szCs w:val="22"/>
          <w:lang w:val="sr-Latn-RS"/>
        </w:rPr>
        <w:br w:type="page"/>
      </w:r>
    </w:p>
    <w:p w14:paraId="0D97DEF7" w14:textId="77777777" w:rsidR="00D857AC" w:rsidRPr="00234ECD" w:rsidRDefault="00D857AC" w:rsidP="00D857AC">
      <w:pPr>
        <w:jc w:val="both"/>
        <w:rPr>
          <w:rFonts w:eastAsia="Calibri"/>
          <w:b/>
          <w:bCs/>
          <w:noProof/>
          <w:sz w:val="22"/>
          <w:szCs w:val="22"/>
          <w:lang w:val="sr-Latn-RS"/>
        </w:rPr>
      </w:pPr>
      <w:r w:rsidRPr="00234ECD">
        <w:rPr>
          <w:rFonts w:eastAsia="Calibri"/>
          <w:b/>
          <w:sz w:val="22"/>
          <w:szCs w:val="22"/>
          <w:lang w:val="sr-Latn-RS"/>
        </w:rPr>
        <w:lastRenderedPageBreak/>
        <w:t>Slika 6:</w:t>
      </w:r>
      <w:r w:rsidRPr="00234ECD">
        <w:rPr>
          <w:rFonts w:eastAsia="Calibri"/>
          <w:sz w:val="22"/>
          <w:szCs w:val="22"/>
          <w:lang w:val="sr-Latn-RS"/>
        </w:rPr>
        <w:t xml:space="preserve"> </w:t>
      </w:r>
      <w:r w:rsidRPr="00234ECD">
        <w:rPr>
          <w:rFonts w:eastAsia="Calibri"/>
          <w:b/>
          <w:i/>
          <w:sz w:val="22"/>
          <w:szCs w:val="22"/>
          <w:lang w:val="sr-Latn-RS"/>
        </w:rPr>
        <w:t>Kaplan-Meier</w:t>
      </w:r>
      <w:r w:rsidRPr="00234ECD">
        <w:rPr>
          <w:rFonts w:eastAsia="Calibri"/>
          <w:b/>
          <w:sz w:val="22"/>
          <w:szCs w:val="22"/>
          <w:lang w:val="sr-Latn-RS"/>
        </w:rPr>
        <w:t xml:space="preserve">-ova kriva </w:t>
      </w:r>
      <w:r w:rsidRPr="00234ECD">
        <w:rPr>
          <w:rFonts w:eastAsia="Calibri"/>
          <w:b/>
          <w:bCs/>
          <w:noProof/>
          <w:sz w:val="22"/>
          <w:szCs w:val="22"/>
          <w:lang w:val="sr-Latn-RS"/>
        </w:rPr>
        <w:t>OS-a (</w:t>
      </w:r>
      <w:r w:rsidRPr="00234ECD">
        <w:rPr>
          <w:rFonts w:eastAsia="SimSun"/>
          <w:b/>
          <w:bCs/>
          <w:iCs/>
          <w:sz w:val="22"/>
          <w:szCs w:val="22"/>
          <w:lang w:val="sr-Latn-RS"/>
        </w:rPr>
        <w:t>CELESTIAL</w:t>
      </w:r>
      <w:r w:rsidRPr="00234ECD">
        <w:rPr>
          <w:rFonts w:eastAsia="Calibri"/>
          <w:b/>
          <w:bCs/>
          <w:noProof/>
          <w:sz w:val="22"/>
          <w:szCs w:val="22"/>
          <w:lang w:val="sr-Latn-RS"/>
        </w:rPr>
        <w:t>)</w:t>
      </w:r>
    </w:p>
    <w:p w14:paraId="16516DD8" w14:textId="77777777" w:rsidR="00D857AC" w:rsidRPr="00234ECD" w:rsidRDefault="00D857AC" w:rsidP="00D857AC">
      <w:pPr>
        <w:jc w:val="both"/>
        <w:rPr>
          <w:rFonts w:eastAsia="Calibri"/>
          <w:b/>
          <w:bCs/>
          <w:noProof/>
          <w:sz w:val="22"/>
          <w:szCs w:val="22"/>
          <w:lang w:val="sr-Latn-RS"/>
        </w:rPr>
      </w:pPr>
    </w:p>
    <w:p w14:paraId="51D0A641" w14:textId="77777777" w:rsidR="00A220E8" w:rsidRPr="00234ECD" w:rsidRDefault="00A220E8" w:rsidP="00A220E8">
      <w:pPr>
        <w:keepNext/>
        <w:keepLines/>
        <w:ind w:left="799" w:firstLine="57"/>
        <w:jc w:val="right"/>
        <w:rPr>
          <w:rFonts w:eastAsia="Calibri"/>
          <w:b/>
          <w:bCs/>
          <w:noProof/>
          <w:sz w:val="22"/>
          <w:szCs w:val="22"/>
          <w:lang w:val="sr-Latn-RS"/>
        </w:rPr>
      </w:pPr>
    </w:p>
    <w:p w14:paraId="5A07E036" w14:textId="4EF96CD2" w:rsidR="00D857AC" w:rsidRPr="00234ECD" w:rsidRDefault="00D857AC" w:rsidP="00A220E8">
      <w:pPr>
        <w:keepNext/>
        <w:keepLines/>
        <w:ind w:left="799" w:firstLine="57"/>
        <w:jc w:val="right"/>
        <w:rPr>
          <w:rFonts w:eastAsia="Calibri"/>
          <w:b/>
          <w:bCs/>
          <w:noProof/>
          <w:sz w:val="22"/>
          <w:szCs w:val="22"/>
          <w:lang w:val="sr-Latn-RS"/>
        </w:rPr>
      </w:pPr>
      <w:r w:rsidRPr="00234ECD">
        <w:rPr>
          <w:rFonts w:eastAsia="Calibri"/>
          <w:noProof/>
          <w:sz w:val="22"/>
          <w:szCs w:val="22"/>
          <w:lang w:val="sr-Latn-RS"/>
        </w:rPr>
        <mc:AlternateContent>
          <mc:Choice Requires="wps">
            <w:drawing>
              <wp:anchor distT="0" distB="0" distL="114300" distR="114300" simplePos="0" relativeHeight="251660288" behindDoc="0" locked="0" layoutInCell="1" allowOverlap="1" wp14:anchorId="6652AE25" wp14:editId="0CEFBC1A">
                <wp:simplePos x="0" y="0"/>
                <wp:positionH relativeFrom="column">
                  <wp:posOffset>1760855</wp:posOffset>
                </wp:positionH>
                <wp:positionV relativeFrom="paragraph">
                  <wp:posOffset>3060065</wp:posOffset>
                </wp:positionV>
                <wp:extent cx="2674620" cy="246380"/>
                <wp:effectExtent l="0" t="0" r="0" b="1270"/>
                <wp:wrapNone/>
                <wp:docPr id="96" name="Zone de texte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3FD04" w14:textId="59322BD5" w:rsidR="00234ECD" w:rsidRDefault="00234ECD" w:rsidP="00D857AC">
                            <w:pPr>
                              <w:jc w:val="center"/>
                              <w:rPr>
                                <w:b/>
                                <w:sz w:val="20"/>
                              </w:rPr>
                            </w:pPr>
                            <w:r>
                              <w:rPr>
                                <w:b/>
                                <w:sz w:val="20"/>
                              </w:rPr>
                              <w:t>Mjeseci</w:t>
                            </w:r>
                          </w:p>
                        </w:txbxContent>
                      </wps:txbx>
                      <wps:bodyPr rot="0" vertOverflow="clip" horzOverflow="clip"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52AE25" id="_x0000_t202" coordsize="21600,21600" o:spt="202" path="m,l,21600r21600,l21600,xe">
                <v:stroke joinstyle="miter"/>
                <v:path gradientshapeok="t" o:connecttype="rect"/>
              </v:shapetype>
              <v:shape id="Zone de texte 96" o:spid="_x0000_s1026" type="#_x0000_t202" style="position:absolute;left:0;text-align:left;margin-left:138.65pt;margin-top:240.95pt;width:210.6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" filled="f" stroked="f">
                <v:textbox style="mso-fit-shape-to-text:t">
                  <w:txbxContent>
                    <w:p w14:paraId="2B03FD04" w14:textId="59322BD5" w:rsidR="00234ECD" w:rsidRDefault="00234ECD" w:rsidP="00D857AC">
                      <w:pPr>
                        <w:jc w:val="center"/>
                        <w:rPr>
                          <w:b/>
                          <w:sz w:val="20"/>
                        </w:rPr>
                      </w:pPr>
                      <w:r>
                        <w:rPr>
                          <w:b/>
                          <w:sz w:val="20"/>
                        </w:rPr>
                        <w:t>Mjeseci</w:t>
                      </w:r>
                    </w:p>
                  </w:txbxContent>
                </v:textbox>
              </v:shape>
            </w:pict>
          </mc:Fallback>
        </mc:AlternateContent>
      </w:r>
      <w:r w:rsidRPr="00234ECD">
        <w:rPr>
          <w:rFonts w:eastAsia="Calibri"/>
          <w:noProof/>
          <w:sz w:val="22"/>
          <w:szCs w:val="22"/>
          <w:lang w:val="sr-Latn-RS"/>
        </w:rPr>
        <mc:AlternateContent>
          <mc:Choice Requires="wps">
            <w:drawing>
              <wp:anchor distT="0" distB="0" distL="114300" distR="114300" simplePos="0" relativeHeight="251661312" behindDoc="0" locked="0" layoutInCell="1" allowOverlap="1" wp14:anchorId="640FF22E" wp14:editId="52CACC84">
                <wp:simplePos x="0" y="0"/>
                <wp:positionH relativeFrom="column">
                  <wp:posOffset>1400175</wp:posOffset>
                </wp:positionH>
                <wp:positionV relativeFrom="paragraph">
                  <wp:posOffset>2364105</wp:posOffset>
                </wp:positionV>
                <wp:extent cx="1169035" cy="586740"/>
                <wp:effectExtent l="0" t="0" r="0" b="3810"/>
                <wp:wrapNone/>
                <wp:docPr id="93" name="Zone de text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11DC48" w14:textId="0E9F13A6" w:rsidR="00234ECD" w:rsidRDefault="00234ECD" w:rsidP="00D857AC">
                            <w:pPr>
                              <w:spacing w:after="140" w:line="276" w:lineRule="auto"/>
                              <w:rPr>
                                <w:sz w:val="18"/>
                              </w:rPr>
                            </w:pPr>
                            <w:r>
                              <w:rPr>
                                <w:sz w:val="18"/>
                              </w:rPr>
                              <w:t>Cabometyx</w:t>
                            </w:r>
                          </w:p>
                          <w:p w14:paraId="563CAAF8" w14:textId="77777777" w:rsidR="00234ECD" w:rsidRDefault="00234ECD" w:rsidP="00D857AC">
                            <w:pPr>
                              <w:spacing w:after="140" w:line="276" w:lineRule="auto"/>
                              <w:rPr>
                                <w:sz w:val="18"/>
                              </w:rPr>
                            </w:pPr>
                            <w:r>
                              <w:rPr>
                                <w:sz w:val="18"/>
                              </w:rPr>
                              <w:t>Placebo</w:t>
                            </w:r>
                          </w:p>
                        </w:txbxContent>
                      </wps:txbx>
                      <wps:bodyPr rot="0" vertOverflow="clip" horzOverflow="clip"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640FF22E" id="Zone de texte 93" o:spid="_x0000_s1027" type="#_x0000_t202" style="position:absolute;left:0;text-align:left;margin-left:110.25pt;margin-top:186.15pt;width:92.05pt;height:4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" filled="f" stroked="f">
                <v:textbox style="mso-fit-shape-to-text:t">
                  <w:txbxContent>
                    <w:p w14:paraId="6611DC48" w14:textId="0E9F13A6" w:rsidR="00234ECD" w:rsidRDefault="00234ECD" w:rsidP="00D857AC">
                      <w:pPr>
                        <w:spacing w:after="140" w:line="276" w:lineRule="auto"/>
                        <w:rPr>
                          <w:sz w:val="18"/>
                        </w:rPr>
                      </w:pPr>
                      <w:r>
                        <w:rPr>
                          <w:sz w:val="18"/>
                        </w:rPr>
                        <w:t>Cabometyx</w:t>
                      </w:r>
                    </w:p>
                    <w:p w14:paraId="563CAAF8" w14:textId="77777777" w:rsidR="00234ECD" w:rsidRDefault="00234ECD" w:rsidP="00D857AC">
                      <w:pPr>
                        <w:spacing w:after="140" w:line="276" w:lineRule="auto"/>
                        <w:rPr>
                          <w:sz w:val="18"/>
                        </w:rPr>
                      </w:pPr>
                      <w:r>
                        <w:rPr>
                          <w:sz w:val="18"/>
                        </w:rPr>
                        <w:t>Placebo</w:t>
                      </w:r>
                    </w:p>
                  </w:txbxContent>
                </v:textbox>
              </v:shape>
            </w:pict>
          </mc:Fallback>
        </mc:AlternateContent>
      </w:r>
      <w:r w:rsidRPr="00234ECD">
        <w:rPr>
          <w:rFonts w:eastAsia="Calibri"/>
          <w:noProof/>
          <w:sz w:val="22"/>
          <w:szCs w:val="22"/>
          <w:lang w:val="sr-Latn-RS"/>
        </w:rPr>
        <mc:AlternateContent>
          <mc:Choice Requires="wps">
            <w:drawing>
              <wp:anchor distT="0" distB="0" distL="114300" distR="114300" simplePos="0" relativeHeight="251662336" behindDoc="0" locked="0" layoutInCell="1" allowOverlap="1" wp14:anchorId="4914BCD1" wp14:editId="3B9C881A">
                <wp:simplePos x="0" y="0"/>
                <wp:positionH relativeFrom="column">
                  <wp:posOffset>-874395</wp:posOffset>
                </wp:positionH>
                <wp:positionV relativeFrom="paragraph">
                  <wp:posOffset>1421765</wp:posOffset>
                </wp:positionV>
                <wp:extent cx="1998980" cy="250825"/>
                <wp:effectExtent l="798195" t="0" r="799465" b="0"/>
                <wp:wrapNone/>
                <wp:docPr id="94" name="Zone de text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99898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6C7BA" w14:textId="4FD07ACF" w:rsidR="00234ECD" w:rsidRDefault="00234ECD" w:rsidP="00D857AC">
                            <w:pPr>
                              <w:jc w:val="center"/>
                              <w:rPr>
                                <w:b/>
                                <w:sz w:val="20"/>
                              </w:rPr>
                            </w:pPr>
                            <w:r>
                              <w:rPr>
                                <w:b/>
                                <w:sz w:val="20"/>
                              </w:rPr>
                              <w:t>Vjerovatnoća preživljavanja</w:t>
                            </w:r>
                          </w:p>
                        </w:txbxContent>
                      </wps:txbx>
                      <wps:bodyPr rot="0" vertOverflow="clip" horzOverflow="clip" vert="vert270"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14BCD1" id="Zone de texte 94" o:spid="_x0000_s1028" type="#_x0000_t202" style="position:absolute;left:0;text-align:left;margin-left:-68.85pt;margin-top:111.95pt;width:157.4pt;height:19.7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" filled="f" stroked="f">
                <v:textbox style="layout-flow:vertical;mso-layout-flow-alt:bottom-to-top;mso-fit-shape-to-text:t">
                  <w:txbxContent>
                    <w:p w14:paraId="3EF6C7BA" w14:textId="4FD07ACF" w:rsidR="00234ECD" w:rsidRDefault="00234ECD" w:rsidP="00D857AC">
                      <w:pPr>
                        <w:jc w:val="center"/>
                        <w:rPr>
                          <w:b/>
                          <w:sz w:val="20"/>
                        </w:rPr>
                      </w:pPr>
                      <w:r>
                        <w:rPr>
                          <w:b/>
                          <w:sz w:val="20"/>
                        </w:rPr>
                        <w:t>Vjerovatnoća preživljavanja</w:t>
                      </w:r>
                    </w:p>
                  </w:txbxContent>
                </v:textbox>
              </v:shape>
            </w:pict>
          </mc:Fallback>
        </mc:AlternateContent>
      </w:r>
      <w:r w:rsidRPr="00234ECD">
        <w:rPr>
          <w:rFonts w:eastAsia="Calibri"/>
          <w:noProof/>
          <w:sz w:val="22"/>
          <w:szCs w:val="22"/>
          <w:lang w:val="sr-Latn-RS"/>
        </w:rPr>
        <mc:AlternateContent>
          <mc:Choice Requires="wps">
            <w:drawing>
              <wp:anchor distT="0" distB="0" distL="114300" distR="114300" simplePos="0" relativeHeight="251663360" behindDoc="0" locked="0" layoutInCell="1" allowOverlap="1" wp14:anchorId="7F1E0FAE" wp14:editId="3F4C75EE">
                <wp:simplePos x="0" y="0"/>
                <wp:positionH relativeFrom="column">
                  <wp:posOffset>-441960</wp:posOffset>
                </wp:positionH>
                <wp:positionV relativeFrom="paragraph">
                  <wp:posOffset>3237230</wp:posOffset>
                </wp:positionV>
                <wp:extent cx="1341755" cy="569595"/>
                <wp:effectExtent l="0" t="0" r="0" b="1905"/>
                <wp:wrapNone/>
                <wp:docPr id="95" name="Zone de texte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547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73398" w14:textId="77777777" w:rsidR="00234ECD" w:rsidRDefault="00234ECD" w:rsidP="00D857AC">
                            <w:pPr>
                              <w:spacing w:after="40"/>
                              <w:rPr>
                                <w:b/>
                                <w:sz w:val="16"/>
                              </w:rPr>
                            </w:pPr>
                            <w:r>
                              <w:rPr>
                                <w:b/>
                                <w:sz w:val="16"/>
                              </w:rPr>
                              <w:t>Broj pod rizikom:</w:t>
                            </w:r>
                          </w:p>
                          <w:p w14:paraId="0993084B" w14:textId="77A213EB" w:rsidR="00234ECD" w:rsidRDefault="00234ECD" w:rsidP="00D857AC">
                            <w:pPr>
                              <w:spacing w:after="40"/>
                              <w:rPr>
                                <w:sz w:val="18"/>
                              </w:rPr>
                            </w:pPr>
                            <w:r>
                              <w:rPr>
                                <w:sz w:val="18"/>
                              </w:rPr>
                              <w:t>Cabometyx</w:t>
                            </w:r>
                          </w:p>
                          <w:p w14:paraId="68B1CFF4" w14:textId="77777777" w:rsidR="00234ECD" w:rsidRDefault="00234ECD" w:rsidP="00D857AC">
                            <w:pPr>
                              <w:spacing w:after="40"/>
                              <w:rPr>
                                <w:sz w:val="18"/>
                              </w:rPr>
                            </w:pPr>
                            <w:r>
                              <w:rPr>
                                <w:sz w:val="18"/>
                              </w:rPr>
                              <w:t>Placebo</w:t>
                            </w:r>
                          </w:p>
                        </w:txbxContent>
                      </wps:txbx>
                      <wps:bodyPr rot="0" vertOverflow="clip" horzOverflow="clip"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7F1E0FAE" id="Zone de texte 95" o:spid="_x0000_s1029" type="#_x0000_t202" style="position:absolute;left:0;text-align:left;margin-left:-34.8pt;margin-top:254.9pt;width:105.65pt;height:44.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" filled="f" stroked="f">
                <v:textbox style="mso-fit-shape-to-text:t">
                  <w:txbxContent>
                    <w:p w14:paraId="1F473398" w14:textId="77777777" w:rsidR="00234ECD" w:rsidRDefault="00234ECD" w:rsidP="00D857AC">
                      <w:pPr>
                        <w:spacing w:after="40"/>
                        <w:rPr>
                          <w:b/>
                          <w:sz w:val="16"/>
                        </w:rPr>
                      </w:pPr>
                      <w:r>
                        <w:rPr>
                          <w:b/>
                          <w:sz w:val="16"/>
                        </w:rPr>
                        <w:t>Broj pod rizikom:</w:t>
                      </w:r>
                    </w:p>
                    <w:p w14:paraId="0993084B" w14:textId="77A213EB" w:rsidR="00234ECD" w:rsidRDefault="00234ECD" w:rsidP="00D857AC">
                      <w:pPr>
                        <w:spacing w:after="40"/>
                        <w:rPr>
                          <w:sz w:val="18"/>
                        </w:rPr>
                      </w:pPr>
                      <w:r>
                        <w:rPr>
                          <w:sz w:val="18"/>
                        </w:rPr>
                        <w:t>Cabometyx</w:t>
                      </w:r>
                    </w:p>
                    <w:p w14:paraId="68B1CFF4" w14:textId="77777777" w:rsidR="00234ECD" w:rsidRDefault="00234ECD" w:rsidP="00D857AC">
                      <w:pPr>
                        <w:spacing w:after="40"/>
                        <w:rPr>
                          <w:sz w:val="18"/>
                        </w:rPr>
                      </w:pPr>
                      <w:r>
                        <w:rPr>
                          <w:sz w:val="18"/>
                        </w:rPr>
                        <w:t>Placebo</w:t>
                      </w:r>
                    </w:p>
                  </w:txbxContent>
                </v:textbox>
              </v:shape>
            </w:pict>
          </mc:Fallback>
        </mc:AlternateContent>
      </w:r>
      <w:r w:rsidRPr="00234ECD">
        <w:rPr>
          <w:rFonts w:eastAsia="MS Mincho"/>
          <w:noProof/>
          <w:sz w:val="22"/>
          <w:szCs w:val="22"/>
          <w:lang w:val="sr-Latn-RS"/>
        </w:rPr>
        <w:drawing>
          <wp:inline distT="0" distB="0" distL="0" distR="0" wp14:anchorId="7354FEB4" wp14:editId="1EBC3807">
            <wp:extent cx="5943600" cy="3981450"/>
            <wp:effectExtent l="0" t="0" r="0" b="0"/>
            <wp:docPr id="12"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3981450"/>
                    </a:xfrm>
                    <a:prstGeom prst="rect">
                      <a:avLst/>
                    </a:prstGeom>
                    <a:noFill/>
                    <a:ln>
                      <a:noFill/>
                    </a:ln>
                  </pic:spPr>
                </pic:pic>
              </a:graphicData>
            </a:graphic>
          </wp:inline>
        </w:drawing>
      </w:r>
    </w:p>
    <w:p w14:paraId="7B315EDD" w14:textId="77777777" w:rsidR="00D857AC" w:rsidRPr="00234ECD" w:rsidRDefault="00D857AC" w:rsidP="00D857AC">
      <w:pPr>
        <w:jc w:val="both"/>
        <w:rPr>
          <w:rFonts w:eastAsia="Calibri"/>
          <w:b/>
          <w:sz w:val="22"/>
          <w:szCs w:val="22"/>
          <w:lang w:val="sr-Latn-RS"/>
        </w:rPr>
      </w:pPr>
      <w:r w:rsidRPr="00234ECD">
        <w:rPr>
          <w:rFonts w:eastAsia="Calibri"/>
          <w:b/>
          <w:sz w:val="22"/>
          <w:szCs w:val="22"/>
          <w:lang w:val="sr-Latn-RS"/>
        </w:rPr>
        <w:t>Slika 7:</w:t>
      </w:r>
      <w:r w:rsidRPr="00234ECD">
        <w:rPr>
          <w:rFonts w:eastAsia="Calibri"/>
          <w:sz w:val="22"/>
          <w:szCs w:val="22"/>
          <w:lang w:val="sr-Latn-RS"/>
        </w:rPr>
        <w:t xml:space="preserve"> </w:t>
      </w:r>
      <w:r w:rsidRPr="00234ECD">
        <w:rPr>
          <w:rFonts w:eastAsia="Calibri"/>
          <w:b/>
          <w:i/>
          <w:sz w:val="22"/>
          <w:szCs w:val="22"/>
          <w:lang w:val="sr-Latn-RS"/>
        </w:rPr>
        <w:t>Kaplan-Meier</w:t>
      </w:r>
      <w:r w:rsidRPr="00234ECD">
        <w:rPr>
          <w:rFonts w:eastAsia="Calibri"/>
          <w:b/>
          <w:sz w:val="22"/>
          <w:szCs w:val="22"/>
          <w:lang w:val="sr-Latn-RS"/>
        </w:rPr>
        <w:t>-ova kriva</w:t>
      </w:r>
      <w:r w:rsidRPr="00234ECD">
        <w:rPr>
          <w:rFonts w:eastAsia="Calibri"/>
          <w:b/>
          <w:bCs/>
          <w:sz w:val="22"/>
          <w:szCs w:val="22"/>
          <w:lang w:val="sr-Latn-RS"/>
        </w:rPr>
        <w:t xml:space="preserve"> preživljavanja bez progresije bolesti (CELESTIAL)</w:t>
      </w:r>
    </w:p>
    <w:p w14:paraId="30115007" w14:textId="77777777" w:rsidR="00D857AC" w:rsidRPr="00234ECD" w:rsidRDefault="00D857AC" w:rsidP="00D857AC">
      <w:pPr>
        <w:tabs>
          <w:tab w:val="left" w:pos="567"/>
        </w:tabs>
        <w:spacing w:line="260" w:lineRule="exact"/>
        <w:rPr>
          <w:bCs/>
          <w:sz w:val="22"/>
          <w:szCs w:val="22"/>
          <w:lang w:val="sr-Latn-RS"/>
        </w:rPr>
      </w:pPr>
    </w:p>
    <w:p w14:paraId="2337ED3E" w14:textId="77777777" w:rsidR="00D857AC" w:rsidRPr="00234ECD" w:rsidRDefault="00D857AC" w:rsidP="00D857AC">
      <w:pPr>
        <w:tabs>
          <w:tab w:val="left" w:pos="567"/>
        </w:tabs>
        <w:spacing w:line="260" w:lineRule="exact"/>
        <w:rPr>
          <w:bCs/>
          <w:sz w:val="22"/>
          <w:szCs w:val="22"/>
          <w:lang w:val="sr-Latn-RS"/>
        </w:rPr>
      </w:pPr>
    </w:p>
    <w:p w14:paraId="33952F0D" w14:textId="5B47A014" w:rsidR="00D857AC" w:rsidRPr="00234ECD" w:rsidRDefault="00B14815" w:rsidP="00D857AC">
      <w:pPr>
        <w:ind w:left="798"/>
        <w:jc w:val="right"/>
        <w:rPr>
          <w:rFonts w:eastAsia="MS Mincho"/>
          <w:sz w:val="22"/>
          <w:szCs w:val="22"/>
          <w:lang w:val="sr-Latn-RS"/>
        </w:rPr>
      </w:pPr>
      <w:r w:rsidRPr="00234ECD">
        <w:rPr>
          <w:rFonts w:eastAsia="Calibri"/>
          <w:noProof/>
          <w:sz w:val="22"/>
          <w:szCs w:val="22"/>
          <w:lang w:val="sr-Latn-RS"/>
        </w:rPr>
        <mc:AlternateContent>
          <mc:Choice Requires="wps">
            <w:drawing>
              <wp:anchor distT="0" distB="0" distL="114300" distR="114300" simplePos="0" relativeHeight="251666432" behindDoc="0" locked="0" layoutInCell="1" allowOverlap="1" wp14:anchorId="73FB93F2" wp14:editId="2DA8629A">
                <wp:simplePos x="0" y="0"/>
                <wp:positionH relativeFrom="column">
                  <wp:posOffset>-41910</wp:posOffset>
                </wp:positionH>
                <wp:positionV relativeFrom="paragraph">
                  <wp:posOffset>3139557</wp:posOffset>
                </wp:positionV>
                <wp:extent cx="1341755" cy="569595"/>
                <wp:effectExtent l="0" t="0" r="0" b="1905"/>
                <wp:wrapNone/>
                <wp:docPr id="89" name="Zone de text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569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DDB98" w14:textId="77777777" w:rsidR="00234ECD" w:rsidRDefault="00234ECD" w:rsidP="00D857AC">
                            <w:pPr>
                              <w:spacing w:after="40"/>
                              <w:rPr>
                                <w:b/>
                                <w:sz w:val="16"/>
                              </w:rPr>
                            </w:pPr>
                            <w:r>
                              <w:rPr>
                                <w:b/>
                                <w:sz w:val="16"/>
                              </w:rPr>
                              <w:t>Broj pod rizikom:</w:t>
                            </w:r>
                          </w:p>
                          <w:p w14:paraId="274E0A5F" w14:textId="4D1A1A86" w:rsidR="00234ECD" w:rsidRDefault="00234ECD" w:rsidP="00D857AC">
                            <w:pPr>
                              <w:spacing w:after="40"/>
                              <w:rPr>
                                <w:sz w:val="18"/>
                              </w:rPr>
                            </w:pPr>
                            <w:r>
                              <w:rPr>
                                <w:sz w:val="18"/>
                              </w:rPr>
                              <w:t>Cabometyx</w:t>
                            </w:r>
                          </w:p>
                          <w:p w14:paraId="77F0A22B" w14:textId="77777777" w:rsidR="00234ECD" w:rsidRDefault="00234ECD" w:rsidP="00D857AC">
                            <w:pPr>
                              <w:spacing w:after="40"/>
                              <w:rPr>
                                <w:sz w:val="18"/>
                              </w:rPr>
                            </w:pPr>
                            <w:r>
                              <w:rPr>
                                <w:sz w:val="18"/>
                              </w:rPr>
                              <w:t>Placebo</w:t>
                            </w:r>
                          </w:p>
                        </w:txbxContent>
                      </wps:txbx>
                      <wps:bodyPr rot="0" vertOverflow="clip" horzOverflow="clip"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73FB93F2" id="Zone de texte 89" o:spid="_x0000_s1030" type="#_x0000_t202" style="position:absolute;left:0;text-align:left;margin-left:-3.3pt;margin-top:247.2pt;width:105.65pt;height:44.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" filled="f" stroked="f">
                <v:textbox style="mso-fit-shape-to-text:t">
                  <w:txbxContent>
                    <w:p w14:paraId="112DDB98" w14:textId="77777777" w:rsidR="00234ECD" w:rsidRDefault="00234ECD" w:rsidP="00D857AC">
                      <w:pPr>
                        <w:spacing w:after="40"/>
                        <w:rPr>
                          <w:b/>
                          <w:sz w:val="16"/>
                        </w:rPr>
                      </w:pPr>
                      <w:r>
                        <w:rPr>
                          <w:b/>
                          <w:sz w:val="16"/>
                        </w:rPr>
                        <w:t>Broj pod rizikom:</w:t>
                      </w:r>
                    </w:p>
                    <w:p w14:paraId="274E0A5F" w14:textId="4D1A1A86" w:rsidR="00234ECD" w:rsidRDefault="00234ECD" w:rsidP="00D857AC">
                      <w:pPr>
                        <w:spacing w:after="40"/>
                        <w:rPr>
                          <w:sz w:val="18"/>
                        </w:rPr>
                      </w:pPr>
                      <w:r>
                        <w:rPr>
                          <w:sz w:val="18"/>
                        </w:rPr>
                        <w:t>Cabometyx</w:t>
                      </w:r>
                    </w:p>
                    <w:p w14:paraId="77F0A22B" w14:textId="77777777" w:rsidR="00234ECD" w:rsidRDefault="00234ECD" w:rsidP="00D857AC">
                      <w:pPr>
                        <w:spacing w:after="40"/>
                        <w:rPr>
                          <w:sz w:val="18"/>
                        </w:rPr>
                      </w:pPr>
                      <w:r>
                        <w:rPr>
                          <w:sz w:val="18"/>
                        </w:rPr>
                        <w:t>Placebo</w:t>
                      </w:r>
                    </w:p>
                  </w:txbxContent>
                </v:textbox>
              </v:shape>
            </w:pict>
          </mc:Fallback>
        </mc:AlternateContent>
      </w:r>
      <w:r w:rsidR="00D857AC" w:rsidRPr="00234ECD">
        <w:rPr>
          <w:rFonts w:eastAsia="Calibri"/>
          <w:noProof/>
          <w:sz w:val="22"/>
          <w:szCs w:val="22"/>
          <w:lang w:val="sr-Latn-RS"/>
        </w:rPr>
        <mc:AlternateContent>
          <mc:Choice Requires="wps">
            <w:drawing>
              <wp:anchor distT="0" distB="0" distL="114300" distR="114300" simplePos="0" relativeHeight="251667456" behindDoc="0" locked="0" layoutInCell="1" allowOverlap="1" wp14:anchorId="35BE291A" wp14:editId="5B3BAC00">
                <wp:simplePos x="0" y="0"/>
                <wp:positionH relativeFrom="column">
                  <wp:posOffset>4150995</wp:posOffset>
                </wp:positionH>
                <wp:positionV relativeFrom="paragraph">
                  <wp:posOffset>481965</wp:posOffset>
                </wp:positionV>
                <wp:extent cx="1169035" cy="586740"/>
                <wp:effectExtent l="0" t="0" r="0" b="3810"/>
                <wp:wrapNone/>
                <wp:docPr id="92" name="Zone de texte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50E5EC" w14:textId="04169E86" w:rsidR="00234ECD" w:rsidRDefault="00234ECD" w:rsidP="00D857AC">
                            <w:pPr>
                              <w:spacing w:after="140" w:line="276" w:lineRule="auto"/>
                              <w:rPr>
                                <w:sz w:val="18"/>
                              </w:rPr>
                            </w:pPr>
                            <w:r>
                              <w:rPr>
                                <w:sz w:val="18"/>
                              </w:rPr>
                              <w:t>Cabometyx</w:t>
                            </w:r>
                          </w:p>
                          <w:p w14:paraId="1D91577E" w14:textId="77777777" w:rsidR="00234ECD" w:rsidRDefault="00234ECD" w:rsidP="00D857AC">
                            <w:pPr>
                              <w:spacing w:after="140" w:line="276" w:lineRule="auto"/>
                              <w:rPr>
                                <w:sz w:val="18"/>
                              </w:rPr>
                            </w:pPr>
                            <w:r>
                              <w:rPr>
                                <w:sz w:val="18"/>
                              </w:rPr>
                              <w:t>Placebo</w:t>
                            </w:r>
                          </w:p>
                        </w:txbxContent>
                      </wps:txbx>
                      <wps:bodyPr rot="0" vertOverflow="clip" horzOverflow="clip"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35BE291A" id="Zone de texte 92" o:spid="_x0000_s1031" type="#_x0000_t202" style="position:absolute;left:0;text-align:left;margin-left:326.85pt;margin-top:37.95pt;width:92.05pt;height:4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" filled="f" stroked="f">
                <v:textbox style="mso-fit-shape-to-text:t">
                  <w:txbxContent>
                    <w:p w14:paraId="3F50E5EC" w14:textId="04169E86" w:rsidR="00234ECD" w:rsidRDefault="00234ECD" w:rsidP="00D857AC">
                      <w:pPr>
                        <w:spacing w:after="140" w:line="276" w:lineRule="auto"/>
                        <w:rPr>
                          <w:sz w:val="18"/>
                        </w:rPr>
                      </w:pPr>
                      <w:r>
                        <w:rPr>
                          <w:sz w:val="18"/>
                        </w:rPr>
                        <w:t>Cabometyx</w:t>
                      </w:r>
                    </w:p>
                    <w:p w14:paraId="1D91577E" w14:textId="77777777" w:rsidR="00234ECD" w:rsidRDefault="00234ECD" w:rsidP="00D857AC">
                      <w:pPr>
                        <w:spacing w:after="140" w:line="276" w:lineRule="auto"/>
                        <w:rPr>
                          <w:sz w:val="18"/>
                        </w:rPr>
                      </w:pPr>
                      <w:r>
                        <w:rPr>
                          <w:sz w:val="18"/>
                        </w:rPr>
                        <w:t>Placebo</w:t>
                      </w:r>
                    </w:p>
                  </w:txbxContent>
                </v:textbox>
              </v:shape>
            </w:pict>
          </mc:Fallback>
        </mc:AlternateContent>
      </w:r>
      <w:r w:rsidR="00D857AC" w:rsidRPr="00234ECD">
        <w:rPr>
          <w:rFonts w:eastAsia="Calibri"/>
          <w:noProof/>
          <w:sz w:val="22"/>
          <w:szCs w:val="22"/>
          <w:lang w:val="sr-Latn-RS"/>
        </w:rPr>
        <mc:AlternateContent>
          <mc:Choice Requires="wps">
            <w:drawing>
              <wp:anchor distT="0" distB="0" distL="114300" distR="114300" simplePos="0" relativeHeight="251665408" behindDoc="0" locked="0" layoutInCell="1" allowOverlap="1" wp14:anchorId="1B4268E0" wp14:editId="5DBE09ED">
                <wp:simplePos x="0" y="0"/>
                <wp:positionH relativeFrom="column">
                  <wp:posOffset>2019935</wp:posOffset>
                </wp:positionH>
                <wp:positionV relativeFrom="paragraph">
                  <wp:posOffset>3030855</wp:posOffset>
                </wp:positionV>
                <wp:extent cx="2674620" cy="246380"/>
                <wp:effectExtent l="0" t="0" r="0" b="1270"/>
                <wp:wrapNone/>
                <wp:docPr id="91" name="Zone de texte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AE039" w14:textId="489E4004" w:rsidR="00234ECD" w:rsidRDefault="00234ECD" w:rsidP="00D857AC">
                            <w:pPr>
                              <w:jc w:val="center"/>
                              <w:rPr>
                                <w:b/>
                                <w:sz w:val="20"/>
                              </w:rPr>
                            </w:pPr>
                            <w:r>
                              <w:rPr>
                                <w:b/>
                                <w:sz w:val="20"/>
                              </w:rPr>
                              <w:t>Mjeseci</w:t>
                            </w:r>
                          </w:p>
                        </w:txbxContent>
                      </wps:txbx>
                      <wps:bodyPr rot="0" vertOverflow="clip" horzOverflow="clip"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4268E0" id="Zone de texte 91" o:spid="_x0000_s1032" type="#_x0000_t202" style="position:absolute;left:0;text-align:left;margin-left:159.05pt;margin-top:238.65pt;width:210.6pt;height:1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" filled="f" stroked="f">
                <v:textbox style="mso-fit-shape-to-text:t">
                  <w:txbxContent>
                    <w:p w14:paraId="152AE039" w14:textId="489E4004" w:rsidR="00234ECD" w:rsidRDefault="00234ECD" w:rsidP="00D857AC">
                      <w:pPr>
                        <w:jc w:val="center"/>
                        <w:rPr>
                          <w:b/>
                          <w:sz w:val="20"/>
                        </w:rPr>
                      </w:pPr>
                      <w:r>
                        <w:rPr>
                          <w:b/>
                          <w:sz w:val="20"/>
                        </w:rPr>
                        <w:t>Mjeseci</w:t>
                      </w:r>
                    </w:p>
                  </w:txbxContent>
                </v:textbox>
              </v:shape>
            </w:pict>
          </mc:Fallback>
        </mc:AlternateContent>
      </w:r>
      <w:r w:rsidR="00D857AC" w:rsidRPr="00234ECD">
        <w:rPr>
          <w:rFonts w:eastAsia="Calibri"/>
          <w:noProof/>
          <w:sz w:val="22"/>
          <w:szCs w:val="22"/>
          <w:lang w:val="sr-Latn-RS"/>
        </w:rPr>
        <mc:AlternateContent>
          <mc:Choice Requires="wps">
            <w:drawing>
              <wp:anchor distT="0" distB="0" distL="114300" distR="114300" simplePos="0" relativeHeight="251664384" behindDoc="0" locked="0" layoutInCell="1" allowOverlap="1" wp14:anchorId="5E8FBDE9" wp14:editId="6827EF87">
                <wp:simplePos x="0" y="0"/>
                <wp:positionH relativeFrom="column">
                  <wp:posOffset>-680085</wp:posOffset>
                </wp:positionH>
                <wp:positionV relativeFrom="paragraph">
                  <wp:posOffset>1440815</wp:posOffset>
                </wp:positionV>
                <wp:extent cx="2674620" cy="409575"/>
                <wp:effectExtent l="1056640" t="0" r="1049020" b="0"/>
                <wp:wrapNone/>
                <wp:docPr id="90" name="Zone de text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74620"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C0E374" w14:textId="01C04831" w:rsidR="00234ECD" w:rsidRDefault="00234ECD" w:rsidP="00D857AC">
                            <w:pPr>
                              <w:jc w:val="center"/>
                              <w:rPr>
                                <w:b/>
                                <w:sz w:val="20"/>
                              </w:rPr>
                            </w:pPr>
                            <w:r>
                              <w:rPr>
                                <w:b/>
                                <w:sz w:val="20"/>
                              </w:rPr>
                              <w:t>Vjerovatnoća preživljavanja bez progresije bolesti</w:t>
                            </w:r>
                          </w:p>
                        </w:txbxContent>
                      </wps:txbx>
                      <wps:bodyPr rot="0" vertOverflow="clip" horzOverflow="clip" vert="vert270"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8FBDE9" id="Zone de texte 90" o:spid="_x0000_s1033" type="#_x0000_t202" style="position:absolute;left:0;text-align:left;margin-left:-53.55pt;margin-top:113.45pt;width:210.6pt;height:32.2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" filled="f" stroked="f">
                <v:textbox style="layout-flow:vertical;mso-layout-flow-alt:bottom-to-top;mso-fit-shape-to-text:t">
                  <w:txbxContent>
                    <w:p w14:paraId="01C0E374" w14:textId="01C04831" w:rsidR="00234ECD" w:rsidRDefault="00234ECD" w:rsidP="00D857AC">
                      <w:pPr>
                        <w:jc w:val="center"/>
                        <w:rPr>
                          <w:b/>
                          <w:sz w:val="20"/>
                        </w:rPr>
                      </w:pPr>
                      <w:r>
                        <w:rPr>
                          <w:b/>
                          <w:sz w:val="20"/>
                        </w:rPr>
                        <w:t>Vjerovatnoća preživljavanja bez progresije bolesti</w:t>
                      </w:r>
                    </w:p>
                  </w:txbxContent>
                </v:textbox>
              </v:shape>
            </w:pict>
          </mc:Fallback>
        </mc:AlternateContent>
      </w:r>
      <w:r w:rsidR="00D857AC" w:rsidRPr="00234ECD">
        <w:rPr>
          <w:rFonts w:eastAsia="MS Mincho"/>
          <w:noProof/>
          <w:sz w:val="22"/>
          <w:szCs w:val="22"/>
          <w:lang w:val="sr-Latn-RS"/>
        </w:rPr>
        <w:drawing>
          <wp:inline distT="0" distB="0" distL="0" distR="0" wp14:anchorId="4655C179" wp14:editId="62EC2382">
            <wp:extent cx="5943600" cy="3905250"/>
            <wp:effectExtent l="0" t="0" r="0" b="0"/>
            <wp:docPr id="13"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3905250"/>
                    </a:xfrm>
                    <a:prstGeom prst="rect">
                      <a:avLst/>
                    </a:prstGeom>
                    <a:noFill/>
                    <a:ln>
                      <a:noFill/>
                    </a:ln>
                  </pic:spPr>
                </pic:pic>
              </a:graphicData>
            </a:graphic>
          </wp:inline>
        </w:drawing>
      </w:r>
    </w:p>
    <w:p w14:paraId="7D3AE328" w14:textId="77777777" w:rsidR="00D857AC" w:rsidRPr="00234ECD" w:rsidRDefault="00D857AC" w:rsidP="00D857AC">
      <w:pPr>
        <w:tabs>
          <w:tab w:val="left" w:pos="567"/>
        </w:tabs>
        <w:spacing w:line="260" w:lineRule="exact"/>
        <w:jc w:val="both"/>
        <w:rPr>
          <w:bCs/>
          <w:sz w:val="22"/>
          <w:szCs w:val="22"/>
          <w:lang w:val="sr-Latn-RS"/>
        </w:rPr>
      </w:pPr>
    </w:p>
    <w:p w14:paraId="572962C7" w14:textId="5BC5FFCC" w:rsidR="00D857AC" w:rsidRPr="00234ECD" w:rsidRDefault="00D857AC" w:rsidP="00D857AC">
      <w:pPr>
        <w:tabs>
          <w:tab w:val="left" w:pos="567"/>
        </w:tabs>
        <w:spacing w:line="260" w:lineRule="exact"/>
        <w:jc w:val="both"/>
        <w:rPr>
          <w:bCs/>
          <w:sz w:val="22"/>
          <w:szCs w:val="22"/>
          <w:lang w:val="sr-Latn-RS"/>
        </w:rPr>
      </w:pPr>
      <w:r w:rsidRPr="00234ECD">
        <w:rPr>
          <w:bCs/>
          <w:sz w:val="22"/>
          <w:szCs w:val="22"/>
          <w:lang w:val="sr-Latn-RS"/>
        </w:rPr>
        <w:lastRenderedPageBreak/>
        <w:t>Incidenca sistemske terapije protiv karcinoma isključujući zračenja i lokalne sistemske, neprotokolarne terapije protiv karcinoma usm</w:t>
      </w:r>
      <w:r w:rsidR="00530D3B" w:rsidRPr="00234ECD">
        <w:rPr>
          <w:bCs/>
          <w:sz w:val="22"/>
          <w:szCs w:val="22"/>
          <w:lang w:val="sr-Latn-RS"/>
        </w:rPr>
        <w:t>j</w:t>
      </w:r>
      <w:r w:rsidRPr="00234ECD">
        <w:rPr>
          <w:bCs/>
          <w:sz w:val="22"/>
          <w:szCs w:val="22"/>
          <w:lang w:val="sr-Latn-RS"/>
        </w:rPr>
        <w:t>erene na jetru (NPACT) iznosila je 26% u grupi koja je primala kabozantinib i 33% u grupi koja je primala placebo. Ispitanici koji su primali te terapije morali su da prekinu l</w:t>
      </w:r>
      <w:r w:rsidR="00530D3B" w:rsidRPr="00234ECD">
        <w:rPr>
          <w:bCs/>
          <w:sz w:val="22"/>
          <w:szCs w:val="22"/>
          <w:lang w:val="sr-Latn-RS"/>
        </w:rPr>
        <w:t>ij</w:t>
      </w:r>
      <w:r w:rsidRPr="00234ECD">
        <w:rPr>
          <w:bCs/>
          <w:sz w:val="22"/>
          <w:szCs w:val="22"/>
          <w:lang w:val="sr-Latn-RS"/>
        </w:rPr>
        <w:t>ečenje. Eksplorativna analiza ukupnog preživljavanja cenzurisana za upotrebu NPACT-a podržala je primarnu analizu: HR, prilagođen za faktore stratifikacije (prema IxRS), iznosio je 0,66 (95% CI: 0,52; 0,84; p-vr</w:t>
      </w:r>
      <w:r w:rsidR="006C012F" w:rsidRPr="00234ECD">
        <w:rPr>
          <w:bCs/>
          <w:sz w:val="22"/>
          <w:szCs w:val="22"/>
          <w:lang w:val="sr-Latn-RS"/>
        </w:rPr>
        <w:t>ij</w:t>
      </w:r>
      <w:r w:rsidRPr="00234ECD">
        <w:rPr>
          <w:bCs/>
          <w:sz w:val="22"/>
          <w:szCs w:val="22"/>
          <w:lang w:val="sr-Latn-RS"/>
        </w:rPr>
        <w:t>ednost = 0,0005 za stratifikovani log</w:t>
      </w:r>
      <w:r w:rsidR="00B14815" w:rsidRPr="00234ECD">
        <w:rPr>
          <w:bCs/>
          <w:sz w:val="22"/>
          <w:szCs w:val="22"/>
          <w:lang w:val="sr-Latn-RS"/>
        </w:rPr>
        <w:t>-</w:t>
      </w:r>
      <w:r w:rsidRPr="00234ECD">
        <w:rPr>
          <w:bCs/>
          <w:sz w:val="22"/>
          <w:szCs w:val="22"/>
          <w:lang w:val="sr-Latn-RS"/>
        </w:rPr>
        <w:t>ran</w:t>
      </w:r>
      <w:r w:rsidR="00B14815" w:rsidRPr="00234ECD">
        <w:rPr>
          <w:bCs/>
          <w:sz w:val="22"/>
          <w:szCs w:val="22"/>
          <w:lang w:val="sr-Latn-RS"/>
        </w:rPr>
        <w:t>k</w:t>
      </w:r>
      <w:r w:rsidRPr="00234ECD">
        <w:rPr>
          <w:bCs/>
          <w:sz w:val="22"/>
          <w:szCs w:val="22"/>
          <w:lang w:val="sr-Latn-RS"/>
        </w:rPr>
        <w:t>).</w:t>
      </w:r>
      <w:r w:rsidRPr="00234ECD">
        <w:rPr>
          <w:rFonts w:eastAsia="Verdana"/>
          <w:sz w:val="22"/>
          <w:szCs w:val="22"/>
          <w:lang w:val="sr-Latn-RS" w:eastAsia="en-GB"/>
        </w:rPr>
        <w:t xml:space="preserve"> </w:t>
      </w:r>
      <w:r w:rsidRPr="00234ECD">
        <w:rPr>
          <w:bCs/>
          <w:i/>
          <w:sz w:val="22"/>
          <w:szCs w:val="22"/>
          <w:lang w:val="sr-Latn-RS"/>
        </w:rPr>
        <w:t>Kaplan-Meier</w:t>
      </w:r>
      <w:r w:rsidRPr="00234ECD">
        <w:rPr>
          <w:bCs/>
          <w:sz w:val="22"/>
          <w:szCs w:val="22"/>
          <w:lang w:val="sr-Latn-RS"/>
        </w:rPr>
        <w:t>-ove proc</w:t>
      </w:r>
      <w:r w:rsidR="006C012F" w:rsidRPr="00234ECD">
        <w:rPr>
          <w:bCs/>
          <w:sz w:val="22"/>
          <w:szCs w:val="22"/>
          <w:lang w:val="sr-Latn-RS"/>
        </w:rPr>
        <w:t>j</w:t>
      </w:r>
      <w:r w:rsidRPr="00234ECD">
        <w:rPr>
          <w:bCs/>
          <w:sz w:val="22"/>
          <w:szCs w:val="22"/>
          <w:lang w:val="sr-Latn-RS"/>
        </w:rPr>
        <w:t>ene za medijanu trajanja ukupnog preživljavanja iznosile su 11,1 m</w:t>
      </w:r>
      <w:r w:rsidR="006C012F" w:rsidRPr="00234ECD">
        <w:rPr>
          <w:bCs/>
          <w:sz w:val="22"/>
          <w:szCs w:val="22"/>
          <w:lang w:val="sr-Latn-RS"/>
        </w:rPr>
        <w:t>j</w:t>
      </w:r>
      <w:r w:rsidRPr="00234ECD">
        <w:rPr>
          <w:bCs/>
          <w:sz w:val="22"/>
          <w:szCs w:val="22"/>
          <w:lang w:val="sr-Latn-RS"/>
        </w:rPr>
        <w:t>esec u grupi koja je primala kabozantinib u poređenju sa 6,9 m</w:t>
      </w:r>
      <w:r w:rsidR="006C012F" w:rsidRPr="00234ECD">
        <w:rPr>
          <w:bCs/>
          <w:sz w:val="22"/>
          <w:szCs w:val="22"/>
          <w:lang w:val="sr-Latn-RS"/>
        </w:rPr>
        <w:t>j</w:t>
      </w:r>
      <w:r w:rsidRPr="00234ECD">
        <w:rPr>
          <w:bCs/>
          <w:sz w:val="22"/>
          <w:szCs w:val="22"/>
          <w:lang w:val="sr-Latn-RS"/>
        </w:rPr>
        <w:t>eseci u grupi koja je primala placebo, proc</w:t>
      </w:r>
      <w:r w:rsidR="006C012F" w:rsidRPr="00234ECD">
        <w:rPr>
          <w:bCs/>
          <w:sz w:val="22"/>
          <w:szCs w:val="22"/>
          <w:lang w:val="sr-Latn-RS"/>
        </w:rPr>
        <w:t>ij</w:t>
      </w:r>
      <w:r w:rsidRPr="00234ECD">
        <w:rPr>
          <w:bCs/>
          <w:sz w:val="22"/>
          <w:szCs w:val="22"/>
          <w:lang w:val="sr-Latn-RS"/>
        </w:rPr>
        <w:t>enjena razlika od 4,2 m</w:t>
      </w:r>
      <w:r w:rsidR="006C012F" w:rsidRPr="00234ECD">
        <w:rPr>
          <w:bCs/>
          <w:sz w:val="22"/>
          <w:szCs w:val="22"/>
          <w:lang w:val="sr-Latn-RS"/>
        </w:rPr>
        <w:t>j</w:t>
      </w:r>
      <w:r w:rsidRPr="00234ECD">
        <w:rPr>
          <w:bCs/>
          <w:sz w:val="22"/>
          <w:szCs w:val="22"/>
          <w:lang w:val="sr-Latn-RS"/>
        </w:rPr>
        <w:t>eseca u medijanama.</w:t>
      </w:r>
    </w:p>
    <w:p w14:paraId="69BF3FD6" w14:textId="77777777" w:rsidR="00D857AC" w:rsidRPr="00234ECD" w:rsidRDefault="00D857AC" w:rsidP="00D857AC">
      <w:pPr>
        <w:tabs>
          <w:tab w:val="left" w:pos="567"/>
        </w:tabs>
        <w:spacing w:line="260" w:lineRule="exact"/>
        <w:jc w:val="both"/>
        <w:rPr>
          <w:bCs/>
          <w:sz w:val="22"/>
          <w:szCs w:val="22"/>
          <w:lang w:val="sr-Latn-RS"/>
        </w:rPr>
      </w:pPr>
    </w:p>
    <w:p w14:paraId="6900E2E2" w14:textId="3F210128" w:rsidR="00D857AC" w:rsidRPr="00234ECD" w:rsidRDefault="00D857AC" w:rsidP="00D857AC">
      <w:pPr>
        <w:jc w:val="both"/>
        <w:rPr>
          <w:rFonts w:eastAsia="Calibri"/>
          <w:sz w:val="22"/>
          <w:szCs w:val="22"/>
          <w:u w:val="single"/>
          <w:lang w:val="sr-Latn-RS"/>
        </w:rPr>
      </w:pPr>
      <w:r w:rsidRPr="00234ECD">
        <w:rPr>
          <w:rFonts w:eastAsia="SimSun"/>
          <w:sz w:val="22"/>
          <w:szCs w:val="22"/>
          <w:lang w:val="sr-Latn-RS"/>
        </w:rPr>
        <w:t>Kvalitet života (eng</w:t>
      </w:r>
      <w:r w:rsidR="004A05FB" w:rsidRPr="00234ECD">
        <w:rPr>
          <w:rFonts w:eastAsia="SimSun"/>
          <w:sz w:val="22"/>
          <w:szCs w:val="22"/>
          <w:lang w:val="sr-Latn-RS"/>
        </w:rPr>
        <w:t>l</w:t>
      </w:r>
      <w:r w:rsidRPr="00234ECD">
        <w:rPr>
          <w:rFonts w:eastAsia="SimSun"/>
          <w:sz w:val="22"/>
          <w:szCs w:val="22"/>
          <w:lang w:val="sr-Latn-RS"/>
        </w:rPr>
        <w:t xml:space="preserve">. </w:t>
      </w:r>
      <w:r w:rsidRPr="00234ECD">
        <w:rPr>
          <w:rFonts w:eastAsia="SimSun"/>
          <w:i/>
          <w:sz w:val="22"/>
          <w:szCs w:val="22"/>
          <w:lang w:val="sr-Latn-RS"/>
        </w:rPr>
        <w:t>quality of life</w:t>
      </w:r>
      <w:r w:rsidRPr="00234ECD">
        <w:rPr>
          <w:rFonts w:eastAsia="SimSun"/>
          <w:sz w:val="22"/>
          <w:szCs w:val="22"/>
          <w:lang w:val="sr-Latn-RS"/>
        </w:rPr>
        <w:t>, QoL) koji nije specifičan za bolest proc</w:t>
      </w:r>
      <w:r w:rsidR="006C012F" w:rsidRPr="00234ECD">
        <w:rPr>
          <w:rFonts w:eastAsia="SimSun"/>
          <w:sz w:val="22"/>
          <w:szCs w:val="22"/>
          <w:lang w:val="sr-Latn-RS"/>
        </w:rPr>
        <w:t>ij</w:t>
      </w:r>
      <w:r w:rsidRPr="00234ECD">
        <w:rPr>
          <w:rFonts w:eastAsia="SimSun"/>
          <w:sz w:val="22"/>
          <w:szCs w:val="22"/>
          <w:lang w:val="sr-Latn-RS"/>
        </w:rPr>
        <w:t>enjen je pomoću instrumenta za m</w:t>
      </w:r>
      <w:r w:rsidR="006C012F" w:rsidRPr="00234ECD">
        <w:rPr>
          <w:rFonts w:eastAsia="SimSun"/>
          <w:sz w:val="22"/>
          <w:szCs w:val="22"/>
          <w:lang w:val="sr-Latn-RS"/>
        </w:rPr>
        <w:t>j</w:t>
      </w:r>
      <w:r w:rsidRPr="00234ECD">
        <w:rPr>
          <w:rFonts w:eastAsia="SimSun"/>
          <w:sz w:val="22"/>
          <w:szCs w:val="22"/>
          <w:lang w:val="sr-Latn-RS"/>
        </w:rPr>
        <w:t xml:space="preserve">erenje EuroQoL EQ-5D-5L. Negativan efekat </w:t>
      </w:r>
      <w:r w:rsidR="005F42FA" w:rsidRPr="00234ECD">
        <w:rPr>
          <w:rFonts w:eastAsia="SimSun"/>
          <w:sz w:val="22"/>
          <w:szCs w:val="22"/>
          <w:lang w:val="sr-Latn-RS"/>
        </w:rPr>
        <w:t>kabozantiniba</w:t>
      </w:r>
      <w:r w:rsidRPr="00234ECD">
        <w:rPr>
          <w:rFonts w:eastAsia="SimSun"/>
          <w:sz w:val="22"/>
          <w:szCs w:val="22"/>
          <w:lang w:val="sr-Latn-RS"/>
        </w:rPr>
        <w:t xml:space="preserve"> u odnosu na placebo na rezultat indeksa korisnosti EQ-5D prim</w:t>
      </w:r>
      <w:r w:rsidR="006C012F" w:rsidRPr="00234ECD">
        <w:rPr>
          <w:rFonts w:eastAsia="SimSun"/>
          <w:sz w:val="22"/>
          <w:szCs w:val="22"/>
          <w:lang w:val="sr-Latn-RS"/>
        </w:rPr>
        <w:t>ij</w:t>
      </w:r>
      <w:r w:rsidRPr="00234ECD">
        <w:rPr>
          <w:rFonts w:eastAsia="SimSun"/>
          <w:sz w:val="22"/>
          <w:szCs w:val="22"/>
          <w:lang w:val="sr-Latn-RS"/>
        </w:rPr>
        <w:t>ećen je tokom prvih nekoliko ned</w:t>
      </w:r>
      <w:r w:rsidR="006C012F" w:rsidRPr="00234ECD">
        <w:rPr>
          <w:rFonts w:eastAsia="SimSun"/>
          <w:sz w:val="22"/>
          <w:szCs w:val="22"/>
          <w:lang w:val="sr-Latn-RS"/>
        </w:rPr>
        <w:t>j</w:t>
      </w:r>
      <w:r w:rsidRPr="00234ECD">
        <w:rPr>
          <w:rFonts w:eastAsia="SimSun"/>
          <w:sz w:val="22"/>
          <w:szCs w:val="22"/>
          <w:lang w:val="sr-Latn-RS"/>
        </w:rPr>
        <w:t>elja terapije.</w:t>
      </w:r>
      <w:r w:rsidRPr="00234ECD">
        <w:rPr>
          <w:rFonts w:eastAsia="SimSun"/>
          <w:sz w:val="22"/>
          <w:szCs w:val="22"/>
          <w:lang w:val="sr-Latn-RS" w:eastAsia="en-GB"/>
        </w:rPr>
        <w:t xml:space="preserve"> Nakon tog perioda dostupni su samo ograničeni podaci o kvalitetu života</w:t>
      </w:r>
      <w:r w:rsidRPr="00234ECD">
        <w:rPr>
          <w:rFonts w:eastAsia="SimSun"/>
          <w:sz w:val="22"/>
          <w:szCs w:val="22"/>
          <w:lang w:val="sr-Latn-RS"/>
        </w:rPr>
        <w:t xml:space="preserve">. </w:t>
      </w:r>
      <w:r w:rsidRPr="00234ECD">
        <w:rPr>
          <w:rFonts w:eastAsia="SimSun"/>
          <w:sz w:val="22"/>
          <w:szCs w:val="22"/>
          <w:lang w:val="sr-Latn-RS" w:eastAsia="en-GB"/>
        </w:rPr>
        <w:t xml:space="preserve"> </w:t>
      </w:r>
    </w:p>
    <w:p w14:paraId="620CF8C0" w14:textId="77777777" w:rsidR="00D857AC" w:rsidRPr="00234ECD" w:rsidRDefault="00D857AC" w:rsidP="00D857AC">
      <w:pPr>
        <w:jc w:val="both"/>
        <w:rPr>
          <w:rFonts w:eastAsia="Calibri"/>
          <w:sz w:val="22"/>
          <w:szCs w:val="22"/>
          <w:u w:val="single"/>
          <w:lang w:val="sr-Latn-RS"/>
        </w:rPr>
      </w:pPr>
    </w:p>
    <w:p w14:paraId="77AC3899" w14:textId="2CE48CD4" w:rsidR="00F51566" w:rsidRPr="00234ECD" w:rsidRDefault="00F51566" w:rsidP="00F51566">
      <w:pPr>
        <w:jc w:val="both"/>
        <w:rPr>
          <w:rFonts w:eastAsiaTheme="minorHAnsi"/>
          <w:i/>
          <w:iCs/>
          <w:sz w:val="22"/>
          <w:szCs w:val="22"/>
          <w:lang w:val="sr-Latn-RS"/>
        </w:rPr>
      </w:pPr>
      <w:r w:rsidRPr="00234ECD">
        <w:rPr>
          <w:rFonts w:eastAsiaTheme="minorHAnsi"/>
          <w:i/>
          <w:iCs/>
          <w:sz w:val="22"/>
          <w:szCs w:val="22"/>
          <w:lang w:val="sr-Latn-RS"/>
        </w:rPr>
        <w:t>Diferencirani karcinom štit</w:t>
      </w:r>
      <w:r w:rsidR="004B7CD3" w:rsidRPr="00234ECD">
        <w:rPr>
          <w:rFonts w:eastAsiaTheme="minorHAnsi"/>
          <w:i/>
          <w:iCs/>
          <w:sz w:val="22"/>
          <w:szCs w:val="22"/>
          <w:lang w:val="sr-Latn-RS"/>
        </w:rPr>
        <w:t>aste</w:t>
      </w:r>
      <w:r w:rsidRPr="00234ECD">
        <w:rPr>
          <w:rFonts w:eastAsiaTheme="minorHAnsi"/>
          <w:i/>
          <w:iCs/>
          <w:sz w:val="22"/>
          <w:szCs w:val="22"/>
          <w:lang w:val="sr-Latn-RS"/>
        </w:rPr>
        <w:t xml:space="preserve"> žl</w:t>
      </w:r>
      <w:r w:rsidR="004B7CD3" w:rsidRPr="00234ECD">
        <w:rPr>
          <w:rFonts w:eastAsiaTheme="minorHAnsi"/>
          <w:i/>
          <w:iCs/>
          <w:sz w:val="22"/>
          <w:szCs w:val="22"/>
          <w:lang w:val="sr-Latn-RS"/>
        </w:rPr>
        <w:t>ij</w:t>
      </w:r>
      <w:r w:rsidRPr="00234ECD">
        <w:rPr>
          <w:rFonts w:eastAsiaTheme="minorHAnsi"/>
          <w:i/>
          <w:iCs/>
          <w:sz w:val="22"/>
          <w:szCs w:val="22"/>
          <w:lang w:val="sr-Latn-RS"/>
        </w:rPr>
        <w:t>ezde</w:t>
      </w:r>
    </w:p>
    <w:p w14:paraId="56FB7097" w14:textId="77777777" w:rsidR="004A05FB" w:rsidRPr="00234ECD" w:rsidRDefault="004A05FB" w:rsidP="00F51566">
      <w:pPr>
        <w:jc w:val="both"/>
        <w:rPr>
          <w:rFonts w:eastAsiaTheme="minorHAnsi"/>
          <w:i/>
          <w:iCs/>
          <w:sz w:val="22"/>
          <w:szCs w:val="22"/>
          <w:lang w:val="sr-Latn-RS"/>
        </w:rPr>
      </w:pPr>
    </w:p>
    <w:p w14:paraId="25044F27" w14:textId="4295D46A" w:rsidR="00F51566" w:rsidRPr="00234ECD" w:rsidRDefault="00F51566" w:rsidP="00F51566">
      <w:pPr>
        <w:jc w:val="both"/>
        <w:rPr>
          <w:rFonts w:eastAsiaTheme="minorHAnsi"/>
          <w:sz w:val="22"/>
          <w:szCs w:val="22"/>
          <w:u w:val="single"/>
          <w:lang w:val="sr-Latn-RS"/>
        </w:rPr>
      </w:pPr>
      <w:r w:rsidRPr="00234ECD">
        <w:rPr>
          <w:rFonts w:eastAsiaTheme="minorHAnsi"/>
          <w:i/>
          <w:sz w:val="22"/>
          <w:szCs w:val="22"/>
          <w:u w:val="single"/>
          <w:lang w:val="sr-Latn-RS"/>
        </w:rPr>
        <w:t>Placebo-kontrolisana studija kod odraslih pacijenata koji su prethodno primali sistemsku terapiju i koji su refraktorni ili ne ispunjavaju uslove za l</w:t>
      </w:r>
      <w:r w:rsidR="004B7CD3" w:rsidRPr="00234ECD">
        <w:rPr>
          <w:rFonts w:eastAsiaTheme="minorHAnsi"/>
          <w:i/>
          <w:sz w:val="22"/>
          <w:szCs w:val="22"/>
          <w:u w:val="single"/>
          <w:lang w:val="sr-Latn-RS"/>
        </w:rPr>
        <w:t>ij</w:t>
      </w:r>
      <w:r w:rsidRPr="00234ECD">
        <w:rPr>
          <w:rFonts w:eastAsiaTheme="minorHAnsi"/>
          <w:i/>
          <w:sz w:val="22"/>
          <w:szCs w:val="22"/>
          <w:u w:val="single"/>
          <w:lang w:val="sr-Latn-RS"/>
        </w:rPr>
        <w:t>ečenje radioaktivnim jodom (COSMIC-311)</w:t>
      </w:r>
    </w:p>
    <w:p w14:paraId="315D5187" w14:textId="77777777" w:rsidR="00F51566" w:rsidRPr="00234ECD" w:rsidRDefault="00F51566" w:rsidP="00F51566">
      <w:pPr>
        <w:tabs>
          <w:tab w:val="left" w:pos="284"/>
        </w:tabs>
        <w:jc w:val="both"/>
        <w:rPr>
          <w:bCs/>
          <w:sz w:val="22"/>
          <w:szCs w:val="22"/>
          <w:u w:val="single"/>
          <w:lang w:val="sr-Latn-RS"/>
        </w:rPr>
      </w:pPr>
    </w:p>
    <w:p w14:paraId="640D7105" w14:textId="2F1031AB" w:rsidR="00F51566" w:rsidRPr="00234ECD" w:rsidRDefault="00F51566" w:rsidP="00F51566">
      <w:pPr>
        <w:tabs>
          <w:tab w:val="left" w:pos="284"/>
        </w:tabs>
        <w:jc w:val="both"/>
        <w:rPr>
          <w:bCs/>
          <w:sz w:val="22"/>
          <w:szCs w:val="22"/>
          <w:lang w:val="sr-Latn-RS"/>
        </w:rPr>
      </w:pPr>
      <w:r w:rsidRPr="00234ECD">
        <w:rPr>
          <w:bCs/>
          <w:sz w:val="22"/>
          <w:szCs w:val="22"/>
          <w:lang w:val="sr-Latn-RS"/>
        </w:rPr>
        <w:t>Bezb</w:t>
      </w:r>
      <w:r w:rsidR="004B7CD3" w:rsidRPr="00234ECD">
        <w:rPr>
          <w:bCs/>
          <w:sz w:val="22"/>
          <w:szCs w:val="22"/>
          <w:lang w:val="sr-Latn-RS"/>
        </w:rPr>
        <w:t>j</w:t>
      </w:r>
      <w:r w:rsidRPr="00234ECD">
        <w:rPr>
          <w:bCs/>
          <w:sz w:val="22"/>
          <w:szCs w:val="22"/>
          <w:lang w:val="sr-Latn-RS"/>
        </w:rPr>
        <w:t>ednost i efikasnost l</w:t>
      </w:r>
      <w:r w:rsidR="004B7CD3" w:rsidRPr="00234ECD">
        <w:rPr>
          <w:bCs/>
          <w:sz w:val="22"/>
          <w:szCs w:val="22"/>
          <w:lang w:val="sr-Latn-RS"/>
        </w:rPr>
        <w:t>ij</w:t>
      </w:r>
      <w:r w:rsidRPr="00234ECD">
        <w:rPr>
          <w:bCs/>
          <w:sz w:val="22"/>
          <w:szCs w:val="22"/>
          <w:lang w:val="sr-Latn-RS"/>
        </w:rPr>
        <w:t>eka Cabometyx je proc</w:t>
      </w:r>
      <w:r w:rsidR="004B7CD3" w:rsidRPr="00234ECD">
        <w:rPr>
          <w:bCs/>
          <w:sz w:val="22"/>
          <w:szCs w:val="22"/>
          <w:lang w:val="sr-Latn-RS"/>
        </w:rPr>
        <w:t>ij</w:t>
      </w:r>
      <w:r w:rsidRPr="00234ECD">
        <w:rPr>
          <w:bCs/>
          <w:sz w:val="22"/>
          <w:szCs w:val="22"/>
          <w:lang w:val="sr-Latn-RS"/>
        </w:rPr>
        <w:t>enjena u COSMIC-311, randomizovanom (2:1), dvostruko sl</w:t>
      </w:r>
      <w:r w:rsidR="004B7CD3" w:rsidRPr="00234ECD">
        <w:rPr>
          <w:bCs/>
          <w:sz w:val="22"/>
          <w:szCs w:val="22"/>
          <w:lang w:val="sr-Latn-RS"/>
        </w:rPr>
        <w:t>ij</w:t>
      </w:r>
      <w:r w:rsidRPr="00234ECD">
        <w:rPr>
          <w:bCs/>
          <w:sz w:val="22"/>
          <w:szCs w:val="22"/>
          <w:lang w:val="sr-Latn-RS"/>
        </w:rPr>
        <w:t>epom, placebom kontrolisanom, multicentričnom ispitivanju kod odraslih pacijenata sa lokalno uznapredovalom ili metastatskom bolešću sa diferenciranim karcinomom štit</w:t>
      </w:r>
      <w:r w:rsidR="004B7CD3" w:rsidRPr="00234ECD">
        <w:rPr>
          <w:bCs/>
          <w:sz w:val="22"/>
          <w:szCs w:val="22"/>
          <w:lang w:val="sr-Latn-RS"/>
        </w:rPr>
        <w:t>aste</w:t>
      </w:r>
      <w:r w:rsidRPr="00234ECD">
        <w:rPr>
          <w:bCs/>
          <w:sz w:val="22"/>
          <w:szCs w:val="22"/>
          <w:lang w:val="sr-Latn-RS"/>
        </w:rPr>
        <w:t xml:space="preserve"> žl</w:t>
      </w:r>
      <w:r w:rsidR="004B7CD3" w:rsidRPr="00234ECD">
        <w:rPr>
          <w:bCs/>
          <w:sz w:val="22"/>
          <w:szCs w:val="22"/>
          <w:lang w:val="sr-Latn-RS"/>
        </w:rPr>
        <w:t>ij</w:t>
      </w:r>
      <w:r w:rsidRPr="00234ECD">
        <w:rPr>
          <w:bCs/>
          <w:sz w:val="22"/>
          <w:szCs w:val="22"/>
          <w:lang w:val="sr-Latn-RS"/>
        </w:rPr>
        <w:t>ezde koji je napredovao nakon dv</w:t>
      </w:r>
      <w:r w:rsidR="004B7CD3" w:rsidRPr="00234ECD">
        <w:rPr>
          <w:bCs/>
          <w:sz w:val="22"/>
          <w:szCs w:val="22"/>
          <w:lang w:val="sr-Latn-RS"/>
        </w:rPr>
        <w:t>ij</w:t>
      </w:r>
      <w:r w:rsidRPr="00234ECD">
        <w:rPr>
          <w:bCs/>
          <w:sz w:val="22"/>
          <w:szCs w:val="22"/>
          <w:lang w:val="sr-Latn-RS"/>
        </w:rPr>
        <w:t>e prethodne terapije ciljane na VEGFR (uključujući, ali ne ograničavajući se na, lenvatinib ili sorafenib) i bili su refraktorni ili nisu ispunjavali uslove za l</w:t>
      </w:r>
      <w:r w:rsidR="00B14C8F" w:rsidRPr="00234ECD">
        <w:rPr>
          <w:bCs/>
          <w:sz w:val="22"/>
          <w:szCs w:val="22"/>
          <w:lang w:val="sr-Latn-RS"/>
        </w:rPr>
        <w:t>ij</w:t>
      </w:r>
      <w:r w:rsidRPr="00234ECD">
        <w:rPr>
          <w:bCs/>
          <w:sz w:val="22"/>
          <w:szCs w:val="22"/>
          <w:lang w:val="sr-Latn-RS"/>
        </w:rPr>
        <w:t>ečenje radioaktivnim jodom. Pacijenti sa m</w:t>
      </w:r>
      <w:r w:rsidR="002B7CF2" w:rsidRPr="00234ECD">
        <w:rPr>
          <w:bCs/>
          <w:sz w:val="22"/>
          <w:szCs w:val="22"/>
          <w:lang w:val="sr-Latn-RS"/>
        </w:rPr>
        <w:t>j</w:t>
      </w:r>
      <w:r w:rsidRPr="00234ECD">
        <w:rPr>
          <w:bCs/>
          <w:sz w:val="22"/>
          <w:szCs w:val="22"/>
          <w:lang w:val="sr-Latn-RS"/>
        </w:rPr>
        <w:t>erljivom bolešću i dokumentovanom radiografskom progresijom prema RECIST 1.1 prema istraživaču, tokom ili nakon l</w:t>
      </w:r>
      <w:r w:rsidR="007371F3" w:rsidRPr="00234ECD">
        <w:rPr>
          <w:bCs/>
          <w:sz w:val="22"/>
          <w:szCs w:val="22"/>
          <w:lang w:val="sr-Latn-RS"/>
        </w:rPr>
        <w:t>ij</w:t>
      </w:r>
      <w:r w:rsidRPr="00234ECD">
        <w:rPr>
          <w:bCs/>
          <w:sz w:val="22"/>
          <w:szCs w:val="22"/>
          <w:lang w:val="sr-Latn-RS"/>
        </w:rPr>
        <w:t>ečenja TKI ciljanim na VEGFR, randomizovani su (N=258) da primaju kabozantinib 60 mg oralno jednom dnevno (N=170) ili placebo (N= 88).</w:t>
      </w:r>
    </w:p>
    <w:p w14:paraId="430E4FEC" w14:textId="77777777" w:rsidR="00F51566" w:rsidRPr="00234ECD" w:rsidRDefault="00F51566" w:rsidP="00F51566">
      <w:pPr>
        <w:tabs>
          <w:tab w:val="left" w:pos="284"/>
        </w:tabs>
        <w:jc w:val="both"/>
        <w:rPr>
          <w:bCs/>
          <w:sz w:val="22"/>
          <w:szCs w:val="22"/>
          <w:u w:val="single"/>
          <w:lang w:val="sr-Latn-RS"/>
        </w:rPr>
      </w:pPr>
    </w:p>
    <w:p w14:paraId="171CD765" w14:textId="33AF770C" w:rsidR="00F51566" w:rsidRPr="00234ECD" w:rsidRDefault="00F51566" w:rsidP="00F51566">
      <w:pPr>
        <w:tabs>
          <w:tab w:val="left" w:pos="284"/>
        </w:tabs>
        <w:jc w:val="both"/>
        <w:rPr>
          <w:bCs/>
          <w:sz w:val="22"/>
          <w:szCs w:val="22"/>
          <w:lang w:val="sr-Latn-RS"/>
        </w:rPr>
      </w:pPr>
      <w:r w:rsidRPr="00234ECD">
        <w:rPr>
          <w:bCs/>
          <w:sz w:val="22"/>
          <w:szCs w:val="22"/>
          <w:lang w:val="sr-Latn-RS"/>
        </w:rPr>
        <w:t xml:space="preserve">Randomizacija je stratifikovana na osnovu prethodnog prijema lenvatiniba (da naspram ne) i starosti (≤ 65 godina naspram &gt; 65 godina). </w:t>
      </w:r>
      <w:r w:rsidR="00F1343B" w:rsidRPr="00234ECD">
        <w:rPr>
          <w:bCs/>
          <w:sz w:val="22"/>
          <w:szCs w:val="22"/>
          <w:lang w:val="sr-Latn-RS"/>
        </w:rPr>
        <w:t>P</w:t>
      </w:r>
      <w:r w:rsidRPr="00234ECD">
        <w:rPr>
          <w:bCs/>
          <w:sz w:val="22"/>
          <w:szCs w:val="22"/>
          <w:lang w:val="sr-Latn-RS"/>
        </w:rPr>
        <w:t>acijentima</w:t>
      </w:r>
      <w:r w:rsidR="00F1343B" w:rsidRPr="00234ECD">
        <w:rPr>
          <w:bCs/>
          <w:sz w:val="22"/>
          <w:szCs w:val="22"/>
          <w:lang w:val="sr-Latn-RS"/>
        </w:rPr>
        <w:t xml:space="preserve"> koji zadovoljavaju uslove</w:t>
      </w:r>
      <w:r w:rsidRPr="00234ECD">
        <w:rPr>
          <w:bCs/>
          <w:sz w:val="22"/>
          <w:szCs w:val="22"/>
          <w:lang w:val="sr-Latn-RS"/>
        </w:rPr>
        <w:t xml:space="preserve"> randomiziranim na placebo dozvoljeno je da pređu na kabozantinib nakon potvrde progresivne bolesti od strane sl</w:t>
      </w:r>
      <w:r w:rsidR="00D67D7E" w:rsidRPr="00234ECD">
        <w:rPr>
          <w:bCs/>
          <w:sz w:val="22"/>
          <w:szCs w:val="22"/>
          <w:lang w:val="sr-Latn-RS"/>
        </w:rPr>
        <w:t>ij</w:t>
      </w:r>
      <w:r w:rsidRPr="00234ECD">
        <w:rPr>
          <w:bCs/>
          <w:sz w:val="22"/>
          <w:szCs w:val="22"/>
          <w:lang w:val="sr-Latn-RS"/>
        </w:rPr>
        <w:t xml:space="preserve">epe nezavisne komisije za </w:t>
      </w:r>
      <w:r w:rsidR="00F1343B" w:rsidRPr="00234ECD">
        <w:rPr>
          <w:bCs/>
          <w:sz w:val="22"/>
          <w:szCs w:val="22"/>
          <w:lang w:val="sr-Latn-RS"/>
        </w:rPr>
        <w:t xml:space="preserve">radiološki </w:t>
      </w:r>
      <w:r w:rsidRPr="00234ECD">
        <w:rPr>
          <w:bCs/>
          <w:sz w:val="22"/>
          <w:szCs w:val="22"/>
          <w:lang w:val="sr-Latn-RS"/>
        </w:rPr>
        <w:t>pregled (</w:t>
      </w:r>
      <w:r w:rsidR="00FB5B48" w:rsidRPr="00234ECD">
        <w:rPr>
          <w:bCs/>
          <w:sz w:val="22"/>
          <w:szCs w:val="22"/>
          <w:lang w:val="sr-Latn-RS"/>
        </w:rPr>
        <w:t xml:space="preserve">engl. </w:t>
      </w:r>
      <w:r w:rsidR="00FB5B48" w:rsidRPr="00234ECD">
        <w:rPr>
          <w:i/>
          <w:sz w:val="22"/>
          <w:szCs w:val="22"/>
          <w:lang w:val="sr-Latn-RS"/>
        </w:rPr>
        <w:t>blinded independent radiology review committee</w:t>
      </w:r>
      <w:r w:rsidR="00FB5B48" w:rsidRPr="00234ECD">
        <w:rPr>
          <w:sz w:val="22"/>
          <w:szCs w:val="22"/>
          <w:lang w:val="sr-Latn-RS"/>
        </w:rPr>
        <w:t xml:space="preserve">, </w:t>
      </w:r>
      <w:r w:rsidRPr="00234ECD">
        <w:rPr>
          <w:bCs/>
          <w:sz w:val="22"/>
          <w:szCs w:val="22"/>
          <w:lang w:val="sr-Latn-RS"/>
        </w:rPr>
        <w:t xml:space="preserve">BIRC). Ispitanici su nastavili sa terapijom </w:t>
      </w:r>
      <w:r w:rsidR="00F1343B" w:rsidRPr="00234ECD">
        <w:rPr>
          <w:bCs/>
          <w:sz w:val="22"/>
          <w:szCs w:val="22"/>
          <w:lang w:val="sr-Latn-RS"/>
        </w:rPr>
        <w:t xml:space="preserve">u okviru </w:t>
      </w:r>
      <w:r w:rsidRPr="00234ECD">
        <w:rPr>
          <w:bCs/>
          <w:sz w:val="22"/>
          <w:szCs w:val="22"/>
          <w:lang w:val="sr-Latn-RS"/>
        </w:rPr>
        <w:t>sl</w:t>
      </w:r>
      <w:r w:rsidR="00D67D7E" w:rsidRPr="00234ECD">
        <w:rPr>
          <w:bCs/>
          <w:sz w:val="22"/>
          <w:szCs w:val="22"/>
          <w:lang w:val="sr-Latn-RS"/>
        </w:rPr>
        <w:t>ij</w:t>
      </w:r>
      <w:r w:rsidRPr="00234ECD">
        <w:rPr>
          <w:bCs/>
          <w:sz w:val="22"/>
          <w:szCs w:val="22"/>
          <w:lang w:val="sr-Latn-RS"/>
        </w:rPr>
        <w:t>ep</w:t>
      </w:r>
      <w:r w:rsidR="00F1343B" w:rsidRPr="00234ECD">
        <w:rPr>
          <w:bCs/>
          <w:sz w:val="22"/>
          <w:szCs w:val="22"/>
          <w:lang w:val="sr-Latn-RS"/>
        </w:rPr>
        <w:t>e</w:t>
      </w:r>
      <w:r w:rsidRPr="00234ECD">
        <w:rPr>
          <w:bCs/>
          <w:sz w:val="22"/>
          <w:szCs w:val="22"/>
          <w:lang w:val="sr-Latn-RS"/>
        </w:rPr>
        <w:t xml:space="preserve"> studij</w:t>
      </w:r>
      <w:r w:rsidR="00F1343B" w:rsidRPr="00234ECD">
        <w:rPr>
          <w:bCs/>
          <w:sz w:val="22"/>
          <w:szCs w:val="22"/>
          <w:lang w:val="sr-Latn-RS"/>
        </w:rPr>
        <w:t>e</w:t>
      </w:r>
      <w:r w:rsidRPr="00234ECD">
        <w:rPr>
          <w:bCs/>
          <w:sz w:val="22"/>
          <w:szCs w:val="22"/>
          <w:lang w:val="sr-Latn-RS"/>
        </w:rPr>
        <w:t xml:space="preserve"> sve dok su imali kliničku korist ili dok nije došlo do neprihvatljive toksičnosti. Primarn</w:t>
      </w:r>
      <w:r w:rsidR="00966471" w:rsidRPr="00234ECD">
        <w:rPr>
          <w:bCs/>
          <w:sz w:val="22"/>
          <w:szCs w:val="22"/>
          <w:lang w:val="sr-Latn-RS"/>
        </w:rPr>
        <w:t>i</w:t>
      </w:r>
      <w:r w:rsidRPr="00234ECD">
        <w:rPr>
          <w:bCs/>
          <w:sz w:val="22"/>
          <w:szCs w:val="22"/>
          <w:lang w:val="sr-Latn-RS"/>
        </w:rPr>
        <w:t xml:space="preserve"> </w:t>
      </w:r>
      <w:r w:rsidR="00966471" w:rsidRPr="00234ECD">
        <w:rPr>
          <w:bCs/>
          <w:sz w:val="22"/>
          <w:szCs w:val="22"/>
          <w:lang w:val="sr-Latn-RS"/>
        </w:rPr>
        <w:t xml:space="preserve">parametri praćenja </w:t>
      </w:r>
      <w:r w:rsidRPr="00234ECD">
        <w:rPr>
          <w:bCs/>
          <w:sz w:val="22"/>
          <w:szCs w:val="22"/>
          <w:lang w:val="sr-Latn-RS"/>
        </w:rPr>
        <w:t>ishoda efikasnosti bil</w:t>
      </w:r>
      <w:r w:rsidR="00966471" w:rsidRPr="00234ECD">
        <w:rPr>
          <w:bCs/>
          <w:sz w:val="22"/>
          <w:szCs w:val="22"/>
          <w:lang w:val="sr-Latn-RS"/>
        </w:rPr>
        <w:t>i</w:t>
      </w:r>
      <w:r w:rsidRPr="00234ECD">
        <w:rPr>
          <w:bCs/>
          <w:sz w:val="22"/>
          <w:szCs w:val="22"/>
          <w:lang w:val="sr-Latn-RS"/>
        </w:rPr>
        <w:t xml:space="preserve"> su preživljavanje bez progresije bolesti (PFS) u ITT populaciji i stopa objektivnog odgovora (ORR) kod prvih 100 randomiziranih pacijenata, kako je proc</w:t>
      </w:r>
      <w:r w:rsidR="00B024C4" w:rsidRPr="00234ECD">
        <w:rPr>
          <w:bCs/>
          <w:sz w:val="22"/>
          <w:szCs w:val="22"/>
          <w:lang w:val="sr-Latn-RS"/>
        </w:rPr>
        <w:t>ij</w:t>
      </w:r>
      <w:r w:rsidRPr="00234ECD">
        <w:rPr>
          <w:bCs/>
          <w:sz w:val="22"/>
          <w:szCs w:val="22"/>
          <w:lang w:val="sr-Latn-RS"/>
        </w:rPr>
        <w:t>enio BIRC prema RECIST 1.1. Proc</w:t>
      </w:r>
      <w:r w:rsidR="00B024C4" w:rsidRPr="00234ECD">
        <w:rPr>
          <w:bCs/>
          <w:sz w:val="22"/>
          <w:szCs w:val="22"/>
          <w:lang w:val="sr-Latn-RS"/>
        </w:rPr>
        <w:t>j</w:t>
      </w:r>
      <w:r w:rsidRPr="00234ECD">
        <w:rPr>
          <w:bCs/>
          <w:sz w:val="22"/>
          <w:szCs w:val="22"/>
          <w:lang w:val="sr-Latn-RS"/>
        </w:rPr>
        <w:t>ene tumora su vršene svakih 8 ned</w:t>
      </w:r>
      <w:r w:rsidR="00B024C4" w:rsidRPr="00234ECD">
        <w:rPr>
          <w:bCs/>
          <w:sz w:val="22"/>
          <w:szCs w:val="22"/>
          <w:lang w:val="sr-Latn-RS"/>
        </w:rPr>
        <w:t>j</w:t>
      </w:r>
      <w:r w:rsidRPr="00234ECD">
        <w:rPr>
          <w:bCs/>
          <w:sz w:val="22"/>
          <w:szCs w:val="22"/>
          <w:lang w:val="sr-Latn-RS"/>
        </w:rPr>
        <w:t>elja nakon randomizacije tokom prvih 12 m</w:t>
      </w:r>
      <w:r w:rsidR="00B024C4" w:rsidRPr="00234ECD">
        <w:rPr>
          <w:bCs/>
          <w:sz w:val="22"/>
          <w:szCs w:val="22"/>
          <w:lang w:val="sr-Latn-RS"/>
        </w:rPr>
        <w:t>j</w:t>
      </w:r>
      <w:r w:rsidRPr="00234ECD">
        <w:rPr>
          <w:bCs/>
          <w:sz w:val="22"/>
          <w:szCs w:val="22"/>
          <w:lang w:val="sr-Latn-RS"/>
        </w:rPr>
        <w:t>eseci studije, zatim svakih 12 ned</w:t>
      </w:r>
      <w:r w:rsidR="00B024C4" w:rsidRPr="00234ECD">
        <w:rPr>
          <w:bCs/>
          <w:sz w:val="22"/>
          <w:szCs w:val="22"/>
          <w:lang w:val="sr-Latn-RS"/>
        </w:rPr>
        <w:t>j</w:t>
      </w:r>
      <w:r w:rsidRPr="00234ECD">
        <w:rPr>
          <w:bCs/>
          <w:sz w:val="22"/>
          <w:szCs w:val="22"/>
          <w:lang w:val="sr-Latn-RS"/>
        </w:rPr>
        <w:t>elja nakon toga. Ukupno preživljavanje (OS) je bi</w:t>
      </w:r>
      <w:r w:rsidR="00966471" w:rsidRPr="00234ECD">
        <w:rPr>
          <w:bCs/>
          <w:sz w:val="22"/>
          <w:szCs w:val="22"/>
          <w:lang w:val="sr-Latn-RS"/>
        </w:rPr>
        <w:t>o</w:t>
      </w:r>
      <w:r w:rsidRPr="00234ECD">
        <w:rPr>
          <w:bCs/>
          <w:sz w:val="22"/>
          <w:szCs w:val="22"/>
          <w:lang w:val="sr-Latn-RS"/>
        </w:rPr>
        <w:t xml:space="preserve"> dodatn</w:t>
      </w:r>
      <w:r w:rsidR="00966471" w:rsidRPr="00234ECD">
        <w:rPr>
          <w:bCs/>
          <w:sz w:val="22"/>
          <w:szCs w:val="22"/>
          <w:lang w:val="sr-Latn-RS"/>
        </w:rPr>
        <w:t>i parametar</w:t>
      </w:r>
      <w:r w:rsidRPr="00234ECD">
        <w:rPr>
          <w:bCs/>
          <w:sz w:val="22"/>
          <w:szCs w:val="22"/>
          <w:lang w:val="sr-Latn-RS"/>
        </w:rPr>
        <w:t xml:space="preserve"> </w:t>
      </w:r>
      <w:r w:rsidR="00966471" w:rsidRPr="00234ECD">
        <w:rPr>
          <w:bCs/>
          <w:sz w:val="22"/>
          <w:szCs w:val="22"/>
          <w:lang w:val="sr-Latn-RS"/>
        </w:rPr>
        <w:t xml:space="preserve">praćenja </w:t>
      </w:r>
      <w:r w:rsidRPr="00234ECD">
        <w:rPr>
          <w:bCs/>
          <w:sz w:val="22"/>
          <w:szCs w:val="22"/>
          <w:lang w:val="sr-Latn-RS"/>
        </w:rPr>
        <w:t>ishoda.</w:t>
      </w:r>
    </w:p>
    <w:p w14:paraId="487FFC2E" w14:textId="77777777" w:rsidR="00F51566" w:rsidRPr="00234ECD" w:rsidRDefault="00F51566" w:rsidP="00F51566">
      <w:pPr>
        <w:tabs>
          <w:tab w:val="left" w:pos="284"/>
        </w:tabs>
        <w:jc w:val="both"/>
        <w:rPr>
          <w:bCs/>
          <w:sz w:val="22"/>
          <w:szCs w:val="22"/>
          <w:lang w:val="sr-Latn-RS"/>
        </w:rPr>
      </w:pPr>
    </w:p>
    <w:p w14:paraId="70FA5D48" w14:textId="54286388" w:rsidR="00F51566" w:rsidRPr="00234ECD" w:rsidRDefault="00F51566" w:rsidP="00F51566">
      <w:pPr>
        <w:tabs>
          <w:tab w:val="left" w:pos="284"/>
        </w:tabs>
        <w:jc w:val="both"/>
        <w:rPr>
          <w:bCs/>
          <w:sz w:val="22"/>
          <w:szCs w:val="22"/>
          <w:lang w:val="sr-Latn-RS"/>
        </w:rPr>
      </w:pPr>
      <w:r w:rsidRPr="00234ECD">
        <w:rPr>
          <w:bCs/>
          <w:sz w:val="22"/>
          <w:szCs w:val="22"/>
          <w:lang w:val="sr-Latn-RS"/>
        </w:rPr>
        <w:t xml:space="preserve">Primarna analiza PFS-a je obuhvatila 187 randomiziranih pacijenata, 125 na kabozantinib i 62 na placebo. </w:t>
      </w:r>
      <w:r w:rsidR="00473AF6" w:rsidRPr="00234ECD">
        <w:rPr>
          <w:bCs/>
          <w:sz w:val="22"/>
          <w:szCs w:val="22"/>
          <w:lang w:val="sr-Latn-RS"/>
        </w:rPr>
        <w:t>Početne</w:t>
      </w:r>
      <w:r w:rsidRPr="00234ECD">
        <w:rPr>
          <w:bCs/>
          <w:sz w:val="22"/>
          <w:szCs w:val="22"/>
          <w:lang w:val="sr-Latn-RS"/>
        </w:rPr>
        <w:t xml:space="preserve"> demograf</w:t>
      </w:r>
      <w:r w:rsidR="00473AF6" w:rsidRPr="00234ECD">
        <w:rPr>
          <w:bCs/>
          <w:sz w:val="22"/>
          <w:szCs w:val="22"/>
          <w:lang w:val="sr-Latn-RS"/>
        </w:rPr>
        <w:t>ske</w:t>
      </w:r>
      <w:r w:rsidRPr="00234ECD">
        <w:rPr>
          <w:bCs/>
          <w:sz w:val="22"/>
          <w:szCs w:val="22"/>
          <w:lang w:val="sr-Latn-RS"/>
        </w:rPr>
        <w:t xml:space="preserve"> i karakteristike bolesti su generalno bile uravnotežene za obe grupe l</w:t>
      </w:r>
      <w:r w:rsidR="00EB6752" w:rsidRPr="00234ECD">
        <w:rPr>
          <w:bCs/>
          <w:sz w:val="22"/>
          <w:szCs w:val="22"/>
          <w:lang w:val="sr-Latn-RS"/>
        </w:rPr>
        <w:t>ij</w:t>
      </w:r>
      <w:r w:rsidRPr="00234ECD">
        <w:rPr>
          <w:bCs/>
          <w:sz w:val="22"/>
          <w:szCs w:val="22"/>
          <w:lang w:val="sr-Latn-RS"/>
        </w:rPr>
        <w:t xml:space="preserve">ečenja. </w:t>
      </w:r>
      <w:r w:rsidR="00AE6B62" w:rsidRPr="00234ECD">
        <w:rPr>
          <w:bCs/>
          <w:sz w:val="22"/>
          <w:szCs w:val="22"/>
          <w:lang w:val="sr-Latn-RS"/>
        </w:rPr>
        <w:t xml:space="preserve">Medijalna </w:t>
      </w:r>
      <w:r w:rsidRPr="00234ECD">
        <w:rPr>
          <w:bCs/>
          <w:sz w:val="22"/>
          <w:szCs w:val="22"/>
          <w:lang w:val="sr-Latn-RS"/>
        </w:rPr>
        <w:t>starost je bila 66 godina (raspon od 32 do 85 godina), 51% je bilo ≥ 65 godina, 13% je bilo ≥ 75 godina. Većina pacijenata su bili b</w:t>
      </w:r>
      <w:r w:rsidR="00EB6752" w:rsidRPr="00234ECD">
        <w:rPr>
          <w:bCs/>
          <w:sz w:val="22"/>
          <w:szCs w:val="22"/>
          <w:lang w:val="sr-Latn-RS"/>
        </w:rPr>
        <w:t>ij</w:t>
      </w:r>
      <w:r w:rsidRPr="00234ECD">
        <w:rPr>
          <w:bCs/>
          <w:sz w:val="22"/>
          <w:szCs w:val="22"/>
          <w:lang w:val="sr-Latn-RS"/>
        </w:rPr>
        <w:t>elci (70%), 18% pacijenata su bili Azijati i 55% su bile žene. Histološki, 55% je imalo potvrđenu dijagnozu papilarnog karcinoma štit</w:t>
      </w:r>
      <w:r w:rsidR="008C1679" w:rsidRPr="00234ECD">
        <w:rPr>
          <w:bCs/>
          <w:sz w:val="22"/>
          <w:szCs w:val="22"/>
          <w:lang w:val="sr-Latn-RS"/>
        </w:rPr>
        <w:t>aste</w:t>
      </w:r>
      <w:r w:rsidRPr="00234ECD">
        <w:rPr>
          <w:bCs/>
          <w:sz w:val="22"/>
          <w:szCs w:val="22"/>
          <w:lang w:val="sr-Latn-RS"/>
        </w:rPr>
        <w:t xml:space="preserve"> žl</w:t>
      </w:r>
      <w:r w:rsidR="008C1679" w:rsidRPr="00234ECD">
        <w:rPr>
          <w:bCs/>
          <w:sz w:val="22"/>
          <w:szCs w:val="22"/>
          <w:lang w:val="sr-Latn-RS"/>
        </w:rPr>
        <w:t>ij</w:t>
      </w:r>
      <w:r w:rsidRPr="00234ECD">
        <w:rPr>
          <w:bCs/>
          <w:sz w:val="22"/>
          <w:szCs w:val="22"/>
          <w:lang w:val="sr-Latn-RS"/>
        </w:rPr>
        <w:t>ezde, 48% je imalo folikularni karcinom štit</w:t>
      </w:r>
      <w:r w:rsidR="008C1679" w:rsidRPr="00234ECD">
        <w:rPr>
          <w:bCs/>
          <w:sz w:val="22"/>
          <w:szCs w:val="22"/>
          <w:lang w:val="sr-Latn-RS"/>
        </w:rPr>
        <w:t>aste</w:t>
      </w:r>
      <w:r w:rsidRPr="00234ECD">
        <w:rPr>
          <w:bCs/>
          <w:sz w:val="22"/>
          <w:szCs w:val="22"/>
          <w:lang w:val="sr-Latn-RS"/>
        </w:rPr>
        <w:t xml:space="preserve"> žl</w:t>
      </w:r>
      <w:r w:rsidR="008C1679" w:rsidRPr="00234ECD">
        <w:rPr>
          <w:bCs/>
          <w:sz w:val="22"/>
          <w:szCs w:val="22"/>
          <w:lang w:val="sr-Latn-RS"/>
        </w:rPr>
        <w:t>ij</w:t>
      </w:r>
      <w:r w:rsidRPr="00234ECD">
        <w:rPr>
          <w:bCs/>
          <w:sz w:val="22"/>
          <w:szCs w:val="22"/>
          <w:lang w:val="sr-Latn-RS"/>
        </w:rPr>
        <w:t>ezde, uključujući 17% pacijenata sa karcinomom štit</w:t>
      </w:r>
      <w:r w:rsidR="008C1679" w:rsidRPr="00234ECD">
        <w:rPr>
          <w:bCs/>
          <w:sz w:val="22"/>
          <w:szCs w:val="22"/>
          <w:lang w:val="sr-Latn-RS"/>
        </w:rPr>
        <w:t>aste</w:t>
      </w:r>
      <w:r w:rsidRPr="00234ECD">
        <w:rPr>
          <w:bCs/>
          <w:sz w:val="22"/>
          <w:szCs w:val="22"/>
          <w:lang w:val="sr-Latn-RS"/>
        </w:rPr>
        <w:t xml:space="preserve"> žl</w:t>
      </w:r>
      <w:r w:rsidR="008C1679" w:rsidRPr="00234ECD">
        <w:rPr>
          <w:bCs/>
          <w:sz w:val="22"/>
          <w:szCs w:val="22"/>
          <w:lang w:val="sr-Latn-RS"/>
        </w:rPr>
        <w:t>ij</w:t>
      </w:r>
      <w:r w:rsidRPr="00234ECD">
        <w:rPr>
          <w:bCs/>
          <w:sz w:val="22"/>
          <w:szCs w:val="22"/>
          <w:lang w:val="sr-Latn-RS"/>
        </w:rPr>
        <w:t xml:space="preserve">ezde </w:t>
      </w:r>
      <w:r w:rsidRPr="00234ECD">
        <w:rPr>
          <w:bCs/>
          <w:i/>
          <w:iCs/>
          <w:sz w:val="22"/>
          <w:szCs w:val="22"/>
          <w:lang w:val="sr-Latn-RS"/>
        </w:rPr>
        <w:t>Hurthle</w:t>
      </w:r>
      <w:r w:rsidRPr="00234ECD">
        <w:rPr>
          <w:bCs/>
          <w:sz w:val="22"/>
          <w:szCs w:val="22"/>
          <w:lang w:val="sr-Latn-RS"/>
        </w:rPr>
        <w:t xml:space="preserve">-ovih ćelija. Metastaze su bile prisutne kod 95% pacijenata: pluća u 68%, limfni čvorovi u 67%, kosti u 29%, pleura u 18% i jetra u 15%. Pet pacijenata nije primalo prethodni RAI zbog neispunjavanja uslova, 63% je prethodno primalo lenvatinib, 60% prethodno je primalo sorafenib, a 23% je primalo i sorafenib i lenvatinib. </w:t>
      </w:r>
      <w:r w:rsidR="00AE6B62" w:rsidRPr="00234ECD">
        <w:rPr>
          <w:bCs/>
          <w:sz w:val="22"/>
          <w:szCs w:val="22"/>
          <w:lang w:val="sr-Latn-RS"/>
        </w:rPr>
        <w:t xml:space="preserve">Početni </w:t>
      </w:r>
      <w:r w:rsidRPr="00234ECD">
        <w:rPr>
          <w:bCs/>
          <w:sz w:val="22"/>
          <w:szCs w:val="22"/>
          <w:lang w:val="sr-Latn-RS"/>
        </w:rPr>
        <w:t xml:space="preserve">ECOG </w:t>
      </w:r>
      <w:r w:rsidR="00AE6B62" w:rsidRPr="00234ECD">
        <w:rPr>
          <w:bCs/>
          <w:sz w:val="22"/>
          <w:szCs w:val="22"/>
          <w:lang w:val="sr-Latn-RS"/>
        </w:rPr>
        <w:t xml:space="preserve">funkcionalni status </w:t>
      </w:r>
      <w:r w:rsidRPr="00234ECD">
        <w:rPr>
          <w:bCs/>
          <w:sz w:val="22"/>
          <w:szCs w:val="22"/>
          <w:lang w:val="sr-Latn-RS"/>
        </w:rPr>
        <w:t xml:space="preserve">bio je 0 (48%) ili 1 (52%). </w:t>
      </w:r>
    </w:p>
    <w:p w14:paraId="4FD97490" w14:textId="4A8843FD" w:rsidR="00F51566" w:rsidRPr="00234ECD" w:rsidRDefault="00F51566" w:rsidP="00F51566">
      <w:pPr>
        <w:tabs>
          <w:tab w:val="left" w:pos="284"/>
        </w:tabs>
        <w:jc w:val="both"/>
        <w:rPr>
          <w:bCs/>
          <w:sz w:val="22"/>
          <w:szCs w:val="22"/>
          <w:lang w:val="sr-Latn-RS"/>
        </w:rPr>
      </w:pPr>
      <w:r w:rsidRPr="00234ECD">
        <w:rPr>
          <w:bCs/>
          <w:sz w:val="22"/>
          <w:szCs w:val="22"/>
          <w:lang w:val="sr-Latn-RS"/>
        </w:rPr>
        <w:t>Srednje trajanje l</w:t>
      </w:r>
      <w:r w:rsidR="008C1679" w:rsidRPr="00234ECD">
        <w:rPr>
          <w:bCs/>
          <w:sz w:val="22"/>
          <w:szCs w:val="22"/>
          <w:lang w:val="sr-Latn-RS"/>
        </w:rPr>
        <w:t>ij</w:t>
      </w:r>
      <w:r w:rsidRPr="00234ECD">
        <w:rPr>
          <w:bCs/>
          <w:sz w:val="22"/>
          <w:szCs w:val="22"/>
          <w:lang w:val="sr-Latn-RS"/>
        </w:rPr>
        <w:t>ečenja bilo je 4,4 m</w:t>
      </w:r>
      <w:r w:rsidR="008C1679" w:rsidRPr="00234ECD">
        <w:rPr>
          <w:bCs/>
          <w:sz w:val="22"/>
          <w:szCs w:val="22"/>
          <w:lang w:val="sr-Latn-RS"/>
        </w:rPr>
        <w:t>j</w:t>
      </w:r>
      <w:r w:rsidRPr="00234ECD">
        <w:rPr>
          <w:bCs/>
          <w:sz w:val="22"/>
          <w:szCs w:val="22"/>
          <w:lang w:val="sr-Latn-RS"/>
        </w:rPr>
        <w:t>eseca u grupi koja je primala kabozantinib i 2,3 m</w:t>
      </w:r>
      <w:r w:rsidR="008C1679" w:rsidRPr="00234ECD">
        <w:rPr>
          <w:bCs/>
          <w:sz w:val="22"/>
          <w:szCs w:val="22"/>
          <w:lang w:val="sr-Latn-RS"/>
        </w:rPr>
        <w:t>j</w:t>
      </w:r>
      <w:r w:rsidRPr="00234ECD">
        <w:rPr>
          <w:bCs/>
          <w:sz w:val="22"/>
          <w:szCs w:val="22"/>
          <w:lang w:val="sr-Latn-RS"/>
        </w:rPr>
        <w:t>eseca u grupi koja je primala placebo.</w:t>
      </w:r>
    </w:p>
    <w:p w14:paraId="6459973F" w14:textId="77777777" w:rsidR="00F51566" w:rsidRPr="00234ECD" w:rsidRDefault="00F51566" w:rsidP="00F51566">
      <w:pPr>
        <w:tabs>
          <w:tab w:val="left" w:pos="284"/>
        </w:tabs>
        <w:jc w:val="both"/>
        <w:rPr>
          <w:bCs/>
          <w:sz w:val="22"/>
          <w:szCs w:val="22"/>
          <w:u w:val="single"/>
          <w:lang w:val="sr-Latn-RS"/>
        </w:rPr>
      </w:pPr>
    </w:p>
    <w:p w14:paraId="5C0C2B0B" w14:textId="467E4A8E" w:rsidR="00F51566" w:rsidRPr="00234ECD" w:rsidRDefault="00F51566" w:rsidP="00F51566">
      <w:pPr>
        <w:tabs>
          <w:tab w:val="left" w:pos="284"/>
        </w:tabs>
        <w:jc w:val="both"/>
        <w:rPr>
          <w:bCs/>
          <w:sz w:val="22"/>
          <w:szCs w:val="22"/>
          <w:lang w:val="sr-Latn-RS"/>
        </w:rPr>
      </w:pPr>
      <w:r w:rsidRPr="00234ECD">
        <w:rPr>
          <w:bCs/>
          <w:sz w:val="22"/>
          <w:szCs w:val="22"/>
          <w:lang w:val="sr-Latn-RS"/>
        </w:rPr>
        <w:t xml:space="preserve">Rezultati primarne analize (sa graničnim datumom od 19. avgusta 2020. i </w:t>
      </w:r>
      <w:r w:rsidR="00DF6584" w:rsidRPr="00234ECD">
        <w:rPr>
          <w:bCs/>
          <w:sz w:val="22"/>
          <w:szCs w:val="22"/>
          <w:lang w:val="sr-Latn-RS"/>
        </w:rPr>
        <w:t xml:space="preserve">medijanom </w:t>
      </w:r>
      <w:r w:rsidRPr="00234ECD">
        <w:rPr>
          <w:bCs/>
          <w:sz w:val="22"/>
          <w:szCs w:val="22"/>
          <w:lang w:val="sr-Latn-RS"/>
        </w:rPr>
        <w:t>praćenj</w:t>
      </w:r>
      <w:r w:rsidR="00DF6584" w:rsidRPr="00234ECD">
        <w:rPr>
          <w:bCs/>
          <w:sz w:val="22"/>
          <w:szCs w:val="22"/>
          <w:lang w:val="sr-Latn-RS"/>
        </w:rPr>
        <w:t>a</w:t>
      </w:r>
      <w:r w:rsidRPr="00234ECD">
        <w:rPr>
          <w:bCs/>
          <w:sz w:val="22"/>
          <w:szCs w:val="22"/>
          <w:lang w:val="sr-Latn-RS"/>
        </w:rPr>
        <w:t xml:space="preserve"> od 6,2 m</w:t>
      </w:r>
      <w:r w:rsidR="008C1679" w:rsidRPr="00234ECD">
        <w:rPr>
          <w:bCs/>
          <w:sz w:val="22"/>
          <w:szCs w:val="22"/>
          <w:lang w:val="sr-Latn-RS"/>
        </w:rPr>
        <w:t>j</w:t>
      </w:r>
      <w:r w:rsidRPr="00234ECD">
        <w:rPr>
          <w:bCs/>
          <w:sz w:val="22"/>
          <w:szCs w:val="22"/>
          <w:lang w:val="sr-Latn-RS"/>
        </w:rPr>
        <w:t xml:space="preserve">eseca za PFS) i ažurirane analize (sa </w:t>
      </w:r>
      <w:r w:rsidR="002474D5" w:rsidRPr="00234ECD">
        <w:rPr>
          <w:bCs/>
          <w:sz w:val="22"/>
          <w:szCs w:val="22"/>
          <w:lang w:val="sr-Latn-RS"/>
        </w:rPr>
        <w:t>graničnim</w:t>
      </w:r>
      <w:r w:rsidRPr="00234ECD">
        <w:rPr>
          <w:bCs/>
          <w:sz w:val="22"/>
          <w:szCs w:val="22"/>
          <w:lang w:val="sr-Latn-RS"/>
        </w:rPr>
        <w:t xml:space="preserve"> datumom od 8. februara 2021. i </w:t>
      </w:r>
      <w:r w:rsidR="00DF6584" w:rsidRPr="00234ECD">
        <w:rPr>
          <w:bCs/>
          <w:sz w:val="22"/>
          <w:szCs w:val="22"/>
          <w:lang w:val="sr-Latn-RS"/>
        </w:rPr>
        <w:t xml:space="preserve">medijanom </w:t>
      </w:r>
      <w:r w:rsidRPr="00234ECD">
        <w:rPr>
          <w:bCs/>
          <w:sz w:val="22"/>
          <w:szCs w:val="22"/>
          <w:lang w:val="sr-Latn-RS"/>
        </w:rPr>
        <w:t>praćenj</w:t>
      </w:r>
      <w:r w:rsidR="00DF6584" w:rsidRPr="00234ECD">
        <w:rPr>
          <w:bCs/>
          <w:sz w:val="22"/>
          <w:szCs w:val="22"/>
          <w:lang w:val="sr-Latn-RS"/>
        </w:rPr>
        <w:t>a</w:t>
      </w:r>
      <w:r w:rsidRPr="00234ECD">
        <w:rPr>
          <w:bCs/>
          <w:sz w:val="22"/>
          <w:szCs w:val="22"/>
          <w:lang w:val="sr-Latn-RS"/>
        </w:rPr>
        <w:t xml:space="preserve"> od 10,1 m</w:t>
      </w:r>
      <w:r w:rsidR="00415027" w:rsidRPr="00234ECD">
        <w:rPr>
          <w:bCs/>
          <w:sz w:val="22"/>
          <w:szCs w:val="22"/>
          <w:lang w:val="sr-Latn-RS"/>
        </w:rPr>
        <w:t>j</w:t>
      </w:r>
      <w:r w:rsidRPr="00234ECD">
        <w:rPr>
          <w:bCs/>
          <w:sz w:val="22"/>
          <w:szCs w:val="22"/>
          <w:lang w:val="sr-Latn-RS"/>
        </w:rPr>
        <w:t xml:space="preserve">eseca za PFS) su predstavljeni u </w:t>
      </w:r>
      <w:r w:rsidR="005B6E6D" w:rsidRPr="00234ECD">
        <w:rPr>
          <w:bCs/>
          <w:sz w:val="22"/>
          <w:szCs w:val="22"/>
          <w:lang w:val="sr-Latn-RS"/>
        </w:rPr>
        <w:t>T</w:t>
      </w:r>
      <w:r w:rsidRPr="00234ECD">
        <w:rPr>
          <w:bCs/>
          <w:sz w:val="22"/>
          <w:szCs w:val="22"/>
          <w:lang w:val="sr-Latn-RS"/>
        </w:rPr>
        <w:t xml:space="preserve">abeli 9. Ispitivanje nije pokazalo statistički značajno poboljšanje ORR za pacijente randomizirane na kabozantinib (n=67) u poređenju sa placebom (n=33): </w:t>
      </w:r>
      <w:r w:rsidRPr="00234ECD">
        <w:rPr>
          <w:bCs/>
          <w:sz w:val="22"/>
          <w:szCs w:val="22"/>
          <w:lang w:val="sr-Latn-RS"/>
        </w:rPr>
        <w:lastRenderedPageBreak/>
        <w:t>15% naspram 0%. Ispitivanje je pokazalo statistički značajno poboljšanje PFS (medijan</w:t>
      </w:r>
      <w:r w:rsidR="00567A3C" w:rsidRPr="00234ECD">
        <w:rPr>
          <w:bCs/>
          <w:sz w:val="22"/>
          <w:szCs w:val="22"/>
          <w:lang w:val="sr-Latn-RS"/>
        </w:rPr>
        <w:t>a</w:t>
      </w:r>
      <w:r w:rsidRPr="00234ECD">
        <w:rPr>
          <w:bCs/>
          <w:sz w:val="22"/>
          <w:szCs w:val="22"/>
          <w:lang w:val="sr-Latn-RS"/>
        </w:rPr>
        <w:t xml:space="preserve"> praćenja 6,2 m</w:t>
      </w:r>
      <w:r w:rsidR="00415027" w:rsidRPr="00234ECD">
        <w:rPr>
          <w:bCs/>
          <w:sz w:val="22"/>
          <w:szCs w:val="22"/>
          <w:lang w:val="sr-Latn-RS"/>
        </w:rPr>
        <w:t>j</w:t>
      </w:r>
      <w:r w:rsidRPr="00234ECD">
        <w:rPr>
          <w:bCs/>
          <w:sz w:val="22"/>
          <w:szCs w:val="22"/>
          <w:lang w:val="sr-Latn-RS"/>
        </w:rPr>
        <w:t xml:space="preserve">eseca) za pacijente randomizirane na kabozantinib (n=125) u poređenju sa placebom (n=62). </w:t>
      </w:r>
    </w:p>
    <w:p w14:paraId="59DC390F" w14:textId="21561134" w:rsidR="00F51566" w:rsidRPr="00234ECD" w:rsidRDefault="00F51566" w:rsidP="00F51566">
      <w:pPr>
        <w:tabs>
          <w:tab w:val="left" w:pos="284"/>
        </w:tabs>
        <w:jc w:val="both"/>
        <w:rPr>
          <w:bCs/>
          <w:sz w:val="22"/>
          <w:szCs w:val="22"/>
          <w:lang w:val="sr-Latn-RS"/>
        </w:rPr>
      </w:pPr>
      <w:r w:rsidRPr="00234ECD">
        <w:rPr>
          <w:bCs/>
          <w:sz w:val="22"/>
          <w:szCs w:val="22"/>
          <w:lang w:val="sr-Latn-RS"/>
        </w:rPr>
        <w:t>Urađena je ažurirana analiza PFS i OS (medijan</w:t>
      </w:r>
      <w:r w:rsidR="00567A3C" w:rsidRPr="00234ECD">
        <w:rPr>
          <w:bCs/>
          <w:sz w:val="22"/>
          <w:szCs w:val="22"/>
          <w:lang w:val="sr-Latn-RS"/>
        </w:rPr>
        <w:t>a</w:t>
      </w:r>
      <w:r w:rsidRPr="00234ECD">
        <w:rPr>
          <w:bCs/>
          <w:sz w:val="22"/>
          <w:szCs w:val="22"/>
          <w:lang w:val="sr-Latn-RS"/>
        </w:rPr>
        <w:t xml:space="preserve"> praćenja 10,1 m</w:t>
      </w:r>
      <w:r w:rsidR="00415027" w:rsidRPr="00234ECD">
        <w:rPr>
          <w:bCs/>
          <w:sz w:val="22"/>
          <w:szCs w:val="22"/>
          <w:lang w:val="sr-Latn-RS"/>
        </w:rPr>
        <w:t>j</w:t>
      </w:r>
      <w:r w:rsidRPr="00234ECD">
        <w:rPr>
          <w:bCs/>
          <w:sz w:val="22"/>
          <w:szCs w:val="22"/>
          <w:lang w:val="sr-Latn-RS"/>
        </w:rPr>
        <w:t xml:space="preserve">esec) uključujući 258 randomiziranih pacijenata, 170 na kabozantinib i 88 na placebo. </w:t>
      </w:r>
    </w:p>
    <w:p w14:paraId="7085DC26" w14:textId="1ACE25E9" w:rsidR="00F51566" w:rsidRPr="00234ECD" w:rsidRDefault="000A66CF" w:rsidP="00F51566">
      <w:pPr>
        <w:tabs>
          <w:tab w:val="left" w:pos="284"/>
        </w:tabs>
        <w:jc w:val="both"/>
        <w:rPr>
          <w:bCs/>
          <w:sz w:val="22"/>
          <w:szCs w:val="22"/>
          <w:lang w:val="sr-Latn-RS"/>
        </w:rPr>
      </w:pPr>
      <w:r w:rsidRPr="00234ECD">
        <w:rPr>
          <w:bCs/>
          <w:sz w:val="22"/>
          <w:szCs w:val="22"/>
          <w:lang w:val="sr-Latn-RS"/>
        </w:rPr>
        <w:t>Analiza u</w:t>
      </w:r>
      <w:r w:rsidR="00F51566" w:rsidRPr="00234ECD">
        <w:rPr>
          <w:bCs/>
          <w:sz w:val="22"/>
          <w:szCs w:val="22"/>
          <w:lang w:val="sr-Latn-RS"/>
        </w:rPr>
        <w:t>kupn</w:t>
      </w:r>
      <w:r w:rsidRPr="00234ECD">
        <w:rPr>
          <w:bCs/>
          <w:sz w:val="22"/>
          <w:szCs w:val="22"/>
          <w:lang w:val="sr-Latn-RS"/>
        </w:rPr>
        <w:t>og</w:t>
      </w:r>
      <w:r w:rsidR="00F51566" w:rsidRPr="00234ECD">
        <w:rPr>
          <w:bCs/>
          <w:sz w:val="22"/>
          <w:szCs w:val="22"/>
          <w:lang w:val="sr-Latn-RS"/>
        </w:rPr>
        <w:t xml:space="preserve"> preživljavanja </w:t>
      </w:r>
      <w:r w:rsidR="009D3279" w:rsidRPr="00234ECD">
        <w:rPr>
          <w:bCs/>
          <w:sz w:val="22"/>
          <w:szCs w:val="22"/>
          <w:lang w:val="sr-Latn-RS"/>
        </w:rPr>
        <w:t>imala je ometajuće faktore</w:t>
      </w:r>
      <w:r w:rsidR="00F51566" w:rsidRPr="00234ECD">
        <w:rPr>
          <w:bCs/>
          <w:sz w:val="22"/>
          <w:szCs w:val="22"/>
          <w:lang w:val="sr-Latn-RS"/>
        </w:rPr>
        <w:t xml:space="preserve"> jer su subjekti koji su primali placebo sa potvrđenom progresijom bolesti imali mogućnost da pređu na kabozantinib.</w:t>
      </w:r>
    </w:p>
    <w:p w14:paraId="5A5B86A1" w14:textId="77777777" w:rsidR="00F51566" w:rsidRPr="00234ECD" w:rsidRDefault="00F51566" w:rsidP="00F51566">
      <w:pPr>
        <w:tabs>
          <w:tab w:val="left" w:pos="284"/>
        </w:tabs>
        <w:jc w:val="both"/>
        <w:rPr>
          <w:bCs/>
          <w:sz w:val="22"/>
          <w:szCs w:val="22"/>
          <w:u w:val="single"/>
          <w:lang w:val="sr-Latn-RS"/>
        </w:rPr>
      </w:pPr>
    </w:p>
    <w:p w14:paraId="0448ACD4" w14:textId="77777777" w:rsidR="00F51566" w:rsidRPr="00234ECD" w:rsidRDefault="00F51566" w:rsidP="00F51566">
      <w:pPr>
        <w:tabs>
          <w:tab w:val="left" w:pos="284"/>
        </w:tabs>
        <w:jc w:val="both"/>
        <w:rPr>
          <w:bCs/>
          <w:sz w:val="22"/>
          <w:szCs w:val="22"/>
          <w:u w:val="single"/>
          <w:lang w:val="sr-Latn-RS"/>
        </w:rPr>
      </w:pPr>
    </w:p>
    <w:p w14:paraId="731AE86D" w14:textId="77777777" w:rsidR="00F51566" w:rsidRPr="00234ECD" w:rsidRDefault="00F51566" w:rsidP="00F51566">
      <w:pPr>
        <w:rPr>
          <w:bCs/>
          <w:sz w:val="22"/>
          <w:szCs w:val="22"/>
          <w:lang w:val="sr-Latn-RS"/>
        </w:rPr>
      </w:pPr>
    </w:p>
    <w:p w14:paraId="6A538C44" w14:textId="77777777" w:rsidR="00F51566" w:rsidRPr="00234ECD" w:rsidRDefault="00F51566" w:rsidP="00F51566">
      <w:pPr>
        <w:keepNext/>
        <w:spacing w:line="280" w:lineRule="atLeast"/>
        <w:rPr>
          <w:rFonts w:eastAsia="SimSun"/>
          <w:b/>
          <w:i/>
          <w:iCs/>
          <w:sz w:val="22"/>
          <w:szCs w:val="22"/>
          <w:lang w:val="sr-Latn-RS"/>
        </w:rPr>
      </w:pPr>
      <w:r w:rsidRPr="00234ECD">
        <w:rPr>
          <w:rFonts w:eastAsia="SimSun"/>
          <w:b/>
          <w:iCs/>
          <w:sz w:val="22"/>
          <w:szCs w:val="22"/>
          <w:lang w:val="sr-Latn-RS"/>
        </w:rPr>
        <w:t>Tabela</w:t>
      </w:r>
      <w:r w:rsidRPr="00234ECD">
        <w:rPr>
          <w:rFonts w:eastAsia="SimSun"/>
          <w:b/>
          <w:i/>
          <w:iCs/>
          <w:sz w:val="22"/>
          <w:szCs w:val="22"/>
          <w:lang w:val="sr-Latn-RS"/>
        </w:rPr>
        <w:t xml:space="preserve"> </w:t>
      </w:r>
      <w:r w:rsidRPr="00234ECD">
        <w:rPr>
          <w:rFonts w:eastAsia="SimSun"/>
          <w:b/>
          <w:iCs/>
          <w:sz w:val="22"/>
          <w:szCs w:val="22"/>
          <w:lang w:val="sr-Latn-RS"/>
        </w:rPr>
        <w:t>9:</w:t>
      </w:r>
      <w:r w:rsidRPr="00234ECD">
        <w:rPr>
          <w:rFonts w:eastAsia="SimSun"/>
          <w:b/>
          <w:i/>
          <w:iCs/>
          <w:sz w:val="22"/>
          <w:szCs w:val="22"/>
          <w:lang w:val="sr-Latn-RS"/>
        </w:rPr>
        <w:t xml:space="preserve"> </w:t>
      </w:r>
      <w:r w:rsidRPr="00234ECD">
        <w:rPr>
          <w:rFonts w:eastAsia="SimSun"/>
          <w:b/>
          <w:sz w:val="22"/>
          <w:szCs w:val="22"/>
          <w:lang w:val="sr-Latn-RS"/>
        </w:rPr>
        <w:t>Rezultati efikasnosti iz studije COSMIC-311</w:t>
      </w:r>
      <w:r w:rsidRPr="00234ECD">
        <w:rPr>
          <w:rFonts w:eastAsia="SimSun"/>
          <w:b/>
          <w:i/>
          <w:iCs/>
          <w:sz w:val="22"/>
          <w:szCs w:val="22"/>
          <w:lang w:val="sr-Latn-RS"/>
        </w:rPr>
        <w:t xml:space="preserve"> </w:t>
      </w:r>
    </w:p>
    <w:p w14:paraId="2238F17C" w14:textId="77777777" w:rsidR="00F51566" w:rsidRPr="00234ECD" w:rsidRDefault="00F51566" w:rsidP="00F51566">
      <w:pPr>
        <w:keepNext/>
        <w:spacing w:line="280" w:lineRule="atLeast"/>
        <w:rPr>
          <w:rFonts w:eastAsia="SimSun"/>
          <w:b/>
          <w:sz w:val="22"/>
          <w:szCs w:val="22"/>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2"/>
        <w:gridCol w:w="1738"/>
        <w:gridCol w:w="1633"/>
        <w:gridCol w:w="13"/>
        <w:gridCol w:w="1680"/>
        <w:gridCol w:w="1617"/>
      </w:tblGrid>
      <w:tr w:rsidR="00F51566" w:rsidRPr="00234ECD" w14:paraId="5C2826EC" w14:textId="77777777" w:rsidTr="00714DD0">
        <w:tc>
          <w:tcPr>
            <w:tcW w:w="1314" w:type="pct"/>
            <w:shd w:val="clear" w:color="auto" w:fill="auto"/>
          </w:tcPr>
          <w:p w14:paraId="7D94E148" w14:textId="77777777" w:rsidR="00F51566" w:rsidRPr="00234ECD" w:rsidRDefault="00F51566" w:rsidP="00F51566">
            <w:pPr>
              <w:keepNext/>
              <w:rPr>
                <w:rFonts w:eastAsiaTheme="minorHAnsi"/>
                <w:sz w:val="22"/>
                <w:szCs w:val="22"/>
                <w:lang w:val="sr-Latn-RS"/>
              </w:rPr>
            </w:pPr>
          </w:p>
        </w:tc>
        <w:tc>
          <w:tcPr>
            <w:tcW w:w="1860" w:type="pct"/>
            <w:gridSpan w:val="2"/>
            <w:shd w:val="clear" w:color="auto" w:fill="auto"/>
          </w:tcPr>
          <w:p w14:paraId="5393930C" w14:textId="77777777" w:rsidR="00F51566" w:rsidRPr="00234ECD" w:rsidRDefault="00F51566" w:rsidP="00F51566">
            <w:pPr>
              <w:keepNext/>
              <w:jc w:val="center"/>
              <w:rPr>
                <w:rFonts w:eastAsiaTheme="minorHAnsi"/>
                <w:b/>
                <w:bCs/>
                <w:sz w:val="22"/>
                <w:szCs w:val="22"/>
                <w:lang w:val="sr-Latn-RS"/>
              </w:rPr>
            </w:pPr>
            <w:r w:rsidRPr="00234ECD">
              <w:rPr>
                <w:rFonts w:eastAsiaTheme="minorHAnsi"/>
                <w:b/>
                <w:bCs/>
                <w:sz w:val="22"/>
                <w:szCs w:val="22"/>
                <w:lang w:val="sr-Latn-RS"/>
              </w:rPr>
              <w:t>Primarna analiza</w:t>
            </w:r>
            <w:r w:rsidRPr="00234ECD">
              <w:rPr>
                <w:rFonts w:eastAsiaTheme="minorHAnsi"/>
                <w:b/>
                <w:bCs/>
                <w:sz w:val="22"/>
                <w:szCs w:val="22"/>
                <w:vertAlign w:val="superscript"/>
                <w:lang w:val="sr-Latn-RS"/>
              </w:rPr>
              <w:t>1</w:t>
            </w:r>
            <w:r w:rsidRPr="00234ECD">
              <w:rPr>
                <w:rFonts w:eastAsiaTheme="minorHAnsi"/>
                <w:b/>
                <w:bCs/>
                <w:sz w:val="22"/>
                <w:szCs w:val="22"/>
                <w:lang w:val="sr-Latn-RS"/>
              </w:rPr>
              <w:t xml:space="preserve"> (ITT)</w:t>
            </w:r>
          </w:p>
        </w:tc>
        <w:tc>
          <w:tcPr>
            <w:tcW w:w="1826" w:type="pct"/>
            <w:gridSpan w:val="3"/>
          </w:tcPr>
          <w:p w14:paraId="5F7D11FE" w14:textId="77777777" w:rsidR="00F51566" w:rsidRPr="00234ECD" w:rsidRDefault="00F51566" w:rsidP="00F51566">
            <w:pPr>
              <w:keepNext/>
              <w:rPr>
                <w:rFonts w:eastAsiaTheme="minorHAnsi"/>
                <w:b/>
                <w:bCs/>
                <w:sz w:val="22"/>
                <w:szCs w:val="22"/>
                <w:lang w:val="sr-Latn-RS"/>
              </w:rPr>
            </w:pPr>
            <w:r w:rsidRPr="00234ECD">
              <w:rPr>
                <w:rFonts w:eastAsiaTheme="minorHAnsi"/>
                <w:b/>
                <w:bCs/>
                <w:sz w:val="22"/>
                <w:szCs w:val="22"/>
                <w:lang w:val="sr-Latn-RS"/>
              </w:rPr>
              <w:t>Ažurirana analiza</w:t>
            </w:r>
            <w:r w:rsidRPr="00234ECD">
              <w:rPr>
                <w:rFonts w:eastAsiaTheme="minorHAnsi"/>
                <w:b/>
                <w:bCs/>
                <w:sz w:val="22"/>
                <w:szCs w:val="22"/>
                <w:vertAlign w:val="superscript"/>
                <w:lang w:val="sr-Latn-RS"/>
              </w:rPr>
              <w:t>2</w:t>
            </w:r>
            <w:r w:rsidRPr="00234ECD">
              <w:rPr>
                <w:rFonts w:eastAsiaTheme="minorHAnsi"/>
                <w:b/>
                <w:bCs/>
                <w:sz w:val="22"/>
                <w:szCs w:val="22"/>
                <w:lang w:val="sr-Latn-RS"/>
              </w:rPr>
              <w:t xml:space="preserve"> (puni ITT)</w:t>
            </w:r>
          </w:p>
        </w:tc>
      </w:tr>
      <w:tr w:rsidR="00F51566" w:rsidRPr="00234ECD" w14:paraId="3CF6A48F" w14:textId="77777777" w:rsidTr="00714DD0">
        <w:tc>
          <w:tcPr>
            <w:tcW w:w="1314" w:type="pct"/>
            <w:shd w:val="clear" w:color="auto" w:fill="auto"/>
          </w:tcPr>
          <w:p w14:paraId="0B6A09EC" w14:textId="77777777" w:rsidR="00F51566" w:rsidRPr="00234ECD" w:rsidRDefault="00F51566" w:rsidP="00F51566">
            <w:pPr>
              <w:keepNext/>
              <w:rPr>
                <w:rFonts w:eastAsiaTheme="minorHAnsi"/>
                <w:sz w:val="22"/>
                <w:szCs w:val="22"/>
                <w:lang w:val="sr-Latn-RS"/>
              </w:rPr>
            </w:pPr>
          </w:p>
        </w:tc>
        <w:tc>
          <w:tcPr>
            <w:tcW w:w="959" w:type="pct"/>
            <w:shd w:val="clear" w:color="auto" w:fill="auto"/>
          </w:tcPr>
          <w:p w14:paraId="7E0B6292" w14:textId="2D25EFEF" w:rsidR="00F51566" w:rsidRPr="00234ECD" w:rsidRDefault="00D62353" w:rsidP="00F51566">
            <w:pPr>
              <w:keepNext/>
              <w:jc w:val="center"/>
              <w:rPr>
                <w:rFonts w:eastAsiaTheme="minorHAnsi"/>
                <w:b/>
                <w:bCs/>
                <w:sz w:val="22"/>
                <w:szCs w:val="22"/>
                <w:lang w:val="sr-Latn-RS"/>
              </w:rPr>
            </w:pPr>
            <w:r w:rsidRPr="00234ECD">
              <w:rPr>
                <w:rFonts w:eastAsiaTheme="minorHAnsi"/>
                <w:b/>
                <w:bCs/>
                <w:sz w:val="22"/>
                <w:szCs w:val="22"/>
                <w:lang w:val="sr-Latn-RS"/>
              </w:rPr>
              <w:t>Cabometyx</w:t>
            </w:r>
            <w:r w:rsidR="00F51566" w:rsidRPr="00234ECD">
              <w:rPr>
                <w:rFonts w:eastAsiaTheme="minorHAnsi"/>
                <w:b/>
                <w:bCs/>
                <w:sz w:val="22"/>
                <w:szCs w:val="22"/>
                <w:lang w:val="sr-Latn-RS"/>
              </w:rPr>
              <w:br/>
              <w:t>(n=125)</w:t>
            </w:r>
          </w:p>
        </w:tc>
        <w:tc>
          <w:tcPr>
            <w:tcW w:w="901" w:type="pct"/>
            <w:shd w:val="clear" w:color="auto" w:fill="auto"/>
          </w:tcPr>
          <w:p w14:paraId="15D171F4" w14:textId="77777777" w:rsidR="00F51566" w:rsidRPr="00234ECD" w:rsidRDefault="00F51566" w:rsidP="00F51566">
            <w:pPr>
              <w:keepNext/>
              <w:jc w:val="center"/>
              <w:rPr>
                <w:rFonts w:eastAsiaTheme="minorHAnsi"/>
                <w:b/>
                <w:bCs/>
                <w:sz w:val="22"/>
                <w:szCs w:val="22"/>
                <w:lang w:val="sr-Latn-RS"/>
              </w:rPr>
            </w:pPr>
            <w:r w:rsidRPr="00234ECD">
              <w:rPr>
                <w:rFonts w:eastAsiaTheme="minorHAnsi"/>
                <w:b/>
                <w:bCs/>
                <w:sz w:val="22"/>
                <w:szCs w:val="22"/>
                <w:lang w:val="sr-Latn-RS"/>
              </w:rPr>
              <w:t>Placebo</w:t>
            </w:r>
            <w:r w:rsidRPr="00234ECD">
              <w:rPr>
                <w:rFonts w:eastAsiaTheme="minorHAnsi"/>
                <w:b/>
                <w:bCs/>
                <w:sz w:val="22"/>
                <w:szCs w:val="22"/>
                <w:lang w:val="sr-Latn-RS"/>
              </w:rPr>
              <w:br/>
              <w:t>(n=62)</w:t>
            </w:r>
          </w:p>
        </w:tc>
        <w:tc>
          <w:tcPr>
            <w:tcW w:w="927" w:type="pct"/>
            <w:gridSpan w:val="2"/>
          </w:tcPr>
          <w:p w14:paraId="1F0D5B4F" w14:textId="77DE6C09" w:rsidR="00F51566" w:rsidRPr="00234ECD" w:rsidRDefault="00D62353" w:rsidP="00F51566">
            <w:pPr>
              <w:keepNext/>
              <w:jc w:val="center"/>
              <w:rPr>
                <w:rFonts w:eastAsiaTheme="minorHAnsi"/>
                <w:b/>
                <w:bCs/>
                <w:sz w:val="22"/>
                <w:szCs w:val="22"/>
                <w:lang w:val="sr-Latn-RS"/>
              </w:rPr>
            </w:pPr>
            <w:r w:rsidRPr="00234ECD">
              <w:rPr>
                <w:rFonts w:eastAsiaTheme="minorHAnsi"/>
                <w:b/>
                <w:bCs/>
                <w:sz w:val="22"/>
                <w:szCs w:val="22"/>
                <w:lang w:val="sr-Latn-RS"/>
              </w:rPr>
              <w:t>Cabometyx</w:t>
            </w:r>
            <w:r w:rsidR="00F51566" w:rsidRPr="00234ECD">
              <w:rPr>
                <w:rFonts w:eastAsiaTheme="minorHAnsi"/>
                <w:b/>
                <w:bCs/>
                <w:sz w:val="22"/>
                <w:szCs w:val="22"/>
                <w:lang w:val="sr-Latn-RS"/>
              </w:rPr>
              <w:br/>
              <w:t>(n=170)</w:t>
            </w:r>
          </w:p>
        </w:tc>
        <w:tc>
          <w:tcPr>
            <w:tcW w:w="899" w:type="pct"/>
          </w:tcPr>
          <w:p w14:paraId="5E74ABFB" w14:textId="77777777" w:rsidR="00F51566" w:rsidRPr="00234ECD" w:rsidRDefault="00F51566" w:rsidP="00F51566">
            <w:pPr>
              <w:keepNext/>
              <w:jc w:val="center"/>
              <w:rPr>
                <w:rFonts w:eastAsiaTheme="minorHAnsi"/>
                <w:b/>
                <w:bCs/>
                <w:sz w:val="22"/>
                <w:szCs w:val="22"/>
                <w:lang w:val="sr-Latn-RS"/>
              </w:rPr>
            </w:pPr>
            <w:r w:rsidRPr="00234ECD">
              <w:rPr>
                <w:rFonts w:eastAsiaTheme="minorHAnsi"/>
                <w:b/>
                <w:bCs/>
                <w:sz w:val="22"/>
                <w:szCs w:val="22"/>
                <w:lang w:val="sr-Latn-RS"/>
              </w:rPr>
              <w:t>Placebo</w:t>
            </w:r>
            <w:r w:rsidRPr="00234ECD">
              <w:rPr>
                <w:rFonts w:eastAsiaTheme="minorHAnsi"/>
                <w:b/>
                <w:bCs/>
                <w:sz w:val="22"/>
                <w:szCs w:val="22"/>
                <w:lang w:val="sr-Latn-RS"/>
              </w:rPr>
              <w:br/>
              <w:t>(n=88)</w:t>
            </w:r>
          </w:p>
        </w:tc>
      </w:tr>
      <w:tr w:rsidR="00F51566" w:rsidRPr="00234ECD" w14:paraId="78A42CCB" w14:textId="77777777" w:rsidTr="00714DD0">
        <w:tc>
          <w:tcPr>
            <w:tcW w:w="1314" w:type="pct"/>
            <w:shd w:val="clear" w:color="auto" w:fill="auto"/>
          </w:tcPr>
          <w:p w14:paraId="5D13DCC3" w14:textId="77777777" w:rsidR="00F51566" w:rsidRPr="00234ECD" w:rsidRDefault="00F51566" w:rsidP="00F51566">
            <w:pPr>
              <w:keepNext/>
              <w:rPr>
                <w:rFonts w:eastAsiaTheme="minorHAnsi"/>
                <w:sz w:val="22"/>
                <w:szCs w:val="22"/>
                <w:lang w:val="sr-Latn-RS"/>
              </w:rPr>
            </w:pPr>
            <w:r w:rsidRPr="00234ECD">
              <w:rPr>
                <w:rFonts w:eastAsiaTheme="minorHAnsi"/>
                <w:b/>
                <w:bCs/>
                <w:sz w:val="22"/>
                <w:szCs w:val="22"/>
                <w:lang w:val="sr-Latn-RS"/>
              </w:rPr>
              <w:t>Preživljavaje bez napredovanja bolesti*</w:t>
            </w:r>
          </w:p>
        </w:tc>
        <w:tc>
          <w:tcPr>
            <w:tcW w:w="959" w:type="pct"/>
            <w:shd w:val="clear" w:color="auto" w:fill="auto"/>
          </w:tcPr>
          <w:p w14:paraId="5E09045F" w14:textId="77777777" w:rsidR="00F51566" w:rsidRPr="00234ECD" w:rsidRDefault="00F51566" w:rsidP="00F51566">
            <w:pPr>
              <w:keepNext/>
              <w:jc w:val="center"/>
              <w:rPr>
                <w:rFonts w:eastAsiaTheme="minorHAnsi"/>
                <w:b/>
                <w:bCs/>
                <w:sz w:val="22"/>
                <w:szCs w:val="22"/>
                <w:lang w:val="sr-Latn-RS"/>
              </w:rPr>
            </w:pPr>
          </w:p>
        </w:tc>
        <w:tc>
          <w:tcPr>
            <w:tcW w:w="901" w:type="pct"/>
            <w:shd w:val="clear" w:color="auto" w:fill="auto"/>
          </w:tcPr>
          <w:p w14:paraId="1AF9A10E" w14:textId="77777777" w:rsidR="00F51566" w:rsidRPr="00234ECD" w:rsidRDefault="00F51566" w:rsidP="00F51566">
            <w:pPr>
              <w:keepNext/>
              <w:jc w:val="center"/>
              <w:rPr>
                <w:rFonts w:eastAsiaTheme="minorHAnsi"/>
                <w:b/>
                <w:bCs/>
                <w:sz w:val="22"/>
                <w:szCs w:val="22"/>
                <w:lang w:val="sr-Latn-RS"/>
              </w:rPr>
            </w:pPr>
          </w:p>
        </w:tc>
        <w:tc>
          <w:tcPr>
            <w:tcW w:w="927" w:type="pct"/>
            <w:gridSpan w:val="2"/>
          </w:tcPr>
          <w:p w14:paraId="75A4692E" w14:textId="77777777" w:rsidR="00F51566" w:rsidRPr="00234ECD" w:rsidRDefault="00F51566" w:rsidP="00F51566">
            <w:pPr>
              <w:keepNext/>
              <w:jc w:val="center"/>
              <w:rPr>
                <w:rFonts w:eastAsiaTheme="minorHAnsi"/>
                <w:b/>
                <w:bCs/>
                <w:sz w:val="22"/>
                <w:szCs w:val="22"/>
                <w:lang w:val="sr-Latn-RS"/>
              </w:rPr>
            </w:pPr>
          </w:p>
        </w:tc>
        <w:tc>
          <w:tcPr>
            <w:tcW w:w="899" w:type="pct"/>
          </w:tcPr>
          <w:p w14:paraId="3F63F469" w14:textId="77777777" w:rsidR="00F51566" w:rsidRPr="00234ECD" w:rsidRDefault="00F51566" w:rsidP="00F51566">
            <w:pPr>
              <w:keepNext/>
              <w:jc w:val="center"/>
              <w:rPr>
                <w:rFonts w:eastAsiaTheme="minorHAnsi"/>
                <w:b/>
                <w:bCs/>
                <w:sz w:val="22"/>
                <w:szCs w:val="22"/>
                <w:lang w:val="sr-Latn-RS"/>
              </w:rPr>
            </w:pPr>
          </w:p>
        </w:tc>
      </w:tr>
      <w:tr w:rsidR="00F51566" w:rsidRPr="00234ECD" w14:paraId="41E30569" w14:textId="77777777" w:rsidTr="00714DD0">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4D5760FB" w14:textId="77777777" w:rsidR="00F51566" w:rsidRPr="00234ECD" w:rsidRDefault="00F51566" w:rsidP="00F51566">
            <w:pPr>
              <w:keepNext/>
              <w:rPr>
                <w:rFonts w:eastAsiaTheme="minorHAnsi"/>
                <w:sz w:val="22"/>
                <w:szCs w:val="22"/>
                <w:lang w:val="sr-Latn-RS"/>
              </w:rPr>
            </w:pPr>
            <w:r w:rsidRPr="00234ECD">
              <w:rPr>
                <w:rFonts w:eastAsiaTheme="minorHAnsi"/>
                <w:sz w:val="22"/>
                <w:szCs w:val="22"/>
                <w:lang w:val="sr-Latn-RS"/>
              </w:rPr>
              <w:t>Broj događaja, (%)</w:t>
            </w:r>
          </w:p>
        </w:tc>
        <w:tc>
          <w:tcPr>
            <w:tcW w:w="959" w:type="pct"/>
            <w:tcBorders>
              <w:top w:val="single" w:sz="4" w:space="0" w:color="auto"/>
              <w:left w:val="single" w:sz="4" w:space="0" w:color="auto"/>
              <w:bottom w:val="single" w:sz="4" w:space="0" w:color="auto"/>
              <w:right w:val="single" w:sz="4" w:space="0" w:color="auto"/>
            </w:tcBorders>
            <w:shd w:val="clear" w:color="auto" w:fill="auto"/>
          </w:tcPr>
          <w:p w14:paraId="2C305321"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31 (25)</w:t>
            </w:r>
          </w:p>
        </w:tc>
        <w:tc>
          <w:tcPr>
            <w:tcW w:w="908" w:type="pct"/>
            <w:gridSpan w:val="2"/>
            <w:tcBorders>
              <w:top w:val="single" w:sz="4" w:space="0" w:color="auto"/>
              <w:left w:val="single" w:sz="4" w:space="0" w:color="auto"/>
              <w:bottom w:val="single" w:sz="4" w:space="0" w:color="auto"/>
              <w:right w:val="single" w:sz="4" w:space="0" w:color="auto"/>
            </w:tcBorders>
            <w:shd w:val="clear" w:color="auto" w:fill="auto"/>
          </w:tcPr>
          <w:p w14:paraId="54F1D993"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43 (69)</w:t>
            </w:r>
          </w:p>
        </w:tc>
        <w:tc>
          <w:tcPr>
            <w:tcW w:w="927" w:type="pct"/>
            <w:tcBorders>
              <w:top w:val="single" w:sz="4" w:space="0" w:color="auto"/>
              <w:left w:val="single" w:sz="4" w:space="0" w:color="auto"/>
              <w:bottom w:val="single" w:sz="4" w:space="0" w:color="auto"/>
              <w:right w:val="single" w:sz="4" w:space="0" w:color="auto"/>
            </w:tcBorders>
          </w:tcPr>
          <w:p w14:paraId="5D34CC45"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62 (36)</w:t>
            </w:r>
          </w:p>
        </w:tc>
        <w:tc>
          <w:tcPr>
            <w:tcW w:w="892" w:type="pct"/>
            <w:tcBorders>
              <w:top w:val="single" w:sz="4" w:space="0" w:color="auto"/>
              <w:left w:val="single" w:sz="4" w:space="0" w:color="auto"/>
              <w:bottom w:val="single" w:sz="4" w:space="0" w:color="auto"/>
              <w:right w:val="single" w:sz="4" w:space="0" w:color="auto"/>
            </w:tcBorders>
          </w:tcPr>
          <w:p w14:paraId="4D8D542C"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69 (78)</w:t>
            </w:r>
          </w:p>
        </w:tc>
      </w:tr>
      <w:tr w:rsidR="00F51566" w:rsidRPr="00234ECD" w14:paraId="5E3399FA" w14:textId="77777777" w:rsidTr="00714DD0">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3D53566D" w14:textId="77777777" w:rsidR="00F51566" w:rsidRPr="00234ECD" w:rsidRDefault="00F51566" w:rsidP="00F51566">
            <w:pPr>
              <w:keepNext/>
              <w:ind w:left="311"/>
              <w:rPr>
                <w:rFonts w:eastAsiaTheme="minorHAnsi"/>
                <w:sz w:val="22"/>
                <w:szCs w:val="22"/>
                <w:lang w:val="sr-Latn-RS"/>
              </w:rPr>
            </w:pPr>
            <w:r w:rsidRPr="00234ECD">
              <w:rPr>
                <w:rFonts w:eastAsiaTheme="minorHAnsi"/>
                <w:sz w:val="22"/>
                <w:szCs w:val="22"/>
                <w:lang w:val="sr-Latn-RS"/>
              </w:rPr>
              <w:t>Progresivna bolest</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14:paraId="41275FCD"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25 (20)</w:t>
            </w:r>
          </w:p>
        </w:tc>
        <w:tc>
          <w:tcPr>
            <w:tcW w:w="9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930AE6"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41 (66)</w:t>
            </w:r>
          </w:p>
        </w:tc>
        <w:tc>
          <w:tcPr>
            <w:tcW w:w="927" w:type="pct"/>
            <w:tcBorders>
              <w:top w:val="single" w:sz="4" w:space="0" w:color="auto"/>
              <w:left w:val="single" w:sz="4" w:space="0" w:color="auto"/>
              <w:bottom w:val="single" w:sz="4" w:space="0" w:color="auto"/>
              <w:right w:val="single" w:sz="4" w:space="0" w:color="auto"/>
            </w:tcBorders>
            <w:vAlign w:val="center"/>
          </w:tcPr>
          <w:p w14:paraId="0A15E1B7"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50 (29)</w:t>
            </w:r>
          </w:p>
        </w:tc>
        <w:tc>
          <w:tcPr>
            <w:tcW w:w="892" w:type="pct"/>
            <w:tcBorders>
              <w:top w:val="single" w:sz="4" w:space="0" w:color="auto"/>
              <w:left w:val="single" w:sz="4" w:space="0" w:color="auto"/>
              <w:bottom w:val="single" w:sz="4" w:space="0" w:color="auto"/>
              <w:right w:val="single" w:sz="4" w:space="0" w:color="auto"/>
            </w:tcBorders>
            <w:vAlign w:val="center"/>
          </w:tcPr>
          <w:p w14:paraId="0480D9E3"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65 (74)</w:t>
            </w:r>
          </w:p>
        </w:tc>
      </w:tr>
      <w:tr w:rsidR="00F51566" w:rsidRPr="00234ECD" w14:paraId="31FB86EF" w14:textId="77777777" w:rsidTr="00714DD0">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7CA6F4B7" w14:textId="77777777" w:rsidR="00F51566" w:rsidRPr="00234ECD" w:rsidRDefault="00F51566" w:rsidP="00F51566">
            <w:pPr>
              <w:keepNext/>
              <w:ind w:left="311"/>
              <w:rPr>
                <w:rFonts w:eastAsiaTheme="minorHAnsi"/>
                <w:sz w:val="22"/>
                <w:szCs w:val="22"/>
                <w:lang w:val="sr-Latn-RS"/>
              </w:rPr>
            </w:pPr>
            <w:r w:rsidRPr="00234ECD">
              <w:rPr>
                <w:rFonts w:eastAsiaTheme="minorHAnsi"/>
                <w:sz w:val="22"/>
                <w:szCs w:val="22"/>
                <w:lang w:val="sr-Latn-RS"/>
              </w:rPr>
              <w:t>Smrt</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14:paraId="2C071C13"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6 (4,8)</w:t>
            </w:r>
          </w:p>
        </w:tc>
        <w:tc>
          <w:tcPr>
            <w:tcW w:w="9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CCC7AA"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2 (3,2)</w:t>
            </w:r>
          </w:p>
        </w:tc>
        <w:tc>
          <w:tcPr>
            <w:tcW w:w="927" w:type="pct"/>
            <w:tcBorders>
              <w:top w:val="single" w:sz="4" w:space="0" w:color="auto"/>
              <w:left w:val="single" w:sz="4" w:space="0" w:color="auto"/>
              <w:bottom w:val="single" w:sz="4" w:space="0" w:color="auto"/>
              <w:right w:val="single" w:sz="4" w:space="0" w:color="auto"/>
            </w:tcBorders>
            <w:vAlign w:val="center"/>
          </w:tcPr>
          <w:p w14:paraId="76149886"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12 (7,1)</w:t>
            </w:r>
          </w:p>
        </w:tc>
        <w:tc>
          <w:tcPr>
            <w:tcW w:w="892" w:type="pct"/>
            <w:tcBorders>
              <w:top w:val="single" w:sz="4" w:space="0" w:color="auto"/>
              <w:left w:val="single" w:sz="4" w:space="0" w:color="auto"/>
              <w:bottom w:val="single" w:sz="4" w:space="0" w:color="auto"/>
              <w:right w:val="single" w:sz="4" w:space="0" w:color="auto"/>
            </w:tcBorders>
            <w:vAlign w:val="center"/>
          </w:tcPr>
          <w:p w14:paraId="0F2C4FBC"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4 (4,5)</w:t>
            </w:r>
          </w:p>
        </w:tc>
      </w:tr>
      <w:tr w:rsidR="00F51566" w:rsidRPr="00234ECD" w14:paraId="06B4A52E" w14:textId="77777777" w:rsidTr="00714DD0">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19745C0A" w14:textId="654111D6" w:rsidR="00F51566" w:rsidRPr="00234ECD" w:rsidRDefault="00F51566" w:rsidP="00F51566">
            <w:pPr>
              <w:keepNext/>
              <w:rPr>
                <w:rFonts w:eastAsiaTheme="minorHAnsi"/>
                <w:sz w:val="22"/>
                <w:szCs w:val="22"/>
                <w:lang w:val="sr-Latn-RS"/>
              </w:rPr>
            </w:pPr>
            <w:r w:rsidRPr="00234ECD">
              <w:rPr>
                <w:rFonts w:eastAsiaTheme="minorHAnsi"/>
                <w:sz w:val="22"/>
                <w:szCs w:val="22"/>
                <w:lang w:val="sr-Latn-RS"/>
              </w:rPr>
              <w:t>Medijana PFS u m</w:t>
            </w:r>
            <w:r w:rsidR="00102D3E" w:rsidRPr="00234ECD">
              <w:rPr>
                <w:rFonts w:eastAsiaTheme="minorHAnsi"/>
                <w:sz w:val="22"/>
                <w:szCs w:val="22"/>
                <w:lang w:val="sr-Latn-RS"/>
              </w:rPr>
              <w:t>j</w:t>
            </w:r>
            <w:r w:rsidRPr="00234ECD">
              <w:rPr>
                <w:rFonts w:eastAsiaTheme="minorHAnsi"/>
                <w:sz w:val="22"/>
                <w:szCs w:val="22"/>
                <w:lang w:val="sr-Latn-RS"/>
              </w:rPr>
              <w:t>esecima (96% CI)</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14:paraId="1FFB9D9D"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N.E. (5,7; N.E.)</w:t>
            </w:r>
          </w:p>
        </w:tc>
        <w:tc>
          <w:tcPr>
            <w:tcW w:w="9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DA496F"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1,9 (1,8; 3,6)</w:t>
            </w:r>
          </w:p>
        </w:tc>
        <w:tc>
          <w:tcPr>
            <w:tcW w:w="927" w:type="pct"/>
            <w:tcBorders>
              <w:top w:val="single" w:sz="4" w:space="0" w:color="auto"/>
              <w:left w:val="single" w:sz="4" w:space="0" w:color="auto"/>
              <w:bottom w:val="single" w:sz="4" w:space="0" w:color="auto"/>
              <w:right w:val="single" w:sz="4" w:space="0" w:color="auto"/>
            </w:tcBorders>
            <w:vAlign w:val="center"/>
          </w:tcPr>
          <w:p w14:paraId="5B3FE00B"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11,0 (7,4; 13,8)</w:t>
            </w:r>
          </w:p>
        </w:tc>
        <w:tc>
          <w:tcPr>
            <w:tcW w:w="892" w:type="pct"/>
            <w:tcBorders>
              <w:top w:val="single" w:sz="4" w:space="0" w:color="auto"/>
              <w:left w:val="single" w:sz="4" w:space="0" w:color="auto"/>
              <w:bottom w:val="single" w:sz="4" w:space="0" w:color="auto"/>
              <w:right w:val="single" w:sz="4" w:space="0" w:color="auto"/>
            </w:tcBorders>
            <w:vAlign w:val="center"/>
          </w:tcPr>
          <w:p w14:paraId="3C82F318"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1,9 (1,9; 3,7)</w:t>
            </w:r>
          </w:p>
        </w:tc>
      </w:tr>
      <w:tr w:rsidR="00F51566" w:rsidRPr="00234ECD" w14:paraId="27038114" w14:textId="77777777" w:rsidTr="00714DD0">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5B3197CC" w14:textId="77777777" w:rsidR="00F51566" w:rsidRPr="00234ECD" w:rsidRDefault="00F51566" w:rsidP="00F51566">
            <w:pPr>
              <w:keepNext/>
              <w:rPr>
                <w:rFonts w:eastAsiaTheme="minorHAnsi"/>
                <w:sz w:val="22"/>
                <w:szCs w:val="22"/>
                <w:lang w:val="sr-Latn-RS"/>
              </w:rPr>
            </w:pPr>
            <w:r w:rsidRPr="00234ECD">
              <w:rPr>
                <w:rFonts w:eastAsiaTheme="minorHAnsi"/>
                <w:sz w:val="22"/>
                <w:szCs w:val="22"/>
                <w:lang w:val="sr-Latn-RS"/>
              </w:rPr>
              <w:t>Odnos rizika (96% CI)</w:t>
            </w:r>
            <w:r w:rsidRPr="00234ECD">
              <w:rPr>
                <w:rFonts w:eastAsiaTheme="minorHAnsi"/>
                <w:sz w:val="22"/>
                <w:szCs w:val="22"/>
                <w:vertAlign w:val="superscript"/>
                <w:lang w:val="sr-Latn-RS"/>
              </w:rPr>
              <w:t>3</w:t>
            </w:r>
          </w:p>
        </w:tc>
        <w:tc>
          <w:tcPr>
            <w:tcW w:w="1867" w:type="pct"/>
            <w:gridSpan w:val="3"/>
            <w:tcBorders>
              <w:top w:val="single" w:sz="4" w:space="0" w:color="auto"/>
              <w:left w:val="single" w:sz="4" w:space="0" w:color="auto"/>
              <w:bottom w:val="single" w:sz="4" w:space="0" w:color="auto"/>
              <w:right w:val="single" w:sz="4" w:space="0" w:color="auto"/>
            </w:tcBorders>
            <w:shd w:val="clear" w:color="auto" w:fill="auto"/>
          </w:tcPr>
          <w:p w14:paraId="18994EE5"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0,22 (0,13; 0,36)</w:t>
            </w:r>
          </w:p>
        </w:tc>
        <w:tc>
          <w:tcPr>
            <w:tcW w:w="1819" w:type="pct"/>
            <w:gridSpan w:val="2"/>
            <w:tcBorders>
              <w:top w:val="single" w:sz="4" w:space="0" w:color="auto"/>
              <w:left w:val="single" w:sz="4" w:space="0" w:color="auto"/>
              <w:bottom w:val="single" w:sz="4" w:space="0" w:color="auto"/>
              <w:right w:val="single" w:sz="4" w:space="0" w:color="auto"/>
            </w:tcBorders>
            <w:vAlign w:val="center"/>
          </w:tcPr>
          <w:p w14:paraId="4C745C3D"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0,22 (0,15; 0,32)</w:t>
            </w:r>
          </w:p>
        </w:tc>
      </w:tr>
      <w:tr w:rsidR="00F51566" w:rsidRPr="00234ECD" w14:paraId="1346F65A" w14:textId="77777777" w:rsidTr="00714DD0">
        <w:tc>
          <w:tcPr>
            <w:tcW w:w="1314" w:type="pct"/>
            <w:shd w:val="clear" w:color="auto" w:fill="auto"/>
            <w:vAlign w:val="center"/>
          </w:tcPr>
          <w:p w14:paraId="4C7BABD7" w14:textId="4AD9564B" w:rsidR="00F51566" w:rsidRPr="00234ECD" w:rsidRDefault="00F51566" w:rsidP="00F51566">
            <w:pPr>
              <w:keepNext/>
              <w:rPr>
                <w:rFonts w:eastAsiaTheme="minorHAnsi"/>
                <w:sz w:val="22"/>
                <w:szCs w:val="22"/>
                <w:lang w:val="sr-Latn-RS"/>
              </w:rPr>
            </w:pPr>
            <w:r w:rsidRPr="00234ECD">
              <w:rPr>
                <w:rFonts w:eastAsiaTheme="minorHAnsi"/>
                <w:sz w:val="22"/>
                <w:szCs w:val="22"/>
                <w:lang w:val="sr-Latn-RS"/>
              </w:rPr>
              <w:t>p</w:t>
            </w:r>
            <w:r w:rsidRPr="00234ECD">
              <w:rPr>
                <w:rFonts w:eastAsiaTheme="minorHAnsi"/>
                <w:sz w:val="22"/>
                <w:szCs w:val="22"/>
                <w:lang w:val="sr-Latn-RS"/>
              </w:rPr>
              <w:noBreakHyphen/>
              <w:t>vr</w:t>
            </w:r>
            <w:r w:rsidR="009A65FD" w:rsidRPr="00234ECD">
              <w:rPr>
                <w:rFonts w:eastAsiaTheme="minorHAnsi"/>
                <w:sz w:val="22"/>
                <w:szCs w:val="22"/>
                <w:lang w:val="sr-Latn-RS"/>
              </w:rPr>
              <w:t>ij</w:t>
            </w:r>
            <w:r w:rsidRPr="00234ECD">
              <w:rPr>
                <w:rFonts w:eastAsiaTheme="minorHAnsi"/>
                <w:sz w:val="22"/>
                <w:szCs w:val="22"/>
                <w:lang w:val="sr-Latn-RS"/>
              </w:rPr>
              <w:t>ednost</w:t>
            </w:r>
            <w:r w:rsidRPr="00234ECD">
              <w:rPr>
                <w:rFonts w:eastAsiaTheme="minorHAnsi"/>
                <w:sz w:val="22"/>
                <w:szCs w:val="22"/>
                <w:vertAlign w:val="superscript"/>
                <w:lang w:val="sr-Latn-RS"/>
              </w:rPr>
              <w:t>4</w:t>
            </w:r>
          </w:p>
        </w:tc>
        <w:tc>
          <w:tcPr>
            <w:tcW w:w="1867" w:type="pct"/>
            <w:gridSpan w:val="3"/>
            <w:shd w:val="clear" w:color="auto" w:fill="auto"/>
          </w:tcPr>
          <w:p w14:paraId="3F7C2D33"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&lt; 0,0001</w:t>
            </w:r>
          </w:p>
        </w:tc>
        <w:tc>
          <w:tcPr>
            <w:tcW w:w="1819" w:type="pct"/>
            <w:gridSpan w:val="2"/>
          </w:tcPr>
          <w:p w14:paraId="19DECC0E" w14:textId="77777777" w:rsidR="00F51566" w:rsidRPr="00234ECD" w:rsidRDefault="00F51566" w:rsidP="00F51566">
            <w:pPr>
              <w:keepNext/>
              <w:jc w:val="center"/>
              <w:rPr>
                <w:rFonts w:eastAsiaTheme="minorHAnsi"/>
                <w:sz w:val="22"/>
                <w:szCs w:val="22"/>
                <w:lang w:val="sr-Latn-RS"/>
              </w:rPr>
            </w:pPr>
          </w:p>
        </w:tc>
      </w:tr>
      <w:tr w:rsidR="00F51566" w:rsidRPr="00234ECD" w14:paraId="742B1919" w14:textId="77777777" w:rsidTr="00714DD0">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24659631" w14:textId="77777777" w:rsidR="00F51566" w:rsidRPr="00234ECD" w:rsidRDefault="00F51566" w:rsidP="00F51566">
            <w:pPr>
              <w:keepNext/>
              <w:rPr>
                <w:rFonts w:eastAsiaTheme="minorHAnsi"/>
                <w:b/>
                <w:bCs/>
                <w:sz w:val="22"/>
                <w:szCs w:val="22"/>
                <w:lang w:val="sr-Latn-RS"/>
              </w:rPr>
            </w:pPr>
            <w:r w:rsidRPr="00234ECD">
              <w:rPr>
                <w:rFonts w:eastAsiaTheme="minorHAnsi"/>
                <w:b/>
                <w:bCs/>
                <w:sz w:val="22"/>
                <w:szCs w:val="22"/>
                <w:lang w:val="sr-Latn-RS"/>
              </w:rPr>
              <w:t>Ukupno preživljavanje</w:t>
            </w:r>
          </w:p>
        </w:tc>
        <w:tc>
          <w:tcPr>
            <w:tcW w:w="1867" w:type="pct"/>
            <w:gridSpan w:val="3"/>
            <w:tcBorders>
              <w:top w:val="single" w:sz="4" w:space="0" w:color="auto"/>
              <w:left w:val="single" w:sz="4" w:space="0" w:color="auto"/>
              <w:bottom w:val="single" w:sz="4" w:space="0" w:color="auto"/>
              <w:right w:val="single" w:sz="4" w:space="0" w:color="auto"/>
            </w:tcBorders>
            <w:shd w:val="clear" w:color="auto" w:fill="auto"/>
          </w:tcPr>
          <w:p w14:paraId="683F91D1" w14:textId="77777777" w:rsidR="00F51566" w:rsidRPr="00234ECD" w:rsidRDefault="00F51566" w:rsidP="00F51566">
            <w:pPr>
              <w:keepNext/>
              <w:jc w:val="center"/>
              <w:rPr>
                <w:rFonts w:eastAsiaTheme="minorHAnsi"/>
                <w:sz w:val="22"/>
                <w:szCs w:val="22"/>
                <w:lang w:val="sr-Latn-RS"/>
              </w:rPr>
            </w:pPr>
          </w:p>
        </w:tc>
        <w:tc>
          <w:tcPr>
            <w:tcW w:w="927" w:type="pct"/>
            <w:tcBorders>
              <w:top w:val="single" w:sz="4" w:space="0" w:color="auto"/>
              <w:left w:val="single" w:sz="4" w:space="0" w:color="auto"/>
              <w:bottom w:val="single" w:sz="4" w:space="0" w:color="auto"/>
              <w:right w:val="single" w:sz="4" w:space="0" w:color="auto"/>
            </w:tcBorders>
          </w:tcPr>
          <w:p w14:paraId="69C9EBB8" w14:textId="77777777" w:rsidR="00F51566" w:rsidRPr="00234ECD" w:rsidRDefault="00F51566" w:rsidP="00F51566">
            <w:pPr>
              <w:keepNext/>
              <w:jc w:val="center"/>
              <w:rPr>
                <w:rFonts w:eastAsiaTheme="minorHAnsi"/>
                <w:sz w:val="22"/>
                <w:szCs w:val="22"/>
                <w:lang w:val="sr-Latn-RS"/>
              </w:rPr>
            </w:pPr>
          </w:p>
        </w:tc>
        <w:tc>
          <w:tcPr>
            <w:tcW w:w="892" w:type="pct"/>
            <w:tcBorders>
              <w:top w:val="single" w:sz="4" w:space="0" w:color="auto"/>
              <w:left w:val="single" w:sz="4" w:space="0" w:color="auto"/>
              <w:bottom w:val="single" w:sz="4" w:space="0" w:color="auto"/>
              <w:right w:val="single" w:sz="4" w:space="0" w:color="auto"/>
            </w:tcBorders>
          </w:tcPr>
          <w:p w14:paraId="0264E829" w14:textId="77777777" w:rsidR="00F51566" w:rsidRPr="00234ECD" w:rsidRDefault="00F51566" w:rsidP="00F51566">
            <w:pPr>
              <w:keepNext/>
              <w:jc w:val="center"/>
              <w:rPr>
                <w:rFonts w:eastAsiaTheme="minorHAnsi"/>
                <w:sz w:val="22"/>
                <w:szCs w:val="22"/>
                <w:lang w:val="sr-Latn-RS"/>
              </w:rPr>
            </w:pPr>
          </w:p>
        </w:tc>
      </w:tr>
      <w:tr w:rsidR="00F51566" w:rsidRPr="00234ECD" w14:paraId="63B6D8D2" w14:textId="77777777" w:rsidTr="00714DD0">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346EDABB" w14:textId="77777777" w:rsidR="00F51566" w:rsidRPr="00234ECD" w:rsidRDefault="00F51566" w:rsidP="00F51566">
            <w:pPr>
              <w:keepNext/>
              <w:rPr>
                <w:rFonts w:eastAsiaTheme="minorHAnsi"/>
                <w:sz w:val="22"/>
                <w:szCs w:val="22"/>
                <w:lang w:val="sr-Latn-RS"/>
              </w:rPr>
            </w:pPr>
            <w:r w:rsidRPr="00234ECD">
              <w:rPr>
                <w:rFonts w:eastAsiaTheme="minorHAnsi"/>
                <w:sz w:val="22"/>
                <w:szCs w:val="22"/>
                <w:lang w:val="sr-Latn-RS"/>
              </w:rPr>
              <w:t>Događaji, n (%)</w:t>
            </w:r>
          </w:p>
        </w:tc>
        <w:tc>
          <w:tcPr>
            <w:tcW w:w="959" w:type="pct"/>
            <w:tcBorders>
              <w:top w:val="single" w:sz="4" w:space="0" w:color="auto"/>
              <w:left w:val="single" w:sz="4" w:space="0" w:color="auto"/>
              <w:bottom w:val="single" w:sz="4" w:space="0" w:color="auto"/>
              <w:right w:val="single" w:sz="4" w:space="0" w:color="auto"/>
            </w:tcBorders>
            <w:shd w:val="clear" w:color="auto" w:fill="auto"/>
            <w:vAlign w:val="center"/>
          </w:tcPr>
          <w:p w14:paraId="1BCA1213"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17 (14)</w:t>
            </w:r>
          </w:p>
        </w:tc>
        <w:tc>
          <w:tcPr>
            <w:tcW w:w="90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242A16"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14 (23)</w:t>
            </w:r>
          </w:p>
        </w:tc>
        <w:tc>
          <w:tcPr>
            <w:tcW w:w="927" w:type="pct"/>
            <w:tcBorders>
              <w:top w:val="single" w:sz="4" w:space="0" w:color="auto"/>
              <w:left w:val="single" w:sz="4" w:space="0" w:color="auto"/>
              <w:bottom w:val="single" w:sz="4" w:space="0" w:color="auto"/>
              <w:right w:val="single" w:sz="4" w:space="0" w:color="auto"/>
            </w:tcBorders>
          </w:tcPr>
          <w:p w14:paraId="306F56E6"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37 (22)</w:t>
            </w:r>
          </w:p>
        </w:tc>
        <w:tc>
          <w:tcPr>
            <w:tcW w:w="892" w:type="pct"/>
            <w:tcBorders>
              <w:top w:val="single" w:sz="4" w:space="0" w:color="auto"/>
              <w:left w:val="single" w:sz="4" w:space="0" w:color="auto"/>
              <w:bottom w:val="single" w:sz="4" w:space="0" w:color="auto"/>
              <w:right w:val="single" w:sz="4" w:space="0" w:color="auto"/>
            </w:tcBorders>
          </w:tcPr>
          <w:p w14:paraId="3A658547"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21 (24)</w:t>
            </w:r>
          </w:p>
        </w:tc>
      </w:tr>
      <w:tr w:rsidR="00F51566" w:rsidRPr="00234ECD" w14:paraId="706B7902" w14:textId="77777777" w:rsidTr="00714DD0">
        <w:tc>
          <w:tcPr>
            <w:tcW w:w="1314" w:type="pct"/>
            <w:shd w:val="clear" w:color="auto" w:fill="auto"/>
            <w:vAlign w:val="center"/>
          </w:tcPr>
          <w:p w14:paraId="78A8DCEF" w14:textId="77777777" w:rsidR="00F51566" w:rsidRPr="00234ECD" w:rsidRDefault="00F51566" w:rsidP="00F51566">
            <w:pPr>
              <w:keepNext/>
              <w:rPr>
                <w:rFonts w:eastAsiaTheme="minorHAnsi"/>
                <w:sz w:val="22"/>
                <w:szCs w:val="22"/>
                <w:lang w:val="sr-Latn-RS"/>
              </w:rPr>
            </w:pPr>
            <w:r w:rsidRPr="00234ECD">
              <w:rPr>
                <w:rFonts w:eastAsiaTheme="minorHAnsi"/>
                <w:sz w:val="22"/>
                <w:szCs w:val="22"/>
                <w:lang w:val="sr-Latn-RS"/>
              </w:rPr>
              <w:t>Odnos rizika</w:t>
            </w:r>
            <w:r w:rsidRPr="00234ECD">
              <w:rPr>
                <w:rFonts w:eastAsiaTheme="minorHAnsi"/>
                <w:sz w:val="22"/>
                <w:szCs w:val="22"/>
                <w:vertAlign w:val="superscript"/>
                <w:lang w:val="sr-Latn-RS"/>
              </w:rPr>
              <w:t>3</w:t>
            </w:r>
            <w:r w:rsidRPr="00234ECD">
              <w:rPr>
                <w:rFonts w:eastAsiaTheme="minorHAnsi"/>
                <w:sz w:val="22"/>
                <w:szCs w:val="22"/>
                <w:lang w:val="sr-Latn-RS"/>
              </w:rPr>
              <w:t xml:space="preserve"> (95% CI)</w:t>
            </w:r>
          </w:p>
        </w:tc>
        <w:tc>
          <w:tcPr>
            <w:tcW w:w="1867" w:type="pct"/>
            <w:gridSpan w:val="3"/>
            <w:shd w:val="clear" w:color="auto" w:fill="auto"/>
          </w:tcPr>
          <w:p w14:paraId="0130A534"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0,54 (0,27; 1,11)</w:t>
            </w:r>
          </w:p>
        </w:tc>
        <w:tc>
          <w:tcPr>
            <w:tcW w:w="1819" w:type="pct"/>
            <w:gridSpan w:val="2"/>
          </w:tcPr>
          <w:p w14:paraId="423E706A"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0,76 (0,45; 1,31)</w:t>
            </w:r>
          </w:p>
        </w:tc>
      </w:tr>
      <w:tr w:rsidR="00F51566" w:rsidRPr="00234ECD" w14:paraId="03BD1CE2" w14:textId="77777777" w:rsidTr="00714DD0">
        <w:tc>
          <w:tcPr>
            <w:tcW w:w="1314" w:type="pct"/>
            <w:shd w:val="clear" w:color="auto" w:fill="auto"/>
          </w:tcPr>
          <w:p w14:paraId="660E399C" w14:textId="77777777" w:rsidR="00F51566" w:rsidRPr="00234ECD" w:rsidRDefault="00F51566" w:rsidP="00F51566">
            <w:pPr>
              <w:keepNext/>
              <w:rPr>
                <w:rFonts w:eastAsiaTheme="minorHAnsi"/>
                <w:sz w:val="22"/>
                <w:szCs w:val="22"/>
                <w:lang w:val="sr-Latn-RS"/>
              </w:rPr>
            </w:pPr>
          </w:p>
        </w:tc>
        <w:tc>
          <w:tcPr>
            <w:tcW w:w="3686" w:type="pct"/>
            <w:gridSpan w:val="5"/>
            <w:shd w:val="clear" w:color="auto" w:fill="auto"/>
          </w:tcPr>
          <w:p w14:paraId="4AC5077D" w14:textId="77777777" w:rsidR="00F51566" w:rsidRPr="00234ECD" w:rsidRDefault="00F51566" w:rsidP="00F51566">
            <w:pPr>
              <w:keepNext/>
              <w:jc w:val="center"/>
              <w:rPr>
                <w:rFonts w:eastAsiaTheme="minorHAnsi"/>
                <w:b/>
                <w:bCs/>
                <w:sz w:val="22"/>
                <w:szCs w:val="22"/>
                <w:lang w:val="sr-Latn-RS"/>
              </w:rPr>
            </w:pPr>
            <w:r w:rsidRPr="00234ECD">
              <w:rPr>
                <w:rFonts w:eastAsiaTheme="minorHAnsi"/>
                <w:b/>
                <w:bCs/>
                <w:sz w:val="22"/>
                <w:szCs w:val="22"/>
                <w:lang w:val="sr-Latn-RS"/>
              </w:rPr>
              <w:t>Primarna analiza</w:t>
            </w:r>
            <w:r w:rsidRPr="00234ECD">
              <w:rPr>
                <w:rFonts w:eastAsiaTheme="minorHAnsi"/>
                <w:b/>
                <w:bCs/>
                <w:sz w:val="22"/>
                <w:szCs w:val="22"/>
                <w:vertAlign w:val="superscript"/>
                <w:lang w:val="sr-Latn-RS"/>
              </w:rPr>
              <w:t>1</w:t>
            </w:r>
          </w:p>
        </w:tc>
      </w:tr>
      <w:tr w:rsidR="00F51566" w:rsidRPr="00234ECD" w14:paraId="436F8758" w14:textId="77777777" w:rsidTr="00714DD0">
        <w:tc>
          <w:tcPr>
            <w:tcW w:w="1314" w:type="pct"/>
            <w:shd w:val="clear" w:color="auto" w:fill="auto"/>
            <w:vAlign w:val="center"/>
          </w:tcPr>
          <w:p w14:paraId="0909AEBF" w14:textId="77777777" w:rsidR="00F51566" w:rsidRPr="00234ECD" w:rsidRDefault="00F51566" w:rsidP="00F51566">
            <w:pPr>
              <w:keepNext/>
              <w:rPr>
                <w:rFonts w:eastAsiaTheme="minorHAnsi"/>
                <w:b/>
                <w:sz w:val="22"/>
                <w:szCs w:val="22"/>
                <w:vertAlign w:val="superscript"/>
                <w:lang w:val="sr-Latn-RS"/>
              </w:rPr>
            </w:pPr>
            <w:r w:rsidRPr="00234ECD">
              <w:rPr>
                <w:rFonts w:eastAsiaTheme="minorHAnsi"/>
                <w:b/>
                <w:sz w:val="22"/>
                <w:szCs w:val="22"/>
                <w:lang w:val="sr-Latn-RS"/>
              </w:rPr>
              <w:t>Stopa objektivnog odgovora (ORR)</w:t>
            </w:r>
            <w:r w:rsidRPr="00234ECD">
              <w:rPr>
                <w:rFonts w:eastAsiaTheme="minorHAnsi"/>
                <w:b/>
                <w:sz w:val="22"/>
                <w:szCs w:val="22"/>
                <w:vertAlign w:val="superscript"/>
                <w:lang w:val="sr-Latn-RS"/>
              </w:rPr>
              <w:t>5</w:t>
            </w:r>
          </w:p>
        </w:tc>
        <w:tc>
          <w:tcPr>
            <w:tcW w:w="1860" w:type="pct"/>
            <w:gridSpan w:val="2"/>
            <w:shd w:val="clear" w:color="auto" w:fill="auto"/>
          </w:tcPr>
          <w:p w14:paraId="5381820B" w14:textId="77777777" w:rsidR="00F51566" w:rsidRPr="00234ECD" w:rsidRDefault="00F51566" w:rsidP="00F51566">
            <w:pPr>
              <w:keepNext/>
              <w:jc w:val="center"/>
              <w:rPr>
                <w:rFonts w:eastAsiaTheme="minorHAnsi"/>
                <w:sz w:val="22"/>
                <w:szCs w:val="22"/>
                <w:lang w:val="sr-Latn-RS"/>
              </w:rPr>
            </w:pPr>
          </w:p>
        </w:tc>
        <w:tc>
          <w:tcPr>
            <w:tcW w:w="1826" w:type="pct"/>
            <w:gridSpan w:val="3"/>
          </w:tcPr>
          <w:p w14:paraId="2A66C3BA" w14:textId="77777777" w:rsidR="00F51566" w:rsidRPr="00234ECD" w:rsidRDefault="00F51566" w:rsidP="00F51566">
            <w:pPr>
              <w:keepNext/>
              <w:jc w:val="center"/>
              <w:rPr>
                <w:rFonts w:eastAsiaTheme="minorHAnsi"/>
                <w:sz w:val="22"/>
                <w:szCs w:val="22"/>
                <w:lang w:val="sr-Latn-RS"/>
              </w:rPr>
            </w:pPr>
          </w:p>
        </w:tc>
      </w:tr>
      <w:tr w:rsidR="00F51566" w:rsidRPr="00234ECD" w14:paraId="091DA7C7" w14:textId="77777777" w:rsidTr="00714DD0">
        <w:tc>
          <w:tcPr>
            <w:tcW w:w="1314" w:type="pct"/>
            <w:shd w:val="clear" w:color="auto" w:fill="auto"/>
            <w:vAlign w:val="center"/>
          </w:tcPr>
          <w:p w14:paraId="28A80D77" w14:textId="77777777" w:rsidR="00F51566" w:rsidRPr="00234ECD" w:rsidRDefault="00F51566" w:rsidP="00F51566">
            <w:pPr>
              <w:keepNext/>
              <w:rPr>
                <w:rFonts w:eastAsiaTheme="minorHAnsi"/>
                <w:sz w:val="22"/>
                <w:szCs w:val="22"/>
                <w:lang w:val="sr-Latn-RS"/>
              </w:rPr>
            </w:pPr>
          </w:p>
        </w:tc>
        <w:tc>
          <w:tcPr>
            <w:tcW w:w="1860" w:type="pct"/>
            <w:gridSpan w:val="2"/>
            <w:shd w:val="clear" w:color="auto" w:fill="auto"/>
          </w:tcPr>
          <w:p w14:paraId="5219678B" w14:textId="44783C85" w:rsidR="00F51566" w:rsidRPr="00234ECD" w:rsidRDefault="00D62353" w:rsidP="00F51566">
            <w:pPr>
              <w:keepNext/>
              <w:jc w:val="center"/>
              <w:rPr>
                <w:rFonts w:eastAsiaTheme="minorHAnsi"/>
                <w:sz w:val="22"/>
                <w:szCs w:val="22"/>
                <w:lang w:val="sr-Latn-RS"/>
              </w:rPr>
            </w:pPr>
            <w:r w:rsidRPr="00234ECD">
              <w:rPr>
                <w:rFonts w:eastAsiaTheme="minorHAnsi"/>
                <w:b/>
                <w:bCs/>
                <w:sz w:val="22"/>
                <w:szCs w:val="22"/>
                <w:lang w:val="sr-Latn-RS"/>
              </w:rPr>
              <w:t>Cabometyx</w:t>
            </w:r>
            <w:r w:rsidR="00F51566" w:rsidRPr="00234ECD">
              <w:rPr>
                <w:rFonts w:eastAsiaTheme="minorHAnsi"/>
                <w:b/>
                <w:bCs/>
                <w:sz w:val="22"/>
                <w:szCs w:val="22"/>
                <w:lang w:val="sr-Latn-RS"/>
              </w:rPr>
              <w:br/>
              <w:t>(n=67)</w:t>
            </w:r>
          </w:p>
        </w:tc>
        <w:tc>
          <w:tcPr>
            <w:tcW w:w="1826" w:type="pct"/>
            <w:gridSpan w:val="3"/>
          </w:tcPr>
          <w:p w14:paraId="33A62D1E" w14:textId="77777777" w:rsidR="00F51566" w:rsidRPr="00234ECD" w:rsidRDefault="00F51566" w:rsidP="00F51566">
            <w:pPr>
              <w:keepNext/>
              <w:jc w:val="center"/>
              <w:rPr>
                <w:rFonts w:eastAsiaTheme="minorHAnsi"/>
                <w:sz w:val="22"/>
                <w:szCs w:val="22"/>
                <w:lang w:val="sr-Latn-RS"/>
              </w:rPr>
            </w:pPr>
            <w:r w:rsidRPr="00234ECD">
              <w:rPr>
                <w:rFonts w:eastAsiaTheme="minorHAnsi"/>
                <w:b/>
                <w:bCs/>
                <w:sz w:val="22"/>
                <w:szCs w:val="22"/>
                <w:lang w:val="sr-Latn-RS"/>
              </w:rPr>
              <w:t>Placebo</w:t>
            </w:r>
            <w:r w:rsidRPr="00234ECD">
              <w:rPr>
                <w:rFonts w:eastAsiaTheme="minorHAnsi"/>
                <w:b/>
                <w:bCs/>
                <w:sz w:val="22"/>
                <w:szCs w:val="22"/>
                <w:lang w:val="sr-Latn-RS"/>
              </w:rPr>
              <w:br/>
              <w:t>(n=33)</w:t>
            </w:r>
          </w:p>
        </w:tc>
      </w:tr>
      <w:tr w:rsidR="00F51566" w:rsidRPr="00234ECD" w14:paraId="60A590FF" w14:textId="77777777" w:rsidTr="00714DD0">
        <w:tc>
          <w:tcPr>
            <w:tcW w:w="1314" w:type="pct"/>
            <w:shd w:val="clear" w:color="auto" w:fill="auto"/>
            <w:vAlign w:val="center"/>
          </w:tcPr>
          <w:p w14:paraId="51BA2288" w14:textId="77777777" w:rsidR="00F51566" w:rsidRPr="00234ECD" w:rsidRDefault="00F51566" w:rsidP="00F51566">
            <w:pPr>
              <w:keepNext/>
              <w:rPr>
                <w:rFonts w:eastAsiaTheme="minorHAnsi"/>
                <w:sz w:val="22"/>
                <w:szCs w:val="22"/>
                <w:lang w:val="sr-Latn-RS"/>
              </w:rPr>
            </w:pPr>
            <w:r w:rsidRPr="00234ECD">
              <w:rPr>
                <w:rFonts w:eastAsiaTheme="minorHAnsi"/>
                <w:sz w:val="22"/>
                <w:szCs w:val="22"/>
                <w:lang w:val="sr-Latn-RS"/>
              </w:rPr>
              <w:t>Ukupni odgovor, (%)</w:t>
            </w:r>
          </w:p>
        </w:tc>
        <w:tc>
          <w:tcPr>
            <w:tcW w:w="1860" w:type="pct"/>
            <w:gridSpan w:val="2"/>
            <w:shd w:val="clear" w:color="auto" w:fill="auto"/>
          </w:tcPr>
          <w:p w14:paraId="6CCB9FCF"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 xml:space="preserve">10 (15) </w:t>
            </w:r>
          </w:p>
        </w:tc>
        <w:tc>
          <w:tcPr>
            <w:tcW w:w="1826" w:type="pct"/>
            <w:gridSpan w:val="3"/>
          </w:tcPr>
          <w:p w14:paraId="5ABEB153"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0 (0)</w:t>
            </w:r>
          </w:p>
        </w:tc>
      </w:tr>
      <w:tr w:rsidR="00F51566" w:rsidRPr="00234ECD" w14:paraId="43C1788C" w14:textId="77777777" w:rsidTr="00714DD0">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4AB86A4B" w14:textId="77777777" w:rsidR="00F51566" w:rsidRPr="00234ECD" w:rsidRDefault="00F51566" w:rsidP="00F51566">
            <w:pPr>
              <w:keepNext/>
              <w:ind w:left="311"/>
              <w:rPr>
                <w:rFonts w:eastAsiaTheme="minorHAnsi"/>
                <w:sz w:val="22"/>
                <w:szCs w:val="22"/>
                <w:lang w:val="sr-Latn-RS"/>
              </w:rPr>
            </w:pPr>
            <w:r w:rsidRPr="00234ECD">
              <w:rPr>
                <w:rFonts w:eastAsiaTheme="minorHAnsi"/>
                <w:sz w:val="22"/>
                <w:szCs w:val="22"/>
                <w:lang w:val="sr-Latn-RS"/>
              </w:rPr>
              <w:t>Potpuni odgovor</w:t>
            </w:r>
          </w:p>
        </w:tc>
        <w:tc>
          <w:tcPr>
            <w:tcW w:w="1860" w:type="pct"/>
            <w:gridSpan w:val="2"/>
            <w:tcBorders>
              <w:top w:val="single" w:sz="4" w:space="0" w:color="auto"/>
              <w:left w:val="single" w:sz="4" w:space="0" w:color="auto"/>
              <w:bottom w:val="single" w:sz="4" w:space="0" w:color="auto"/>
              <w:right w:val="single" w:sz="4" w:space="0" w:color="auto"/>
            </w:tcBorders>
            <w:shd w:val="clear" w:color="auto" w:fill="auto"/>
          </w:tcPr>
          <w:p w14:paraId="1FD2890E"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0</w:t>
            </w:r>
          </w:p>
        </w:tc>
        <w:tc>
          <w:tcPr>
            <w:tcW w:w="1826" w:type="pct"/>
            <w:gridSpan w:val="3"/>
            <w:tcBorders>
              <w:top w:val="single" w:sz="4" w:space="0" w:color="auto"/>
              <w:left w:val="single" w:sz="4" w:space="0" w:color="auto"/>
              <w:bottom w:val="single" w:sz="4" w:space="0" w:color="auto"/>
              <w:right w:val="single" w:sz="4" w:space="0" w:color="auto"/>
            </w:tcBorders>
            <w:shd w:val="clear" w:color="auto" w:fill="auto"/>
          </w:tcPr>
          <w:p w14:paraId="6AE08E56"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0</w:t>
            </w:r>
          </w:p>
        </w:tc>
      </w:tr>
      <w:tr w:rsidR="00F51566" w:rsidRPr="00234ECD" w14:paraId="142D4A4A" w14:textId="77777777" w:rsidTr="00714DD0">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703A5DB6" w14:textId="7E5ED968" w:rsidR="00F51566" w:rsidRPr="00234ECD" w:rsidRDefault="00F51566" w:rsidP="00F51566">
            <w:pPr>
              <w:keepNext/>
              <w:ind w:left="311"/>
              <w:rPr>
                <w:rFonts w:eastAsiaTheme="minorHAnsi"/>
                <w:sz w:val="22"/>
                <w:szCs w:val="22"/>
                <w:lang w:val="sr-Latn-RS"/>
              </w:rPr>
            </w:pPr>
            <w:r w:rsidRPr="00234ECD">
              <w:rPr>
                <w:rFonts w:eastAsiaTheme="minorHAnsi"/>
                <w:sz w:val="22"/>
                <w:szCs w:val="22"/>
                <w:lang w:val="sr-Latn-RS"/>
              </w:rPr>
              <w:t>D</w:t>
            </w:r>
            <w:r w:rsidR="008D5259" w:rsidRPr="00234ECD">
              <w:rPr>
                <w:rFonts w:eastAsiaTheme="minorHAnsi"/>
                <w:sz w:val="22"/>
                <w:szCs w:val="22"/>
                <w:lang w:val="sr-Latn-RS"/>
              </w:rPr>
              <w:t>j</w:t>
            </w:r>
            <w:r w:rsidRPr="00234ECD">
              <w:rPr>
                <w:rFonts w:eastAsiaTheme="minorHAnsi"/>
                <w:sz w:val="22"/>
                <w:szCs w:val="22"/>
                <w:lang w:val="sr-Latn-RS"/>
              </w:rPr>
              <w:t>elimični odgovor</w:t>
            </w:r>
          </w:p>
        </w:tc>
        <w:tc>
          <w:tcPr>
            <w:tcW w:w="1860" w:type="pct"/>
            <w:gridSpan w:val="2"/>
            <w:tcBorders>
              <w:top w:val="single" w:sz="4" w:space="0" w:color="auto"/>
              <w:left w:val="single" w:sz="4" w:space="0" w:color="auto"/>
              <w:bottom w:val="single" w:sz="4" w:space="0" w:color="auto"/>
              <w:right w:val="single" w:sz="4" w:space="0" w:color="auto"/>
            </w:tcBorders>
            <w:shd w:val="clear" w:color="auto" w:fill="auto"/>
          </w:tcPr>
          <w:p w14:paraId="0A29FA91"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10 (15)</w:t>
            </w:r>
          </w:p>
        </w:tc>
        <w:tc>
          <w:tcPr>
            <w:tcW w:w="1826" w:type="pct"/>
            <w:gridSpan w:val="3"/>
            <w:tcBorders>
              <w:top w:val="single" w:sz="4" w:space="0" w:color="auto"/>
              <w:left w:val="single" w:sz="4" w:space="0" w:color="auto"/>
              <w:bottom w:val="single" w:sz="4" w:space="0" w:color="auto"/>
              <w:right w:val="single" w:sz="4" w:space="0" w:color="auto"/>
            </w:tcBorders>
            <w:shd w:val="clear" w:color="auto" w:fill="auto"/>
          </w:tcPr>
          <w:p w14:paraId="077E5270"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0</w:t>
            </w:r>
          </w:p>
        </w:tc>
      </w:tr>
      <w:tr w:rsidR="00F51566" w:rsidRPr="00234ECD" w14:paraId="0753C25C" w14:textId="77777777" w:rsidTr="00714DD0">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2887A3D2" w14:textId="77777777" w:rsidR="00F51566" w:rsidRPr="00234ECD" w:rsidRDefault="00F51566" w:rsidP="00F51566">
            <w:pPr>
              <w:keepNext/>
              <w:ind w:left="311"/>
              <w:rPr>
                <w:rFonts w:eastAsiaTheme="minorHAnsi"/>
                <w:sz w:val="22"/>
                <w:szCs w:val="22"/>
                <w:lang w:val="sr-Latn-RS"/>
              </w:rPr>
            </w:pPr>
            <w:r w:rsidRPr="00234ECD">
              <w:rPr>
                <w:rFonts w:eastAsiaTheme="minorHAnsi"/>
                <w:sz w:val="22"/>
                <w:szCs w:val="22"/>
                <w:lang w:val="sr-Latn-RS"/>
              </w:rPr>
              <w:t>Stabilna bolest</w:t>
            </w:r>
          </w:p>
        </w:tc>
        <w:tc>
          <w:tcPr>
            <w:tcW w:w="1860" w:type="pct"/>
            <w:gridSpan w:val="2"/>
            <w:tcBorders>
              <w:top w:val="single" w:sz="4" w:space="0" w:color="auto"/>
              <w:left w:val="single" w:sz="4" w:space="0" w:color="auto"/>
              <w:bottom w:val="single" w:sz="4" w:space="0" w:color="auto"/>
              <w:right w:val="single" w:sz="4" w:space="0" w:color="auto"/>
            </w:tcBorders>
            <w:shd w:val="clear" w:color="auto" w:fill="auto"/>
          </w:tcPr>
          <w:p w14:paraId="76A465D5"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46 (69)</w:t>
            </w:r>
          </w:p>
        </w:tc>
        <w:tc>
          <w:tcPr>
            <w:tcW w:w="1826" w:type="pct"/>
            <w:gridSpan w:val="3"/>
            <w:tcBorders>
              <w:top w:val="single" w:sz="4" w:space="0" w:color="auto"/>
              <w:left w:val="single" w:sz="4" w:space="0" w:color="auto"/>
              <w:bottom w:val="single" w:sz="4" w:space="0" w:color="auto"/>
              <w:right w:val="single" w:sz="4" w:space="0" w:color="auto"/>
            </w:tcBorders>
            <w:shd w:val="clear" w:color="auto" w:fill="auto"/>
          </w:tcPr>
          <w:p w14:paraId="1BE3A593"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14 (42)</w:t>
            </w:r>
          </w:p>
        </w:tc>
      </w:tr>
      <w:tr w:rsidR="00F51566" w:rsidRPr="00234ECD" w14:paraId="0EE78B17" w14:textId="77777777" w:rsidTr="00714DD0">
        <w:tc>
          <w:tcPr>
            <w:tcW w:w="1314" w:type="pct"/>
            <w:tcBorders>
              <w:top w:val="single" w:sz="4" w:space="0" w:color="auto"/>
              <w:left w:val="single" w:sz="4" w:space="0" w:color="auto"/>
              <w:bottom w:val="single" w:sz="4" w:space="0" w:color="auto"/>
              <w:right w:val="single" w:sz="4" w:space="0" w:color="auto"/>
            </w:tcBorders>
            <w:shd w:val="clear" w:color="auto" w:fill="auto"/>
            <w:vAlign w:val="center"/>
          </w:tcPr>
          <w:p w14:paraId="3354019D" w14:textId="77777777" w:rsidR="00F51566" w:rsidRPr="00234ECD" w:rsidRDefault="00F51566" w:rsidP="00F51566">
            <w:pPr>
              <w:keepNext/>
              <w:ind w:left="311"/>
              <w:rPr>
                <w:rFonts w:eastAsiaTheme="minorHAnsi"/>
                <w:sz w:val="22"/>
                <w:szCs w:val="22"/>
                <w:lang w:val="sr-Latn-RS"/>
              </w:rPr>
            </w:pPr>
            <w:r w:rsidRPr="00234ECD">
              <w:rPr>
                <w:rFonts w:eastAsiaTheme="minorHAnsi"/>
                <w:sz w:val="22"/>
                <w:szCs w:val="22"/>
                <w:lang w:val="sr-Latn-RS"/>
              </w:rPr>
              <w:t>Progresivna bolest</w:t>
            </w:r>
          </w:p>
        </w:tc>
        <w:tc>
          <w:tcPr>
            <w:tcW w:w="1860" w:type="pct"/>
            <w:gridSpan w:val="2"/>
            <w:tcBorders>
              <w:top w:val="single" w:sz="4" w:space="0" w:color="auto"/>
              <w:left w:val="single" w:sz="4" w:space="0" w:color="auto"/>
              <w:bottom w:val="single" w:sz="4" w:space="0" w:color="auto"/>
              <w:right w:val="single" w:sz="4" w:space="0" w:color="auto"/>
            </w:tcBorders>
            <w:shd w:val="clear" w:color="auto" w:fill="auto"/>
          </w:tcPr>
          <w:p w14:paraId="38CEB4BC"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4 (6)</w:t>
            </w:r>
          </w:p>
        </w:tc>
        <w:tc>
          <w:tcPr>
            <w:tcW w:w="1826" w:type="pct"/>
            <w:gridSpan w:val="3"/>
            <w:tcBorders>
              <w:top w:val="single" w:sz="4" w:space="0" w:color="auto"/>
              <w:left w:val="single" w:sz="4" w:space="0" w:color="auto"/>
              <w:bottom w:val="single" w:sz="4" w:space="0" w:color="auto"/>
              <w:right w:val="single" w:sz="4" w:space="0" w:color="auto"/>
            </w:tcBorders>
            <w:shd w:val="clear" w:color="auto" w:fill="auto"/>
          </w:tcPr>
          <w:p w14:paraId="6CF85BD2" w14:textId="77777777" w:rsidR="00F51566" w:rsidRPr="00234ECD" w:rsidRDefault="00F51566" w:rsidP="00F51566">
            <w:pPr>
              <w:keepNext/>
              <w:jc w:val="center"/>
              <w:rPr>
                <w:rFonts w:eastAsiaTheme="minorHAnsi"/>
                <w:sz w:val="22"/>
                <w:szCs w:val="22"/>
                <w:lang w:val="sr-Latn-RS"/>
              </w:rPr>
            </w:pPr>
            <w:r w:rsidRPr="00234ECD">
              <w:rPr>
                <w:rFonts w:eastAsiaTheme="minorHAnsi"/>
                <w:sz w:val="22"/>
                <w:szCs w:val="22"/>
                <w:lang w:val="sr-Latn-RS"/>
              </w:rPr>
              <w:t>18 (55)</w:t>
            </w:r>
          </w:p>
        </w:tc>
      </w:tr>
    </w:tbl>
    <w:p w14:paraId="63CFB850" w14:textId="1CBC43DD" w:rsidR="00F51566" w:rsidRPr="00234ECD" w:rsidRDefault="00F51566" w:rsidP="00F51566">
      <w:pPr>
        <w:keepNext/>
        <w:rPr>
          <w:sz w:val="22"/>
          <w:szCs w:val="22"/>
          <w:lang w:val="sr-Latn-RS"/>
        </w:rPr>
      </w:pPr>
      <w:r w:rsidRPr="00234ECD">
        <w:rPr>
          <w:sz w:val="22"/>
          <w:szCs w:val="22"/>
          <w:lang w:val="sr-Latn-RS"/>
        </w:rPr>
        <w:t>* Primarna analiza PFS-a uključivala je cenzuru za novo l</w:t>
      </w:r>
      <w:r w:rsidR="00B451FD" w:rsidRPr="00234ECD">
        <w:rPr>
          <w:sz w:val="22"/>
          <w:szCs w:val="22"/>
          <w:lang w:val="sr-Latn-RS"/>
        </w:rPr>
        <w:t>i</w:t>
      </w:r>
      <w:r w:rsidRPr="00234ECD">
        <w:rPr>
          <w:sz w:val="22"/>
          <w:szCs w:val="22"/>
          <w:lang w:val="sr-Latn-RS"/>
        </w:rPr>
        <w:t>ječenje protiv karcinoma. Rezultati za PFS sa i bez cenzure za novo l</w:t>
      </w:r>
      <w:r w:rsidR="00B451FD" w:rsidRPr="00234ECD">
        <w:rPr>
          <w:sz w:val="22"/>
          <w:szCs w:val="22"/>
          <w:lang w:val="sr-Latn-RS"/>
        </w:rPr>
        <w:t>i</w:t>
      </w:r>
      <w:r w:rsidRPr="00234ECD">
        <w:rPr>
          <w:sz w:val="22"/>
          <w:szCs w:val="22"/>
          <w:lang w:val="sr-Latn-RS"/>
        </w:rPr>
        <w:t>ječenje protiv karcinoma bili su dosljedni.</w:t>
      </w:r>
    </w:p>
    <w:p w14:paraId="32DEAF6D" w14:textId="2C5A9E00" w:rsidR="00F51566" w:rsidRPr="00234ECD" w:rsidRDefault="00F51566" w:rsidP="00F51566">
      <w:pPr>
        <w:rPr>
          <w:rFonts w:eastAsiaTheme="minorHAnsi"/>
          <w:sz w:val="22"/>
          <w:szCs w:val="22"/>
          <w:lang w:val="sr-Latn-RS"/>
        </w:rPr>
      </w:pPr>
      <w:r w:rsidRPr="00234ECD">
        <w:rPr>
          <w:rFonts w:eastAsiaTheme="minorHAnsi"/>
          <w:sz w:val="22"/>
          <w:szCs w:val="22"/>
          <w:lang w:val="sr-Latn-RS"/>
        </w:rPr>
        <w:t xml:space="preserve">CI, interval pouzdanosti; </w:t>
      </w:r>
      <w:r w:rsidRPr="00234ECD">
        <w:rPr>
          <w:noProof/>
          <w:sz w:val="22"/>
          <w:szCs w:val="22"/>
          <w:lang w:val="sr-Latn-RS"/>
        </w:rPr>
        <w:t>N.E. = </w:t>
      </w:r>
      <w:r w:rsidRPr="00234ECD">
        <w:rPr>
          <w:rFonts w:eastAsiaTheme="minorHAnsi"/>
          <w:sz w:val="22"/>
          <w:szCs w:val="22"/>
          <w:lang w:val="sr-Latn-RS"/>
        </w:rPr>
        <w:t>ne može se proc</w:t>
      </w:r>
      <w:r w:rsidR="00B451FD" w:rsidRPr="00234ECD">
        <w:rPr>
          <w:rFonts w:eastAsiaTheme="minorHAnsi"/>
          <w:sz w:val="22"/>
          <w:szCs w:val="22"/>
          <w:lang w:val="sr-Latn-RS"/>
        </w:rPr>
        <w:t>ij</w:t>
      </w:r>
      <w:r w:rsidRPr="00234ECD">
        <w:rPr>
          <w:rFonts w:eastAsiaTheme="minorHAnsi"/>
          <w:sz w:val="22"/>
          <w:szCs w:val="22"/>
          <w:lang w:val="sr-Latn-RS"/>
        </w:rPr>
        <w:t xml:space="preserve">eniti (engl. </w:t>
      </w:r>
      <w:r w:rsidRPr="00234ECD">
        <w:rPr>
          <w:rFonts w:eastAsiaTheme="minorHAnsi"/>
          <w:i/>
          <w:iCs/>
          <w:sz w:val="22"/>
          <w:szCs w:val="22"/>
          <w:lang w:val="sr-Latn-RS"/>
        </w:rPr>
        <w:t>non- estimable</w:t>
      </w:r>
      <w:r w:rsidRPr="00234ECD">
        <w:rPr>
          <w:rFonts w:eastAsiaTheme="minorHAnsi"/>
          <w:sz w:val="22"/>
          <w:szCs w:val="22"/>
          <w:lang w:val="sr-Latn-RS"/>
        </w:rPr>
        <w:t>)</w:t>
      </w:r>
    </w:p>
    <w:p w14:paraId="23FCC4B0" w14:textId="77777777" w:rsidR="00F51566" w:rsidRPr="00234ECD" w:rsidRDefault="00F51566" w:rsidP="00F51566">
      <w:pPr>
        <w:keepNext/>
        <w:rPr>
          <w:sz w:val="22"/>
          <w:szCs w:val="22"/>
          <w:lang w:val="sr-Latn-RS"/>
        </w:rPr>
      </w:pPr>
      <w:r w:rsidRPr="00234ECD">
        <w:rPr>
          <w:sz w:val="22"/>
          <w:szCs w:val="22"/>
          <w:vertAlign w:val="superscript"/>
          <w:lang w:val="sr-Latn-RS"/>
        </w:rPr>
        <w:t xml:space="preserve">1 </w:t>
      </w:r>
      <w:r w:rsidRPr="00234ECD">
        <w:rPr>
          <w:sz w:val="22"/>
          <w:szCs w:val="22"/>
          <w:lang w:val="sr-Latn-RS"/>
        </w:rPr>
        <w:t>Krajnji datum primarne analize je 19. avgust 2020.</w:t>
      </w:r>
    </w:p>
    <w:p w14:paraId="3312507B" w14:textId="77777777" w:rsidR="00F51566" w:rsidRPr="00234ECD" w:rsidRDefault="00F51566" w:rsidP="00F51566">
      <w:pPr>
        <w:keepNext/>
        <w:rPr>
          <w:sz w:val="22"/>
          <w:szCs w:val="22"/>
          <w:lang w:val="sr-Latn-RS"/>
        </w:rPr>
      </w:pPr>
      <w:r w:rsidRPr="00234ECD">
        <w:rPr>
          <w:sz w:val="22"/>
          <w:szCs w:val="22"/>
          <w:vertAlign w:val="superscript"/>
          <w:lang w:val="sr-Latn-RS"/>
        </w:rPr>
        <w:t xml:space="preserve">2 </w:t>
      </w:r>
      <w:r w:rsidRPr="00234ECD">
        <w:rPr>
          <w:sz w:val="22"/>
          <w:szCs w:val="22"/>
          <w:lang w:val="sr-Latn-RS"/>
        </w:rPr>
        <w:t>Krajnji datum sekundarne analize je 08. februar 2021.</w:t>
      </w:r>
    </w:p>
    <w:p w14:paraId="60A64F88" w14:textId="1E40EB5A" w:rsidR="00F51566" w:rsidRPr="00234ECD" w:rsidRDefault="00F51566" w:rsidP="00F51566">
      <w:pPr>
        <w:rPr>
          <w:sz w:val="22"/>
          <w:szCs w:val="22"/>
          <w:lang w:val="sr-Latn-RS"/>
        </w:rPr>
      </w:pPr>
      <w:r w:rsidRPr="00234ECD">
        <w:rPr>
          <w:sz w:val="22"/>
          <w:szCs w:val="22"/>
          <w:vertAlign w:val="superscript"/>
          <w:lang w:val="sr-Latn-RS"/>
        </w:rPr>
        <w:t>3</w:t>
      </w:r>
      <w:r w:rsidRPr="00234ECD">
        <w:rPr>
          <w:sz w:val="22"/>
          <w:szCs w:val="22"/>
          <w:lang w:val="sr-Latn-RS"/>
        </w:rPr>
        <w:t xml:space="preserve"> Proc</w:t>
      </w:r>
      <w:r w:rsidR="00B451FD" w:rsidRPr="00234ECD">
        <w:rPr>
          <w:sz w:val="22"/>
          <w:szCs w:val="22"/>
          <w:lang w:val="sr-Latn-RS"/>
        </w:rPr>
        <w:t>ij</w:t>
      </w:r>
      <w:r w:rsidRPr="00234ECD">
        <w:rPr>
          <w:sz w:val="22"/>
          <w:szCs w:val="22"/>
          <w:lang w:val="sr-Latn-RS"/>
        </w:rPr>
        <w:t xml:space="preserve">enjeno korišćenjem modela </w:t>
      </w:r>
      <w:r w:rsidRPr="00234ECD">
        <w:rPr>
          <w:i/>
          <w:iCs/>
          <w:sz w:val="22"/>
          <w:szCs w:val="22"/>
          <w:lang w:val="sr-Latn-RS"/>
        </w:rPr>
        <w:t>Cox</w:t>
      </w:r>
      <w:r w:rsidRPr="00234ECD">
        <w:rPr>
          <w:sz w:val="22"/>
          <w:szCs w:val="22"/>
          <w:lang w:val="sr-Latn-RS"/>
        </w:rPr>
        <w:t>-ovog proporcionalnog rizika.</w:t>
      </w:r>
      <w:r w:rsidRPr="00234ECD">
        <w:rPr>
          <w:sz w:val="22"/>
          <w:szCs w:val="22"/>
          <w:lang w:val="sr-Latn-RS"/>
        </w:rPr>
        <w:br/>
      </w:r>
      <w:r w:rsidRPr="00234ECD">
        <w:rPr>
          <w:sz w:val="22"/>
          <w:szCs w:val="22"/>
          <w:vertAlign w:val="superscript"/>
          <w:lang w:val="sr-Latn-RS"/>
        </w:rPr>
        <w:t>4</w:t>
      </w:r>
      <w:r w:rsidRPr="00234ECD">
        <w:rPr>
          <w:sz w:val="22"/>
          <w:szCs w:val="22"/>
          <w:lang w:val="sr-Latn-RS"/>
        </w:rPr>
        <w:t xml:space="preserve"> </w:t>
      </w:r>
      <w:r w:rsidRPr="00234ECD">
        <w:rPr>
          <w:i/>
          <w:iCs/>
          <w:sz w:val="22"/>
          <w:szCs w:val="22"/>
          <w:lang w:val="sr-Latn-RS"/>
        </w:rPr>
        <w:t>Log-rank</w:t>
      </w:r>
      <w:r w:rsidRPr="00234ECD">
        <w:rPr>
          <w:sz w:val="22"/>
          <w:szCs w:val="22"/>
          <w:lang w:val="sr-Latn-RS"/>
        </w:rPr>
        <w:t xml:space="preserve"> test stratificiran primanjem prethodnog l</w:t>
      </w:r>
      <w:r w:rsidR="00B451FD" w:rsidRPr="00234ECD">
        <w:rPr>
          <w:sz w:val="22"/>
          <w:szCs w:val="22"/>
          <w:lang w:val="sr-Latn-RS"/>
        </w:rPr>
        <w:t>ij</w:t>
      </w:r>
      <w:r w:rsidRPr="00234ECD">
        <w:rPr>
          <w:sz w:val="22"/>
          <w:szCs w:val="22"/>
          <w:lang w:val="sr-Latn-RS"/>
        </w:rPr>
        <w:t>ečenja lenvatinibom (da naspram ne) i starosti (≤ 65 godina naspram &gt; 65 godina) kao faktorima stratifikacije (prema IXRS podacima).</w:t>
      </w:r>
    </w:p>
    <w:p w14:paraId="6745EDDE" w14:textId="46D59C3E" w:rsidR="00F51566" w:rsidRPr="00234ECD" w:rsidRDefault="00F51566" w:rsidP="00F51566">
      <w:pPr>
        <w:keepNext/>
        <w:rPr>
          <w:sz w:val="22"/>
          <w:szCs w:val="22"/>
          <w:lang w:val="sr-Latn-RS"/>
        </w:rPr>
      </w:pPr>
      <w:r w:rsidRPr="00234ECD">
        <w:rPr>
          <w:sz w:val="22"/>
          <w:szCs w:val="22"/>
          <w:vertAlign w:val="superscript"/>
          <w:lang w:val="sr-Latn-RS"/>
        </w:rPr>
        <w:t xml:space="preserve">5 </w:t>
      </w:r>
      <w:r w:rsidRPr="00234ECD">
        <w:rPr>
          <w:sz w:val="22"/>
          <w:szCs w:val="22"/>
          <w:lang w:val="sr-Latn-RS"/>
        </w:rPr>
        <w:t>Na osnovu prvih 100 pacijenata uključenih u studiju sa medijanom praćenja od 8,9 m</w:t>
      </w:r>
      <w:r w:rsidR="00B451FD" w:rsidRPr="00234ECD">
        <w:rPr>
          <w:sz w:val="22"/>
          <w:szCs w:val="22"/>
          <w:lang w:val="sr-Latn-RS"/>
        </w:rPr>
        <w:t>j</w:t>
      </w:r>
      <w:r w:rsidRPr="00234ECD">
        <w:rPr>
          <w:sz w:val="22"/>
          <w:szCs w:val="22"/>
          <w:lang w:val="sr-Latn-RS"/>
        </w:rPr>
        <w:t xml:space="preserve">eseci, n=67 </w:t>
      </w:r>
      <w:r w:rsidR="00D62353" w:rsidRPr="00234ECD">
        <w:rPr>
          <w:sz w:val="22"/>
          <w:szCs w:val="22"/>
          <w:lang w:val="sr-Latn-RS"/>
        </w:rPr>
        <w:t>u</w:t>
      </w:r>
      <w:r w:rsidRPr="00234ECD">
        <w:rPr>
          <w:sz w:val="22"/>
          <w:szCs w:val="22"/>
          <w:lang w:val="sr-Latn-RS"/>
        </w:rPr>
        <w:t xml:space="preserve"> </w:t>
      </w:r>
      <w:r w:rsidR="00D62353" w:rsidRPr="00234ECD">
        <w:rPr>
          <w:sz w:val="22"/>
          <w:szCs w:val="22"/>
          <w:lang w:val="sr-Latn-RS"/>
        </w:rPr>
        <w:t xml:space="preserve">cabometyx </w:t>
      </w:r>
      <w:r w:rsidRPr="00234ECD">
        <w:rPr>
          <w:sz w:val="22"/>
          <w:szCs w:val="22"/>
          <w:lang w:val="sr-Latn-RS"/>
        </w:rPr>
        <w:t>grupi i n=33 u placebo grupi. Poboljšanje ORR-a nije bilo statistički značajno.</w:t>
      </w:r>
    </w:p>
    <w:p w14:paraId="063110B0" w14:textId="77777777" w:rsidR="00F51566" w:rsidRPr="00234ECD" w:rsidRDefault="00F51566" w:rsidP="00D857AC">
      <w:pPr>
        <w:jc w:val="both"/>
        <w:rPr>
          <w:rFonts w:eastAsia="Calibri"/>
          <w:sz w:val="22"/>
          <w:szCs w:val="22"/>
          <w:u w:val="single"/>
          <w:lang w:val="sr-Latn-RS"/>
        </w:rPr>
      </w:pPr>
    </w:p>
    <w:p w14:paraId="60B45A8D" w14:textId="77777777" w:rsidR="00234ECD" w:rsidRPr="00234ECD" w:rsidRDefault="00234ECD" w:rsidP="00D7275E">
      <w:pPr>
        <w:tabs>
          <w:tab w:val="left" w:pos="284"/>
        </w:tabs>
        <w:jc w:val="both"/>
        <w:rPr>
          <w:rFonts w:eastAsiaTheme="minorHAnsi"/>
          <w:b/>
          <w:bCs/>
          <w:sz w:val="22"/>
          <w:szCs w:val="22"/>
          <w:lang w:val="sr-Latn-RS"/>
        </w:rPr>
      </w:pPr>
    </w:p>
    <w:p w14:paraId="2EF07E90" w14:textId="77777777" w:rsidR="00234ECD" w:rsidRPr="00234ECD" w:rsidRDefault="00234ECD" w:rsidP="00D7275E">
      <w:pPr>
        <w:tabs>
          <w:tab w:val="left" w:pos="284"/>
        </w:tabs>
        <w:jc w:val="both"/>
        <w:rPr>
          <w:rFonts w:eastAsiaTheme="minorHAnsi"/>
          <w:b/>
          <w:bCs/>
          <w:sz w:val="22"/>
          <w:szCs w:val="22"/>
          <w:lang w:val="sr-Latn-RS"/>
        </w:rPr>
      </w:pPr>
    </w:p>
    <w:p w14:paraId="5EC83A2B" w14:textId="77777777" w:rsidR="00234ECD" w:rsidRPr="00234ECD" w:rsidRDefault="00234ECD" w:rsidP="00D7275E">
      <w:pPr>
        <w:tabs>
          <w:tab w:val="left" w:pos="284"/>
        </w:tabs>
        <w:jc w:val="both"/>
        <w:rPr>
          <w:rFonts w:eastAsiaTheme="minorHAnsi"/>
          <w:b/>
          <w:bCs/>
          <w:sz w:val="22"/>
          <w:szCs w:val="22"/>
          <w:lang w:val="sr-Latn-RS"/>
        </w:rPr>
      </w:pPr>
    </w:p>
    <w:p w14:paraId="46841306" w14:textId="77777777" w:rsidR="00234ECD" w:rsidRPr="00234ECD" w:rsidRDefault="00234ECD" w:rsidP="00D7275E">
      <w:pPr>
        <w:tabs>
          <w:tab w:val="left" w:pos="284"/>
        </w:tabs>
        <w:jc w:val="both"/>
        <w:rPr>
          <w:rFonts w:eastAsiaTheme="minorHAnsi"/>
          <w:b/>
          <w:bCs/>
          <w:sz w:val="22"/>
          <w:szCs w:val="22"/>
          <w:lang w:val="sr-Latn-RS"/>
        </w:rPr>
      </w:pPr>
    </w:p>
    <w:p w14:paraId="08CB1241" w14:textId="77777777" w:rsidR="00234ECD" w:rsidRPr="00234ECD" w:rsidRDefault="00234ECD" w:rsidP="00D7275E">
      <w:pPr>
        <w:tabs>
          <w:tab w:val="left" w:pos="284"/>
        </w:tabs>
        <w:jc w:val="both"/>
        <w:rPr>
          <w:rFonts w:eastAsiaTheme="minorHAnsi"/>
          <w:b/>
          <w:bCs/>
          <w:sz w:val="22"/>
          <w:szCs w:val="22"/>
          <w:lang w:val="sr-Latn-RS"/>
        </w:rPr>
      </w:pPr>
    </w:p>
    <w:p w14:paraId="2CD1D04C" w14:textId="77777777" w:rsidR="00234ECD" w:rsidRPr="00234ECD" w:rsidRDefault="00234ECD" w:rsidP="00D7275E">
      <w:pPr>
        <w:tabs>
          <w:tab w:val="left" w:pos="284"/>
        </w:tabs>
        <w:jc w:val="both"/>
        <w:rPr>
          <w:rFonts w:eastAsiaTheme="minorHAnsi"/>
          <w:b/>
          <w:bCs/>
          <w:sz w:val="22"/>
          <w:szCs w:val="22"/>
          <w:lang w:val="sr-Latn-RS"/>
        </w:rPr>
      </w:pPr>
    </w:p>
    <w:p w14:paraId="0B587CA7" w14:textId="77777777" w:rsidR="00234ECD" w:rsidRPr="00234ECD" w:rsidRDefault="00234ECD" w:rsidP="00D7275E">
      <w:pPr>
        <w:tabs>
          <w:tab w:val="left" w:pos="284"/>
        </w:tabs>
        <w:jc w:val="both"/>
        <w:rPr>
          <w:rFonts w:eastAsiaTheme="minorHAnsi"/>
          <w:b/>
          <w:bCs/>
          <w:sz w:val="22"/>
          <w:szCs w:val="22"/>
          <w:lang w:val="sr-Latn-RS"/>
        </w:rPr>
      </w:pPr>
    </w:p>
    <w:p w14:paraId="6C15CCA4" w14:textId="77777777" w:rsidR="00234ECD" w:rsidRPr="00234ECD" w:rsidRDefault="00234ECD" w:rsidP="00D7275E">
      <w:pPr>
        <w:tabs>
          <w:tab w:val="left" w:pos="284"/>
        </w:tabs>
        <w:jc w:val="both"/>
        <w:rPr>
          <w:rFonts w:eastAsiaTheme="minorHAnsi"/>
          <w:b/>
          <w:bCs/>
          <w:sz w:val="22"/>
          <w:szCs w:val="22"/>
          <w:lang w:val="sr-Latn-RS"/>
        </w:rPr>
      </w:pPr>
    </w:p>
    <w:p w14:paraId="035EE646" w14:textId="77777777" w:rsidR="00234ECD" w:rsidRPr="00234ECD" w:rsidRDefault="00234ECD" w:rsidP="00D7275E">
      <w:pPr>
        <w:tabs>
          <w:tab w:val="left" w:pos="284"/>
        </w:tabs>
        <w:jc w:val="both"/>
        <w:rPr>
          <w:rFonts w:eastAsiaTheme="minorHAnsi"/>
          <w:b/>
          <w:bCs/>
          <w:sz w:val="22"/>
          <w:szCs w:val="22"/>
          <w:lang w:val="sr-Latn-RS"/>
        </w:rPr>
      </w:pPr>
    </w:p>
    <w:p w14:paraId="11DAE8C3" w14:textId="5842525F" w:rsidR="00D7275E" w:rsidRPr="00234ECD" w:rsidRDefault="00D7275E" w:rsidP="00D7275E">
      <w:pPr>
        <w:tabs>
          <w:tab w:val="left" w:pos="284"/>
        </w:tabs>
        <w:jc w:val="both"/>
        <w:rPr>
          <w:bCs/>
          <w:sz w:val="22"/>
          <w:szCs w:val="22"/>
          <w:u w:val="single"/>
          <w:lang w:val="sr-Latn-RS"/>
        </w:rPr>
      </w:pPr>
      <w:r w:rsidRPr="00234ECD">
        <w:rPr>
          <w:rFonts w:eastAsiaTheme="minorHAnsi"/>
          <w:b/>
          <w:bCs/>
          <w:sz w:val="22"/>
          <w:szCs w:val="22"/>
          <w:lang w:val="sr-Latn-RS"/>
        </w:rPr>
        <w:lastRenderedPageBreak/>
        <w:t xml:space="preserve">Slika 8: </w:t>
      </w:r>
      <w:r w:rsidRPr="00234ECD">
        <w:rPr>
          <w:rFonts w:eastAsiaTheme="minorHAnsi"/>
          <w:b/>
          <w:bCs/>
          <w:i/>
          <w:iCs/>
          <w:sz w:val="22"/>
          <w:szCs w:val="22"/>
          <w:lang w:val="sr-Latn-RS"/>
        </w:rPr>
        <w:t>Kaplan-Meierova</w:t>
      </w:r>
      <w:r w:rsidRPr="00234ECD">
        <w:rPr>
          <w:rFonts w:eastAsiaTheme="minorHAnsi"/>
          <w:b/>
          <w:bCs/>
          <w:sz w:val="22"/>
          <w:szCs w:val="22"/>
          <w:lang w:val="sr-Latn-RS"/>
        </w:rPr>
        <w:t xml:space="preserve"> kriva preživljavanja bez progresije bolesti u ispitivanju COSMIC-311 (ažurirana analiza [krajnji datum: 08. februar 2021.], N=258)</w:t>
      </w:r>
    </w:p>
    <w:p w14:paraId="15A918EB" w14:textId="77777777" w:rsidR="00D7275E" w:rsidRPr="00234ECD" w:rsidRDefault="00D7275E" w:rsidP="00D857AC">
      <w:pPr>
        <w:jc w:val="both"/>
        <w:rPr>
          <w:rFonts w:eastAsia="Calibri"/>
          <w:sz w:val="22"/>
          <w:szCs w:val="22"/>
          <w:u w:val="single"/>
          <w:lang w:val="sr-Latn-RS"/>
        </w:rPr>
      </w:pPr>
    </w:p>
    <w:p w14:paraId="25AE9365" w14:textId="59433E94" w:rsidR="00083C73" w:rsidRPr="00234ECD" w:rsidRDefault="001E446B" w:rsidP="00D857AC">
      <w:pPr>
        <w:jc w:val="both"/>
        <w:rPr>
          <w:rFonts w:eastAsia="Calibri"/>
          <w:sz w:val="22"/>
          <w:szCs w:val="22"/>
          <w:u w:val="single"/>
          <w:lang w:val="sr-Latn-RS"/>
        </w:rPr>
      </w:pPr>
      <w:r w:rsidRPr="00234ECD">
        <w:rPr>
          <w:rFonts w:eastAsiaTheme="minorHAnsi"/>
          <w:noProof/>
          <w:sz w:val="22"/>
          <w:szCs w:val="22"/>
          <w:lang w:val="sr-Latn-RS"/>
        </w:rPr>
        <mc:AlternateContent>
          <mc:Choice Requires="wps">
            <w:drawing>
              <wp:anchor distT="0" distB="0" distL="114300" distR="114300" simplePos="0" relativeHeight="251674624" behindDoc="0" locked="0" layoutInCell="1" allowOverlap="1" wp14:anchorId="03C4A0A4" wp14:editId="60B1D033">
                <wp:simplePos x="0" y="0"/>
                <wp:positionH relativeFrom="column">
                  <wp:posOffset>1645666</wp:posOffset>
                </wp:positionH>
                <wp:positionV relativeFrom="paragraph">
                  <wp:posOffset>2665450</wp:posOffset>
                </wp:positionV>
                <wp:extent cx="2674620" cy="256540"/>
                <wp:effectExtent l="0" t="0" r="4445" b="0"/>
                <wp:wrapNone/>
                <wp:docPr id="6744162" name="Zone de texte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78EFFB" w14:textId="4BB3FA84" w:rsidR="00234ECD" w:rsidRPr="00A4242D" w:rsidRDefault="00234ECD" w:rsidP="001E446B">
                            <w:pPr>
                              <w:jc w:val="center"/>
                              <w:rPr>
                                <w:b/>
                                <w:sz w:val="20"/>
                              </w:rPr>
                            </w:pPr>
                            <w:r>
                              <w:rPr>
                                <w:b/>
                                <w:sz w:val="20"/>
                              </w:rPr>
                              <w:t>Mjeseci</w:t>
                            </w:r>
                          </w:p>
                        </w:txbxContent>
                      </wps:txbx>
                      <wps:bodyPr rot="0" vert="horz"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C4A0A4" id="_x0000_s1034" type="#_x0000_t202" style="position:absolute;left:0;text-align:left;margin-left:129.6pt;margin-top:209.9pt;width:210.6pt;height:2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" filled="f" stroked="f">
                <v:textbox style="mso-fit-shape-to-text:t">
                  <w:txbxContent>
                    <w:p w14:paraId="1A78EFFB" w14:textId="4BB3FA84" w:rsidR="00234ECD" w:rsidRPr="00A4242D" w:rsidRDefault="00234ECD" w:rsidP="001E446B">
                      <w:pPr>
                        <w:jc w:val="center"/>
                        <w:rPr>
                          <w:b/>
                          <w:sz w:val="20"/>
                        </w:rPr>
                      </w:pPr>
                      <w:r>
                        <w:rPr>
                          <w:b/>
                          <w:sz w:val="20"/>
                        </w:rPr>
                        <w:t>Mjeseci</w:t>
                      </w:r>
                    </w:p>
                  </w:txbxContent>
                </v:textbox>
              </v:shape>
            </w:pict>
          </mc:Fallback>
        </mc:AlternateContent>
      </w:r>
      <w:r w:rsidR="000F0B2E" w:rsidRPr="00234ECD">
        <w:rPr>
          <w:noProof/>
          <w:sz w:val="22"/>
          <w:szCs w:val="22"/>
          <w:lang w:val="sr-Latn-RS"/>
        </w:rPr>
        <mc:AlternateContent>
          <mc:Choice Requires="wps">
            <w:drawing>
              <wp:anchor distT="0" distB="0" distL="114300" distR="114300" simplePos="0" relativeHeight="251672576" behindDoc="0" locked="0" layoutInCell="1" allowOverlap="1" wp14:anchorId="1D259007" wp14:editId="07BB50DC">
                <wp:simplePos x="0" y="0"/>
                <wp:positionH relativeFrom="column">
                  <wp:posOffset>-122555</wp:posOffset>
                </wp:positionH>
                <wp:positionV relativeFrom="paragraph">
                  <wp:posOffset>2791130</wp:posOffset>
                </wp:positionV>
                <wp:extent cx="1341755" cy="662940"/>
                <wp:effectExtent l="0" t="0" r="0" b="5080"/>
                <wp:wrapNone/>
                <wp:docPr id="1609850040" name="Zone de texte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755" cy="662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20512" w14:textId="529E7A29" w:rsidR="00234ECD" w:rsidRPr="003A0FC4" w:rsidRDefault="00234ECD" w:rsidP="000F0B2E">
                            <w:pPr>
                              <w:spacing w:after="40"/>
                              <w:rPr>
                                <w:b/>
                                <w:sz w:val="16"/>
                              </w:rPr>
                            </w:pPr>
                            <w:r>
                              <w:rPr>
                                <w:b/>
                                <w:sz w:val="16"/>
                              </w:rPr>
                              <w:t>Broj pod rizikom</w:t>
                            </w:r>
                            <w:r w:rsidRPr="003A0FC4">
                              <w:rPr>
                                <w:b/>
                                <w:sz w:val="16"/>
                              </w:rPr>
                              <w:t>:</w:t>
                            </w:r>
                          </w:p>
                          <w:p w14:paraId="60A6A913" w14:textId="06F9C863" w:rsidR="00234ECD" w:rsidRDefault="00234ECD" w:rsidP="000F0B2E">
                            <w:pPr>
                              <w:spacing w:after="40"/>
                              <w:rPr>
                                <w:sz w:val="18"/>
                              </w:rPr>
                            </w:pPr>
                            <w:r w:rsidRPr="003A0FC4">
                              <w:rPr>
                                <w:sz w:val="18"/>
                              </w:rPr>
                              <w:t>Cabometyx</w:t>
                            </w:r>
                          </w:p>
                          <w:p w14:paraId="5E6960E6" w14:textId="246C0FCB" w:rsidR="00234ECD" w:rsidRPr="003A0FC4" w:rsidRDefault="00234ECD" w:rsidP="000F0B2E">
                            <w:pPr>
                              <w:spacing w:after="40"/>
                              <w:rPr>
                                <w:sz w:val="18"/>
                              </w:rPr>
                            </w:pPr>
                            <w:r>
                              <w:rPr>
                                <w:sz w:val="18"/>
                              </w:rPr>
                              <w:t xml:space="preserve"> Placebo</w:t>
                            </w:r>
                          </w:p>
                        </w:txbxContent>
                      </wps:txbx>
                      <wps:bodyPr rot="0" vert="horz" wrap="square" anchor="t" anchorCtr="0" upright="1">
                        <a:spAutoFit/>
                      </wps:bodyPr>
                    </wps:wsp>
                  </a:graphicData>
                </a:graphic>
                <wp14:sizeRelH relativeFrom="margin">
                  <wp14:pctWidth>0</wp14:pctWidth>
                </wp14:sizeRelH>
                <wp14:sizeRelV relativeFrom="page">
                  <wp14:pctHeight>0</wp14:pctHeight>
                </wp14:sizeRelV>
              </wp:anchor>
            </w:drawing>
          </mc:Choice>
          <mc:Fallback>
            <w:pict>
              <v:shape w14:anchorId="1D259007" id="_x0000_s1035" type="#_x0000_t202" style="position:absolute;left:0;text-align:left;margin-left:-9.65pt;margin-top:219.75pt;width:105.65pt;height:5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" filled="f" stroked="f">
                <v:textbox style="mso-fit-shape-to-text:t">
                  <w:txbxContent>
                    <w:p w14:paraId="2F620512" w14:textId="529E7A29" w:rsidR="00234ECD" w:rsidRPr="003A0FC4" w:rsidRDefault="00234ECD" w:rsidP="000F0B2E">
                      <w:pPr>
                        <w:spacing w:after="40"/>
                        <w:rPr>
                          <w:b/>
                          <w:sz w:val="16"/>
                        </w:rPr>
                      </w:pPr>
                      <w:r>
                        <w:rPr>
                          <w:b/>
                          <w:sz w:val="16"/>
                        </w:rPr>
                        <w:t>Broj pod rizikom</w:t>
                      </w:r>
                      <w:r w:rsidRPr="003A0FC4">
                        <w:rPr>
                          <w:b/>
                          <w:sz w:val="16"/>
                        </w:rPr>
                        <w:t>:</w:t>
                      </w:r>
                    </w:p>
                    <w:p w14:paraId="60A6A913" w14:textId="06F9C863" w:rsidR="00234ECD" w:rsidRDefault="00234ECD" w:rsidP="000F0B2E">
                      <w:pPr>
                        <w:spacing w:after="40"/>
                        <w:rPr>
                          <w:sz w:val="18"/>
                        </w:rPr>
                      </w:pPr>
                      <w:r w:rsidRPr="003A0FC4">
                        <w:rPr>
                          <w:sz w:val="18"/>
                        </w:rPr>
                        <w:t>Cabometyx</w:t>
                      </w:r>
                    </w:p>
                    <w:p w14:paraId="5E6960E6" w14:textId="246C0FCB" w:rsidR="00234ECD" w:rsidRPr="003A0FC4" w:rsidRDefault="00234ECD" w:rsidP="000F0B2E">
                      <w:pPr>
                        <w:spacing w:after="40"/>
                        <w:rPr>
                          <w:sz w:val="18"/>
                        </w:rPr>
                      </w:pPr>
                      <w:r>
                        <w:rPr>
                          <w:sz w:val="18"/>
                        </w:rPr>
                        <w:t xml:space="preserve"> Placebo</w:t>
                      </w:r>
                    </w:p>
                  </w:txbxContent>
                </v:textbox>
              </v:shape>
            </w:pict>
          </mc:Fallback>
        </mc:AlternateContent>
      </w:r>
      <w:r w:rsidR="00652D80" w:rsidRPr="00234ECD">
        <w:rPr>
          <w:rFonts w:eastAsiaTheme="minorHAnsi"/>
          <w:noProof/>
          <w:sz w:val="22"/>
          <w:szCs w:val="22"/>
          <w:lang w:val="sr-Latn-RS"/>
        </w:rPr>
        <mc:AlternateContent>
          <mc:Choice Requires="wps">
            <w:drawing>
              <wp:anchor distT="0" distB="0" distL="114300" distR="114300" simplePos="0" relativeHeight="251670528" behindDoc="0" locked="0" layoutInCell="1" allowOverlap="1" wp14:anchorId="32811A3C" wp14:editId="6AEF01C8">
                <wp:simplePos x="0" y="0"/>
                <wp:positionH relativeFrom="column">
                  <wp:posOffset>-965200</wp:posOffset>
                </wp:positionH>
                <wp:positionV relativeFrom="paragraph">
                  <wp:posOffset>1333500</wp:posOffset>
                </wp:positionV>
                <wp:extent cx="2674620" cy="257175"/>
                <wp:effectExtent l="1140460" t="0" r="1132840" b="0"/>
                <wp:wrapNone/>
                <wp:docPr id="898267512" name="Zone de text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7462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29C8A" w14:textId="49C1DCB7" w:rsidR="00234ECD" w:rsidRPr="00A4242D" w:rsidRDefault="00234ECD" w:rsidP="00652D80">
                            <w:pPr>
                              <w:jc w:val="center"/>
                              <w:rPr>
                                <w:b/>
                                <w:sz w:val="20"/>
                              </w:rPr>
                            </w:pPr>
                            <w:r>
                              <w:rPr>
                                <w:b/>
                                <w:sz w:val="20"/>
                              </w:rPr>
                              <w:t>Vjerovatnoća preživljavanja bez progresije</w:t>
                            </w:r>
                          </w:p>
                        </w:txbxContent>
                      </wps:txbx>
                      <wps:bodyPr rot="0" vert="vert270" wrap="square"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811A3C" id="_x0000_s1036" type="#_x0000_t202" style="position:absolute;left:0;text-align:left;margin-left:-76pt;margin-top:105pt;width:210.6pt;height:20.2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" filled="f" stroked="f">
                <v:textbox style="layout-flow:vertical;mso-layout-flow-alt:bottom-to-top;mso-fit-shape-to-text:t">
                  <w:txbxContent>
                    <w:p w14:paraId="60D29C8A" w14:textId="49C1DCB7" w:rsidR="00234ECD" w:rsidRPr="00A4242D" w:rsidRDefault="00234ECD" w:rsidP="00652D80">
                      <w:pPr>
                        <w:jc w:val="center"/>
                        <w:rPr>
                          <w:b/>
                          <w:sz w:val="20"/>
                        </w:rPr>
                      </w:pPr>
                      <w:r>
                        <w:rPr>
                          <w:b/>
                          <w:sz w:val="20"/>
                        </w:rPr>
                        <w:t>Vjerovatnoća preživljavanja bez progresije</w:t>
                      </w:r>
                    </w:p>
                  </w:txbxContent>
                </v:textbox>
              </v:shape>
            </w:pict>
          </mc:Fallback>
        </mc:AlternateContent>
      </w:r>
      <w:r w:rsidR="00652D80" w:rsidRPr="00234ECD">
        <w:rPr>
          <w:noProof/>
          <w:sz w:val="22"/>
          <w:szCs w:val="22"/>
          <w:lang w:val="sr-Latn-RS"/>
        </w:rPr>
        <mc:AlternateContent>
          <mc:Choice Requires="wps">
            <w:drawing>
              <wp:anchor distT="0" distB="0" distL="114300" distR="114300" simplePos="0" relativeHeight="251669504" behindDoc="0" locked="0" layoutInCell="1" allowOverlap="1" wp14:anchorId="6CC7453C" wp14:editId="0A64B345">
                <wp:simplePos x="0" y="0"/>
                <wp:positionH relativeFrom="column">
                  <wp:posOffset>4071620</wp:posOffset>
                </wp:positionH>
                <wp:positionV relativeFrom="paragraph">
                  <wp:posOffset>280035</wp:posOffset>
                </wp:positionV>
                <wp:extent cx="1200150" cy="667385"/>
                <wp:effectExtent l="0" t="0" r="0" b="0"/>
                <wp:wrapNone/>
                <wp:docPr id="1200891235" name="Zone de texte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667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8830F" w14:textId="68EF420C" w:rsidR="00234ECD" w:rsidRDefault="00234ECD" w:rsidP="00652D80">
                            <w:pPr>
                              <w:spacing w:after="140"/>
                              <w:rPr>
                                <w:sz w:val="18"/>
                              </w:rPr>
                            </w:pPr>
                            <w:r w:rsidRPr="00B00B86">
                              <w:rPr>
                                <w:sz w:val="18"/>
                              </w:rPr>
                              <w:t>Cabometyx</w:t>
                            </w:r>
                          </w:p>
                          <w:p w14:paraId="0548994A" w14:textId="77777777" w:rsidR="00234ECD" w:rsidRPr="00B00B86" w:rsidRDefault="00234ECD" w:rsidP="00652D80">
                            <w:pPr>
                              <w:spacing w:after="140"/>
                              <w:rPr>
                                <w:sz w:val="18"/>
                              </w:rPr>
                            </w:pPr>
                            <w:r>
                              <w:rPr>
                                <w:sz w:val="18"/>
                              </w:rPr>
                              <w:t>Placebo</w:t>
                            </w:r>
                          </w:p>
                        </w:txbxContent>
                      </wps:txbx>
                      <wps:bodyPr rot="0" vert="horz" wrap="square" anchor="t" anchorCtr="0" upright="1"/>
                    </wps:wsp>
                  </a:graphicData>
                </a:graphic>
                <wp14:sizeRelH relativeFrom="margin">
                  <wp14:pctWidth>0</wp14:pctWidth>
                </wp14:sizeRelH>
                <wp14:sizeRelV relativeFrom="page">
                  <wp14:pctHeight>0</wp14:pctHeight>
                </wp14:sizeRelV>
              </wp:anchor>
            </w:drawing>
          </mc:Choice>
          <mc:Fallback>
            <w:pict>
              <v:shape w14:anchorId="6CC7453C" id="_x0000_s1037" type="#_x0000_t202" style="position:absolute;left:0;text-align:left;margin-left:320.6pt;margin-top:22.05pt;width:94.5pt;height:5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" filled="f" stroked="f">
                <v:textbox>
                  <w:txbxContent>
                    <w:p w14:paraId="1778830F" w14:textId="68EF420C" w:rsidR="00234ECD" w:rsidRDefault="00234ECD" w:rsidP="00652D80">
                      <w:pPr>
                        <w:spacing w:after="140"/>
                        <w:rPr>
                          <w:sz w:val="18"/>
                        </w:rPr>
                      </w:pPr>
                      <w:r w:rsidRPr="00B00B86">
                        <w:rPr>
                          <w:sz w:val="18"/>
                        </w:rPr>
                        <w:t>Cabometyx</w:t>
                      </w:r>
                    </w:p>
                    <w:p w14:paraId="0548994A" w14:textId="77777777" w:rsidR="00234ECD" w:rsidRPr="00B00B86" w:rsidRDefault="00234ECD" w:rsidP="00652D80">
                      <w:pPr>
                        <w:spacing w:after="140"/>
                        <w:rPr>
                          <w:sz w:val="18"/>
                        </w:rPr>
                      </w:pPr>
                      <w:r>
                        <w:rPr>
                          <w:sz w:val="18"/>
                        </w:rPr>
                        <w:t>Placebo</w:t>
                      </w:r>
                    </w:p>
                  </w:txbxContent>
                </v:textbox>
              </v:shape>
            </w:pict>
          </mc:Fallback>
        </mc:AlternateContent>
      </w:r>
      <w:r w:rsidR="00083C73" w:rsidRPr="00234ECD">
        <w:rPr>
          <w:noProof/>
          <w:sz w:val="22"/>
          <w:szCs w:val="22"/>
          <w:lang w:val="sr-Latn-RS"/>
        </w:rPr>
        <w:drawing>
          <wp:inline distT="0" distB="0" distL="0" distR="0" wp14:anchorId="470478A6" wp14:editId="11955E96">
            <wp:extent cx="5721350" cy="3638550"/>
            <wp:effectExtent l="0" t="0" r="0" b="0"/>
            <wp:docPr id="1204873585" name="Picture 1204873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14750" name="Picture 13"/>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5721350" cy="3638550"/>
                    </a:xfrm>
                    <a:prstGeom prst="rect">
                      <a:avLst/>
                    </a:prstGeom>
                    <a:noFill/>
                    <a:ln>
                      <a:noFill/>
                    </a:ln>
                  </pic:spPr>
                </pic:pic>
              </a:graphicData>
            </a:graphic>
          </wp:inline>
        </w:drawing>
      </w:r>
    </w:p>
    <w:p w14:paraId="26AFD93C" w14:textId="77777777" w:rsidR="00D857AC" w:rsidRPr="00234ECD" w:rsidRDefault="00D857AC" w:rsidP="00D857AC">
      <w:pPr>
        <w:tabs>
          <w:tab w:val="left" w:pos="284"/>
        </w:tabs>
        <w:jc w:val="both"/>
        <w:rPr>
          <w:bCs/>
          <w:sz w:val="22"/>
          <w:szCs w:val="22"/>
          <w:u w:val="single"/>
          <w:lang w:val="sr-Latn-RS"/>
        </w:rPr>
      </w:pPr>
      <w:r w:rsidRPr="00234ECD">
        <w:rPr>
          <w:bCs/>
          <w:sz w:val="22"/>
          <w:szCs w:val="22"/>
          <w:u w:val="single"/>
          <w:lang w:val="sr-Latn-RS"/>
        </w:rPr>
        <w:t>Pedijatrijska populacija</w:t>
      </w:r>
    </w:p>
    <w:p w14:paraId="432D9376" w14:textId="1240A77F" w:rsidR="00D857AC" w:rsidRPr="00234ECD" w:rsidRDefault="00D857AC" w:rsidP="00D857AC">
      <w:pPr>
        <w:tabs>
          <w:tab w:val="left" w:pos="284"/>
        </w:tabs>
        <w:jc w:val="both"/>
        <w:rPr>
          <w:bCs/>
          <w:sz w:val="22"/>
          <w:szCs w:val="22"/>
          <w:lang w:val="sr-Latn-RS"/>
        </w:rPr>
      </w:pPr>
      <w:r w:rsidRPr="00234ECD">
        <w:rPr>
          <w:bCs/>
          <w:sz w:val="22"/>
          <w:szCs w:val="22"/>
          <w:lang w:val="sr-Latn-RS"/>
        </w:rPr>
        <w:t>Evropska agencija za l</w:t>
      </w:r>
      <w:r w:rsidR="006C012F" w:rsidRPr="00234ECD">
        <w:rPr>
          <w:bCs/>
          <w:sz w:val="22"/>
          <w:szCs w:val="22"/>
          <w:lang w:val="sr-Latn-RS"/>
        </w:rPr>
        <w:t>j</w:t>
      </w:r>
      <w:r w:rsidRPr="00234ECD">
        <w:rPr>
          <w:bCs/>
          <w:sz w:val="22"/>
          <w:szCs w:val="22"/>
          <w:lang w:val="sr-Latn-RS"/>
        </w:rPr>
        <w:t xml:space="preserve">ekove </w:t>
      </w:r>
      <w:r w:rsidR="008106FC" w:rsidRPr="00234ECD">
        <w:rPr>
          <w:bCs/>
          <w:sz w:val="22"/>
          <w:szCs w:val="22"/>
          <w:lang w:val="sr-Latn-RS"/>
        </w:rPr>
        <w:t>odložila je</w:t>
      </w:r>
      <w:r w:rsidRPr="00234ECD">
        <w:rPr>
          <w:bCs/>
          <w:sz w:val="22"/>
          <w:szCs w:val="22"/>
          <w:lang w:val="sr-Latn-RS"/>
        </w:rPr>
        <w:t xml:space="preserve"> obavez</w:t>
      </w:r>
      <w:r w:rsidR="008106FC" w:rsidRPr="00234ECD">
        <w:rPr>
          <w:bCs/>
          <w:sz w:val="22"/>
          <w:szCs w:val="22"/>
          <w:lang w:val="sr-Latn-RS"/>
        </w:rPr>
        <w:t>u</w:t>
      </w:r>
      <w:r w:rsidRPr="00234ECD">
        <w:rPr>
          <w:bCs/>
          <w:sz w:val="22"/>
          <w:szCs w:val="22"/>
          <w:lang w:val="sr-Latn-RS"/>
        </w:rPr>
        <w:t xml:space="preserve"> podnošenj</w:t>
      </w:r>
      <w:r w:rsidR="008106FC" w:rsidRPr="00234ECD">
        <w:rPr>
          <w:bCs/>
          <w:sz w:val="22"/>
          <w:szCs w:val="22"/>
          <w:lang w:val="sr-Latn-RS"/>
        </w:rPr>
        <w:t>a</w:t>
      </w:r>
      <w:r w:rsidRPr="00234ECD">
        <w:rPr>
          <w:bCs/>
          <w:sz w:val="22"/>
          <w:szCs w:val="22"/>
          <w:lang w:val="sr-Latn-RS"/>
        </w:rPr>
        <w:t xml:space="preserve"> rezultata</w:t>
      </w:r>
      <w:r w:rsidR="008106FC" w:rsidRPr="00234ECD">
        <w:rPr>
          <w:bCs/>
          <w:sz w:val="22"/>
          <w:szCs w:val="22"/>
          <w:lang w:val="sr-Latn-RS"/>
        </w:rPr>
        <w:t xml:space="preserve"> nekih</w:t>
      </w:r>
      <w:r w:rsidRPr="00234ECD">
        <w:rPr>
          <w:bCs/>
          <w:sz w:val="22"/>
          <w:szCs w:val="22"/>
          <w:lang w:val="sr-Latn-RS"/>
        </w:rPr>
        <w:t xml:space="preserve"> ispitivanja l</w:t>
      </w:r>
      <w:r w:rsidR="006C012F" w:rsidRPr="00234ECD">
        <w:rPr>
          <w:bCs/>
          <w:sz w:val="22"/>
          <w:szCs w:val="22"/>
          <w:lang w:val="sr-Latn-RS"/>
        </w:rPr>
        <w:t>ij</w:t>
      </w:r>
      <w:r w:rsidRPr="00234ECD">
        <w:rPr>
          <w:bCs/>
          <w:sz w:val="22"/>
          <w:szCs w:val="22"/>
          <w:lang w:val="sr-Latn-RS"/>
        </w:rPr>
        <w:t>eka Cabometyx u jednoj ili više podgrupa pedijatrijske populacije za terapiju solidnih malignih tumora (vid</w:t>
      </w:r>
      <w:r w:rsidR="006C012F" w:rsidRPr="00234ECD">
        <w:rPr>
          <w:bCs/>
          <w:sz w:val="22"/>
          <w:szCs w:val="22"/>
          <w:lang w:val="sr-Latn-RS"/>
        </w:rPr>
        <w:t>j</w:t>
      </w:r>
      <w:r w:rsidRPr="00234ECD">
        <w:rPr>
          <w:bCs/>
          <w:sz w:val="22"/>
          <w:szCs w:val="22"/>
          <w:lang w:val="sr-Latn-RS"/>
        </w:rPr>
        <w:t xml:space="preserve">eti </w:t>
      </w:r>
      <w:r w:rsidR="008106FC" w:rsidRPr="00234ECD">
        <w:rPr>
          <w:bCs/>
          <w:sz w:val="22"/>
          <w:szCs w:val="22"/>
          <w:lang w:val="sr-Latn-RS"/>
        </w:rPr>
        <w:t xml:space="preserve">dio </w:t>
      </w:r>
      <w:r w:rsidRPr="00234ECD">
        <w:rPr>
          <w:bCs/>
          <w:sz w:val="22"/>
          <w:szCs w:val="22"/>
          <w:lang w:val="sr-Latn-RS"/>
        </w:rPr>
        <w:t>4.2 za informacije o pedijatrijskoj prim</w:t>
      </w:r>
      <w:r w:rsidR="006C012F" w:rsidRPr="00234ECD">
        <w:rPr>
          <w:bCs/>
          <w:sz w:val="22"/>
          <w:szCs w:val="22"/>
          <w:lang w:val="sr-Latn-RS"/>
        </w:rPr>
        <w:t>j</w:t>
      </w:r>
      <w:r w:rsidRPr="00234ECD">
        <w:rPr>
          <w:bCs/>
          <w:sz w:val="22"/>
          <w:szCs w:val="22"/>
          <w:lang w:val="sr-Latn-RS"/>
        </w:rPr>
        <w:t>eni).</w:t>
      </w:r>
    </w:p>
    <w:p w14:paraId="467EE657" w14:textId="77777777" w:rsidR="00D857AC" w:rsidRPr="00234ECD" w:rsidRDefault="00D857AC" w:rsidP="00D857AC">
      <w:pPr>
        <w:tabs>
          <w:tab w:val="left" w:pos="284"/>
        </w:tabs>
        <w:jc w:val="both"/>
        <w:rPr>
          <w:b/>
          <w:bCs/>
          <w:sz w:val="22"/>
          <w:szCs w:val="22"/>
          <w:lang w:val="sr-Latn-RS"/>
        </w:rPr>
      </w:pPr>
    </w:p>
    <w:p w14:paraId="6063CDEB" w14:textId="52BD9B4B" w:rsidR="005942C4" w:rsidRPr="00234ECD" w:rsidRDefault="005942C4" w:rsidP="005942C4">
      <w:pPr>
        <w:tabs>
          <w:tab w:val="left" w:pos="284"/>
        </w:tabs>
        <w:jc w:val="both"/>
        <w:rPr>
          <w:bCs/>
          <w:i/>
          <w:iCs/>
          <w:sz w:val="22"/>
          <w:szCs w:val="22"/>
          <w:u w:val="single"/>
          <w:lang w:val="sr-Latn-RS"/>
        </w:rPr>
      </w:pPr>
      <w:r w:rsidRPr="00234ECD">
        <w:rPr>
          <w:bCs/>
          <w:i/>
          <w:iCs/>
          <w:sz w:val="22"/>
          <w:szCs w:val="22"/>
          <w:u w:val="single"/>
          <w:lang w:val="sr-Latn-RS"/>
        </w:rPr>
        <w:t>ADVL 1211</w:t>
      </w:r>
    </w:p>
    <w:p w14:paraId="4EFB78F7" w14:textId="77777777" w:rsidR="00CE5A17" w:rsidRPr="00234ECD" w:rsidRDefault="00CE5A17" w:rsidP="005942C4">
      <w:pPr>
        <w:tabs>
          <w:tab w:val="left" w:pos="284"/>
        </w:tabs>
        <w:jc w:val="both"/>
        <w:rPr>
          <w:bCs/>
          <w:i/>
          <w:iCs/>
          <w:sz w:val="22"/>
          <w:szCs w:val="22"/>
          <w:u w:val="single"/>
          <w:lang w:val="sr-Latn-RS"/>
        </w:rPr>
      </w:pPr>
    </w:p>
    <w:p w14:paraId="6FDF990B" w14:textId="36942BFC" w:rsidR="005942C4" w:rsidRPr="00234ECD" w:rsidRDefault="00750560" w:rsidP="005942C4">
      <w:pPr>
        <w:tabs>
          <w:tab w:val="left" w:pos="284"/>
        </w:tabs>
        <w:jc w:val="both"/>
        <w:rPr>
          <w:bCs/>
          <w:sz w:val="22"/>
          <w:szCs w:val="22"/>
          <w:lang w:val="sr-Latn-RS"/>
        </w:rPr>
      </w:pPr>
      <w:r w:rsidRPr="00234ECD">
        <w:rPr>
          <w:bCs/>
          <w:sz w:val="22"/>
          <w:szCs w:val="22"/>
          <w:lang w:val="sr-Latn-RS"/>
        </w:rPr>
        <w:t>Studiju faze</w:t>
      </w:r>
      <w:r w:rsidR="005942C4" w:rsidRPr="00234ECD">
        <w:rPr>
          <w:bCs/>
          <w:sz w:val="22"/>
          <w:szCs w:val="22"/>
          <w:lang w:val="sr-Latn-RS"/>
        </w:rPr>
        <w:t xml:space="preserve"> 1 (ADVL1211) kabozantiniba kod pedijatrijskih pacijenata sa solidnim tumorima sprovela je D</w:t>
      </w:r>
      <w:r w:rsidRPr="00234ECD">
        <w:rPr>
          <w:bCs/>
          <w:sz w:val="22"/>
          <w:szCs w:val="22"/>
          <w:lang w:val="sr-Latn-RS"/>
        </w:rPr>
        <w:t>j</w:t>
      </w:r>
      <w:r w:rsidR="005942C4" w:rsidRPr="00234ECD">
        <w:rPr>
          <w:bCs/>
          <w:sz w:val="22"/>
          <w:szCs w:val="22"/>
          <w:lang w:val="sr-Latn-RS"/>
        </w:rPr>
        <w:t>ečija onkološka grupa (</w:t>
      </w:r>
      <w:r w:rsidR="00700210" w:rsidRPr="00234ECD">
        <w:rPr>
          <w:bCs/>
          <w:sz w:val="22"/>
          <w:szCs w:val="22"/>
          <w:lang w:val="sr-Latn-RS"/>
        </w:rPr>
        <w:t xml:space="preserve">engl. </w:t>
      </w:r>
      <w:r w:rsidR="005942C4" w:rsidRPr="00234ECD">
        <w:rPr>
          <w:i/>
          <w:iCs/>
          <w:color w:val="242424"/>
          <w:sz w:val="22"/>
          <w:szCs w:val="22"/>
          <w:shd w:val="clear" w:color="auto" w:fill="FFFFFF"/>
          <w:lang w:val="sr-Latn-RS"/>
        </w:rPr>
        <w:t>Children Oncology Group</w:t>
      </w:r>
      <w:r w:rsidR="005942C4" w:rsidRPr="00234ECD">
        <w:rPr>
          <w:sz w:val="22"/>
          <w:szCs w:val="22"/>
          <w:lang w:val="sr-Latn-RS"/>
        </w:rPr>
        <w:t xml:space="preserve">, </w:t>
      </w:r>
      <w:r w:rsidR="005942C4" w:rsidRPr="00234ECD">
        <w:rPr>
          <w:bCs/>
          <w:sz w:val="22"/>
          <w:szCs w:val="22"/>
          <w:lang w:val="sr-Latn-RS"/>
        </w:rPr>
        <w:t xml:space="preserve">COG). </w:t>
      </w:r>
      <w:r w:rsidR="00D17C67" w:rsidRPr="00234ECD">
        <w:rPr>
          <w:bCs/>
          <w:sz w:val="22"/>
          <w:szCs w:val="22"/>
          <w:lang w:val="sr-Latn-RS"/>
        </w:rPr>
        <w:t>P</w:t>
      </w:r>
      <w:r w:rsidR="005942C4" w:rsidRPr="00234ECD">
        <w:rPr>
          <w:bCs/>
          <w:sz w:val="22"/>
          <w:szCs w:val="22"/>
          <w:lang w:val="sr-Latn-RS"/>
        </w:rPr>
        <w:t xml:space="preserve">acijenti </w:t>
      </w:r>
      <w:r w:rsidR="00D17C67" w:rsidRPr="00234ECD">
        <w:rPr>
          <w:bCs/>
          <w:sz w:val="22"/>
          <w:szCs w:val="22"/>
          <w:lang w:val="sr-Latn-RS"/>
        </w:rPr>
        <w:t xml:space="preserve">koji zadovoljavaju uslove za ispitivanje </w:t>
      </w:r>
      <w:r w:rsidR="005942C4" w:rsidRPr="00234ECD">
        <w:rPr>
          <w:bCs/>
          <w:sz w:val="22"/>
          <w:szCs w:val="22"/>
          <w:lang w:val="sr-Latn-RS"/>
        </w:rPr>
        <w:t xml:space="preserve">su </w:t>
      </w:r>
      <w:r w:rsidR="00D17C67" w:rsidRPr="00234ECD">
        <w:rPr>
          <w:bCs/>
          <w:sz w:val="22"/>
          <w:szCs w:val="22"/>
          <w:lang w:val="sr-Latn-RS"/>
        </w:rPr>
        <w:t xml:space="preserve">imali </w:t>
      </w:r>
      <w:r w:rsidR="005942C4" w:rsidRPr="00234ECD">
        <w:rPr>
          <w:bCs/>
          <w:sz w:val="22"/>
          <w:szCs w:val="22"/>
          <w:lang w:val="sr-Latn-RS"/>
        </w:rPr>
        <w:t>≥2 godine i ≤18 godina. Ova studija je uključi</w:t>
      </w:r>
      <w:r w:rsidRPr="00234ECD">
        <w:rPr>
          <w:bCs/>
          <w:sz w:val="22"/>
          <w:szCs w:val="22"/>
          <w:lang w:val="sr-Latn-RS"/>
        </w:rPr>
        <w:t>va</w:t>
      </w:r>
      <w:r w:rsidR="005942C4" w:rsidRPr="00234ECD">
        <w:rPr>
          <w:bCs/>
          <w:sz w:val="22"/>
          <w:szCs w:val="22"/>
          <w:lang w:val="sr-Latn-RS"/>
        </w:rPr>
        <w:t>la pacijente sa 3 nivoa doze: 30 mg/m</w:t>
      </w:r>
      <w:r w:rsidR="005942C4" w:rsidRPr="00234ECD">
        <w:rPr>
          <w:bCs/>
          <w:sz w:val="22"/>
          <w:szCs w:val="22"/>
          <w:vertAlign w:val="superscript"/>
          <w:lang w:val="sr-Latn-RS"/>
        </w:rPr>
        <w:t>2</w:t>
      </w:r>
      <w:r w:rsidR="005942C4" w:rsidRPr="00234ECD">
        <w:rPr>
          <w:bCs/>
          <w:sz w:val="22"/>
          <w:szCs w:val="22"/>
          <w:lang w:val="sr-Latn-RS"/>
        </w:rPr>
        <w:t>, 40 mg/m</w:t>
      </w:r>
      <w:r w:rsidR="005942C4" w:rsidRPr="00234ECD">
        <w:rPr>
          <w:bCs/>
          <w:sz w:val="22"/>
          <w:szCs w:val="22"/>
          <w:vertAlign w:val="superscript"/>
          <w:lang w:val="sr-Latn-RS"/>
        </w:rPr>
        <w:t>2</w:t>
      </w:r>
      <w:r w:rsidR="005942C4" w:rsidRPr="00234ECD">
        <w:rPr>
          <w:bCs/>
          <w:sz w:val="22"/>
          <w:szCs w:val="22"/>
          <w:lang w:val="sr-Latn-RS"/>
        </w:rPr>
        <w:t xml:space="preserve"> i 55 mg/m</w:t>
      </w:r>
      <w:r w:rsidR="005942C4" w:rsidRPr="00234ECD">
        <w:rPr>
          <w:bCs/>
          <w:sz w:val="22"/>
          <w:szCs w:val="22"/>
          <w:vertAlign w:val="superscript"/>
          <w:lang w:val="sr-Latn-RS"/>
        </w:rPr>
        <w:t>2</w:t>
      </w:r>
      <w:r w:rsidR="005728A0" w:rsidRPr="00234ECD">
        <w:rPr>
          <w:bCs/>
          <w:sz w:val="22"/>
          <w:szCs w:val="22"/>
          <w:lang w:val="sr-Latn-RS"/>
        </w:rPr>
        <w:t>,</w:t>
      </w:r>
      <w:r w:rsidR="005942C4" w:rsidRPr="00234ECD">
        <w:rPr>
          <w:bCs/>
          <w:sz w:val="22"/>
          <w:szCs w:val="22"/>
          <w:vertAlign w:val="superscript"/>
          <w:lang w:val="sr-Latn-RS"/>
        </w:rPr>
        <w:t xml:space="preserve"> </w:t>
      </w:r>
      <w:r w:rsidR="005942C4" w:rsidRPr="00234ECD">
        <w:rPr>
          <w:bCs/>
          <w:sz w:val="22"/>
          <w:szCs w:val="22"/>
          <w:lang w:val="sr-Latn-RS"/>
        </w:rPr>
        <w:t>jednom dnevno po kontinuiranom rasporedu doziranja (ned</w:t>
      </w:r>
      <w:r w:rsidRPr="00234ECD">
        <w:rPr>
          <w:bCs/>
          <w:sz w:val="22"/>
          <w:szCs w:val="22"/>
          <w:lang w:val="sr-Latn-RS"/>
        </w:rPr>
        <w:t>j</w:t>
      </w:r>
      <w:r w:rsidR="005942C4" w:rsidRPr="00234ECD">
        <w:rPr>
          <w:bCs/>
          <w:sz w:val="22"/>
          <w:szCs w:val="22"/>
          <w:lang w:val="sr-Latn-RS"/>
        </w:rPr>
        <w:t>eljno doziranje prema površini t</w:t>
      </w:r>
      <w:r w:rsidRPr="00234ECD">
        <w:rPr>
          <w:bCs/>
          <w:sz w:val="22"/>
          <w:szCs w:val="22"/>
          <w:lang w:val="sr-Latn-RS"/>
        </w:rPr>
        <w:t>ij</w:t>
      </w:r>
      <w:r w:rsidR="005942C4" w:rsidRPr="00234ECD">
        <w:rPr>
          <w:bCs/>
          <w:sz w:val="22"/>
          <w:szCs w:val="22"/>
          <w:lang w:val="sr-Latn-RS"/>
        </w:rPr>
        <w:t>ela i zaokruženo na najbližih 20 mg). Kabozantinib je doziran na osnovu površine t</w:t>
      </w:r>
      <w:r w:rsidR="00CF068E" w:rsidRPr="00234ECD">
        <w:rPr>
          <w:bCs/>
          <w:sz w:val="22"/>
          <w:szCs w:val="22"/>
          <w:lang w:val="sr-Latn-RS"/>
        </w:rPr>
        <w:t>ij</w:t>
      </w:r>
      <w:r w:rsidR="005942C4" w:rsidRPr="00234ECD">
        <w:rPr>
          <w:bCs/>
          <w:sz w:val="22"/>
          <w:szCs w:val="22"/>
          <w:lang w:val="sr-Latn-RS"/>
        </w:rPr>
        <w:t>ela (</w:t>
      </w:r>
      <w:r w:rsidR="00700210" w:rsidRPr="00234ECD">
        <w:rPr>
          <w:bCs/>
          <w:sz w:val="22"/>
          <w:szCs w:val="22"/>
          <w:lang w:val="sr-Latn-RS"/>
        </w:rPr>
        <w:t xml:space="preserve">engl. </w:t>
      </w:r>
      <w:r w:rsidR="005942C4" w:rsidRPr="00234ECD">
        <w:rPr>
          <w:i/>
          <w:iCs/>
          <w:sz w:val="22"/>
          <w:szCs w:val="22"/>
          <w:lang w:val="sr-Latn-RS"/>
        </w:rPr>
        <w:t>Body surface area</w:t>
      </w:r>
      <w:r w:rsidR="005942C4" w:rsidRPr="00234ECD">
        <w:rPr>
          <w:sz w:val="22"/>
          <w:szCs w:val="22"/>
          <w:lang w:val="sr-Latn-RS"/>
        </w:rPr>
        <w:t xml:space="preserve">, </w:t>
      </w:r>
      <w:r w:rsidR="005942C4" w:rsidRPr="00234ECD">
        <w:rPr>
          <w:bCs/>
          <w:sz w:val="22"/>
          <w:szCs w:val="22"/>
          <w:lang w:val="sr-Latn-RS"/>
        </w:rPr>
        <w:t>BSA) prema nomogramu doziranja.</w:t>
      </w:r>
    </w:p>
    <w:p w14:paraId="6FFF31AE" w14:textId="5C7840CC" w:rsidR="005942C4" w:rsidRPr="00234ECD" w:rsidRDefault="005942C4" w:rsidP="005942C4">
      <w:pPr>
        <w:tabs>
          <w:tab w:val="left" w:pos="284"/>
        </w:tabs>
        <w:jc w:val="both"/>
        <w:rPr>
          <w:bCs/>
          <w:sz w:val="22"/>
          <w:szCs w:val="22"/>
          <w:lang w:val="sr-Latn-RS"/>
        </w:rPr>
      </w:pPr>
      <w:r w:rsidRPr="00234ECD">
        <w:rPr>
          <w:bCs/>
          <w:sz w:val="22"/>
          <w:szCs w:val="22"/>
          <w:lang w:val="sr-Latn-RS"/>
        </w:rPr>
        <w:t>Cilj je bio da se definišu limiti toksičnosti koji ograničavaju dozu (</w:t>
      </w:r>
      <w:r w:rsidR="00700210" w:rsidRPr="00234ECD">
        <w:rPr>
          <w:bCs/>
          <w:sz w:val="22"/>
          <w:szCs w:val="22"/>
          <w:lang w:val="sr-Latn-RS"/>
        </w:rPr>
        <w:t>en</w:t>
      </w:r>
      <w:r w:rsidR="000B3932" w:rsidRPr="00234ECD">
        <w:rPr>
          <w:bCs/>
          <w:sz w:val="22"/>
          <w:szCs w:val="22"/>
          <w:lang w:val="sr-Latn-RS"/>
        </w:rPr>
        <w:t>l</w:t>
      </w:r>
      <w:r w:rsidR="00700210" w:rsidRPr="00234ECD">
        <w:rPr>
          <w:bCs/>
          <w:sz w:val="22"/>
          <w:szCs w:val="22"/>
          <w:lang w:val="sr-Latn-RS"/>
        </w:rPr>
        <w:t xml:space="preserve">g. </w:t>
      </w:r>
      <w:r w:rsidR="000B3932" w:rsidRPr="00234ECD">
        <w:rPr>
          <w:i/>
          <w:iCs/>
          <w:sz w:val="22"/>
          <w:szCs w:val="22"/>
          <w:lang w:val="sr-Latn-RS"/>
        </w:rPr>
        <w:t>d</w:t>
      </w:r>
      <w:r w:rsidRPr="00234ECD">
        <w:rPr>
          <w:i/>
          <w:iCs/>
          <w:sz w:val="22"/>
          <w:szCs w:val="22"/>
          <w:lang w:val="sr-Latn-RS"/>
        </w:rPr>
        <w:t>ose limiting toxicitie</w:t>
      </w:r>
      <w:r w:rsidR="00886659" w:rsidRPr="00234ECD">
        <w:rPr>
          <w:i/>
          <w:iCs/>
          <w:sz w:val="22"/>
          <w:szCs w:val="22"/>
          <w:lang w:val="sr-Latn-RS"/>
        </w:rPr>
        <w:t>s</w:t>
      </w:r>
      <w:r w:rsidRPr="00234ECD">
        <w:rPr>
          <w:i/>
          <w:iCs/>
          <w:sz w:val="22"/>
          <w:szCs w:val="22"/>
          <w:lang w:val="sr-Latn-RS"/>
        </w:rPr>
        <w:t>,</w:t>
      </w:r>
      <w:r w:rsidRPr="00234ECD">
        <w:rPr>
          <w:sz w:val="22"/>
          <w:szCs w:val="22"/>
          <w:lang w:val="sr-Latn-RS"/>
        </w:rPr>
        <w:t xml:space="preserve"> </w:t>
      </w:r>
      <w:r w:rsidRPr="00234ECD">
        <w:rPr>
          <w:bCs/>
          <w:sz w:val="22"/>
          <w:szCs w:val="22"/>
          <w:lang w:val="sr-Latn-RS"/>
        </w:rPr>
        <w:t>DLT), da se odredi preporučena doza faze 2 (</w:t>
      </w:r>
      <w:r w:rsidR="00700210" w:rsidRPr="00234ECD">
        <w:rPr>
          <w:bCs/>
          <w:sz w:val="22"/>
          <w:szCs w:val="22"/>
          <w:lang w:val="sr-Latn-RS"/>
        </w:rPr>
        <w:t xml:space="preserve">engl. </w:t>
      </w:r>
      <w:r w:rsidR="000B3932" w:rsidRPr="00234ECD">
        <w:rPr>
          <w:i/>
          <w:iCs/>
          <w:sz w:val="22"/>
          <w:szCs w:val="22"/>
          <w:lang w:val="sr-Latn-RS"/>
        </w:rPr>
        <w:t>r</w:t>
      </w:r>
      <w:r w:rsidRPr="00234ECD">
        <w:rPr>
          <w:i/>
          <w:iCs/>
          <w:sz w:val="22"/>
          <w:szCs w:val="22"/>
          <w:lang w:val="sr-Latn-RS"/>
        </w:rPr>
        <w:t>ecommended phase 2 dose,</w:t>
      </w:r>
      <w:r w:rsidRPr="00234ECD">
        <w:rPr>
          <w:bCs/>
          <w:sz w:val="22"/>
          <w:szCs w:val="22"/>
          <w:lang w:val="sr-Latn-RS"/>
        </w:rPr>
        <w:t xml:space="preserve"> RP2D), da se dobiju preliminarni podaci o farmakokinetici kod d</w:t>
      </w:r>
      <w:r w:rsidR="008362A0" w:rsidRPr="00234ECD">
        <w:rPr>
          <w:bCs/>
          <w:sz w:val="22"/>
          <w:szCs w:val="22"/>
          <w:lang w:val="sr-Latn-RS"/>
        </w:rPr>
        <w:t>j</w:t>
      </w:r>
      <w:r w:rsidRPr="00234ECD">
        <w:rPr>
          <w:bCs/>
          <w:sz w:val="22"/>
          <w:szCs w:val="22"/>
          <w:lang w:val="sr-Latn-RS"/>
        </w:rPr>
        <w:t xml:space="preserve">ece i da se istraži efikasnost kod solidnih tumora. Bio je uključen 41 pacijent, od kojih je 36 </w:t>
      </w:r>
      <w:r w:rsidR="008362A0" w:rsidRPr="00234ECD">
        <w:rPr>
          <w:bCs/>
          <w:sz w:val="22"/>
          <w:szCs w:val="22"/>
          <w:lang w:val="sr-Latn-RS"/>
        </w:rPr>
        <w:t>bilo moguće u potpunosti procijeniti</w:t>
      </w:r>
      <w:r w:rsidRPr="00234ECD">
        <w:rPr>
          <w:bCs/>
          <w:sz w:val="22"/>
          <w:szCs w:val="22"/>
          <w:lang w:val="sr-Latn-RS"/>
        </w:rPr>
        <w:t xml:space="preserve">. Pacijenti su imali različite solidne tumore: MTC (n=5), osteosarkom (n=2), EVS (n=4), rabdomiosarkom (RMS) (n=2), drugi sarkom mekih tkiva (STS) (n=4 ), </w:t>
      </w:r>
      <w:r w:rsidR="008362A0" w:rsidRPr="00234ECD">
        <w:rPr>
          <w:bCs/>
          <w:i/>
          <w:iCs/>
          <w:sz w:val="22"/>
          <w:szCs w:val="22"/>
          <w:lang w:val="sr-Latn-RS"/>
        </w:rPr>
        <w:t>W</w:t>
      </w:r>
      <w:r w:rsidRPr="00234ECD">
        <w:rPr>
          <w:bCs/>
          <w:i/>
          <w:iCs/>
          <w:sz w:val="22"/>
          <w:szCs w:val="22"/>
          <w:lang w:val="sr-Latn-RS"/>
        </w:rPr>
        <w:t>ilms</w:t>
      </w:r>
      <w:r w:rsidRPr="00234ECD">
        <w:rPr>
          <w:bCs/>
          <w:sz w:val="22"/>
          <w:szCs w:val="22"/>
          <w:lang w:val="sr-Latn-RS"/>
        </w:rPr>
        <w:t>-ov tumor (</w:t>
      </w:r>
      <w:r w:rsidR="008362A0" w:rsidRPr="00234ECD">
        <w:rPr>
          <w:bCs/>
          <w:sz w:val="22"/>
          <w:szCs w:val="22"/>
          <w:lang w:val="sr-Latn-RS"/>
        </w:rPr>
        <w:t>W</w:t>
      </w:r>
      <w:r w:rsidRPr="00234ECD">
        <w:rPr>
          <w:bCs/>
          <w:sz w:val="22"/>
          <w:szCs w:val="22"/>
          <w:lang w:val="sr-Latn-RS"/>
        </w:rPr>
        <w:t>T) (n=2), hepatoblastom (n=2), HCC (n=2), RCC (n=3), tumor</w:t>
      </w:r>
      <w:r w:rsidR="002D7F36" w:rsidRPr="00234ECD">
        <w:rPr>
          <w:bCs/>
          <w:sz w:val="22"/>
          <w:szCs w:val="22"/>
          <w:lang w:val="sr-Latn-RS"/>
        </w:rPr>
        <w:t>i</w:t>
      </w:r>
      <w:r w:rsidRPr="00234ECD">
        <w:rPr>
          <w:bCs/>
          <w:sz w:val="22"/>
          <w:szCs w:val="22"/>
          <w:lang w:val="sr-Latn-RS"/>
        </w:rPr>
        <w:t xml:space="preserve"> centralnog nervnog sistema (CNS) (n=9) i drugi ( n=6).</w:t>
      </w:r>
    </w:p>
    <w:p w14:paraId="2C21D5A0" w14:textId="461DB47A" w:rsidR="005942C4" w:rsidRPr="00234ECD" w:rsidRDefault="005942C4" w:rsidP="005942C4">
      <w:pPr>
        <w:tabs>
          <w:tab w:val="left" w:pos="284"/>
        </w:tabs>
        <w:jc w:val="both"/>
        <w:rPr>
          <w:sz w:val="22"/>
          <w:szCs w:val="22"/>
          <w:lang w:val="sr-Latn-RS"/>
        </w:rPr>
      </w:pPr>
      <w:r w:rsidRPr="00234ECD">
        <w:rPr>
          <w:sz w:val="22"/>
          <w:szCs w:val="22"/>
          <w:lang w:val="sr-Latn-RS"/>
        </w:rPr>
        <w:t>Od 36 ispitanika u populaciji koja se može proc</w:t>
      </w:r>
      <w:r w:rsidR="008362A0" w:rsidRPr="00234ECD">
        <w:rPr>
          <w:sz w:val="22"/>
          <w:szCs w:val="22"/>
          <w:lang w:val="sr-Latn-RS"/>
        </w:rPr>
        <w:t>ij</w:t>
      </w:r>
      <w:r w:rsidRPr="00234ECD">
        <w:rPr>
          <w:sz w:val="22"/>
          <w:szCs w:val="22"/>
          <w:lang w:val="sr-Latn-RS"/>
        </w:rPr>
        <w:t>eniti, četiri ispitanika (11,1%) su imala najbolji ukupan odgovor na PR, a osam ispitanika (22,2%) je imalo SD (u trajanju od najmanje 6 ciklusa). Od 12 ispitanika sa PR ili SD većim ili jednakim 6 ciklusa, 10 ispitanika je bilo u grupama</w:t>
      </w:r>
      <w:r w:rsidR="00EB1D62" w:rsidRPr="00234ECD">
        <w:rPr>
          <w:sz w:val="22"/>
          <w:szCs w:val="22"/>
          <w:lang w:val="sr-Latn-RS"/>
        </w:rPr>
        <w:t xml:space="preserve"> koje su primale</w:t>
      </w:r>
      <w:r w:rsidRPr="00234ECD">
        <w:rPr>
          <w:sz w:val="22"/>
          <w:szCs w:val="22"/>
          <w:lang w:val="sr-Latn-RS"/>
        </w:rPr>
        <w:t xml:space="preserve"> kabozantinib od 40 mg/m</w:t>
      </w:r>
      <w:r w:rsidRPr="00234ECD">
        <w:rPr>
          <w:sz w:val="22"/>
          <w:szCs w:val="22"/>
          <w:vertAlign w:val="superscript"/>
          <w:lang w:val="sr-Latn-RS"/>
        </w:rPr>
        <w:t>2</w:t>
      </w:r>
      <w:r w:rsidRPr="00234ECD">
        <w:rPr>
          <w:sz w:val="22"/>
          <w:szCs w:val="22"/>
          <w:lang w:val="sr-Latn-RS"/>
        </w:rPr>
        <w:t xml:space="preserve"> ili 55 mg/m</w:t>
      </w:r>
      <w:r w:rsidRPr="00234ECD">
        <w:rPr>
          <w:sz w:val="22"/>
          <w:szCs w:val="22"/>
          <w:vertAlign w:val="superscript"/>
          <w:lang w:val="sr-Latn-RS"/>
        </w:rPr>
        <w:t>2</w:t>
      </w:r>
      <w:r w:rsidRPr="00234ECD">
        <w:rPr>
          <w:sz w:val="22"/>
          <w:szCs w:val="22"/>
          <w:lang w:val="sr-Latn-RS"/>
        </w:rPr>
        <w:t xml:space="preserve"> (sedam i tri, redom).</w:t>
      </w:r>
    </w:p>
    <w:p w14:paraId="290D26E1" w14:textId="20DCC788" w:rsidR="005942C4" w:rsidRPr="00234ECD" w:rsidRDefault="005942C4" w:rsidP="005942C4">
      <w:pPr>
        <w:tabs>
          <w:tab w:val="left" w:pos="284"/>
        </w:tabs>
        <w:jc w:val="both"/>
        <w:rPr>
          <w:sz w:val="22"/>
          <w:szCs w:val="22"/>
          <w:lang w:val="sr-Latn-RS"/>
        </w:rPr>
      </w:pPr>
      <w:r w:rsidRPr="00234ECD">
        <w:rPr>
          <w:sz w:val="22"/>
          <w:szCs w:val="22"/>
          <w:lang w:val="sr-Latn-RS"/>
        </w:rPr>
        <w:t>Na osnovu centralnog pregleda, d</w:t>
      </w:r>
      <w:r w:rsidR="002D7F36" w:rsidRPr="00234ECD">
        <w:rPr>
          <w:sz w:val="22"/>
          <w:szCs w:val="22"/>
          <w:lang w:val="sr-Latn-RS"/>
        </w:rPr>
        <w:t>j</w:t>
      </w:r>
      <w:r w:rsidRPr="00234ECD">
        <w:rPr>
          <w:sz w:val="22"/>
          <w:szCs w:val="22"/>
          <w:lang w:val="sr-Latn-RS"/>
        </w:rPr>
        <w:t>elimični odgovori su prim</w:t>
      </w:r>
      <w:r w:rsidR="002D7F36" w:rsidRPr="00234ECD">
        <w:rPr>
          <w:sz w:val="22"/>
          <w:szCs w:val="22"/>
          <w:lang w:val="sr-Latn-RS"/>
        </w:rPr>
        <w:t>ij</w:t>
      </w:r>
      <w:r w:rsidRPr="00234ECD">
        <w:rPr>
          <w:sz w:val="22"/>
          <w:szCs w:val="22"/>
          <w:lang w:val="sr-Latn-RS"/>
        </w:rPr>
        <w:t xml:space="preserve">ećeni kod 2/5 pacijenata sa MTC, jednog pacijenta sa </w:t>
      </w:r>
      <w:r w:rsidR="002D7F36" w:rsidRPr="00234ECD">
        <w:rPr>
          <w:i/>
          <w:iCs/>
          <w:sz w:val="22"/>
          <w:szCs w:val="22"/>
          <w:lang w:val="sr-Latn-RS"/>
        </w:rPr>
        <w:t>W</w:t>
      </w:r>
      <w:r w:rsidRPr="00234ECD">
        <w:rPr>
          <w:i/>
          <w:iCs/>
          <w:sz w:val="22"/>
          <w:szCs w:val="22"/>
          <w:lang w:val="sr-Latn-RS"/>
        </w:rPr>
        <w:t>ilms</w:t>
      </w:r>
      <w:r w:rsidRPr="00234ECD">
        <w:rPr>
          <w:sz w:val="22"/>
          <w:szCs w:val="22"/>
          <w:lang w:val="sr-Latn-RS"/>
        </w:rPr>
        <w:t xml:space="preserve">-ovim tumorom i jednog pacijenta sa sarkomom </w:t>
      </w:r>
      <w:r w:rsidR="00455ACA" w:rsidRPr="00234ECD">
        <w:rPr>
          <w:sz w:val="22"/>
          <w:szCs w:val="22"/>
          <w:lang w:val="sr-Latn-RS"/>
        </w:rPr>
        <w:t>svijetlih</w:t>
      </w:r>
      <w:r w:rsidRPr="00234ECD">
        <w:rPr>
          <w:sz w:val="22"/>
          <w:szCs w:val="22"/>
          <w:lang w:val="sr-Latn-RS"/>
        </w:rPr>
        <w:t xml:space="preserve"> ćelija.</w:t>
      </w:r>
    </w:p>
    <w:p w14:paraId="789951B6" w14:textId="77777777" w:rsidR="005942C4" w:rsidRPr="00234ECD" w:rsidRDefault="005942C4" w:rsidP="005942C4">
      <w:pPr>
        <w:tabs>
          <w:tab w:val="left" w:pos="284"/>
        </w:tabs>
        <w:jc w:val="both"/>
        <w:rPr>
          <w:sz w:val="22"/>
          <w:szCs w:val="22"/>
          <w:lang w:val="sr-Latn-RS"/>
        </w:rPr>
      </w:pPr>
    </w:p>
    <w:p w14:paraId="2CE0BA5D" w14:textId="544EF48B" w:rsidR="005942C4" w:rsidRPr="00234ECD" w:rsidRDefault="005942C4" w:rsidP="005942C4">
      <w:pPr>
        <w:tabs>
          <w:tab w:val="left" w:pos="284"/>
        </w:tabs>
        <w:jc w:val="both"/>
        <w:rPr>
          <w:i/>
          <w:iCs/>
          <w:sz w:val="22"/>
          <w:szCs w:val="22"/>
          <w:u w:val="single"/>
          <w:lang w:val="sr-Latn-RS"/>
        </w:rPr>
      </w:pPr>
      <w:r w:rsidRPr="00234ECD">
        <w:rPr>
          <w:i/>
          <w:iCs/>
          <w:sz w:val="22"/>
          <w:szCs w:val="22"/>
          <w:u w:val="single"/>
          <w:lang w:val="sr-Latn-RS"/>
        </w:rPr>
        <w:t>ADVL 1622</w:t>
      </w:r>
    </w:p>
    <w:p w14:paraId="740866B6" w14:textId="77777777" w:rsidR="00CE5A17" w:rsidRPr="00234ECD" w:rsidRDefault="00CE5A17" w:rsidP="005942C4">
      <w:pPr>
        <w:tabs>
          <w:tab w:val="left" w:pos="284"/>
        </w:tabs>
        <w:jc w:val="both"/>
        <w:rPr>
          <w:i/>
          <w:iCs/>
          <w:sz w:val="22"/>
          <w:szCs w:val="22"/>
          <w:u w:val="single"/>
          <w:lang w:val="sr-Latn-RS"/>
        </w:rPr>
      </w:pPr>
    </w:p>
    <w:p w14:paraId="445A5661" w14:textId="13137AE2" w:rsidR="005942C4" w:rsidRPr="00234ECD" w:rsidRDefault="00455ACA" w:rsidP="005942C4">
      <w:pPr>
        <w:tabs>
          <w:tab w:val="left" w:pos="284"/>
        </w:tabs>
        <w:jc w:val="both"/>
        <w:rPr>
          <w:sz w:val="22"/>
          <w:szCs w:val="22"/>
          <w:lang w:val="sr-Latn-RS"/>
        </w:rPr>
      </w:pPr>
      <w:r w:rsidRPr="00234ECD">
        <w:rPr>
          <w:sz w:val="22"/>
          <w:szCs w:val="22"/>
          <w:lang w:val="sr-Latn-RS"/>
        </w:rPr>
        <w:t xml:space="preserve">Studija </w:t>
      </w:r>
      <w:r w:rsidR="005942C4" w:rsidRPr="00234ECD">
        <w:rPr>
          <w:sz w:val="22"/>
          <w:szCs w:val="22"/>
          <w:lang w:val="sr-Latn-RS"/>
        </w:rPr>
        <w:t xml:space="preserve">ADVL1622 je </w:t>
      </w:r>
      <w:r w:rsidRPr="00234ECD">
        <w:rPr>
          <w:sz w:val="22"/>
          <w:szCs w:val="22"/>
          <w:lang w:val="sr-Latn-RS"/>
        </w:rPr>
        <w:t>proc</w:t>
      </w:r>
      <w:r w:rsidR="00F01800" w:rsidRPr="00234ECD">
        <w:rPr>
          <w:sz w:val="22"/>
          <w:szCs w:val="22"/>
          <w:lang w:val="sr-Latn-RS"/>
        </w:rPr>
        <w:t>ijenjivala</w:t>
      </w:r>
      <w:r w:rsidR="005942C4" w:rsidRPr="00234ECD">
        <w:rPr>
          <w:sz w:val="22"/>
          <w:szCs w:val="22"/>
          <w:lang w:val="sr-Latn-RS"/>
        </w:rPr>
        <w:t xml:space="preserve"> aktivnost kabozantiniba u odabranim pedijatrijskim solidnim tumorima. Ovo multicentrično, otvoreno dvostepeno ispitivanje faze 2 uključivalo je sl</w:t>
      </w:r>
      <w:r w:rsidR="00F01800" w:rsidRPr="00234ECD">
        <w:rPr>
          <w:sz w:val="22"/>
          <w:szCs w:val="22"/>
          <w:lang w:val="sr-Latn-RS"/>
        </w:rPr>
        <w:t>j</w:t>
      </w:r>
      <w:r w:rsidR="005942C4" w:rsidRPr="00234ECD">
        <w:rPr>
          <w:sz w:val="22"/>
          <w:szCs w:val="22"/>
          <w:lang w:val="sr-Latn-RS"/>
        </w:rPr>
        <w:t xml:space="preserve">edeće </w:t>
      </w:r>
      <w:r w:rsidR="00F01800" w:rsidRPr="00234ECD">
        <w:rPr>
          <w:sz w:val="22"/>
          <w:szCs w:val="22"/>
          <w:lang w:val="sr-Latn-RS"/>
        </w:rPr>
        <w:t>stratume</w:t>
      </w:r>
      <w:r w:rsidR="005942C4" w:rsidRPr="00234ECD">
        <w:rPr>
          <w:sz w:val="22"/>
          <w:szCs w:val="22"/>
          <w:lang w:val="sr-Latn-RS"/>
        </w:rPr>
        <w:t xml:space="preserve"> </w:t>
      </w:r>
      <w:r w:rsidR="005942C4" w:rsidRPr="00234ECD">
        <w:rPr>
          <w:sz w:val="22"/>
          <w:szCs w:val="22"/>
          <w:lang w:val="sr-Latn-RS"/>
        </w:rPr>
        <w:lastRenderedPageBreak/>
        <w:t xml:space="preserve">solidnog tumora: </w:t>
      </w:r>
      <w:r w:rsidR="00F01800" w:rsidRPr="00234ECD">
        <w:rPr>
          <w:sz w:val="22"/>
          <w:szCs w:val="22"/>
          <w:lang w:val="sr-Latn-RS"/>
        </w:rPr>
        <w:t>stratume</w:t>
      </w:r>
      <w:r w:rsidR="005942C4" w:rsidRPr="00234ECD">
        <w:rPr>
          <w:sz w:val="22"/>
          <w:szCs w:val="22"/>
          <w:lang w:val="sr-Latn-RS"/>
        </w:rPr>
        <w:t xml:space="preserve"> ne-osteosarkoma (uključujući </w:t>
      </w:r>
      <w:r w:rsidR="005942C4" w:rsidRPr="00234ECD">
        <w:rPr>
          <w:i/>
          <w:iCs/>
          <w:sz w:val="22"/>
          <w:szCs w:val="22"/>
          <w:lang w:val="sr-Latn-RS"/>
        </w:rPr>
        <w:t>Ewing</w:t>
      </w:r>
      <w:r w:rsidR="005942C4" w:rsidRPr="00234ECD">
        <w:rPr>
          <w:sz w:val="22"/>
          <w:szCs w:val="22"/>
          <w:lang w:val="sr-Latn-RS"/>
        </w:rPr>
        <w:t>-ov sarkom, rabdomiosarkom (RMS), nerabdomiosarkom</w:t>
      </w:r>
      <w:r w:rsidR="000D0315" w:rsidRPr="00234ECD">
        <w:rPr>
          <w:sz w:val="22"/>
          <w:szCs w:val="22"/>
          <w:lang w:val="sr-Latn-RS"/>
        </w:rPr>
        <w:t>ske</w:t>
      </w:r>
      <w:r w:rsidR="005942C4" w:rsidRPr="00234ECD">
        <w:rPr>
          <w:sz w:val="22"/>
          <w:szCs w:val="22"/>
          <w:lang w:val="sr-Latn-RS"/>
        </w:rPr>
        <w:t xml:space="preserve"> sarkome mekog tkiva (NRTS) i </w:t>
      </w:r>
      <w:r w:rsidR="00F01800" w:rsidRPr="00234ECD">
        <w:rPr>
          <w:sz w:val="22"/>
          <w:szCs w:val="22"/>
          <w:lang w:val="sr-Latn-RS"/>
        </w:rPr>
        <w:t>W</w:t>
      </w:r>
      <w:r w:rsidR="005942C4" w:rsidRPr="00234ECD">
        <w:rPr>
          <w:i/>
          <w:iCs/>
          <w:sz w:val="22"/>
          <w:szCs w:val="22"/>
          <w:lang w:val="sr-Latn-RS"/>
        </w:rPr>
        <w:t>ilms</w:t>
      </w:r>
      <w:r w:rsidR="005942C4" w:rsidRPr="00234ECD">
        <w:rPr>
          <w:sz w:val="22"/>
          <w:szCs w:val="22"/>
          <w:lang w:val="sr-Latn-RS"/>
        </w:rPr>
        <w:t xml:space="preserve">-ov tumor), </w:t>
      </w:r>
      <w:r w:rsidR="00F05C15" w:rsidRPr="00234ECD">
        <w:rPr>
          <w:sz w:val="22"/>
          <w:szCs w:val="22"/>
          <w:lang w:val="sr-Latn-RS"/>
        </w:rPr>
        <w:t>stratum</w:t>
      </w:r>
      <w:r w:rsidR="005942C4" w:rsidRPr="00234ECD">
        <w:rPr>
          <w:sz w:val="22"/>
          <w:szCs w:val="22"/>
          <w:lang w:val="sr-Latn-RS"/>
        </w:rPr>
        <w:t xml:space="preserve"> osteoresarkoma i </w:t>
      </w:r>
      <w:r w:rsidR="009439A3" w:rsidRPr="00234ECD">
        <w:rPr>
          <w:sz w:val="22"/>
          <w:szCs w:val="22"/>
          <w:lang w:val="sr-Latn-RS"/>
        </w:rPr>
        <w:t>stratum</w:t>
      </w:r>
      <w:r w:rsidR="00020574" w:rsidRPr="00234ECD">
        <w:rPr>
          <w:sz w:val="22"/>
          <w:szCs w:val="22"/>
          <w:lang w:val="sr-Latn-RS"/>
        </w:rPr>
        <w:t>e</w:t>
      </w:r>
      <w:r w:rsidR="009439A3" w:rsidRPr="00234ECD">
        <w:rPr>
          <w:sz w:val="22"/>
          <w:szCs w:val="22"/>
          <w:lang w:val="sr-Latn-RS"/>
        </w:rPr>
        <w:t xml:space="preserve"> rijetkih</w:t>
      </w:r>
      <w:r w:rsidR="005942C4" w:rsidRPr="00234ECD">
        <w:rPr>
          <w:sz w:val="22"/>
          <w:szCs w:val="22"/>
          <w:lang w:val="sr-Latn-RS"/>
        </w:rPr>
        <w:t xml:space="preserve"> solidnih tumora (uključujući medularni karcinom štit</w:t>
      </w:r>
      <w:r w:rsidR="00BB34A5" w:rsidRPr="00234ECD">
        <w:rPr>
          <w:sz w:val="22"/>
          <w:szCs w:val="22"/>
          <w:lang w:val="sr-Latn-RS"/>
        </w:rPr>
        <w:t>aste</w:t>
      </w:r>
      <w:r w:rsidR="005942C4" w:rsidRPr="00234ECD">
        <w:rPr>
          <w:sz w:val="22"/>
          <w:szCs w:val="22"/>
          <w:lang w:val="sr-Latn-RS"/>
        </w:rPr>
        <w:t xml:space="preserve"> žl</w:t>
      </w:r>
      <w:r w:rsidR="009439A3" w:rsidRPr="00234ECD">
        <w:rPr>
          <w:sz w:val="22"/>
          <w:szCs w:val="22"/>
          <w:lang w:val="sr-Latn-RS"/>
        </w:rPr>
        <w:t>ij</w:t>
      </w:r>
      <w:r w:rsidR="005942C4" w:rsidRPr="00234ECD">
        <w:rPr>
          <w:sz w:val="22"/>
          <w:szCs w:val="22"/>
          <w:lang w:val="sr-Latn-RS"/>
        </w:rPr>
        <w:t xml:space="preserve">ezde (MTC), karcinom bubrežnih ćelija (RCC), hepatocelularni karcinom (HCC), hepatoblastom, </w:t>
      </w:r>
      <w:r w:rsidR="00444E86" w:rsidRPr="00234ECD">
        <w:rPr>
          <w:sz w:val="22"/>
          <w:szCs w:val="22"/>
          <w:lang w:val="sr-Latn-RS"/>
        </w:rPr>
        <w:t>adreno</w:t>
      </w:r>
      <w:r w:rsidR="00C45EF5" w:rsidRPr="00234ECD">
        <w:rPr>
          <w:sz w:val="22"/>
          <w:szCs w:val="22"/>
          <w:lang w:val="sr-Latn-RS"/>
        </w:rPr>
        <w:t>kortikalni karcinom</w:t>
      </w:r>
      <w:r w:rsidR="005942C4" w:rsidRPr="00234ECD">
        <w:rPr>
          <w:sz w:val="22"/>
          <w:szCs w:val="22"/>
          <w:lang w:val="sr-Latn-RS"/>
        </w:rPr>
        <w:t xml:space="preserve"> i druge solidne tumore). Kabozantinib </w:t>
      </w:r>
      <w:r w:rsidR="00450B3F" w:rsidRPr="00234ECD">
        <w:rPr>
          <w:sz w:val="22"/>
          <w:szCs w:val="22"/>
          <w:lang w:val="sr-Latn-RS"/>
        </w:rPr>
        <w:t>je prim</w:t>
      </w:r>
      <w:r w:rsidR="00A80475" w:rsidRPr="00234ECD">
        <w:rPr>
          <w:sz w:val="22"/>
          <w:szCs w:val="22"/>
          <w:lang w:val="sr-Latn-RS"/>
        </w:rPr>
        <w:t>i</w:t>
      </w:r>
      <w:r w:rsidR="00450B3F" w:rsidRPr="00234ECD">
        <w:rPr>
          <w:sz w:val="22"/>
          <w:szCs w:val="22"/>
          <w:lang w:val="sr-Latn-RS"/>
        </w:rPr>
        <w:t>jenjivan oralno</w:t>
      </w:r>
      <w:r w:rsidR="005942C4" w:rsidRPr="00234ECD">
        <w:rPr>
          <w:sz w:val="22"/>
          <w:szCs w:val="22"/>
          <w:lang w:val="sr-Latn-RS"/>
        </w:rPr>
        <w:t xml:space="preserve"> jednom dnevno p</w:t>
      </w:r>
      <w:r w:rsidR="00854E35" w:rsidRPr="00234ECD">
        <w:rPr>
          <w:sz w:val="22"/>
          <w:szCs w:val="22"/>
          <w:lang w:val="sr-Latn-RS"/>
        </w:rPr>
        <w:t>rema</w:t>
      </w:r>
      <w:r w:rsidR="005942C4" w:rsidRPr="00234ECD">
        <w:rPr>
          <w:sz w:val="22"/>
          <w:szCs w:val="22"/>
          <w:lang w:val="sr-Latn-RS"/>
        </w:rPr>
        <w:t xml:space="preserve"> kontinuiranom rasporedu doziranja od 28-dnevnih ciklusa u dozi od 40 mg/m</w:t>
      </w:r>
      <w:r w:rsidR="005942C4" w:rsidRPr="00234ECD">
        <w:rPr>
          <w:sz w:val="22"/>
          <w:szCs w:val="22"/>
          <w:vertAlign w:val="superscript"/>
          <w:lang w:val="sr-Latn-RS"/>
        </w:rPr>
        <w:t>2</w:t>
      </w:r>
      <w:r w:rsidR="005942C4" w:rsidRPr="00234ECD">
        <w:rPr>
          <w:sz w:val="22"/>
          <w:szCs w:val="22"/>
          <w:lang w:val="sr-Latn-RS"/>
        </w:rPr>
        <w:t>/dan (kumulativna ned</w:t>
      </w:r>
      <w:r w:rsidR="00AB6DE6" w:rsidRPr="00234ECD">
        <w:rPr>
          <w:sz w:val="22"/>
          <w:szCs w:val="22"/>
          <w:lang w:val="sr-Latn-RS"/>
        </w:rPr>
        <w:t>j</w:t>
      </w:r>
      <w:r w:rsidR="005942C4" w:rsidRPr="00234ECD">
        <w:rPr>
          <w:sz w:val="22"/>
          <w:szCs w:val="22"/>
          <w:lang w:val="sr-Latn-RS"/>
        </w:rPr>
        <w:t>eljna doza od 280 mg/m</w:t>
      </w:r>
      <w:r w:rsidR="005942C4" w:rsidRPr="00234ECD">
        <w:rPr>
          <w:sz w:val="22"/>
          <w:szCs w:val="22"/>
          <w:vertAlign w:val="superscript"/>
          <w:lang w:val="sr-Latn-RS"/>
        </w:rPr>
        <w:t>2</w:t>
      </w:r>
      <w:r w:rsidR="005942C4" w:rsidRPr="00234ECD">
        <w:rPr>
          <w:sz w:val="22"/>
          <w:szCs w:val="22"/>
          <w:lang w:val="sr-Latn-RS"/>
        </w:rPr>
        <w:t xml:space="preserve"> korišćenjem doznog nomograma). Ispitanici su bili ≥2 i ≤30 godina starosti u vr</w:t>
      </w:r>
      <w:r w:rsidR="00AB6DE6" w:rsidRPr="00234ECD">
        <w:rPr>
          <w:sz w:val="22"/>
          <w:szCs w:val="22"/>
          <w:lang w:val="sr-Latn-RS"/>
        </w:rPr>
        <w:t>ij</w:t>
      </w:r>
      <w:r w:rsidR="005942C4" w:rsidRPr="00234ECD">
        <w:rPr>
          <w:sz w:val="22"/>
          <w:szCs w:val="22"/>
          <w:lang w:val="sr-Latn-RS"/>
        </w:rPr>
        <w:t xml:space="preserve">eme ulaska u studiju za sve </w:t>
      </w:r>
      <w:r w:rsidR="000E2571" w:rsidRPr="00234ECD">
        <w:rPr>
          <w:sz w:val="22"/>
          <w:szCs w:val="22"/>
          <w:lang w:val="sr-Latn-RS"/>
        </w:rPr>
        <w:t>stratume</w:t>
      </w:r>
      <w:r w:rsidR="005942C4" w:rsidRPr="00234ECD">
        <w:rPr>
          <w:sz w:val="22"/>
          <w:szCs w:val="22"/>
          <w:lang w:val="sr-Latn-RS"/>
        </w:rPr>
        <w:t xml:space="preserve"> osim gornje starosne granice od ≤18 godina za MTC, RCC i HCC.</w:t>
      </w:r>
    </w:p>
    <w:p w14:paraId="58B0A3D9" w14:textId="2B3CD7CD" w:rsidR="005942C4" w:rsidRPr="00234ECD" w:rsidRDefault="005942C4" w:rsidP="005942C4">
      <w:pPr>
        <w:tabs>
          <w:tab w:val="left" w:pos="284"/>
        </w:tabs>
        <w:jc w:val="both"/>
        <w:rPr>
          <w:sz w:val="22"/>
          <w:szCs w:val="22"/>
          <w:lang w:val="sr-Latn-RS"/>
        </w:rPr>
      </w:pPr>
      <w:r w:rsidRPr="00234ECD">
        <w:rPr>
          <w:sz w:val="22"/>
          <w:szCs w:val="22"/>
          <w:lang w:val="sr-Latn-RS"/>
        </w:rPr>
        <w:t xml:space="preserve">Za </w:t>
      </w:r>
      <w:r w:rsidR="000E2571" w:rsidRPr="00234ECD">
        <w:rPr>
          <w:sz w:val="22"/>
          <w:szCs w:val="22"/>
          <w:lang w:val="sr-Latn-RS"/>
        </w:rPr>
        <w:t>stratume</w:t>
      </w:r>
      <w:r w:rsidRPr="00234ECD">
        <w:rPr>
          <w:sz w:val="22"/>
          <w:szCs w:val="22"/>
          <w:lang w:val="sr-Latn-RS"/>
        </w:rPr>
        <w:t xml:space="preserve"> ne-osteosarkoma i r</w:t>
      </w:r>
      <w:r w:rsidR="000E2571" w:rsidRPr="00234ECD">
        <w:rPr>
          <w:sz w:val="22"/>
          <w:szCs w:val="22"/>
          <w:lang w:val="sr-Latn-RS"/>
        </w:rPr>
        <w:t>ij</w:t>
      </w:r>
      <w:r w:rsidRPr="00234ECD">
        <w:rPr>
          <w:sz w:val="22"/>
          <w:szCs w:val="22"/>
          <w:lang w:val="sr-Latn-RS"/>
        </w:rPr>
        <w:t xml:space="preserve">etkih tumora primarna </w:t>
      </w:r>
      <w:r w:rsidR="00F83F3F" w:rsidRPr="00234ECD">
        <w:rPr>
          <w:sz w:val="22"/>
          <w:szCs w:val="22"/>
          <w:lang w:val="sr-Latn-RS"/>
        </w:rPr>
        <w:t>mjera ishoda</w:t>
      </w:r>
      <w:r w:rsidRPr="00234ECD">
        <w:rPr>
          <w:sz w:val="22"/>
          <w:szCs w:val="22"/>
          <w:lang w:val="sr-Latn-RS"/>
        </w:rPr>
        <w:t xml:space="preserve"> je bila stopa objektivnog odgovora (ORR). Za </w:t>
      </w:r>
      <w:r w:rsidR="000E2571" w:rsidRPr="00234ECD">
        <w:rPr>
          <w:sz w:val="22"/>
          <w:szCs w:val="22"/>
          <w:lang w:val="sr-Latn-RS"/>
        </w:rPr>
        <w:t>stratum</w:t>
      </w:r>
      <w:r w:rsidRPr="00234ECD">
        <w:rPr>
          <w:sz w:val="22"/>
          <w:szCs w:val="22"/>
          <w:lang w:val="sr-Latn-RS"/>
        </w:rPr>
        <w:t xml:space="preserve"> osteosarkoma, korišćen je dvostepeni dizajn koji je uključivao dvostruke </w:t>
      </w:r>
      <w:r w:rsidR="00F83F3F" w:rsidRPr="00234ECD">
        <w:rPr>
          <w:sz w:val="22"/>
          <w:szCs w:val="22"/>
          <w:lang w:val="sr-Latn-RS"/>
        </w:rPr>
        <w:t>mjere ishoda</w:t>
      </w:r>
      <w:r w:rsidRPr="00234ECD">
        <w:rPr>
          <w:sz w:val="22"/>
          <w:szCs w:val="22"/>
          <w:lang w:val="sr-Latn-RS"/>
        </w:rPr>
        <w:t xml:space="preserve"> objektivnog odgovora (CR + PR) na osnovu kriterijuma za proc</w:t>
      </w:r>
      <w:r w:rsidR="00F83F3F" w:rsidRPr="00234ECD">
        <w:rPr>
          <w:sz w:val="22"/>
          <w:szCs w:val="22"/>
          <w:lang w:val="sr-Latn-RS"/>
        </w:rPr>
        <w:t>j</w:t>
      </w:r>
      <w:r w:rsidRPr="00234ECD">
        <w:rPr>
          <w:sz w:val="22"/>
          <w:szCs w:val="22"/>
          <w:lang w:val="sr-Latn-RS"/>
        </w:rPr>
        <w:t>enu odgovora kod solidnih tumora (RECIST) verzije 1.1 i usp</w:t>
      </w:r>
      <w:r w:rsidR="00703C42" w:rsidRPr="00234ECD">
        <w:rPr>
          <w:sz w:val="22"/>
          <w:szCs w:val="22"/>
          <w:lang w:val="sr-Latn-RS"/>
        </w:rPr>
        <w:t>j</w:t>
      </w:r>
      <w:r w:rsidRPr="00234ECD">
        <w:rPr>
          <w:sz w:val="22"/>
          <w:szCs w:val="22"/>
          <w:lang w:val="sr-Latn-RS"/>
        </w:rPr>
        <w:t>eha l</w:t>
      </w:r>
      <w:r w:rsidR="00703C42" w:rsidRPr="00234ECD">
        <w:rPr>
          <w:sz w:val="22"/>
          <w:szCs w:val="22"/>
          <w:lang w:val="sr-Latn-RS"/>
        </w:rPr>
        <w:t>ij</w:t>
      </w:r>
      <w:r w:rsidRPr="00234ECD">
        <w:rPr>
          <w:sz w:val="22"/>
          <w:szCs w:val="22"/>
          <w:lang w:val="sr-Latn-RS"/>
        </w:rPr>
        <w:t>ečenja definisano</w:t>
      </w:r>
      <w:r w:rsidR="00703C42" w:rsidRPr="00234ECD">
        <w:rPr>
          <w:sz w:val="22"/>
          <w:szCs w:val="22"/>
          <w:lang w:val="sr-Latn-RS"/>
        </w:rPr>
        <w:t>g</w:t>
      </w:r>
      <w:r w:rsidRPr="00234ECD">
        <w:rPr>
          <w:sz w:val="22"/>
          <w:szCs w:val="22"/>
          <w:lang w:val="sr-Latn-RS"/>
        </w:rPr>
        <w:t xml:space="preserve"> SD</w:t>
      </w:r>
      <w:r w:rsidR="00703C42" w:rsidRPr="00234ECD">
        <w:rPr>
          <w:sz w:val="22"/>
          <w:szCs w:val="22"/>
          <w:lang w:val="sr-Latn-RS"/>
        </w:rPr>
        <w:t>-om</w:t>
      </w:r>
      <w:r w:rsidRPr="00234ECD">
        <w:rPr>
          <w:sz w:val="22"/>
          <w:szCs w:val="22"/>
          <w:lang w:val="sr-Latn-RS"/>
        </w:rPr>
        <w:t xml:space="preserve"> </w:t>
      </w:r>
      <w:r w:rsidR="00703C42" w:rsidRPr="00234ECD">
        <w:rPr>
          <w:sz w:val="22"/>
          <w:szCs w:val="22"/>
          <w:lang w:val="sr-Latn-RS"/>
        </w:rPr>
        <w:t xml:space="preserve">za </w:t>
      </w:r>
      <w:r w:rsidRPr="00234ECD">
        <w:rPr>
          <w:sz w:val="22"/>
          <w:szCs w:val="22"/>
          <w:lang w:val="sr-Latn-RS"/>
        </w:rPr>
        <w:t>≥4 m</w:t>
      </w:r>
      <w:r w:rsidR="00703C42" w:rsidRPr="00234ECD">
        <w:rPr>
          <w:sz w:val="22"/>
          <w:szCs w:val="22"/>
          <w:lang w:val="sr-Latn-RS"/>
        </w:rPr>
        <w:t>j</w:t>
      </w:r>
      <w:r w:rsidRPr="00234ECD">
        <w:rPr>
          <w:sz w:val="22"/>
          <w:szCs w:val="22"/>
          <w:lang w:val="sr-Latn-RS"/>
        </w:rPr>
        <w:t>eseca. Proc</w:t>
      </w:r>
      <w:r w:rsidR="00703C42" w:rsidRPr="00234ECD">
        <w:rPr>
          <w:sz w:val="22"/>
          <w:szCs w:val="22"/>
          <w:lang w:val="sr-Latn-RS"/>
        </w:rPr>
        <w:t>ij</w:t>
      </w:r>
      <w:r w:rsidRPr="00234ECD">
        <w:rPr>
          <w:sz w:val="22"/>
          <w:szCs w:val="22"/>
          <w:lang w:val="sr-Latn-RS"/>
        </w:rPr>
        <w:t xml:space="preserve">enjena je </w:t>
      </w:r>
      <w:r w:rsidR="00956B0D" w:rsidRPr="00234ECD">
        <w:rPr>
          <w:sz w:val="22"/>
          <w:szCs w:val="22"/>
          <w:lang w:val="sr-Latn-RS"/>
        </w:rPr>
        <w:t>farmakokinetika</w:t>
      </w:r>
      <w:r w:rsidRPr="00234ECD">
        <w:rPr>
          <w:sz w:val="22"/>
          <w:szCs w:val="22"/>
          <w:lang w:val="sr-Latn-RS"/>
        </w:rPr>
        <w:t xml:space="preserve"> kabozantiniba kod pedijatrijskih ispitanika i adolescenata (</w:t>
      </w:r>
      <w:r w:rsidR="00703C42" w:rsidRPr="00234ECD">
        <w:rPr>
          <w:sz w:val="22"/>
          <w:szCs w:val="22"/>
          <w:lang w:val="sr-Latn-RS"/>
        </w:rPr>
        <w:t xml:space="preserve">vidjeti </w:t>
      </w:r>
      <w:r w:rsidR="000B3932" w:rsidRPr="00234ECD">
        <w:rPr>
          <w:sz w:val="22"/>
          <w:szCs w:val="22"/>
          <w:lang w:val="sr-Latn-RS"/>
        </w:rPr>
        <w:t xml:space="preserve">dio </w:t>
      </w:r>
      <w:r w:rsidRPr="00234ECD">
        <w:rPr>
          <w:sz w:val="22"/>
          <w:szCs w:val="22"/>
          <w:lang w:val="sr-Latn-RS"/>
        </w:rPr>
        <w:t>5.2).</w:t>
      </w:r>
    </w:p>
    <w:p w14:paraId="0B8AA928" w14:textId="77777777" w:rsidR="005942C4" w:rsidRPr="00234ECD" w:rsidRDefault="005942C4" w:rsidP="005942C4">
      <w:pPr>
        <w:tabs>
          <w:tab w:val="left" w:pos="284"/>
        </w:tabs>
        <w:jc w:val="both"/>
        <w:rPr>
          <w:i/>
          <w:iCs/>
          <w:sz w:val="22"/>
          <w:szCs w:val="22"/>
          <w:lang w:val="sr-Latn-RS"/>
        </w:rPr>
      </w:pPr>
    </w:p>
    <w:p w14:paraId="61881788" w14:textId="77777777" w:rsidR="005942C4" w:rsidRPr="00234ECD" w:rsidRDefault="005942C4" w:rsidP="005942C4">
      <w:pPr>
        <w:tabs>
          <w:tab w:val="left" w:pos="284"/>
        </w:tabs>
        <w:jc w:val="both"/>
        <w:rPr>
          <w:sz w:val="22"/>
          <w:szCs w:val="22"/>
          <w:lang w:val="sr-Latn-RS"/>
        </w:rPr>
      </w:pPr>
      <w:r w:rsidRPr="00234ECD">
        <w:rPr>
          <w:sz w:val="22"/>
          <w:szCs w:val="22"/>
          <w:lang w:val="sr-Latn-RS"/>
        </w:rPr>
        <w:t>Sažetak rezultata efikasnosti</w:t>
      </w:r>
    </w:p>
    <w:p w14:paraId="3CFB987E" w14:textId="77777777" w:rsidR="005942C4" w:rsidRPr="00234ECD" w:rsidRDefault="005942C4" w:rsidP="005942C4">
      <w:pPr>
        <w:tabs>
          <w:tab w:val="left" w:pos="284"/>
        </w:tabs>
        <w:jc w:val="both"/>
        <w:rPr>
          <w:sz w:val="22"/>
          <w:szCs w:val="22"/>
          <w:lang w:val="sr-Latn-RS"/>
        </w:rPr>
      </w:pPr>
    </w:p>
    <w:p w14:paraId="1B15FCAE" w14:textId="649C85F9" w:rsidR="005942C4" w:rsidRPr="00234ECD" w:rsidRDefault="005942C4" w:rsidP="005942C4">
      <w:pPr>
        <w:tabs>
          <w:tab w:val="left" w:pos="284"/>
        </w:tabs>
        <w:jc w:val="both"/>
        <w:rPr>
          <w:sz w:val="22"/>
          <w:szCs w:val="22"/>
          <w:lang w:val="sr-Latn-RS"/>
        </w:rPr>
      </w:pPr>
      <w:r w:rsidRPr="00234ECD">
        <w:rPr>
          <w:sz w:val="22"/>
          <w:szCs w:val="22"/>
          <w:lang w:val="sr-Latn-RS"/>
        </w:rPr>
        <w:t xml:space="preserve">Na </w:t>
      </w:r>
      <w:r w:rsidR="009D3FF0" w:rsidRPr="00234ECD">
        <w:rPr>
          <w:sz w:val="22"/>
          <w:szCs w:val="22"/>
          <w:lang w:val="sr-Latn-RS"/>
        </w:rPr>
        <w:t>zaključni datum prikupljanja podataka</w:t>
      </w:r>
      <w:r w:rsidRPr="00234ECD">
        <w:rPr>
          <w:sz w:val="22"/>
          <w:szCs w:val="22"/>
          <w:lang w:val="sr-Latn-RS"/>
        </w:rPr>
        <w:t xml:space="preserve"> (30. jun 2021), 108/109 ispitanika je primilo najmanje jednu dozu kabozantiniba. Svaka statistička kohorta u </w:t>
      </w:r>
      <w:r w:rsidR="009D3FF0" w:rsidRPr="00234ECD">
        <w:rPr>
          <w:sz w:val="22"/>
          <w:szCs w:val="22"/>
          <w:lang w:val="sr-Latn-RS"/>
        </w:rPr>
        <w:t>stratum</w:t>
      </w:r>
      <w:r w:rsidR="001D1277" w:rsidRPr="00234ECD">
        <w:rPr>
          <w:sz w:val="22"/>
          <w:szCs w:val="22"/>
          <w:lang w:val="sr-Latn-RS"/>
        </w:rPr>
        <w:t>u</w:t>
      </w:r>
      <w:r w:rsidR="009D3FF0" w:rsidRPr="00234ECD">
        <w:rPr>
          <w:sz w:val="22"/>
          <w:szCs w:val="22"/>
          <w:lang w:val="sr-Latn-RS"/>
        </w:rPr>
        <w:t xml:space="preserve"> ne-</w:t>
      </w:r>
      <w:r w:rsidRPr="00234ECD">
        <w:rPr>
          <w:sz w:val="22"/>
          <w:szCs w:val="22"/>
          <w:lang w:val="sr-Latn-RS"/>
        </w:rPr>
        <w:t>osteosarkoma uključivala je 13 ispitanika. Ni</w:t>
      </w:r>
      <w:r w:rsidR="001D1277" w:rsidRPr="00234ECD">
        <w:rPr>
          <w:sz w:val="22"/>
          <w:szCs w:val="22"/>
          <w:lang w:val="sr-Latn-RS"/>
        </w:rPr>
        <w:t>je</w:t>
      </w:r>
      <w:r w:rsidRPr="00234ECD">
        <w:rPr>
          <w:sz w:val="22"/>
          <w:szCs w:val="22"/>
          <w:lang w:val="sr-Latn-RS"/>
        </w:rPr>
        <w:t>su prim</w:t>
      </w:r>
      <w:r w:rsidR="00956B0D" w:rsidRPr="00234ECD">
        <w:rPr>
          <w:sz w:val="22"/>
          <w:szCs w:val="22"/>
          <w:lang w:val="sr-Latn-RS"/>
        </w:rPr>
        <w:t>ij</w:t>
      </w:r>
      <w:r w:rsidRPr="00234ECD">
        <w:rPr>
          <w:sz w:val="22"/>
          <w:szCs w:val="22"/>
          <w:lang w:val="sr-Latn-RS"/>
        </w:rPr>
        <w:t xml:space="preserve">ećeni odgovori u ovim statističkim kohortama. </w:t>
      </w:r>
      <w:r w:rsidR="001D1277" w:rsidRPr="00234ECD">
        <w:rPr>
          <w:sz w:val="22"/>
          <w:szCs w:val="22"/>
          <w:lang w:val="sr-Latn-RS"/>
        </w:rPr>
        <w:t>Stratum o</w:t>
      </w:r>
      <w:r w:rsidRPr="00234ECD">
        <w:rPr>
          <w:sz w:val="22"/>
          <w:szCs w:val="22"/>
          <w:lang w:val="sr-Latn-RS"/>
        </w:rPr>
        <w:t>steosarkom</w:t>
      </w:r>
      <w:r w:rsidR="001D1277" w:rsidRPr="00234ECD">
        <w:rPr>
          <w:sz w:val="22"/>
          <w:szCs w:val="22"/>
          <w:lang w:val="sr-Latn-RS"/>
        </w:rPr>
        <w:t>a</w:t>
      </w:r>
      <w:r w:rsidRPr="00234ECD">
        <w:rPr>
          <w:sz w:val="22"/>
          <w:szCs w:val="22"/>
          <w:lang w:val="sr-Latn-RS"/>
        </w:rPr>
        <w:t xml:space="preserve"> obuhvata</w:t>
      </w:r>
      <w:r w:rsidR="001D1277" w:rsidRPr="00234ECD">
        <w:rPr>
          <w:sz w:val="22"/>
          <w:szCs w:val="22"/>
          <w:lang w:val="sr-Latn-RS"/>
        </w:rPr>
        <w:t>o je</w:t>
      </w:r>
      <w:r w:rsidRPr="00234ECD">
        <w:rPr>
          <w:sz w:val="22"/>
          <w:szCs w:val="22"/>
          <w:lang w:val="sr-Latn-RS"/>
        </w:rPr>
        <w:t xml:space="preserve"> ukupno 29 ispitanika, uključujući 17 d</w:t>
      </w:r>
      <w:r w:rsidR="00956B0D" w:rsidRPr="00234ECD">
        <w:rPr>
          <w:sz w:val="22"/>
          <w:szCs w:val="22"/>
          <w:lang w:val="sr-Latn-RS"/>
        </w:rPr>
        <w:t>j</w:t>
      </w:r>
      <w:r w:rsidRPr="00234ECD">
        <w:rPr>
          <w:sz w:val="22"/>
          <w:szCs w:val="22"/>
          <w:lang w:val="sr-Latn-RS"/>
        </w:rPr>
        <w:t>ece (uzrasta od 9 do 17 godina) i 12 odraslih (uzrasta od 18 do 22 godine).</w:t>
      </w:r>
    </w:p>
    <w:p w14:paraId="358B700F" w14:textId="77777777" w:rsidR="005942C4" w:rsidRPr="00234ECD" w:rsidRDefault="005942C4" w:rsidP="005942C4">
      <w:pPr>
        <w:tabs>
          <w:tab w:val="left" w:pos="284"/>
        </w:tabs>
        <w:jc w:val="both"/>
        <w:rPr>
          <w:sz w:val="22"/>
          <w:szCs w:val="22"/>
          <w:lang w:val="sr-Latn-RS"/>
        </w:rPr>
      </w:pPr>
    </w:p>
    <w:p w14:paraId="4156C8EA" w14:textId="667DA6A1" w:rsidR="005942C4" w:rsidRPr="00234ECD" w:rsidRDefault="005942C4" w:rsidP="005942C4">
      <w:pPr>
        <w:tabs>
          <w:tab w:val="left" w:pos="284"/>
        </w:tabs>
        <w:jc w:val="both"/>
        <w:rPr>
          <w:sz w:val="22"/>
          <w:szCs w:val="22"/>
          <w:lang w:val="sr-Latn-RS"/>
        </w:rPr>
      </w:pPr>
      <w:r w:rsidRPr="00234ECD">
        <w:rPr>
          <w:sz w:val="22"/>
          <w:szCs w:val="22"/>
          <w:lang w:val="sr-Latn-RS"/>
        </w:rPr>
        <w:t>U stratumu osteosarkoma, svi subjekti su prethodno primili sistemsku terapiju. Uočen je PR kod jedne odrasle osobe i jednog d</w:t>
      </w:r>
      <w:r w:rsidR="00956B0D" w:rsidRPr="00234ECD">
        <w:rPr>
          <w:sz w:val="22"/>
          <w:szCs w:val="22"/>
          <w:lang w:val="sr-Latn-RS"/>
        </w:rPr>
        <w:t>j</w:t>
      </w:r>
      <w:r w:rsidRPr="00234ECD">
        <w:rPr>
          <w:sz w:val="22"/>
          <w:szCs w:val="22"/>
          <w:lang w:val="sr-Latn-RS"/>
        </w:rPr>
        <w:t>eteta. Stopa kontrole bolesti (</w:t>
      </w:r>
      <w:r w:rsidR="00700210" w:rsidRPr="00234ECD">
        <w:rPr>
          <w:sz w:val="22"/>
          <w:szCs w:val="22"/>
          <w:lang w:val="sr-Latn-RS"/>
        </w:rPr>
        <w:t xml:space="preserve">engl. </w:t>
      </w:r>
      <w:r w:rsidR="00700210" w:rsidRPr="00234ECD">
        <w:rPr>
          <w:i/>
          <w:iCs/>
          <w:sz w:val="22"/>
          <w:szCs w:val="22"/>
          <w:lang w:val="sr-Latn-RS"/>
        </w:rPr>
        <w:t>Disease Control Rate</w:t>
      </w:r>
      <w:r w:rsidR="00700210" w:rsidRPr="00234ECD">
        <w:rPr>
          <w:sz w:val="22"/>
          <w:szCs w:val="22"/>
          <w:lang w:val="sr-Latn-RS"/>
        </w:rPr>
        <w:t xml:space="preserve">, </w:t>
      </w:r>
      <w:r w:rsidRPr="00234ECD">
        <w:rPr>
          <w:sz w:val="22"/>
          <w:szCs w:val="22"/>
          <w:lang w:val="sr-Latn-RS"/>
        </w:rPr>
        <w:t>DCR) bila je 34,5% (95% CI: 17,9, 54,3).</w:t>
      </w:r>
    </w:p>
    <w:p w14:paraId="0F2C1317" w14:textId="77777777" w:rsidR="006320E8" w:rsidRPr="00234ECD" w:rsidRDefault="006320E8" w:rsidP="00D857AC">
      <w:pPr>
        <w:tabs>
          <w:tab w:val="left" w:pos="284"/>
        </w:tabs>
        <w:jc w:val="both"/>
        <w:rPr>
          <w:b/>
          <w:bCs/>
          <w:sz w:val="22"/>
          <w:szCs w:val="22"/>
          <w:lang w:val="sr-Latn-RS"/>
        </w:rPr>
      </w:pPr>
    </w:p>
    <w:p w14:paraId="4F477AAE" w14:textId="649357BC" w:rsidR="0072020E" w:rsidRPr="00234ECD" w:rsidRDefault="0072020E" w:rsidP="00480FB1">
      <w:pPr>
        <w:tabs>
          <w:tab w:val="left" w:pos="540"/>
          <w:tab w:val="left" w:pos="569"/>
        </w:tabs>
        <w:rPr>
          <w:b/>
          <w:bCs/>
          <w:sz w:val="22"/>
          <w:szCs w:val="22"/>
          <w:lang w:val="sr-Latn-RS"/>
        </w:rPr>
      </w:pPr>
      <w:r w:rsidRPr="00234ECD">
        <w:rPr>
          <w:b/>
          <w:bCs/>
          <w:sz w:val="22"/>
          <w:szCs w:val="22"/>
          <w:lang w:val="sr-Latn-RS"/>
        </w:rPr>
        <w:t xml:space="preserve">5.2. </w:t>
      </w:r>
      <w:r w:rsidR="00480FB1" w:rsidRPr="00234ECD">
        <w:rPr>
          <w:b/>
          <w:bCs/>
          <w:sz w:val="22"/>
          <w:szCs w:val="22"/>
          <w:lang w:val="sr-Latn-RS"/>
        </w:rPr>
        <w:tab/>
      </w:r>
      <w:r w:rsidRPr="00234ECD">
        <w:rPr>
          <w:b/>
          <w:bCs/>
          <w:sz w:val="22"/>
          <w:szCs w:val="22"/>
          <w:lang w:val="sr-Latn-RS"/>
        </w:rPr>
        <w:t>Farmakokinetički podaci</w:t>
      </w:r>
      <w:r w:rsidR="003A7059" w:rsidRPr="00234ECD">
        <w:rPr>
          <w:b/>
          <w:bCs/>
          <w:sz w:val="22"/>
          <w:szCs w:val="22"/>
          <w:lang w:val="sr-Latn-RS"/>
        </w:rPr>
        <w:t xml:space="preserve"> </w:t>
      </w:r>
    </w:p>
    <w:p w14:paraId="0399A8B5" w14:textId="77777777" w:rsidR="00D857AC" w:rsidRPr="00234ECD" w:rsidRDefault="00D857AC" w:rsidP="00480FB1">
      <w:pPr>
        <w:tabs>
          <w:tab w:val="left" w:pos="540"/>
          <w:tab w:val="left" w:pos="569"/>
        </w:tabs>
        <w:rPr>
          <w:b/>
          <w:bCs/>
          <w:sz w:val="22"/>
          <w:szCs w:val="22"/>
          <w:lang w:val="sr-Latn-RS"/>
        </w:rPr>
      </w:pPr>
    </w:p>
    <w:p w14:paraId="3F68DD9B"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Resorpcija</w:t>
      </w:r>
    </w:p>
    <w:p w14:paraId="350A5F79" w14:textId="4B9768C4" w:rsidR="00D857AC" w:rsidRPr="00234ECD" w:rsidRDefault="00D857AC" w:rsidP="00D857AC">
      <w:pPr>
        <w:jc w:val="both"/>
        <w:rPr>
          <w:rFonts w:eastAsia="Calibri"/>
          <w:sz w:val="22"/>
          <w:szCs w:val="22"/>
          <w:lang w:val="sr-Latn-RS"/>
        </w:rPr>
      </w:pPr>
      <w:r w:rsidRPr="00234ECD">
        <w:rPr>
          <w:rFonts w:eastAsia="Calibri"/>
          <w:sz w:val="22"/>
          <w:szCs w:val="22"/>
          <w:lang w:val="sr-Latn-RS"/>
        </w:rPr>
        <w:t>Nakon oralne prim</w:t>
      </w:r>
      <w:r w:rsidR="006C012F" w:rsidRPr="00234ECD">
        <w:rPr>
          <w:rFonts w:eastAsia="Calibri"/>
          <w:sz w:val="22"/>
          <w:szCs w:val="22"/>
          <w:lang w:val="sr-Latn-RS"/>
        </w:rPr>
        <w:t>j</w:t>
      </w:r>
      <w:r w:rsidRPr="00234ECD">
        <w:rPr>
          <w:rFonts w:eastAsia="Calibri"/>
          <w:sz w:val="22"/>
          <w:szCs w:val="22"/>
          <w:lang w:val="sr-Latn-RS"/>
        </w:rPr>
        <w:t>ene kabozantiniba, vršne koncentracije kabozantiniba u plazmi postižu se za 3 do 4 sata nakon uzimanja doze. Profili zavisnosti koncentracije u plazmi od vremena pokazuju drugu vršnu vr</w:t>
      </w:r>
      <w:r w:rsidR="00E55DEF" w:rsidRPr="00234ECD">
        <w:rPr>
          <w:rFonts w:eastAsia="Calibri"/>
          <w:sz w:val="22"/>
          <w:szCs w:val="22"/>
          <w:lang w:val="sr-Latn-RS"/>
        </w:rPr>
        <w:t>ij</w:t>
      </w:r>
      <w:r w:rsidRPr="00234ECD">
        <w:rPr>
          <w:rFonts w:eastAsia="Calibri"/>
          <w:sz w:val="22"/>
          <w:szCs w:val="22"/>
          <w:lang w:val="sr-Latn-RS"/>
        </w:rPr>
        <w:t>ednost apsorpcije otprilike 24 sata nakon prim</w:t>
      </w:r>
      <w:r w:rsidR="00E55DEF" w:rsidRPr="00234ECD">
        <w:rPr>
          <w:rFonts w:eastAsia="Calibri"/>
          <w:sz w:val="22"/>
          <w:szCs w:val="22"/>
          <w:lang w:val="sr-Latn-RS"/>
        </w:rPr>
        <w:t>j</w:t>
      </w:r>
      <w:r w:rsidRPr="00234ECD">
        <w:rPr>
          <w:rFonts w:eastAsia="Calibri"/>
          <w:sz w:val="22"/>
          <w:szCs w:val="22"/>
          <w:lang w:val="sr-Latn-RS"/>
        </w:rPr>
        <w:t>ene, što ukazuje na mogućnost da kabozantinib podl</w:t>
      </w:r>
      <w:r w:rsidR="00E55DEF" w:rsidRPr="00234ECD">
        <w:rPr>
          <w:rFonts w:eastAsia="Calibri"/>
          <w:sz w:val="22"/>
          <w:szCs w:val="22"/>
          <w:lang w:val="sr-Latn-RS"/>
        </w:rPr>
        <w:t>ij</w:t>
      </w:r>
      <w:r w:rsidRPr="00234ECD">
        <w:rPr>
          <w:rFonts w:eastAsia="Calibri"/>
          <w:sz w:val="22"/>
          <w:szCs w:val="22"/>
          <w:lang w:val="sr-Latn-RS"/>
        </w:rPr>
        <w:t>eže enterohepatičkoj cirkulaciji.</w:t>
      </w:r>
    </w:p>
    <w:p w14:paraId="69FD6877" w14:textId="77777777" w:rsidR="00D857AC" w:rsidRPr="00234ECD" w:rsidRDefault="00D857AC" w:rsidP="00D857AC">
      <w:pPr>
        <w:jc w:val="both"/>
        <w:rPr>
          <w:rFonts w:eastAsia="Calibri"/>
          <w:sz w:val="22"/>
          <w:szCs w:val="22"/>
          <w:lang w:val="sr-Latn-RS"/>
        </w:rPr>
      </w:pPr>
    </w:p>
    <w:p w14:paraId="399D9052" w14:textId="21A0835E" w:rsidR="00D857AC" w:rsidRPr="00234ECD" w:rsidRDefault="00D857AC" w:rsidP="00D857AC">
      <w:pPr>
        <w:jc w:val="both"/>
        <w:rPr>
          <w:rFonts w:eastAsia="Calibri"/>
          <w:sz w:val="22"/>
          <w:szCs w:val="22"/>
          <w:lang w:val="sr-Latn-RS"/>
        </w:rPr>
      </w:pPr>
      <w:r w:rsidRPr="00234ECD">
        <w:rPr>
          <w:rFonts w:eastAsia="Calibri"/>
          <w:sz w:val="22"/>
          <w:szCs w:val="22"/>
          <w:lang w:val="sr-Latn-RS"/>
        </w:rPr>
        <w:t>Ponavljanje dnevne doze kabozantiniba od 140 mg tokom 19 dana rezultiralo je otprilike četvorostruko do petorostruko većom srednjom vr</w:t>
      </w:r>
      <w:r w:rsidR="00E55DEF" w:rsidRPr="00234ECD">
        <w:rPr>
          <w:rFonts w:eastAsia="Calibri"/>
          <w:sz w:val="22"/>
          <w:szCs w:val="22"/>
          <w:lang w:val="sr-Latn-RS"/>
        </w:rPr>
        <w:t>ij</w:t>
      </w:r>
      <w:r w:rsidRPr="00234ECD">
        <w:rPr>
          <w:rFonts w:eastAsia="Calibri"/>
          <w:sz w:val="22"/>
          <w:szCs w:val="22"/>
          <w:lang w:val="sr-Latn-RS"/>
        </w:rPr>
        <w:t>ednosti akumulacije kabozantiniba (na osnovu PIK) u poređenju sa prim</w:t>
      </w:r>
      <w:r w:rsidR="00E55DEF" w:rsidRPr="00234ECD">
        <w:rPr>
          <w:rFonts w:eastAsia="Calibri"/>
          <w:sz w:val="22"/>
          <w:szCs w:val="22"/>
          <w:lang w:val="sr-Latn-RS"/>
        </w:rPr>
        <w:t>j</w:t>
      </w:r>
      <w:r w:rsidRPr="00234ECD">
        <w:rPr>
          <w:rFonts w:eastAsia="Calibri"/>
          <w:sz w:val="22"/>
          <w:szCs w:val="22"/>
          <w:lang w:val="sr-Latn-RS"/>
        </w:rPr>
        <w:t>enom jedne doze; stanje dinamičke ravnoteže postignuto je otprilike 15. dana.</w:t>
      </w:r>
    </w:p>
    <w:p w14:paraId="6CB673A0" w14:textId="77777777" w:rsidR="00D857AC" w:rsidRPr="00234ECD" w:rsidRDefault="00D857AC" w:rsidP="00D857AC">
      <w:pPr>
        <w:jc w:val="both"/>
        <w:rPr>
          <w:rFonts w:eastAsia="Calibri"/>
          <w:sz w:val="22"/>
          <w:szCs w:val="22"/>
          <w:lang w:val="sr-Latn-RS"/>
        </w:rPr>
      </w:pPr>
    </w:p>
    <w:p w14:paraId="2E7EB929" w14:textId="617F36EE" w:rsidR="00D857AC" w:rsidRPr="00234ECD" w:rsidRDefault="00D857AC" w:rsidP="00D857AC">
      <w:pPr>
        <w:jc w:val="both"/>
        <w:rPr>
          <w:rFonts w:eastAsia="Calibri"/>
          <w:sz w:val="22"/>
          <w:szCs w:val="22"/>
          <w:lang w:val="sr-Latn-RS"/>
        </w:rPr>
      </w:pPr>
      <w:r w:rsidRPr="00234ECD">
        <w:rPr>
          <w:rFonts w:eastAsia="Calibri"/>
          <w:sz w:val="22"/>
          <w:szCs w:val="22"/>
          <w:lang w:val="sr-Latn-RS"/>
        </w:rPr>
        <w:t>Obrok sa visokim sadržajem masti um</w:t>
      </w:r>
      <w:r w:rsidR="00E55DEF" w:rsidRPr="00234ECD">
        <w:rPr>
          <w:rFonts w:eastAsia="Calibri"/>
          <w:sz w:val="22"/>
          <w:szCs w:val="22"/>
          <w:lang w:val="sr-Latn-RS"/>
        </w:rPr>
        <w:t>j</w:t>
      </w:r>
      <w:r w:rsidRPr="00234ECD">
        <w:rPr>
          <w:rFonts w:eastAsia="Calibri"/>
          <w:sz w:val="22"/>
          <w:szCs w:val="22"/>
          <w:lang w:val="sr-Latn-RS"/>
        </w:rPr>
        <w:t>ereno je povećao C</w:t>
      </w:r>
      <w:r w:rsidRPr="00234ECD">
        <w:rPr>
          <w:rFonts w:eastAsia="Calibri"/>
          <w:sz w:val="22"/>
          <w:szCs w:val="22"/>
          <w:vertAlign w:val="subscript"/>
          <w:lang w:val="sr-Latn-RS"/>
        </w:rPr>
        <w:t>max</w:t>
      </w:r>
      <w:r w:rsidRPr="00234ECD">
        <w:rPr>
          <w:rFonts w:eastAsia="Calibri"/>
          <w:sz w:val="22"/>
          <w:szCs w:val="22"/>
          <w:lang w:val="sr-Latn-RS"/>
        </w:rPr>
        <w:t xml:space="preserve"> i PIK vr</w:t>
      </w:r>
      <w:r w:rsidR="00E55DEF" w:rsidRPr="00234ECD">
        <w:rPr>
          <w:rFonts w:eastAsia="Calibri"/>
          <w:sz w:val="22"/>
          <w:szCs w:val="22"/>
          <w:lang w:val="sr-Latn-RS"/>
        </w:rPr>
        <w:t>ij</w:t>
      </w:r>
      <w:r w:rsidRPr="00234ECD">
        <w:rPr>
          <w:rFonts w:eastAsia="Calibri"/>
          <w:sz w:val="22"/>
          <w:szCs w:val="22"/>
          <w:lang w:val="sr-Latn-RS"/>
        </w:rPr>
        <w:t>ednosti (41%, odnosno 57%) u odnosu na stanje gladovanja kod zdravih dobrovoljaca koji su primili jednu peroralnu dozu kabozantiniba od 140 mg. Ne postoje podaci o tačnom uticaju hrane uzete 1 sat posl</w:t>
      </w:r>
      <w:r w:rsidR="00975C76" w:rsidRPr="00234ECD">
        <w:rPr>
          <w:rFonts w:eastAsia="Calibri"/>
          <w:sz w:val="22"/>
          <w:szCs w:val="22"/>
          <w:lang w:val="sr-Latn-RS"/>
        </w:rPr>
        <w:t>ij</w:t>
      </w:r>
      <w:r w:rsidRPr="00234ECD">
        <w:rPr>
          <w:rFonts w:eastAsia="Calibri"/>
          <w:sz w:val="22"/>
          <w:szCs w:val="22"/>
          <w:lang w:val="sr-Latn-RS"/>
        </w:rPr>
        <w:t>e prim</w:t>
      </w:r>
      <w:r w:rsidR="00975C76" w:rsidRPr="00234ECD">
        <w:rPr>
          <w:rFonts w:eastAsia="Calibri"/>
          <w:sz w:val="22"/>
          <w:szCs w:val="22"/>
          <w:lang w:val="sr-Latn-RS"/>
        </w:rPr>
        <w:t>j</w:t>
      </w:r>
      <w:r w:rsidRPr="00234ECD">
        <w:rPr>
          <w:rFonts w:eastAsia="Calibri"/>
          <w:sz w:val="22"/>
          <w:szCs w:val="22"/>
          <w:lang w:val="sr-Latn-RS"/>
        </w:rPr>
        <w:t>ene kabozantiniba.</w:t>
      </w:r>
    </w:p>
    <w:p w14:paraId="4E92336F" w14:textId="77777777" w:rsidR="00D857AC" w:rsidRPr="00234ECD" w:rsidRDefault="00D857AC" w:rsidP="00D857AC">
      <w:pPr>
        <w:jc w:val="both"/>
        <w:rPr>
          <w:rFonts w:eastAsia="Calibri"/>
          <w:sz w:val="22"/>
          <w:szCs w:val="22"/>
          <w:lang w:val="sr-Latn-RS"/>
        </w:rPr>
      </w:pPr>
    </w:p>
    <w:p w14:paraId="59CC057C" w14:textId="3A4B2EE1" w:rsidR="00D857AC" w:rsidRPr="00234ECD" w:rsidRDefault="00D857AC" w:rsidP="00D857AC">
      <w:pPr>
        <w:jc w:val="both"/>
        <w:rPr>
          <w:rFonts w:eastAsia="Calibri"/>
          <w:sz w:val="22"/>
          <w:szCs w:val="22"/>
          <w:lang w:val="sr-Latn-RS"/>
        </w:rPr>
      </w:pPr>
      <w:r w:rsidRPr="00234ECD">
        <w:rPr>
          <w:rFonts w:eastAsia="Calibri"/>
          <w:sz w:val="22"/>
          <w:szCs w:val="22"/>
          <w:lang w:val="sr-Latn-RS"/>
        </w:rPr>
        <w:t>Nije bilo moguće dokazati bioekvivalentnost između oblika kapsule i tablete kabozantiniba nakon prim</w:t>
      </w:r>
      <w:r w:rsidR="00975C76" w:rsidRPr="00234ECD">
        <w:rPr>
          <w:rFonts w:eastAsia="Calibri"/>
          <w:sz w:val="22"/>
          <w:szCs w:val="22"/>
          <w:lang w:val="sr-Latn-RS"/>
        </w:rPr>
        <w:t>j</w:t>
      </w:r>
      <w:r w:rsidRPr="00234ECD">
        <w:rPr>
          <w:rFonts w:eastAsia="Calibri"/>
          <w:sz w:val="22"/>
          <w:szCs w:val="22"/>
          <w:lang w:val="sr-Latn-RS"/>
        </w:rPr>
        <w:t>ene jedne doze od 140 mg kod zdravih ispitanika. Uočen je porast C</w:t>
      </w:r>
      <w:r w:rsidRPr="00234ECD">
        <w:rPr>
          <w:rFonts w:eastAsia="Calibri"/>
          <w:sz w:val="22"/>
          <w:szCs w:val="22"/>
          <w:vertAlign w:val="subscript"/>
          <w:lang w:val="sr-Latn-RS"/>
        </w:rPr>
        <w:t>max</w:t>
      </w:r>
      <w:r w:rsidRPr="00234ECD">
        <w:rPr>
          <w:rFonts w:eastAsia="Calibri"/>
          <w:sz w:val="22"/>
          <w:szCs w:val="22"/>
          <w:lang w:val="sr-Latn-RS"/>
        </w:rPr>
        <w:t xml:space="preserve"> za 19% prilikom prim</w:t>
      </w:r>
      <w:r w:rsidR="00975C76" w:rsidRPr="00234ECD">
        <w:rPr>
          <w:rFonts w:eastAsia="Calibri"/>
          <w:sz w:val="22"/>
          <w:szCs w:val="22"/>
          <w:lang w:val="sr-Latn-RS"/>
        </w:rPr>
        <w:t>j</w:t>
      </w:r>
      <w:r w:rsidRPr="00234ECD">
        <w:rPr>
          <w:rFonts w:eastAsia="Calibri"/>
          <w:sz w:val="22"/>
          <w:szCs w:val="22"/>
          <w:lang w:val="sr-Latn-RS"/>
        </w:rPr>
        <w:t>ene tableta u poređenju sa prim</w:t>
      </w:r>
      <w:r w:rsidR="00BD4B58" w:rsidRPr="00234ECD">
        <w:rPr>
          <w:rFonts w:eastAsia="Calibri"/>
          <w:sz w:val="22"/>
          <w:szCs w:val="22"/>
          <w:lang w:val="sr-Latn-RS"/>
        </w:rPr>
        <w:t>j</w:t>
      </w:r>
      <w:r w:rsidRPr="00234ECD">
        <w:rPr>
          <w:rFonts w:eastAsia="Calibri"/>
          <w:sz w:val="22"/>
          <w:szCs w:val="22"/>
          <w:lang w:val="sr-Latn-RS"/>
        </w:rPr>
        <w:t>enom kapsula. Uočena je razlika u PIK između tableta kabozantiniba i kapsula kabozantiniba manja od 10%.</w:t>
      </w:r>
    </w:p>
    <w:p w14:paraId="02FB4FED" w14:textId="77777777" w:rsidR="00D857AC" w:rsidRPr="00234ECD" w:rsidRDefault="00D857AC" w:rsidP="00D857AC">
      <w:pPr>
        <w:jc w:val="both"/>
        <w:rPr>
          <w:rFonts w:eastAsia="Calibri"/>
          <w:sz w:val="22"/>
          <w:szCs w:val="22"/>
          <w:lang w:val="sr-Latn-RS"/>
        </w:rPr>
      </w:pPr>
    </w:p>
    <w:p w14:paraId="7E35DD75"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Distribucija</w:t>
      </w:r>
    </w:p>
    <w:p w14:paraId="737DD1B5" w14:textId="2AA96896" w:rsidR="00D857AC" w:rsidRPr="00234ECD" w:rsidRDefault="00D857AC" w:rsidP="00D857AC">
      <w:pPr>
        <w:jc w:val="both"/>
        <w:rPr>
          <w:rFonts w:eastAsia="Calibri"/>
          <w:sz w:val="22"/>
          <w:szCs w:val="22"/>
          <w:lang w:val="sr-Latn-RS"/>
        </w:rPr>
      </w:pPr>
      <w:r w:rsidRPr="00234ECD">
        <w:rPr>
          <w:rFonts w:eastAsia="Calibri"/>
          <w:sz w:val="22"/>
          <w:szCs w:val="22"/>
          <w:lang w:val="sr-Latn-RS"/>
        </w:rPr>
        <w:t xml:space="preserve">Kabozantinib se </w:t>
      </w:r>
      <w:r w:rsidRPr="00234ECD">
        <w:rPr>
          <w:rFonts w:eastAsia="Calibri"/>
          <w:i/>
          <w:sz w:val="22"/>
          <w:szCs w:val="22"/>
          <w:lang w:val="sr-Latn-RS"/>
        </w:rPr>
        <w:t>in vitro</w:t>
      </w:r>
      <w:r w:rsidRPr="00234ECD">
        <w:rPr>
          <w:rFonts w:eastAsia="Calibri"/>
          <w:sz w:val="22"/>
          <w:szCs w:val="22"/>
          <w:lang w:val="sr-Latn-RS"/>
        </w:rPr>
        <w:t xml:space="preserve"> u velikom procentu vezuje za proteine u ljudskoj plazmi (≥ 99,7%). Na osnovu populacionog farmakokinetičkog (PK) modela, volumen distribucije centralnog </w:t>
      </w:r>
      <w:r w:rsidR="00AE2014" w:rsidRPr="00234ECD">
        <w:rPr>
          <w:rFonts w:eastAsia="Calibri"/>
          <w:sz w:val="22"/>
          <w:szCs w:val="22"/>
          <w:lang w:val="sr-Latn-RS"/>
        </w:rPr>
        <w:t>kompartmana</w:t>
      </w:r>
      <w:r w:rsidR="00BF49C1" w:rsidRPr="00234ECD">
        <w:rPr>
          <w:rFonts w:eastAsia="Calibri"/>
          <w:sz w:val="22"/>
          <w:szCs w:val="22"/>
          <w:lang w:val="sr-Latn-RS"/>
        </w:rPr>
        <w:t xml:space="preserve"> </w:t>
      </w:r>
      <w:r w:rsidRPr="00234ECD">
        <w:rPr>
          <w:rFonts w:eastAsia="Calibri"/>
          <w:sz w:val="22"/>
          <w:szCs w:val="22"/>
          <w:lang w:val="sr-Latn-RS"/>
        </w:rPr>
        <w:t>je proc</w:t>
      </w:r>
      <w:r w:rsidR="00304326" w:rsidRPr="00234ECD">
        <w:rPr>
          <w:rFonts w:eastAsia="Calibri"/>
          <w:sz w:val="22"/>
          <w:szCs w:val="22"/>
          <w:lang w:val="sr-Latn-RS"/>
        </w:rPr>
        <w:t>ij</w:t>
      </w:r>
      <w:r w:rsidRPr="00234ECD">
        <w:rPr>
          <w:rFonts w:eastAsia="Calibri"/>
          <w:sz w:val="22"/>
          <w:szCs w:val="22"/>
          <w:lang w:val="sr-Latn-RS"/>
        </w:rPr>
        <w:t xml:space="preserve">enjen na 212 L. </w:t>
      </w:r>
    </w:p>
    <w:p w14:paraId="3CE2F56E" w14:textId="77777777" w:rsidR="00D857AC" w:rsidRPr="00234ECD" w:rsidRDefault="00D857AC" w:rsidP="00D857AC">
      <w:pPr>
        <w:jc w:val="both"/>
        <w:rPr>
          <w:rFonts w:eastAsia="Calibri"/>
          <w:sz w:val="22"/>
          <w:szCs w:val="22"/>
          <w:lang w:val="sr-Latn-RS"/>
        </w:rPr>
      </w:pPr>
    </w:p>
    <w:p w14:paraId="69EE4D5B"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Biotransformacija</w:t>
      </w:r>
    </w:p>
    <w:p w14:paraId="761A9870" w14:textId="6E12654E" w:rsidR="00D857AC" w:rsidRPr="00234ECD" w:rsidRDefault="00D857AC" w:rsidP="00D857AC">
      <w:pPr>
        <w:jc w:val="both"/>
        <w:rPr>
          <w:rFonts w:eastAsia="Calibri"/>
          <w:sz w:val="22"/>
          <w:szCs w:val="22"/>
          <w:lang w:val="sr-Latn-RS"/>
        </w:rPr>
      </w:pPr>
      <w:r w:rsidRPr="00234ECD">
        <w:rPr>
          <w:rFonts w:eastAsia="Calibri"/>
          <w:sz w:val="22"/>
          <w:szCs w:val="22"/>
          <w:lang w:val="sr-Latn-RS"/>
        </w:rPr>
        <w:t xml:space="preserve">Kabozantinib se metabolizovao </w:t>
      </w:r>
      <w:r w:rsidRPr="00234ECD">
        <w:rPr>
          <w:rFonts w:eastAsia="Calibri"/>
          <w:i/>
          <w:sz w:val="22"/>
          <w:szCs w:val="22"/>
          <w:lang w:val="sr-Latn-RS"/>
        </w:rPr>
        <w:t>in vivo</w:t>
      </w:r>
      <w:r w:rsidRPr="00234ECD">
        <w:rPr>
          <w:rFonts w:eastAsia="Calibri"/>
          <w:sz w:val="22"/>
          <w:szCs w:val="22"/>
          <w:lang w:val="sr-Latn-RS"/>
        </w:rPr>
        <w:t xml:space="preserve">. Četiri metabolita bila su prisutna u plazmi pri izloženosti (PIK) većoj od 10% u odnosu na aktivnu supstancu, a to su: XL184-N-oksid, XL184 produkt razgradnje amida, XL184 monohidroksi-sulfat i 6-dezmetilsulfat produkta razgradnje amida. Dva nekonjugovana </w:t>
      </w:r>
      <w:r w:rsidRPr="00234ECD">
        <w:rPr>
          <w:rFonts w:eastAsia="Calibri"/>
          <w:sz w:val="22"/>
          <w:szCs w:val="22"/>
          <w:lang w:val="sr-Latn-RS"/>
        </w:rPr>
        <w:lastRenderedPageBreak/>
        <w:t>metabolita (XL184-N-oksid i XL184 produkt razgradnje amida), koji pos</w:t>
      </w:r>
      <w:r w:rsidR="000863BB" w:rsidRPr="00234ECD">
        <w:rPr>
          <w:rFonts w:eastAsia="Calibri"/>
          <w:sz w:val="22"/>
          <w:szCs w:val="22"/>
          <w:lang w:val="sr-Latn-RS"/>
        </w:rPr>
        <w:t>j</w:t>
      </w:r>
      <w:r w:rsidRPr="00234ECD">
        <w:rPr>
          <w:rFonts w:eastAsia="Calibri"/>
          <w:sz w:val="22"/>
          <w:szCs w:val="22"/>
          <w:lang w:val="sr-Latn-RS"/>
        </w:rPr>
        <w:t>eduju &lt;1% potentnosti kabozantiniba za inhibiciju ciljne kinaze, predstavlja &lt;10% ukupne izloženosti plazme l</w:t>
      </w:r>
      <w:r w:rsidR="000863BB" w:rsidRPr="00234ECD">
        <w:rPr>
          <w:rFonts w:eastAsia="Calibri"/>
          <w:sz w:val="22"/>
          <w:szCs w:val="22"/>
          <w:lang w:val="sr-Latn-RS"/>
        </w:rPr>
        <w:t>ij</w:t>
      </w:r>
      <w:r w:rsidRPr="00234ECD">
        <w:rPr>
          <w:rFonts w:eastAsia="Calibri"/>
          <w:sz w:val="22"/>
          <w:szCs w:val="22"/>
          <w:lang w:val="sr-Latn-RS"/>
        </w:rPr>
        <w:t>eku.</w:t>
      </w:r>
    </w:p>
    <w:p w14:paraId="7556EE9B" w14:textId="77777777" w:rsidR="00D857AC" w:rsidRPr="00234ECD" w:rsidRDefault="00D857AC" w:rsidP="00D857AC">
      <w:pPr>
        <w:jc w:val="both"/>
        <w:rPr>
          <w:rFonts w:eastAsia="Calibri"/>
          <w:sz w:val="22"/>
          <w:szCs w:val="22"/>
          <w:lang w:val="sr-Latn-RS"/>
        </w:rPr>
      </w:pPr>
    </w:p>
    <w:p w14:paraId="230C9C22" w14:textId="79ABD7E8" w:rsidR="00D857AC" w:rsidRPr="00234ECD" w:rsidRDefault="00D857AC" w:rsidP="00D857AC">
      <w:pPr>
        <w:jc w:val="both"/>
        <w:rPr>
          <w:rFonts w:eastAsia="Calibri"/>
          <w:sz w:val="22"/>
          <w:szCs w:val="22"/>
          <w:lang w:val="sr-Latn-RS"/>
        </w:rPr>
      </w:pPr>
      <w:r w:rsidRPr="00234ECD">
        <w:rPr>
          <w:rFonts w:eastAsia="Calibri"/>
          <w:sz w:val="22"/>
          <w:szCs w:val="22"/>
          <w:lang w:val="sr-Latn-RS"/>
        </w:rPr>
        <w:t xml:space="preserve">Kabozantinib je supstrat za metabolizam putem CYP3A4 </w:t>
      </w:r>
      <w:r w:rsidRPr="00234ECD">
        <w:rPr>
          <w:rFonts w:eastAsia="Calibri"/>
          <w:i/>
          <w:sz w:val="22"/>
          <w:szCs w:val="22"/>
          <w:lang w:val="sr-Latn-RS"/>
        </w:rPr>
        <w:t>in vitro</w:t>
      </w:r>
      <w:r w:rsidRPr="00234ECD">
        <w:rPr>
          <w:rFonts w:eastAsia="Calibri"/>
          <w:sz w:val="22"/>
          <w:szCs w:val="22"/>
          <w:lang w:val="sr-Latn-RS"/>
        </w:rPr>
        <w:t>; budući da je neutralizujuće antit</w:t>
      </w:r>
      <w:r w:rsidR="000863BB" w:rsidRPr="00234ECD">
        <w:rPr>
          <w:rFonts w:eastAsia="Calibri"/>
          <w:sz w:val="22"/>
          <w:szCs w:val="22"/>
          <w:lang w:val="sr-Latn-RS"/>
        </w:rPr>
        <w:t>ij</w:t>
      </w:r>
      <w:r w:rsidRPr="00234ECD">
        <w:rPr>
          <w:rFonts w:eastAsia="Calibri"/>
          <w:sz w:val="22"/>
          <w:szCs w:val="22"/>
          <w:lang w:val="sr-Latn-RS"/>
        </w:rPr>
        <w:t>elo na CYP3A4 inhibiralo stvaranje metabolita XL184 N-oksida za &gt;80% pri inkubaciji sa mikrozomima ljudske jetre (HLM) katalizovanoj NADPH; za razliku od toga, neutralizujuća antitela na CYP1A2, CYP2A6, CYP2B6, CYP2C8, CYP2C19, CYP2D6 i CYP2E1 nisu imala efekat na stvaranje metabolita kabozantiniba. Neutralizujuće antitelo na CYP2C9 pokazalo je minimalni efekat na stvaranje metabolita kabozantiniba (tj. smanjenje &lt;20%).</w:t>
      </w:r>
    </w:p>
    <w:p w14:paraId="35CE8684" w14:textId="77777777" w:rsidR="00D857AC" w:rsidRPr="00234ECD" w:rsidRDefault="00D857AC" w:rsidP="00D857AC">
      <w:pPr>
        <w:jc w:val="both"/>
        <w:rPr>
          <w:rFonts w:eastAsia="Calibri"/>
          <w:sz w:val="22"/>
          <w:szCs w:val="22"/>
          <w:lang w:val="sr-Latn-RS"/>
        </w:rPr>
      </w:pPr>
    </w:p>
    <w:p w14:paraId="4F0B3857"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Eliminacija</w:t>
      </w:r>
    </w:p>
    <w:p w14:paraId="7C7D38E5" w14:textId="50F661F4" w:rsidR="00D857AC" w:rsidRPr="00234ECD" w:rsidRDefault="00D857AC" w:rsidP="00D857AC">
      <w:pPr>
        <w:jc w:val="both"/>
        <w:rPr>
          <w:rFonts w:eastAsia="Calibri"/>
          <w:sz w:val="22"/>
          <w:szCs w:val="22"/>
          <w:lang w:val="sr-Latn-RS"/>
        </w:rPr>
      </w:pPr>
      <w:r w:rsidRPr="00234ECD">
        <w:rPr>
          <w:rFonts w:eastAsia="Calibri"/>
          <w:sz w:val="22"/>
          <w:szCs w:val="22"/>
          <w:lang w:val="sr-Latn-RS"/>
        </w:rPr>
        <w:t>Prema populacionoj PK analizi kabozantiniba korišćenjem podataka prikupljenih od 1883 pacijenta i 140 zdravih dobrovoljaca nakon oralne prim</w:t>
      </w:r>
      <w:r w:rsidR="00352210" w:rsidRPr="00234ECD">
        <w:rPr>
          <w:rFonts w:eastAsia="Calibri"/>
          <w:sz w:val="22"/>
          <w:szCs w:val="22"/>
          <w:lang w:val="sr-Latn-RS"/>
        </w:rPr>
        <w:t>j</w:t>
      </w:r>
      <w:r w:rsidRPr="00234ECD">
        <w:rPr>
          <w:rFonts w:eastAsia="Calibri"/>
          <w:sz w:val="22"/>
          <w:szCs w:val="22"/>
          <w:lang w:val="sr-Latn-RS"/>
        </w:rPr>
        <w:t>ene doza od 20 mg do 140 mg, terminalno poluvr</w:t>
      </w:r>
      <w:r w:rsidR="00352210" w:rsidRPr="00234ECD">
        <w:rPr>
          <w:rFonts w:eastAsia="Calibri"/>
          <w:sz w:val="22"/>
          <w:szCs w:val="22"/>
          <w:lang w:val="sr-Latn-RS"/>
        </w:rPr>
        <w:t>ij</w:t>
      </w:r>
      <w:r w:rsidRPr="00234ECD">
        <w:rPr>
          <w:rFonts w:eastAsia="Calibri"/>
          <w:sz w:val="22"/>
          <w:szCs w:val="22"/>
          <w:lang w:val="sr-Latn-RS"/>
        </w:rPr>
        <w:t>eme eliminacije kabozantiniba u plazmi iznosi približno 110 sati. Srednja vr</w:t>
      </w:r>
      <w:r w:rsidR="00352210" w:rsidRPr="00234ECD">
        <w:rPr>
          <w:rFonts w:eastAsia="Calibri"/>
          <w:sz w:val="22"/>
          <w:szCs w:val="22"/>
          <w:lang w:val="sr-Latn-RS"/>
        </w:rPr>
        <w:t>ij</w:t>
      </w:r>
      <w:r w:rsidRPr="00234ECD">
        <w:rPr>
          <w:rFonts w:eastAsia="Calibri"/>
          <w:sz w:val="22"/>
          <w:szCs w:val="22"/>
          <w:lang w:val="sr-Latn-RS"/>
        </w:rPr>
        <w:t>ednost klirensa (CL/F) u stanju dinamičke ravnoteže proc</w:t>
      </w:r>
      <w:r w:rsidR="00352210" w:rsidRPr="00234ECD">
        <w:rPr>
          <w:rFonts w:eastAsia="Calibri"/>
          <w:sz w:val="22"/>
          <w:szCs w:val="22"/>
          <w:lang w:val="sr-Latn-RS"/>
        </w:rPr>
        <w:t>ij</w:t>
      </w:r>
      <w:r w:rsidRPr="00234ECD">
        <w:rPr>
          <w:rFonts w:eastAsia="Calibri"/>
          <w:sz w:val="22"/>
          <w:szCs w:val="22"/>
          <w:lang w:val="sr-Latn-RS"/>
        </w:rPr>
        <w:t xml:space="preserve">enjena je na 2,48 </w:t>
      </w:r>
      <w:r w:rsidR="00AE2014" w:rsidRPr="00234ECD">
        <w:rPr>
          <w:rFonts w:eastAsia="Calibri"/>
          <w:sz w:val="22"/>
          <w:szCs w:val="22"/>
          <w:lang w:val="sr-Latn-RS"/>
        </w:rPr>
        <w:t>l</w:t>
      </w:r>
      <w:r w:rsidRPr="00234ECD">
        <w:rPr>
          <w:rFonts w:eastAsia="Calibri"/>
          <w:sz w:val="22"/>
          <w:szCs w:val="22"/>
          <w:lang w:val="sr-Latn-RS"/>
        </w:rPr>
        <w:t>/h. U okviru perioda prikupljanja od 48 dana, nakon prim</w:t>
      </w:r>
      <w:r w:rsidR="00352210" w:rsidRPr="00234ECD">
        <w:rPr>
          <w:rFonts w:eastAsia="Calibri"/>
          <w:sz w:val="22"/>
          <w:szCs w:val="22"/>
          <w:lang w:val="sr-Latn-RS"/>
        </w:rPr>
        <w:t>j</w:t>
      </w:r>
      <w:r w:rsidRPr="00234ECD">
        <w:rPr>
          <w:rFonts w:eastAsia="Calibri"/>
          <w:sz w:val="22"/>
          <w:szCs w:val="22"/>
          <w:lang w:val="sr-Latn-RS"/>
        </w:rPr>
        <w:t xml:space="preserve">ene jedne doze </w:t>
      </w:r>
      <w:r w:rsidRPr="00234ECD">
        <w:rPr>
          <w:rFonts w:eastAsia="Calibri"/>
          <w:sz w:val="22"/>
          <w:szCs w:val="22"/>
          <w:vertAlign w:val="superscript"/>
          <w:lang w:val="sr-Latn-RS"/>
        </w:rPr>
        <w:t>14</w:t>
      </w:r>
      <w:r w:rsidRPr="00234ECD">
        <w:rPr>
          <w:rFonts w:eastAsia="Calibri"/>
          <w:sz w:val="22"/>
          <w:szCs w:val="22"/>
          <w:lang w:val="sr-Latn-RS"/>
        </w:rPr>
        <w:t>C-kabozantiniba kod zdravih dobrovoljaca, otprilike 81% od ukupno prim</w:t>
      </w:r>
      <w:r w:rsidR="00352210" w:rsidRPr="00234ECD">
        <w:rPr>
          <w:rFonts w:eastAsia="Calibri"/>
          <w:sz w:val="22"/>
          <w:szCs w:val="22"/>
          <w:lang w:val="sr-Latn-RS"/>
        </w:rPr>
        <w:t>j</w:t>
      </w:r>
      <w:r w:rsidRPr="00234ECD">
        <w:rPr>
          <w:rFonts w:eastAsia="Calibri"/>
          <w:sz w:val="22"/>
          <w:szCs w:val="22"/>
          <w:lang w:val="sr-Latn-RS"/>
        </w:rPr>
        <w:t>enjene radioaktivnosti je izlučeno, od čega 54% fecesom i 27% urinom.</w:t>
      </w:r>
    </w:p>
    <w:p w14:paraId="6AFC9A7B" w14:textId="77777777" w:rsidR="00D857AC" w:rsidRPr="00234ECD" w:rsidRDefault="00D857AC" w:rsidP="00D857AC">
      <w:pPr>
        <w:jc w:val="both"/>
        <w:rPr>
          <w:rFonts w:eastAsia="Calibri"/>
          <w:sz w:val="22"/>
          <w:szCs w:val="22"/>
          <w:lang w:val="sr-Latn-RS"/>
        </w:rPr>
      </w:pPr>
    </w:p>
    <w:p w14:paraId="77BF5319"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Farmakokinetika kod posebnih populacija pacijenata</w:t>
      </w:r>
    </w:p>
    <w:p w14:paraId="01E3CE03" w14:textId="77777777" w:rsidR="00D857AC" w:rsidRPr="00234ECD" w:rsidRDefault="00D857AC" w:rsidP="00D857AC">
      <w:pPr>
        <w:jc w:val="both"/>
        <w:rPr>
          <w:rFonts w:eastAsia="Calibri"/>
          <w:sz w:val="22"/>
          <w:szCs w:val="22"/>
          <w:lang w:val="sr-Latn-RS"/>
        </w:rPr>
      </w:pPr>
    </w:p>
    <w:p w14:paraId="1B62FA2C" w14:textId="77777777" w:rsidR="00D857AC" w:rsidRPr="00234ECD" w:rsidRDefault="00D857AC" w:rsidP="00D857AC">
      <w:pPr>
        <w:jc w:val="both"/>
        <w:rPr>
          <w:rFonts w:eastAsia="Calibri"/>
          <w:i/>
          <w:sz w:val="22"/>
          <w:szCs w:val="22"/>
          <w:u w:val="single"/>
          <w:lang w:val="sr-Latn-RS"/>
        </w:rPr>
      </w:pPr>
      <w:r w:rsidRPr="00234ECD">
        <w:rPr>
          <w:rFonts w:eastAsia="Calibri"/>
          <w:i/>
          <w:sz w:val="22"/>
          <w:szCs w:val="22"/>
          <w:u w:val="single"/>
          <w:lang w:val="sr-Latn-RS"/>
        </w:rPr>
        <w:t>Oštećenje funkcije bubrega</w:t>
      </w:r>
    </w:p>
    <w:p w14:paraId="3F241C7D" w14:textId="20FAC6EB" w:rsidR="00D857AC" w:rsidRPr="00234ECD" w:rsidRDefault="00D857AC" w:rsidP="00D857AC">
      <w:pPr>
        <w:jc w:val="both"/>
        <w:rPr>
          <w:rFonts w:eastAsia="Calibri"/>
          <w:sz w:val="22"/>
          <w:szCs w:val="22"/>
          <w:lang w:val="sr-Latn-RS"/>
        </w:rPr>
      </w:pPr>
      <w:r w:rsidRPr="00234ECD">
        <w:rPr>
          <w:rFonts w:eastAsia="Calibri"/>
          <w:sz w:val="22"/>
          <w:szCs w:val="22"/>
          <w:lang w:val="sr-Latn-RS"/>
        </w:rPr>
        <w:t>U studiji koja je obuhvatila pacijente sa oštećenom funkcijom bubrega bila je prim</w:t>
      </w:r>
      <w:r w:rsidR="00C86CFA" w:rsidRPr="00234ECD">
        <w:rPr>
          <w:rFonts w:eastAsia="Calibri"/>
          <w:sz w:val="22"/>
          <w:szCs w:val="22"/>
          <w:lang w:val="sr-Latn-RS"/>
        </w:rPr>
        <w:t>ij</w:t>
      </w:r>
      <w:r w:rsidRPr="00234ECD">
        <w:rPr>
          <w:rFonts w:eastAsia="Calibri"/>
          <w:sz w:val="22"/>
          <w:szCs w:val="22"/>
          <w:lang w:val="sr-Latn-RS"/>
        </w:rPr>
        <w:t>enjena doza od 60 mg kabozantiniba, odnosi geometrijskih srednjih vr</w:t>
      </w:r>
      <w:r w:rsidR="00C86CFA" w:rsidRPr="00234ECD">
        <w:rPr>
          <w:rFonts w:eastAsia="Calibri"/>
          <w:sz w:val="22"/>
          <w:szCs w:val="22"/>
          <w:lang w:val="sr-Latn-RS"/>
        </w:rPr>
        <w:t>ij</w:t>
      </w:r>
      <w:r w:rsidRPr="00234ECD">
        <w:rPr>
          <w:rFonts w:eastAsia="Calibri"/>
          <w:sz w:val="22"/>
          <w:szCs w:val="22"/>
          <w:lang w:val="sr-Latn-RS"/>
        </w:rPr>
        <w:t>ednosti dobijenih metodom najmanjih kvadrata za ukupni kabozantinib u plazmi, C</w:t>
      </w:r>
      <w:r w:rsidRPr="00234ECD">
        <w:rPr>
          <w:rFonts w:eastAsia="Calibri"/>
          <w:sz w:val="22"/>
          <w:szCs w:val="22"/>
          <w:vertAlign w:val="subscript"/>
          <w:lang w:val="sr-Latn-RS"/>
        </w:rPr>
        <w:t>max</w:t>
      </w:r>
      <w:r w:rsidRPr="00234ECD">
        <w:rPr>
          <w:rFonts w:eastAsia="Calibri"/>
          <w:sz w:val="22"/>
          <w:szCs w:val="22"/>
          <w:lang w:val="sr-Latn-RS"/>
        </w:rPr>
        <w:t xml:space="preserve"> i </w:t>
      </w:r>
      <w:bookmarkStart w:id="13" w:name="_Hlk85613946"/>
      <w:r w:rsidRPr="00234ECD">
        <w:rPr>
          <w:rFonts w:eastAsia="Calibri"/>
          <w:sz w:val="22"/>
          <w:szCs w:val="22"/>
          <w:lang w:val="sr-Latn-RS"/>
        </w:rPr>
        <w:t>PIK</w:t>
      </w:r>
      <w:r w:rsidRPr="00234ECD">
        <w:rPr>
          <w:rFonts w:eastAsia="Calibri"/>
          <w:sz w:val="22"/>
          <w:szCs w:val="22"/>
          <w:vertAlign w:val="subscript"/>
          <w:lang w:val="sr-Latn-RS"/>
        </w:rPr>
        <w:t>0-inf</w:t>
      </w:r>
      <w:r w:rsidRPr="00234ECD">
        <w:rPr>
          <w:rFonts w:eastAsia="Calibri"/>
          <w:sz w:val="22"/>
          <w:szCs w:val="22"/>
          <w:lang w:val="sr-Latn-RS"/>
        </w:rPr>
        <w:t xml:space="preserve"> </w:t>
      </w:r>
      <w:bookmarkEnd w:id="13"/>
      <w:r w:rsidRPr="00234ECD">
        <w:rPr>
          <w:rFonts w:eastAsia="Calibri"/>
          <w:sz w:val="22"/>
          <w:szCs w:val="22"/>
          <w:lang w:val="sr-Latn-RS"/>
        </w:rPr>
        <w:t>bili su 19% i 30% viši za ispitanike sa blagim oštećenjem funkcije bubrega (90% CI za C</w:t>
      </w:r>
      <w:r w:rsidRPr="00234ECD">
        <w:rPr>
          <w:rFonts w:eastAsia="Calibri"/>
          <w:sz w:val="22"/>
          <w:szCs w:val="22"/>
          <w:vertAlign w:val="subscript"/>
          <w:lang w:val="sr-Latn-RS"/>
        </w:rPr>
        <w:t>max</w:t>
      </w:r>
      <w:r w:rsidRPr="00234ECD">
        <w:rPr>
          <w:rFonts w:eastAsia="Calibri"/>
          <w:sz w:val="22"/>
          <w:szCs w:val="22"/>
          <w:lang w:val="sr-Latn-RS"/>
        </w:rPr>
        <w:t xml:space="preserve"> 91,60% do 155,51%; PIK</w:t>
      </w:r>
      <w:r w:rsidRPr="00234ECD">
        <w:rPr>
          <w:rFonts w:eastAsia="Calibri"/>
          <w:sz w:val="22"/>
          <w:szCs w:val="22"/>
          <w:vertAlign w:val="subscript"/>
          <w:lang w:val="sr-Latn-RS"/>
        </w:rPr>
        <w:t>0-inf</w:t>
      </w:r>
      <w:r w:rsidRPr="00234ECD">
        <w:rPr>
          <w:rFonts w:eastAsia="Calibri"/>
          <w:sz w:val="22"/>
          <w:szCs w:val="22"/>
          <w:lang w:val="sr-Latn-RS"/>
        </w:rPr>
        <w:t xml:space="preserve"> 98,79% do 171,26%) i 2% i 6-7% viši (90% CI za C</w:t>
      </w:r>
      <w:r w:rsidRPr="00234ECD">
        <w:rPr>
          <w:rFonts w:eastAsia="Calibri"/>
          <w:sz w:val="22"/>
          <w:szCs w:val="22"/>
          <w:vertAlign w:val="subscript"/>
          <w:lang w:val="sr-Latn-RS"/>
        </w:rPr>
        <w:t>max</w:t>
      </w:r>
      <w:r w:rsidRPr="00234ECD">
        <w:rPr>
          <w:rFonts w:eastAsia="Calibri"/>
          <w:sz w:val="22"/>
          <w:szCs w:val="22"/>
          <w:lang w:val="sr-Latn-RS"/>
        </w:rPr>
        <w:t xml:space="preserve"> 78,64% do 133,52%; PIK</w:t>
      </w:r>
      <w:r w:rsidRPr="00234ECD">
        <w:rPr>
          <w:rFonts w:eastAsia="Calibri"/>
          <w:sz w:val="22"/>
          <w:szCs w:val="22"/>
          <w:vertAlign w:val="subscript"/>
          <w:lang w:val="sr-Latn-RS"/>
        </w:rPr>
        <w:t>0-inf</w:t>
      </w:r>
      <w:r w:rsidRPr="00234ECD">
        <w:rPr>
          <w:rFonts w:eastAsia="Calibri"/>
          <w:sz w:val="22"/>
          <w:szCs w:val="22"/>
          <w:lang w:val="sr-Latn-RS"/>
        </w:rPr>
        <w:t xml:space="preserve"> 79,61% do 140,11%) za ispitanike sa um</w:t>
      </w:r>
      <w:r w:rsidR="005773B5" w:rsidRPr="00234ECD">
        <w:rPr>
          <w:rFonts w:eastAsia="Calibri"/>
          <w:sz w:val="22"/>
          <w:szCs w:val="22"/>
          <w:lang w:val="sr-Latn-RS"/>
        </w:rPr>
        <w:t>j</w:t>
      </w:r>
      <w:r w:rsidRPr="00234ECD">
        <w:rPr>
          <w:rFonts w:eastAsia="Calibri"/>
          <w:sz w:val="22"/>
          <w:szCs w:val="22"/>
          <w:lang w:val="sr-Latn-RS"/>
        </w:rPr>
        <w:t>erenim oštećenjem funkcije bubrega u poređenju sa ispitanicima sa normalnom funkcijom bubrega. Geometrijska srednja vr</w:t>
      </w:r>
      <w:r w:rsidR="005773B5" w:rsidRPr="00234ECD">
        <w:rPr>
          <w:rFonts w:eastAsia="Calibri"/>
          <w:sz w:val="22"/>
          <w:szCs w:val="22"/>
          <w:lang w:val="sr-Latn-RS"/>
        </w:rPr>
        <w:t>ij</w:t>
      </w:r>
      <w:r w:rsidRPr="00234ECD">
        <w:rPr>
          <w:rFonts w:eastAsia="Calibri"/>
          <w:sz w:val="22"/>
          <w:szCs w:val="22"/>
          <w:lang w:val="sr-Latn-RS"/>
        </w:rPr>
        <w:t>ednost za nevezani kabozantinib u plazmi PIK</w:t>
      </w:r>
      <w:r w:rsidRPr="00234ECD">
        <w:rPr>
          <w:rFonts w:eastAsia="Calibri"/>
          <w:sz w:val="22"/>
          <w:szCs w:val="22"/>
          <w:vertAlign w:val="subscript"/>
          <w:lang w:val="sr-Latn-RS"/>
        </w:rPr>
        <w:t>0-inf</w:t>
      </w:r>
      <w:r w:rsidRPr="00234ECD">
        <w:rPr>
          <w:rFonts w:eastAsia="Calibri"/>
          <w:sz w:val="22"/>
          <w:szCs w:val="22"/>
          <w:lang w:val="sr-Latn-RS"/>
        </w:rPr>
        <w:t xml:space="preserve">  bi</w:t>
      </w:r>
      <w:r w:rsidR="00105C68" w:rsidRPr="00234ECD">
        <w:rPr>
          <w:rFonts w:eastAsia="Calibri"/>
          <w:sz w:val="22"/>
          <w:szCs w:val="22"/>
          <w:lang w:val="sr-Latn-RS"/>
        </w:rPr>
        <w:t>la</w:t>
      </w:r>
      <w:r w:rsidRPr="00234ECD">
        <w:rPr>
          <w:rFonts w:eastAsia="Calibri"/>
          <w:sz w:val="22"/>
          <w:szCs w:val="22"/>
          <w:lang w:val="sr-Latn-RS"/>
        </w:rPr>
        <w:t xml:space="preserve"> je 0,2% viš</w:t>
      </w:r>
      <w:r w:rsidR="00105C68" w:rsidRPr="00234ECD">
        <w:rPr>
          <w:rFonts w:eastAsia="Calibri"/>
          <w:sz w:val="22"/>
          <w:szCs w:val="22"/>
          <w:lang w:val="sr-Latn-RS"/>
        </w:rPr>
        <w:t>a</w:t>
      </w:r>
      <w:r w:rsidRPr="00234ECD">
        <w:rPr>
          <w:rFonts w:eastAsia="Calibri"/>
          <w:sz w:val="22"/>
          <w:szCs w:val="22"/>
          <w:lang w:val="sr-Latn-RS"/>
        </w:rPr>
        <w:t xml:space="preserve">  za ispitanike sa blagim oštećenjem bubrega (90% CI 55,9% do 180%) i 17% viš</w:t>
      </w:r>
      <w:r w:rsidR="00105C68" w:rsidRPr="00234ECD">
        <w:rPr>
          <w:rFonts w:eastAsia="Calibri"/>
          <w:sz w:val="22"/>
          <w:szCs w:val="22"/>
          <w:lang w:val="sr-Latn-RS"/>
        </w:rPr>
        <w:t>a</w:t>
      </w:r>
      <w:r w:rsidRPr="00234ECD">
        <w:rPr>
          <w:rFonts w:eastAsia="Calibri"/>
          <w:sz w:val="22"/>
          <w:szCs w:val="22"/>
          <w:lang w:val="sr-Latn-RS"/>
        </w:rPr>
        <w:t xml:space="preserve"> (90% CI 65,1% do 209,7%) za ispitanike sa um</w:t>
      </w:r>
      <w:r w:rsidR="005773B5" w:rsidRPr="00234ECD">
        <w:rPr>
          <w:rFonts w:eastAsia="Calibri"/>
          <w:sz w:val="22"/>
          <w:szCs w:val="22"/>
          <w:lang w:val="sr-Latn-RS"/>
        </w:rPr>
        <w:t>j</w:t>
      </w:r>
      <w:r w:rsidRPr="00234ECD">
        <w:rPr>
          <w:rFonts w:eastAsia="Calibri"/>
          <w:sz w:val="22"/>
          <w:szCs w:val="22"/>
          <w:lang w:val="sr-Latn-RS"/>
        </w:rPr>
        <w:t>erenim oštećenjem funkcije bubrega u poređenju sa ispitanicima sa normalnom funkcijom bubrega.  Pacijenti sa teškim oštećenjem funkcije bubrega nisu ispitivani.</w:t>
      </w:r>
    </w:p>
    <w:p w14:paraId="6765C239" w14:textId="77777777" w:rsidR="00D857AC" w:rsidRPr="00234ECD" w:rsidRDefault="00D857AC" w:rsidP="00D857AC">
      <w:pPr>
        <w:jc w:val="both"/>
        <w:rPr>
          <w:rFonts w:eastAsia="Calibri"/>
          <w:sz w:val="22"/>
          <w:szCs w:val="22"/>
          <w:lang w:val="sr-Latn-RS"/>
        </w:rPr>
      </w:pPr>
    </w:p>
    <w:p w14:paraId="45D8E43E" w14:textId="77777777" w:rsidR="00D857AC" w:rsidRPr="00234ECD" w:rsidRDefault="00D857AC" w:rsidP="00D857AC">
      <w:pPr>
        <w:jc w:val="both"/>
        <w:rPr>
          <w:rFonts w:eastAsia="Calibri"/>
          <w:i/>
          <w:sz w:val="22"/>
          <w:szCs w:val="22"/>
          <w:u w:val="single"/>
          <w:lang w:val="sr-Latn-RS"/>
        </w:rPr>
      </w:pPr>
      <w:r w:rsidRPr="00234ECD">
        <w:rPr>
          <w:rFonts w:eastAsia="Calibri"/>
          <w:i/>
          <w:sz w:val="22"/>
          <w:szCs w:val="22"/>
          <w:u w:val="single"/>
          <w:lang w:val="sr-Latn-RS"/>
        </w:rPr>
        <w:t>Oštećenje funkcije jetre</w:t>
      </w:r>
    </w:p>
    <w:p w14:paraId="2CB8E8B4" w14:textId="1775BA5E" w:rsidR="00D857AC" w:rsidRPr="00234ECD" w:rsidRDefault="00D857AC" w:rsidP="00D857AC">
      <w:pPr>
        <w:jc w:val="both"/>
        <w:rPr>
          <w:rFonts w:eastAsia="Calibri"/>
          <w:sz w:val="22"/>
          <w:szCs w:val="22"/>
          <w:lang w:val="sr-Latn-RS"/>
        </w:rPr>
      </w:pPr>
      <w:r w:rsidRPr="00234ECD">
        <w:rPr>
          <w:rFonts w:eastAsia="Calibri"/>
          <w:sz w:val="22"/>
          <w:szCs w:val="22"/>
          <w:lang w:val="sr-Latn-RS"/>
        </w:rPr>
        <w:t>Na osnovu integrisane populacione farmakokinetičke analize kabozantiniba kod zdravih ispitanika i pacijenata obol</w:t>
      </w:r>
      <w:r w:rsidR="007D5069" w:rsidRPr="00234ECD">
        <w:rPr>
          <w:rFonts w:eastAsia="Calibri"/>
          <w:sz w:val="22"/>
          <w:szCs w:val="22"/>
          <w:lang w:val="sr-Latn-RS"/>
        </w:rPr>
        <w:t>j</w:t>
      </w:r>
      <w:r w:rsidRPr="00234ECD">
        <w:rPr>
          <w:rFonts w:eastAsia="Calibri"/>
          <w:sz w:val="22"/>
          <w:szCs w:val="22"/>
          <w:lang w:val="sr-Latn-RS"/>
        </w:rPr>
        <w:t>elih od kancera (uključujući HCC) nije prim</w:t>
      </w:r>
      <w:r w:rsidR="005773B5" w:rsidRPr="00234ECD">
        <w:rPr>
          <w:rFonts w:eastAsia="Calibri"/>
          <w:sz w:val="22"/>
          <w:szCs w:val="22"/>
          <w:lang w:val="sr-Latn-RS"/>
        </w:rPr>
        <w:t>ij</w:t>
      </w:r>
      <w:r w:rsidRPr="00234ECD">
        <w:rPr>
          <w:rFonts w:eastAsia="Calibri"/>
          <w:sz w:val="22"/>
          <w:szCs w:val="22"/>
          <w:lang w:val="sr-Latn-RS"/>
        </w:rPr>
        <w:t>ećena klinički značajna razlika u srednjoj izloženosti između ispitanika sa normalnom funkcijom jetre (n=1425) i blago oštećenom funkcijom jetre (n=558). Postoje ograničeni podaci kod ispitanika sa um</w:t>
      </w:r>
      <w:r w:rsidR="005773B5" w:rsidRPr="00234ECD">
        <w:rPr>
          <w:rFonts w:eastAsia="Calibri"/>
          <w:sz w:val="22"/>
          <w:szCs w:val="22"/>
          <w:lang w:val="sr-Latn-RS"/>
        </w:rPr>
        <w:t>j</w:t>
      </w:r>
      <w:r w:rsidRPr="00234ECD">
        <w:rPr>
          <w:rFonts w:eastAsia="Calibri"/>
          <w:sz w:val="22"/>
          <w:szCs w:val="22"/>
          <w:lang w:val="sr-Latn-RS"/>
        </w:rPr>
        <w:t>erenim oštećenjem funkcije jetre (n=15) prema kriterijumima Nacionaln</w:t>
      </w:r>
      <w:r w:rsidR="00105C68" w:rsidRPr="00234ECD">
        <w:rPr>
          <w:rFonts w:eastAsia="Calibri"/>
          <w:sz w:val="22"/>
          <w:szCs w:val="22"/>
          <w:lang w:val="sr-Latn-RS"/>
        </w:rPr>
        <w:t>og</w:t>
      </w:r>
      <w:r w:rsidRPr="00234ECD">
        <w:rPr>
          <w:rFonts w:eastAsia="Calibri"/>
          <w:sz w:val="22"/>
          <w:szCs w:val="22"/>
          <w:lang w:val="sr-Latn-RS"/>
        </w:rPr>
        <w:t xml:space="preserve"> Institut</w:t>
      </w:r>
      <w:r w:rsidR="00105C68" w:rsidRPr="00234ECD">
        <w:rPr>
          <w:rFonts w:eastAsia="Calibri"/>
          <w:sz w:val="22"/>
          <w:szCs w:val="22"/>
          <w:lang w:val="sr-Latn-RS"/>
        </w:rPr>
        <w:t>a</w:t>
      </w:r>
      <w:r w:rsidRPr="00234ECD">
        <w:rPr>
          <w:rFonts w:eastAsia="Calibri"/>
          <w:sz w:val="22"/>
          <w:szCs w:val="22"/>
          <w:lang w:val="sr-Latn-RS"/>
        </w:rPr>
        <w:t xml:space="preserve"> za </w:t>
      </w:r>
      <w:r w:rsidR="00105C68" w:rsidRPr="00234ECD">
        <w:rPr>
          <w:rFonts w:eastAsia="Calibri"/>
          <w:sz w:val="22"/>
          <w:szCs w:val="22"/>
          <w:lang w:val="sr-Latn-RS"/>
        </w:rPr>
        <w:t>K</w:t>
      </w:r>
      <w:r w:rsidRPr="00234ECD">
        <w:rPr>
          <w:rFonts w:eastAsia="Calibri"/>
          <w:sz w:val="22"/>
          <w:szCs w:val="22"/>
          <w:lang w:val="sr-Latn-RS"/>
        </w:rPr>
        <w:t>ancer – radn</w:t>
      </w:r>
      <w:r w:rsidR="00105C68" w:rsidRPr="00234ECD">
        <w:rPr>
          <w:rFonts w:eastAsia="Calibri"/>
          <w:sz w:val="22"/>
          <w:szCs w:val="22"/>
          <w:lang w:val="sr-Latn-RS"/>
        </w:rPr>
        <w:t>e</w:t>
      </w:r>
      <w:r w:rsidRPr="00234ECD">
        <w:rPr>
          <w:rFonts w:eastAsia="Calibri"/>
          <w:sz w:val="22"/>
          <w:szCs w:val="22"/>
          <w:lang w:val="sr-Latn-RS"/>
        </w:rPr>
        <w:t xml:space="preserve"> grup</w:t>
      </w:r>
      <w:r w:rsidR="00105C68" w:rsidRPr="00234ECD">
        <w:rPr>
          <w:rFonts w:eastAsia="Calibri"/>
          <w:sz w:val="22"/>
          <w:szCs w:val="22"/>
          <w:lang w:val="sr-Latn-RS"/>
        </w:rPr>
        <w:t>e</w:t>
      </w:r>
      <w:r w:rsidRPr="00234ECD">
        <w:rPr>
          <w:rFonts w:eastAsia="Calibri"/>
          <w:sz w:val="22"/>
          <w:szCs w:val="22"/>
          <w:lang w:val="sr-Latn-RS"/>
        </w:rPr>
        <w:t xml:space="preserve"> za disfunkciju organa</w:t>
      </w:r>
      <w:r w:rsidR="00105C68" w:rsidRPr="00234ECD">
        <w:rPr>
          <w:rFonts w:eastAsia="Calibri"/>
          <w:sz w:val="22"/>
          <w:szCs w:val="22"/>
          <w:lang w:val="sr-Latn-RS"/>
        </w:rPr>
        <w:t xml:space="preserve"> (engl. </w:t>
      </w:r>
      <w:r w:rsidR="00105C68" w:rsidRPr="00234ECD">
        <w:rPr>
          <w:i/>
          <w:sz w:val="22"/>
          <w:szCs w:val="22"/>
          <w:lang w:val="sr-Latn-RS"/>
        </w:rPr>
        <w:t xml:space="preserve">National Cancer Institute – Organ Dysfunction working Group, </w:t>
      </w:r>
      <w:r w:rsidR="00105C68" w:rsidRPr="00234ECD">
        <w:rPr>
          <w:rFonts w:eastAsia="Calibri"/>
          <w:sz w:val="22"/>
          <w:szCs w:val="22"/>
          <w:lang w:val="sr-Latn-RS"/>
        </w:rPr>
        <w:t>NCI-ODWG)</w:t>
      </w:r>
      <w:r w:rsidRPr="00234ECD">
        <w:rPr>
          <w:rFonts w:eastAsia="Calibri"/>
          <w:sz w:val="22"/>
          <w:szCs w:val="22"/>
          <w:lang w:val="sr-Latn-RS"/>
        </w:rPr>
        <w:t>. Farmakokinetika kabozantiniba nije proc</w:t>
      </w:r>
      <w:r w:rsidR="005773B5" w:rsidRPr="00234ECD">
        <w:rPr>
          <w:rFonts w:eastAsia="Calibri"/>
          <w:sz w:val="22"/>
          <w:szCs w:val="22"/>
          <w:lang w:val="sr-Latn-RS"/>
        </w:rPr>
        <w:t>ij</w:t>
      </w:r>
      <w:r w:rsidRPr="00234ECD">
        <w:rPr>
          <w:rFonts w:eastAsia="Calibri"/>
          <w:sz w:val="22"/>
          <w:szCs w:val="22"/>
          <w:lang w:val="sr-Latn-RS"/>
        </w:rPr>
        <w:t>enjena kod pacijenata sa teškim oštećenjem funkcije jetre.</w:t>
      </w:r>
    </w:p>
    <w:p w14:paraId="4CC4147C" w14:textId="77777777" w:rsidR="00D857AC" w:rsidRPr="00234ECD" w:rsidRDefault="00D857AC" w:rsidP="00D857AC">
      <w:pPr>
        <w:jc w:val="both"/>
        <w:rPr>
          <w:rFonts w:eastAsia="Calibri"/>
          <w:sz w:val="22"/>
          <w:szCs w:val="22"/>
          <w:lang w:val="sr-Latn-RS"/>
        </w:rPr>
      </w:pPr>
    </w:p>
    <w:p w14:paraId="1952C3BF" w14:textId="77777777" w:rsidR="00D857AC" w:rsidRPr="00234ECD" w:rsidRDefault="00D857AC" w:rsidP="00D857AC">
      <w:pPr>
        <w:jc w:val="both"/>
        <w:rPr>
          <w:rFonts w:eastAsia="Calibri"/>
          <w:i/>
          <w:sz w:val="22"/>
          <w:szCs w:val="22"/>
          <w:u w:val="single"/>
          <w:lang w:val="sr-Latn-RS"/>
        </w:rPr>
      </w:pPr>
      <w:r w:rsidRPr="00234ECD">
        <w:rPr>
          <w:rFonts w:eastAsia="Calibri"/>
          <w:i/>
          <w:sz w:val="22"/>
          <w:szCs w:val="22"/>
          <w:u w:val="single"/>
          <w:lang w:val="sr-Latn-RS"/>
        </w:rPr>
        <w:t>Rasa</w:t>
      </w:r>
    </w:p>
    <w:p w14:paraId="172C430B" w14:textId="77777777" w:rsidR="00D857AC" w:rsidRPr="00234ECD" w:rsidRDefault="00D857AC" w:rsidP="00D857AC">
      <w:pPr>
        <w:jc w:val="both"/>
        <w:rPr>
          <w:rFonts w:eastAsia="Calibri"/>
          <w:sz w:val="22"/>
          <w:szCs w:val="22"/>
          <w:lang w:val="sr-Latn-RS"/>
        </w:rPr>
      </w:pPr>
      <w:r w:rsidRPr="00234ECD">
        <w:rPr>
          <w:rFonts w:eastAsia="Calibri"/>
          <w:sz w:val="22"/>
          <w:szCs w:val="22"/>
          <w:lang w:val="sr-Latn-RS"/>
        </w:rPr>
        <w:t>Populaciona PK analiza nije otkrila klinički značajne razlike u PK kabozantiniba na osnovu rase.</w:t>
      </w:r>
    </w:p>
    <w:p w14:paraId="043A35D6" w14:textId="77777777" w:rsidR="0072020E" w:rsidRPr="00234ECD" w:rsidRDefault="0072020E" w:rsidP="00480FB1">
      <w:pPr>
        <w:tabs>
          <w:tab w:val="left" w:pos="540"/>
          <w:tab w:val="left" w:pos="569"/>
        </w:tabs>
        <w:rPr>
          <w:bCs/>
          <w:sz w:val="22"/>
          <w:szCs w:val="22"/>
          <w:lang w:val="sr-Latn-RS"/>
        </w:rPr>
      </w:pPr>
    </w:p>
    <w:p w14:paraId="2AE6B6A3" w14:textId="77777777" w:rsidR="00673358" w:rsidRPr="00234ECD" w:rsidRDefault="00673358" w:rsidP="00480FB1">
      <w:pPr>
        <w:tabs>
          <w:tab w:val="left" w:pos="540"/>
          <w:tab w:val="left" w:pos="569"/>
        </w:tabs>
        <w:rPr>
          <w:sz w:val="22"/>
          <w:szCs w:val="22"/>
          <w:lang w:val="sr-Latn-RS"/>
        </w:rPr>
      </w:pPr>
      <w:r w:rsidRPr="00234ECD">
        <w:rPr>
          <w:i/>
          <w:iCs/>
          <w:sz w:val="22"/>
          <w:szCs w:val="22"/>
          <w:u w:val="single"/>
          <w:lang w:val="sr-Latn-RS"/>
        </w:rPr>
        <w:t>Pedijatrijska populacija</w:t>
      </w:r>
      <w:r w:rsidRPr="00234ECD">
        <w:rPr>
          <w:sz w:val="22"/>
          <w:szCs w:val="22"/>
          <w:lang w:val="sr-Latn-RS"/>
        </w:rPr>
        <w:t xml:space="preserve"> </w:t>
      </w:r>
    </w:p>
    <w:p w14:paraId="48312464" w14:textId="5F00F0F8" w:rsidR="00673358" w:rsidRPr="00234ECD" w:rsidRDefault="00673358" w:rsidP="00673358">
      <w:pPr>
        <w:tabs>
          <w:tab w:val="left" w:pos="540"/>
          <w:tab w:val="left" w:pos="569"/>
        </w:tabs>
        <w:jc w:val="both"/>
        <w:rPr>
          <w:rFonts w:eastAsiaTheme="minorHAnsi"/>
          <w:sz w:val="22"/>
          <w:szCs w:val="22"/>
          <w:lang w:val="sr-Latn-RS"/>
        </w:rPr>
      </w:pPr>
      <w:r w:rsidRPr="00234ECD">
        <w:rPr>
          <w:sz w:val="22"/>
          <w:szCs w:val="22"/>
          <w:lang w:val="sr-Latn-RS"/>
        </w:rPr>
        <w:t xml:space="preserve">Podaci dobijeni simulacijom </w:t>
      </w:r>
      <w:r w:rsidR="00E83FE9" w:rsidRPr="00234ECD">
        <w:rPr>
          <w:sz w:val="22"/>
          <w:szCs w:val="22"/>
          <w:lang w:val="sr-Latn-RS"/>
        </w:rPr>
        <w:t>s</w:t>
      </w:r>
      <w:r w:rsidRPr="00234ECD">
        <w:rPr>
          <w:sz w:val="22"/>
          <w:szCs w:val="22"/>
          <w:lang w:val="sr-Latn-RS"/>
        </w:rPr>
        <w:t xml:space="preserve">provedenom s populacijskim farmakokinetičkim modelom </w:t>
      </w:r>
      <w:r w:rsidRPr="00234ECD">
        <w:rPr>
          <w:rFonts w:eastAsiaTheme="minorHAnsi"/>
          <w:sz w:val="22"/>
          <w:szCs w:val="22"/>
          <w:lang w:val="sr-Latn-RS"/>
        </w:rPr>
        <w:t xml:space="preserve">razvijenim kod zdravih ispitanika kao i kod odraslih </w:t>
      </w:r>
      <w:r w:rsidR="009F5464" w:rsidRPr="00234ECD">
        <w:rPr>
          <w:rFonts w:eastAsiaTheme="minorHAnsi"/>
          <w:sz w:val="22"/>
          <w:szCs w:val="22"/>
          <w:lang w:val="sr-Latn-RS"/>
        </w:rPr>
        <w:t xml:space="preserve">pacijenata </w:t>
      </w:r>
      <w:r w:rsidRPr="00234ECD">
        <w:rPr>
          <w:rFonts w:eastAsiaTheme="minorHAnsi"/>
          <w:sz w:val="22"/>
          <w:szCs w:val="22"/>
          <w:lang w:val="sr-Latn-RS"/>
        </w:rPr>
        <w:t>s</w:t>
      </w:r>
      <w:r w:rsidR="009F5464" w:rsidRPr="00234ECD">
        <w:rPr>
          <w:rFonts w:eastAsiaTheme="minorHAnsi"/>
          <w:sz w:val="22"/>
          <w:szCs w:val="22"/>
          <w:lang w:val="sr-Latn-RS"/>
        </w:rPr>
        <w:t>a</w:t>
      </w:r>
      <w:r w:rsidRPr="00234ECD">
        <w:rPr>
          <w:rFonts w:eastAsiaTheme="minorHAnsi"/>
          <w:sz w:val="22"/>
          <w:szCs w:val="22"/>
          <w:lang w:val="sr-Latn-RS"/>
        </w:rPr>
        <w:t xml:space="preserve"> različitim tipovima maligniteta pokazuju da kod adolescenata u dobi od 12 godina i starijih, doza od 40 mg kabozantiniba jednom dnevno za </w:t>
      </w:r>
      <w:r w:rsidR="009F5464" w:rsidRPr="00234ECD">
        <w:rPr>
          <w:rFonts w:eastAsiaTheme="minorHAnsi"/>
          <w:sz w:val="22"/>
          <w:szCs w:val="22"/>
          <w:lang w:val="sr-Latn-RS"/>
        </w:rPr>
        <w:t xml:space="preserve">pacijente </w:t>
      </w:r>
      <w:r w:rsidRPr="00234ECD">
        <w:rPr>
          <w:rFonts w:eastAsiaTheme="minorHAnsi"/>
          <w:sz w:val="22"/>
          <w:szCs w:val="22"/>
          <w:lang w:val="sr-Latn-RS"/>
        </w:rPr>
        <w:t xml:space="preserve">težine &lt; 40 kg ili doza od 60 mg jednom dnevno za </w:t>
      </w:r>
      <w:r w:rsidR="009F5464" w:rsidRPr="00234ECD">
        <w:rPr>
          <w:rFonts w:eastAsiaTheme="minorHAnsi"/>
          <w:sz w:val="22"/>
          <w:szCs w:val="22"/>
          <w:lang w:val="sr-Latn-RS"/>
        </w:rPr>
        <w:t xml:space="preserve">pacijente </w:t>
      </w:r>
      <w:r w:rsidRPr="00234ECD">
        <w:rPr>
          <w:rFonts w:eastAsiaTheme="minorHAnsi"/>
          <w:sz w:val="22"/>
          <w:szCs w:val="22"/>
          <w:lang w:val="sr-Latn-RS"/>
        </w:rPr>
        <w:t xml:space="preserve">težine ≥ 40 kg </w:t>
      </w:r>
      <w:r w:rsidR="00D05A7C" w:rsidRPr="00234ECD">
        <w:rPr>
          <w:rFonts w:eastAsiaTheme="minorHAnsi"/>
          <w:sz w:val="22"/>
          <w:szCs w:val="22"/>
          <w:lang w:val="sr-Latn-RS"/>
        </w:rPr>
        <w:t>rezultuje</w:t>
      </w:r>
      <w:r w:rsidRPr="00234ECD">
        <w:rPr>
          <w:rFonts w:eastAsiaTheme="minorHAnsi"/>
          <w:sz w:val="22"/>
          <w:szCs w:val="22"/>
          <w:lang w:val="sr-Latn-RS"/>
        </w:rPr>
        <w:t xml:space="preserve"> izloženošću u plazmi slično</w:t>
      </w:r>
      <w:r w:rsidR="00D820E9" w:rsidRPr="00234ECD">
        <w:rPr>
          <w:rFonts w:eastAsiaTheme="minorHAnsi"/>
          <w:sz w:val="22"/>
          <w:szCs w:val="22"/>
          <w:lang w:val="sr-Latn-RS"/>
        </w:rPr>
        <w:t>j</w:t>
      </w:r>
      <w:r w:rsidRPr="00234ECD">
        <w:rPr>
          <w:rFonts w:eastAsiaTheme="minorHAnsi"/>
          <w:sz w:val="22"/>
          <w:szCs w:val="22"/>
          <w:lang w:val="sr-Latn-RS"/>
        </w:rPr>
        <w:t xml:space="preserve"> onoj koja se postiže </w:t>
      </w:r>
      <w:r w:rsidR="00D05A7C" w:rsidRPr="00234ECD">
        <w:rPr>
          <w:rFonts w:eastAsiaTheme="minorHAnsi"/>
          <w:sz w:val="22"/>
          <w:szCs w:val="22"/>
          <w:lang w:val="sr-Latn-RS"/>
        </w:rPr>
        <w:t>kod</w:t>
      </w:r>
      <w:r w:rsidRPr="00234ECD">
        <w:rPr>
          <w:rFonts w:eastAsiaTheme="minorHAnsi"/>
          <w:sz w:val="22"/>
          <w:szCs w:val="22"/>
          <w:lang w:val="sr-Latn-RS"/>
        </w:rPr>
        <w:t xml:space="preserve"> odraslih liječenih sa 60 mg kabozantiniba jednom dnevno (vidjeti </w:t>
      </w:r>
      <w:r w:rsidR="001709D0" w:rsidRPr="00234ECD">
        <w:rPr>
          <w:rFonts w:eastAsiaTheme="minorHAnsi"/>
          <w:sz w:val="22"/>
          <w:szCs w:val="22"/>
          <w:lang w:val="sr-Latn-RS"/>
        </w:rPr>
        <w:t xml:space="preserve">dio </w:t>
      </w:r>
      <w:r w:rsidRPr="00234ECD">
        <w:rPr>
          <w:rFonts w:eastAsiaTheme="minorHAnsi"/>
          <w:sz w:val="22"/>
          <w:szCs w:val="22"/>
          <w:lang w:val="sr-Latn-RS"/>
        </w:rPr>
        <w:t>4.2).</w:t>
      </w:r>
    </w:p>
    <w:p w14:paraId="711BD2F2" w14:textId="77777777" w:rsidR="00E83FE9" w:rsidRPr="00234ECD" w:rsidRDefault="00E83FE9" w:rsidP="00673358">
      <w:pPr>
        <w:tabs>
          <w:tab w:val="left" w:pos="540"/>
          <w:tab w:val="left" w:pos="569"/>
        </w:tabs>
        <w:jc w:val="both"/>
        <w:rPr>
          <w:rFonts w:eastAsiaTheme="minorHAnsi"/>
          <w:sz w:val="22"/>
          <w:szCs w:val="22"/>
          <w:lang w:val="sr-Latn-RS"/>
        </w:rPr>
      </w:pPr>
    </w:p>
    <w:p w14:paraId="0419A025" w14:textId="0D9E6E9F" w:rsidR="00FB4A34" w:rsidRPr="00234ECD" w:rsidRDefault="00FB4A34" w:rsidP="00673358">
      <w:pPr>
        <w:jc w:val="both"/>
        <w:rPr>
          <w:rFonts w:eastAsiaTheme="minorHAnsi"/>
          <w:sz w:val="22"/>
          <w:szCs w:val="22"/>
          <w:lang w:val="sr-Latn-RS"/>
        </w:rPr>
      </w:pPr>
      <w:r w:rsidRPr="00234ECD">
        <w:rPr>
          <w:rFonts w:eastAsiaTheme="minorHAnsi"/>
          <w:sz w:val="22"/>
          <w:szCs w:val="22"/>
          <w:lang w:val="sr-Latn-RS"/>
        </w:rPr>
        <w:t>U dvije kliničke studije koje je</w:t>
      </w:r>
      <w:r w:rsidR="00524086" w:rsidRPr="00234ECD">
        <w:rPr>
          <w:rFonts w:eastAsiaTheme="minorHAnsi"/>
          <w:sz w:val="22"/>
          <w:szCs w:val="22"/>
          <w:lang w:val="sr-Latn-RS"/>
        </w:rPr>
        <w:t xml:space="preserve"> sprovela</w:t>
      </w:r>
      <w:r w:rsidRPr="00234ECD">
        <w:rPr>
          <w:rFonts w:eastAsiaTheme="minorHAnsi"/>
          <w:sz w:val="22"/>
          <w:szCs w:val="22"/>
          <w:lang w:val="sr-Latn-RS"/>
        </w:rPr>
        <w:t xml:space="preserve"> </w:t>
      </w:r>
      <w:r w:rsidRPr="00234ECD">
        <w:rPr>
          <w:bCs/>
          <w:sz w:val="22"/>
          <w:szCs w:val="22"/>
          <w:lang w:val="sr-Latn-RS"/>
        </w:rPr>
        <w:t>D</w:t>
      </w:r>
      <w:r w:rsidR="00524086" w:rsidRPr="00234ECD">
        <w:rPr>
          <w:bCs/>
          <w:sz w:val="22"/>
          <w:szCs w:val="22"/>
          <w:lang w:val="sr-Latn-RS"/>
        </w:rPr>
        <w:t>j</w:t>
      </w:r>
      <w:r w:rsidRPr="00234ECD">
        <w:rPr>
          <w:bCs/>
          <w:sz w:val="22"/>
          <w:szCs w:val="22"/>
          <w:lang w:val="sr-Latn-RS"/>
        </w:rPr>
        <w:t>ečija onkološka grupa (</w:t>
      </w:r>
      <w:r w:rsidR="001A2348" w:rsidRPr="00234ECD">
        <w:rPr>
          <w:bCs/>
          <w:sz w:val="22"/>
          <w:szCs w:val="22"/>
          <w:lang w:val="sr-Latn-RS"/>
        </w:rPr>
        <w:t xml:space="preserve">engl. </w:t>
      </w:r>
      <w:r w:rsidRPr="00234ECD">
        <w:rPr>
          <w:i/>
          <w:iCs/>
          <w:color w:val="242424"/>
          <w:sz w:val="22"/>
          <w:szCs w:val="22"/>
          <w:shd w:val="clear" w:color="auto" w:fill="FFFFFF"/>
          <w:lang w:val="sr-Latn-RS"/>
        </w:rPr>
        <w:t>Children Oncology Group</w:t>
      </w:r>
      <w:r w:rsidRPr="00234ECD">
        <w:rPr>
          <w:sz w:val="22"/>
          <w:szCs w:val="22"/>
          <w:lang w:val="sr-Latn-RS"/>
        </w:rPr>
        <w:t xml:space="preserve">, </w:t>
      </w:r>
      <w:r w:rsidRPr="00234ECD">
        <w:rPr>
          <w:bCs/>
          <w:sz w:val="22"/>
          <w:szCs w:val="22"/>
          <w:lang w:val="sr-Latn-RS"/>
        </w:rPr>
        <w:t>COG)</w:t>
      </w:r>
      <w:r w:rsidRPr="00234ECD">
        <w:rPr>
          <w:rFonts w:eastAsiaTheme="minorHAnsi"/>
          <w:sz w:val="22"/>
          <w:szCs w:val="22"/>
          <w:lang w:val="sr-Latn-RS"/>
        </w:rPr>
        <w:t xml:space="preserve"> kod pedijatrijskih pacijenata sa solidnim tumorima (ADVL1211 i ADVL1622), kabozantinib je doziran na osnovu površine t</w:t>
      </w:r>
      <w:r w:rsidR="00CE5B78" w:rsidRPr="00234ECD">
        <w:rPr>
          <w:rFonts w:eastAsiaTheme="minorHAnsi"/>
          <w:sz w:val="22"/>
          <w:szCs w:val="22"/>
          <w:lang w:val="sr-Latn-RS"/>
        </w:rPr>
        <w:t>ij</w:t>
      </w:r>
      <w:r w:rsidRPr="00234ECD">
        <w:rPr>
          <w:rFonts w:eastAsiaTheme="minorHAnsi"/>
          <w:sz w:val="22"/>
          <w:szCs w:val="22"/>
          <w:lang w:val="sr-Latn-RS"/>
        </w:rPr>
        <w:t>ela (BSA) prema nomogramu doziranja, korišćenjem dostupnih tableta od 20 mg i 60 mg nam</w:t>
      </w:r>
      <w:r w:rsidR="00CE5B78" w:rsidRPr="00234ECD">
        <w:rPr>
          <w:rFonts w:eastAsiaTheme="minorHAnsi"/>
          <w:sz w:val="22"/>
          <w:szCs w:val="22"/>
          <w:lang w:val="sr-Latn-RS"/>
        </w:rPr>
        <w:t>ij</w:t>
      </w:r>
      <w:r w:rsidRPr="00234ECD">
        <w:rPr>
          <w:rFonts w:eastAsiaTheme="minorHAnsi"/>
          <w:sz w:val="22"/>
          <w:szCs w:val="22"/>
          <w:lang w:val="sr-Latn-RS"/>
        </w:rPr>
        <w:t xml:space="preserve">enjenih odraslima. Među 55 pacijenata, </w:t>
      </w:r>
      <w:r w:rsidR="003E09DC" w:rsidRPr="00234ECD">
        <w:rPr>
          <w:rFonts w:eastAsiaTheme="minorHAnsi"/>
          <w:sz w:val="22"/>
          <w:szCs w:val="22"/>
          <w:lang w:val="sr-Latn-RS"/>
        </w:rPr>
        <w:t xml:space="preserve">medijalna </w:t>
      </w:r>
      <w:r w:rsidRPr="00234ECD">
        <w:rPr>
          <w:rFonts w:eastAsiaTheme="minorHAnsi"/>
          <w:sz w:val="22"/>
          <w:szCs w:val="22"/>
          <w:lang w:val="sr-Latn-RS"/>
        </w:rPr>
        <w:t xml:space="preserve">starost je bila 13 godina (raspon: 4 do 18 godina). Populaciona PK analiza je napravljena korišćenjem PK podataka prikupljenih </w:t>
      </w:r>
      <w:r w:rsidRPr="00234ECD">
        <w:rPr>
          <w:rFonts w:eastAsiaTheme="minorHAnsi"/>
          <w:sz w:val="22"/>
          <w:szCs w:val="22"/>
          <w:lang w:val="sr-Latn-RS"/>
        </w:rPr>
        <w:lastRenderedPageBreak/>
        <w:t xml:space="preserve">u obe studije. </w:t>
      </w:r>
      <w:r w:rsidR="00553091" w:rsidRPr="00234ECD">
        <w:rPr>
          <w:rFonts w:eastAsiaTheme="minorHAnsi"/>
          <w:sz w:val="22"/>
          <w:szCs w:val="22"/>
          <w:lang w:val="sr-Latn-RS"/>
        </w:rPr>
        <w:t>Framakokinetika</w:t>
      </w:r>
      <w:r w:rsidRPr="00234ECD">
        <w:rPr>
          <w:rFonts w:eastAsiaTheme="minorHAnsi"/>
          <w:sz w:val="22"/>
          <w:szCs w:val="22"/>
          <w:lang w:val="sr-Latn-RS"/>
        </w:rPr>
        <w:t xml:space="preserve"> kabozantiniba je adekvatno opisan</w:t>
      </w:r>
      <w:r w:rsidR="00553091" w:rsidRPr="00234ECD">
        <w:rPr>
          <w:rFonts w:eastAsiaTheme="minorHAnsi"/>
          <w:sz w:val="22"/>
          <w:szCs w:val="22"/>
          <w:lang w:val="sr-Latn-RS"/>
        </w:rPr>
        <w:t>a</w:t>
      </w:r>
      <w:r w:rsidRPr="00234ECD">
        <w:rPr>
          <w:rFonts w:eastAsiaTheme="minorHAnsi"/>
          <w:sz w:val="22"/>
          <w:szCs w:val="22"/>
          <w:lang w:val="sr-Latn-RS"/>
        </w:rPr>
        <w:t xml:space="preserve"> </w:t>
      </w:r>
      <w:r w:rsidR="00F54835" w:rsidRPr="00234ECD">
        <w:rPr>
          <w:rFonts w:eastAsiaTheme="minorHAnsi"/>
          <w:sz w:val="22"/>
          <w:szCs w:val="22"/>
          <w:lang w:val="sr-Latn-RS"/>
        </w:rPr>
        <w:t xml:space="preserve">dvokompartmanskim </w:t>
      </w:r>
      <w:r w:rsidRPr="00234ECD">
        <w:rPr>
          <w:rFonts w:eastAsiaTheme="minorHAnsi"/>
          <w:sz w:val="22"/>
          <w:szCs w:val="22"/>
          <w:lang w:val="sr-Latn-RS"/>
        </w:rPr>
        <w:t xml:space="preserve">modelom sa procesima eliminacije i apsorpcije prvog reda. Nije bilo dokaza da starost, pol, etnička pripadnost i tip tumora utiču na </w:t>
      </w:r>
      <w:r w:rsidR="00CE1CCA" w:rsidRPr="00234ECD">
        <w:rPr>
          <w:rFonts w:eastAsiaTheme="minorHAnsi"/>
          <w:sz w:val="22"/>
          <w:szCs w:val="22"/>
          <w:lang w:val="sr-Latn-RS"/>
        </w:rPr>
        <w:t>farmakokinetiku</w:t>
      </w:r>
      <w:r w:rsidRPr="00234ECD">
        <w:rPr>
          <w:rFonts w:eastAsiaTheme="minorHAnsi"/>
          <w:sz w:val="22"/>
          <w:szCs w:val="22"/>
          <w:lang w:val="sr-Latn-RS"/>
        </w:rPr>
        <w:t xml:space="preserve"> kabozantiniba kod d</w:t>
      </w:r>
      <w:r w:rsidR="00CE1CCA" w:rsidRPr="00234ECD">
        <w:rPr>
          <w:rFonts w:eastAsiaTheme="minorHAnsi"/>
          <w:sz w:val="22"/>
          <w:szCs w:val="22"/>
          <w:lang w:val="sr-Latn-RS"/>
        </w:rPr>
        <w:t>j</w:t>
      </w:r>
      <w:r w:rsidRPr="00234ECD">
        <w:rPr>
          <w:rFonts w:eastAsiaTheme="minorHAnsi"/>
          <w:sz w:val="22"/>
          <w:szCs w:val="22"/>
          <w:lang w:val="sr-Latn-RS"/>
        </w:rPr>
        <w:t xml:space="preserve">ece i adolescenata. Utvrđeno je da je samo </w:t>
      </w:r>
      <w:r w:rsidR="00CE1CCA" w:rsidRPr="00234ECD">
        <w:rPr>
          <w:rFonts w:eastAsiaTheme="minorHAnsi"/>
          <w:sz w:val="22"/>
          <w:szCs w:val="22"/>
          <w:lang w:val="sr-Latn-RS"/>
        </w:rPr>
        <w:t>tjelesna površina (</w:t>
      </w:r>
      <w:r w:rsidRPr="00234ECD">
        <w:rPr>
          <w:rFonts w:eastAsiaTheme="minorHAnsi"/>
          <w:sz w:val="22"/>
          <w:szCs w:val="22"/>
          <w:lang w:val="sr-Latn-RS"/>
        </w:rPr>
        <w:t>BSA</w:t>
      </w:r>
      <w:r w:rsidR="00CE1CCA" w:rsidRPr="00234ECD">
        <w:rPr>
          <w:rFonts w:eastAsiaTheme="minorHAnsi"/>
          <w:sz w:val="22"/>
          <w:szCs w:val="22"/>
          <w:lang w:val="sr-Latn-RS"/>
        </w:rPr>
        <w:t>)</w:t>
      </w:r>
      <w:r w:rsidRPr="00234ECD">
        <w:rPr>
          <w:rFonts w:eastAsiaTheme="minorHAnsi"/>
          <w:sz w:val="22"/>
          <w:szCs w:val="22"/>
          <w:lang w:val="sr-Latn-RS"/>
        </w:rPr>
        <w:t xml:space="preserve"> značajan predskazivač PK kabozantiniba. Zavisnost od doze nije prim</w:t>
      </w:r>
      <w:r w:rsidR="00D820E9" w:rsidRPr="00234ECD">
        <w:rPr>
          <w:rFonts w:eastAsiaTheme="minorHAnsi"/>
          <w:sz w:val="22"/>
          <w:szCs w:val="22"/>
          <w:lang w:val="sr-Latn-RS"/>
        </w:rPr>
        <w:t>ij</w:t>
      </w:r>
      <w:r w:rsidRPr="00234ECD">
        <w:rPr>
          <w:rFonts w:eastAsiaTheme="minorHAnsi"/>
          <w:sz w:val="22"/>
          <w:szCs w:val="22"/>
          <w:lang w:val="sr-Latn-RS"/>
        </w:rPr>
        <w:t>ećena u razvijenom modelu za tri testirana nivoa doze (30, 40 i 55 mg/m²). Izloženost kod d</w:t>
      </w:r>
      <w:r w:rsidR="00D849A4" w:rsidRPr="00234ECD">
        <w:rPr>
          <w:rFonts w:eastAsiaTheme="minorHAnsi"/>
          <w:sz w:val="22"/>
          <w:szCs w:val="22"/>
          <w:lang w:val="sr-Latn-RS"/>
        </w:rPr>
        <w:t>j</w:t>
      </w:r>
      <w:r w:rsidRPr="00234ECD">
        <w:rPr>
          <w:rFonts w:eastAsiaTheme="minorHAnsi"/>
          <w:sz w:val="22"/>
          <w:szCs w:val="22"/>
          <w:lang w:val="sr-Latn-RS"/>
        </w:rPr>
        <w:t>ece i adolescenata nakon prim</w:t>
      </w:r>
      <w:r w:rsidR="00D849A4" w:rsidRPr="00234ECD">
        <w:rPr>
          <w:rFonts w:eastAsiaTheme="minorHAnsi"/>
          <w:sz w:val="22"/>
          <w:szCs w:val="22"/>
          <w:lang w:val="sr-Latn-RS"/>
        </w:rPr>
        <w:t>j</w:t>
      </w:r>
      <w:r w:rsidRPr="00234ECD">
        <w:rPr>
          <w:rFonts w:eastAsiaTheme="minorHAnsi"/>
          <w:sz w:val="22"/>
          <w:szCs w:val="22"/>
          <w:lang w:val="sr-Latn-RS"/>
        </w:rPr>
        <w:t xml:space="preserve">ene doze od 40 mg/m² na bazi BSA su slične izloženosti kod odraslih </w:t>
      </w:r>
      <w:r w:rsidR="00D849A4" w:rsidRPr="00234ECD">
        <w:rPr>
          <w:rFonts w:eastAsiaTheme="minorHAnsi"/>
          <w:sz w:val="22"/>
          <w:szCs w:val="22"/>
          <w:lang w:val="sr-Latn-RS"/>
        </w:rPr>
        <w:t xml:space="preserve">kojima je primijenjena </w:t>
      </w:r>
      <w:r w:rsidRPr="00234ECD">
        <w:rPr>
          <w:rFonts w:eastAsiaTheme="minorHAnsi"/>
          <w:sz w:val="22"/>
          <w:szCs w:val="22"/>
          <w:lang w:val="sr-Latn-RS"/>
        </w:rPr>
        <w:t>fiksn</w:t>
      </w:r>
      <w:r w:rsidR="00D849A4" w:rsidRPr="00234ECD">
        <w:rPr>
          <w:rFonts w:eastAsiaTheme="minorHAnsi"/>
          <w:sz w:val="22"/>
          <w:szCs w:val="22"/>
          <w:lang w:val="sr-Latn-RS"/>
        </w:rPr>
        <w:t xml:space="preserve">a </w:t>
      </w:r>
      <w:r w:rsidRPr="00234ECD">
        <w:rPr>
          <w:rFonts w:eastAsiaTheme="minorHAnsi"/>
          <w:sz w:val="22"/>
          <w:szCs w:val="22"/>
          <w:lang w:val="sr-Latn-RS"/>
        </w:rPr>
        <w:t>doz</w:t>
      </w:r>
      <w:r w:rsidR="00D849A4" w:rsidRPr="00234ECD">
        <w:rPr>
          <w:rFonts w:eastAsiaTheme="minorHAnsi"/>
          <w:sz w:val="22"/>
          <w:szCs w:val="22"/>
          <w:lang w:val="sr-Latn-RS"/>
        </w:rPr>
        <w:t>a</w:t>
      </w:r>
      <w:r w:rsidRPr="00234ECD">
        <w:rPr>
          <w:rFonts w:eastAsiaTheme="minorHAnsi"/>
          <w:sz w:val="22"/>
          <w:szCs w:val="22"/>
          <w:lang w:val="sr-Latn-RS"/>
        </w:rPr>
        <w:t xml:space="preserve"> od 60 mg </w:t>
      </w:r>
      <w:r w:rsidR="00D849A4" w:rsidRPr="00234ECD">
        <w:rPr>
          <w:rFonts w:eastAsiaTheme="minorHAnsi"/>
          <w:sz w:val="22"/>
          <w:szCs w:val="22"/>
          <w:lang w:val="sr-Latn-RS"/>
        </w:rPr>
        <w:t>jednom dnevno</w:t>
      </w:r>
      <w:r w:rsidRPr="00234ECD">
        <w:rPr>
          <w:rFonts w:eastAsiaTheme="minorHAnsi"/>
          <w:sz w:val="22"/>
          <w:szCs w:val="22"/>
          <w:lang w:val="sr-Latn-RS"/>
        </w:rPr>
        <w:t>.</w:t>
      </w:r>
    </w:p>
    <w:p w14:paraId="4D0641DD" w14:textId="77777777" w:rsidR="00FB4A34" w:rsidRPr="00234ECD" w:rsidRDefault="00FB4A34" w:rsidP="00673358">
      <w:pPr>
        <w:tabs>
          <w:tab w:val="left" w:pos="540"/>
          <w:tab w:val="left" w:pos="569"/>
        </w:tabs>
        <w:jc w:val="both"/>
        <w:rPr>
          <w:bCs/>
          <w:sz w:val="22"/>
          <w:szCs w:val="22"/>
          <w:lang w:val="sr-Latn-RS"/>
        </w:rPr>
      </w:pPr>
    </w:p>
    <w:p w14:paraId="4830174D" w14:textId="77777777" w:rsidR="0072020E" w:rsidRPr="00234ECD" w:rsidRDefault="0072020E" w:rsidP="00480FB1">
      <w:pPr>
        <w:tabs>
          <w:tab w:val="left" w:pos="540"/>
          <w:tab w:val="left" w:pos="569"/>
        </w:tabs>
        <w:rPr>
          <w:b/>
          <w:bCs/>
          <w:sz w:val="22"/>
          <w:szCs w:val="22"/>
          <w:lang w:val="sr-Latn-RS"/>
        </w:rPr>
      </w:pPr>
      <w:r w:rsidRPr="00234ECD">
        <w:rPr>
          <w:b/>
          <w:bCs/>
          <w:sz w:val="22"/>
          <w:szCs w:val="22"/>
          <w:lang w:val="sr-Latn-RS"/>
        </w:rPr>
        <w:t xml:space="preserve">5.3. </w:t>
      </w:r>
      <w:r w:rsidR="00480FB1" w:rsidRPr="00234ECD">
        <w:rPr>
          <w:b/>
          <w:bCs/>
          <w:sz w:val="22"/>
          <w:szCs w:val="22"/>
          <w:lang w:val="sr-Latn-RS"/>
        </w:rPr>
        <w:tab/>
      </w:r>
      <w:r w:rsidRPr="00234ECD">
        <w:rPr>
          <w:b/>
          <w:bCs/>
          <w:sz w:val="22"/>
          <w:szCs w:val="22"/>
          <w:lang w:val="sr-Latn-RS"/>
        </w:rPr>
        <w:t xml:space="preserve">Pretklinički podaci o bezbjednosti </w:t>
      </w:r>
    </w:p>
    <w:p w14:paraId="77FAC687" w14:textId="77777777" w:rsidR="00836B35" w:rsidRPr="00234ECD" w:rsidRDefault="00836B35" w:rsidP="00480FB1">
      <w:pPr>
        <w:tabs>
          <w:tab w:val="left" w:pos="540"/>
          <w:tab w:val="left" w:pos="569"/>
        </w:tabs>
        <w:rPr>
          <w:bCs/>
          <w:sz w:val="22"/>
          <w:szCs w:val="22"/>
          <w:lang w:val="sr-Latn-RS"/>
        </w:rPr>
      </w:pPr>
    </w:p>
    <w:p w14:paraId="18A0250B" w14:textId="4B6ED96F" w:rsidR="00D857AC" w:rsidRPr="00234ECD" w:rsidRDefault="00D857AC" w:rsidP="00D857AC">
      <w:pPr>
        <w:jc w:val="both"/>
        <w:rPr>
          <w:rFonts w:eastAsia="Calibri"/>
          <w:sz w:val="22"/>
          <w:szCs w:val="22"/>
          <w:lang w:val="sr-Latn-RS"/>
        </w:rPr>
      </w:pPr>
      <w:r w:rsidRPr="00234ECD">
        <w:rPr>
          <w:rFonts w:eastAsia="Calibri"/>
          <w:sz w:val="22"/>
          <w:szCs w:val="22"/>
          <w:lang w:val="sr-Latn-RS"/>
        </w:rPr>
        <w:t>Neželjene reakcije koje nisu prim</w:t>
      </w:r>
      <w:r w:rsidR="004250B8" w:rsidRPr="00234ECD">
        <w:rPr>
          <w:rFonts w:eastAsia="Calibri"/>
          <w:sz w:val="22"/>
          <w:szCs w:val="22"/>
          <w:lang w:val="sr-Latn-RS"/>
        </w:rPr>
        <w:t>ij</w:t>
      </w:r>
      <w:r w:rsidRPr="00234ECD">
        <w:rPr>
          <w:rFonts w:eastAsia="Calibri"/>
          <w:sz w:val="22"/>
          <w:szCs w:val="22"/>
          <w:lang w:val="sr-Latn-RS"/>
        </w:rPr>
        <w:t>ećene u kliničkim ispitivanjima, ali su uočene kod životinja pri nivoima izloženosti sličnima nivoima kliničke izloženosti kod ljudi i sa mogućom važnošću za kliničku prim</w:t>
      </w:r>
      <w:r w:rsidR="004250B8" w:rsidRPr="00234ECD">
        <w:rPr>
          <w:rFonts w:eastAsia="Calibri"/>
          <w:sz w:val="22"/>
          <w:szCs w:val="22"/>
          <w:lang w:val="sr-Latn-RS"/>
        </w:rPr>
        <w:t>j</w:t>
      </w:r>
      <w:r w:rsidRPr="00234ECD">
        <w:rPr>
          <w:rFonts w:eastAsia="Calibri"/>
          <w:sz w:val="22"/>
          <w:szCs w:val="22"/>
          <w:lang w:val="sr-Latn-RS"/>
        </w:rPr>
        <w:t>enu, bile su sl</w:t>
      </w:r>
      <w:r w:rsidR="004250B8" w:rsidRPr="00234ECD">
        <w:rPr>
          <w:rFonts w:eastAsia="Calibri"/>
          <w:sz w:val="22"/>
          <w:szCs w:val="22"/>
          <w:lang w:val="sr-Latn-RS"/>
        </w:rPr>
        <w:t>j</w:t>
      </w:r>
      <w:r w:rsidRPr="00234ECD">
        <w:rPr>
          <w:rFonts w:eastAsia="Calibri"/>
          <w:sz w:val="22"/>
          <w:szCs w:val="22"/>
          <w:lang w:val="sr-Latn-RS"/>
        </w:rPr>
        <w:t>edeće:</w:t>
      </w:r>
    </w:p>
    <w:p w14:paraId="52B9CA9F" w14:textId="77777777" w:rsidR="00D857AC" w:rsidRPr="00234ECD" w:rsidRDefault="00D857AC" w:rsidP="00D857AC">
      <w:pPr>
        <w:jc w:val="both"/>
        <w:rPr>
          <w:rFonts w:eastAsia="Calibri"/>
          <w:sz w:val="22"/>
          <w:szCs w:val="22"/>
          <w:lang w:val="sr-Latn-RS"/>
        </w:rPr>
      </w:pPr>
    </w:p>
    <w:p w14:paraId="3C9F155F" w14:textId="5F76AE29" w:rsidR="00D857AC" w:rsidRPr="00234ECD" w:rsidRDefault="00D857AC" w:rsidP="00D857AC">
      <w:pPr>
        <w:jc w:val="both"/>
        <w:rPr>
          <w:rFonts w:eastAsia="Calibri"/>
          <w:sz w:val="22"/>
          <w:szCs w:val="22"/>
          <w:lang w:val="sr-Latn-RS"/>
        </w:rPr>
      </w:pPr>
      <w:r w:rsidRPr="00234ECD">
        <w:rPr>
          <w:rFonts w:eastAsia="Calibri"/>
          <w:sz w:val="22"/>
          <w:szCs w:val="22"/>
          <w:lang w:val="sr-Latn-RS"/>
        </w:rPr>
        <w:t>U studijama toksičnosti ponovljenih doza kod pacova i pasa u trajanju do 6 m</w:t>
      </w:r>
      <w:r w:rsidR="008E388B" w:rsidRPr="00234ECD">
        <w:rPr>
          <w:rFonts w:eastAsia="Calibri"/>
          <w:sz w:val="22"/>
          <w:szCs w:val="22"/>
          <w:lang w:val="sr-Latn-RS"/>
        </w:rPr>
        <w:t>j</w:t>
      </w:r>
      <w:r w:rsidRPr="00234ECD">
        <w:rPr>
          <w:rFonts w:eastAsia="Calibri"/>
          <w:sz w:val="22"/>
          <w:szCs w:val="22"/>
          <w:lang w:val="sr-Latn-RS"/>
        </w:rPr>
        <w:t>eseci, ciljni organi za toksičnost bili su gastrointestinalni trakt, koštana srž, limfno tkivo, bubreg i nadbubrežno tkivo i tkivo reproduktivnog trakta. Nivo na kom nisu uočena neželjena dejstva (NOAEL) za ove nalaze bio je manji od nivoa kliničke izloženosti kod ljudi pri predviđenoj terapijskoj dozi.</w:t>
      </w:r>
    </w:p>
    <w:p w14:paraId="3E03AEA9" w14:textId="77777777" w:rsidR="00D857AC" w:rsidRPr="00234ECD" w:rsidRDefault="00D857AC" w:rsidP="00D857AC">
      <w:pPr>
        <w:jc w:val="both"/>
        <w:rPr>
          <w:rFonts w:eastAsia="Calibri"/>
          <w:sz w:val="22"/>
          <w:szCs w:val="22"/>
          <w:lang w:val="sr-Latn-RS"/>
        </w:rPr>
      </w:pPr>
    </w:p>
    <w:p w14:paraId="2E50585F" w14:textId="00A24B12" w:rsidR="00D857AC" w:rsidRPr="00234ECD" w:rsidRDefault="00D857AC" w:rsidP="00D857AC">
      <w:pPr>
        <w:jc w:val="both"/>
        <w:rPr>
          <w:rFonts w:eastAsia="Calibri"/>
          <w:sz w:val="22"/>
          <w:szCs w:val="22"/>
          <w:lang w:val="sr-Latn-RS"/>
        </w:rPr>
      </w:pPr>
      <w:r w:rsidRPr="00234ECD">
        <w:rPr>
          <w:rFonts w:eastAsia="Calibri"/>
          <w:sz w:val="22"/>
          <w:szCs w:val="22"/>
          <w:lang w:val="sr-Latn-RS"/>
        </w:rPr>
        <w:t>Kabozantinib nije pokazao mutageni ili klastogeni potencijal u standardnom skupu testova genotoksičnosti. Kancerogeni potencijal kabozantiniba proc</w:t>
      </w:r>
      <w:r w:rsidR="008E388B" w:rsidRPr="00234ECD">
        <w:rPr>
          <w:rFonts w:eastAsia="Calibri"/>
          <w:sz w:val="22"/>
          <w:szCs w:val="22"/>
          <w:lang w:val="sr-Latn-RS"/>
        </w:rPr>
        <w:t>ij</w:t>
      </w:r>
      <w:r w:rsidRPr="00234ECD">
        <w:rPr>
          <w:rFonts w:eastAsia="Calibri"/>
          <w:sz w:val="22"/>
          <w:szCs w:val="22"/>
          <w:lang w:val="sr-Latn-RS"/>
        </w:rPr>
        <w:t>enjen je kod dv</w:t>
      </w:r>
      <w:r w:rsidR="008E388B" w:rsidRPr="00234ECD">
        <w:rPr>
          <w:rFonts w:eastAsia="Calibri"/>
          <w:sz w:val="22"/>
          <w:szCs w:val="22"/>
          <w:lang w:val="sr-Latn-RS"/>
        </w:rPr>
        <w:t>ij</w:t>
      </w:r>
      <w:r w:rsidRPr="00234ECD">
        <w:rPr>
          <w:rFonts w:eastAsia="Calibri"/>
          <w:sz w:val="22"/>
          <w:szCs w:val="22"/>
          <w:lang w:val="sr-Latn-RS"/>
        </w:rPr>
        <w:t xml:space="preserve">e vrste: rasH2 transgenih miševa i </w:t>
      </w:r>
      <w:r w:rsidRPr="00234ECD">
        <w:rPr>
          <w:rFonts w:eastAsia="Calibri"/>
          <w:i/>
          <w:sz w:val="22"/>
          <w:szCs w:val="22"/>
          <w:lang w:val="sr-Latn-RS"/>
        </w:rPr>
        <w:t>Sprague-Dawley</w:t>
      </w:r>
      <w:r w:rsidRPr="00234ECD">
        <w:rPr>
          <w:rFonts w:eastAsia="Calibri"/>
          <w:sz w:val="22"/>
          <w:szCs w:val="22"/>
          <w:lang w:val="sr-Latn-RS"/>
        </w:rPr>
        <w:t xml:space="preserve"> pacova. U dvogodišnjoj studiji kancerogenosti kod pacova, neoplastični nalazi povezani sa kabozantinibom sastojali su se od povećane incidencije benignog feo</w:t>
      </w:r>
      <w:r w:rsidR="00BF5F63" w:rsidRPr="00234ECD">
        <w:rPr>
          <w:rFonts w:eastAsia="Calibri"/>
          <w:sz w:val="22"/>
          <w:szCs w:val="22"/>
          <w:lang w:val="sr-Latn-RS"/>
        </w:rPr>
        <w:t>h</w:t>
      </w:r>
      <w:r w:rsidRPr="00234ECD">
        <w:rPr>
          <w:rFonts w:eastAsia="Calibri"/>
          <w:sz w:val="22"/>
          <w:szCs w:val="22"/>
          <w:lang w:val="sr-Latn-RS"/>
        </w:rPr>
        <w:t>romocitoma, samog ili u kombinaciji sa malignim feo</w:t>
      </w:r>
      <w:r w:rsidR="00BF5F63" w:rsidRPr="00234ECD">
        <w:rPr>
          <w:rFonts w:eastAsia="Calibri"/>
          <w:sz w:val="22"/>
          <w:szCs w:val="22"/>
          <w:lang w:val="sr-Latn-RS"/>
        </w:rPr>
        <w:t>h</w:t>
      </w:r>
      <w:r w:rsidRPr="00234ECD">
        <w:rPr>
          <w:rFonts w:eastAsia="Calibri"/>
          <w:sz w:val="22"/>
          <w:szCs w:val="22"/>
          <w:lang w:val="sr-Latn-RS"/>
        </w:rPr>
        <w:t>romocitomom / kompleksnim malignim feo</w:t>
      </w:r>
      <w:r w:rsidR="00BF5F63" w:rsidRPr="00234ECD">
        <w:rPr>
          <w:rFonts w:eastAsia="Calibri"/>
          <w:sz w:val="22"/>
          <w:szCs w:val="22"/>
          <w:lang w:val="sr-Latn-RS"/>
        </w:rPr>
        <w:t>h</w:t>
      </w:r>
      <w:r w:rsidRPr="00234ECD">
        <w:rPr>
          <w:rFonts w:eastAsia="Calibri"/>
          <w:sz w:val="22"/>
          <w:szCs w:val="22"/>
          <w:lang w:val="sr-Latn-RS"/>
        </w:rPr>
        <w:t>romocitomom srži nadbubrežne žl</w:t>
      </w:r>
      <w:r w:rsidR="00552776" w:rsidRPr="00234ECD">
        <w:rPr>
          <w:rFonts w:eastAsia="Calibri"/>
          <w:sz w:val="22"/>
          <w:szCs w:val="22"/>
          <w:lang w:val="sr-Latn-RS"/>
        </w:rPr>
        <w:t>ij</w:t>
      </w:r>
      <w:r w:rsidRPr="00234ECD">
        <w:rPr>
          <w:rFonts w:eastAsia="Calibri"/>
          <w:sz w:val="22"/>
          <w:szCs w:val="22"/>
          <w:lang w:val="sr-Latn-RS"/>
        </w:rPr>
        <w:t>ezde kod oba pola kod izloženosti koje su znatno niže od predviđene izloženosti kod ljudi. Klinički značaj neoplastičnih lezija prim</w:t>
      </w:r>
      <w:r w:rsidR="00552776" w:rsidRPr="00234ECD">
        <w:rPr>
          <w:rFonts w:eastAsia="Calibri"/>
          <w:sz w:val="22"/>
          <w:szCs w:val="22"/>
          <w:lang w:val="sr-Latn-RS"/>
        </w:rPr>
        <w:t>ij</w:t>
      </w:r>
      <w:r w:rsidRPr="00234ECD">
        <w:rPr>
          <w:rFonts w:eastAsia="Calibri"/>
          <w:sz w:val="22"/>
          <w:szCs w:val="22"/>
          <w:lang w:val="sr-Latn-RS"/>
        </w:rPr>
        <w:t>ećenih kod pacova nije poznat, ali je v</w:t>
      </w:r>
      <w:r w:rsidR="007659DB" w:rsidRPr="00234ECD">
        <w:rPr>
          <w:rFonts w:eastAsia="Calibri"/>
          <w:sz w:val="22"/>
          <w:szCs w:val="22"/>
          <w:lang w:val="sr-Latn-RS"/>
        </w:rPr>
        <w:t>j</w:t>
      </w:r>
      <w:r w:rsidRPr="00234ECD">
        <w:rPr>
          <w:rFonts w:eastAsia="Calibri"/>
          <w:sz w:val="22"/>
          <w:szCs w:val="22"/>
          <w:lang w:val="sr-Latn-RS"/>
        </w:rPr>
        <w:t>erovatno mali.</w:t>
      </w:r>
    </w:p>
    <w:p w14:paraId="5B5AF938" w14:textId="77777777" w:rsidR="00D857AC" w:rsidRPr="00234ECD" w:rsidRDefault="00D857AC" w:rsidP="00D857AC">
      <w:pPr>
        <w:jc w:val="both"/>
        <w:rPr>
          <w:rFonts w:eastAsia="Calibri"/>
          <w:sz w:val="22"/>
          <w:szCs w:val="22"/>
          <w:lang w:val="sr-Latn-RS"/>
        </w:rPr>
      </w:pPr>
      <w:r w:rsidRPr="00234ECD">
        <w:rPr>
          <w:rFonts w:eastAsia="Calibri"/>
          <w:sz w:val="22"/>
          <w:szCs w:val="22"/>
          <w:lang w:val="sr-Latn-RS"/>
        </w:rPr>
        <w:t>Kabozantinib se nije pokazao kancerogenim na rasH2 modelu miševa pri nešto višoj izloženosti nego što je predviđena terapijska izloženost kod ljudi.</w:t>
      </w:r>
    </w:p>
    <w:p w14:paraId="4C17C8D6" w14:textId="77777777" w:rsidR="00D857AC" w:rsidRPr="00234ECD" w:rsidRDefault="00D857AC" w:rsidP="00D857AC">
      <w:pPr>
        <w:jc w:val="both"/>
        <w:rPr>
          <w:rFonts w:eastAsia="Calibri"/>
          <w:sz w:val="22"/>
          <w:szCs w:val="22"/>
          <w:lang w:val="sr-Latn-RS"/>
        </w:rPr>
      </w:pPr>
    </w:p>
    <w:p w14:paraId="47809E5F" w14:textId="0A60D481" w:rsidR="00D857AC" w:rsidRPr="00234ECD" w:rsidRDefault="00D857AC" w:rsidP="00D857AC">
      <w:pPr>
        <w:jc w:val="both"/>
        <w:rPr>
          <w:rFonts w:eastAsia="Calibri"/>
          <w:sz w:val="22"/>
          <w:szCs w:val="22"/>
          <w:lang w:val="sr-Latn-RS"/>
        </w:rPr>
      </w:pPr>
      <w:r w:rsidRPr="00234ECD">
        <w:rPr>
          <w:rFonts w:eastAsia="Calibri"/>
          <w:sz w:val="22"/>
          <w:szCs w:val="22"/>
          <w:lang w:val="sr-Latn-RS"/>
        </w:rPr>
        <w:t>Studije plodnosti kod pacova pokazale su smanjenu plodnost kod mužjaka i ženki. Pored toga, prim</w:t>
      </w:r>
      <w:r w:rsidR="007659DB" w:rsidRPr="00234ECD">
        <w:rPr>
          <w:rFonts w:eastAsia="Calibri"/>
          <w:sz w:val="22"/>
          <w:szCs w:val="22"/>
          <w:lang w:val="sr-Latn-RS"/>
        </w:rPr>
        <w:t>ij</w:t>
      </w:r>
      <w:r w:rsidRPr="00234ECD">
        <w:rPr>
          <w:rFonts w:eastAsia="Calibri"/>
          <w:sz w:val="22"/>
          <w:szCs w:val="22"/>
          <w:lang w:val="sr-Latn-RS"/>
        </w:rPr>
        <w:t>ećena je hipospermatogeneza kod mužjaka pasa pri nivoima izloženosti koji su manji od nivoa kliničke izloženosti kod ljudi pri prim</w:t>
      </w:r>
      <w:r w:rsidR="007659DB" w:rsidRPr="00234ECD">
        <w:rPr>
          <w:rFonts w:eastAsia="Calibri"/>
          <w:sz w:val="22"/>
          <w:szCs w:val="22"/>
          <w:lang w:val="sr-Latn-RS"/>
        </w:rPr>
        <w:t>j</w:t>
      </w:r>
      <w:r w:rsidRPr="00234ECD">
        <w:rPr>
          <w:rFonts w:eastAsia="Calibri"/>
          <w:sz w:val="22"/>
          <w:szCs w:val="22"/>
          <w:lang w:val="sr-Latn-RS"/>
        </w:rPr>
        <w:t>eni predviđene terapijske doze.</w:t>
      </w:r>
    </w:p>
    <w:p w14:paraId="2C487A2E" w14:textId="77777777" w:rsidR="00D857AC" w:rsidRPr="00234ECD" w:rsidRDefault="00D857AC" w:rsidP="00D857AC">
      <w:pPr>
        <w:jc w:val="both"/>
        <w:rPr>
          <w:rFonts w:eastAsia="Calibri"/>
          <w:sz w:val="22"/>
          <w:szCs w:val="22"/>
          <w:lang w:val="sr-Latn-RS"/>
        </w:rPr>
      </w:pPr>
    </w:p>
    <w:p w14:paraId="7383FE1D" w14:textId="7BF556A3" w:rsidR="00D857AC" w:rsidRPr="00234ECD" w:rsidRDefault="00D857AC" w:rsidP="00D857AC">
      <w:pPr>
        <w:jc w:val="both"/>
        <w:rPr>
          <w:rFonts w:eastAsia="Calibri"/>
          <w:sz w:val="22"/>
          <w:szCs w:val="22"/>
          <w:lang w:val="sr-Latn-RS"/>
        </w:rPr>
      </w:pPr>
      <w:r w:rsidRPr="00234ECD">
        <w:rPr>
          <w:rFonts w:eastAsia="Calibri"/>
          <w:sz w:val="22"/>
          <w:szCs w:val="22"/>
          <w:lang w:val="sr-Latn-RS"/>
        </w:rPr>
        <w:t>Sprovedene su studije embriofetalnog razvoja kod pacova i kunića. Kabozantinib je kod pacova prouzrokovao postimplantacioni gubitak embriona, fetalni edem, rascep nepca/usne, aplaziju kože i savijen ili rudimentarni rep. Kod kunića, kabozantinib je prouzrokovao prom</w:t>
      </w:r>
      <w:r w:rsidR="006E13D9" w:rsidRPr="00234ECD">
        <w:rPr>
          <w:rFonts w:eastAsia="Calibri"/>
          <w:sz w:val="22"/>
          <w:szCs w:val="22"/>
          <w:lang w:val="sr-Latn-RS"/>
        </w:rPr>
        <w:t>j</w:t>
      </w:r>
      <w:r w:rsidRPr="00234ECD">
        <w:rPr>
          <w:rFonts w:eastAsia="Calibri"/>
          <w:sz w:val="22"/>
          <w:szCs w:val="22"/>
          <w:lang w:val="sr-Latn-RS"/>
        </w:rPr>
        <w:t>ene u mekom tkivu fetusa (smanjena veličina slezine, smanjenje ili gubitak srednjeg režnja pluća) i povećanu incidencu ukupnih malformacija kod fetusa. NOAEL nivoi za embriofetalnu toksičnost i teratogene nalaze bili su manji od nivoa kliničke izloženosti kod ljudi prilikom prim</w:t>
      </w:r>
      <w:r w:rsidR="006E13D9" w:rsidRPr="00234ECD">
        <w:rPr>
          <w:rFonts w:eastAsia="Calibri"/>
          <w:sz w:val="22"/>
          <w:szCs w:val="22"/>
          <w:lang w:val="sr-Latn-RS"/>
        </w:rPr>
        <w:t>j</w:t>
      </w:r>
      <w:r w:rsidRPr="00234ECD">
        <w:rPr>
          <w:rFonts w:eastAsia="Calibri"/>
          <w:sz w:val="22"/>
          <w:szCs w:val="22"/>
          <w:lang w:val="sr-Latn-RS"/>
        </w:rPr>
        <w:t>ene predviđene terapijske doze.</w:t>
      </w:r>
    </w:p>
    <w:p w14:paraId="29B8A2B6" w14:textId="77777777" w:rsidR="00D857AC" w:rsidRPr="00234ECD" w:rsidRDefault="00D857AC" w:rsidP="00D857AC">
      <w:pPr>
        <w:jc w:val="both"/>
        <w:rPr>
          <w:rFonts w:eastAsia="Calibri"/>
          <w:sz w:val="22"/>
          <w:szCs w:val="22"/>
          <w:lang w:val="sr-Latn-RS"/>
        </w:rPr>
      </w:pPr>
    </w:p>
    <w:p w14:paraId="2B46E37B" w14:textId="33A49231" w:rsidR="00D857AC" w:rsidRPr="00234ECD" w:rsidRDefault="00D857AC" w:rsidP="00D857AC">
      <w:pPr>
        <w:jc w:val="both"/>
        <w:rPr>
          <w:rFonts w:eastAsia="Calibri"/>
          <w:sz w:val="22"/>
          <w:szCs w:val="22"/>
          <w:lang w:val="sr-Latn-RS"/>
        </w:rPr>
      </w:pPr>
      <w:r w:rsidRPr="00234ECD">
        <w:rPr>
          <w:rFonts w:eastAsia="Calibri"/>
          <w:sz w:val="22"/>
          <w:szCs w:val="22"/>
          <w:lang w:val="sr-Latn-RS"/>
        </w:rPr>
        <w:t>Kod mladih pacova (koji su uporedivi sa pedijatrijskom populacijom starosti &gt;2 godine) kod kojih je prim</w:t>
      </w:r>
      <w:r w:rsidR="006E13D9" w:rsidRPr="00234ECD">
        <w:rPr>
          <w:rFonts w:eastAsia="Calibri"/>
          <w:sz w:val="22"/>
          <w:szCs w:val="22"/>
          <w:lang w:val="sr-Latn-RS"/>
        </w:rPr>
        <w:t>ij</w:t>
      </w:r>
      <w:r w:rsidRPr="00234ECD">
        <w:rPr>
          <w:rFonts w:eastAsia="Calibri"/>
          <w:sz w:val="22"/>
          <w:szCs w:val="22"/>
          <w:lang w:val="sr-Latn-RS"/>
        </w:rPr>
        <w:t>enjen kabozantinib došlo je do povećanja parametara leukocita, smanjenja hematopoeze, pubescentnog/nezrelog ženskog reproduktivnog sistema (bez odloženog vaginalnog otvaranja), abnormalnosti zuba, smanjenog mineralnog sadržaja i gustine kostiju, pigmentacije jetre i limfocitne hiperplazije limfnih čvorova. Prom</w:t>
      </w:r>
      <w:r w:rsidR="00726C41" w:rsidRPr="00234ECD">
        <w:rPr>
          <w:rFonts w:eastAsia="Calibri"/>
          <w:sz w:val="22"/>
          <w:szCs w:val="22"/>
          <w:lang w:val="sr-Latn-RS"/>
        </w:rPr>
        <w:t>j</w:t>
      </w:r>
      <w:r w:rsidRPr="00234ECD">
        <w:rPr>
          <w:rFonts w:eastAsia="Calibri"/>
          <w:sz w:val="22"/>
          <w:szCs w:val="22"/>
          <w:lang w:val="sr-Latn-RS"/>
        </w:rPr>
        <w:t>ene na materici/jajnicima i smanjena hematopoeza pokazale su se prolaznim, dok su efekti na parametre kostiju i pigmentaciju jetre bili dugoročni. Studije na mladim pacovima (koji su uporedivi sa pedijatrijskom populacijom starosti &lt;2 godine) pokazale su slične nalaze povezane sa l</w:t>
      </w:r>
      <w:r w:rsidR="00726C41" w:rsidRPr="00234ECD">
        <w:rPr>
          <w:rFonts w:eastAsia="Calibri"/>
          <w:sz w:val="22"/>
          <w:szCs w:val="22"/>
          <w:lang w:val="sr-Latn-RS"/>
        </w:rPr>
        <w:t>ij</w:t>
      </w:r>
      <w:r w:rsidRPr="00234ECD">
        <w:rPr>
          <w:rFonts w:eastAsia="Calibri"/>
          <w:sz w:val="22"/>
          <w:szCs w:val="22"/>
          <w:lang w:val="sr-Latn-RS"/>
        </w:rPr>
        <w:t xml:space="preserve">ečenjem, </w:t>
      </w:r>
      <w:r w:rsidR="00F1670B" w:rsidRPr="00234ECD">
        <w:rPr>
          <w:rFonts w:eastAsia="Calibri"/>
          <w:sz w:val="22"/>
          <w:szCs w:val="22"/>
          <w:lang w:val="sr-Latn-RS"/>
        </w:rPr>
        <w:t>sa dodatnim nalazima u muškom reproduktivnom sistemu (degeneracija i/ili atrofija s</w:t>
      </w:r>
      <w:r w:rsidR="00D83657" w:rsidRPr="00234ECD">
        <w:rPr>
          <w:rFonts w:eastAsia="Calibri"/>
          <w:sz w:val="22"/>
          <w:szCs w:val="22"/>
          <w:lang w:val="sr-Latn-RS"/>
        </w:rPr>
        <w:t>j</w:t>
      </w:r>
      <w:r w:rsidR="00F1670B" w:rsidRPr="00234ECD">
        <w:rPr>
          <w:rFonts w:eastAsia="Calibri"/>
          <w:sz w:val="22"/>
          <w:szCs w:val="22"/>
          <w:lang w:val="sr-Latn-RS"/>
        </w:rPr>
        <w:t xml:space="preserve">emenih kanalića u testisima, smanjena luminalna sperma u epididimisu), i  pokazalo se </w:t>
      </w:r>
      <w:r w:rsidRPr="00234ECD">
        <w:rPr>
          <w:rFonts w:eastAsia="Calibri"/>
          <w:sz w:val="22"/>
          <w:szCs w:val="22"/>
          <w:lang w:val="sr-Latn-RS"/>
        </w:rPr>
        <w:t>da su os</w:t>
      </w:r>
      <w:r w:rsidR="00726C41" w:rsidRPr="00234ECD">
        <w:rPr>
          <w:rFonts w:eastAsia="Calibri"/>
          <w:sz w:val="22"/>
          <w:szCs w:val="22"/>
          <w:lang w:val="sr-Latn-RS"/>
        </w:rPr>
        <w:t>j</w:t>
      </w:r>
      <w:r w:rsidRPr="00234ECD">
        <w:rPr>
          <w:rFonts w:eastAsia="Calibri"/>
          <w:sz w:val="22"/>
          <w:szCs w:val="22"/>
          <w:lang w:val="sr-Latn-RS"/>
        </w:rPr>
        <w:t>etljiviji na toksičnost povezanu sa kabozantinibom pri uporedivim nivoima doza.</w:t>
      </w:r>
    </w:p>
    <w:p w14:paraId="6A9F15E9" w14:textId="77777777" w:rsidR="00396DFD" w:rsidRPr="00234ECD" w:rsidRDefault="00396DFD" w:rsidP="00480FB1">
      <w:pPr>
        <w:tabs>
          <w:tab w:val="left" w:pos="540"/>
          <w:tab w:val="left" w:pos="569"/>
        </w:tabs>
        <w:rPr>
          <w:b/>
          <w:bCs/>
          <w:sz w:val="22"/>
          <w:szCs w:val="22"/>
          <w:lang w:val="sr-Latn-RS"/>
        </w:rPr>
      </w:pPr>
    </w:p>
    <w:p w14:paraId="42F68251" w14:textId="77777777" w:rsidR="00234ECD" w:rsidRPr="00234ECD" w:rsidRDefault="00234ECD" w:rsidP="00480FB1">
      <w:pPr>
        <w:tabs>
          <w:tab w:val="left" w:pos="540"/>
          <w:tab w:val="left" w:pos="569"/>
        </w:tabs>
        <w:rPr>
          <w:b/>
          <w:bCs/>
          <w:sz w:val="22"/>
          <w:szCs w:val="22"/>
          <w:lang w:val="sr-Latn-RS"/>
        </w:rPr>
      </w:pPr>
    </w:p>
    <w:p w14:paraId="1DD448D8" w14:textId="77777777" w:rsidR="00234ECD" w:rsidRPr="00234ECD" w:rsidRDefault="00234ECD" w:rsidP="00480FB1">
      <w:pPr>
        <w:tabs>
          <w:tab w:val="left" w:pos="540"/>
          <w:tab w:val="left" w:pos="569"/>
        </w:tabs>
        <w:rPr>
          <w:b/>
          <w:bCs/>
          <w:sz w:val="22"/>
          <w:szCs w:val="22"/>
          <w:lang w:val="sr-Latn-RS"/>
        </w:rPr>
      </w:pPr>
    </w:p>
    <w:p w14:paraId="1F05DDF7" w14:textId="77777777" w:rsidR="00234ECD" w:rsidRPr="00234ECD" w:rsidRDefault="00234ECD" w:rsidP="00480FB1">
      <w:pPr>
        <w:tabs>
          <w:tab w:val="left" w:pos="540"/>
          <w:tab w:val="left" w:pos="569"/>
        </w:tabs>
        <w:rPr>
          <w:b/>
          <w:bCs/>
          <w:sz w:val="22"/>
          <w:szCs w:val="22"/>
          <w:lang w:val="sr-Latn-RS"/>
        </w:rPr>
      </w:pPr>
    </w:p>
    <w:p w14:paraId="2C3361E8" w14:textId="77777777" w:rsidR="00234ECD" w:rsidRPr="00234ECD" w:rsidRDefault="00234ECD" w:rsidP="00480FB1">
      <w:pPr>
        <w:tabs>
          <w:tab w:val="left" w:pos="540"/>
          <w:tab w:val="left" w:pos="569"/>
        </w:tabs>
        <w:rPr>
          <w:b/>
          <w:bCs/>
          <w:sz w:val="22"/>
          <w:szCs w:val="22"/>
          <w:lang w:val="sr-Latn-RS"/>
        </w:rPr>
      </w:pPr>
    </w:p>
    <w:p w14:paraId="6E0B107B" w14:textId="77777777" w:rsidR="00234ECD" w:rsidRPr="00234ECD" w:rsidRDefault="00234ECD" w:rsidP="00480FB1">
      <w:pPr>
        <w:tabs>
          <w:tab w:val="left" w:pos="540"/>
          <w:tab w:val="left" w:pos="569"/>
        </w:tabs>
        <w:rPr>
          <w:b/>
          <w:bCs/>
          <w:sz w:val="22"/>
          <w:szCs w:val="22"/>
          <w:lang w:val="sr-Latn-RS"/>
        </w:rPr>
      </w:pPr>
    </w:p>
    <w:p w14:paraId="741888FF" w14:textId="146B28DB" w:rsidR="0072020E" w:rsidRPr="00234ECD" w:rsidRDefault="0072020E" w:rsidP="00480FB1">
      <w:pPr>
        <w:tabs>
          <w:tab w:val="left" w:pos="540"/>
          <w:tab w:val="left" w:pos="569"/>
        </w:tabs>
        <w:rPr>
          <w:b/>
          <w:bCs/>
          <w:sz w:val="22"/>
          <w:szCs w:val="22"/>
          <w:lang w:val="sr-Latn-RS"/>
        </w:rPr>
      </w:pPr>
      <w:r w:rsidRPr="00234ECD">
        <w:rPr>
          <w:b/>
          <w:bCs/>
          <w:sz w:val="22"/>
          <w:szCs w:val="22"/>
          <w:lang w:val="sr-Latn-RS"/>
        </w:rPr>
        <w:lastRenderedPageBreak/>
        <w:t xml:space="preserve">6. </w:t>
      </w:r>
      <w:r w:rsidR="00480FB1" w:rsidRPr="00234ECD">
        <w:rPr>
          <w:b/>
          <w:bCs/>
          <w:sz w:val="22"/>
          <w:szCs w:val="22"/>
          <w:lang w:val="sr-Latn-RS"/>
        </w:rPr>
        <w:tab/>
      </w:r>
      <w:r w:rsidRPr="00234ECD">
        <w:rPr>
          <w:b/>
          <w:bCs/>
          <w:sz w:val="22"/>
          <w:szCs w:val="22"/>
          <w:lang w:val="sr-Latn-RS"/>
        </w:rPr>
        <w:t>FARMACEUTSKI PODACI</w:t>
      </w:r>
    </w:p>
    <w:p w14:paraId="6C4C9A6A" w14:textId="77777777" w:rsidR="00836B35" w:rsidRPr="00234ECD" w:rsidRDefault="00836B35" w:rsidP="00480FB1">
      <w:pPr>
        <w:tabs>
          <w:tab w:val="left" w:pos="540"/>
          <w:tab w:val="left" w:pos="569"/>
        </w:tabs>
        <w:rPr>
          <w:bCs/>
          <w:sz w:val="22"/>
          <w:szCs w:val="22"/>
          <w:lang w:val="sr-Latn-RS"/>
        </w:rPr>
      </w:pPr>
    </w:p>
    <w:p w14:paraId="51CCD768" w14:textId="1CD2173C" w:rsidR="0072020E" w:rsidRPr="00234ECD" w:rsidRDefault="0072020E" w:rsidP="00480FB1">
      <w:pPr>
        <w:tabs>
          <w:tab w:val="left" w:pos="540"/>
          <w:tab w:val="left" w:pos="569"/>
        </w:tabs>
        <w:rPr>
          <w:b/>
          <w:bCs/>
          <w:sz w:val="22"/>
          <w:szCs w:val="22"/>
          <w:lang w:val="sr-Latn-RS"/>
        </w:rPr>
      </w:pPr>
      <w:r w:rsidRPr="00234ECD">
        <w:rPr>
          <w:b/>
          <w:bCs/>
          <w:sz w:val="22"/>
          <w:szCs w:val="22"/>
          <w:lang w:val="sr-Latn-RS"/>
        </w:rPr>
        <w:t xml:space="preserve">6.1. </w:t>
      </w:r>
      <w:r w:rsidR="00480FB1" w:rsidRPr="00234ECD">
        <w:rPr>
          <w:b/>
          <w:bCs/>
          <w:sz w:val="22"/>
          <w:szCs w:val="22"/>
          <w:lang w:val="sr-Latn-RS"/>
        </w:rPr>
        <w:tab/>
      </w:r>
      <w:r w:rsidRPr="00234ECD">
        <w:rPr>
          <w:b/>
          <w:bCs/>
          <w:sz w:val="22"/>
          <w:szCs w:val="22"/>
          <w:lang w:val="sr-Latn-RS"/>
        </w:rPr>
        <w:t>Lista pomoćnih supstanci</w:t>
      </w:r>
      <w:r w:rsidR="002E0135" w:rsidRPr="00234ECD">
        <w:rPr>
          <w:b/>
          <w:bCs/>
          <w:sz w:val="22"/>
          <w:szCs w:val="22"/>
          <w:lang w:val="sr-Latn-RS"/>
        </w:rPr>
        <w:t xml:space="preserve"> (ekscipijenasa)</w:t>
      </w:r>
    </w:p>
    <w:p w14:paraId="42D21FC1" w14:textId="77777777" w:rsidR="00D857AC" w:rsidRPr="00234ECD" w:rsidRDefault="00D857AC" w:rsidP="00480FB1">
      <w:pPr>
        <w:tabs>
          <w:tab w:val="left" w:pos="540"/>
          <w:tab w:val="left" w:pos="569"/>
        </w:tabs>
        <w:rPr>
          <w:b/>
          <w:bCs/>
          <w:sz w:val="22"/>
          <w:szCs w:val="22"/>
          <w:lang w:val="sr-Latn-RS"/>
        </w:rPr>
      </w:pPr>
    </w:p>
    <w:p w14:paraId="360AFDB4"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Jezgro tablete</w:t>
      </w:r>
    </w:p>
    <w:p w14:paraId="5EB3AB38" w14:textId="77777777" w:rsidR="00D857AC" w:rsidRPr="00234ECD" w:rsidRDefault="00D857AC" w:rsidP="00D857AC">
      <w:pPr>
        <w:jc w:val="both"/>
        <w:rPr>
          <w:rFonts w:eastAsia="Calibri"/>
          <w:sz w:val="22"/>
          <w:szCs w:val="22"/>
          <w:lang w:val="sr-Latn-RS"/>
        </w:rPr>
      </w:pPr>
      <w:r w:rsidRPr="00234ECD">
        <w:rPr>
          <w:rFonts w:eastAsia="Calibri"/>
          <w:sz w:val="22"/>
          <w:szCs w:val="22"/>
          <w:lang w:val="sr-Latn-RS"/>
        </w:rPr>
        <w:t>Celuloza, mikrokristalna</w:t>
      </w:r>
    </w:p>
    <w:p w14:paraId="2DBC7277" w14:textId="77777777" w:rsidR="00D857AC" w:rsidRPr="00234ECD" w:rsidRDefault="00D857AC" w:rsidP="00D857AC">
      <w:pPr>
        <w:jc w:val="both"/>
        <w:rPr>
          <w:rFonts w:eastAsia="Calibri"/>
          <w:sz w:val="22"/>
          <w:szCs w:val="22"/>
          <w:lang w:val="sr-Latn-RS"/>
        </w:rPr>
      </w:pPr>
      <w:r w:rsidRPr="00234ECD">
        <w:rPr>
          <w:rFonts w:eastAsia="Calibri"/>
          <w:sz w:val="22"/>
          <w:szCs w:val="22"/>
          <w:lang w:val="sr-Latn-RS"/>
        </w:rPr>
        <w:t>Laktoza, bezvodna</w:t>
      </w:r>
    </w:p>
    <w:p w14:paraId="31800105" w14:textId="77777777" w:rsidR="00D857AC" w:rsidRPr="00234ECD" w:rsidRDefault="00D857AC" w:rsidP="00D857AC">
      <w:pPr>
        <w:jc w:val="both"/>
        <w:rPr>
          <w:rFonts w:eastAsia="Calibri"/>
          <w:sz w:val="22"/>
          <w:szCs w:val="22"/>
          <w:lang w:val="sr-Latn-RS"/>
        </w:rPr>
      </w:pPr>
      <w:r w:rsidRPr="00234ECD">
        <w:rPr>
          <w:rFonts w:eastAsia="Calibri"/>
          <w:sz w:val="22"/>
          <w:szCs w:val="22"/>
          <w:lang w:val="sr-Latn-RS"/>
        </w:rPr>
        <w:t>Hidroksipropilceluloza</w:t>
      </w:r>
    </w:p>
    <w:p w14:paraId="16B3E2BA" w14:textId="1ECC9735" w:rsidR="00D857AC" w:rsidRPr="00234ECD" w:rsidRDefault="00D857AC" w:rsidP="00D857AC">
      <w:pPr>
        <w:jc w:val="both"/>
        <w:rPr>
          <w:rFonts w:eastAsia="Calibri"/>
          <w:sz w:val="22"/>
          <w:szCs w:val="22"/>
          <w:lang w:val="sr-Latn-RS"/>
        </w:rPr>
      </w:pPr>
      <w:r w:rsidRPr="00234ECD">
        <w:rPr>
          <w:rFonts w:eastAsia="Calibri"/>
          <w:sz w:val="22"/>
          <w:szCs w:val="22"/>
          <w:lang w:val="sr-Latn-RS"/>
        </w:rPr>
        <w:t>Kroskarmeloza</w:t>
      </w:r>
      <w:r w:rsidR="007E6100" w:rsidRPr="00234ECD">
        <w:rPr>
          <w:rFonts w:eastAsia="Calibri"/>
          <w:sz w:val="22"/>
          <w:szCs w:val="22"/>
          <w:lang w:val="sr-Latn-RS"/>
        </w:rPr>
        <w:t xml:space="preserve"> </w:t>
      </w:r>
      <w:r w:rsidRPr="00234ECD">
        <w:rPr>
          <w:rFonts w:eastAsia="Calibri"/>
          <w:sz w:val="22"/>
          <w:szCs w:val="22"/>
          <w:lang w:val="sr-Latn-RS"/>
        </w:rPr>
        <w:t>natrijum</w:t>
      </w:r>
    </w:p>
    <w:p w14:paraId="0E0DBF1B" w14:textId="5139A22A" w:rsidR="00D857AC" w:rsidRPr="00234ECD" w:rsidRDefault="00D857AC" w:rsidP="00D857AC">
      <w:pPr>
        <w:jc w:val="both"/>
        <w:rPr>
          <w:rFonts w:eastAsia="Calibri"/>
          <w:sz w:val="22"/>
          <w:szCs w:val="22"/>
          <w:lang w:val="sr-Latn-RS"/>
        </w:rPr>
      </w:pPr>
      <w:r w:rsidRPr="00234ECD">
        <w:rPr>
          <w:rFonts w:eastAsia="Calibri"/>
          <w:sz w:val="22"/>
          <w:szCs w:val="22"/>
          <w:lang w:val="sr-Latn-RS"/>
        </w:rPr>
        <w:t>Silicijum</w:t>
      </w:r>
      <w:r w:rsidR="007E6100" w:rsidRPr="00234ECD">
        <w:rPr>
          <w:rFonts w:eastAsia="Calibri"/>
          <w:sz w:val="22"/>
          <w:szCs w:val="22"/>
          <w:lang w:val="sr-Latn-RS"/>
        </w:rPr>
        <w:t xml:space="preserve"> </w:t>
      </w:r>
      <w:r w:rsidRPr="00234ECD">
        <w:rPr>
          <w:rFonts w:eastAsia="Calibri"/>
          <w:sz w:val="22"/>
          <w:szCs w:val="22"/>
          <w:lang w:val="sr-Latn-RS"/>
        </w:rPr>
        <w:t>dioksid, koloidni, bezvodni</w:t>
      </w:r>
    </w:p>
    <w:p w14:paraId="406937DD" w14:textId="6565D75F" w:rsidR="00D857AC" w:rsidRPr="00234ECD" w:rsidRDefault="00D857AC" w:rsidP="00D857AC">
      <w:pPr>
        <w:jc w:val="both"/>
        <w:rPr>
          <w:rFonts w:eastAsia="Calibri"/>
          <w:sz w:val="22"/>
          <w:szCs w:val="22"/>
          <w:lang w:val="sr-Latn-RS"/>
        </w:rPr>
      </w:pPr>
      <w:r w:rsidRPr="00234ECD">
        <w:rPr>
          <w:rFonts w:eastAsia="Calibri"/>
          <w:sz w:val="22"/>
          <w:szCs w:val="22"/>
          <w:lang w:val="sr-Latn-RS"/>
        </w:rPr>
        <w:t>Magnezijum</w:t>
      </w:r>
      <w:r w:rsidR="007E6100" w:rsidRPr="00234ECD">
        <w:rPr>
          <w:rFonts w:eastAsia="Calibri"/>
          <w:sz w:val="22"/>
          <w:szCs w:val="22"/>
          <w:lang w:val="sr-Latn-RS"/>
        </w:rPr>
        <w:t xml:space="preserve"> </w:t>
      </w:r>
      <w:r w:rsidRPr="00234ECD">
        <w:rPr>
          <w:rFonts w:eastAsia="Calibri"/>
          <w:sz w:val="22"/>
          <w:szCs w:val="22"/>
          <w:lang w:val="sr-Latn-RS"/>
        </w:rPr>
        <w:t>stearat</w:t>
      </w:r>
    </w:p>
    <w:p w14:paraId="1F90F6F3" w14:textId="77777777" w:rsidR="00D857AC" w:rsidRPr="00234ECD" w:rsidRDefault="00D857AC" w:rsidP="00D857AC">
      <w:pPr>
        <w:jc w:val="both"/>
        <w:rPr>
          <w:rFonts w:eastAsia="Calibri"/>
          <w:sz w:val="22"/>
          <w:szCs w:val="22"/>
          <w:lang w:val="sr-Latn-RS"/>
        </w:rPr>
      </w:pPr>
    </w:p>
    <w:p w14:paraId="175E7DB4"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Film omotač</w:t>
      </w:r>
    </w:p>
    <w:p w14:paraId="1F09296D" w14:textId="77777777" w:rsidR="00D857AC" w:rsidRPr="00234ECD" w:rsidRDefault="00D857AC" w:rsidP="00D857AC">
      <w:pPr>
        <w:jc w:val="both"/>
        <w:rPr>
          <w:rFonts w:eastAsia="Calibri"/>
          <w:sz w:val="22"/>
          <w:szCs w:val="22"/>
          <w:u w:val="single"/>
          <w:lang w:val="sr-Latn-RS"/>
        </w:rPr>
      </w:pPr>
      <w:r w:rsidRPr="00234ECD">
        <w:rPr>
          <w:rFonts w:eastAsia="Calibri"/>
          <w:sz w:val="22"/>
          <w:szCs w:val="22"/>
          <w:u w:val="single"/>
          <w:lang w:val="sr-Latn-RS"/>
        </w:rPr>
        <w:t>Opadry Yellow</w:t>
      </w:r>
    </w:p>
    <w:p w14:paraId="3D86F591" w14:textId="77777777" w:rsidR="00D857AC" w:rsidRPr="00234ECD" w:rsidRDefault="00D857AC" w:rsidP="00D857AC">
      <w:pPr>
        <w:jc w:val="both"/>
        <w:rPr>
          <w:rFonts w:eastAsia="Calibri"/>
          <w:sz w:val="22"/>
          <w:szCs w:val="22"/>
          <w:lang w:val="sr-Latn-RS"/>
        </w:rPr>
      </w:pPr>
      <w:r w:rsidRPr="00234ECD">
        <w:rPr>
          <w:rFonts w:eastAsia="Calibri"/>
          <w:sz w:val="22"/>
          <w:szCs w:val="22"/>
          <w:lang w:val="sr-Latn-RS"/>
        </w:rPr>
        <w:t>Hipromeloza 2910</w:t>
      </w:r>
    </w:p>
    <w:p w14:paraId="7D8793A3" w14:textId="2549C8D7" w:rsidR="00D857AC" w:rsidRPr="00234ECD" w:rsidRDefault="00D857AC" w:rsidP="00D857AC">
      <w:pPr>
        <w:jc w:val="both"/>
        <w:rPr>
          <w:rFonts w:eastAsia="Calibri"/>
          <w:sz w:val="22"/>
          <w:szCs w:val="22"/>
          <w:lang w:val="sr-Latn-RS"/>
        </w:rPr>
      </w:pPr>
      <w:r w:rsidRPr="00234ECD">
        <w:rPr>
          <w:rFonts w:eastAsia="Calibri"/>
          <w:sz w:val="22"/>
          <w:szCs w:val="22"/>
          <w:lang w:val="sr-Latn-RS"/>
        </w:rPr>
        <w:t>Titan</w:t>
      </w:r>
      <w:r w:rsidR="007E6100" w:rsidRPr="00234ECD">
        <w:rPr>
          <w:rFonts w:eastAsia="Calibri"/>
          <w:sz w:val="22"/>
          <w:szCs w:val="22"/>
          <w:lang w:val="sr-Latn-RS"/>
        </w:rPr>
        <w:t xml:space="preserve"> </w:t>
      </w:r>
      <w:r w:rsidRPr="00234ECD">
        <w:rPr>
          <w:rFonts w:eastAsia="Calibri"/>
          <w:sz w:val="22"/>
          <w:szCs w:val="22"/>
          <w:lang w:val="sr-Latn-RS"/>
        </w:rPr>
        <w:t>dioksid (E171)</w:t>
      </w:r>
    </w:p>
    <w:p w14:paraId="5537DDDB" w14:textId="77777777" w:rsidR="00D857AC" w:rsidRPr="00234ECD" w:rsidRDefault="00D857AC" w:rsidP="00D857AC">
      <w:pPr>
        <w:jc w:val="both"/>
        <w:rPr>
          <w:rFonts w:eastAsia="Calibri"/>
          <w:sz w:val="22"/>
          <w:szCs w:val="22"/>
          <w:lang w:val="sr-Latn-RS"/>
        </w:rPr>
      </w:pPr>
      <w:r w:rsidRPr="00234ECD">
        <w:rPr>
          <w:rFonts w:eastAsia="Calibri"/>
          <w:sz w:val="22"/>
          <w:szCs w:val="22"/>
          <w:lang w:val="sr-Latn-RS"/>
        </w:rPr>
        <w:t>Triacetin</w:t>
      </w:r>
    </w:p>
    <w:p w14:paraId="5B470E52" w14:textId="7CBA1D0E" w:rsidR="00D857AC" w:rsidRPr="00234ECD" w:rsidRDefault="00D857AC" w:rsidP="00D857AC">
      <w:pPr>
        <w:jc w:val="both"/>
        <w:rPr>
          <w:rFonts w:eastAsia="Calibri"/>
          <w:sz w:val="22"/>
          <w:szCs w:val="22"/>
          <w:lang w:val="sr-Latn-RS"/>
        </w:rPr>
      </w:pPr>
      <w:r w:rsidRPr="00234ECD">
        <w:rPr>
          <w:rFonts w:eastAsia="Calibri"/>
          <w:sz w:val="22"/>
          <w:szCs w:val="22"/>
          <w:lang w:val="sr-Latn-RS"/>
        </w:rPr>
        <w:t>Gvožđe (III)</w:t>
      </w:r>
      <w:r w:rsidR="007E6100" w:rsidRPr="00234ECD">
        <w:rPr>
          <w:rFonts w:eastAsia="Calibri"/>
          <w:sz w:val="22"/>
          <w:szCs w:val="22"/>
          <w:lang w:val="sr-Latn-RS"/>
        </w:rPr>
        <w:t xml:space="preserve"> </w:t>
      </w:r>
      <w:r w:rsidRPr="00234ECD">
        <w:rPr>
          <w:rFonts w:eastAsia="Calibri"/>
          <w:sz w:val="22"/>
          <w:szCs w:val="22"/>
          <w:lang w:val="sr-Latn-RS"/>
        </w:rPr>
        <w:t>oksid, žuti (E172)</w:t>
      </w:r>
    </w:p>
    <w:p w14:paraId="3A709735" w14:textId="77777777" w:rsidR="0072020E" w:rsidRPr="00234ECD" w:rsidRDefault="0072020E" w:rsidP="00480FB1">
      <w:pPr>
        <w:tabs>
          <w:tab w:val="left" w:pos="540"/>
          <w:tab w:val="left" w:pos="569"/>
        </w:tabs>
        <w:rPr>
          <w:bCs/>
          <w:sz w:val="22"/>
          <w:szCs w:val="22"/>
          <w:lang w:val="sr-Latn-RS"/>
        </w:rPr>
      </w:pPr>
    </w:p>
    <w:p w14:paraId="0C65B1B6" w14:textId="750F4098" w:rsidR="0072020E" w:rsidRPr="00234ECD" w:rsidRDefault="0072020E" w:rsidP="00480FB1">
      <w:pPr>
        <w:tabs>
          <w:tab w:val="left" w:pos="540"/>
          <w:tab w:val="left" w:pos="569"/>
        </w:tabs>
        <w:rPr>
          <w:b/>
          <w:bCs/>
          <w:sz w:val="22"/>
          <w:szCs w:val="22"/>
          <w:lang w:val="sr-Latn-RS"/>
        </w:rPr>
      </w:pPr>
      <w:r w:rsidRPr="00234ECD">
        <w:rPr>
          <w:b/>
          <w:bCs/>
          <w:sz w:val="22"/>
          <w:szCs w:val="22"/>
          <w:lang w:val="sr-Latn-RS"/>
        </w:rPr>
        <w:t xml:space="preserve">6.2. </w:t>
      </w:r>
      <w:r w:rsidR="00480FB1" w:rsidRPr="00234ECD">
        <w:rPr>
          <w:b/>
          <w:bCs/>
          <w:sz w:val="22"/>
          <w:szCs w:val="22"/>
          <w:lang w:val="sr-Latn-RS"/>
        </w:rPr>
        <w:tab/>
      </w:r>
      <w:r w:rsidRPr="00234ECD">
        <w:rPr>
          <w:b/>
          <w:bCs/>
          <w:sz w:val="22"/>
          <w:szCs w:val="22"/>
          <w:lang w:val="sr-Latn-RS"/>
        </w:rPr>
        <w:t>Inkompatibilnost</w:t>
      </w:r>
      <w:r w:rsidR="002846DB" w:rsidRPr="00234ECD">
        <w:rPr>
          <w:b/>
          <w:bCs/>
          <w:sz w:val="22"/>
          <w:szCs w:val="22"/>
          <w:lang w:val="sr-Latn-RS"/>
        </w:rPr>
        <w:t>i</w:t>
      </w:r>
    </w:p>
    <w:p w14:paraId="652DFAFB" w14:textId="77777777" w:rsidR="00D857AC" w:rsidRPr="00234ECD" w:rsidRDefault="00D857AC" w:rsidP="00480FB1">
      <w:pPr>
        <w:tabs>
          <w:tab w:val="left" w:pos="540"/>
          <w:tab w:val="left" w:pos="569"/>
        </w:tabs>
        <w:rPr>
          <w:b/>
          <w:bCs/>
          <w:sz w:val="22"/>
          <w:szCs w:val="22"/>
          <w:lang w:val="sr-Latn-RS"/>
        </w:rPr>
      </w:pPr>
    </w:p>
    <w:p w14:paraId="05C3231D" w14:textId="0EFF440F" w:rsidR="00D857AC" w:rsidRPr="00234ECD" w:rsidRDefault="00D857AC" w:rsidP="00D857AC">
      <w:pPr>
        <w:jc w:val="both"/>
        <w:rPr>
          <w:rFonts w:eastAsia="Calibri"/>
          <w:sz w:val="22"/>
          <w:szCs w:val="22"/>
          <w:lang w:val="sr-Latn-RS"/>
        </w:rPr>
      </w:pPr>
      <w:r w:rsidRPr="00234ECD">
        <w:rPr>
          <w:rFonts w:eastAsia="Calibri"/>
          <w:sz w:val="22"/>
          <w:szCs w:val="22"/>
          <w:lang w:val="sr-Latn-RS"/>
        </w:rPr>
        <w:t>Nije prim</w:t>
      </w:r>
      <w:r w:rsidR="008F0DBF" w:rsidRPr="00234ECD">
        <w:rPr>
          <w:rFonts w:eastAsia="Calibri"/>
          <w:sz w:val="22"/>
          <w:szCs w:val="22"/>
          <w:lang w:val="sr-Latn-RS"/>
        </w:rPr>
        <w:t>j</w:t>
      </w:r>
      <w:r w:rsidRPr="00234ECD">
        <w:rPr>
          <w:rFonts w:eastAsia="Calibri"/>
          <w:sz w:val="22"/>
          <w:szCs w:val="22"/>
          <w:lang w:val="sr-Latn-RS"/>
        </w:rPr>
        <w:t>enjivo.</w:t>
      </w:r>
    </w:p>
    <w:p w14:paraId="345F4459" w14:textId="77777777" w:rsidR="0072020E" w:rsidRPr="00234ECD" w:rsidRDefault="0072020E" w:rsidP="00480FB1">
      <w:pPr>
        <w:tabs>
          <w:tab w:val="left" w:pos="540"/>
          <w:tab w:val="left" w:pos="569"/>
        </w:tabs>
        <w:rPr>
          <w:bCs/>
          <w:sz w:val="22"/>
          <w:szCs w:val="22"/>
          <w:lang w:val="sr-Latn-RS"/>
        </w:rPr>
      </w:pPr>
    </w:p>
    <w:p w14:paraId="45CDCAC5" w14:textId="77777777" w:rsidR="0072020E" w:rsidRPr="00234ECD" w:rsidRDefault="0072020E" w:rsidP="00480FB1">
      <w:pPr>
        <w:tabs>
          <w:tab w:val="left" w:pos="540"/>
          <w:tab w:val="left" w:pos="569"/>
        </w:tabs>
        <w:rPr>
          <w:b/>
          <w:bCs/>
          <w:sz w:val="22"/>
          <w:szCs w:val="22"/>
          <w:lang w:val="sr-Latn-RS"/>
        </w:rPr>
      </w:pPr>
      <w:r w:rsidRPr="00234ECD">
        <w:rPr>
          <w:b/>
          <w:bCs/>
          <w:sz w:val="22"/>
          <w:szCs w:val="22"/>
          <w:lang w:val="sr-Latn-RS"/>
        </w:rPr>
        <w:t>6.3.</w:t>
      </w:r>
      <w:r w:rsidR="00C05DF8" w:rsidRPr="00234ECD">
        <w:rPr>
          <w:b/>
          <w:bCs/>
          <w:sz w:val="22"/>
          <w:szCs w:val="22"/>
          <w:lang w:val="sr-Latn-RS"/>
        </w:rPr>
        <w:t xml:space="preserve"> </w:t>
      </w:r>
      <w:r w:rsidR="00480FB1" w:rsidRPr="00234ECD">
        <w:rPr>
          <w:b/>
          <w:bCs/>
          <w:sz w:val="22"/>
          <w:szCs w:val="22"/>
          <w:lang w:val="sr-Latn-RS"/>
        </w:rPr>
        <w:tab/>
      </w:r>
      <w:r w:rsidRPr="00234ECD">
        <w:rPr>
          <w:b/>
          <w:bCs/>
          <w:sz w:val="22"/>
          <w:szCs w:val="22"/>
          <w:lang w:val="sr-Latn-RS"/>
        </w:rPr>
        <w:t>Rok upotrebe</w:t>
      </w:r>
    </w:p>
    <w:p w14:paraId="02E8C980" w14:textId="30026173" w:rsidR="0072020E" w:rsidRPr="00234ECD" w:rsidRDefault="0072020E" w:rsidP="00480FB1">
      <w:pPr>
        <w:tabs>
          <w:tab w:val="left" w:pos="540"/>
          <w:tab w:val="left" w:pos="569"/>
        </w:tabs>
        <w:rPr>
          <w:bCs/>
          <w:sz w:val="22"/>
          <w:szCs w:val="22"/>
          <w:lang w:val="sr-Latn-RS"/>
        </w:rPr>
      </w:pPr>
    </w:p>
    <w:p w14:paraId="0D9F39D5" w14:textId="77777777" w:rsidR="00D857AC" w:rsidRPr="00234ECD" w:rsidRDefault="00D857AC" w:rsidP="00D857AC">
      <w:pPr>
        <w:jc w:val="both"/>
        <w:rPr>
          <w:rFonts w:eastAsia="Calibri"/>
          <w:sz w:val="22"/>
          <w:szCs w:val="22"/>
          <w:lang w:val="sr-Latn-RS"/>
        </w:rPr>
      </w:pPr>
      <w:r w:rsidRPr="00234ECD">
        <w:rPr>
          <w:rFonts w:eastAsia="Calibri"/>
          <w:sz w:val="22"/>
          <w:szCs w:val="22"/>
          <w:lang w:val="sr-Latn-RS"/>
        </w:rPr>
        <w:t>4 godine.</w:t>
      </w:r>
    </w:p>
    <w:p w14:paraId="666152B0" w14:textId="77777777" w:rsidR="00D857AC" w:rsidRPr="00234ECD" w:rsidRDefault="00D857AC" w:rsidP="00480FB1">
      <w:pPr>
        <w:tabs>
          <w:tab w:val="left" w:pos="540"/>
          <w:tab w:val="left" w:pos="569"/>
        </w:tabs>
        <w:rPr>
          <w:bCs/>
          <w:sz w:val="22"/>
          <w:szCs w:val="22"/>
          <w:lang w:val="sr-Latn-RS"/>
        </w:rPr>
      </w:pPr>
    </w:p>
    <w:p w14:paraId="3786F67D" w14:textId="3E684380" w:rsidR="0072020E" w:rsidRPr="00234ECD" w:rsidRDefault="0072020E" w:rsidP="00480FB1">
      <w:pPr>
        <w:tabs>
          <w:tab w:val="left" w:pos="540"/>
          <w:tab w:val="left" w:pos="569"/>
        </w:tabs>
        <w:rPr>
          <w:b/>
          <w:bCs/>
          <w:sz w:val="22"/>
          <w:szCs w:val="22"/>
          <w:lang w:val="sr-Latn-RS"/>
        </w:rPr>
      </w:pPr>
      <w:r w:rsidRPr="00234ECD">
        <w:rPr>
          <w:b/>
          <w:bCs/>
          <w:sz w:val="22"/>
          <w:szCs w:val="22"/>
          <w:lang w:val="sr-Latn-RS"/>
        </w:rPr>
        <w:t xml:space="preserve">6.4. </w:t>
      </w:r>
      <w:r w:rsidR="00480FB1" w:rsidRPr="00234ECD">
        <w:rPr>
          <w:b/>
          <w:bCs/>
          <w:sz w:val="22"/>
          <w:szCs w:val="22"/>
          <w:lang w:val="sr-Latn-RS"/>
        </w:rPr>
        <w:tab/>
      </w:r>
      <w:r w:rsidRPr="00234ECD">
        <w:rPr>
          <w:b/>
          <w:bCs/>
          <w:sz w:val="22"/>
          <w:szCs w:val="22"/>
          <w:lang w:val="sr-Latn-RS"/>
        </w:rPr>
        <w:t>Posebne mjere upozorenja pri čuvanju</w:t>
      </w:r>
      <w:r w:rsidR="00F8570A" w:rsidRPr="00234ECD">
        <w:rPr>
          <w:b/>
          <w:bCs/>
          <w:sz w:val="22"/>
          <w:szCs w:val="22"/>
          <w:lang w:val="sr-Latn-RS"/>
        </w:rPr>
        <w:t xml:space="preserve"> lijeka</w:t>
      </w:r>
    </w:p>
    <w:p w14:paraId="40F25F44" w14:textId="77777777" w:rsidR="00D857AC" w:rsidRPr="00234ECD" w:rsidRDefault="00D857AC" w:rsidP="00480FB1">
      <w:pPr>
        <w:tabs>
          <w:tab w:val="left" w:pos="540"/>
          <w:tab w:val="left" w:pos="569"/>
        </w:tabs>
        <w:rPr>
          <w:b/>
          <w:bCs/>
          <w:sz w:val="22"/>
          <w:szCs w:val="22"/>
          <w:lang w:val="sr-Latn-RS"/>
        </w:rPr>
      </w:pPr>
    </w:p>
    <w:p w14:paraId="7D961533" w14:textId="76F60707" w:rsidR="00D857AC" w:rsidRPr="00234ECD" w:rsidRDefault="00D857AC" w:rsidP="00D857AC">
      <w:pPr>
        <w:rPr>
          <w:rFonts w:eastAsia="Calibri"/>
          <w:sz w:val="22"/>
          <w:szCs w:val="22"/>
          <w:lang w:val="sr-Latn-RS"/>
        </w:rPr>
      </w:pPr>
      <w:r w:rsidRPr="00234ECD">
        <w:rPr>
          <w:rFonts w:eastAsia="Calibri"/>
          <w:sz w:val="22"/>
          <w:szCs w:val="22"/>
          <w:lang w:val="sr-Latn-RS"/>
        </w:rPr>
        <w:t>Ovaj l</w:t>
      </w:r>
      <w:r w:rsidR="00A17B3A" w:rsidRPr="00234ECD">
        <w:rPr>
          <w:rFonts w:eastAsia="Calibri"/>
          <w:sz w:val="22"/>
          <w:szCs w:val="22"/>
          <w:lang w:val="sr-Latn-RS"/>
        </w:rPr>
        <w:t>ij</w:t>
      </w:r>
      <w:r w:rsidRPr="00234ECD">
        <w:rPr>
          <w:rFonts w:eastAsia="Calibri"/>
          <w:sz w:val="22"/>
          <w:szCs w:val="22"/>
          <w:lang w:val="sr-Latn-RS"/>
        </w:rPr>
        <w:t>ek ne zaht</w:t>
      </w:r>
      <w:r w:rsidR="00A17B3A" w:rsidRPr="00234ECD">
        <w:rPr>
          <w:rFonts w:eastAsia="Calibri"/>
          <w:sz w:val="22"/>
          <w:szCs w:val="22"/>
          <w:lang w:val="sr-Latn-RS"/>
        </w:rPr>
        <w:t>j</w:t>
      </w:r>
      <w:r w:rsidRPr="00234ECD">
        <w:rPr>
          <w:rFonts w:eastAsia="Calibri"/>
          <w:sz w:val="22"/>
          <w:szCs w:val="22"/>
          <w:lang w:val="sr-Latn-RS"/>
        </w:rPr>
        <w:t xml:space="preserve">eva posebne uslove čuvanja. </w:t>
      </w:r>
    </w:p>
    <w:p w14:paraId="4FAADBB9" w14:textId="77777777" w:rsidR="00EC2532" w:rsidRPr="00234ECD" w:rsidRDefault="00EC2532" w:rsidP="00480FB1">
      <w:pPr>
        <w:tabs>
          <w:tab w:val="left" w:pos="540"/>
          <w:tab w:val="left" w:pos="569"/>
        </w:tabs>
        <w:rPr>
          <w:bCs/>
          <w:sz w:val="22"/>
          <w:szCs w:val="22"/>
          <w:lang w:val="sr-Latn-RS"/>
        </w:rPr>
      </w:pPr>
    </w:p>
    <w:p w14:paraId="68BC2F88" w14:textId="4AD55D66" w:rsidR="0072020E" w:rsidRPr="00234ECD" w:rsidRDefault="0072020E" w:rsidP="00480FB1">
      <w:pPr>
        <w:tabs>
          <w:tab w:val="left" w:pos="540"/>
          <w:tab w:val="left" w:pos="569"/>
        </w:tabs>
        <w:rPr>
          <w:b/>
          <w:bCs/>
          <w:sz w:val="22"/>
          <w:szCs w:val="22"/>
          <w:lang w:val="sr-Latn-RS"/>
        </w:rPr>
      </w:pPr>
      <w:r w:rsidRPr="00234ECD">
        <w:rPr>
          <w:b/>
          <w:bCs/>
          <w:sz w:val="22"/>
          <w:szCs w:val="22"/>
          <w:lang w:val="sr-Latn-RS"/>
        </w:rPr>
        <w:t xml:space="preserve">6.5. </w:t>
      </w:r>
      <w:r w:rsidR="00480FB1" w:rsidRPr="00234ECD">
        <w:rPr>
          <w:b/>
          <w:bCs/>
          <w:sz w:val="22"/>
          <w:szCs w:val="22"/>
          <w:lang w:val="sr-Latn-RS"/>
        </w:rPr>
        <w:tab/>
      </w:r>
      <w:r w:rsidR="002846DB" w:rsidRPr="00234ECD">
        <w:rPr>
          <w:b/>
          <w:bCs/>
          <w:sz w:val="22"/>
          <w:szCs w:val="22"/>
          <w:lang w:val="sr-Latn-RS"/>
        </w:rPr>
        <w:t xml:space="preserve">Vrsta i sadržaj </w:t>
      </w:r>
      <w:r w:rsidR="00F8570A" w:rsidRPr="00234ECD">
        <w:rPr>
          <w:b/>
          <w:bCs/>
          <w:sz w:val="22"/>
          <w:szCs w:val="22"/>
          <w:lang w:val="sr-Latn-RS"/>
        </w:rPr>
        <w:t>pakovanja</w:t>
      </w:r>
      <w:r w:rsidR="00C06864" w:rsidRPr="00234ECD">
        <w:rPr>
          <w:b/>
          <w:bCs/>
          <w:sz w:val="22"/>
          <w:szCs w:val="22"/>
          <w:lang w:val="sr-Latn-RS"/>
        </w:rPr>
        <w:t xml:space="preserve"> </w:t>
      </w:r>
    </w:p>
    <w:p w14:paraId="766CE7D8" w14:textId="77777777" w:rsidR="00D857AC" w:rsidRPr="00234ECD" w:rsidRDefault="00D857AC" w:rsidP="00480FB1">
      <w:pPr>
        <w:tabs>
          <w:tab w:val="left" w:pos="540"/>
          <w:tab w:val="left" w:pos="569"/>
        </w:tabs>
        <w:rPr>
          <w:b/>
          <w:bCs/>
          <w:sz w:val="22"/>
          <w:szCs w:val="22"/>
          <w:lang w:val="sr-Latn-RS"/>
        </w:rPr>
      </w:pPr>
    </w:p>
    <w:p w14:paraId="52134796" w14:textId="021B970E" w:rsidR="00D857AC" w:rsidRPr="00234ECD" w:rsidRDefault="00D857AC" w:rsidP="00D857AC">
      <w:pPr>
        <w:jc w:val="both"/>
        <w:rPr>
          <w:rFonts w:eastAsia="Calibri"/>
          <w:sz w:val="22"/>
          <w:szCs w:val="22"/>
          <w:lang w:val="sr-Latn-RS"/>
        </w:rPr>
      </w:pPr>
      <w:r w:rsidRPr="00234ECD">
        <w:rPr>
          <w:rFonts w:eastAsia="Calibri"/>
          <w:sz w:val="22"/>
          <w:szCs w:val="22"/>
          <w:lang w:val="sr-Latn-RS"/>
        </w:rPr>
        <w:t>Unutrašnje pakovanje je HDPE boca sa polipropilenskim sigurnosnim zatvaračem za d</w:t>
      </w:r>
      <w:r w:rsidR="00A17B3A" w:rsidRPr="00234ECD">
        <w:rPr>
          <w:rFonts w:eastAsia="Calibri"/>
          <w:sz w:val="22"/>
          <w:szCs w:val="22"/>
          <w:lang w:val="sr-Latn-RS"/>
        </w:rPr>
        <w:t>j</w:t>
      </w:r>
      <w:r w:rsidRPr="00234ECD">
        <w:rPr>
          <w:rFonts w:eastAsia="Calibri"/>
          <w:sz w:val="22"/>
          <w:szCs w:val="22"/>
          <w:lang w:val="sr-Latn-RS"/>
        </w:rPr>
        <w:t>ecu, tri kanistra sa desikantom (silika-gel) i poliestarskom zavojnicom. Boca sadrži 30 film tableta. Spoljašnje pakovanje je složiva kartonska kutija u kojoj se nalazi 1 HDPE boca sa 30 film tableta i Uputstvo za l</w:t>
      </w:r>
      <w:r w:rsidR="00A17B3A" w:rsidRPr="00234ECD">
        <w:rPr>
          <w:rFonts w:eastAsia="Calibri"/>
          <w:sz w:val="22"/>
          <w:szCs w:val="22"/>
          <w:lang w:val="sr-Latn-RS"/>
        </w:rPr>
        <w:t>ij</w:t>
      </w:r>
      <w:r w:rsidRPr="00234ECD">
        <w:rPr>
          <w:rFonts w:eastAsia="Calibri"/>
          <w:sz w:val="22"/>
          <w:szCs w:val="22"/>
          <w:lang w:val="sr-Latn-RS"/>
        </w:rPr>
        <w:t>ek.</w:t>
      </w:r>
    </w:p>
    <w:p w14:paraId="167860C1" w14:textId="77777777" w:rsidR="0072020E" w:rsidRPr="00234ECD" w:rsidRDefault="0072020E" w:rsidP="00480FB1">
      <w:pPr>
        <w:tabs>
          <w:tab w:val="left" w:pos="540"/>
          <w:tab w:val="left" w:pos="569"/>
        </w:tabs>
        <w:rPr>
          <w:bCs/>
          <w:sz w:val="22"/>
          <w:szCs w:val="22"/>
          <w:lang w:val="sr-Latn-RS"/>
        </w:rPr>
      </w:pPr>
    </w:p>
    <w:p w14:paraId="2324989E" w14:textId="77777777" w:rsidR="002846DB" w:rsidRPr="00234ECD" w:rsidRDefault="0072020E" w:rsidP="00480FB1">
      <w:pPr>
        <w:tabs>
          <w:tab w:val="left" w:pos="540"/>
          <w:tab w:val="left" w:pos="569"/>
        </w:tabs>
        <w:rPr>
          <w:b/>
          <w:bCs/>
          <w:sz w:val="22"/>
          <w:szCs w:val="22"/>
          <w:lang w:val="sr-Latn-RS"/>
        </w:rPr>
      </w:pPr>
      <w:r w:rsidRPr="00234ECD">
        <w:rPr>
          <w:b/>
          <w:bCs/>
          <w:sz w:val="22"/>
          <w:szCs w:val="22"/>
          <w:lang w:val="sr-Latn-RS"/>
        </w:rPr>
        <w:t xml:space="preserve">6.6. </w:t>
      </w:r>
      <w:r w:rsidR="00480FB1" w:rsidRPr="00234ECD">
        <w:rPr>
          <w:b/>
          <w:bCs/>
          <w:sz w:val="22"/>
          <w:szCs w:val="22"/>
          <w:lang w:val="sr-Latn-RS"/>
        </w:rPr>
        <w:tab/>
      </w:r>
      <w:r w:rsidRPr="00234ECD">
        <w:rPr>
          <w:b/>
          <w:bCs/>
          <w:color w:val="000000"/>
          <w:sz w:val="22"/>
          <w:szCs w:val="22"/>
          <w:lang w:val="sr-Latn-RS"/>
        </w:rPr>
        <w:t>Posebne mjere opreza pri odlaganju materijala koji treba odbaciti nakon primjene lijeka</w:t>
      </w:r>
      <w:r w:rsidRPr="00234ECD">
        <w:rPr>
          <w:b/>
          <w:bCs/>
          <w:sz w:val="22"/>
          <w:szCs w:val="22"/>
          <w:lang w:val="sr-Latn-RS"/>
        </w:rPr>
        <w:t xml:space="preserve"> </w:t>
      </w:r>
      <w:r w:rsidR="00310F03" w:rsidRPr="00234ECD">
        <w:rPr>
          <w:b/>
          <w:bCs/>
          <w:sz w:val="22"/>
          <w:szCs w:val="22"/>
          <w:lang w:val="sr-Latn-RS"/>
        </w:rPr>
        <w:t>(i druga uputs</w:t>
      </w:r>
      <w:r w:rsidR="004109FA" w:rsidRPr="00234ECD">
        <w:rPr>
          <w:b/>
          <w:bCs/>
          <w:sz w:val="22"/>
          <w:szCs w:val="22"/>
          <w:lang w:val="sr-Latn-RS"/>
        </w:rPr>
        <w:t>t</w:t>
      </w:r>
      <w:r w:rsidR="00310F03" w:rsidRPr="00234ECD">
        <w:rPr>
          <w:b/>
          <w:bCs/>
          <w:sz w:val="22"/>
          <w:szCs w:val="22"/>
          <w:lang w:val="sr-Latn-RS"/>
        </w:rPr>
        <w:t xml:space="preserve">va za rukovanje lijekom) </w:t>
      </w:r>
    </w:p>
    <w:p w14:paraId="2C456D0D" w14:textId="1A5A549E" w:rsidR="00D857AC" w:rsidRPr="00234ECD" w:rsidRDefault="00D857AC" w:rsidP="00D857AC">
      <w:pPr>
        <w:tabs>
          <w:tab w:val="left" w:pos="284"/>
        </w:tabs>
        <w:spacing w:before="200" w:after="200"/>
        <w:jc w:val="both"/>
        <w:rPr>
          <w:rFonts w:eastAsia="Calibri"/>
          <w:sz w:val="22"/>
          <w:szCs w:val="22"/>
          <w:lang w:val="sr-Latn-RS"/>
        </w:rPr>
      </w:pPr>
      <w:r w:rsidRPr="00234ECD">
        <w:rPr>
          <w:rFonts w:eastAsia="Calibri"/>
          <w:sz w:val="22"/>
          <w:szCs w:val="22"/>
          <w:lang w:val="sr-Latn-RS"/>
        </w:rPr>
        <w:t>Svu neiskorišćenu količinu l</w:t>
      </w:r>
      <w:r w:rsidR="00474DC7" w:rsidRPr="00234ECD">
        <w:rPr>
          <w:rFonts w:eastAsia="Calibri"/>
          <w:sz w:val="22"/>
          <w:szCs w:val="22"/>
          <w:lang w:val="sr-Latn-RS"/>
        </w:rPr>
        <w:t>ij</w:t>
      </w:r>
      <w:r w:rsidRPr="00234ECD">
        <w:rPr>
          <w:rFonts w:eastAsia="Calibri"/>
          <w:sz w:val="22"/>
          <w:szCs w:val="22"/>
          <w:lang w:val="sr-Latn-RS"/>
        </w:rPr>
        <w:t xml:space="preserve">eka ili otpadnog materijala nakon njegove upotrebe treba ukloniti, u skladu sa važećim propisima. </w:t>
      </w:r>
    </w:p>
    <w:p w14:paraId="64365CE9" w14:textId="77777777" w:rsidR="0072020E" w:rsidRPr="00234ECD" w:rsidRDefault="0072020E" w:rsidP="00480FB1">
      <w:pPr>
        <w:tabs>
          <w:tab w:val="left" w:pos="540"/>
          <w:tab w:val="left" w:pos="569"/>
        </w:tabs>
        <w:rPr>
          <w:bCs/>
          <w:sz w:val="22"/>
          <w:szCs w:val="22"/>
          <w:lang w:val="sr-Latn-RS"/>
        </w:rPr>
      </w:pPr>
    </w:p>
    <w:p w14:paraId="14975547" w14:textId="77777777" w:rsidR="00F8570A" w:rsidRPr="00234ECD" w:rsidRDefault="0072020E" w:rsidP="00480FB1">
      <w:pPr>
        <w:tabs>
          <w:tab w:val="left" w:pos="540"/>
          <w:tab w:val="left" w:pos="569"/>
        </w:tabs>
        <w:rPr>
          <w:b/>
          <w:bCs/>
          <w:sz w:val="22"/>
          <w:szCs w:val="22"/>
          <w:lang w:val="sr-Latn-RS"/>
        </w:rPr>
      </w:pPr>
      <w:r w:rsidRPr="00234ECD">
        <w:rPr>
          <w:b/>
          <w:bCs/>
          <w:sz w:val="22"/>
          <w:szCs w:val="22"/>
          <w:lang w:val="sr-Latn-RS"/>
        </w:rPr>
        <w:t xml:space="preserve">7. </w:t>
      </w:r>
      <w:r w:rsidR="00480FB1" w:rsidRPr="00234ECD">
        <w:rPr>
          <w:b/>
          <w:bCs/>
          <w:sz w:val="22"/>
          <w:szCs w:val="22"/>
          <w:lang w:val="sr-Latn-RS"/>
        </w:rPr>
        <w:tab/>
      </w:r>
      <w:r w:rsidRPr="00234ECD">
        <w:rPr>
          <w:b/>
          <w:bCs/>
          <w:sz w:val="22"/>
          <w:szCs w:val="22"/>
          <w:lang w:val="sr-Latn-RS"/>
        </w:rPr>
        <w:t>NOSILAC DOZVOLE</w:t>
      </w:r>
      <w:r w:rsidR="00483928" w:rsidRPr="00234ECD">
        <w:rPr>
          <w:b/>
          <w:bCs/>
          <w:sz w:val="22"/>
          <w:szCs w:val="22"/>
          <w:lang w:val="sr-Latn-RS"/>
        </w:rPr>
        <w:t xml:space="preserve"> </w:t>
      </w:r>
    </w:p>
    <w:p w14:paraId="0CAF3739" w14:textId="77777777" w:rsidR="00C61BE0" w:rsidRPr="00234ECD" w:rsidRDefault="00C61BE0" w:rsidP="00480FB1">
      <w:pPr>
        <w:tabs>
          <w:tab w:val="left" w:pos="540"/>
          <w:tab w:val="left" w:pos="569"/>
        </w:tabs>
        <w:rPr>
          <w:bCs/>
          <w:sz w:val="22"/>
          <w:szCs w:val="22"/>
          <w:lang w:val="sr-Latn-RS"/>
        </w:rPr>
      </w:pPr>
    </w:p>
    <w:p w14:paraId="5F563B75" w14:textId="77777777" w:rsidR="00D857AC" w:rsidRPr="00234ECD" w:rsidRDefault="00D857AC" w:rsidP="00D857AC">
      <w:pPr>
        <w:tabs>
          <w:tab w:val="left" w:pos="540"/>
          <w:tab w:val="left" w:pos="569"/>
        </w:tabs>
        <w:rPr>
          <w:bCs/>
          <w:sz w:val="22"/>
          <w:szCs w:val="22"/>
          <w:lang w:val="sr-Latn-RS"/>
        </w:rPr>
      </w:pPr>
      <w:r w:rsidRPr="00234ECD">
        <w:rPr>
          <w:bCs/>
          <w:sz w:val="22"/>
          <w:szCs w:val="22"/>
          <w:lang w:val="sr-Latn-RS"/>
        </w:rPr>
        <w:t>PharmaSwiss - Montenegro, PharmaSwiss doo Beograd, dio stranog društva u Podgorici</w:t>
      </w:r>
    </w:p>
    <w:p w14:paraId="0A33CF8C" w14:textId="77777777" w:rsidR="00D857AC" w:rsidRPr="00234ECD" w:rsidRDefault="00D857AC" w:rsidP="00D857AC">
      <w:pPr>
        <w:tabs>
          <w:tab w:val="left" w:pos="540"/>
          <w:tab w:val="left" w:pos="569"/>
        </w:tabs>
        <w:rPr>
          <w:bCs/>
          <w:sz w:val="22"/>
          <w:szCs w:val="22"/>
          <w:lang w:val="sr-Latn-RS"/>
        </w:rPr>
      </w:pPr>
      <w:r w:rsidRPr="00234ECD">
        <w:rPr>
          <w:bCs/>
          <w:sz w:val="22"/>
          <w:szCs w:val="22"/>
          <w:lang w:val="sr-Latn-RS"/>
        </w:rPr>
        <w:t>Rimski trg br. 16, Podgorica, Crna Gora</w:t>
      </w:r>
    </w:p>
    <w:p w14:paraId="38E6428D" w14:textId="3F3FA9DB" w:rsidR="00C37FD7" w:rsidRDefault="00C37FD7" w:rsidP="00480FB1">
      <w:pPr>
        <w:tabs>
          <w:tab w:val="left" w:pos="540"/>
          <w:tab w:val="left" w:pos="569"/>
        </w:tabs>
        <w:rPr>
          <w:bCs/>
          <w:sz w:val="22"/>
          <w:szCs w:val="22"/>
          <w:lang w:val="sr-Latn-RS"/>
        </w:rPr>
      </w:pPr>
    </w:p>
    <w:p w14:paraId="086405FD" w14:textId="77777777" w:rsidR="005144AE" w:rsidRPr="00234ECD" w:rsidRDefault="005144AE" w:rsidP="00480FB1">
      <w:pPr>
        <w:tabs>
          <w:tab w:val="left" w:pos="540"/>
          <w:tab w:val="left" w:pos="569"/>
        </w:tabs>
        <w:rPr>
          <w:bCs/>
          <w:sz w:val="22"/>
          <w:szCs w:val="22"/>
          <w:lang w:val="sr-Latn-RS"/>
        </w:rPr>
      </w:pPr>
      <w:bookmarkStart w:id="14" w:name="_GoBack"/>
      <w:bookmarkEnd w:id="14"/>
    </w:p>
    <w:p w14:paraId="7493E194" w14:textId="3D1F27B1" w:rsidR="0072020E" w:rsidRPr="00234ECD" w:rsidRDefault="0072020E" w:rsidP="00480FB1">
      <w:pPr>
        <w:tabs>
          <w:tab w:val="left" w:pos="540"/>
          <w:tab w:val="left" w:pos="569"/>
        </w:tabs>
        <w:rPr>
          <w:b/>
          <w:bCs/>
          <w:sz w:val="22"/>
          <w:szCs w:val="22"/>
          <w:lang w:val="sr-Latn-RS"/>
        </w:rPr>
      </w:pPr>
      <w:r w:rsidRPr="00234ECD">
        <w:rPr>
          <w:b/>
          <w:bCs/>
          <w:sz w:val="22"/>
          <w:szCs w:val="22"/>
          <w:lang w:val="sr-Latn-RS"/>
        </w:rPr>
        <w:t xml:space="preserve">8. </w:t>
      </w:r>
      <w:r w:rsidR="00480FB1" w:rsidRPr="00234ECD">
        <w:rPr>
          <w:b/>
          <w:bCs/>
          <w:sz w:val="22"/>
          <w:szCs w:val="22"/>
          <w:lang w:val="sr-Latn-RS"/>
        </w:rPr>
        <w:tab/>
      </w:r>
      <w:r w:rsidRPr="00234ECD">
        <w:rPr>
          <w:b/>
          <w:bCs/>
          <w:sz w:val="22"/>
          <w:szCs w:val="22"/>
          <w:lang w:val="sr-Latn-RS"/>
        </w:rPr>
        <w:t>BROJ DOZVOLE</w:t>
      </w:r>
      <w:r w:rsidR="008A6D43" w:rsidRPr="00234ECD">
        <w:rPr>
          <w:b/>
          <w:bCs/>
          <w:sz w:val="22"/>
          <w:szCs w:val="22"/>
          <w:lang w:val="sr-Latn-RS"/>
        </w:rPr>
        <w:t xml:space="preserve"> ZA STAVLJANJE LIJEKA U PROMET</w:t>
      </w:r>
    </w:p>
    <w:p w14:paraId="6F42775B" w14:textId="1D0BD3D2" w:rsidR="00234ECD" w:rsidRPr="00234ECD" w:rsidRDefault="00234ECD" w:rsidP="00480FB1">
      <w:pPr>
        <w:tabs>
          <w:tab w:val="left" w:pos="540"/>
          <w:tab w:val="left" w:pos="569"/>
        </w:tabs>
        <w:rPr>
          <w:b/>
          <w:bCs/>
          <w:sz w:val="22"/>
          <w:szCs w:val="22"/>
          <w:lang w:val="sr-Latn-RS"/>
        </w:rPr>
      </w:pPr>
    </w:p>
    <w:p w14:paraId="73ACAEBD" w14:textId="28310F3E" w:rsidR="00234ECD" w:rsidRPr="00234ECD" w:rsidRDefault="00234ECD" w:rsidP="00234ECD">
      <w:pPr>
        <w:jc w:val="both"/>
        <w:rPr>
          <w:rFonts w:eastAsia="Calibri"/>
          <w:sz w:val="22"/>
          <w:szCs w:val="22"/>
          <w:lang w:val="sr-Latn-RS"/>
        </w:rPr>
      </w:pPr>
      <w:r w:rsidRPr="00234ECD">
        <w:rPr>
          <w:rFonts w:eastAsia="Calibri"/>
          <w:sz w:val="22"/>
          <w:szCs w:val="22"/>
          <w:lang w:val="sr-Latn-RS"/>
        </w:rPr>
        <w:t xml:space="preserve">Cabometyx, 20 mg, film tableta, boca, plastična, 30 film tableta: </w:t>
      </w:r>
      <w:r w:rsidRPr="00234ECD">
        <w:rPr>
          <w:sz w:val="22"/>
          <w:szCs w:val="22"/>
          <w:lang w:val="sr-Latn-RS" w:eastAsia="sr-Latn-ME"/>
        </w:rPr>
        <w:t xml:space="preserve">2030/25/464 – 3712 </w:t>
      </w:r>
    </w:p>
    <w:p w14:paraId="48CE4D73" w14:textId="73C68D1A" w:rsidR="00234ECD" w:rsidRPr="00234ECD" w:rsidRDefault="00234ECD" w:rsidP="00234ECD">
      <w:pPr>
        <w:jc w:val="both"/>
        <w:rPr>
          <w:rFonts w:eastAsia="Calibri"/>
          <w:sz w:val="22"/>
          <w:szCs w:val="22"/>
          <w:lang w:val="sr-Latn-RS"/>
        </w:rPr>
      </w:pPr>
      <w:r w:rsidRPr="00234ECD">
        <w:rPr>
          <w:rFonts w:eastAsia="Calibri"/>
          <w:sz w:val="22"/>
          <w:szCs w:val="22"/>
          <w:lang w:val="sr-Latn-RS"/>
        </w:rPr>
        <w:t xml:space="preserve">Cabometyx, 40 mg, film tableta, boca, plastična, 30 film tableta: </w:t>
      </w:r>
      <w:r w:rsidRPr="00234ECD">
        <w:rPr>
          <w:sz w:val="22"/>
          <w:szCs w:val="22"/>
          <w:lang w:val="sr-Latn-RS" w:eastAsia="sr-Latn-ME"/>
        </w:rPr>
        <w:t xml:space="preserve">2030/25/465 – 3711 </w:t>
      </w:r>
    </w:p>
    <w:p w14:paraId="6841DA1B" w14:textId="2D65AC1D" w:rsidR="0072020E" w:rsidRPr="00234ECD" w:rsidRDefault="00234ECD" w:rsidP="00234ECD">
      <w:pPr>
        <w:jc w:val="both"/>
        <w:rPr>
          <w:rFonts w:eastAsia="Calibri"/>
          <w:sz w:val="22"/>
          <w:szCs w:val="22"/>
          <w:lang w:val="sr-Latn-RS"/>
        </w:rPr>
      </w:pPr>
      <w:r w:rsidRPr="00234ECD">
        <w:rPr>
          <w:rFonts w:eastAsia="Calibri"/>
          <w:sz w:val="22"/>
          <w:szCs w:val="22"/>
          <w:lang w:val="sr-Latn-RS"/>
        </w:rPr>
        <w:t xml:space="preserve">Cabometyx, 60 mg, film tableta, boca, plastična, 30 film tableta: </w:t>
      </w:r>
      <w:r w:rsidRPr="00234ECD">
        <w:rPr>
          <w:sz w:val="22"/>
          <w:szCs w:val="22"/>
          <w:lang w:val="sr-Latn-RS" w:eastAsia="sr-Latn-ME"/>
        </w:rPr>
        <w:t xml:space="preserve">2030/25/466 – 3713 </w:t>
      </w:r>
    </w:p>
    <w:p w14:paraId="41593B04" w14:textId="520E079F" w:rsidR="00F45F77" w:rsidRPr="00234ECD" w:rsidRDefault="00F45F77" w:rsidP="00480FB1">
      <w:pPr>
        <w:tabs>
          <w:tab w:val="left" w:pos="540"/>
          <w:tab w:val="left" w:pos="569"/>
        </w:tabs>
        <w:rPr>
          <w:bCs/>
          <w:sz w:val="22"/>
          <w:szCs w:val="22"/>
          <w:lang w:val="sr-Latn-RS"/>
        </w:rPr>
      </w:pPr>
    </w:p>
    <w:p w14:paraId="7F4734C7" w14:textId="77777777" w:rsidR="00234ECD" w:rsidRPr="00234ECD" w:rsidRDefault="00234ECD" w:rsidP="00480FB1">
      <w:pPr>
        <w:tabs>
          <w:tab w:val="left" w:pos="540"/>
          <w:tab w:val="left" w:pos="569"/>
        </w:tabs>
        <w:rPr>
          <w:bCs/>
          <w:sz w:val="22"/>
          <w:szCs w:val="22"/>
          <w:lang w:val="sr-Latn-RS"/>
        </w:rPr>
      </w:pPr>
    </w:p>
    <w:p w14:paraId="1739CFF0" w14:textId="77777777" w:rsidR="0072020E" w:rsidRPr="00234ECD" w:rsidRDefault="0072020E" w:rsidP="00480FB1">
      <w:pPr>
        <w:tabs>
          <w:tab w:val="left" w:pos="540"/>
          <w:tab w:val="left" w:pos="569"/>
        </w:tabs>
        <w:rPr>
          <w:b/>
          <w:bCs/>
          <w:sz w:val="22"/>
          <w:szCs w:val="22"/>
          <w:lang w:val="sr-Latn-RS"/>
        </w:rPr>
      </w:pPr>
      <w:r w:rsidRPr="00234ECD">
        <w:rPr>
          <w:b/>
          <w:bCs/>
          <w:sz w:val="22"/>
          <w:szCs w:val="22"/>
          <w:lang w:val="sr-Latn-RS"/>
        </w:rPr>
        <w:lastRenderedPageBreak/>
        <w:t xml:space="preserve">9. </w:t>
      </w:r>
      <w:r w:rsidR="00480FB1" w:rsidRPr="00234ECD">
        <w:rPr>
          <w:b/>
          <w:bCs/>
          <w:sz w:val="22"/>
          <w:szCs w:val="22"/>
          <w:lang w:val="sr-Latn-RS"/>
        </w:rPr>
        <w:tab/>
      </w:r>
      <w:r w:rsidRPr="00234ECD">
        <w:rPr>
          <w:b/>
          <w:bCs/>
          <w:sz w:val="22"/>
          <w:szCs w:val="22"/>
          <w:lang w:val="sr-Latn-RS"/>
        </w:rPr>
        <w:t xml:space="preserve">DATUM </w:t>
      </w:r>
      <w:r w:rsidR="00C05DF8" w:rsidRPr="00234ECD">
        <w:rPr>
          <w:b/>
          <w:bCs/>
          <w:sz w:val="22"/>
          <w:szCs w:val="22"/>
          <w:lang w:val="sr-Latn-RS"/>
        </w:rPr>
        <w:t xml:space="preserve">PRVE </w:t>
      </w:r>
      <w:r w:rsidR="008A6D43" w:rsidRPr="00234ECD">
        <w:rPr>
          <w:b/>
          <w:bCs/>
          <w:sz w:val="22"/>
          <w:szCs w:val="22"/>
          <w:lang w:val="sr-Latn-RS"/>
        </w:rPr>
        <w:t>DOZVOLE</w:t>
      </w:r>
      <w:r w:rsidR="00C05DF8" w:rsidRPr="00234ECD">
        <w:rPr>
          <w:b/>
          <w:bCs/>
          <w:sz w:val="22"/>
          <w:szCs w:val="22"/>
          <w:lang w:val="sr-Latn-RS"/>
        </w:rPr>
        <w:t>/OBNOVE DOZVOLE</w:t>
      </w:r>
      <w:r w:rsidR="008A6D43" w:rsidRPr="00234ECD">
        <w:rPr>
          <w:b/>
          <w:bCs/>
          <w:sz w:val="22"/>
          <w:szCs w:val="22"/>
          <w:lang w:val="sr-Latn-RS"/>
        </w:rPr>
        <w:t xml:space="preserve"> ZA STAVLJANJE LIJEKA U PROMET</w:t>
      </w:r>
    </w:p>
    <w:p w14:paraId="1FEAE89B" w14:textId="65C29F2E" w:rsidR="0072020E" w:rsidRPr="00234ECD" w:rsidRDefault="0072020E" w:rsidP="00480FB1">
      <w:pPr>
        <w:tabs>
          <w:tab w:val="left" w:pos="540"/>
          <w:tab w:val="left" w:pos="569"/>
        </w:tabs>
        <w:rPr>
          <w:bCs/>
          <w:sz w:val="22"/>
          <w:szCs w:val="22"/>
          <w:lang w:val="sr-Latn-RS"/>
        </w:rPr>
      </w:pPr>
    </w:p>
    <w:p w14:paraId="766197CD" w14:textId="39AD995C" w:rsidR="00234ECD" w:rsidRPr="00234ECD" w:rsidRDefault="00234ECD" w:rsidP="00480FB1">
      <w:pPr>
        <w:tabs>
          <w:tab w:val="left" w:pos="540"/>
          <w:tab w:val="left" w:pos="569"/>
        </w:tabs>
        <w:rPr>
          <w:bCs/>
          <w:sz w:val="22"/>
          <w:szCs w:val="22"/>
          <w:lang w:val="sr-Latn-RS"/>
        </w:rPr>
      </w:pPr>
      <w:r w:rsidRPr="00234ECD">
        <w:rPr>
          <w:sz w:val="22"/>
          <w:szCs w:val="22"/>
          <w:lang w:val="sr-Latn-RS" w:eastAsia="sr-Latn-ME"/>
        </w:rPr>
        <w:t>30.01.2025. godine</w:t>
      </w:r>
    </w:p>
    <w:p w14:paraId="11EA418D" w14:textId="77777777" w:rsidR="00836B35" w:rsidRPr="00234ECD" w:rsidRDefault="00836B35" w:rsidP="00480FB1">
      <w:pPr>
        <w:tabs>
          <w:tab w:val="left" w:pos="540"/>
          <w:tab w:val="left" w:pos="569"/>
        </w:tabs>
        <w:rPr>
          <w:bCs/>
          <w:sz w:val="22"/>
          <w:szCs w:val="22"/>
          <w:lang w:val="sr-Latn-RS"/>
        </w:rPr>
      </w:pPr>
    </w:p>
    <w:p w14:paraId="62E17D63" w14:textId="77777777" w:rsidR="003F6A59" w:rsidRPr="00234ECD" w:rsidRDefault="0072020E" w:rsidP="00C05DF8">
      <w:pPr>
        <w:tabs>
          <w:tab w:val="left" w:pos="540"/>
          <w:tab w:val="left" w:pos="569"/>
        </w:tabs>
        <w:ind w:left="540" w:hanging="540"/>
        <w:rPr>
          <w:bCs/>
          <w:sz w:val="22"/>
          <w:szCs w:val="22"/>
          <w:lang w:val="sr-Latn-RS"/>
        </w:rPr>
      </w:pPr>
      <w:r w:rsidRPr="00234ECD">
        <w:rPr>
          <w:b/>
          <w:bCs/>
          <w:sz w:val="22"/>
          <w:szCs w:val="22"/>
          <w:lang w:val="sr-Latn-RS"/>
        </w:rPr>
        <w:t xml:space="preserve">10. </w:t>
      </w:r>
      <w:r w:rsidR="00480FB1" w:rsidRPr="00234ECD">
        <w:rPr>
          <w:b/>
          <w:bCs/>
          <w:sz w:val="22"/>
          <w:szCs w:val="22"/>
          <w:lang w:val="sr-Latn-RS"/>
        </w:rPr>
        <w:tab/>
      </w:r>
      <w:r w:rsidR="002846DB" w:rsidRPr="00234ECD">
        <w:rPr>
          <w:b/>
          <w:bCs/>
          <w:sz w:val="22"/>
          <w:szCs w:val="22"/>
          <w:lang w:val="sr-Latn-RS"/>
        </w:rPr>
        <w:t>D</w:t>
      </w:r>
      <w:r w:rsidR="00EC2532" w:rsidRPr="00234ECD">
        <w:rPr>
          <w:b/>
          <w:bCs/>
          <w:sz w:val="22"/>
          <w:szCs w:val="22"/>
          <w:lang w:val="sr-Latn-RS"/>
        </w:rPr>
        <w:t xml:space="preserve">ATUM REVIZIJE TEKSTA </w:t>
      </w:r>
    </w:p>
    <w:p w14:paraId="7F941D85" w14:textId="49248138" w:rsidR="003F6A59" w:rsidRPr="00234ECD" w:rsidRDefault="003F6A59" w:rsidP="00480FB1">
      <w:pPr>
        <w:tabs>
          <w:tab w:val="left" w:pos="540"/>
          <w:tab w:val="left" w:pos="569"/>
        </w:tabs>
        <w:rPr>
          <w:bCs/>
          <w:sz w:val="22"/>
          <w:szCs w:val="22"/>
          <w:lang w:val="sr-Latn-RS"/>
        </w:rPr>
      </w:pPr>
    </w:p>
    <w:p w14:paraId="187E1232" w14:textId="3481BBD4" w:rsidR="00234ECD" w:rsidRPr="00234ECD" w:rsidRDefault="00234ECD" w:rsidP="00480FB1">
      <w:pPr>
        <w:tabs>
          <w:tab w:val="left" w:pos="540"/>
          <w:tab w:val="left" w:pos="569"/>
        </w:tabs>
        <w:rPr>
          <w:bCs/>
          <w:sz w:val="22"/>
          <w:szCs w:val="22"/>
          <w:lang w:val="sr-Latn-RS"/>
        </w:rPr>
      </w:pPr>
      <w:r w:rsidRPr="00234ECD">
        <w:rPr>
          <w:bCs/>
          <w:sz w:val="22"/>
          <w:szCs w:val="22"/>
          <w:lang w:val="sr-Latn-RS"/>
        </w:rPr>
        <w:t>Januar, 2025, godine</w:t>
      </w:r>
    </w:p>
    <w:p w14:paraId="703D805C" w14:textId="77777777" w:rsidR="008A6D43" w:rsidRPr="00234ECD" w:rsidRDefault="008A6D43" w:rsidP="00480FB1">
      <w:pPr>
        <w:tabs>
          <w:tab w:val="left" w:pos="540"/>
          <w:tab w:val="left" w:pos="569"/>
        </w:tabs>
        <w:rPr>
          <w:bCs/>
          <w:sz w:val="22"/>
          <w:szCs w:val="22"/>
          <w:lang w:val="sr-Latn-RS"/>
        </w:rPr>
      </w:pPr>
    </w:p>
    <w:p w14:paraId="6AE23CC1" w14:textId="7A140165" w:rsidR="003F6A59" w:rsidRPr="00234ECD" w:rsidRDefault="003F6A59" w:rsidP="00DE3F5C">
      <w:pPr>
        <w:rPr>
          <w:sz w:val="22"/>
          <w:szCs w:val="22"/>
          <w:lang w:val="sr-Latn-RS"/>
        </w:rPr>
      </w:pPr>
    </w:p>
    <w:sectPr w:rsidR="003F6A59" w:rsidRPr="00234ECD" w:rsidSect="006B5404">
      <w:footerReference w:type="default" r:id="rId2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F67F7" w14:textId="77777777" w:rsidR="00F1396D" w:rsidRDefault="00F1396D">
      <w:r>
        <w:separator/>
      </w:r>
    </w:p>
  </w:endnote>
  <w:endnote w:type="continuationSeparator" w:id="0">
    <w:p w14:paraId="60F8E2FC" w14:textId="77777777" w:rsidR="00F1396D" w:rsidRDefault="00F13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5E9B2" w14:textId="495B01D6" w:rsidR="00234ECD" w:rsidRPr="00B23F69" w:rsidRDefault="00234ECD"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5144AE">
      <w:rPr>
        <w:noProof/>
        <w:sz w:val="22"/>
        <w:szCs w:val="22"/>
      </w:rPr>
      <w:t>35</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5144AE">
      <w:rPr>
        <w:noProof/>
        <w:sz w:val="22"/>
        <w:szCs w:val="22"/>
      </w:rPr>
      <w:t>37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D7A2B4" w14:textId="77777777" w:rsidR="00F1396D" w:rsidRDefault="00F1396D">
      <w:r>
        <w:separator/>
      </w:r>
    </w:p>
  </w:footnote>
  <w:footnote w:type="continuationSeparator" w:id="0">
    <w:p w14:paraId="37040AE7" w14:textId="77777777" w:rsidR="00F1396D" w:rsidRDefault="00F139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7pt;height:13.7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1A6"/>
    <w:rsid w:val="00000528"/>
    <w:rsid w:val="00004B6B"/>
    <w:rsid w:val="000176CA"/>
    <w:rsid w:val="00020574"/>
    <w:rsid w:val="00023198"/>
    <w:rsid w:val="00024DB6"/>
    <w:rsid w:val="00025864"/>
    <w:rsid w:val="00033469"/>
    <w:rsid w:val="00036FA0"/>
    <w:rsid w:val="0003793F"/>
    <w:rsid w:val="00040602"/>
    <w:rsid w:val="00044142"/>
    <w:rsid w:val="00045130"/>
    <w:rsid w:val="00047FF7"/>
    <w:rsid w:val="00057385"/>
    <w:rsid w:val="00057E35"/>
    <w:rsid w:val="0006018D"/>
    <w:rsid w:val="0006022A"/>
    <w:rsid w:val="0006352D"/>
    <w:rsid w:val="0007520B"/>
    <w:rsid w:val="00075E28"/>
    <w:rsid w:val="00076726"/>
    <w:rsid w:val="000777B0"/>
    <w:rsid w:val="00080303"/>
    <w:rsid w:val="000803EC"/>
    <w:rsid w:val="00083448"/>
    <w:rsid w:val="000837E0"/>
    <w:rsid w:val="00083C73"/>
    <w:rsid w:val="00083D02"/>
    <w:rsid w:val="000863BB"/>
    <w:rsid w:val="00093451"/>
    <w:rsid w:val="0009674F"/>
    <w:rsid w:val="000A3929"/>
    <w:rsid w:val="000A3F58"/>
    <w:rsid w:val="000A66CF"/>
    <w:rsid w:val="000B285F"/>
    <w:rsid w:val="000B3932"/>
    <w:rsid w:val="000D0315"/>
    <w:rsid w:val="000D2343"/>
    <w:rsid w:val="000D3449"/>
    <w:rsid w:val="000D425A"/>
    <w:rsid w:val="000D60CC"/>
    <w:rsid w:val="000E2084"/>
    <w:rsid w:val="000E2571"/>
    <w:rsid w:val="000E36C9"/>
    <w:rsid w:val="000E5FD3"/>
    <w:rsid w:val="000E6F55"/>
    <w:rsid w:val="000F0B2E"/>
    <w:rsid w:val="000F5FE7"/>
    <w:rsid w:val="000F77FA"/>
    <w:rsid w:val="00102D3E"/>
    <w:rsid w:val="00105C68"/>
    <w:rsid w:val="00107BF7"/>
    <w:rsid w:val="00113DC4"/>
    <w:rsid w:val="0011444E"/>
    <w:rsid w:val="00114B30"/>
    <w:rsid w:val="00116490"/>
    <w:rsid w:val="0011658B"/>
    <w:rsid w:val="00126F53"/>
    <w:rsid w:val="00132502"/>
    <w:rsid w:val="00132C88"/>
    <w:rsid w:val="00142BDF"/>
    <w:rsid w:val="001430ED"/>
    <w:rsid w:val="00143E1D"/>
    <w:rsid w:val="00144377"/>
    <w:rsid w:val="00146073"/>
    <w:rsid w:val="0014766D"/>
    <w:rsid w:val="00152359"/>
    <w:rsid w:val="001536CC"/>
    <w:rsid w:val="0015535B"/>
    <w:rsid w:val="00167A60"/>
    <w:rsid w:val="001709D0"/>
    <w:rsid w:val="001833D1"/>
    <w:rsid w:val="00191E4E"/>
    <w:rsid w:val="001928F5"/>
    <w:rsid w:val="00193652"/>
    <w:rsid w:val="001A2348"/>
    <w:rsid w:val="001A2E58"/>
    <w:rsid w:val="001A3FBA"/>
    <w:rsid w:val="001A5518"/>
    <w:rsid w:val="001A71B0"/>
    <w:rsid w:val="001B1C6A"/>
    <w:rsid w:val="001C1263"/>
    <w:rsid w:val="001C1417"/>
    <w:rsid w:val="001C5F21"/>
    <w:rsid w:val="001D1277"/>
    <w:rsid w:val="001D3FD4"/>
    <w:rsid w:val="001E1D73"/>
    <w:rsid w:val="001E33B7"/>
    <w:rsid w:val="001E390B"/>
    <w:rsid w:val="001E446B"/>
    <w:rsid w:val="001E7C8B"/>
    <w:rsid w:val="001F01DF"/>
    <w:rsid w:val="001F42FB"/>
    <w:rsid w:val="001F6FDF"/>
    <w:rsid w:val="001F719A"/>
    <w:rsid w:val="00202F80"/>
    <w:rsid w:val="002031B3"/>
    <w:rsid w:val="002059DC"/>
    <w:rsid w:val="00215282"/>
    <w:rsid w:val="00215931"/>
    <w:rsid w:val="00215F7D"/>
    <w:rsid w:val="002213F5"/>
    <w:rsid w:val="00223593"/>
    <w:rsid w:val="00224C91"/>
    <w:rsid w:val="0022717B"/>
    <w:rsid w:val="00227795"/>
    <w:rsid w:val="00227BDB"/>
    <w:rsid w:val="002302CC"/>
    <w:rsid w:val="00234CB1"/>
    <w:rsid w:val="00234ECD"/>
    <w:rsid w:val="002352F8"/>
    <w:rsid w:val="00242A9A"/>
    <w:rsid w:val="00245465"/>
    <w:rsid w:val="002474D5"/>
    <w:rsid w:val="002508BD"/>
    <w:rsid w:val="00250BB8"/>
    <w:rsid w:val="002510A5"/>
    <w:rsid w:val="00254A0A"/>
    <w:rsid w:val="00266046"/>
    <w:rsid w:val="002776B1"/>
    <w:rsid w:val="0028184D"/>
    <w:rsid w:val="002846DB"/>
    <w:rsid w:val="00284CCD"/>
    <w:rsid w:val="00290F84"/>
    <w:rsid w:val="002A3536"/>
    <w:rsid w:val="002A6158"/>
    <w:rsid w:val="002A78A2"/>
    <w:rsid w:val="002B19E7"/>
    <w:rsid w:val="002B7CF2"/>
    <w:rsid w:val="002C1F79"/>
    <w:rsid w:val="002C3C28"/>
    <w:rsid w:val="002C640E"/>
    <w:rsid w:val="002C6637"/>
    <w:rsid w:val="002D7F36"/>
    <w:rsid w:val="002E0135"/>
    <w:rsid w:val="002E2EF0"/>
    <w:rsid w:val="002E37A5"/>
    <w:rsid w:val="002E75D7"/>
    <w:rsid w:val="002F7D80"/>
    <w:rsid w:val="00304326"/>
    <w:rsid w:val="003070D0"/>
    <w:rsid w:val="00310F03"/>
    <w:rsid w:val="00313457"/>
    <w:rsid w:val="00321794"/>
    <w:rsid w:val="00322B0D"/>
    <w:rsid w:val="003247D2"/>
    <w:rsid w:val="00332FDD"/>
    <w:rsid w:val="003359F8"/>
    <w:rsid w:val="003445C1"/>
    <w:rsid w:val="00352210"/>
    <w:rsid w:val="00352B29"/>
    <w:rsid w:val="00355B61"/>
    <w:rsid w:val="00362686"/>
    <w:rsid w:val="00365A88"/>
    <w:rsid w:val="003706F7"/>
    <w:rsid w:val="00371510"/>
    <w:rsid w:val="00373F26"/>
    <w:rsid w:val="00380ED5"/>
    <w:rsid w:val="00390458"/>
    <w:rsid w:val="00394E14"/>
    <w:rsid w:val="00396989"/>
    <w:rsid w:val="00396DFD"/>
    <w:rsid w:val="003A5E3D"/>
    <w:rsid w:val="003A7059"/>
    <w:rsid w:val="003B7A36"/>
    <w:rsid w:val="003C1139"/>
    <w:rsid w:val="003C12F5"/>
    <w:rsid w:val="003C17AB"/>
    <w:rsid w:val="003C417C"/>
    <w:rsid w:val="003C7823"/>
    <w:rsid w:val="003D19D3"/>
    <w:rsid w:val="003D5E41"/>
    <w:rsid w:val="003D6540"/>
    <w:rsid w:val="003E09DC"/>
    <w:rsid w:val="003E1DCC"/>
    <w:rsid w:val="003E4066"/>
    <w:rsid w:val="003E42B2"/>
    <w:rsid w:val="003F1199"/>
    <w:rsid w:val="003F11A1"/>
    <w:rsid w:val="003F4D84"/>
    <w:rsid w:val="003F6399"/>
    <w:rsid w:val="003F6A59"/>
    <w:rsid w:val="003F6B90"/>
    <w:rsid w:val="004041A5"/>
    <w:rsid w:val="004065C8"/>
    <w:rsid w:val="00406DA7"/>
    <w:rsid w:val="004109FA"/>
    <w:rsid w:val="00411B4B"/>
    <w:rsid w:val="00414E5E"/>
    <w:rsid w:val="00415027"/>
    <w:rsid w:val="00415BEE"/>
    <w:rsid w:val="0041724E"/>
    <w:rsid w:val="0041788C"/>
    <w:rsid w:val="004221B3"/>
    <w:rsid w:val="00424831"/>
    <w:rsid w:val="004250B8"/>
    <w:rsid w:val="004254E9"/>
    <w:rsid w:val="00425FF3"/>
    <w:rsid w:val="00427769"/>
    <w:rsid w:val="00427F85"/>
    <w:rsid w:val="0043041D"/>
    <w:rsid w:val="00436F42"/>
    <w:rsid w:val="004378B4"/>
    <w:rsid w:val="00437D68"/>
    <w:rsid w:val="004443DD"/>
    <w:rsid w:val="00444E86"/>
    <w:rsid w:val="00450B3F"/>
    <w:rsid w:val="00451314"/>
    <w:rsid w:val="00452E9D"/>
    <w:rsid w:val="004534C7"/>
    <w:rsid w:val="00454922"/>
    <w:rsid w:val="00455ACA"/>
    <w:rsid w:val="004671AA"/>
    <w:rsid w:val="00467907"/>
    <w:rsid w:val="00471DF8"/>
    <w:rsid w:val="00473AF6"/>
    <w:rsid w:val="00473FBA"/>
    <w:rsid w:val="00474DC7"/>
    <w:rsid w:val="00480FB1"/>
    <w:rsid w:val="00483928"/>
    <w:rsid w:val="00496454"/>
    <w:rsid w:val="004A05FB"/>
    <w:rsid w:val="004A1DAF"/>
    <w:rsid w:val="004A1DF0"/>
    <w:rsid w:val="004B02CD"/>
    <w:rsid w:val="004B7CD3"/>
    <w:rsid w:val="004C331F"/>
    <w:rsid w:val="004C4460"/>
    <w:rsid w:val="004D6103"/>
    <w:rsid w:val="004D70F3"/>
    <w:rsid w:val="004E11D9"/>
    <w:rsid w:val="004E3BCE"/>
    <w:rsid w:val="004E70AD"/>
    <w:rsid w:val="004F0E97"/>
    <w:rsid w:val="004F17E2"/>
    <w:rsid w:val="004F4C84"/>
    <w:rsid w:val="004F4E55"/>
    <w:rsid w:val="004F5752"/>
    <w:rsid w:val="00501DD1"/>
    <w:rsid w:val="005144AE"/>
    <w:rsid w:val="005144DD"/>
    <w:rsid w:val="00515C21"/>
    <w:rsid w:val="00524086"/>
    <w:rsid w:val="00526F08"/>
    <w:rsid w:val="00530BD7"/>
    <w:rsid w:val="00530D3B"/>
    <w:rsid w:val="00536801"/>
    <w:rsid w:val="00545CD2"/>
    <w:rsid w:val="005476F3"/>
    <w:rsid w:val="00550852"/>
    <w:rsid w:val="00552776"/>
    <w:rsid w:val="00553091"/>
    <w:rsid w:val="005600B3"/>
    <w:rsid w:val="005646E2"/>
    <w:rsid w:val="00567A3C"/>
    <w:rsid w:val="00572527"/>
    <w:rsid w:val="005725E3"/>
    <w:rsid w:val="005728A0"/>
    <w:rsid w:val="00573E40"/>
    <w:rsid w:val="00576348"/>
    <w:rsid w:val="005773B5"/>
    <w:rsid w:val="00583691"/>
    <w:rsid w:val="0058710A"/>
    <w:rsid w:val="00590276"/>
    <w:rsid w:val="005942C4"/>
    <w:rsid w:val="0059702D"/>
    <w:rsid w:val="005A0B2E"/>
    <w:rsid w:val="005A0E6A"/>
    <w:rsid w:val="005A23D2"/>
    <w:rsid w:val="005A36CB"/>
    <w:rsid w:val="005B49B8"/>
    <w:rsid w:val="005B6E6D"/>
    <w:rsid w:val="005C0741"/>
    <w:rsid w:val="005C4AC4"/>
    <w:rsid w:val="005C59B4"/>
    <w:rsid w:val="005C5EF4"/>
    <w:rsid w:val="005E2E0B"/>
    <w:rsid w:val="005E67AD"/>
    <w:rsid w:val="005E7A7D"/>
    <w:rsid w:val="005F42FA"/>
    <w:rsid w:val="00602457"/>
    <w:rsid w:val="00624FC4"/>
    <w:rsid w:val="006320E8"/>
    <w:rsid w:val="00634322"/>
    <w:rsid w:val="00640EB4"/>
    <w:rsid w:val="006413E1"/>
    <w:rsid w:val="00644FC3"/>
    <w:rsid w:val="00646BD1"/>
    <w:rsid w:val="00652032"/>
    <w:rsid w:val="00652D80"/>
    <w:rsid w:val="006561C2"/>
    <w:rsid w:val="00671CB3"/>
    <w:rsid w:val="00673358"/>
    <w:rsid w:val="00674BAF"/>
    <w:rsid w:val="00682200"/>
    <w:rsid w:val="00686047"/>
    <w:rsid w:val="00686967"/>
    <w:rsid w:val="00692BF6"/>
    <w:rsid w:val="006A1351"/>
    <w:rsid w:val="006A1497"/>
    <w:rsid w:val="006B0BD1"/>
    <w:rsid w:val="006B5404"/>
    <w:rsid w:val="006C012F"/>
    <w:rsid w:val="006C6960"/>
    <w:rsid w:val="006D20A5"/>
    <w:rsid w:val="006D37BF"/>
    <w:rsid w:val="006E13D9"/>
    <w:rsid w:val="006E7D12"/>
    <w:rsid w:val="00700210"/>
    <w:rsid w:val="00700AEE"/>
    <w:rsid w:val="00702E22"/>
    <w:rsid w:val="00703C42"/>
    <w:rsid w:val="00705444"/>
    <w:rsid w:val="007104AB"/>
    <w:rsid w:val="00714DD0"/>
    <w:rsid w:val="0072020E"/>
    <w:rsid w:val="0072361A"/>
    <w:rsid w:val="00726C41"/>
    <w:rsid w:val="00727299"/>
    <w:rsid w:val="0073231F"/>
    <w:rsid w:val="00736379"/>
    <w:rsid w:val="007371F3"/>
    <w:rsid w:val="00744F32"/>
    <w:rsid w:val="007456E1"/>
    <w:rsid w:val="00750560"/>
    <w:rsid w:val="00751DE7"/>
    <w:rsid w:val="00754902"/>
    <w:rsid w:val="0075732F"/>
    <w:rsid w:val="00761BC8"/>
    <w:rsid w:val="007659DB"/>
    <w:rsid w:val="007675D1"/>
    <w:rsid w:val="00781CEA"/>
    <w:rsid w:val="00784AE1"/>
    <w:rsid w:val="00785B6E"/>
    <w:rsid w:val="00785FDE"/>
    <w:rsid w:val="00786071"/>
    <w:rsid w:val="0079459D"/>
    <w:rsid w:val="007A3ECB"/>
    <w:rsid w:val="007A531E"/>
    <w:rsid w:val="007B3224"/>
    <w:rsid w:val="007B5D08"/>
    <w:rsid w:val="007C0E20"/>
    <w:rsid w:val="007D5069"/>
    <w:rsid w:val="007D7BB3"/>
    <w:rsid w:val="007E027A"/>
    <w:rsid w:val="007E31E9"/>
    <w:rsid w:val="007E3E0E"/>
    <w:rsid w:val="007E3FD3"/>
    <w:rsid w:val="007E6100"/>
    <w:rsid w:val="007F05E3"/>
    <w:rsid w:val="007F61BF"/>
    <w:rsid w:val="007F6377"/>
    <w:rsid w:val="00805EED"/>
    <w:rsid w:val="008106FC"/>
    <w:rsid w:val="0081131E"/>
    <w:rsid w:val="00815921"/>
    <w:rsid w:val="008204E1"/>
    <w:rsid w:val="00822C4B"/>
    <w:rsid w:val="008244E0"/>
    <w:rsid w:val="00824AB9"/>
    <w:rsid w:val="008362A0"/>
    <w:rsid w:val="00836B35"/>
    <w:rsid w:val="00843BDE"/>
    <w:rsid w:val="00854BEA"/>
    <w:rsid w:val="00854E35"/>
    <w:rsid w:val="00855A1A"/>
    <w:rsid w:val="0086778D"/>
    <w:rsid w:val="00871BFA"/>
    <w:rsid w:val="0087588C"/>
    <w:rsid w:val="00886659"/>
    <w:rsid w:val="00890841"/>
    <w:rsid w:val="00890D21"/>
    <w:rsid w:val="0089307E"/>
    <w:rsid w:val="0089705C"/>
    <w:rsid w:val="008A68CB"/>
    <w:rsid w:val="008A6D43"/>
    <w:rsid w:val="008B2FEF"/>
    <w:rsid w:val="008B491E"/>
    <w:rsid w:val="008C0332"/>
    <w:rsid w:val="008C164D"/>
    <w:rsid w:val="008C1679"/>
    <w:rsid w:val="008C1A28"/>
    <w:rsid w:val="008C2157"/>
    <w:rsid w:val="008C2E98"/>
    <w:rsid w:val="008D3DE7"/>
    <w:rsid w:val="008D4F86"/>
    <w:rsid w:val="008D5259"/>
    <w:rsid w:val="008D62D7"/>
    <w:rsid w:val="008E388B"/>
    <w:rsid w:val="008E40B8"/>
    <w:rsid w:val="008E49BD"/>
    <w:rsid w:val="008E53E9"/>
    <w:rsid w:val="008E5771"/>
    <w:rsid w:val="008F0DBF"/>
    <w:rsid w:val="008F4ACF"/>
    <w:rsid w:val="00906699"/>
    <w:rsid w:val="00915EBF"/>
    <w:rsid w:val="00922A70"/>
    <w:rsid w:val="00924166"/>
    <w:rsid w:val="009308B5"/>
    <w:rsid w:val="00940B9B"/>
    <w:rsid w:val="009439A3"/>
    <w:rsid w:val="00945856"/>
    <w:rsid w:val="00951B5E"/>
    <w:rsid w:val="00953573"/>
    <w:rsid w:val="00955B88"/>
    <w:rsid w:val="0095676E"/>
    <w:rsid w:val="00956983"/>
    <w:rsid w:val="00956B0D"/>
    <w:rsid w:val="009637BB"/>
    <w:rsid w:val="00963CF0"/>
    <w:rsid w:val="00964BB1"/>
    <w:rsid w:val="00966471"/>
    <w:rsid w:val="00975C76"/>
    <w:rsid w:val="009775D9"/>
    <w:rsid w:val="00981A2C"/>
    <w:rsid w:val="00997175"/>
    <w:rsid w:val="009A01F0"/>
    <w:rsid w:val="009A1847"/>
    <w:rsid w:val="009A2F00"/>
    <w:rsid w:val="009A65FD"/>
    <w:rsid w:val="009B062A"/>
    <w:rsid w:val="009B59E9"/>
    <w:rsid w:val="009C255C"/>
    <w:rsid w:val="009D3279"/>
    <w:rsid w:val="009D3FF0"/>
    <w:rsid w:val="009D5A33"/>
    <w:rsid w:val="009E1F0B"/>
    <w:rsid w:val="009E6016"/>
    <w:rsid w:val="009E7B2F"/>
    <w:rsid w:val="009E7C6F"/>
    <w:rsid w:val="009F1793"/>
    <w:rsid w:val="009F2D23"/>
    <w:rsid w:val="009F5464"/>
    <w:rsid w:val="00A01D69"/>
    <w:rsid w:val="00A02335"/>
    <w:rsid w:val="00A13EFF"/>
    <w:rsid w:val="00A157AD"/>
    <w:rsid w:val="00A16156"/>
    <w:rsid w:val="00A17B3A"/>
    <w:rsid w:val="00A220E8"/>
    <w:rsid w:val="00A2293E"/>
    <w:rsid w:val="00A25E52"/>
    <w:rsid w:val="00A442F3"/>
    <w:rsid w:val="00A44758"/>
    <w:rsid w:val="00A46C9A"/>
    <w:rsid w:val="00A54EC0"/>
    <w:rsid w:val="00A619F3"/>
    <w:rsid w:val="00A62A73"/>
    <w:rsid w:val="00A6461D"/>
    <w:rsid w:val="00A75802"/>
    <w:rsid w:val="00A80475"/>
    <w:rsid w:val="00A8726C"/>
    <w:rsid w:val="00A87FF6"/>
    <w:rsid w:val="00A94535"/>
    <w:rsid w:val="00AA0A3B"/>
    <w:rsid w:val="00AA11DF"/>
    <w:rsid w:val="00AA2763"/>
    <w:rsid w:val="00AA33B6"/>
    <w:rsid w:val="00AB45E3"/>
    <w:rsid w:val="00AB50CA"/>
    <w:rsid w:val="00AB661A"/>
    <w:rsid w:val="00AB6D64"/>
    <w:rsid w:val="00AB6DE6"/>
    <w:rsid w:val="00AC273B"/>
    <w:rsid w:val="00AC4C4A"/>
    <w:rsid w:val="00AC53CE"/>
    <w:rsid w:val="00AD0E19"/>
    <w:rsid w:val="00AD2193"/>
    <w:rsid w:val="00AD74BB"/>
    <w:rsid w:val="00AE113A"/>
    <w:rsid w:val="00AE2014"/>
    <w:rsid w:val="00AE5CAE"/>
    <w:rsid w:val="00AE6B62"/>
    <w:rsid w:val="00AF19F4"/>
    <w:rsid w:val="00AF2AC7"/>
    <w:rsid w:val="00AF73B2"/>
    <w:rsid w:val="00AF74CE"/>
    <w:rsid w:val="00B024C4"/>
    <w:rsid w:val="00B07F0E"/>
    <w:rsid w:val="00B14815"/>
    <w:rsid w:val="00B149AC"/>
    <w:rsid w:val="00B14C8F"/>
    <w:rsid w:val="00B15415"/>
    <w:rsid w:val="00B204A6"/>
    <w:rsid w:val="00B208DB"/>
    <w:rsid w:val="00B23F69"/>
    <w:rsid w:val="00B30790"/>
    <w:rsid w:val="00B451FD"/>
    <w:rsid w:val="00B51074"/>
    <w:rsid w:val="00B52550"/>
    <w:rsid w:val="00B52F92"/>
    <w:rsid w:val="00B60619"/>
    <w:rsid w:val="00B66A70"/>
    <w:rsid w:val="00B67366"/>
    <w:rsid w:val="00B67C9F"/>
    <w:rsid w:val="00B73D41"/>
    <w:rsid w:val="00B77FEC"/>
    <w:rsid w:val="00B80EE1"/>
    <w:rsid w:val="00B82CC6"/>
    <w:rsid w:val="00B84135"/>
    <w:rsid w:val="00B91A31"/>
    <w:rsid w:val="00B93B86"/>
    <w:rsid w:val="00BB34A5"/>
    <w:rsid w:val="00BD4B58"/>
    <w:rsid w:val="00BD51EA"/>
    <w:rsid w:val="00BE4DCB"/>
    <w:rsid w:val="00BE7229"/>
    <w:rsid w:val="00BF49C1"/>
    <w:rsid w:val="00BF5F63"/>
    <w:rsid w:val="00C020F9"/>
    <w:rsid w:val="00C02198"/>
    <w:rsid w:val="00C04D34"/>
    <w:rsid w:val="00C05DF8"/>
    <w:rsid w:val="00C06864"/>
    <w:rsid w:val="00C10F54"/>
    <w:rsid w:val="00C12C68"/>
    <w:rsid w:val="00C2114F"/>
    <w:rsid w:val="00C23390"/>
    <w:rsid w:val="00C23D8D"/>
    <w:rsid w:val="00C26989"/>
    <w:rsid w:val="00C33BD4"/>
    <w:rsid w:val="00C35DA5"/>
    <w:rsid w:val="00C37AA3"/>
    <w:rsid w:val="00C37FD7"/>
    <w:rsid w:val="00C40A30"/>
    <w:rsid w:val="00C43419"/>
    <w:rsid w:val="00C44CF3"/>
    <w:rsid w:val="00C45EF5"/>
    <w:rsid w:val="00C51E6A"/>
    <w:rsid w:val="00C52527"/>
    <w:rsid w:val="00C539CD"/>
    <w:rsid w:val="00C61BE0"/>
    <w:rsid w:val="00C66182"/>
    <w:rsid w:val="00C6707E"/>
    <w:rsid w:val="00C70B0E"/>
    <w:rsid w:val="00C74188"/>
    <w:rsid w:val="00C773CA"/>
    <w:rsid w:val="00C83785"/>
    <w:rsid w:val="00C86CFA"/>
    <w:rsid w:val="00C87FA8"/>
    <w:rsid w:val="00C94C0D"/>
    <w:rsid w:val="00CA1FEB"/>
    <w:rsid w:val="00CA2E10"/>
    <w:rsid w:val="00CA7A1C"/>
    <w:rsid w:val="00CB0AEA"/>
    <w:rsid w:val="00CC4693"/>
    <w:rsid w:val="00CC46BC"/>
    <w:rsid w:val="00CD1B66"/>
    <w:rsid w:val="00CD44D1"/>
    <w:rsid w:val="00CD4F85"/>
    <w:rsid w:val="00CD5AA6"/>
    <w:rsid w:val="00CD67AB"/>
    <w:rsid w:val="00CD6F02"/>
    <w:rsid w:val="00CE1CCA"/>
    <w:rsid w:val="00CE246D"/>
    <w:rsid w:val="00CE5A17"/>
    <w:rsid w:val="00CE5B78"/>
    <w:rsid w:val="00CF068E"/>
    <w:rsid w:val="00CF07A0"/>
    <w:rsid w:val="00CF1D46"/>
    <w:rsid w:val="00CF3E03"/>
    <w:rsid w:val="00CF566A"/>
    <w:rsid w:val="00D0082A"/>
    <w:rsid w:val="00D00CA3"/>
    <w:rsid w:val="00D05A7C"/>
    <w:rsid w:val="00D10962"/>
    <w:rsid w:val="00D177C5"/>
    <w:rsid w:val="00D17C67"/>
    <w:rsid w:val="00D20C7E"/>
    <w:rsid w:val="00D21455"/>
    <w:rsid w:val="00D42DB9"/>
    <w:rsid w:val="00D45C4E"/>
    <w:rsid w:val="00D47634"/>
    <w:rsid w:val="00D5140F"/>
    <w:rsid w:val="00D52373"/>
    <w:rsid w:val="00D62353"/>
    <w:rsid w:val="00D6566F"/>
    <w:rsid w:val="00D6733C"/>
    <w:rsid w:val="00D67D7E"/>
    <w:rsid w:val="00D709B3"/>
    <w:rsid w:val="00D7229D"/>
    <w:rsid w:val="00D7275E"/>
    <w:rsid w:val="00D74CD2"/>
    <w:rsid w:val="00D820E9"/>
    <w:rsid w:val="00D83657"/>
    <w:rsid w:val="00D849A4"/>
    <w:rsid w:val="00D857AC"/>
    <w:rsid w:val="00D878FA"/>
    <w:rsid w:val="00D92379"/>
    <w:rsid w:val="00DA25D3"/>
    <w:rsid w:val="00DA2ED6"/>
    <w:rsid w:val="00DA56D0"/>
    <w:rsid w:val="00DB1D55"/>
    <w:rsid w:val="00DB303B"/>
    <w:rsid w:val="00DB4F73"/>
    <w:rsid w:val="00DB76B8"/>
    <w:rsid w:val="00DC2EA1"/>
    <w:rsid w:val="00DD3C15"/>
    <w:rsid w:val="00DD4571"/>
    <w:rsid w:val="00DD6AAF"/>
    <w:rsid w:val="00DE3F5C"/>
    <w:rsid w:val="00DE4C52"/>
    <w:rsid w:val="00DF171A"/>
    <w:rsid w:val="00DF1D20"/>
    <w:rsid w:val="00DF32A7"/>
    <w:rsid w:val="00DF6584"/>
    <w:rsid w:val="00E17343"/>
    <w:rsid w:val="00E211F9"/>
    <w:rsid w:val="00E21324"/>
    <w:rsid w:val="00E246B9"/>
    <w:rsid w:val="00E2742A"/>
    <w:rsid w:val="00E31FEA"/>
    <w:rsid w:val="00E324FC"/>
    <w:rsid w:val="00E35D2E"/>
    <w:rsid w:val="00E367ED"/>
    <w:rsid w:val="00E4272A"/>
    <w:rsid w:val="00E43C5A"/>
    <w:rsid w:val="00E45169"/>
    <w:rsid w:val="00E47787"/>
    <w:rsid w:val="00E51C30"/>
    <w:rsid w:val="00E55DEF"/>
    <w:rsid w:val="00E56030"/>
    <w:rsid w:val="00E64180"/>
    <w:rsid w:val="00E64995"/>
    <w:rsid w:val="00E65BCD"/>
    <w:rsid w:val="00E712A0"/>
    <w:rsid w:val="00E7235D"/>
    <w:rsid w:val="00E74AEE"/>
    <w:rsid w:val="00E83FE9"/>
    <w:rsid w:val="00E868E5"/>
    <w:rsid w:val="00E9237A"/>
    <w:rsid w:val="00E939FA"/>
    <w:rsid w:val="00EA2A91"/>
    <w:rsid w:val="00EA5765"/>
    <w:rsid w:val="00EA7EB6"/>
    <w:rsid w:val="00EB1D62"/>
    <w:rsid w:val="00EB217E"/>
    <w:rsid w:val="00EB6752"/>
    <w:rsid w:val="00EB7E38"/>
    <w:rsid w:val="00EC2532"/>
    <w:rsid w:val="00ED116C"/>
    <w:rsid w:val="00ED7812"/>
    <w:rsid w:val="00EE01AC"/>
    <w:rsid w:val="00EE75B4"/>
    <w:rsid w:val="00EF3B86"/>
    <w:rsid w:val="00F01800"/>
    <w:rsid w:val="00F036B0"/>
    <w:rsid w:val="00F05B38"/>
    <w:rsid w:val="00F05C15"/>
    <w:rsid w:val="00F1343B"/>
    <w:rsid w:val="00F1396D"/>
    <w:rsid w:val="00F1670B"/>
    <w:rsid w:val="00F317E9"/>
    <w:rsid w:val="00F34554"/>
    <w:rsid w:val="00F35B68"/>
    <w:rsid w:val="00F45F77"/>
    <w:rsid w:val="00F47B0A"/>
    <w:rsid w:val="00F51566"/>
    <w:rsid w:val="00F5167F"/>
    <w:rsid w:val="00F52258"/>
    <w:rsid w:val="00F5304F"/>
    <w:rsid w:val="00F54835"/>
    <w:rsid w:val="00F6259F"/>
    <w:rsid w:val="00F82C62"/>
    <w:rsid w:val="00F83F3F"/>
    <w:rsid w:val="00F84441"/>
    <w:rsid w:val="00F8570A"/>
    <w:rsid w:val="00F91C7B"/>
    <w:rsid w:val="00FA0458"/>
    <w:rsid w:val="00FA3E37"/>
    <w:rsid w:val="00FA4EFC"/>
    <w:rsid w:val="00FB0EB6"/>
    <w:rsid w:val="00FB4A34"/>
    <w:rsid w:val="00FB5B48"/>
    <w:rsid w:val="00FB6034"/>
    <w:rsid w:val="00FE0A43"/>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C754E"/>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C7E"/>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uiPriority w:val="39"/>
    <w:rsid w:val="00D857AC"/>
    <w:rPr>
      <w:rFonts w:ascii="Arial" w:eastAsia="Calibri" w:hAnsi="Arial" w:cs="Arial"/>
      <w:sz w:val="22"/>
      <w:szCs w:val="22"/>
      <w:lang w:val="sr-Latn-R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5732F"/>
    <w:rPr>
      <w:sz w:val="24"/>
      <w:szCs w:val="24"/>
      <w:lang w:val="en-US" w:eastAsia="en-US"/>
    </w:rPr>
  </w:style>
  <w:style w:type="paragraph" w:customStyle="1" w:styleId="C-BodyText">
    <w:name w:val="C-Body Text"/>
    <w:link w:val="C-BodyTextChar"/>
    <w:rsid w:val="00DF171A"/>
    <w:pPr>
      <w:spacing w:before="120" w:after="120" w:line="280" w:lineRule="atLeast"/>
    </w:pPr>
    <w:rPr>
      <w:rFonts w:eastAsia="SimSun"/>
      <w:sz w:val="24"/>
      <w:lang w:val="en-US" w:eastAsia="en-US"/>
    </w:rPr>
  </w:style>
  <w:style w:type="character" w:customStyle="1" w:styleId="C-BodyTextChar">
    <w:name w:val="C-Body Text Char"/>
    <w:link w:val="C-BodyText"/>
    <w:rsid w:val="00DF171A"/>
    <w:rPr>
      <w:rFonts w:eastAsia="SimSu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16723">
      <w:bodyDiv w:val="1"/>
      <w:marLeft w:val="0"/>
      <w:marRight w:val="0"/>
      <w:marTop w:val="0"/>
      <w:marBottom w:val="0"/>
      <w:divBdr>
        <w:top w:val="none" w:sz="0" w:space="0" w:color="auto"/>
        <w:left w:val="none" w:sz="0" w:space="0" w:color="auto"/>
        <w:bottom w:val="none" w:sz="0" w:space="0" w:color="auto"/>
        <w:right w:val="none" w:sz="0" w:space="0" w:color="auto"/>
      </w:divBdr>
    </w:div>
    <w:div w:id="207960675">
      <w:bodyDiv w:val="1"/>
      <w:marLeft w:val="0"/>
      <w:marRight w:val="0"/>
      <w:marTop w:val="0"/>
      <w:marBottom w:val="0"/>
      <w:divBdr>
        <w:top w:val="none" w:sz="0" w:space="0" w:color="auto"/>
        <w:left w:val="none" w:sz="0" w:space="0" w:color="auto"/>
        <w:bottom w:val="none" w:sz="0" w:space="0" w:color="auto"/>
        <w:right w:val="none" w:sz="0" w:space="0" w:color="auto"/>
      </w:divBdr>
    </w:div>
    <w:div w:id="449667663">
      <w:bodyDiv w:val="1"/>
      <w:marLeft w:val="0"/>
      <w:marRight w:val="0"/>
      <w:marTop w:val="0"/>
      <w:marBottom w:val="0"/>
      <w:divBdr>
        <w:top w:val="none" w:sz="0" w:space="0" w:color="auto"/>
        <w:left w:val="none" w:sz="0" w:space="0" w:color="auto"/>
        <w:bottom w:val="none" w:sz="0" w:space="0" w:color="auto"/>
        <w:right w:val="none" w:sz="0" w:space="0" w:color="auto"/>
      </w:divBdr>
    </w:div>
    <w:div w:id="528299291">
      <w:bodyDiv w:val="1"/>
      <w:marLeft w:val="0"/>
      <w:marRight w:val="0"/>
      <w:marTop w:val="0"/>
      <w:marBottom w:val="0"/>
      <w:divBdr>
        <w:top w:val="none" w:sz="0" w:space="0" w:color="auto"/>
        <w:left w:val="none" w:sz="0" w:space="0" w:color="auto"/>
        <w:bottom w:val="none" w:sz="0" w:space="0" w:color="auto"/>
        <w:right w:val="none" w:sz="0" w:space="0" w:color="auto"/>
      </w:divBdr>
    </w:div>
    <w:div w:id="547570618">
      <w:bodyDiv w:val="1"/>
      <w:marLeft w:val="0"/>
      <w:marRight w:val="0"/>
      <w:marTop w:val="0"/>
      <w:marBottom w:val="0"/>
      <w:divBdr>
        <w:top w:val="none" w:sz="0" w:space="0" w:color="auto"/>
        <w:left w:val="none" w:sz="0" w:space="0" w:color="auto"/>
        <w:bottom w:val="none" w:sz="0" w:space="0" w:color="auto"/>
        <w:right w:val="none" w:sz="0" w:space="0" w:color="auto"/>
      </w:divBdr>
    </w:div>
    <w:div w:id="781075203">
      <w:bodyDiv w:val="1"/>
      <w:marLeft w:val="0"/>
      <w:marRight w:val="0"/>
      <w:marTop w:val="0"/>
      <w:marBottom w:val="0"/>
      <w:divBdr>
        <w:top w:val="none" w:sz="0" w:space="0" w:color="auto"/>
        <w:left w:val="none" w:sz="0" w:space="0" w:color="auto"/>
        <w:bottom w:val="none" w:sz="0" w:space="0" w:color="auto"/>
        <w:right w:val="none" w:sz="0" w:space="0" w:color="auto"/>
      </w:divBdr>
    </w:div>
    <w:div w:id="802505704">
      <w:bodyDiv w:val="1"/>
      <w:marLeft w:val="0"/>
      <w:marRight w:val="0"/>
      <w:marTop w:val="0"/>
      <w:marBottom w:val="0"/>
      <w:divBdr>
        <w:top w:val="none" w:sz="0" w:space="0" w:color="auto"/>
        <w:left w:val="none" w:sz="0" w:space="0" w:color="auto"/>
        <w:bottom w:val="none" w:sz="0" w:space="0" w:color="auto"/>
        <w:right w:val="none" w:sz="0" w:space="0" w:color="auto"/>
      </w:divBdr>
    </w:div>
    <w:div w:id="910041949">
      <w:bodyDiv w:val="1"/>
      <w:marLeft w:val="0"/>
      <w:marRight w:val="0"/>
      <w:marTop w:val="0"/>
      <w:marBottom w:val="0"/>
      <w:divBdr>
        <w:top w:val="none" w:sz="0" w:space="0" w:color="auto"/>
        <w:left w:val="none" w:sz="0" w:space="0" w:color="auto"/>
        <w:bottom w:val="none" w:sz="0" w:space="0" w:color="auto"/>
        <w:right w:val="none" w:sz="0" w:space="0" w:color="auto"/>
      </w:divBdr>
    </w:div>
    <w:div w:id="1026104072">
      <w:bodyDiv w:val="1"/>
      <w:marLeft w:val="0"/>
      <w:marRight w:val="0"/>
      <w:marTop w:val="0"/>
      <w:marBottom w:val="0"/>
      <w:divBdr>
        <w:top w:val="none" w:sz="0" w:space="0" w:color="auto"/>
        <w:left w:val="none" w:sz="0" w:space="0" w:color="auto"/>
        <w:bottom w:val="none" w:sz="0" w:space="0" w:color="auto"/>
        <w:right w:val="none" w:sz="0" w:space="0" w:color="auto"/>
      </w:divBdr>
    </w:div>
    <w:div w:id="1038238416">
      <w:bodyDiv w:val="1"/>
      <w:marLeft w:val="0"/>
      <w:marRight w:val="0"/>
      <w:marTop w:val="0"/>
      <w:marBottom w:val="0"/>
      <w:divBdr>
        <w:top w:val="none" w:sz="0" w:space="0" w:color="auto"/>
        <w:left w:val="none" w:sz="0" w:space="0" w:color="auto"/>
        <w:bottom w:val="none" w:sz="0" w:space="0" w:color="auto"/>
        <w:right w:val="none" w:sz="0" w:space="0" w:color="auto"/>
      </w:divBdr>
    </w:div>
    <w:div w:id="1297636591">
      <w:bodyDiv w:val="1"/>
      <w:marLeft w:val="0"/>
      <w:marRight w:val="0"/>
      <w:marTop w:val="0"/>
      <w:marBottom w:val="0"/>
      <w:divBdr>
        <w:top w:val="none" w:sz="0" w:space="0" w:color="auto"/>
        <w:left w:val="none" w:sz="0" w:space="0" w:color="auto"/>
        <w:bottom w:val="none" w:sz="0" w:space="0" w:color="auto"/>
        <w:right w:val="none" w:sz="0" w:space="0" w:color="auto"/>
      </w:divBdr>
    </w:div>
    <w:div w:id="1440367377">
      <w:bodyDiv w:val="1"/>
      <w:marLeft w:val="0"/>
      <w:marRight w:val="0"/>
      <w:marTop w:val="0"/>
      <w:marBottom w:val="0"/>
      <w:divBdr>
        <w:top w:val="none" w:sz="0" w:space="0" w:color="auto"/>
        <w:left w:val="none" w:sz="0" w:space="0" w:color="auto"/>
        <w:bottom w:val="none" w:sz="0" w:space="0" w:color="auto"/>
        <w:right w:val="none" w:sz="0" w:space="0" w:color="auto"/>
      </w:divBdr>
    </w:div>
    <w:div w:id="1518811738">
      <w:bodyDiv w:val="1"/>
      <w:marLeft w:val="0"/>
      <w:marRight w:val="0"/>
      <w:marTop w:val="0"/>
      <w:marBottom w:val="0"/>
      <w:divBdr>
        <w:top w:val="none" w:sz="0" w:space="0" w:color="auto"/>
        <w:left w:val="none" w:sz="0" w:space="0" w:color="auto"/>
        <w:bottom w:val="none" w:sz="0" w:space="0" w:color="auto"/>
        <w:right w:val="none" w:sz="0" w:space="0" w:color="auto"/>
      </w:divBdr>
    </w:div>
    <w:div w:id="1541240130">
      <w:bodyDiv w:val="1"/>
      <w:marLeft w:val="0"/>
      <w:marRight w:val="0"/>
      <w:marTop w:val="0"/>
      <w:marBottom w:val="0"/>
      <w:divBdr>
        <w:top w:val="none" w:sz="0" w:space="0" w:color="auto"/>
        <w:left w:val="none" w:sz="0" w:space="0" w:color="auto"/>
        <w:bottom w:val="none" w:sz="0" w:space="0" w:color="auto"/>
        <w:right w:val="none" w:sz="0" w:space="0" w:color="auto"/>
      </w:divBdr>
    </w:div>
    <w:div w:id="1598101905">
      <w:bodyDiv w:val="1"/>
      <w:marLeft w:val="0"/>
      <w:marRight w:val="0"/>
      <w:marTop w:val="0"/>
      <w:marBottom w:val="0"/>
      <w:divBdr>
        <w:top w:val="none" w:sz="0" w:space="0" w:color="auto"/>
        <w:left w:val="none" w:sz="0" w:space="0" w:color="auto"/>
        <w:bottom w:val="none" w:sz="0" w:space="0" w:color="auto"/>
        <w:right w:val="none" w:sz="0" w:space="0" w:color="auto"/>
      </w:divBdr>
    </w:div>
    <w:div w:id="1634092204">
      <w:bodyDiv w:val="1"/>
      <w:marLeft w:val="0"/>
      <w:marRight w:val="0"/>
      <w:marTop w:val="0"/>
      <w:marBottom w:val="0"/>
      <w:divBdr>
        <w:top w:val="none" w:sz="0" w:space="0" w:color="auto"/>
        <w:left w:val="none" w:sz="0" w:space="0" w:color="auto"/>
        <w:bottom w:val="none" w:sz="0" w:space="0" w:color="auto"/>
        <w:right w:val="none" w:sz="0" w:space="0" w:color="auto"/>
      </w:divBdr>
    </w:div>
    <w:div w:id="1646548839">
      <w:bodyDiv w:val="1"/>
      <w:marLeft w:val="0"/>
      <w:marRight w:val="0"/>
      <w:marTop w:val="0"/>
      <w:marBottom w:val="0"/>
      <w:divBdr>
        <w:top w:val="none" w:sz="0" w:space="0" w:color="auto"/>
        <w:left w:val="none" w:sz="0" w:space="0" w:color="auto"/>
        <w:bottom w:val="none" w:sz="0" w:space="0" w:color="auto"/>
        <w:right w:val="none" w:sz="0" w:space="0" w:color="auto"/>
      </w:divBdr>
    </w:div>
    <w:div w:id="1731882554">
      <w:bodyDiv w:val="1"/>
      <w:marLeft w:val="0"/>
      <w:marRight w:val="0"/>
      <w:marTop w:val="0"/>
      <w:marBottom w:val="0"/>
      <w:divBdr>
        <w:top w:val="none" w:sz="0" w:space="0" w:color="auto"/>
        <w:left w:val="none" w:sz="0" w:space="0" w:color="auto"/>
        <w:bottom w:val="none" w:sz="0" w:space="0" w:color="auto"/>
        <w:right w:val="none" w:sz="0" w:space="0" w:color="auto"/>
      </w:divBdr>
    </w:div>
    <w:div w:id="1742094792">
      <w:bodyDiv w:val="1"/>
      <w:marLeft w:val="0"/>
      <w:marRight w:val="0"/>
      <w:marTop w:val="0"/>
      <w:marBottom w:val="0"/>
      <w:divBdr>
        <w:top w:val="none" w:sz="0" w:space="0" w:color="auto"/>
        <w:left w:val="none" w:sz="0" w:space="0" w:color="auto"/>
        <w:bottom w:val="none" w:sz="0" w:space="0" w:color="auto"/>
        <w:right w:val="none" w:sz="0" w:space="0" w:color="auto"/>
      </w:divBdr>
    </w:div>
    <w:div w:id="1794713613">
      <w:bodyDiv w:val="1"/>
      <w:marLeft w:val="0"/>
      <w:marRight w:val="0"/>
      <w:marTop w:val="0"/>
      <w:marBottom w:val="0"/>
      <w:divBdr>
        <w:top w:val="none" w:sz="0" w:space="0" w:color="auto"/>
        <w:left w:val="none" w:sz="0" w:space="0" w:color="auto"/>
        <w:bottom w:val="none" w:sz="0" w:space="0" w:color="auto"/>
        <w:right w:val="none" w:sz="0" w:space="0" w:color="auto"/>
      </w:divBdr>
    </w:div>
    <w:div w:id="2005207542">
      <w:bodyDiv w:val="1"/>
      <w:marLeft w:val="0"/>
      <w:marRight w:val="0"/>
      <w:marTop w:val="0"/>
      <w:marBottom w:val="0"/>
      <w:divBdr>
        <w:top w:val="none" w:sz="0" w:space="0" w:color="auto"/>
        <w:left w:val="none" w:sz="0" w:space="0" w:color="auto"/>
        <w:bottom w:val="none" w:sz="0" w:space="0" w:color="auto"/>
        <w:right w:val="none" w:sz="0" w:space="0" w:color="auto"/>
      </w:divBdr>
    </w:div>
    <w:div w:id="209821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s://vigiflow-eforms.who-umc.org/me/meadr" TargetMode="Externa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5.emf"/><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C3DC1-CA7D-41AF-B2B9-BEE27EA5DEBF}">
  <ds:schemaRefs>
    <ds:schemaRef ds:uri="http://schemas.openxmlformats.org/officeDocument/2006/bibliography"/>
  </ds:schemaRefs>
</ds:datastoreItem>
</file>

<file path=docMetadata/LabelInfo.xml><?xml version="1.0" encoding="utf-8"?>
<clbl:labelList xmlns:clbl="http://schemas.microsoft.com/office/2020/mipLabelMetadata">
  <clbl:label id="{a72dda32-ee80-4da8-a3ac-ec0e9e41a50a}" enabled="0" method="" siteId="{a72dda32-ee80-4da8-a3ac-ec0e9e41a50a}" removed="1"/>
</clbl:labelList>
</file>

<file path=docProps/app.xml><?xml version="1.0" encoding="utf-8"?>
<Properties xmlns="http://schemas.openxmlformats.org/officeDocument/2006/extended-properties" xmlns:vt="http://schemas.openxmlformats.org/officeDocument/2006/docPropsVTypes">
  <Template>Normal</Template>
  <TotalTime>91</TotalTime>
  <Pages>1</Pages>
  <Words>15291</Words>
  <Characters>87164</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102251</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Olja Borozan</cp:lastModifiedBy>
  <cp:revision>17</cp:revision>
  <cp:lastPrinted>2023-02-09T08:16:00Z</cp:lastPrinted>
  <dcterms:created xsi:type="dcterms:W3CDTF">2025-01-22T09:30:00Z</dcterms:created>
  <dcterms:modified xsi:type="dcterms:W3CDTF">2025-01-30T10:34:00Z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