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0379C" w14:textId="77777777" w:rsidR="00A75B47" w:rsidRPr="003A22B9" w:rsidRDefault="00A75B47" w:rsidP="00A75B47">
      <w:pPr>
        <w:spacing w:after="0" w:line="240" w:lineRule="auto"/>
        <w:jc w:val="center"/>
        <w:rPr>
          <w:rFonts w:ascii="Times New Roman" w:eastAsia="Times New Roman" w:hAnsi="Times New Roman" w:cs="Times New Roman"/>
          <w:b/>
          <w:bCs/>
          <w:iCs/>
          <w:u w:val="single"/>
          <w:lang w:val="sr-Latn-ME"/>
        </w:rPr>
      </w:pPr>
      <w:bookmarkStart w:id="0" w:name="_Hlk176265168"/>
      <w:bookmarkEnd w:id="0"/>
      <w:r w:rsidRPr="003A22B9">
        <w:rPr>
          <w:rFonts w:ascii="Times New Roman" w:eastAsia="Times New Roman" w:hAnsi="Times New Roman" w:cs="Times New Roman"/>
          <w:b/>
          <w:bCs/>
          <w:iCs/>
          <w:u w:val="single"/>
          <w:lang w:val="sr-Latn-ME"/>
        </w:rPr>
        <w:t>SAŽETAK KARAKTERISTIKA LIJEKA</w:t>
      </w:r>
    </w:p>
    <w:p w14:paraId="2A923E81" w14:textId="77777777" w:rsidR="00A75B47" w:rsidRPr="003A22B9" w:rsidRDefault="00A75B47" w:rsidP="00A75B47">
      <w:pPr>
        <w:spacing w:after="0" w:line="240" w:lineRule="auto"/>
        <w:jc w:val="both"/>
        <w:rPr>
          <w:rFonts w:ascii="Times New Roman" w:eastAsia="Times New Roman" w:hAnsi="Times New Roman" w:cs="Times New Roman"/>
          <w:b/>
          <w:bCs/>
          <w:i/>
          <w:iCs/>
          <w:u w:val="single"/>
          <w:lang w:val="sr-Latn-ME"/>
        </w:rPr>
      </w:pPr>
    </w:p>
    <w:p w14:paraId="60E0EA9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noProof/>
          <w:lang w:val="sr-Latn-ME"/>
        </w:rPr>
      </w:pPr>
    </w:p>
    <w:p w14:paraId="2F95377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0A7EA7E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1.</w:t>
      </w:r>
      <w:r w:rsidRPr="003A22B9">
        <w:rPr>
          <w:rFonts w:ascii="Times New Roman" w:eastAsia="Times New Roman" w:hAnsi="Times New Roman" w:cs="Times New Roman"/>
          <w:b/>
          <w:bCs/>
          <w:lang w:val="sr-Latn-ME"/>
        </w:rPr>
        <w:tab/>
        <w:t>NAZIV LIJEKA</w:t>
      </w:r>
    </w:p>
    <w:p w14:paraId="37FD100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25DC494" w14:textId="5F6617D6" w:rsidR="00A75B47" w:rsidRPr="003A22B9" w:rsidRDefault="00A75B47" w:rsidP="00A75B47">
      <w:pPr>
        <w:spacing w:before="5"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 xml:space="preserve">Rixathon, 100 mg/10 </w:t>
      </w:r>
      <w:r w:rsidR="00C72E8F" w:rsidRPr="003A22B9">
        <w:rPr>
          <w:rFonts w:ascii="Times New Roman" w:eastAsia="Times New Roman" w:hAnsi="Times New Roman" w:cs="Times New Roman"/>
          <w:spacing w:val="-2"/>
          <w:lang w:val="sr-Latn-ME"/>
        </w:rPr>
        <w:t>ml</w:t>
      </w:r>
      <w:r w:rsidRPr="003A22B9">
        <w:rPr>
          <w:rFonts w:ascii="Times New Roman" w:eastAsia="Times New Roman" w:hAnsi="Times New Roman" w:cs="Times New Roman"/>
          <w:spacing w:val="-2"/>
          <w:lang w:val="sr-Latn-ME"/>
        </w:rPr>
        <w:t xml:space="preserve">, koncentrat za rastvor za infuziju </w:t>
      </w:r>
    </w:p>
    <w:p w14:paraId="624B0CEC" w14:textId="6AAD5664" w:rsidR="00A75B47" w:rsidRPr="003A22B9" w:rsidRDefault="00A75B47" w:rsidP="00A75B47">
      <w:pPr>
        <w:spacing w:before="5" w:after="0" w:line="240" w:lineRule="auto"/>
        <w:jc w:val="both"/>
        <w:rPr>
          <w:rFonts w:ascii="Times New Roman" w:eastAsia="Times New Roman" w:hAnsi="Times New Roman" w:cs="Times New Roman"/>
          <w:bCs/>
          <w:spacing w:val="-2"/>
          <w:lang w:val="sr-Latn-ME"/>
        </w:rPr>
      </w:pPr>
      <w:r w:rsidRPr="003A22B9">
        <w:rPr>
          <w:rFonts w:ascii="Times New Roman" w:eastAsia="Times New Roman" w:hAnsi="Times New Roman" w:cs="Times New Roman"/>
          <w:spacing w:val="-2"/>
          <w:lang w:val="sr-Latn-ME"/>
        </w:rPr>
        <w:t xml:space="preserve">Rixathon, 500 mg/50 </w:t>
      </w:r>
      <w:r w:rsidR="00C72E8F" w:rsidRPr="003A22B9">
        <w:rPr>
          <w:rFonts w:ascii="Times New Roman" w:eastAsia="Times New Roman" w:hAnsi="Times New Roman" w:cs="Times New Roman"/>
          <w:spacing w:val="-2"/>
          <w:lang w:val="sr-Latn-ME"/>
        </w:rPr>
        <w:t>ml</w:t>
      </w:r>
      <w:r w:rsidRPr="003A22B9">
        <w:rPr>
          <w:rFonts w:ascii="Times New Roman" w:eastAsia="Times New Roman" w:hAnsi="Times New Roman" w:cs="Times New Roman"/>
          <w:spacing w:val="-2"/>
          <w:lang w:val="sr-Latn-ME"/>
        </w:rPr>
        <w:t>, koncentrat za rastvor za infuziju</w:t>
      </w:r>
    </w:p>
    <w:p w14:paraId="743BAB8D" w14:textId="77777777" w:rsidR="00A75B47" w:rsidRPr="003A22B9" w:rsidRDefault="00A75B47" w:rsidP="00A75B47">
      <w:pPr>
        <w:spacing w:after="0" w:line="240" w:lineRule="auto"/>
        <w:jc w:val="both"/>
        <w:rPr>
          <w:rFonts w:ascii="Times New Roman" w:eastAsia="Times New Roman" w:hAnsi="Times New Roman" w:cs="Times New Roman"/>
          <w:spacing w:val="-2"/>
          <w:lang w:val="sr-Latn-ME"/>
        </w:rPr>
      </w:pPr>
    </w:p>
    <w:p w14:paraId="30312DB2" w14:textId="77777777" w:rsidR="00A75B47" w:rsidRPr="003A22B9" w:rsidRDefault="00A75B47" w:rsidP="00A75B47">
      <w:pPr>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spacing w:val="-2"/>
          <w:lang w:val="sr-Latn-ME"/>
        </w:rPr>
        <w:t xml:space="preserve">INN: </w:t>
      </w:r>
      <w:r w:rsidRPr="003A22B9">
        <w:rPr>
          <w:rFonts w:ascii="Times New Roman" w:eastAsia="Times New Roman" w:hAnsi="Times New Roman" w:cs="Times New Roman"/>
          <w:spacing w:val="-1"/>
          <w:lang w:val="sr-Latn-ME"/>
        </w:rPr>
        <w:t>rituksimab</w:t>
      </w:r>
    </w:p>
    <w:p w14:paraId="69B2C7AC" w14:textId="77777777" w:rsidR="00A75B47" w:rsidRPr="003A22B9" w:rsidRDefault="00A75B47" w:rsidP="00A75B47">
      <w:pPr>
        <w:spacing w:after="0" w:line="240" w:lineRule="auto"/>
        <w:jc w:val="both"/>
        <w:rPr>
          <w:rFonts w:ascii="Times New Roman" w:eastAsia="Times New Roman" w:hAnsi="Times New Roman" w:cs="Times New Roman"/>
          <w:bCs/>
          <w:lang w:val="sr-Latn-ME"/>
        </w:rPr>
      </w:pPr>
    </w:p>
    <w:p w14:paraId="0AA312AA" w14:textId="77777777" w:rsidR="00A75B47" w:rsidRPr="003A22B9" w:rsidRDefault="00A75B47" w:rsidP="00A75B47">
      <w:pPr>
        <w:spacing w:after="0" w:line="240" w:lineRule="auto"/>
        <w:jc w:val="both"/>
        <w:rPr>
          <w:rFonts w:ascii="Times New Roman" w:eastAsia="Times New Roman" w:hAnsi="Times New Roman" w:cs="Times New Roman"/>
          <w:bCs/>
          <w:lang w:val="sr-Latn-ME"/>
        </w:rPr>
      </w:pPr>
    </w:p>
    <w:p w14:paraId="2D0FBCE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2. </w:t>
      </w:r>
      <w:r w:rsidRPr="003A22B9">
        <w:rPr>
          <w:rFonts w:ascii="Times New Roman" w:eastAsia="Times New Roman" w:hAnsi="Times New Roman" w:cs="Times New Roman"/>
          <w:b/>
          <w:bCs/>
          <w:lang w:val="sr-Latn-ME"/>
        </w:rPr>
        <w:tab/>
        <w:t>KVALITATIVNI I KVANTITATIVNI SASTAV</w:t>
      </w:r>
    </w:p>
    <w:p w14:paraId="4FCFC0A4" w14:textId="77777777" w:rsidR="00A75B47" w:rsidRPr="003A22B9" w:rsidRDefault="00A75B47" w:rsidP="00A75B47">
      <w:pPr>
        <w:spacing w:before="3" w:after="0" w:line="240" w:lineRule="auto"/>
        <w:jc w:val="both"/>
        <w:rPr>
          <w:rFonts w:ascii="Times New Roman" w:eastAsia="Times New Roman" w:hAnsi="Times New Roman" w:cs="Times New Roman"/>
          <w:b/>
          <w:bCs/>
          <w:lang w:val="sr-Latn-ME"/>
        </w:rPr>
      </w:pPr>
    </w:p>
    <w:p w14:paraId="701E26AC" w14:textId="0992D59B"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Rixathon, 100 mg/10 </w:t>
      </w:r>
      <w:r w:rsidR="00C72E8F" w:rsidRPr="003A22B9">
        <w:rPr>
          <w:rFonts w:ascii="Times New Roman" w:eastAsia="Times New Roman" w:hAnsi="Times New Roman" w:cs="Times New Roman"/>
          <w:u w:val="single"/>
          <w:lang w:val="sr-Latn-ME"/>
        </w:rPr>
        <w:t>ml</w:t>
      </w:r>
      <w:r w:rsidRPr="003A22B9">
        <w:rPr>
          <w:rFonts w:ascii="Times New Roman" w:eastAsia="Times New Roman" w:hAnsi="Times New Roman" w:cs="Times New Roman"/>
          <w:u w:val="single"/>
          <w:lang w:val="sr-Latn-ME"/>
        </w:rPr>
        <w:t>, koncentrat za rastvor za infuziju</w:t>
      </w:r>
    </w:p>
    <w:p w14:paraId="10E0A8E0" w14:textId="46EEFF8B" w:rsidR="000927BF" w:rsidRPr="003A22B9" w:rsidRDefault="000927BF"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Svaki ml sadrži 10 mg rituksimaba.</w:t>
      </w:r>
    </w:p>
    <w:p w14:paraId="4FBE7F2E" w14:textId="7E43FA2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Svaka bočica od 10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sadrži 100 mg rituksimaba. </w:t>
      </w:r>
    </w:p>
    <w:p w14:paraId="5A21FAB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49C8470" w14:textId="1BFBFB88"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Rixathon, 500 mg/50 </w:t>
      </w:r>
      <w:r w:rsidR="00C72E8F" w:rsidRPr="003A22B9">
        <w:rPr>
          <w:rFonts w:ascii="Times New Roman" w:eastAsia="Times New Roman" w:hAnsi="Times New Roman" w:cs="Times New Roman"/>
          <w:u w:val="single"/>
          <w:lang w:val="sr-Latn-ME"/>
        </w:rPr>
        <w:t>ml</w:t>
      </w:r>
      <w:r w:rsidRPr="003A22B9">
        <w:rPr>
          <w:rFonts w:ascii="Times New Roman" w:eastAsia="Times New Roman" w:hAnsi="Times New Roman" w:cs="Times New Roman"/>
          <w:u w:val="single"/>
          <w:lang w:val="sr-Latn-ME"/>
        </w:rPr>
        <w:t>, koncentrat za rastvor za infuziju</w:t>
      </w:r>
    </w:p>
    <w:p w14:paraId="2CED5830" w14:textId="4A88790B" w:rsidR="000927BF" w:rsidRPr="003A22B9" w:rsidRDefault="000927BF"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Svaki ml sadrži 10 mg rituksimaba.</w:t>
      </w:r>
    </w:p>
    <w:p w14:paraId="6391B8D8" w14:textId="677E901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Svaka bočica od 50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sadrži 500 mg rituksimaba. </w:t>
      </w:r>
    </w:p>
    <w:p w14:paraId="686D0F7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AF7D9C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Rituksimab je genskim inženjeringom dobijeno himerno mišje/humano monoklonsko antitijelo koje predstavlja glikozilovani imunoglobulin sa konstantnim regionima humanog IgG1 i mišjim sekvencama varijabilnih regiona lakih i teških lanaca. Ovo antitijelo se proizvodi u kulturi ćelijske suspenzije sisara (jajnici kineskog hrčka) i potom prečišćava afinitetnom hromatografijom i jonskom izmjenom, uključujući specifične procedure uklanjanja i inaktivacije virusa. </w:t>
      </w:r>
    </w:p>
    <w:p w14:paraId="516B211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5E1D2EA"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Pomoćna suspstanca sa potvrđenim dejstvom</w:t>
      </w:r>
    </w:p>
    <w:p w14:paraId="13652723" w14:textId="7D69F04E" w:rsidR="00A75B47" w:rsidRPr="003A22B9" w:rsidRDefault="00811835"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Svaka bočica od 10 </w:t>
      </w:r>
      <w:r w:rsidR="00C72E8F" w:rsidRPr="003A22B9">
        <w:rPr>
          <w:rFonts w:ascii="Times New Roman" w:eastAsia="Times New Roman" w:hAnsi="Times New Roman" w:cs="Times New Roman"/>
          <w:lang w:val="sr-Latn-ME"/>
        </w:rPr>
        <w:t>ml</w:t>
      </w:r>
      <w:r w:rsidR="00920FC5"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sadrži 2,3 mmol (52,6 mg) natrijuma</w:t>
      </w:r>
      <w:r w:rsidR="00F638E2" w:rsidRPr="003A22B9">
        <w:rPr>
          <w:rFonts w:ascii="Times New Roman" w:eastAsia="Times New Roman" w:hAnsi="Times New Roman" w:cs="Times New Roman"/>
          <w:lang w:val="sr-Latn-ME"/>
        </w:rPr>
        <w:t>.</w:t>
      </w:r>
    </w:p>
    <w:p w14:paraId="2A9B322C" w14:textId="6434E482" w:rsidR="00A75B47" w:rsidRPr="003A22B9" w:rsidRDefault="00FC42EB"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Svaka bočica od 50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sadrži 11,5 mmol (263,2 mg) natrijuma</w:t>
      </w:r>
      <w:r w:rsidR="00B2490C" w:rsidRPr="003A22B9">
        <w:rPr>
          <w:rFonts w:ascii="Times New Roman" w:eastAsia="Times New Roman" w:hAnsi="Times New Roman" w:cs="Times New Roman"/>
          <w:lang w:val="sr-Latn-ME"/>
        </w:rPr>
        <w:t>.</w:t>
      </w:r>
    </w:p>
    <w:p w14:paraId="1EE08E4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7BE76B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Za spisak svih ekscipijenasa, pogledati dio 6.1.</w:t>
      </w:r>
    </w:p>
    <w:p w14:paraId="50DDCE5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8416A0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08D252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3. </w:t>
      </w:r>
      <w:r w:rsidRPr="003A22B9">
        <w:rPr>
          <w:rFonts w:ascii="Times New Roman" w:eastAsia="Times New Roman" w:hAnsi="Times New Roman" w:cs="Times New Roman"/>
          <w:b/>
          <w:bCs/>
          <w:lang w:val="sr-Latn-ME"/>
        </w:rPr>
        <w:tab/>
        <w:t xml:space="preserve">FARMACEUTSKI OBLIK </w:t>
      </w:r>
    </w:p>
    <w:p w14:paraId="31D7DD4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150D3E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Koncentrat za rastvor za infuziju. </w:t>
      </w:r>
    </w:p>
    <w:p w14:paraId="54DDCFA2" w14:textId="16D81884" w:rsidR="00A75B47" w:rsidRPr="003A22B9" w:rsidRDefault="00A75B47" w:rsidP="00A75B47">
      <w:pPr>
        <w:widowControl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Bistar, bezbojan do slabo žućkast rastvor</w:t>
      </w:r>
      <w:r w:rsidR="000927BF" w:rsidRPr="003A22B9">
        <w:rPr>
          <w:rFonts w:ascii="Times New Roman" w:eastAsia="Times New Roman" w:hAnsi="Times New Roman" w:cs="Times New Roman"/>
          <w:lang w:val="sr-Latn-ME"/>
        </w:rPr>
        <w:t xml:space="preserve"> sa pH 6.3 - 6.7 i osmolalnošću ≥ 240 mOsm/kg.</w:t>
      </w:r>
    </w:p>
    <w:p w14:paraId="5C7352B7" w14:textId="77777777" w:rsidR="00A75B47" w:rsidRPr="003A22B9" w:rsidRDefault="00A75B47" w:rsidP="00A75B47">
      <w:pPr>
        <w:spacing w:after="0" w:line="240" w:lineRule="auto"/>
        <w:jc w:val="both"/>
        <w:rPr>
          <w:rFonts w:ascii="Times New Roman" w:eastAsia="Times New Roman" w:hAnsi="Times New Roman" w:cs="Times New Roman"/>
          <w:bCs/>
          <w:lang w:val="sr-Latn-ME"/>
        </w:rPr>
      </w:pPr>
    </w:p>
    <w:p w14:paraId="4F3920A7" w14:textId="77777777" w:rsidR="00A75B47" w:rsidRPr="003A22B9" w:rsidRDefault="00A75B47" w:rsidP="00A75B47">
      <w:pPr>
        <w:spacing w:after="0" w:line="240" w:lineRule="auto"/>
        <w:jc w:val="both"/>
        <w:rPr>
          <w:rFonts w:ascii="Times New Roman" w:eastAsia="Times New Roman" w:hAnsi="Times New Roman" w:cs="Times New Roman"/>
          <w:bCs/>
          <w:lang w:val="sr-Latn-ME"/>
        </w:rPr>
      </w:pPr>
    </w:p>
    <w:p w14:paraId="5DA68F44"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 </w:t>
      </w:r>
      <w:r w:rsidRPr="003A22B9">
        <w:rPr>
          <w:rFonts w:ascii="Times New Roman" w:eastAsia="Times New Roman" w:hAnsi="Times New Roman" w:cs="Times New Roman"/>
          <w:b/>
          <w:bCs/>
          <w:lang w:val="sr-Latn-ME"/>
        </w:rPr>
        <w:tab/>
        <w:t>KLINIČKI PODACI</w:t>
      </w:r>
    </w:p>
    <w:p w14:paraId="59D3136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19CE968"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4.1. </w:t>
      </w:r>
      <w:r w:rsidRPr="003A22B9">
        <w:rPr>
          <w:rFonts w:ascii="Times New Roman" w:eastAsia="Times New Roman" w:hAnsi="Times New Roman" w:cs="Times New Roman"/>
          <w:b/>
          <w:bCs/>
          <w:lang w:val="sr-Latn-ME"/>
        </w:rPr>
        <w:tab/>
        <w:t>Terapijske indikacije</w:t>
      </w:r>
    </w:p>
    <w:p w14:paraId="47025FBF" w14:textId="33DD0A44" w:rsidR="0050167C" w:rsidRPr="003A22B9" w:rsidRDefault="0050167C"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67EDE1E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 xml:space="preserve">Lijek Rixathon je indikovan za primjenu kod odraslih u sljedećim indikacijama: </w:t>
      </w:r>
    </w:p>
    <w:p w14:paraId="2C01135F"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4050E7E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u w:val="single"/>
          <w:lang w:val="sr-Latn-ME"/>
        </w:rPr>
      </w:pPr>
      <w:r w:rsidRPr="003A22B9">
        <w:rPr>
          <w:rFonts w:ascii="Times New Roman" w:eastAsia="Times New Roman" w:hAnsi="Times New Roman" w:cs="Times New Roman"/>
          <w:spacing w:val="-2"/>
          <w:u w:val="single"/>
          <w:lang w:val="sr-Latn-ME"/>
        </w:rPr>
        <w:t>Non-Hodgkinov limfom (NHL)</w:t>
      </w:r>
    </w:p>
    <w:p w14:paraId="7ADE1C5A"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35F29DCF" w14:textId="5C2F38F3"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 xml:space="preserve">Lijek Rixathon je u kombinaciji sa hemioterapijom indikovan za liječenje </w:t>
      </w:r>
      <w:r w:rsidR="007A6E04" w:rsidRPr="003A22B9">
        <w:rPr>
          <w:rFonts w:ascii="Times New Roman" w:eastAsia="Times New Roman" w:hAnsi="Times New Roman" w:cs="Times New Roman"/>
          <w:spacing w:val="-2"/>
          <w:lang w:val="sr-Latn-ME"/>
        </w:rPr>
        <w:t xml:space="preserve">odraslih </w:t>
      </w:r>
      <w:r w:rsidRPr="003A22B9">
        <w:rPr>
          <w:rFonts w:ascii="Times New Roman" w:eastAsia="Times New Roman" w:hAnsi="Times New Roman" w:cs="Times New Roman"/>
          <w:spacing w:val="-2"/>
          <w:lang w:val="sr-Latn-ME"/>
        </w:rPr>
        <w:t>pacijenata oboljelih od  foliku</w:t>
      </w:r>
      <w:r w:rsidR="004B7B3D" w:rsidRPr="003A22B9">
        <w:rPr>
          <w:rFonts w:ascii="Times New Roman" w:eastAsia="Times New Roman" w:hAnsi="Times New Roman" w:cs="Times New Roman"/>
          <w:spacing w:val="-2"/>
          <w:lang w:val="sr-Latn-ME"/>
        </w:rPr>
        <w:t>larnog limfoma stadijuma III-IV</w:t>
      </w:r>
      <w:r w:rsidRPr="003A22B9">
        <w:rPr>
          <w:rFonts w:ascii="Times New Roman" w:eastAsia="Times New Roman" w:hAnsi="Times New Roman" w:cs="Times New Roman"/>
          <w:spacing w:val="-2"/>
          <w:lang w:val="sr-Latn-ME"/>
        </w:rPr>
        <w:t xml:space="preserve"> koji prethodno nijesu liječeni. </w:t>
      </w:r>
    </w:p>
    <w:p w14:paraId="379CE471"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11B05423" w14:textId="77777777" w:rsidR="004B7B3D"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 xml:space="preserve">Lijek Rixathon je kao terapija održavanja indikovan za </w:t>
      </w:r>
      <w:r w:rsidR="00942A0A" w:rsidRPr="003A22B9">
        <w:rPr>
          <w:rFonts w:ascii="Times New Roman" w:eastAsia="Times New Roman" w:hAnsi="Times New Roman" w:cs="Times New Roman"/>
          <w:spacing w:val="-2"/>
          <w:lang w:val="sr-Latn-ME"/>
        </w:rPr>
        <w:t xml:space="preserve">odrasle </w:t>
      </w:r>
      <w:r w:rsidRPr="003A22B9">
        <w:rPr>
          <w:rFonts w:ascii="Times New Roman" w:eastAsia="Times New Roman" w:hAnsi="Times New Roman" w:cs="Times New Roman"/>
          <w:spacing w:val="-2"/>
          <w:lang w:val="sr-Latn-ME"/>
        </w:rPr>
        <w:t xml:space="preserve">pacijente sa folikularnim limfomom koji su odgovorili na indukcionu terapiju. </w:t>
      </w:r>
    </w:p>
    <w:p w14:paraId="1B748A11" w14:textId="1AA8A76F"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lastRenderedPageBreak/>
        <w:t xml:space="preserve">Lijek Rixathon je kao monoterapija indikovan za liječenje </w:t>
      </w:r>
      <w:r w:rsidR="007E764E" w:rsidRPr="003A22B9">
        <w:rPr>
          <w:rFonts w:ascii="Times New Roman" w:eastAsia="Times New Roman" w:hAnsi="Times New Roman" w:cs="Times New Roman"/>
          <w:spacing w:val="-2"/>
          <w:lang w:val="sr-Latn-ME"/>
        </w:rPr>
        <w:t xml:space="preserve">odraslih </w:t>
      </w:r>
      <w:r w:rsidRPr="003A22B9">
        <w:rPr>
          <w:rFonts w:ascii="Times New Roman" w:eastAsia="Times New Roman" w:hAnsi="Times New Roman" w:cs="Times New Roman"/>
          <w:spacing w:val="-2"/>
          <w:lang w:val="sr-Latn-ME"/>
        </w:rPr>
        <w:t>pacijenata oboljelih od foliku</w:t>
      </w:r>
      <w:r w:rsidR="004B7B3D" w:rsidRPr="003A22B9">
        <w:rPr>
          <w:rFonts w:ascii="Times New Roman" w:eastAsia="Times New Roman" w:hAnsi="Times New Roman" w:cs="Times New Roman"/>
          <w:spacing w:val="-2"/>
          <w:lang w:val="sr-Latn-ME"/>
        </w:rPr>
        <w:t>larnog limfoma stadijuma III-IV</w:t>
      </w:r>
      <w:r w:rsidRPr="003A22B9">
        <w:rPr>
          <w:rFonts w:ascii="Times New Roman" w:eastAsia="Times New Roman" w:hAnsi="Times New Roman" w:cs="Times New Roman"/>
          <w:spacing w:val="-2"/>
          <w:lang w:val="sr-Latn-ME"/>
        </w:rPr>
        <w:t xml:space="preserve"> koji su rezistentni na hemioterapiju ili su u drugom odnosno sljedećem relapsu nakon hemioterapije.</w:t>
      </w:r>
    </w:p>
    <w:p w14:paraId="60E1632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41A592C1" w14:textId="287EA14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 xml:space="preserve">Lijek Rixathon je u kombinaciji sa CHOP hemioterapijom (ciklofosfamid, doksorubicin, vinkristin, prednizolon) indikovan za liječenje </w:t>
      </w:r>
      <w:r w:rsidR="0089234E" w:rsidRPr="003A22B9">
        <w:rPr>
          <w:rFonts w:ascii="Times New Roman" w:eastAsia="Times New Roman" w:hAnsi="Times New Roman" w:cs="Times New Roman"/>
          <w:spacing w:val="-2"/>
          <w:lang w:val="sr-Latn-ME"/>
        </w:rPr>
        <w:t xml:space="preserve">odraslih </w:t>
      </w:r>
      <w:r w:rsidRPr="003A22B9">
        <w:rPr>
          <w:rFonts w:ascii="Times New Roman" w:eastAsia="Times New Roman" w:hAnsi="Times New Roman" w:cs="Times New Roman"/>
          <w:spacing w:val="-2"/>
          <w:lang w:val="sr-Latn-ME"/>
        </w:rPr>
        <w:t>pacijenata sa CD20 pozitivnim difuznim non-Hodgkinovim limfomom velikih B-ćelija.</w:t>
      </w:r>
    </w:p>
    <w:p w14:paraId="07FBC9D0" w14:textId="6FB1CACB"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40BF233" w14:textId="404DABB5" w:rsidR="00122D31" w:rsidRPr="003A22B9" w:rsidRDefault="00122D31" w:rsidP="00122D31">
      <w:pPr>
        <w:tabs>
          <w:tab w:val="left" w:pos="540"/>
          <w:tab w:val="left" w:pos="569"/>
        </w:tabs>
        <w:spacing w:after="0" w:line="240" w:lineRule="auto"/>
        <w:jc w:val="both"/>
        <w:rPr>
          <w:rFonts w:ascii="Times New Roman" w:eastAsia="Times New Roman" w:hAnsi="Times New Roman" w:cs="Times New Roman"/>
          <w:bCs/>
        </w:rPr>
      </w:pPr>
      <w:r w:rsidRPr="003A22B9">
        <w:rPr>
          <w:rFonts w:ascii="Times New Roman" w:eastAsia="Times New Roman" w:hAnsi="Times New Roman" w:cs="Times New Roman"/>
          <w:bCs/>
        </w:rPr>
        <w:t>Lijek</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Rixathon</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je</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u</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kombinaciji</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sa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hemioterapijom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indikovan</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za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lije</w:t>
      </w:r>
      <w:r w:rsidRPr="003A22B9">
        <w:rPr>
          <w:rFonts w:ascii="Times New Roman" w:eastAsia="Times New Roman" w:hAnsi="Times New Roman" w:cs="Times New Roman"/>
          <w:bCs/>
          <w:lang w:val="sr-Latn-ME"/>
        </w:rPr>
        <w:t>č</w:t>
      </w:r>
      <w:r w:rsidRPr="003A22B9">
        <w:rPr>
          <w:rFonts w:ascii="Times New Roman" w:eastAsia="Times New Roman" w:hAnsi="Times New Roman" w:cs="Times New Roman"/>
          <w:bCs/>
        </w:rPr>
        <w:t>enje</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pedijatrijskih</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pacijenata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uzrasta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od</w:t>
      </w:r>
      <w:r w:rsidRPr="003A22B9">
        <w:rPr>
          <w:rFonts w:ascii="Times New Roman" w:eastAsia="Times New Roman" w:hAnsi="Times New Roman" w:cs="Times New Roman"/>
          <w:bCs/>
          <w:lang w:val="sr-Latn-ME"/>
        </w:rPr>
        <w:t xml:space="preserve"> ≥ 6 </w:t>
      </w:r>
      <w:r w:rsidRPr="003A22B9">
        <w:rPr>
          <w:rFonts w:ascii="Times New Roman" w:eastAsia="Times New Roman" w:hAnsi="Times New Roman" w:cs="Times New Roman"/>
          <w:bCs/>
        </w:rPr>
        <w:t>m</w:t>
      </w:r>
      <w:r w:rsidR="006C6A21" w:rsidRPr="003A22B9">
        <w:rPr>
          <w:rFonts w:ascii="Times New Roman" w:eastAsia="Times New Roman" w:hAnsi="Times New Roman" w:cs="Times New Roman"/>
          <w:bCs/>
        </w:rPr>
        <w:t>j</w:t>
      </w:r>
      <w:r w:rsidRPr="003A22B9">
        <w:rPr>
          <w:rFonts w:ascii="Times New Roman" w:eastAsia="Times New Roman" w:hAnsi="Times New Roman" w:cs="Times New Roman"/>
          <w:bCs/>
        </w:rPr>
        <w:t>eseci</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do</w:t>
      </w:r>
      <w:r w:rsidRPr="003A22B9">
        <w:rPr>
          <w:rFonts w:ascii="Times New Roman" w:eastAsia="Times New Roman" w:hAnsi="Times New Roman" w:cs="Times New Roman"/>
          <w:bCs/>
          <w:lang w:val="sr-Latn-ME"/>
        </w:rPr>
        <w:t xml:space="preserve"> &lt; 18 </w:t>
      </w:r>
      <w:r w:rsidRPr="003A22B9">
        <w:rPr>
          <w:rFonts w:ascii="Times New Roman" w:eastAsia="Times New Roman" w:hAnsi="Times New Roman" w:cs="Times New Roman"/>
          <w:bCs/>
        </w:rPr>
        <w:t>godina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sa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prethodno</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nel</w:t>
      </w:r>
      <w:r w:rsidR="006C6A21" w:rsidRPr="003A22B9">
        <w:rPr>
          <w:rFonts w:ascii="Times New Roman" w:eastAsia="Times New Roman" w:hAnsi="Times New Roman" w:cs="Times New Roman"/>
          <w:bCs/>
        </w:rPr>
        <w:t>ij</w:t>
      </w:r>
      <w:r w:rsidRPr="003A22B9">
        <w:rPr>
          <w:rFonts w:ascii="Times New Roman" w:eastAsia="Times New Roman" w:hAnsi="Times New Roman" w:cs="Times New Roman"/>
          <w:bCs/>
        </w:rPr>
        <w:t>e</w:t>
      </w:r>
      <w:r w:rsidRPr="003A22B9">
        <w:rPr>
          <w:rFonts w:ascii="Times New Roman" w:eastAsia="Times New Roman" w:hAnsi="Times New Roman" w:cs="Times New Roman"/>
          <w:bCs/>
          <w:lang w:val="sr-Latn-ME"/>
        </w:rPr>
        <w:t>č</w:t>
      </w:r>
      <w:r w:rsidRPr="003A22B9">
        <w:rPr>
          <w:rFonts w:ascii="Times New Roman" w:eastAsia="Times New Roman" w:hAnsi="Times New Roman" w:cs="Times New Roman"/>
          <w:bCs/>
        </w:rPr>
        <w:t>enim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uznapredovalim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CD</w:t>
      </w:r>
      <w:r w:rsidRPr="003A22B9">
        <w:rPr>
          <w:rFonts w:ascii="Times New Roman" w:eastAsia="Times New Roman" w:hAnsi="Times New Roman" w:cs="Times New Roman"/>
          <w:bCs/>
          <w:lang w:val="sr-Latn-ME"/>
        </w:rPr>
        <w:t xml:space="preserve">20 </w:t>
      </w:r>
      <w:r w:rsidRPr="003A22B9">
        <w:rPr>
          <w:rFonts w:ascii="Times New Roman" w:eastAsia="Times New Roman" w:hAnsi="Times New Roman" w:cs="Times New Roman"/>
          <w:bCs/>
        </w:rPr>
        <w:t>pozitivnim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difuznim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B</w:t>
      </w:r>
      <w:r w:rsidRPr="003A22B9">
        <w:rPr>
          <w:rFonts w:ascii="Times New Roman" w:eastAsia="Times New Roman" w:hAnsi="Times New Roman" w:cs="Times New Roman"/>
          <w:bCs/>
          <w:lang w:val="sr-Latn-ME"/>
        </w:rPr>
        <w:t>-</w:t>
      </w:r>
      <w:r w:rsidRPr="003A22B9">
        <w:rPr>
          <w:rFonts w:ascii="Times New Roman" w:eastAsia="Times New Roman" w:hAnsi="Times New Roman" w:cs="Times New Roman"/>
          <w:bCs/>
        </w:rPr>
        <w:t>krupno</w:t>
      </w:r>
      <w:r w:rsidRPr="003A22B9">
        <w:rPr>
          <w:rFonts w:ascii="Times New Roman" w:eastAsia="Times New Roman" w:hAnsi="Times New Roman" w:cs="Times New Roman"/>
          <w:bCs/>
          <w:lang w:val="sr-Latn-ME"/>
        </w:rPr>
        <w:t>ć</w:t>
      </w:r>
      <w:r w:rsidRPr="003A22B9">
        <w:rPr>
          <w:rFonts w:ascii="Times New Roman" w:eastAsia="Times New Roman" w:hAnsi="Times New Roman" w:cs="Times New Roman"/>
          <w:bCs/>
        </w:rPr>
        <w:t>elijskim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limfomom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eng</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i/>
        </w:rPr>
        <w:t>diffuse</w:t>
      </w:r>
      <w:r w:rsidRPr="003A22B9">
        <w:rPr>
          <w:rFonts w:ascii="Times New Roman" w:eastAsia="Times New Roman" w:hAnsi="Times New Roman" w:cs="Times New Roman"/>
          <w:bCs/>
          <w:i/>
          <w:lang w:val="sr-Latn-ME"/>
        </w:rPr>
        <w:t xml:space="preserve"> </w:t>
      </w:r>
      <w:r w:rsidRPr="003A22B9">
        <w:rPr>
          <w:rFonts w:ascii="Times New Roman" w:eastAsia="Times New Roman" w:hAnsi="Times New Roman" w:cs="Times New Roman"/>
          <w:bCs/>
          <w:i/>
        </w:rPr>
        <w:t>large</w:t>
      </w:r>
      <w:r w:rsidRPr="003A22B9">
        <w:rPr>
          <w:rFonts w:ascii="Times New Roman" w:eastAsia="Times New Roman" w:hAnsi="Times New Roman" w:cs="Times New Roman"/>
          <w:bCs/>
          <w:i/>
          <w:lang w:val="sr-Latn-ME"/>
        </w:rPr>
        <w:t xml:space="preserve"> </w:t>
      </w:r>
      <w:r w:rsidRPr="003A22B9">
        <w:rPr>
          <w:rFonts w:ascii="Times New Roman" w:eastAsia="Times New Roman" w:hAnsi="Times New Roman" w:cs="Times New Roman"/>
          <w:bCs/>
          <w:i/>
        </w:rPr>
        <w:t>B</w:t>
      </w:r>
      <w:r w:rsidRPr="003A22B9">
        <w:rPr>
          <w:rFonts w:ascii="Times New Roman" w:eastAsia="Times New Roman" w:hAnsi="Times New Roman" w:cs="Times New Roman"/>
          <w:bCs/>
          <w:i/>
          <w:lang w:val="sr-Latn-ME"/>
        </w:rPr>
        <w:t>-</w:t>
      </w:r>
      <w:r w:rsidRPr="003A22B9">
        <w:rPr>
          <w:rFonts w:ascii="Times New Roman" w:eastAsia="Times New Roman" w:hAnsi="Times New Roman" w:cs="Times New Roman"/>
          <w:bCs/>
          <w:i/>
        </w:rPr>
        <w:t>cell</w:t>
      </w:r>
      <w:r w:rsidRPr="003A22B9">
        <w:rPr>
          <w:rFonts w:ascii="Times New Roman" w:eastAsia="Times New Roman" w:hAnsi="Times New Roman" w:cs="Times New Roman"/>
          <w:bCs/>
          <w:i/>
          <w:lang w:val="sr-Latn-ME"/>
        </w:rPr>
        <w:t xml:space="preserve"> </w:t>
      </w:r>
      <w:r w:rsidRPr="003A22B9">
        <w:rPr>
          <w:rFonts w:ascii="Times New Roman" w:eastAsia="Times New Roman" w:hAnsi="Times New Roman" w:cs="Times New Roman"/>
          <w:bCs/>
          <w:i/>
        </w:rPr>
        <w:t>lymphoma</w:t>
      </w:r>
      <w:r w:rsidRPr="003A22B9">
        <w:rPr>
          <w:rFonts w:ascii="Times New Roman" w:eastAsia="Times New Roman" w:hAnsi="Times New Roman" w:cs="Times New Roman"/>
          <w:bCs/>
          <w:i/>
          <w:lang w:val="sr-Latn-ME"/>
        </w:rPr>
        <w:t xml:space="preserve">, </w:t>
      </w:r>
      <w:r w:rsidRPr="003A22B9">
        <w:rPr>
          <w:rFonts w:ascii="Times New Roman" w:eastAsia="Times New Roman" w:hAnsi="Times New Roman" w:cs="Times New Roman"/>
          <w:bCs/>
        </w:rPr>
        <w:t>DLBCL</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Burkitt</w:t>
      </w:r>
      <w:r w:rsidRPr="003A22B9">
        <w:rPr>
          <w:rFonts w:ascii="Times New Roman" w:eastAsia="Times New Roman" w:hAnsi="Times New Roman" w:cs="Times New Roman"/>
          <w:bCs/>
          <w:lang w:val="sr-Latn-ME"/>
        </w:rPr>
        <w:t>-</w:t>
      </w:r>
      <w:r w:rsidRPr="003A22B9">
        <w:rPr>
          <w:rFonts w:ascii="Times New Roman" w:eastAsia="Times New Roman" w:hAnsi="Times New Roman" w:cs="Times New Roman"/>
          <w:bCs/>
        </w:rPr>
        <w:t>ovim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limfomom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BL</w:t>
      </w:r>
      <w:r w:rsidRPr="003A22B9">
        <w:rPr>
          <w:rFonts w:ascii="Times New Roman" w:eastAsia="Times New Roman" w:hAnsi="Times New Roman" w:cs="Times New Roman"/>
          <w:bCs/>
          <w:lang w:val="sr-Latn-ME"/>
        </w:rPr>
        <w:t>)/</w:t>
      </w:r>
      <w:r w:rsidRPr="003A22B9">
        <w:rPr>
          <w:rFonts w:ascii="Times New Roman" w:eastAsia="Times New Roman" w:hAnsi="Times New Roman" w:cs="Times New Roman"/>
          <w:bCs/>
        </w:rPr>
        <w:t>Burkitt</w:t>
      </w:r>
      <w:r w:rsidRPr="003A22B9">
        <w:rPr>
          <w:rFonts w:ascii="Times New Roman" w:eastAsia="Times New Roman" w:hAnsi="Times New Roman" w:cs="Times New Roman"/>
          <w:bCs/>
          <w:lang w:val="sr-Latn-ME"/>
        </w:rPr>
        <w:t>-</w:t>
      </w:r>
      <w:r w:rsidRPr="003A22B9">
        <w:rPr>
          <w:rFonts w:ascii="Times New Roman" w:eastAsia="Times New Roman" w:hAnsi="Times New Roman" w:cs="Times New Roman"/>
          <w:bCs/>
        </w:rPr>
        <w:t>ovom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leukemijom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akutnom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leukemijom</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zrelih</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B</w:t>
      </w:r>
      <w:r w:rsidRPr="003A22B9">
        <w:rPr>
          <w:rFonts w:ascii="Times New Roman" w:eastAsia="Times New Roman" w:hAnsi="Times New Roman" w:cs="Times New Roman"/>
          <w:bCs/>
          <w:lang w:val="sr-Latn-ME"/>
        </w:rPr>
        <w:t>-</w:t>
      </w:r>
      <w:r w:rsidRPr="003A22B9">
        <w:rPr>
          <w:rFonts w:ascii="Times New Roman" w:eastAsia="Times New Roman" w:hAnsi="Times New Roman" w:cs="Times New Roman"/>
          <w:bCs/>
        </w:rPr>
        <w:t>limfocita</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rPr>
        <w:t>eng</w:t>
      </w:r>
      <w:r w:rsidRPr="003A22B9">
        <w:rPr>
          <w:rFonts w:ascii="Times New Roman" w:eastAsia="Times New Roman" w:hAnsi="Times New Roman" w:cs="Times New Roman"/>
          <w:bCs/>
          <w:lang w:val="sr-Latn-ME"/>
        </w:rPr>
        <w:t xml:space="preserve">. </w:t>
      </w:r>
      <w:r w:rsidRPr="003A22B9">
        <w:rPr>
          <w:rFonts w:ascii="Times New Roman" w:eastAsia="Times New Roman" w:hAnsi="Times New Roman" w:cs="Times New Roman"/>
          <w:bCs/>
          <w:i/>
        </w:rPr>
        <w:t xml:space="preserve">B-cell acute leukaemia, </w:t>
      </w:r>
      <w:r w:rsidRPr="003A22B9">
        <w:rPr>
          <w:rFonts w:ascii="Times New Roman" w:eastAsia="Times New Roman" w:hAnsi="Times New Roman" w:cs="Times New Roman"/>
          <w:bCs/>
        </w:rPr>
        <w:t xml:space="preserve">BAL]) ili limfomom nalik Burkitt-ovom (eng. </w:t>
      </w:r>
      <w:r w:rsidRPr="003A22B9">
        <w:rPr>
          <w:rFonts w:ascii="Times New Roman" w:eastAsia="Times New Roman" w:hAnsi="Times New Roman" w:cs="Times New Roman"/>
          <w:bCs/>
          <w:i/>
        </w:rPr>
        <w:t>Burkitt-like lymphom</w:t>
      </w:r>
      <w:r w:rsidRPr="003A22B9">
        <w:rPr>
          <w:rFonts w:ascii="Times New Roman" w:eastAsia="Times New Roman" w:hAnsi="Times New Roman" w:cs="Times New Roman"/>
          <w:bCs/>
        </w:rPr>
        <w:t>a, BLL).</w:t>
      </w:r>
    </w:p>
    <w:p w14:paraId="12BDBD18" w14:textId="77777777" w:rsidR="00122D31" w:rsidRPr="003A22B9" w:rsidRDefault="00122D31"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6179DFEA"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u w:val="single"/>
          <w:lang w:val="sr-Latn-ME"/>
        </w:rPr>
      </w:pPr>
      <w:r w:rsidRPr="003A22B9">
        <w:rPr>
          <w:rFonts w:ascii="Times New Roman" w:eastAsia="Times New Roman" w:hAnsi="Times New Roman" w:cs="Times New Roman"/>
          <w:spacing w:val="-2"/>
          <w:u w:val="single"/>
          <w:lang w:val="sr-Latn-ME"/>
        </w:rPr>
        <w:t>Hronična limfocitna leukemija (HLL)</w:t>
      </w:r>
    </w:p>
    <w:p w14:paraId="1B900C6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00393ABE" w14:textId="532C090B"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Lijek Rixathon je u kombinaciji sa hemioterapijom indikovan za liječenje pacijenata sa prethodno neliječenom ili relapsirajućom/refraktarnom hroničnom limfocitnom leukemijom. Dostupni su samo ograničeni podaci o efikasnosti i bezbjednosti za pacijenate prethodno liječene monoklonskim antitijelima uključujući i rituksima</w:t>
      </w:r>
      <w:r w:rsidR="004B7B3D" w:rsidRPr="003A22B9">
        <w:rPr>
          <w:rFonts w:ascii="Times New Roman" w:eastAsia="Times New Roman" w:hAnsi="Times New Roman" w:cs="Times New Roman"/>
          <w:spacing w:val="-2"/>
          <w:lang w:val="sr-Latn-ME"/>
        </w:rPr>
        <w:t>b, kao i za pacijenate refraktor</w:t>
      </w:r>
      <w:r w:rsidRPr="003A22B9">
        <w:rPr>
          <w:rFonts w:ascii="Times New Roman" w:eastAsia="Times New Roman" w:hAnsi="Times New Roman" w:cs="Times New Roman"/>
          <w:spacing w:val="-2"/>
          <w:lang w:val="sr-Latn-ME"/>
        </w:rPr>
        <w:t>ne na prethodnu terapiju rituksimabom u kombinaciji sa hemioterapijom.</w:t>
      </w:r>
    </w:p>
    <w:p w14:paraId="2E8F44A5"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49493B91" w14:textId="5B63BBEB"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Za doda</w:t>
      </w:r>
      <w:r w:rsidR="004B7B3D" w:rsidRPr="003A22B9">
        <w:rPr>
          <w:rFonts w:ascii="Times New Roman" w:eastAsia="Times New Roman" w:hAnsi="Times New Roman" w:cs="Times New Roman"/>
          <w:spacing w:val="-2"/>
          <w:lang w:val="sr-Latn-ME"/>
        </w:rPr>
        <w:t>tne informacije vidjeti dio</w:t>
      </w:r>
      <w:r w:rsidRPr="003A22B9">
        <w:rPr>
          <w:rFonts w:ascii="Times New Roman" w:eastAsia="Times New Roman" w:hAnsi="Times New Roman" w:cs="Times New Roman"/>
          <w:spacing w:val="-2"/>
          <w:lang w:val="sr-Latn-ME"/>
        </w:rPr>
        <w:t xml:space="preserve"> 5.1. </w:t>
      </w:r>
    </w:p>
    <w:p w14:paraId="197F18C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3BE70BE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u w:val="single"/>
          <w:lang w:val="sr-Latn-ME"/>
        </w:rPr>
      </w:pPr>
      <w:r w:rsidRPr="003A22B9">
        <w:rPr>
          <w:rFonts w:ascii="Times New Roman" w:eastAsia="Times New Roman" w:hAnsi="Times New Roman" w:cs="Times New Roman"/>
          <w:spacing w:val="-2"/>
          <w:u w:val="single"/>
          <w:lang w:val="sr-Latn-ME"/>
        </w:rPr>
        <w:t xml:space="preserve">Reumatoidni artritis </w:t>
      </w:r>
    </w:p>
    <w:p w14:paraId="29C03C77"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u w:val="single"/>
          <w:lang w:val="sr-Latn-ME"/>
        </w:rPr>
      </w:pPr>
    </w:p>
    <w:p w14:paraId="4EDC66C3" w14:textId="1CFDD745"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 xml:space="preserve">Lijek Rixathon je u kombinaciji sa metotreksatom indikovan za liječenje odraslih pacijenata sa teškim oblikom aktivnog reumatoidnog artritisa koji nijesu dovoljno dobro odgovorili na druge antireumatske ljekove koji modifikuju tok bolesti (engl. </w:t>
      </w:r>
      <w:r w:rsidRPr="003A22B9">
        <w:rPr>
          <w:rFonts w:ascii="Times New Roman" w:eastAsia="Times New Roman" w:hAnsi="Times New Roman" w:cs="Times New Roman"/>
          <w:i/>
          <w:spacing w:val="-2"/>
          <w:lang w:val="sr-Latn-ME"/>
        </w:rPr>
        <w:t>disease-mo</w:t>
      </w:r>
      <w:r w:rsidR="004B7B3D" w:rsidRPr="003A22B9">
        <w:rPr>
          <w:rFonts w:ascii="Times New Roman" w:eastAsia="Times New Roman" w:hAnsi="Times New Roman" w:cs="Times New Roman"/>
          <w:i/>
          <w:spacing w:val="-2"/>
          <w:lang w:val="sr-Latn-ME"/>
        </w:rPr>
        <w:t xml:space="preserve">difying </w:t>
      </w:r>
      <w:r w:rsidRPr="003A22B9">
        <w:rPr>
          <w:rFonts w:ascii="Times New Roman" w:eastAsia="Times New Roman" w:hAnsi="Times New Roman" w:cs="Times New Roman"/>
          <w:i/>
          <w:spacing w:val="-2"/>
          <w:lang w:val="sr-Latn-ME"/>
        </w:rPr>
        <w:t>anti-rheumatic drugs</w:t>
      </w:r>
      <w:r w:rsidRPr="003A22B9">
        <w:rPr>
          <w:rFonts w:ascii="Times New Roman" w:eastAsia="Times New Roman" w:hAnsi="Times New Roman" w:cs="Times New Roman"/>
          <w:spacing w:val="-2"/>
          <w:lang w:val="sr-Latn-ME"/>
        </w:rPr>
        <w:t xml:space="preserve"> - DMARDs), uključujući jedan ili više inhibitora faktora nekroze tumora (TNF), ili ih nijesu podnosili.</w:t>
      </w:r>
    </w:p>
    <w:p w14:paraId="785F3641"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77B15FA2"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Pokazano je da rituksimab u kombinaciji sa metotreksatom usporava progresiju oštećenja zglobova radiografski mjereno i da poboljšava fizičku funkciju.</w:t>
      </w:r>
    </w:p>
    <w:p w14:paraId="6AAECC2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4EDAC93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u w:val="single"/>
          <w:lang w:val="sr-Latn-ME"/>
        </w:rPr>
      </w:pPr>
      <w:r w:rsidRPr="003A22B9">
        <w:rPr>
          <w:rFonts w:ascii="Times New Roman" w:eastAsia="Times New Roman" w:hAnsi="Times New Roman" w:cs="Times New Roman"/>
          <w:spacing w:val="-2"/>
          <w:u w:val="single"/>
          <w:lang w:val="sr-Latn-ME"/>
        </w:rPr>
        <w:t xml:space="preserve">Granulomatoza sa poliangitisom i mikroskopski poliangitis </w:t>
      </w:r>
    </w:p>
    <w:p w14:paraId="3A65FCA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p>
    <w:p w14:paraId="759B4D7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spacing w:val="-2"/>
          <w:lang w:val="sr-Latn-ME"/>
        </w:rPr>
      </w:pPr>
      <w:r w:rsidRPr="003A22B9">
        <w:rPr>
          <w:rFonts w:ascii="Times New Roman" w:eastAsia="Times New Roman" w:hAnsi="Times New Roman" w:cs="Times New Roman"/>
          <w:spacing w:val="-2"/>
          <w:lang w:val="sr-Latn-ME"/>
        </w:rPr>
        <w:t>Lijek Rixathon je u kombinaciji sa glukokortikoidima indikovan za liječenje odraslih pacijenata sa teškom aktivnom granulomatozom sa poliangitisom (Wegener-ova granulomatoza) (GPA) i mikroskopskim poliangitisom (MPA).</w:t>
      </w:r>
    </w:p>
    <w:p w14:paraId="61F6C4A9" w14:textId="42611908"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7AD161A4" w14:textId="1C2D06CE" w:rsidR="002A1D4E" w:rsidRPr="003A22B9" w:rsidRDefault="002A1D4E" w:rsidP="002A1D4E">
      <w:pPr>
        <w:tabs>
          <w:tab w:val="left" w:pos="540"/>
          <w:tab w:val="left" w:pos="569"/>
        </w:tabs>
        <w:spacing w:after="0" w:line="240" w:lineRule="auto"/>
        <w:jc w:val="both"/>
        <w:rPr>
          <w:rFonts w:ascii="Times New Roman" w:eastAsia="Times New Roman" w:hAnsi="Times New Roman" w:cs="Times New Roman"/>
          <w:bCs/>
          <w:lang w:val="it-IT"/>
        </w:rPr>
      </w:pPr>
      <w:r w:rsidRPr="003A22B9">
        <w:rPr>
          <w:rFonts w:ascii="Times New Roman" w:eastAsia="Times New Roman" w:hAnsi="Times New Roman" w:cs="Times New Roman"/>
          <w:bCs/>
          <w:lang w:val="it-IT"/>
        </w:rPr>
        <w:t xml:space="preserve">Lijek Rixathon je u kombinaciji sa glukokortikoidima indikovan za </w:t>
      </w:r>
      <w:r w:rsidR="001811D3" w:rsidRPr="003A22B9">
        <w:rPr>
          <w:rFonts w:ascii="Times New Roman" w:eastAsia="Times New Roman" w:hAnsi="Times New Roman" w:cs="Times New Roman"/>
          <w:bCs/>
          <w:lang w:val="it-IT"/>
        </w:rPr>
        <w:t>indukciju</w:t>
      </w:r>
      <w:r w:rsidRPr="003A22B9">
        <w:rPr>
          <w:rFonts w:ascii="Times New Roman" w:eastAsia="Times New Roman" w:hAnsi="Times New Roman" w:cs="Times New Roman"/>
          <w:bCs/>
          <w:lang w:val="it-IT"/>
        </w:rPr>
        <w:t xml:space="preserve"> remisije kod pedijatrijskih pacijenata (uzrasta od ≥ 2 do &lt; 18 godina) sa teškim aktivnim GPA-om (Wegenerovom granulomatozom) i MPA-om.</w:t>
      </w:r>
    </w:p>
    <w:p w14:paraId="72B02290" w14:textId="77777777" w:rsidR="00613C51" w:rsidRPr="003A22B9" w:rsidRDefault="00613C51" w:rsidP="00A75B47">
      <w:pPr>
        <w:tabs>
          <w:tab w:val="left" w:pos="540"/>
          <w:tab w:val="left" w:pos="569"/>
        </w:tabs>
        <w:spacing w:after="0" w:line="240" w:lineRule="auto"/>
        <w:jc w:val="both"/>
        <w:rPr>
          <w:rFonts w:ascii="Times New Roman" w:eastAsia="Times New Roman" w:hAnsi="Times New Roman" w:cs="Times New Roman"/>
          <w:bCs/>
          <w:lang w:val="it-IT"/>
        </w:rPr>
      </w:pPr>
    </w:p>
    <w:p w14:paraId="52E374B7"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eastAsia="th-TH" w:bidi="th-TH"/>
        </w:rPr>
      </w:pPr>
      <w:r w:rsidRPr="003A22B9">
        <w:rPr>
          <w:rFonts w:ascii="Times New Roman" w:eastAsia="Times New Roman" w:hAnsi="Times New Roman" w:cs="Times New Roman"/>
          <w:u w:val="single"/>
          <w:lang w:val="sr-Latn-ME"/>
        </w:rPr>
        <w:t xml:space="preserve">Obični pemfigus </w:t>
      </w:r>
      <w:r w:rsidRPr="003A22B9">
        <w:rPr>
          <w:rFonts w:ascii="Times New Roman" w:eastAsia="Times New Roman" w:hAnsi="Times New Roman" w:cs="Times New Roman"/>
          <w:u w:val="single"/>
          <w:lang w:val="sr-Latn-ME" w:eastAsia="th-TH" w:bidi="th-TH"/>
        </w:rPr>
        <w:t>(</w:t>
      </w:r>
      <w:r w:rsidRPr="003A22B9">
        <w:rPr>
          <w:rFonts w:ascii="Times New Roman" w:eastAsia="Times New Roman" w:hAnsi="Times New Roman" w:cs="Times New Roman"/>
          <w:i/>
          <w:u w:val="single"/>
          <w:lang w:val="sr-Latn-ME" w:eastAsia="th-TH" w:bidi="th-TH"/>
        </w:rPr>
        <w:t>pemphigus vulgaris</w:t>
      </w:r>
      <w:r w:rsidRPr="003A22B9">
        <w:rPr>
          <w:rFonts w:ascii="Times New Roman" w:eastAsia="Times New Roman" w:hAnsi="Times New Roman" w:cs="Times New Roman"/>
          <w:u w:val="single"/>
          <w:lang w:val="sr-Latn-ME" w:eastAsia="th-TH" w:bidi="th-TH"/>
        </w:rPr>
        <w:t>, PV)</w:t>
      </w:r>
    </w:p>
    <w:p w14:paraId="7B016AD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68A7690" w14:textId="47D14201" w:rsidR="00A75B47" w:rsidRPr="003A22B9" w:rsidRDefault="00A75B47" w:rsidP="004B7B3D">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Lijek Rixathon je indikovan za liječenje pacijenata sa umjerenim do teškim oblikom običnog pemfigusa (PV).</w:t>
      </w:r>
    </w:p>
    <w:p w14:paraId="68F3707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5E2F7294"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4.2. </w:t>
      </w:r>
      <w:r w:rsidRPr="003A22B9">
        <w:rPr>
          <w:rFonts w:ascii="Times New Roman" w:eastAsia="Times New Roman" w:hAnsi="Times New Roman" w:cs="Times New Roman"/>
          <w:b/>
          <w:bCs/>
          <w:lang w:val="sr-Latn-ME"/>
        </w:rPr>
        <w:tab/>
        <w:t>Doziranje i način primjene</w:t>
      </w:r>
    </w:p>
    <w:p w14:paraId="5D4B8BA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363A6BFA" w14:textId="066ADDE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Lijek Rixathon treba primjenjivati pod direktnim nadzorom iskusnog zdravstvenog radnika i u bolničkom okruženju gdje su na raspolaganju svi uređaji </w:t>
      </w:r>
      <w:r w:rsidR="004B7B3D" w:rsidRPr="003A22B9">
        <w:rPr>
          <w:rFonts w:ascii="Times New Roman" w:eastAsia="Times New Roman" w:hAnsi="Times New Roman" w:cs="Times New Roman"/>
          <w:lang w:val="sr-Latn-ME"/>
        </w:rPr>
        <w:t>za reanimaciju (vidjeti dio</w:t>
      </w:r>
      <w:r w:rsidRPr="003A22B9">
        <w:rPr>
          <w:rFonts w:ascii="Times New Roman" w:eastAsia="Times New Roman" w:hAnsi="Times New Roman" w:cs="Times New Roman"/>
          <w:lang w:val="sr-Latn-ME"/>
        </w:rPr>
        <w:t xml:space="preserve"> 4.4).</w:t>
      </w:r>
    </w:p>
    <w:p w14:paraId="7A4D208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BE59230"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Premedikacija i profilaktične medikacije</w:t>
      </w:r>
    </w:p>
    <w:p w14:paraId="20FEE905" w14:textId="32E973E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 xml:space="preserve">Prije svake primjene lijeka Rixathon uvijek treba primijeniti premedikaciju koja obuhvata antipiretik i antihistaminik, npr. paracetamol i difenhidramin. </w:t>
      </w:r>
    </w:p>
    <w:p w14:paraId="6E3E2600" w14:textId="4356B95B" w:rsidR="00A75B47" w:rsidRDefault="00A75B47" w:rsidP="00A75B47">
      <w:pPr>
        <w:spacing w:after="0" w:line="240" w:lineRule="auto"/>
        <w:jc w:val="both"/>
        <w:rPr>
          <w:rFonts w:ascii="Times New Roman" w:eastAsia="Times New Roman" w:hAnsi="Times New Roman" w:cs="Times New Roman"/>
          <w:lang w:val="sr-Latn-ME"/>
        </w:rPr>
      </w:pPr>
    </w:p>
    <w:p w14:paraId="5D782ABB" w14:textId="77777777" w:rsidR="003F598B" w:rsidRPr="003F598B" w:rsidRDefault="003F598B" w:rsidP="003F598B">
      <w:pPr>
        <w:spacing w:after="0" w:line="240" w:lineRule="auto"/>
        <w:jc w:val="both"/>
        <w:rPr>
          <w:rFonts w:ascii="Times New Roman" w:eastAsia="Times New Roman" w:hAnsi="Times New Roman" w:cs="Times New Roman"/>
          <w:lang w:val="sr-Latn-ME"/>
        </w:rPr>
      </w:pPr>
      <w:r w:rsidRPr="003F598B">
        <w:rPr>
          <w:rFonts w:ascii="Times New Roman" w:eastAsia="Times New Roman" w:hAnsi="Times New Roman" w:cs="Times New Roman"/>
          <w:lang w:val="sr-Latn-ME"/>
        </w:rPr>
        <w:t>U odraslih bolesnika s NHL-om i KLL-om potrebno je razmotriti premedikaciju glukokortikoidima</w:t>
      </w:r>
    </w:p>
    <w:p w14:paraId="7111AFCC" w14:textId="05C12CCA" w:rsidR="003F598B" w:rsidRDefault="003F598B" w:rsidP="003F598B">
      <w:pPr>
        <w:spacing w:after="0" w:line="240" w:lineRule="auto"/>
        <w:jc w:val="both"/>
        <w:rPr>
          <w:rFonts w:ascii="Times New Roman" w:eastAsia="Times New Roman" w:hAnsi="Times New Roman" w:cs="Times New Roman"/>
          <w:lang w:val="sr-Latn-ME"/>
        </w:rPr>
      </w:pPr>
      <w:r w:rsidRPr="003F598B">
        <w:rPr>
          <w:rFonts w:ascii="Times New Roman" w:eastAsia="Times New Roman" w:hAnsi="Times New Roman" w:cs="Times New Roman"/>
          <w:lang w:val="sr-Latn-ME"/>
        </w:rPr>
        <w:t>ako se Rixathon n</w:t>
      </w:r>
      <w:r w:rsidR="000B1F1D">
        <w:rPr>
          <w:rFonts w:ascii="Times New Roman" w:eastAsia="Times New Roman" w:hAnsi="Times New Roman" w:cs="Times New Roman"/>
          <w:lang w:val="sr-Latn-ME"/>
        </w:rPr>
        <w:t>e primjenjuje u kombinaciji s he</w:t>
      </w:r>
      <w:r w:rsidRPr="003F598B">
        <w:rPr>
          <w:rFonts w:ascii="Times New Roman" w:eastAsia="Times New Roman" w:hAnsi="Times New Roman" w:cs="Times New Roman"/>
          <w:lang w:val="sr-Latn-ME"/>
        </w:rPr>
        <w:t>m</w:t>
      </w:r>
      <w:r w:rsidR="000B1F1D">
        <w:rPr>
          <w:rFonts w:ascii="Times New Roman" w:eastAsia="Times New Roman" w:hAnsi="Times New Roman" w:cs="Times New Roman"/>
          <w:lang w:val="sr-Latn-ME"/>
        </w:rPr>
        <w:t>i</w:t>
      </w:r>
      <w:r w:rsidRPr="003F598B">
        <w:rPr>
          <w:rFonts w:ascii="Times New Roman" w:eastAsia="Times New Roman" w:hAnsi="Times New Roman" w:cs="Times New Roman"/>
          <w:lang w:val="sr-Latn-ME"/>
        </w:rPr>
        <w:t>oterapijom koja sadrži glukokortikoide</w:t>
      </w:r>
    </w:p>
    <w:p w14:paraId="1CA56C67" w14:textId="77777777" w:rsidR="003F598B" w:rsidRPr="003A22B9" w:rsidRDefault="003F598B" w:rsidP="003F598B">
      <w:pPr>
        <w:spacing w:after="0" w:line="240" w:lineRule="auto"/>
        <w:jc w:val="both"/>
        <w:rPr>
          <w:rFonts w:ascii="Times New Roman" w:eastAsia="Times New Roman" w:hAnsi="Times New Roman" w:cs="Times New Roman"/>
          <w:lang w:val="sr-Latn-ME"/>
        </w:rPr>
      </w:pPr>
    </w:p>
    <w:p w14:paraId="6144CF40" w14:textId="37F6E0D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w:t>
      </w:r>
      <w:r w:rsidR="00613C51" w:rsidRPr="003A22B9">
        <w:rPr>
          <w:rFonts w:ascii="Times New Roman" w:eastAsia="Times New Roman" w:hAnsi="Times New Roman" w:cs="Times New Roman"/>
          <w:lang w:val="sr-Latn-ME"/>
        </w:rPr>
        <w:t xml:space="preserve">odraslih </w:t>
      </w:r>
      <w:r w:rsidRPr="003A22B9">
        <w:rPr>
          <w:rFonts w:ascii="Times New Roman" w:eastAsia="Times New Roman" w:hAnsi="Times New Roman" w:cs="Times New Roman"/>
          <w:lang w:val="sr-Latn-ME"/>
        </w:rPr>
        <w:t xml:space="preserve">pacijenata sa </w:t>
      </w:r>
      <w:r w:rsidRPr="003A22B9">
        <w:rPr>
          <w:rFonts w:ascii="Times New Roman" w:eastAsia="Times New Roman" w:hAnsi="Times New Roman" w:cs="Times New Roman"/>
          <w:i/>
          <w:iCs/>
          <w:shd w:val="clear" w:color="auto" w:fill="FFFFFF"/>
          <w:lang w:val="sr-Latn-ME"/>
        </w:rPr>
        <w:t>non</w:t>
      </w:r>
      <w:r w:rsidRPr="003A22B9">
        <w:rPr>
          <w:rFonts w:ascii="Times New Roman" w:eastAsia="Times New Roman" w:hAnsi="Times New Roman" w:cs="Times New Roman"/>
          <w:shd w:val="clear" w:color="auto" w:fill="FFFFFF"/>
          <w:lang w:val="sr-Latn-ME"/>
        </w:rPr>
        <w:t>-</w:t>
      </w:r>
      <w:r w:rsidRPr="003A22B9">
        <w:rPr>
          <w:rFonts w:ascii="Times New Roman" w:eastAsia="Times New Roman" w:hAnsi="Times New Roman" w:cs="Times New Roman"/>
          <w:i/>
          <w:iCs/>
          <w:shd w:val="clear" w:color="auto" w:fill="FFFFFF"/>
          <w:lang w:val="sr-Latn-ME"/>
        </w:rPr>
        <w:t>Hodgkinovim limfomom</w:t>
      </w:r>
      <w:r w:rsidRPr="003A22B9">
        <w:rPr>
          <w:rFonts w:ascii="Times New Roman" w:eastAsia="Times New Roman" w:hAnsi="Times New Roman" w:cs="Times New Roman"/>
          <w:lang w:val="sr-Latn-ME"/>
        </w:rPr>
        <w:t xml:space="preserve"> i HLL-om </w:t>
      </w:r>
      <w:r w:rsidR="00933332" w:rsidRPr="003A22B9">
        <w:rPr>
          <w:rFonts w:ascii="Times New Roman" w:eastAsia="Times New Roman" w:hAnsi="Times New Roman" w:cs="Times New Roman"/>
          <w:lang w:val="sr-Latn-ME"/>
        </w:rPr>
        <w:t xml:space="preserve">koji primaju Rixathon u skladu sa brzinom infuzije od 90 minuta </w:t>
      </w:r>
      <w:r w:rsidRPr="003A22B9">
        <w:rPr>
          <w:rFonts w:ascii="Times New Roman" w:eastAsia="Times New Roman" w:hAnsi="Times New Roman" w:cs="Times New Roman"/>
          <w:lang w:val="sr-Latn-ME"/>
        </w:rPr>
        <w:t xml:space="preserve">potrebno je razmotriti premedikaciju glukokortikoidima ako se lijek Rixathon ne primjenjuje u kombinaciji sa hemoterapijom koja sadrži glukokortikoide. </w:t>
      </w:r>
    </w:p>
    <w:p w14:paraId="27CFB0D4" w14:textId="680DC152" w:rsidR="00A75B47" w:rsidRPr="003A22B9" w:rsidRDefault="00A75B47" w:rsidP="00A75B47">
      <w:pPr>
        <w:spacing w:after="0" w:line="240" w:lineRule="auto"/>
        <w:jc w:val="both"/>
        <w:rPr>
          <w:rFonts w:ascii="Times New Roman" w:eastAsia="Times New Roman" w:hAnsi="Times New Roman" w:cs="Times New Roman"/>
          <w:lang w:val="sr-Latn-ME"/>
        </w:rPr>
      </w:pPr>
    </w:p>
    <w:p w14:paraId="09BC1B67" w14:textId="1B154D12" w:rsidR="00AE737E" w:rsidRPr="003A22B9" w:rsidRDefault="00AE737E" w:rsidP="00AE737E">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rPr>
        <w:t>Kod</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pedijatrijskih</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pacijenata</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sa</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non</w:t>
      </w:r>
      <w:r w:rsidRPr="003A22B9">
        <w:rPr>
          <w:rFonts w:ascii="Times New Roman" w:eastAsia="Times New Roman" w:hAnsi="Times New Roman" w:cs="Times New Roman"/>
          <w:lang w:val="sr-Latn-ME"/>
        </w:rPr>
        <w:t>-</w:t>
      </w:r>
      <w:r w:rsidRPr="003A22B9">
        <w:rPr>
          <w:rFonts w:ascii="Times New Roman" w:eastAsia="Times New Roman" w:hAnsi="Times New Roman" w:cs="Times New Roman"/>
        </w:rPr>
        <w:t>Hodgkinovim</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limfomom</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potrebno</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je</w:t>
      </w:r>
      <w:r w:rsidRPr="003A22B9">
        <w:rPr>
          <w:rFonts w:ascii="Times New Roman" w:eastAsia="Times New Roman" w:hAnsi="Times New Roman" w:cs="Times New Roman"/>
          <w:lang w:val="sr-Latn-ME"/>
        </w:rPr>
        <w:t xml:space="preserve"> </w:t>
      </w:r>
      <w:r w:rsidR="004B7B3D" w:rsidRPr="003A22B9">
        <w:rPr>
          <w:rFonts w:ascii="Times New Roman" w:eastAsia="Times New Roman" w:hAnsi="Times New Roman" w:cs="Times New Roman"/>
        </w:rPr>
        <w:t>primijenit</w:t>
      </w:r>
      <w:r w:rsidRPr="003A22B9">
        <w:rPr>
          <w:rFonts w:ascii="Times New Roman" w:eastAsia="Times New Roman" w:hAnsi="Times New Roman" w:cs="Times New Roman"/>
        </w:rPr>
        <w:t>i</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premedikaciju</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paracetamolom</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i</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H</w:t>
      </w:r>
      <w:r w:rsidRPr="003A22B9">
        <w:rPr>
          <w:rFonts w:ascii="Times New Roman" w:eastAsia="Times New Roman" w:hAnsi="Times New Roman" w:cs="Times New Roman"/>
          <w:lang w:val="sr-Latn-ME"/>
        </w:rPr>
        <w:t xml:space="preserve">1 </w:t>
      </w:r>
      <w:r w:rsidRPr="003A22B9">
        <w:rPr>
          <w:rFonts w:ascii="Times New Roman" w:eastAsia="Times New Roman" w:hAnsi="Times New Roman" w:cs="Times New Roman"/>
        </w:rPr>
        <w:t>antihistaminikom</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tj</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difenhidraminom</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ili</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ekvivalentom</w:t>
      </w:r>
      <w:r w:rsidRPr="003A22B9">
        <w:rPr>
          <w:rFonts w:ascii="Times New Roman" w:eastAsia="Times New Roman" w:hAnsi="Times New Roman" w:cs="Times New Roman"/>
          <w:lang w:val="sr-Latn-ME"/>
        </w:rPr>
        <w:t xml:space="preserve">) 30 - 60 </w:t>
      </w:r>
      <w:r w:rsidRPr="003A22B9">
        <w:rPr>
          <w:rFonts w:ascii="Times New Roman" w:eastAsia="Times New Roman" w:hAnsi="Times New Roman" w:cs="Times New Roman"/>
        </w:rPr>
        <w:t>minuta</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pr</w:t>
      </w:r>
      <w:r w:rsidR="004B639B" w:rsidRPr="003A22B9">
        <w:rPr>
          <w:rFonts w:ascii="Times New Roman" w:eastAsia="Times New Roman" w:hAnsi="Times New Roman" w:cs="Times New Roman"/>
        </w:rPr>
        <w:t>ij</w:t>
      </w:r>
      <w:r w:rsidRPr="003A22B9">
        <w:rPr>
          <w:rFonts w:ascii="Times New Roman" w:eastAsia="Times New Roman" w:hAnsi="Times New Roman" w:cs="Times New Roman"/>
        </w:rPr>
        <w:t>e</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po</w:t>
      </w:r>
      <w:r w:rsidRPr="003A22B9">
        <w:rPr>
          <w:rFonts w:ascii="Times New Roman" w:eastAsia="Times New Roman" w:hAnsi="Times New Roman" w:cs="Times New Roman"/>
          <w:lang w:val="sr-Latn-ME"/>
        </w:rPr>
        <w:t>č</w:t>
      </w:r>
      <w:r w:rsidRPr="003A22B9">
        <w:rPr>
          <w:rFonts w:ascii="Times New Roman" w:eastAsia="Times New Roman" w:hAnsi="Times New Roman" w:cs="Times New Roman"/>
        </w:rPr>
        <w:t>etka</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infuzije</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l</w:t>
      </w:r>
      <w:r w:rsidR="00734A5E" w:rsidRPr="003A22B9">
        <w:rPr>
          <w:rFonts w:ascii="Times New Roman" w:eastAsia="Times New Roman" w:hAnsi="Times New Roman" w:cs="Times New Roman"/>
        </w:rPr>
        <w:t>ij</w:t>
      </w:r>
      <w:r w:rsidRPr="003A22B9">
        <w:rPr>
          <w:rFonts w:ascii="Times New Roman" w:eastAsia="Times New Roman" w:hAnsi="Times New Roman" w:cs="Times New Roman"/>
        </w:rPr>
        <w:t>eka</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rPr>
        <w:t>Rixathon</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it-IT"/>
        </w:rPr>
        <w:t xml:space="preserve">Pored toga treba </w:t>
      </w:r>
      <w:r w:rsidR="004B7B3D" w:rsidRPr="003A22B9">
        <w:rPr>
          <w:rFonts w:ascii="Times New Roman" w:eastAsia="Times New Roman" w:hAnsi="Times New Roman" w:cs="Times New Roman"/>
          <w:lang w:val="it-IT"/>
        </w:rPr>
        <w:t>primijenit</w:t>
      </w:r>
      <w:r w:rsidRPr="003A22B9">
        <w:rPr>
          <w:rFonts w:ascii="Times New Roman" w:eastAsia="Times New Roman" w:hAnsi="Times New Roman" w:cs="Times New Roman"/>
          <w:lang w:val="it-IT"/>
        </w:rPr>
        <w:t>i i prednizon, kako je navedeno u Tabeli 1.</w:t>
      </w:r>
    </w:p>
    <w:p w14:paraId="72BE4DD0" w14:textId="77777777" w:rsidR="00AE737E" w:rsidRPr="003A22B9" w:rsidRDefault="00AE737E" w:rsidP="00A75B47">
      <w:pPr>
        <w:spacing w:after="0" w:line="240" w:lineRule="auto"/>
        <w:jc w:val="both"/>
        <w:rPr>
          <w:rFonts w:ascii="Times New Roman" w:eastAsia="Times New Roman" w:hAnsi="Times New Roman" w:cs="Times New Roman"/>
          <w:lang w:val="it-IT"/>
        </w:rPr>
      </w:pPr>
    </w:p>
    <w:p w14:paraId="65BF820A" w14:textId="280F727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Za pacijente sa HLL-om prepo</w:t>
      </w:r>
      <w:r w:rsidR="00532853" w:rsidRPr="003A22B9">
        <w:rPr>
          <w:rFonts w:ascii="Times New Roman" w:eastAsia="Times New Roman" w:hAnsi="Times New Roman" w:cs="Times New Roman"/>
          <w:lang w:val="sr-Latn-ME"/>
        </w:rPr>
        <w:t>ručuje se profilaksa odgovarajućom</w:t>
      </w:r>
      <w:r w:rsidRPr="003A22B9">
        <w:rPr>
          <w:rFonts w:ascii="Times New Roman" w:eastAsia="Times New Roman" w:hAnsi="Times New Roman" w:cs="Times New Roman"/>
          <w:lang w:val="sr-Latn-ME"/>
        </w:rPr>
        <w:t xml:space="preserve"> hidra</w:t>
      </w:r>
      <w:r w:rsidR="00C05E36" w:rsidRPr="003A22B9">
        <w:rPr>
          <w:rFonts w:ascii="Times New Roman" w:eastAsia="Times New Roman" w:hAnsi="Times New Roman" w:cs="Times New Roman"/>
          <w:lang w:val="sr-Latn-ME"/>
        </w:rPr>
        <w:t>ta</w:t>
      </w:r>
      <w:r w:rsidRPr="003A22B9">
        <w:rPr>
          <w:rFonts w:ascii="Times New Roman" w:eastAsia="Times New Roman" w:hAnsi="Times New Roman" w:cs="Times New Roman"/>
          <w:lang w:val="sr-Latn-ME"/>
        </w:rPr>
        <w:t>cijom i primjenom ljekova koji inhibiraju stvaranje mokraćne kiseline 48 sati prije početka terapije kako bi se smanjio rizik od sindroma lize tumora. Kod pacijenata sa HLL-om koji imaju broj limfocita &gt; 25 x 10</w:t>
      </w:r>
      <w:r w:rsidRPr="003A22B9">
        <w:rPr>
          <w:rFonts w:ascii="Times New Roman" w:eastAsia="Times New Roman" w:hAnsi="Times New Roman" w:cs="Times New Roman"/>
          <w:vertAlign w:val="superscript"/>
          <w:lang w:val="sr-Latn-ME"/>
        </w:rPr>
        <w:t>9</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preporučuje se primjena</w:t>
      </w:r>
      <w:r w:rsidR="00420DC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prednizona/prednizolona u dozi od 100 mg intravenski neposredno prije infuzije lijeka Rixathon kako bi se </w:t>
      </w:r>
      <w:r w:rsidR="00532853" w:rsidRPr="003A22B9">
        <w:rPr>
          <w:rFonts w:ascii="Times New Roman" w:eastAsia="Times New Roman" w:hAnsi="Times New Roman" w:cs="Times New Roman"/>
          <w:lang w:val="sr-Latn-ME"/>
        </w:rPr>
        <w:t>smanjila stopa i težina akutne</w:t>
      </w:r>
      <w:r w:rsidRPr="003A22B9">
        <w:rPr>
          <w:rFonts w:ascii="Times New Roman" w:eastAsia="Times New Roman" w:hAnsi="Times New Roman" w:cs="Times New Roman"/>
          <w:lang w:val="sr-Latn-ME"/>
        </w:rPr>
        <w:t xml:space="preserve"> reakcije </w:t>
      </w:r>
      <w:r w:rsidR="00532853" w:rsidRPr="003A22B9">
        <w:rPr>
          <w:rFonts w:ascii="Times New Roman" w:eastAsia="Times New Roman" w:hAnsi="Times New Roman" w:cs="Times New Roman"/>
          <w:lang w:val="sr-Latn-ME"/>
        </w:rPr>
        <w:t>na infuziju i/ili sindroma oslobađanja</w:t>
      </w:r>
      <w:r w:rsidRPr="003A22B9">
        <w:rPr>
          <w:rFonts w:ascii="Times New Roman" w:eastAsia="Times New Roman" w:hAnsi="Times New Roman" w:cs="Times New Roman"/>
          <w:lang w:val="sr-Latn-ME"/>
        </w:rPr>
        <w:t xml:space="preserve"> citokina.</w:t>
      </w:r>
    </w:p>
    <w:p w14:paraId="7EECAF5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90FAA85" w14:textId="616E283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pacijenata sa reumatoidnim artritisom, </w:t>
      </w:r>
      <w:r w:rsidR="00B05497" w:rsidRPr="003A22B9">
        <w:rPr>
          <w:rFonts w:ascii="Times New Roman" w:eastAsia="Times New Roman" w:hAnsi="Times New Roman" w:cs="Times New Roman"/>
          <w:lang w:val="sr-Latn-ME"/>
        </w:rPr>
        <w:t xml:space="preserve">GPA </w:t>
      </w:r>
      <w:r w:rsidRPr="003A22B9">
        <w:rPr>
          <w:rFonts w:ascii="Times New Roman" w:eastAsia="Times New Roman" w:hAnsi="Times New Roman" w:cs="Times New Roman"/>
          <w:lang w:val="sr-Latn-ME"/>
        </w:rPr>
        <w:t xml:space="preserve">ili </w:t>
      </w:r>
      <w:r w:rsidR="00B05497" w:rsidRPr="003A22B9">
        <w:rPr>
          <w:rFonts w:ascii="Times New Roman" w:eastAsia="Times New Roman" w:hAnsi="Times New Roman" w:cs="Times New Roman"/>
          <w:lang w:val="sr-Latn-ME"/>
        </w:rPr>
        <w:t xml:space="preserve">MPA </w:t>
      </w:r>
      <w:r w:rsidRPr="003A22B9">
        <w:rPr>
          <w:rFonts w:ascii="Times New Roman" w:eastAsia="Times New Roman" w:hAnsi="Times New Roman" w:cs="Times New Roman"/>
          <w:lang w:val="sr-Latn-ME"/>
        </w:rPr>
        <w:t xml:space="preserve">u remisiji ili sa običnim pemfigusom treba primijeniti premedikaciju metilprednizolonom u dozi od 100 mg intravenski radi smanjenja incidencije i težine reakcija povezanih sa infuzijom (eng. </w:t>
      </w:r>
      <w:r w:rsidRPr="003A22B9">
        <w:rPr>
          <w:rFonts w:ascii="Times New Roman" w:eastAsia="Times New Roman" w:hAnsi="Times New Roman" w:cs="Times New Roman"/>
          <w:i/>
          <w:lang w:val="sr-Latn-ME"/>
        </w:rPr>
        <w:t>Infusion - related reactions</w:t>
      </w:r>
      <w:r w:rsidRPr="003A22B9">
        <w:rPr>
          <w:rFonts w:ascii="Times New Roman" w:eastAsia="Times New Roman" w:hAnsi="Times New Roman" w:cs="Times New Roman"/>
          <w:lang w:val="sr-Latn-ME"/>
        </w:rPr>
        <w:t xml:space="preserve"> – IRRs), a primjena mora da se završi 30 minuta prije početka </w:t>
      </w:r>
      <w:r w:rsidR="00120C04" w:rsidRPr="003A22B9">
        <w:rPr>
          <w:rFonts w:ascii="Times New Roman" w:eastAsia="Times New Roman" w:hAnsi="Times New Roman" w:cs="Times New Roman"/>
          <w:lang w:val="sr-Latn-ME"/>
        </w:rPr>
        <w:t xml:space="preserve">svake </w:t>
      </w:r>
      <w:r w:rsidRPr="003A22B9">
        <w:rPr>
          <w:rFonts w:ascii="Times New Roman" w:eastAsia="Times New Roman" w:hAnsi="Times New Roman" w:cs="Times New Roman"/>
          <w:lang w:val="sr-Latn-ME"/>
        </w:rPr>
        <w:t xml:space="preserve">infuzije lijeka Rixathon. </w:t>
      </w:r>
    </w:p>
    <w:p w14:paraId="490D8B5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7A7F023" w14:textId="3464F6F0" w:rsidR="00A75B47"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w:t>
      </w:r>
      <w:r w:rsidR="00353537" w:rsidRPr="003A22B9">
        <w:rPr>
          <w:rFonts w:ascii="Times New Roman" w:eastAsia="Times New Roman" w:hAnsi="Times New Roman" w:cs="Times New Roman"/>
          <w:lang w:val="sr-Latn-ME"/>
        </w:rPr>
        <w:t xml:space="preserve">odraslih </w:t>
      </w:r>
      <w:r w:rsidRPr="003A22B9">
        <w:rPr>
          <w:rFonts w:ascii="Times New Roman" w:eastAsia="Times New Roman" w:hAnsi="Times New Roman" w:cs="Times New Roman"/>
          <w:lang w:val="sr-Latn-ME"/>
        </w:rPr>
        <w:t xml:space="preserve">pacijenata sa </w:t>
      </w:r>
      <w:r w:rsidR="002E5F05" w:rsidRPr="003A22B9">
        <w:rPr>
          <w:rFonts w:ascii="Times New Roman" w:eastAsia="Times New Roman" w:hAnsi="Times New Roman" w:cs="Times New Roman"/>
          <w:lang w:val="sr-Latn-ME"/>
        </w:rPr>
        <w:t xml:space="preserve">GPA </w:t>
      </w:r>
      <w:r w:rsidRPr="003A22B9">
        <w:rPr>
          <w:rFonts w:ascii="Times New Roman" w:eastAsia="Times New Roman" w:hAnsi="Times New Roman" w:cs="Times New Roman"/>
          <w:lang w:val="sr-Latn-ME"/>
        </w:rPr>
        <w:t xml:space="preserve">ili </w:t>
      </w:r>
      <w:r w:rsidR="007A7991" w:rsidRPr="003A22B9">
        <w:rPr>
          <w:rFonts w:ascii="Times New Roman" w:eastAsia="Times New Roman" w:hAnsi="Times New Roman" w:cs="Times New Roman"/>
          <w:lang w:val="sr-Latn-ME"/>
        </w:rPr>
        <w:t xml:space="preserve">MPA </w:t>
      </w:r>
      <w:r w:rsidRPr="003A22B9">
        <w:rPr>
          <w:rFonts w:ascii="Times New Roman" w:eastAsia="Times New Roman" w:hAnsi="Times New Roman" w:cs="Times New Roman"/>
          <w:lang w:val="sr-Latn-ME"/>
        </w:rPr>
        <w:t>se prije prve infuzije lijeka Rixathon preporučuje intravenska primjena metilprednizolona u dozi od 1000 mg na dan tokom 1 do 3 dana (posljednja doza metilprednizolona može se dati istog dana kao i prva infuzija lijeka Rixathon). Nakon toga, treba tokom i nakon 4-nedjeljnog uvodnog liječenja lijekom Rixathon peroralno davati prednizon u dozi od 1 mg/kg na dan (ne više od 80 mg na dan i što brže postupno smanjivati dozu, zavisno od kliničke potrebe).</w:t>
      </w:r>
    </w:p>
    <w:p w14:paraId="20622C42" w14:textId="77777777" w:rsidR="003F598B" w:rsidRPr="003A22B9" w:rsidRDefault="003F598B" w:rsidP="00A75B47">
      <w:pPr>
        <w:spacing w:after="0" w:line="240" w:lineRule="auto"/>
        <w:jc w:val="both"/>
        <w:rPr>
          <w:rFonts w:ascii="Times New Roman" w:eastAsia="Times New Roman" w:hAnsi="Times New Roman" w:cs="Times New Roman"/>
          <w:lang w:val="sr-Latn-ME"/>
        </w:rPr>
      </w:pPr>
    </w:p>
    <w:p w14:paraId="70B42C87" w14:textId="7D7413D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w:t>
      </w:r>
      <w:r w:rsidR="00746A33" w:rsidRPr="003A22B9">
        <w:rPr>
          <w:rFonts w:ascii="Times New Roman" w:eastAsia="Times New Roman" w:hAnsi="Times New Roman" w:cs="Times New Roman"/>
          <w:lang w:val="sr-Latn-ME"/>
        </w:rPr>
        <w:t xml:space="preserve">odraslih </w:t>
      </w:r>
      <w:r w:rsidRPr="003A22B9">
        <w:rPr>
          <w:rFonts w:ascii="Times New Roman" w:eastAsia="Times New Roman" w:hAnsi="Times New Roman" w:cs="Times New Roman"/>
          <w:lang w:val="sr-Latn-ME"/>
        </w:rPr>
        <w:t xml:space="preserve">pacijenata koji imaju GPA/MPA ili PV preporučuje se profilaksa pneumonije koju uzrokuje </w:t>
      </w:r>
      <w:r w:rsidRPr="003A22B9">
        <w:rPr>
          <w:rFonts w:ascii="Times New Roman" w:eastAsia="Times New Roman" w:hAnsi="Times New Roman" w:cs="Times New Roman"/>
          <w:i/>
          <w:lang w:val="sr-Latn-ME"/>
        </w:rPr>
        <w:t>Pneumocystic jirovecii</w:t>
      </w:r>
      <w:r w:rsidRPr="003A22B9">
        <w:rPr>
          <w:rFonts w:ascii="Times New Roman" w:eastAsia="Times New Roman" w:hAnsi="Times New Roman" w:cs="Times New Roman"/>
          <w:lang w:val="sr-Latn-ME"/>
        </w:rPr>
        <w:t xml:space="preserve"> </w:t>
      </w:r>
      <w:r w:rsidR="00546EC4" w:rsidRPr="003A22B9">
        <w:rPr>
          <w:rFonts w:ascii="Times New Roman" w:eastAsia="Times New Roman" w:hAnsi="Times New Roman" w:cs="Times New Roman"/>
          <w:lang w:val="sr-Latn-ME"/>
        </w:rPr>
        <w:t xml:space="preserve">(PJP) </w:t>
      </w:r>
      <w:r w:rsidRPr="003A22B9">
        <w:rPr>
          <w:rFonts w:ascii="Times New Roman" w:eastAsia="Times New Roman" w:hAnsi="Times New Roman" w:cs="Times New Roman"/>
          <w:lang w:val="sr-Latn-ME"/>
        </w:rPr>
        <w:t>tokom i nakon liječenja lijekom Rixathon, prema potrebi i u skladu s lokalnim smjernicama za kliničku praksu.</w:t>
      </w:r>
    </w:p>
    <w:p w14:paraId="4B1D31A0" w14:textId="30180DB8"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2BA23291" w14:textId="77777777" w:rsidR="0091234E" w:rsidRPr="003A22B9" w:rsidRDefault="0091234E" w:rsidP="0091234E">
      <w:pPr>
        <w:widowControl w:val="0"/>
        <w:spacing w:after="0" w:line="240" w:lineRule="auto"/>
        <w:jc w:val="both"/>
        <w:rPr>
          <w:rFonts w:ascii="Times New Roman" w:eastAsia="Calibri" w:hAnsi="Times New Roman" w:cs="Times New Roman"/>
          <w:i/>
          <w:lang w:val="it-IT"/>
        </w:rPr>
      </w:pPr>
      <w:r w:rsidRPr="003A22B9">
        <w:rPr>
          <w:rFonts w:ascii="Times New Roman" w:eastAsia="Calibri" w:hAnsi="Times New Roman" w:cs="Times New Roman"/>
          <w:i/>
          <w:lang w:val="it-IT"/>
        </w:rPr>
        <w:t xml:space="preserve">Pedijatrijska populacija </w:t>
      </w:r>
    </w:p>
    <w:p w14:paraId="26900A86" w14:textId="77777777" w:rsidR="003F598B" w:rsidRDefault="0091234E" w:rsidP="0091234E">
      <w:pPr>
        <w:widowControl w:val="0"/>
        <w:spacing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Kod pedijatrijskih pacijenata sa GPA-om ili MPA-om pr</w:t>
      </w:r>
      <w:r w:rsidR="00D56DF5" w:rsidRPr="003A22B9">
        <w:rPr>
          <w:rFonts w:ascii="Times New Roman" w:eastAsia="Calibri" w:hAnsi="Times New Roman" w:cs="Times New Roman"/>
          <w:lang w:val="it-IT"/>
        </w:rPr>
        <w:t>ij</w:t>
      </w:r>
      <w:r w:rsidRPr="003A22B9">
        <w:rPr>
          <w:rFonts w:ascii="Times New Roman" w:eastAsia="Calibri" w:hAnsi="Times New Roman" w:cs="Times New Roman"/>
          <w:lang w:val="it-IT"/>
        </w:rPr>
        <w:t>e prve intravenske infuzije l</w:t>
      </w:r>
      <w:r w:rsidR="00D56DF5"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eka Rixathon treba intravenski </w:t>
      </w:r>
      <w:r w:rsidR="004B7B3D" w:rsidRPr="003A22B9">
        <w:rPr>
          <w:rFonts w:ascii="Times New Roman" w:eastAsia="Calibri" w:hAnsi="Times New Roman" w:cs="Times New Roman"/>
          <w:lang w:val="it-IT"/>
        </w:rPr>
        <w:t>primijenit</w:t>
      </w:r>
      <w:r w:rsidRPr="003A22B9">
        <w:rPr>
          <w:rFonts w:ascii="Times New Roman" w:eastAsia="Calibri" w:hAnsi="Times New Roman" w:cs="Times New Roman"/>
          <w:lang w:val="it-IT"/>
        </w:rPr>
        <w:t>i tri dnevne doze metilprednizolona od 30 mg/kg na dan (ne više od 1 g na dan) za l</w:t>
      </w:r>
      <w:r w:rsidR="00047792"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ečenje simptoma teškog vaskulitisa. Pr</w:t>
      </w:r>
      <w:r w:rsidR="00562CC8" w:rsidRPr="003A22B9">
        <w:rPr>
          <w:rFonts w:ascii="Times New Roman" w:eastAsia="Calibri" w:hAnsi="Times New Roman" w:cs="Times New Roman"/>
          <w:lang w:val="it-IT"/>
        </w:rPr>
        <w:t>ij</w:t>
      </w:r>
      <w:r w:rsidRPr="003A22B9">
        <w:rPr>
          <w:rFonts w:ascii="Times New Roman" w:eastAsia="Calibri" w:hAnsi="Times New Roman" w:cs="Times New Roman"/>
          <w:lang w:val="it-IT"/>
        </w:rPr>
        <w:t>e prve infuzije l</w:t>
      </w:r>
      <w:r w:rsidR="007D54F1" w:rsidRPr="003A22B9">
        <w:rPr>
          <w:rFonts w:ascii="Times New Roman" w:eastAsia="Calibri" w:hAnsi="Times New Roman" w:cs="Times New Roman"/>
          <w:lang w:val="it-IT"/>
        </w:rPr>
        <w:t>ij</w:t>
      </w:r>
      <w:r w:rsidRPr="003A22B9">
        <w:rPr>
          <w:rFonts w:ascii="Times New Roman" w:eastAsia="Calibri" w:hAnsi="Times New Roman" w:cs="Times New Roman"/>
          <w:lang w:val="it-IT"/>
        </w:rPr>
        <w:t>eka Rixathon mogu intravenski da se prim</w:t>
      </w:r>
      <w:r w:rsidR="00157EBC" w:rsidRPr="003A22B9">
        <w:rPr>
          <w:rFonts w:ascii="Times New Roman" w:eastAsia="Calibri" w:hAnsi="Times New Roman" w:cs="Times New Roman"/>
          <w:lang w:val="it-IT"/>
        </w:rPr>
        <w:t>j</w:t>
      </w:r>
      <w:r w:rsidRPr="003A22B9">
        <w:rPr>
          <w:rFonts w:ascii="Times New Roman" w:eastAsia="Calibri" w:hAnsi="Times New Roman" w:cs="Times New Roman"/>
          <w:lang w:val="it-IT"/>
        </w:rPr>
        <w:t xml:space="preserve">ene do tri dodatne dnevne doze metilprednizolona od 30 mg/kg. </w:t>
      </w:r>
    </w:p>
    <w:p w14:paraId="66DF8F0B" w14:textId="77777777" w:rsidR="003F598B" w:rsidRDefault="0091234E" w:rsidP="0091234E">
      <w:pPr>
        <w:widowControl w:val="0"/>
        <w:spacing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Nakon završetka intravenske prim</w:t>
      </w:r>
      <w:r w:rsidR="00157EBC" w:rsidRPr="003A22B9">
        <w:rPr>
          <w:rFonts w:ascii="Times New Roman" w:eastAsia="Calibri" w:hAnsi="Times New Roman" w:cs="Times New Roman"/>
          <w:lang w:val="it-IT"/>
        </w:rPr>
        <w:t>j</w:t>
      </w:r>
      <w:r w:rsidRPr="003A22B9">
        <w:rPr>
          <w:rFonts w:ascii="Times New Roman" w:eastAsia="Calibri" w:hAnsi="Times New Roman" w:cs="Times New Roman"/>
          <w:lang w:val="it-IT"/>
        </w:rPr>
        <w:t>ene metilprednizolona pacijentima treba peroralno davati prednizon u dozi od 1 mg/kg na dan (ne više od 60 mg na dan) i što brže postupno smanjivati dozu, u zavisnosti od kliničke potrebe (vid</w:t>
      </w:r>
      <w:r w:rsidR="00C47E1C" w:rsidRPr="003A22B9">
        <w:rPr>
          <w:rFonts w:ascii="Times New Roman" w:eastAsia="Calibri" w:hAnsi="Times New Roman" w:cs="Times New Roman"/>
          <w:lang w:val="it-IT"/>
        </w:rPr>
        <w:t>j</w:t>
      </w:r>
      <w:r w:rsidR="00F15AE1" w:rsidRPr="003A22B9">
        <w:rPr>
          <w:rFonts w:ascii="Times New Roman" w:eastAsia="Calibri" w:hAnsi="Times New Roman" w:cs="Times New Roman"/>
          <w:lang w:val="it-IT"/>
        </w:rPr>
        <w:t>eti dio</w:t>
      </w:r>
      <w:r w:rsidRPr="003A22B9">
        <w:rPr>
          <w:rFonts w:ascii="Times New Roman" w:eastAsia="Calibri" w:hAnsi="Times New Roman" w:cs="Times New Roman"/>
          <w:lang w:val="it-IT"/>
        </w:rPr>
        <w:t xml:space="preserve"> 5.1). </w:t>
      </w:r>
    </w:p>
    <w:p w14:paraId="087A9C34" w14:textId="3E308809" w:rsidR="0091234E" w:rsidRPr="003A22B9" w:rsidRDefault="0091234E" w:rsidP="0091234E">
      <w:pPr>
        <w:widowControl w:val="0"/>
        <w:spacing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 xml:space="preserve">Kod pedijatrijskih pacijenata koji imaju GPA ili MPA preporučuje se profilaksa pneumonije koju uzrokuje </w:t>
      </w:r>
      <w:r w:rsidRPr="003A22B9">
        <w:rPr>
          <w:rFonts w:ascii="Times New Roman" w:eastAsia="Calibri" w:hAnsi="Times New Roman" w:cs="Times New Roman"/>
          <w:i/>
          <w:lang w:val="it-IT"/>
        </w:rPr>
        <w:t>Pneumocystic jirovecii</w:t>
      </w:r>
      <w:r w:rsidRPr="003A22B9">
        <w:rPr>
          <w:rFonts w:ascii="Times New Roman" w:eastAsia="Calibri" w:hAnsi="Times New Roman" w:cs="Times New Roman"/>
          <w:lang w:val="it-IT"/>
        </w:rPr>
        <w:t xml:space="preserve"> (PJP) prema potrebi tokom i nakon terapije l</w:t>
      </w:r>
      <w:r w:rsidR="00986BBC" w:rsidRPr="003A22B9">
        <w:rPr>
          <w:rFonts w:ascii="Times New Roman" w:eastAsia="Calibri" w:hAnsi="Times New Roman" w:cs="Times New Roman"/>
          <w:lang w:val="it-IT"/>
        </w:rPr>
        <w:t>ij</w:t>
      </w:r>
      <w:r w:rsidRPr="003A22B9">
        <w:rPr>
          <w:rFonts w:ascii="Times New Roman" w:eastAsia="Calibri" w:hAnsi="Times New Roman" w:cs="Times New Roman"/>
          <w:lang w:val="it-IT"/>
        </w:rPr>
        <w:t>ekom Rixathon.</w:t>
      </w:r>
    </w:p>
    <w:p w14:paraId="25D30637" w14:textId="77777777" w:rsidR="0091234E" w:rsidRPr="003A22B9" w:rsidRDefault="0091234E" w:rsidP="00A75B47">
      <w:pPr>
        <w:spacing w:after="0" w:line="240" w:lineRule="auto"/>
        <w:jc w:val="both"/>
        <w:rPr>
          <w:rFonts w:ascii="Times New Roman" w:eastAsia="Times New Roman" w:hAnsi="Times New Roman" w:cs="Times New Roman"/>
          <w:u w:val="single"/>
          <w:lang w:val="it-IT"/>
        </w:rPr>
      </w:pPr>
    </w:p>
    <w:p w14:paraId="3A05A74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 xml:space="preserve">Doziranje </w:t>
      </w:r>
    </w:p>
    <w:p w14:paraId="05EE6A8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67A08A0" w14:textId="0B60837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Važno je provjeriti tekst na pakovanju lijeka kako bi se obezb</w:t>
      </w:r>
      <w:r w:rsidR="003F598B">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jedilo da pacijent primi odgovarajuću formulaciju lijeka, u skladu s onim što je propisano.</w:t>
      </w:r>
    </w:p>
    <w:p w14:paraId="32A9A97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1D6C459"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Non-Hodgkinov limfom </w:t>
      </w:r>
    </w:p>
    <w:p w14:paraId="173751D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04A7D57"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Folikularni non-Hodgkinov limfom </w:t>
      </w:r>
    </w:p>
    <w:p w14:paraId="416CAD37" w14:textId="77777777" w:rsidR="00420DC1" w:rsidRPr="003A22B9" w:rsidRDefault="00420DC1" w:rsidP="00A75B47">
      <w:pPr>
        <w:spacing w:after="0" w:line="240" w:lineRule="auto"/>
        <w:jc w:val="both"/>
        <w:rPr>
          <w:rFonts w:ascii="Times New Roman" w:eastAsia="Times New Roman" w:hAnsi="Times New Roman" w:cs="Times New Roman"/>
          <w:lang w:val="sr-Latn-ME"/>
        </w:rPr>
      </w:pPr>
    </w:p>
    <w:p w14:paraId="013DF9A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 xml:space="preserve">Kombinovana terapija </w:t>
      </w:r>
    </w:p>
    <w:p w14:paraId="419FAAB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Preporučena doza lijeka Rixathon u kombinaciji sa hemioterapijom za početak liječenja pacijenata sa prethodno neliječenim ili relapsirajućim/refraktornim folikularnim limfomom iznosi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površine tijela po ciklusu, tokom najviše 8 ciklusa.</w:t>
      </w:r>
    </w:p>
    <w:p w14:paraId="25647AD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ACA031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Lijek Rixathon se daje prvog dana svakog ciklusa hemioterapije, nakon i.v. primjene glukokortikoidne komponente hemioterapije, ako je predviđena.</w:t>
      </w:r>
    </w:p>
    <w:p w14:paraId="52E579E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8823FA6"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Terapija održavanja </w:t>
      </w:r>
    </w:p>
    <w:p w14:paraId="47D0AE01" w14:textId="77777777" w:rsidR="00A75B47" w:rsidRPr="003A22B9" w:rsidRDefault="00A75B47" w:rsidP="00A75B47">
      <w:pPr>
        <w:numPr>
          <w:ilvl w:val="0"/>
          <w:numId w:val="14"/>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 xml:space="preserve">Prethodno neliječeni folikularni limfom </w:t>
      </w:r>
    </w:p>
    <w:p w14:paraId="2BB0290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Preporučena doza lijeka Rixathon kada se koristi kao terapija održavanja kod pacijenata sa prethodno neliječenim folikularnim limfomom koji su odgovorili na </w:t>
      </w:r>
      <w:r w:rsidRPr="00977A0E">
        <w:rPr>
          <w:rFonts w:ascii="Times New Roman" w:eastAsia="Times New Roman" w:hAnsi="Times New Roman" w:cs="Times New Roman"/>
          <w:lang w:val="sr-Latn-ME"/>
        </w:rPr>
        <w:t>indukcionu/</w:t>
      </w:r>
      <w:r w:rsidRPr="003A22B9">
        <w:rPr>
          <w:rFonts w:ascii="Times New Roman" w:eastAsia="Times New Roman" w:hAnsi="Times New Roman" w:cs="Times New Roman"/>
          <w:lang w:val="sr-Latn-ME"/>
        </w:rPr>
        <w:t>uvodnu terapiju iznosi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jednom u 2 mjeseca (počevši 2 mjeseca nakon posljednje doze indukcione terapije) do progresije bolesti ili najviše do dvije godine (ukupno 12 infuzija). </w:t>
      </w:r>
    </w:p>
    <w:p w14:paraId="2022515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F96B2F2" w14:textId="77777777" w:rsidR="00A75B47" w:rsidRPr="003A22B9" w:rsidRDefault="00A75B47" w:rsidP="00A75B47">
      <w:pPr>
        <w:numPr>
          <w:ilvl w:val="0"/>
          <w:numId w:val="14"/>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 xml:space="preserve">Relapsirajući/refraktorni folikularni limfom </w:t>
      </w:r>
    </w:p>
    <w:p w14:paraId="335BC6E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Preporučena doza lijeka Rixathon kada se koristi kao terapija održavanja pacijenata sa relapsirajućim/refraktornim folikularnim limfomom koji su odgovorili na uvodno liječenje, iznosi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jednom u 3 mjeseca (počevši 3 mjeseca nakon posljednje doze uvodne terapije) sve do progresije bolesti ili najviše do dvije godine (ukupno 8 infuzija). </w:t>
      </w:r>
    </w:p>
    <w:p w14:paraId="62EB6A3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C56539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Monoterapija </w:t>
      </w:r>
    </w:p>
    <w:p w14:paraId="16D27824" w14:textId="77777777" w:rsidR="00A75B47" w:rsidRPr="003A22B9" w:rsidRDefault="00A75B47" w:rsidP="00A75B47">
      <w:pPr>
        <w:numPr>
          <w:ilvl w:val="0"/>
          <w:numId w:val="14"/>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 xml:space="preserve">Relapsirajući/refraktorni folikularni limfom </w:t>
      </w:r>
    </w:p>
    <w:p w14:paraId="2357C94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Preporučena doza lijeka Rixathon kada se daje kao monoterapija pri indukcionoj terapiji odraslih pacijenata sa folikularnim limfomom stadijuma III-IV koji su hemorezistentni ili su u drugom ili sljedećem relapsu nakon hemioterapije iznosi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koja se primjenjuje u vidu i.v. infuzije jednom nedjeljno tokom četiri nedjelje. </w:t>
      </w:r>
    </w:p>
    <w:p w14:paraId="79D19E9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9BD8248" w14:textId="23C18C7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Kod ponovnog liječenja lijekom Rixathon kao monoterapijom kod pacijenata sa relapsirajućim/refraktornim folikularnim limfomom koji su odgovorili na prethodno liječenje lijekom Rixathon u monoterapiji,  preporučena doza iznosi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primijenjene u obliku intravenske infuzije jednom nedjeljno tokom č</w:t>
      </w:r>
      <w:r w:rsidR="00F15AE1" w:rsidRPr="003A22B9">
        <w:rPr>
          <w:rFonts w:ascii="Times New Roman" w:eastAsia="Times New Roman" w:hAnsi="Times New Roman" w:cs="Times New Roman"/>
          <w:lang w:val="sr-Latn-ME"/>
        </w:rPr>
        <w:t>etiri nedjelje (vidjeti dio</w:t>
      </w:r>
      <w:r w:rsidRPr="003A22B9">
        <w:rPr>
          <w:rFonts w:ascii="Times New Roman" w:eastAsia="Times New Roman" w:hAnsi="Times New Roman" w:cs="Times New Roman"/>
          <w:lang w:val="sr-Latn-ME"/>
        </w:rPr>
        <w:t xml:space="preserve"> 5.1.). </w:t>
      </w:r>
    </w:p>
    <w:p w14:paraId="763C015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70D1457" w14:textId="691AD202"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Difuzni non-Hodgkinov limfom krupnih B ćelija </w:t>
      </w:r>
      <w:r w:rsidR="006C0755" w:rsidRPr="003A22B9">
        <w:rPr>
          <w:rFonts w:ascii="Times New Roman" w:eastAsia="Times New Roman" w:hAnsi="Times New Roman" w:cs="Times New Roman"/>
          <w:i/>
          <w:lang w:val="sr-Latn-ME"/>
        </w:rPr>
        <w:t>kod odraslih</w:t>
      </w:r>
    </w:p>
    <w:p w14:paraId="4BD2396D"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p>
    <w:p w14:paraId="5AF1F31F" w14:textId="5138279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Lijek Rixathon treba da se koristi u kombinaciji sa CHOP hemioterapijom. Preporučena doza lijeka Rixathon je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a primjenjuje se prvog dana svakog ciklusa hemioterapije nakon i.v. inf</w:t>
      </w:r>
      <w:r w:rsidR="00142806">
        <w:rPr>
          <w:rFonts w:ascii="Times New Roman" w:eastAsia="Times New Roman" w:hAnsi="Times New Roman" w:cs="Times New Roman"/>
          <w:lang w:val="sr-Latn-ME"/>
        </w:rPr>
        <w:t>u</w:t>
      </w:r>
      <w:r w:rsidRPr="003A22B9">
        <w:rPr>
          <w:rFonts w:ascii="Times New Roman" w:eastAsia="Times New Roman" w:hAnsi="Times New Roman" w:cs="Times New Roman"/>
          <w:lang w:val="sr-Latn-ME"/>
        </w:rPr>
        <w:t xml:space="preserve">zije  glukokortikoidne komponente CHOP-a, tokom 8 ciklusa. Bezbjednost i efikasnost rituksimaba u kombinaciji sa drugim hemioterapijskim protokolima u liječenju difuznog non-Hodgkinovog limfoma velikih B ćelija nijesu ustanovljene. </w:t>
      </w:r>
    </w:p>
    <w:p w14:paraId="0F08D50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0E0AB6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Prilagođavanje doze tokom liječenja </w:t>
      </w:r>
    </w:p>
    <w:p w14:paraId="261B998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BDDC276"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Ne preporučuje se smanjenje doze lijeka Rixathon. Kad se lijek Rixathon primjenjuje u kombinaciji sa hemioterapijom, moraju se primijeniti uobičajena smanjenja doze hemioterapijskih ljekova.</w:t>
      </w:r>
    </w:p>
    <w:p w14:paraId="41207575" w14:textId="2C57B6E9" w:rsidR="00A75B47" w:rsidRPr="003A22B9" w:rsidRDefault="00A75B47" w:rsidP="00A75B47">
      <w:pPr>
        <w:spacing w:after="0" w:line="240" w:lineRule="auto"/>
        <w:jc w:val="both"/>
        <w:rPr>
          <w:rFonts w:ascii="Times New Roman" w:eastAsia="Times New Roman" w:hAnsi="Times New Roman" w:cs="Times New Roman"/>
          <w:lang w:val="sr-Latn-ME"/>
        </w:rPr>
      </w:pPr>
    </w:p>
    <w:p w14:paraId="1546DF86"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Hronična limfocitna leukemija (HLL)</w:t>
      </w:r>
    </w:p>
    <w:p w14:paraId="5AF9DF3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EF5EC8B" w14:textId="13C1CE8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Preporučena doza lijeka Rixathon u kombinaciji sa hemioterapijom za prethodno neliječene i relapsirajuće/</w:t>
      </w:r>
      <w:r w:rsidR="001836FF" w:rsidRPr="003A22B9">
        <w:rPr>
          <w:rFonts w:ascii="Times New Roman" w:hAnsi="Times New Roman" w:cs="Times New Roman"/>
          <w:lang w:val="sr-Latn-ME"/>
        </w:rPr>
        <w:t>refrakto</w:t>
      </w:r>
      <w:r w:rsidRPr="003A22B9">
        <w:rPr>
          <w:rFonts w:ascii="Times New Roman" w:hAnsi="Times New Roman" w:cs="Times New Roman"/>
          <w:lang w:val="sr-Latn-ME"/>
        </w:rPr>
        <w:t>rne</w:t>
      </w:r>
      <w:r w:rsidRPr="003A22B9">
        <w:rPr>
          <w:rFonts w:ascii="Times New Roman" w:eastAsia="Times New Roman" w:hAnsi="Times New Roman" w:cs="Times New Roman"/>
          <w:lang w:val="sr-Latn-ME"/>
        </w:rPr>
        <w:t xml:space="preserve"> pacijente je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primijenjeno nultog dana prvog terapijskog ciklusa, nakon čega slijedi 500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primijenjeno prvog dana svakog sljedećeg ciklusa od ukupno 6 ciklusa. Hemioterapiju treba dati nakon primjene infuzije lijeka Rixathon. </w:t>
      </w:r>
    </w:p>
    <w:p w14:paraId="7B8071F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9A169BA"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Reumatoidni artritis </w:t>
      </w:r>
    </w:p>
    <w:p w14:paraId="1061B94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00C73F7" w14:textId="5335817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Pacijenti koji se liječe lijekom Rixathon moraju uz svaku infuziju dobiti karticu sa upozor</w:t>
      </w:r>
      <w:r w:rsidR="00F15AE1"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njima za pacijenata.</w:t>
      </w:r>
    </w:p>
    <w:p w14:paraId="48C9888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2B5DA66" w14:textId="587844F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Ciklus liječenja lijekom Rixathon čine dvije intravenske infuzije od 1000 mg. Preporučena doza lijeka Rixathon je 1000 mg primijenjeno intravenskom infuzijom, a potom drugih 1000 mg intravenskom infuzijom nakon dvije nedjelje.</w:t>
      </w:r>
    </w:p>
    <w:p w14:paraId="758856B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Potrebu za daljim ciklusima liječenja potrebno je procijeniti 24 nedjelje nakon prethodnog ciklusa. Liječenje tada treba ponoviti ako je i dalje prisutna aktivna bolest, a u protivnom ga treba odložiti dok se bolest ponovo ne aktivira. </w:t>
      </w:r>
    </w:p>
    <w:p w14:paraId="0A72A3C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B01333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Dostupni podaci upućuju na to da se klinički odgovor obično postiže u roku od 16-24 nedjelje od početnog ciklusa liječenja. Nastavak terapije treba pažljivo razmotriti kod pacijenata koji ne pokazuju odgovor na terapiju u ovom vremenskom periodu. </w:t>
      </w:r>
    </w:p>
    <w:p w14:paraId="281610A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18AC570" w14:textId="239145E0"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Granulomatoza sa poliangitisom </w:t>
      </w:r>
      <w:r w:rsidR="009F1935" w:rsidRPr="003A22B9">
        <w:rPr>
          <w:rFonts w:ascii="Times New Roman" w:eastAsia="Times New Roman" w:hAnsi="Times New Roman" w:cs="Times New Roman"/>
          <w:u w:val="single"/>
          <w:lang w:val="sr-Latn-ME"/>
        </w:rPr>
        <w:t xml:space="preserve">(GPA) </w:t>
      </w:r>
      <w:r w:rsidRPr="003A22B9">
        <w:rPr>
          <w:rFonts w:ascii="Times New Roman" w:eastAsia="Times New Roman" w:hAnsi="Times New Roman" w:cs="Times New Roman"/>
          <w:u w:val="single"/>
          <w:lang w:val="sr-Latn-ME"/>
        </w:rPr>
        <w:t xml:space="preserve">i mikroskopski poliangitis </w:t>
      </w:r>
      <w:r w:rsidR="009F1935" w:rsidRPr="003A22B9">
        <w:rPr>
          <w:rFonts w:ascii="Times New Roman" w:eastAsia="Times New Roman" w:hAnsi="Times New Roman" w:cs="Times New Roman"/>
          <w:u w:val="single"/>
          <w:lang w:val="sr-Latn-ME"/>
        </w:rPr>
        <w:t>(MPA)</w:t>
      </w:r>
    </w:p>
    <w:p w14:paraId="73C55EE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5D6E8FB" w14:textId="46B3EDA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Pacijenti koji se liječe lijekom R</w:t>
      </w:r>
      <w:r w:rsidR="00F15AE1" w:rsidRPr="003A22B9">
        <w:rPr>
          <w:rFonts w:ascii="Times New Roman" w:eastAsia="Times New Roman" w:hAnsi="Times New Roman" w:cs="Times New Roman"/>
          <w:lang w:val="sr-Latn-ME"/>
        </w:rPr>
        <w:t>ixathon moraju dobiti karticu sa upozorenjima za</w:t>
      </w:r>
      <w:r w:rsidRPr="003A22B9">
        <w:rPr>
          <w:rFonts w:ascii="Times New Roman" w:eastAsia="Times New Roman" w:hAnsi="Times New Roman" w:cs="Times New Roman"/>
          <w:lang w:val="sr-Latn-ME"/>
        </w:rPr>
        <w:t xml:space="preserve"> pacijenata uz svaku infuziju. </w:t>
      </w:r>
    </w:p>
    <w:p w14:paraId="50B4EB6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7B6CE5E" w14:textId="4770E77A"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Indukcija remisije</w:t>
      </w:r>
      <w:r w:rsidR="004958E1" w:rsidRPr="003A22B9">
        <w:rPr>
          <w:rFonts w:ascii="Times New Roman" w:eastAsia="Times New Roman" w:hAnsi="Times New Roman" w:cs="Times New Roman"/>
          <w:i/>
          <w:lang w:val="sr-Latn-ME"/>
        </w:rPr>
        <w:t xml:space="preserve"> kod odraslih</w:t>
      </w:r>
    </w:p>
    <w:p w14:paraId="4B17B5BA" w14:textId="1B6B72F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Preporučena doza lijeka Rixathon za indukciju remisije </w:t>
      </w:r>
      <w:r w:rsidR="00801E1A" w:rsidRPr="003A22B9">
        <w:rPr>
          <w:rFonts w:ascii="Times New Roman" w:eastAsia="Times New Roman" w:hAnsi="Times New Roman" w:cs="Times New Roman"/>
          <w:lang w:val="sr-Latn-ME"/>
        </w:rPr>
        <w:t xml:space="preserve">kod odraslih pacijenata </w:t>
      </w:r>
      <w:r w:rsidR="00A805EB" w:rsidRPr="003A22B9">
        <w:rPr>
          <w:rFonts w:ascii="Times New Roman" w:eastAsia="Times New Roman" w:hAnsi="Times New Roman" w:cs="Times New Roman"/>
          <w:lang w:val="sr-Latn-ME"/>
        </w:rPr>
        <w:t xml:space="preserve">sa GPA </w:t>
      </w:r>
      <w:r w:rsidRPr="003A22B9">
        <w:rPr>
          <w:rFonts w:ascii="Times New Roman" w:eastAsia="Times New Roman" w:hAnsi="Times New Roman" w:cs="Times New Roman"/>
          <w:lang w:val="sr-Latn-ME"/>
        </w:rPr>
        <w:t xml:space="preserve">i </w:t>
      </w:r>
      <w:r w:rsidR="00A805EB" w:rsidRPr="003A22B9">
        <w:rPr>
          <w:rFonts w:ascii="Times New Roman" w:eastAsia="Times New Roman" w:hAnsi="Times New Roman" w:cs="Times New Roman"/>
          <w:lang w:val="sr-Latn-ME"/>
        </w:rPr>
        <w:t xml:space="preserve">MPA </w:t>
      </w:r>
      <w:r w:rsidRPr="003A22B9">
        <w:rPr>
          <w:rFonts w:ascii="Times New Roman" w:eastAsia="Times New Roman" w:hAnsi="Times New Roman" w:cs="Times New Roman"/>
          <w:lang w:val="sr-Latn-ME"/>
        </w:rPr>
        <w:t>je 375</w:t>
      </w:r>
      <w:r w:rsidR="00142806">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koja se daje u vidu intravenske infuzije jednom nedjeljno tokom 4 nedjelje (ukupno četiri infuzije). </w:t>
      </w:r>
    </w:p>
    <w:p w14:paraId="67A388A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7BE0740" w14:textId="1D6B53F9" w:rsidR="00A75B47" w:rsidRPr="003A22B9" w:rsidRDefault="00A75B47" w:rsidP="00A75B47">
      <w:pPr>
        <w:keepNext/>
        <w:spacing w:after="0" w:line="240" w:lineRule="auto"/>
        <w:jc w:val="both"/>
        <w:outlineLvl w:val="0"/>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Terapija održavanja</w:t>
      </w:r>
      <w:r w:rsidR="00F15AE1" w:rsidRPr="003A22B9">
        <w:rPr>
          <w:rFonts w:ascii="Times New Roman" w:eastAsia="Times New Roman" w:hAnsi="Times New Roman" w:cs="Times New Roman"/>
          <w:i/>
          <w:lang w:val="sr-Latn-ME"/>
        </w:rPr>
        <w:t xml:space="preserve"> kod odraslih</w:t>
      </w:r>
    </w:p>
    <w:p w14:paraId="2028C58B" w14:textId="77777777" w:rsidR="00A75B47" w:rsidRPr="003A22B9" w:rsidRDefault="00A75B47" w:rsidP="00A75B47">
      <w:pPr>
        <w:spacing w:after="0" w:line="240" w:lineRule="auto"/>
        <w:jc w:val="both"/>
        <w:outlineLvl w:val="0"/>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Nakon primjene lijeka Rixathon za indukciju remisije, terapiju održavanja treba započeti najmanje 16 nedjelja nakon posljednje infuzije rituksimaba.</w:t>
      </w:r>
    </w:p>
    <w:p w14:paraId="572F2E2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80B558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Nakon indukcije remisije primjenom drugih imunosupresiva koji se koriste u standardnom liječenju, terapiju održavanja lijekom Rixathon treba započeti tokom 4-nedjeljnog perioda nakon nastupa remisije bolesti.</w:t>
      </w:r>
    </w:p>
    <w:p w14:paraId="75DD0C6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C32E9D9" w14:textId="5EF76425" w:rsidR="00A75B47" w:rsidRPr="003A22B9" w:rsidRDefault="00A75B47" w:rsidP="00A75B47">
      <w:pPr>
        <w:keepNext/>
        <w:keepLines/>
        <w:spacing w:after="0" w:line="240" w:lineRule="auto"/>
        <w:jc w:val="both"/>
        <w:outlineLvl w:val="0"/>
        <w:rPr>
          <w:rFonts w:ascii="Times New Roman" w:eastAsia="Times New Roman" w:hAnsi="Times New Roman" w:cs="Times New Roman"/>
          <w:lang w:val="sr-Latn-ME"/>
        </w:rPr>
      </w:pPr>
      <w:r w:rsidRPr="003A22B9">
        <w:rPr>
          <w:rFonts w:ascii="Times New Roman" w:eastAsia="Times New Roman" w:hAnsi="Times New Roman" w:cs="Times New Roman"/>
          <w:lang w:val="sr-Latn-ME"/>
        </w:rPr>
        <w:t>Lijek Rixathon treba primijeniti u obliku dvije i.v. infuzije od 500 mg u razmaku od dvije nedjelje, nakon čega se primjenjuje doza od 500 mg i.v. infuzijom svakih 6 mjeseci. Pacijenti treba da primaju lijek Rixathon najmanje 24 mjeseca nako</w:t>
      </w:r>
      <w:r w:rsidR="00F15AE1" w:rsidRPr="003A22B9">
        <w:rPr>
          <w:rFonts w:ascii="Times New Roman" w:eastAsia="Times New Roman" w:hAnsi="Times New Roman" w:cs="Times New Roman"/>
          <w:lang w:val="sr-Latn-ME"/>
        </w:rPr>
        <w:t>n postizanja remisije (odsustvo</w:t>
      </w:r>
      <w:r w:rsidRPr="003A22B9">
        <w:rPr>
          <w:rFonts w:ascii="Times New Roman" w:eastAsia="Times New Roman" w:hAnsi="Times New Roman" w:cs="Times New Roman"/>
          <w:lang w:val="sr-Latn-ME"/>
        </w:rPr>
        <w:t xml:space="preserve"> kliničkih znak</w:t>
      </w:r>
      <w:r w:rsidR="00F15AE1" w:rsidRPr="003A22B9">
        <w:rPr>
          <w:rFonts w:ascii="Times New Roman" w:eastAsia="Times New Roman" w:hAnsi="Times New Roman" w:cs="Times New Roman"/>
          <w:lang w:val="sr-Latn-ME"/>
        </w:rPr>
        <w:t>ov</w:t>
      </w:r>
      <w:r w:rsidRPr="003A22B9">
        <w:rPr>
          <w:rFonts w:ascii="Times New Roman" w:eastAsia="Times New Roman" w:hAnsi="Times New Roman" w:cs="Times New Roman"/>
          <w:lang w:val="sr-Latn-ME"/>
        </w:rPr>
        <w:t xml:space="preserve">a i simptoma bolesti). Za pacijente koji bi mogli da budu izloženi većem riziku od relapsa ljekari treba da razmotre duže trajanje terapije održavanja lijekom Rixathon (do 5 godina). </w:t>
      </w:r>
    </w:p>
    <w:p w14:paraId="6599C5EA" w14:textId="0A80075F" w:rsidR="00A75B47" w:rsidRPr="003A22B9" w:rsidRDefault="00A75B47" w:rsidP="00A75B47">
      <w:pPr>
        <w:spacing w:after="0" w:line="240" w:lineRule="auto"/>
        <w:jc w:val="both"/>
        <w:rPr>
          <w:rFonts w:ascii="Times New Roman" w:eastAsia="Times New Roman" w:hAnsi="Times New Roman" w:cs="Times New Roman"/>
          <w:lang w:val="sr-Latn-ME"/>
        </w:rPr>
      </w:pPr>
    </w:p>
    <w:p w14:paraId="574A9E2A"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Obični pemfigus</w:t>
      </w:r>
    </w:p>
    <w:p w14:paraId="64A28A4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A9F712D" w14:textId="7252B3A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Pacijenti koji se liječe lijekom Rixathon moraju prilikom svake infuzije da dobiju karticu sa upozorenjima za pacijenta.</w:t>
      </w:r>
    </w:p>
    <w:p w14:paraId="61C5ABB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75908D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Preporučena doza lijeka Rixathon za liječenje običnog pemfigusa iznosi 1000 mg primijenjeno intravenskom infuzijom, a potom se nakon dvije nedjelje primjenjuje druga doza od 1000 mg intravenskom infuzijom u kombinaciji sa glukokortikoidima, čija se doza postupno smanjuje.</w:t>
      </w:r>
    </w:p>
    <w:p w14:paraId="2DB5AC0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D96372E"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Terapija održavanja</w:t>
      </w:r>
    </w:p>
    <w:p w14:paraId="76CFABF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Za terapiju održavanja treba primijeniti dozu od 500 mg intravenskom infuzijom u 12. i 18. mjesecu, a zatim svakih 6 mjeseci ako je potrebno, na osnovu kliničke procjene.</w:t>
      </w:r>
    </w:p>
    <w:p w14:paraId="1805DF4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4547772"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Liječenje relapsa</w:t>
      </w:r>
    </w:p>
    <w:p w14:paraId="27772E8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slučaju relapsa pacijenti mogu da prime i.v. dozu od 1000 mg. Zdravstveni radnik treba da razmotri i nastavak primjene ili povećanje doze glukokortikoida na osnovu kliničke procjene.</w:t>
      </w:r>
    </w:p>
    <w:p w14:paraId="2240A9E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5C34AA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Sljedeće infuzije se smiju primijeniti najranije 16 nedjelja nakon prethodne infuzije.</w:t>
      </w:r>
    </w:p>
    <w:p w14:paraId="5014B26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50DE8CC"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Posebne populacije </w:t>
      </w:r>
    </w:p>
    <w:p w14:paraId="41A8B4D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02EC167" w14:textId="22F8136F"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Pedijatrijska populacija </w:t>
      </w:r>
    </w:p>
    <w:p w14:paraId="69D9BA15" w14:textId="77777777" w:rsidR="00ED6E0A" w:rsidRPr="003A22B9" w:rsidRDefault="00ED6E0A" w:rsidP="00A75B47">
      <w:pPr>
        <w:spacing w:after="0" w:line="240" w:lineRule="auto"/>
        <w:jc w:val="both"/>
        <w:rPr>
          <w:rFonts w:ascii="Times New Roman" w:eastAsia="Times New Roman" w:hAnsi="Times New Roman" w:cs="Times New Roman"/>
          <w:lang w:val="sr-Latn-ME"/>
        </w:rPr>
      </w:pPr>
    </w:p>
    <w:p w14:paraId="60C4A3D3" w14:textId="77777777" w:rsidR="00ED6E0A" w:rsidRPr="003A22B9" w:rsidRDefault="00ED6E0A" w:rsidP="00ED6E0A">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Non-Hodgkinov limfom </w:t>
      </w:r>
    </w:p>
    <w:p w14:paraId="72CDBA94" w14:textId="53C9BB61" w:rsidR="00ED6E0A" w:rsidRPr="003A22B9" w:rsidRDefault="00ED6E0A" w:rsidP="00ED6E0A">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Kod pedijatrijskih pacijenata uzrasta od ≥ 6 mjeseci do &lt; 18 godina sa prethodno neliječenim uznapredovalim CD20 pozitivnim DLBCL-om/BL-om/BAL-om/BLL-om, l</w:t>
      </w:r>
      <w:r w:rsidR="00571EC8"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ek Rixathon treba primjenjivati u kombinaciji sa sistemskim hemioterapijskim protokolom LMB (</w:t>
      </w:r>
      <w:r w:rsidRPr="003A22B9">
        <w:rPr>
          <w:rFonts w:ascii="Times New Roman" w:eastAsia="Times New Roman" w:hAnsi="Times New Roman" w:cs="Times New Roman"/>
          <w:i/>
          <w:lang w:val="it-IT"/>
        </w:rPr>
        <w:t>Lymphome Malin B</w:t>
      </w:r>
      <w:r w:rsidRPr="003A22B9">
        <w:rPr>
          <w:rFonts w:ascii="Times New Roman" w:eastAsia="Times New Roman" w:hAnsi="Times New Roman" w:cs="Times New Roman"/>
          <w:lang w:val="it-IT"/>
        </w:rPr>
        <w:t>) (vidjeti Tabele 1 i 2). Preporučena doza lijeka Rixathon je 375 mg/m</w:t>
      </w:r>
      <w:r w:rsidRPr="003A22B9">
        <w:rPr>
          <w:rFonts w:ascii="Times New Roman" w:eastAsia="Times New Roman" w:hAnsi="Times New Roman" w:cs="Times New Roman"/>
          <w:vertAlign w:val="superscript"/>
          <w:lang w:val="it-IT"/>
        </w:rPr>
        <w:t>2</w:t>
      </w:r>
      <w:r w:rsidRPr="003A22B9">
        <w:rPr>
          <w:rFonts w:ascii="Times New Roman" w:eastAsia="Times New Roman" w:hAnsi="Times New Roman" w:cs="Times New Roman"/>
          <w:lang w:val="it-IT"/>
        </w:rPr>
        <w:t xml:space="preserve"> t</w:t>
      </w:r>
      <w:r w:rsidR="00BA2B96"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elesne površine, a primjenjuje se i.v. infuzijom. Nije potrebno prilagođavati dozu lijeka Rixathon, osim prema površini tijela.</w:t>
      </w:r>
    </w:p>
    <w:p w14:paraId="4C259D1B" w14:textId="77777777" w:rsidR="00ED6E0A" w:rsidRPr="003A22B9" w:rsidRDefault="00ED6E0A" w:rsidP="00A75B47">
      <w:pPr>
        <w:spacing w:after="0" w:line="240" w:lineRule="auto"/>
        <w:jc w:val="both"/>
        <w:rPr>
          <w:rFonts w:ascii="Times New Roman" w:eastAsia="Times New Roman" w:hAnsi="Times New Roman" w:cs="Times New Roman"/>
          <w:lang w:val="it-IT"/>
        </w:rPr>
      </w:pPr>
    </w:p>
    <w:p w14:paraId="1CBE345B" w14:textId="69C3D10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Bezbjednost i efikasnost primjene rituksimaba </w:t>
      </w:r>
      <w:r w:rsidR="009F070D" w:rsidRPr="003A22B9">
        <w:rPr>
          <w:rFonts w:ascii="Times New Roman" w:eastAsia="Times New Roman" w:hAnsi="Times New Roman" w:cs="Times New Roman"/>
          <w:lang w:val="it-IT"/>
        </w:rPr>
        <w:t xml:space="preserve">kod pedijatrijskih pacijenata u uzrastu od ≥ 6 mjeseci do &lt; </w:t>
      </w:r>
      <w:r w:rsidRPr="003A22B9">
        <w:rPr>
          <w:rFonts w:ascii="Times New Roman" w:eastAsia="Times New Roman" w:hAnsi="Times New Roman" w:cs="Times New Roman"/>
          <w:lang w:val="sr-Latn-ME"/>
        </w:rPr>
        <w:t xml:space="preserve">18 godina nije utvrđena </w:t>
      </w:r>
      <w:r w:rsidR="000069EC" w:rsidRPr="003A22B9">
        <w:rPr>
          <w:rFonts w:ascii="Times New Roman" w:eastAsia="Times New Roman" w:hAnsi="Times New Roman" w:cs="Times New Roman"/>
          <w:lang w:val="it-IT"/>
        </w:rPr>
        <w:t>osim u indikaciji prethodno nel</w:t>
      </w:r>
      <w:r w:rsidR="00D90B06" w:rsidRPr="003A22B9">
        <w:rPr>
          <w:rFonts w:ascii="Times New Roman" w:eastAsia="Times New Roman" w:hAnsi="Times New Roman" w:cs="Times New Roman"/>
          <w:lang w:val="it-IT"/>
        </w:rPr>
        <w:t>ij</w:t>
      </w:r>
      <w:r w:rsidR="000069EC" w:rsidRPr="003A22B9">
        <w:rPr>
          <w:rFonts w:ascii="Times New Roman" w:eastAsia="Times New Roman" w:hAnsi="Times New Roman" w:cs="Times New Roman"/>
          <w:lang w:val="it-IT"/>
        </w:rPr>
        <w:t xml:space="preserve">ečenog uznapredovalog CD20 pozitivnog DLBCL-a/BL-a/B-AL-a/BLL-a. Dostupni su samo ograničeni podaci za pacijente </w:t>
      </w:r>
      <w:r w:rsidR="00C72E8F" w:rsidRPr="003A22B9">
        <w:rPr>
          <w:rFonts w:ascii="Times New Roman" w:eastAsia="Times New Roman" w:hAnsi="Times New Roman" w:cs="Times New Roman"/>
          <w:lang w:val="it-IT"/>
        </w:rPr>
        <w:t>ml</w:t>
      </w:r>
      <w:r w:rsidR="000069EC" w:rsidRPr="003A22B9">
        <w:rPr>
          <w:rFonts w:ascii="Times New Roman" w:eastAsia="Times New Roman" w:hAnsi="Times New Roman" w:cs="Times New Roman"/>
          <w:lang w:val="it-IT"/>
        </w:rPr>
        <w:t xml:space="preserve">ađe od 3 godine. </w:t>
      </w:r>
    </w:p>
    <w:p w14:paraId="47EB59C8" w14:textId="52391D78" w:rsidR="00A75B47" w:rsidRPr="003A22B9" w:rsidRDefault="00A75B47" w:rsidP="00A75B47">
      <w:pPr>
        <w:spacing w:after="0" w:line="240" w:lineRule="auto"/>
        <w:jc w:val="both"/>
        <w:rPr>
          <w:rFonts w:ascii="Times New Roman" w:eastAsia="Times New Roman" w:hAnsi="Times New Roman" w:cs="Times New Roman"/>
          <w:lang w:val="sr-Latn-ME"/>
        </w:rPr>
      </w:pPr>
    </w:p>
    <w:p w14:paraId="5B4A2E88" w14:textId="3C23FA80" w:rsidR="00921626" w:rsidRPr="003A22B9" w:rsidRDefault="00BA2B96" w:rsidP="00921626">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Lijek </w:t>
      </w:r>
      <w:r w:rsidR="00921626" w:rsidRPr="003A22B9">
        <w:rPr>
          <w:rFonts w:ascii="Times New Roman" w:eastAsia="Times New Roman" w:hAnsi="Times New Roman" w:cs="Times New Roman"/>
          <w:lang w:val="it-IT"/>
        </w:rPr>
        <w:t xml:space="preserve">Rixathon se ne smije primjenjivati kod pedijatrijskih pacijenata od rođenja do </w:t>
      </w:r>
      <w:r w:rsidR="00921626" w:rsidRPr="003A22B9">
        <w:rPr>
          <w:rFonts w:ascii="Times New Roman" w:eastAsia="Times New Roman" w:hAnsi="Times New Roman" w:cs="Times New Roman"/>
          <w:lang w:val="it-IT"/>
        </w:rPr>
        <w:sym w:font="Symbol" w:char="F03C"/>
      </w:r>
      <w:r w:rsidR="00921626" w:rsidRPr="003A22B9">
        <w:rPr>
          <w:rFonts w:ascii="Times New Roman" w:eastAsia="Times New Roman" w:hAnsi="Times New Roman" w:cs="Times New Roman"/>
          <w:lang w:val="it-IT"/>
        </w:rPr>
        <w:t xml:space="preserve"> 6 m</w:t>
      </w:r>
      <w:r w:rsidR="00E62DC3" w:rsidRPr="003A22B9">
        <w:rPr>
          <w:rFonts w:ascii="Times New Roman" w:eastAsia="Times New Roman" w:hAnsi="Times New Roman" w:cs="Times New Roman"/>
          <w:lang w:val="it-IT"/>
        </w:rPr>
        <w:t>j</w:t>
      </w:r>
      <w:r w:rsidR="00921626" w:rsidRPr="003A22B9">
        <w:rPr>
          <w:rFonts w:ascii="Times New Roman" w:eastAsia="Times New Roman" w:hAnsi="Times New Roman" w:cs="Times New Roman"/>
          <w:lang w:val="it-IT"/>
        </w:rPr>
        <w:t>eseci sa CD20 pozitivnim difuznim B-krupnoćelijskim limfomom (vid</w:t>
      </w:r>
      <w:r w:rsidR="00E62DC3"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eti dio</w:t>
      </w:r>
      <w:r w:rsidR="00921626" w:rsidRPr="003A22B9">
        <w:rPr>
          <w:rFonts w:ascii="Times New Roman" w:eastAsia="Times New Roman" w:hAnsi="Times New Roman" w:cs="Times New Roman"/>
          <w:lang w:val="it-IT"/>
        </w:rPr>
        <w:t xml:space="preserve"> 5.1).</w:t>
      </w:r>
    </w:p>
    <w:p w14:paraId="428977D6" w14:textId="63EF59FA" w:rsidR="00A75B47" w:rsidRPr="003A22B9" w:rsidRDefault="00A75B47" w:rsidP="00A75B47">
      <w:pPr>
        <w:spacing w:after="0" w:line="240" w:lineRule="auto"/>
        <w:jc w:val="both"/>
        <w:rPr>
          <w:rFonts w:ascii="Times New Roman" w:eastAsia="Times New Roman" w:hAnsi="Times New Roman" w:cs="Times New Roman"/>
          <w:lang w:val="sr-Latn-ME"/>
        </w:rPr>
      </w:pPr>
    </w:p>
    <w:p w14:paraId="0795CE92" w14:textId="77777777" w:rsidR="00373181" w:rsidRPr="003A22B9" w:rsidRDefault="00373181" w:rsidP="009242E7">
      <w:pPr>
        <w:spacing w:after="0" w:line="240" w:lineRule="auto"/>
        <w:ind w:left="1440" w:hanging="1440"/>
        <w:jc w:val="both"/>
        <w:rPr>
          <w:rFonts w:ascii="Times New Roman" w:eastAsia="Times New Roman" w:hAnsi="Times New Roman" w:cs="Times New Roman"/>
          <w:b/>
          <w:lang w:val="it-IT"/>
        </w:rPr>
      </w:pPr>
      <w:r w:rsidRPr="003A22B9">
        <w:rPr>
          <w:rFonts w:ascii="Times New Roman" w:eastAsia="Times New Roman" w:hAnsi="Times New Roman" w:cs="Times New Roman"/>
          <w:b/>
          <w:lang w:val="it-IT"/>
        </w:rPr>
        <w:t>Tabela 1</w:t>
      </w:r>
      <w:r w:rsidRPr="003A22B9">
        <w:rPr>
          <w:rFonts w:ascii="Times New Roman" w:eastAsia="Times New Roman" w:hAnsi="Times New Roman" w:cs="Times New Roman"/>
          <w:b/>
          <w:lang w:val="it-IT"/>
        </w:rPr>
        <w:tab/>
        <w:t>Doziranje rituksimaba za terapiju non-Hodgkinovog limfoma kod pedijatrijskih pacijenata</w:t>
      </w:r>
    </w:p>
    <w:p w14:paraId="1922613A" w14:textId="77777777" w:rsidR="00373181" w:rsidRPr="003A22B9" w:rsidRDefault="00373181" w:rsidP="00373181">
      <w:pPr>
        <w:spacing w:after="0" w:line="240" w:lineRule="auto"/>
        <w:jc w:val="both"/>
        <w:rPr>
          <w:rFonts w:ascii="Times New Roman" w:eastAsia="Times New Roman" w:hAnsi="Times New Roman" w:cs="Times New Roman"/>
          <w:lang w:val="it-IT"/>
        </w:rPr>
      </w:pPr>
    </w:p>
    <w:tbl>
      <w:tblPr>
        <w:tblStyle w:val="TableGrid"/>
        <w:tblW w:w="5000" w:type="pct"/>
        <w:tblLook w:val="04A0" w:firstRow="1" w:lastRow="0" w:firstColumn="1" w:lastColumn="0" w:noHBand="0" w:noVBand="1"/>
      </w:tblPr>
      <w:tblGrid>
        <w:gridCol w:w="2541"/>
        <w:gridCol w:w="2539"/>
        <w:gridCol w:w="3981"/>
      </w:tblGrid>
      <w:tr w:rsidR="00373181" w:rsidRPr="003A22B9" w14:paraId="3AE00EB5" w14:textId="77777777" w:rsidTr="00043DF7">
        <w:tc>
          <w:tcPr>
            <w:tcW w:w="1402" w:type="pct"/>
          </w:tcPr>
          <w:p w14:paraId="56F8ABA9" w14:textId="77777777" w:rsidR="00373181" w:rsidRPr="003A22B9" w:rsidRDefault="00373181" w:rsidP="00373181">
            <w:pPr>
              <w:jc w:val="both"/>
              <w:rPr>
                <w:rFonts w:ascii="Times New Roman" w:eastAsia="Times New Roman" w:hAnsi="Times New Roman" w:cs="Times New Roman"/>
                <w:b/>
                <w:lang w:val="it-IT"/>
              </w:rPr>
            </w:pPr>
            <w:r w:rsidRPr="003A22B9">
              <w:rPr>
                <w:rFonts w:ascii="Times New Roman" w:eastAsia="Times New Roman" w:hAnsi="Times New Roman" w:cs="Times New Roman"/>
                <w:b/>
                <w:lang w:val="it-IT"/>
              </w:rPr>
              <w:t>Ciklus</w:t>
            </w:r>
          </w:p>
        </w:tc>
        <w:tc>
          <w:tcPr>
            <w:tcW w:w="1401" w:type="pct"/>
          </w:tcPr>
          <w:p w14:paraId="1CDE5813" w14:textId="77777777" w:rsidR="00373181" w:rsidRPr="003A22B9" w:rsidRDefault="00373181" w:rsidP="00373181">
            <w:pPr>
              <w:jc w:val="both"/>
              <w:rPr>
                <w:rFonts w:ascii="Times New Roman" w:eastAsia="Times New Roman" w:hAnsi="Times New Roman" w:cs="Times New Roman"/>
                <w:b/>
                <w:lang w:val="it-IT"/>
              </w:rPr>
            </w:pPr>
            <w:r w:rsidRPr="003A22B9">
              <w:rPr>
                <w:rFonts w:ascii="Times New Roman" w:eastAsia="Times New Roman" w:hAnsi="Times New Roman" w:cs="Times New Roman"/>
                <w:b/>
              </w:rPr>
              <w:t>Dan terapije</w:t>
            </w:r>
          </w:p>
        </w:tc>
        <w:tc>
          <w:tcPr>
            <w:tcW w:w="2197" w:type="pct"/>
          </w:tcPr>
          <w:p w14:paraId="18E5970A" w14:textId="06F553EE" w:rsidR="00373181" w:rsidRPr="003A22B9" w:rsidRDefault="00373181" w:rsidP="00373181">
            <w:pPr>
              <w:jc w:val="both"/>
              <w:rPr>
                <w:rFonts w:ascii="Times New Roman" w:eastAsia="Times New Roman" w:hAnsi="Times New Roman" w:cs="Times New Roman"/>
                <w:b/>
                <w:lang w:val="it-IT"/>
              </w:rPr>
            </w:pPr>
            <w:r w:rsidRPr="003A22B9">
              <w:rPr>
                <w:rFonts w:ascii="Times New Roman" w:eastAsia="Times New Roman" w:hAnsi="Times New Roman" w:cs="Times New Roman"/>
                <w:b/>
              </w:rPr>
              <w:t>Pojedinosti vezane uz prim</w:t>
            </w:r>
            <w:r w:rsidR="00957C5B" w:rsidRPr="003A22B9">
              <w:rPr>
                <w:rFonts w:ascii="Times New Roman" w:eastAsia="Times New Roman" w:hAnsi="Times New Roman" w:cs="Times New Roman"/>
                <w:b/>
              </w:rPr>
              <w:t>j</w:t>
            </w:r>
            <w:r w:rsidRPr="003A22B9">
              <w:rPr>
                <w:rFonts w:ascii="Times New Roman" w:eastAsia="Times New Roman" w:hAnsi="Times New Roman" w:cs="Times New Roman"/>
                <w:b/>
              </w:rPr>
              <w:t>enu</w:t>
            </w:r>
          </w:p>
        </w:tc>
      </w:tr>
      <w:tr w:rsidR="00373181" w:rsidRPr="003A22B9" w14:paraId="7D73D281" w14:textId="77777777" w:rsidTr="00043DF7">
        <w:tc>
          <w:tcPr>
            <w:tcW w:w="1402" w:type="pct"/>
          </w:tcPr>
          <w:p w14:paraId="40A118CF"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Predfaza (COP)</w:t>
            </w:r>
          </w:p>
        </w:tc>
        <w:tc>
          <w:tcPr>
            <w:tcW w:w="1401" w:type="pct"/>
          </w:tcPr>
          <w:p w14:paraId="7F419BFB" w14:textId="55F19C5C"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Rituksimab se ne prim</w:t>
            </w:r>
            <w:r w:rsidR="00A7605F" w:rsidRPr="003A22B9">
              <w:rPr>
                <w:rFonts w:ascii="Times New Roman" w:eastAsia="Times New Roman" w:hAnsi="Times New Roman" w:cs="Times New Roman"/>
              </w:rPr>
              <w:t>j</w:t>
            </w:r>
            <w:r w:rsidRPr="003A22B9">
              <w:rPr>
                <w:rFonts w:ascii="Times New Roman" w:eastAsia="Times New Roman" w:hAnsi="Times New Roman" w:cs="Times New Roman"/>
              </w:rPr>
              <w:t>enjuje</w:t>
            </w:r>
          </w:p>
        </w:tc>
        <w:tc>
          <w:tcPr>
            <w:tcW w:w="2197" w:type="pct"/>
          </w:tcPr>
          <w:p w14:paraId="1309E3C6"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w:t>
            </w:r>
          </w:p>
        </w:tc>
      </w:tr>
      <w:tr w:rsidR="00481D5D" w:rsidRPr="003A22B9" w14:paraId="37F6F30A" w14:textId="77777777" w:rsidTr="00481D5D">
        <w:tc>
          <w:tcPr>
            <w:tcW w:w="1402" w:type="pct"/>
            <w:vMerge w:val="restart"/>
          </w:tcPr>
          <w:p w14:paraId="5F5FAC2D"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1. ciklus uvodne terapije (COPDAM1)</w:t>
            </w:r>
          </w:p>
        </w:tc>
        <w:tc>
          <w:tcPr>
            <w:tcW w:w="1401" w:type="pct"/>
          </w:tcPr>
          <w:p w14:paraId="745D2A5D"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-2. dan </w:t>
            </w:r>
          </w:p>
          <w:p w14:paraId="352F20D4"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(odgovara 6. danu predfaze) </w:t>
            </w:r>
          </w:p>
          <w:p w14:paraId="6C0B4658"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1. infuzija rituksimaba</w:t>
            </w:r>
          </w:p>
        </w:tc>
        <w:tc>
          <w:tcPr>
            <w:tcW w:w="2197" w:type="pct"/>
          </w:tcPr>
          <w:p w14:paraId="07969C4D" w14:textId="1D919340"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Tokom 1. ciklusa uvodne terapije prednizon se daje kao d</w:t>
            </w:r>
            <w:r w:rsidR="008F5DB3" w:rsidRPr="003A22B9">
              <w:rPr>
                <w:rFonts w:ascii="Times New Roman" w:eastAsia="Times New Roman" w:hAnsi="Times New Roman" w:cs="Times New Roman"/>
                <w:lang w:val="it-IT"/>
              </w:rPr>
              <w:t>i</w:t>
            </w:r>
            <w:r w:rsidRPr="003A22B9">
              <w:rPr>
                <w:rFonts w:ascii="Times New Roman" w:eastAsia="Times New Roman" w:hAnsi="Times New Roman" w:cs="Times New Roman"/>
                <w:lang w:val="it-IT"/>
              </w:rPr>
              <w:t xml:space="preserve">o ciklusa hemioterapije i treba ga </w:t>
            </w:r>
            <w:r w:rsidR="004B7B3D" w:rsidRPr="003A22B9">
              <w:rPr>
                <w:rFonts w:ascii="Times New Roman" w:eastAsia="Times New Roman" w:hAnsi="Times New Roman" w:cs="Times New Roman"/>
                <w:lang w:val="it-IT"/>
              </w:rPr>
              <w:t>primijenit</w:t>
            </w:r>
            <w:r w:rsidRPr="003A22B9">
              <w:rPr>
                <w:rFonts w:ascii="Times New Roman" w:eastAsia="Times New Roman" w:hAnsi="Times New Roman" w:cs="Times New Roman"/>
                <w:lang w:val="it-IT"/>
              </w:rPr>
              <w:t>i pr</w:t>
            </w:r>
            <w:r w:rsidR="008F5DB3"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 rituksimaba.</w:t>
            </w:r>
          </w:p>
        </w:tc>
      </w:tr>
      <w:tr w:rsidR="00481D5D" w:rsidRPr="003A22B9" w14:paraId="12ADFC7F" w14:textId="77777777" w:rsidTr="00043DF7">
        <w:tc>
          <w:tcPr>
            <w:tcW w:w="1402" w:type="pct"/>
            <w:vMerge/>
          </w:tcPr>
          <w:p w14:paraId="17D6A1E6" w14:textId="77777777" w:rsidR="00373181" w:rsidRPr="003A22B9" w:rsidRDefault="00373181" w:rsidP="00373181">
            <w:pPr>
              <w:jc w:val="both"/>
              <w:rPr>
                <w:rFonts w:ascii="Times New Roman" w:eastAsia="Times New Roman" w:hAnsi="Times New Roman" w:cs="Times New Roman"/>
                <w:lang w:val="it-IT"/>
              </w:rPr>
            </w:pPr>
          </w:p>
        </w:tc>
        <w:tc>
          <w:tcPr>
            <w:tcW w:w="1401" w:type="pct"/>
          </w:tcPr>
          <w:p w14:paraId="200DB12D" w14:textId="77777777" w:rsidR="00373181" w:rsidRPr="003A22B9" w:rsidRDefault="00373181" w:rsidP="00373181">
            <w:pPr>
              <w:jc w:val="both"/>
              <w:rPr>
                <w:rFonts w:ascii="Times New Roman" w:eastAsia="Times New Roman" w:hAnsi="Times New Roman" w:cs="Times New Roman"/>
              </w:rPr>
            </w:pPr>
            <w:r w:rsidRPr="003A22B9">
              <w:rPr>
                <w:rFonts w:ascii="Times New Roman" w:eastAsia="Times New Roman" w:hAnsi="Times New Roman" w:cs="Times New Roman"/>
              </w:rPr>
              <w:t xml:space="preserve">1.dan </w:t>
            </w:r>
          </w:p>
          <w:p w14:paraId="4852BCCD"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 xml:space="preserve">2. infuzija </w:t>
            </w:r>
            <w:r w:rsidRPr="003A22B9">
              <w:rPr>
                <w:rFonts w:ascii="Times New Roman" w:eastAsia="Times New Roman" w:hAnsi="Times New Roman" w:cs="Times New Roman"/>
                <w:lang w:val="it-IT"/>
              </w:rPr>
              <w:t>rituksimaba</w:t>
            </w:r>
          </w:p>
        </w:tc>
        <w:tc>
          <w:tcPr>
            <w:tcW w:w="2197" w:type="pct"/>
          </w:tcPr>
          <w:p w14:paraId="2921D9D1"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Rituksimab se daje 48 sati nakon prve infuzije rituksimaba.</w:t>
            </w:r>
          </w:p>
        </w:tc>
      </w:tr>
      <w:tr w:rsidR="00373181" w:rsidRPr="003A22B9" w14:paraId="1B75B4CB" w14:textId="77777777" w:rsidTr="00043DF7">
        <w:tc>
          <w:tcPr>
            <w:tcW w:w="1402" w:type="pct"/>
            <w:vMerge w:val="restart"/>
          </w:tcPr>
          <w:p w14:paraId="37BC583F"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2. ciklus uvodne terapije (COPDAM2)</w:t>
            </w:r>
          </w:p>
        </w:tc>
        <w:tc>
          <w:tcPr>
            <w:tcW w:w="1401" w:type="pct"/>
          </w:tcPr>
          <w:p w14:paraId="4F9246FF" w14:textId="77777777" w:rsidR="00373181" w:rsidRPr="003A22B9" w:rsidRDefault="00373181" w:rsidP="00373181">
            <w:pPr>
              <w:jc w:val="both"/>
              <w:rPr>
                <w:rFonts w:ascii="Times New Roman" w:eastAsia="Times New Roman" w:hAnsi="Times New Roman" w:cs="Times New Roman"/>
              </w:rPr>
            </w:pPr>
            <w:r w:rsidRPr="003A22B9">
              <w:rPr>
                <w:rFonts w:ascii="Times New Roman" w:eastAsia="Times New Roman" w:hAnsi="Times New Roman" w:cs="Times New Roman"/>
              </w:rPr>
              <w:t xml:space="preserve">-2. dan </w:t>
            </w:r>
          </w:p>
          <w:p w14:paraId="39BA83DF"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 xml:space="preserve">3. infuzija </w:t>
            </w:r>
            <w:r w:rsidRPr="003A22B9">
              <w:rPr>
                <w:rFonts w:ascii="Times New Roman" w:eastAsia="Times New Roman" w:hAnsi="Times New Roman" w:cs="Times New Roman"/>
                <w:lang w:val="it-IT"/>
              </w:rPr>
              <w:t>rituksimaba</w:t>
            </w:r>
          </w:p>
        </w:tc>
        <w:tc>
          <w:tcPr>
            <w:tcW w:w="2197" w:type="pct"/>
          </w:tcPr>
          <w:p w14:paraId="4361D6AE" w14:textId="7575571D"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U 2. ciklusu uvodne terapije prednizon se ne daje u vr</w:t>
            </w:r>
            <w:r w:rsidR="004F2FBC"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eme prim</w:t>
            </w:r>
            <w:r w:rsidR="004F2FBC"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ene rituksimaba.</w:t>
            </w:r>
          </w:p>
        </w:tc>
      </w:tr>
      <w:tr w:rsidR="00481D5D" w:rsidRPr="003A22B9" w14:paraId="06ACD5E2" w14:textId="77777777" w:rsidTr="00043DF7">
        <w:tc>
          <w:tcPr>
            <w:tcW w:w="1402" w:type="pct"/>
            <w:vMerge/>
          </w:tcPr>
          <w:p w14:paraId="0DA59296" w14:textId="77777777" w:rsidR="00373181" w:rsidRPr="003A22B9" w:rsidRDefault="00373181" w:rsidP="00373181">
            <w:pPr>
              <w:jc w:val="both"/>
              <w:rPr>
                <w:rFonts w:ascii="Times New Roman" w:eastAsia="Times New Roman" w:hAnsi="Times New Roman" w:cs="Times New Roman"/>
                <w:lang w:val="it-IT"/>
              </w:rPr>
            </w:pPr>
          </w:p>
        </w:tc>
        <w:tc>
          <w:tcPr>
            <w:tcW w:w="1401" w:type="pct"/>
          </w:tcPr>
          <w:p w14:paraId="23F538DE" w14:textId="77777777" w:rsidR="00373181" w:rsidRPr="003A22B9" w:rsidRDefault="00373181" w:rsidP="00373181">
            <w:pPr>
              <w:jc w:val="both"/>
              <w:rPr>
                <w:rFonts w:ascii="Times New Roman" w:eastAsia="Times New Roman" w:hAnsi="Times New Roman" w:cs="Times New Roman"/>
              </w:rPr>
            </w:pPr>
            <w:r w:rsidRPr="003A22B9">
              <w:rPr>
                <w:rFonts w:ascii="Times New Roman" w:eastAsia="Times New Roman" w:hAnsi="Times New Roman" w:cs="Times New Roman"/>
              </w:rPr>
              <w:t xml:space="preserve">1. dan </w:t>
            </w:r>
          </w:p>
          <w:p w14:paraId="11937538"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 xml:space="preserve">4. infuzija </w:t>
            </w:r>
            <w:r w:rsidRPr="003A22B9">
              <w:rPr>
                <w:rFonts w:ascii="Times New Roman" w:eastAsia="Times New Roman" w:hAnsi="Times New Roman" w:cs="Times New Roman"/>
                <w:lang w:val="it-IT"/>
              </w:rPr>
              <w:t>rituksimaba</w:t>
            </w:r>
          </w:p>
        </w:tc>
        <w:tc>
          <w:tcPr>
            <w:tcW w:w="2197" w:type="pct"/>
          </w:tcPr>
          <w:p w14:paraId="61048D47"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Rituksimab se daje 48 sati nakon treće infuzije rituksimaba.</w:t>
            </w:r>
          </w:p>
        </w:tc>
      </w:tr>
      <w:tr w:rsidR="00373181" w:rsidRPr="003A22B9" w14:paraId="140EFCF8" w14:textId="77777777" w:rsidTr="00043DF7">
        <w:tc>
          <w:tcPr>
            <w:tcW w:w="1402" w:type="pct"/>
          </w:tcPr>
          <w:p w14:paraId="2F95E099"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1. ciklus konsolidacione terapije (CYM/CYVE)</w:t>
            </w:r>
          </w:p>
        </w:tc>
        <w:tc>
          <w:tcPr>
            <w:tcW w:w="1401" w:type="pct"/>
          </w:tcPr>
          <w:p w14:paraId="23D6087A" w14:textId="77777777" w:rsidR="00373181" w:rsidRPr="003A22B9" w:rsidRDefault="00373181" w:rsidP="00373181">
            <w:pPr>
              <w:jc w:val="both"/>
              <w:rPr>
                <w:rFonts w:ascii="Times New Roman" w:eastAsia="Times New Roman" w:hAnsi="Times New Roman" w:cs="Times New Roman"/>
              </w:rPr>
            </w:pPr>
            <w:r w:rsidRPr="003A22B9">
              <w:rPr>
                <w:rFonts w:ascii="Times New Roman" w:eastAsia="Times New Roman" w:hAnsi="Times New Roman" w:cs="Times New Roman"/>
              </w:rPr>
              <w:t xml:space="preserve">1. dan </w:t>
            </w:r>
          </w:p>
          <w:p w14:paraId="65100151"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 xml:space="preserve">5. infuzija </w:t>
            </w:r>
            <w:r w:rsidRPr="003A22B9">
              <w:rPr>
                <w:rFonts w:ascii="Times New Roman" w:eastAsia="Times New Roman" w:hAnsi="Times New Roman" w:cs="Times New Roman"/>
                <w:lang w:val="it-IT"/>
              </w:rPr>
              <w:t>rituksimaba</w:t>
            </w:r>
          </w:p>
        </w:tc>
        <w:tc>
          <w:tcPr>
            <w:tcW w:w="2197" w:type="pct"/>
          </w:tcPr>
          <w:p w14:paraId="320F67D4" w14:textId="235AC89A"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Prednizon se ne daje u vr</w:t>
            </w:r>
            <w:r w:rsidR="00F140CD"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eme prim</w:t>
            </w:r>
            <w:r w:rsidR="00F140CD"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ene rituksimaba.</w:t>
            </w:r>
          </w:p>
        </w:tc>
      </w:tr>
      <w:tr w:rsidR="00373181" w:rsidRPr="003A22B9" w14:paraId="23A9F4D8" w14:textId="77777777" w:rsidTr="00043DF7">
        <w:tc>
          <w:tcPr>
            <w:tcW w:w="1402" w:type="pct"/>
          </w:tcPr>
          <w:p w14:paraId="1E0B7E7A"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2. ciklus konsolidacione terapije (CYM/CYVE)</w:t>
            </w:r>
          </w:p>
        </w:tc>
        <w:tc>
          <w:tcPr>
            <w:tcW w:w="1401" w:type="pct"/>
          </w:tcPr>
          <w:p w14:paraId="39FFD3A1" w14:textId="77777777" w:rsidR="00373181" w:rsidRPr="003A22B9" w:rsidRDefault="00373181" w:rsidP="00373181">
            <w:pPr>
              <w:jc w:val="both"/>
              <w:rPr>
                <w:rFonts w:ascii="Times New Roman" w:eastAsia="Times New Roman" w:hAnsi="Times New Roman" w:cs="Times New Roman"/>
              </w:rPr>
            </w:pPr>
            <w:r w:rsidRPr="003A22B9">
              <w:rPr>
                <w:rFonts w:ascii="Times New Roman" w:eastAsia="Times New Roman" w:hAnsi="Times New Roman" w:cs="Times New Roman"/>
              </w:rPr>
              <w:t xml:space="preserve">1. dan </w:t>
            </w:r>
          </w:p>
          <w:p w14:paraId="2666A201"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 xml:space="preserve">6. infuzija </w:t>
            </w:r>
            <w:r w:rsidRPr="003A22B9">
              <w:rPr>
                <w:rFonts w:ascii="Times New Roman" w:eastAsia="Times New Roman" w:hAnsi="Times New Roman" w:cs="Times New Roman"/>
                <w:lang w:val="it-IT"/>
              </w:rPr>
              <w:t>rituksimaba</w:t>
            </w:r>
          </w:p>
        </w:tc>
        <w:tc>
          <w:tcPr>
            <w:tcW w:w="2197" w:type="pct"/>
          </w:tcPr>
          <w:p w14:paraId="4A61C406" w14:textId="51F82E64"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Prednizon se ne daje u vr</w:t>
            </w:r>
            <w:r w:rsidR="00A966B3"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eme prim</w:t>
            </w:r>
            <w:r w:rsidR="00A966B3"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ene rituksimaba.</w:t>
            </w:r>
          </w:p>
        </w:tc>
      </w:tr>
      <w:tr w:rsidR="00481D5D" w:rsidRPr="003A22B9" w14:paraId="4A2D2E6F" w14:textId="77777777" w:rsidTr="00481D5D">
        <w:tc>
          <w:tcPr>
            <w:tcW w:w="1402" w:type="pct"/>
          </w:tcPr>
          <w:p w14:paraId="4A22D411"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1. ciklus terapije održavanja (M1)</w:t>
            </w:r>
          </w:p>
        </w:tc>
        <w:tc>
          <w:tcPr>
            <w:tcW w:w="1401" w:type="pct"/>
          </w:tcPr>
          <w:p w14:paraId="352E6299"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Od. 25. do 28. dana </w:t>
            </w:r>
          </w:p>
          <w:p w14:paraId="4F8959ED"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2. ciklusa konsolidacione terapije (CYVE) </w:t>
            </w:r>
          </w:p>
          <w:p w14:paraId="634BCAD6" w14:textId="68A234A5"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Rituksimab se ne prim</w:t>
            </w:r>
            <w:r w:rsidR="005E0FCA"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enjuje</w:t>
            </w:r>
          </w:p>
        </w:tc>
        <w:tc>
          <w:tcPr>
            <w:tcW w:w="2197" w:type="pct"/>
          </w:tcPr>
          <w:p w14:paraId="6DB1699A" w14:textId="22F0B1A0"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Počinje kada se broj ćelija u perifernoj krvi oporavi nakon 2. ciklusa konsolidacione terapije (CYVE), uz ABN &gt; 1,0 x 10</w:t>
            </w:r>
            <w:r w:rsidRPr="003A22B9">
              <w:rPr>
                <w:rFonts w:ascii="Times New Roman" w:eastAsia="Times New Roman" w:hAnsi="Times New Roman" w:cs="Times New Roman"/>
                <w:vertAlign w:val="superscript"/>
                <w:lang w:val="it-IT"/>
              </w:rPr>
              <w:t>9</w:t>
            </w:r>
            <w:r w:rsidR="004C5141" w:rsidRPr="003A22B9">
              <w:rPr>
                <w:rFonts w:ascii="Times New Roman" w:eastAsia="Times New Roman" w:hAnsi="Times New Roman" w:cs="Times New Roman"/>
                <w:lang w:val="it-IT"/>
              </w:rPr>
              <w:t>/l</w:t>
            </w:r>
            <w:r w:rsidRPr="003A22B9">
              <w:rPr>
                <w:rFonts w:ascii="Times New Roman" w:eastAsia="Times New Roman" w:hAnsi="Times New Roman" w:cs="Times New Roman"/>
                <w:lang w:val="it-IT"/>
              </w:rPr>
              <w:t xml:space="preserve"> i broj trombocita &gt; 100 x 10</w:t>
            </w:r>
            <w:r w:rsidRPr="003A22B9">
              <w:rPr>
                <w:rFonts w:ascii="Times New Roman" w:eastAsia="Times New Roman" w:hAnsi="Times New Roman" w:cs="Times New Roman"/>
                <w:vertAlign w:val="superscript"/>
                <w:lang w:val="it-IT"/>
              </w:rPr>
              <w:t>9</w:t>
            </w:r>
            <w:r w:rsidR="004C5141" w:rsidRPr="003A22B9">
              <w:rPr>
                <w:rFonts w:ascii="Times New Roman" w:eastAsia="Times New Roman" w:hAnsi="Times New Roman" w:cs="Times New Roman"/>
                <w:lang w:val="it-IT"/>
              </w:rPr>
              <w:t>/l</w:t>
            </w:r>
          </w:p>
        </w:tc>
      </w:tr>
      <w:tr w:rsidR="00373181" w:rsidRPr="003A22B9" w14:paraId="4BE66590" w14:textId="77777777" w:rsidTr="00043DF7">
        <w:tc>
          <w:tcPr>
            <w:tcW w:w="1402" w:type="pct"/>
          </w:tcPr>
          <w:p w14:paraId="425B2AF8"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2. ciklus terapije održavanja (M2)</w:t>
            </w:r>
          </w:p>
        </w:tc>
        <w:tc>
          <w:tcPr>
            <w:tcW w:w="1401" w:type="pct"/>
          </w:tcPr>
          <w:p w14:paraId="3E8C5358"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28. dan 1. ciklusa terapije održavanja (M1) </w:t>
            </w:r>
          </w:p>
          <w:p w14:paraId="28663C59" w14:textId="2CD84139"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Rituksimab se ne prim</w:t>
            </w:r>
            <w:r w:rsidR="00FE2153"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enjuje</w:t>
            </w:r>
          </w:p>
        </w:tc>
        <w:tc>
          <w:tcPr>
            <w:tcW w:w="2197" w:type="pct"/>
          </w:tcPr>
          <w:p w14:paraId="7525F2F4" w14:textId="77777777"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w:t>
            </w:r>
          </w:p>
        </w:tc>
      </w:tr>
      <w:tr w:rsidR="00373181" w:rsidRPr="003A22B9" w14:paraId="074BD221" w14:textId="77777777" w:rsidTr="00043DF7">
        <w:tc>
          <w:tcPr>
            <w:tcW w:w="5000" w:type="pct"/>
            <w:gridSpan w:val="3"/>
          </w:tcPr>
          <w:p w14:paraId="1F89DF64" w14:textId="183804CB" w:rsidR="00373181" w:rsidRPr="003A22B9" w:rsidRDefault="00373181" w:rsidP="00373181">
            <w:pPr>
              <w:jc w:val="both"/>
              <w:rPr>
                <w:rFonts w:ascii="Times New Roman" w:eastAsia="Times New Roman" w:hAnsi="Times New Roman" w:cs="Times New Roman"/>
                <w:lang w:val="it-IT"/>
              </w:rPr>
            </w:pPr>
            <w:r w:rsidRPr="003A22B9">
              <w:rPr>
                <w:rFonts w:ascii="Times New Roman" w:eastAsia="Times New Roman" w:hAnsi="Times New Roman" w:cs="Times New Roman"/>
              </w:rPr>
              <w:t xml:space="preserve">ABN = apsolutni broj neutrofila; COP = ciklofosfamid, vinkristin, prednizon; COPDAM = ciklofosfamid, vinkristin, prednizolon, doksorubicin, metotreksat; CYM = citarabin (Aracytine, Ara-C), metotreksat; </w:t>
            </w:r>
            <w:r w:rsidRPr="003A22B9">
              <w:rPr>
                <w:rFonts w:ascii="Times New Roman" w:eastAsia="Times New Roman" w:hAnsi="Times New Roman" w:cs="Times New Roman"/>
                <w:lang w:val="it-IT"/>
              </w:rPr>
              <w:t>CYVE = citarabin (Aracytine, Ara-C), Vepesid (VP16)</w:t>
            </w:r>
          </w:p>
        </w:tc>
      </w:tr>
    </w:tbl>
    <w:p w14:paraId="705BAA01" w14:textId="1A5758E2" w:rsidR="00373181" w:rsidRPr="003A22B9" w:rsidRDefault="00373181" w:rsidP="00A75B47">
      <w:pPr>
        <w:spacing w:after="0" w:line="240" w:lineRule="auto"/>
        <w:jc w:val="both"/>
        <w:rPr>
          <w:rFonts w:ascii="Times New Roman" w:eastAsia="Times New Roman" w:hAnsi="Times New Roman" w:cs="Times New Roman"/>
          <w:lang w:val="sr-Latn-ME"/>
        </w:rPr>
      </w:pPr>
    </w:p>
    <w:p w14:paraId="372B43EC" w14:textId="16596DA9" w:rsidR="00D10D44" w:rsidRPr="003A22B9" w:rsidRDefault="00D10D44" w:rsidP="00D10D44">
      <w:pPr>
        <w:widowControl w:val="0"/>
        <w:spacing w:after="0" w:line="240" w:lineRule="auto"/>
        <w:ind w:left="1440" w:hanging="1440"/>
        <w:rPr>
          <w:rFonts w:ascii="Times New Roman" w:eastAsia="Times New Roman" w:hAnsi="Times New Roman" w:cs="Times New Roman"/>
          <w:b/>
          <w:lang w:val="it-IT"/>
        </w:rPr>
      </w:pPr>
      <w:r w:rsidRPr="003A22B9">
        <w:rPr>
          <w:rFonts w:ascii="Times New Roman" w:eastAsia="Times New Roman" w:hAnsi="Times New Roman" w:cs="Times New Roman"/>
          <w:b/>
          <w:lang w:val="it-IT"/>
        </w:rPr>
        <w:t>Tabela 2</w:t>
      </w:r>
      <w:r w:rsidRPr="003A22B9">
        <w:rPr>
          <w:rFonts w:ascii="Times New Roman" w:eastAsia="Times New Roman" w:hAnsi="Times New Roman" w:cs="Times New Roman"/>
          <w:b/>
          <w:lang w:val="it-IT"/>
        </w:rPr>
        <w:tab/>
        <w:t>Plan l</w:t>
      </w:r>
      <w:r w:rsidR="00E171F4" w:rsidRPr="003A22B9">
        <w:rPr>
          <w:rFonts w:ascii="Times New Roman" w:eastAsia="Times New Roman" w:hAnsi="Times New Roman" w:cs="Times New Roman"/>
          <w:b/>
          <w:lang w:val="it-IT"/>
        </w:rPr>
        <w:t>ij</w:t>
      </w:r>
      <w:r w:rsidRPr="003A22B9">
        <w:rPr>
          <w:rFonts w:ascii="Times New Roman" w:eastAsia="Times New Roman" w:hAnsi="Times New Roman" w:cs="Times New Roman"/>
          <w:b/>
          <w:lang w:val="it-IT"/>
        </w:rPr>
        <w:t>ečenja za non-Hodgkinov limfom kod pedijatrijskih pacijenata: hemioterapija koja se prim</w:t>
      </w:r>
      <w:r w:rsidR="00E171F4" w:rsidRPr="003A22B9">
        <w:rPr>
          <w:rFonts w:ascii="Times New Roman" w:eastAsia="Times New Roman" w:hAnsi="Times New Roman" w:cs="Times New Roman"/>
          <w:b/>
          <w:lang w:val="it-IT"/>
        </w:rPr>
        <w:t>j</w:t>
      </w:r>
      <w:r w:rsidRPr="003A22B9">
        <w:rPr>
          <w:rFonts w:ascii="Times New Roman" w:eastAsia="Times New Roman" w:hAnsi="Times New Roman" w:cs="Times New Roman"/>
          <w:b/>
          <w:lang w:val="it-IT"/>
        </w:rPr>
        <w:t>enjuje istovremeno sa rituksimabom</w:t>
      </w:r>
    </w:p>
    <w:p w14:paraId="11D97DA5" w14:textId="77777777" w:rsidR="00D10D44" w:rsidRPr="003A22B9" w:rsidRDefault="00D10D44" w:rsidP="00D10D44">
      <w:pPr>
        <w:widowControl w:val="0"/>
        <w:spacing w:after="0" w:line="240" w:lineRule="auto"/>
        <w:rPr>
          <w:rFonts w:ascii="Times New Roman" w:eastAsia="Times New Roman" w:hAnsi="Times New Roman" w:cs="Times New Roman"/>
          <w:b/>
          <w:lang w:val="it-IT"/>
        </w:rPr>
      </w:pPr>
    </w:p>
    <w:tbl>
      <w:tblPr>
        <w:tblStyle w:val="TableGrid3"/>
        <w:tblW w:w="0" w:type="auto"/>
        <w:tblLook w:val="04A0" w:firstRow="1" w:lastRow="0" w:firstColumn="1" w:lastColumn="0" w:noHBand="0" w:noVBand="1"/>
      </w:tblPr>
      <w:tblGrid>
        <w:gridCol w:w="1308"/>
        <w:gridCol w:w="3800"/>
        <w:gridCol w:w="3953"/>
      </w:tblGrid>
      <w:tr w:rsidR="00D10D44" w:rsidRPr="003A22B9" w14:paraId="791BD63C" w14:textId="77777777" w:rsidTr="00043DF7">
        <w:tc>
          <w:tcPr>
            <w:tcW w:w="1350" w:type="dxa"/>
          </w:tcPr>
          <w:p w14:paraId="5FB5CC4D" w14:textId="77777777" w:rsidR="00D10D44" w:rsidRPr="003A22B9" w:rsidRDefault="00D10D44" w:rsidP="00D10D44">
            <w:pPr>
              <w:rPr>
                <w:rFonts w:ascii="Times New Roman" w:eastAsia="Times New Roman" w:hAnsi="Times New Roman" w:cs="Times New Roman"/>
                <w:b/>
                <w:spacing w:val="-1"/>
                <w:lang w:val="it-IT"/>
              </w:rPr>
            </w:pPr>
            <w:r w:rsidRPr="003A22B9">
              <w:rPr>
                <w:rFonts w:ascii="Times New Roman" w:eastAsia="Times New Roman" w:hAnsi="Times New Roman" w:cs="Times New Roman"/>
                <w:b/>
                <w:spacing w:val="-1"/>
                <w:lang w:val="it-IT"/>
              </w:rPr>
              <w:t xml:space="preserve">Plan </w:t>
            </w:r>
          </w:p>
          <w:p w14:paraId="5C6B8A00" w14:textId="77777777" w:rsidR="00D10D44" w:rsidRPr="003A22B9" w:rsidRDefault="00D10D44" w:rsidP="00D10D44">
            <w:pPr>
              <w:rPr>
                <w:rFonts w:ascii="Times New Roman" w:eastAsia="Times New Roman" w:hAnsi="Times New Roman" w:cs="Times New Roman"/>
                <w:b/>
                <w:spacing w:val="-1"/>
                <w:lang w:val="it-IT"/>
              </w:rPr>
            </w:pPr>
            <w:r w:rsidRPr="003A22B9">
              <w:rPr>
                <w:rFonts w:ascii="Times New Roman" w:eastAsia="Times New Roman" w:hAnsi="Times New Roman" w:cs="Times New Roman"/>
                <w:b/>
                <w:spacing w:val="-1"/>
                <w:lang w:val="it-IT"/>
              </w:rPr>
              <w:lastRenderedPageBreak/>
              <w:t>terapije</w:t>
            </w:r>
          </w:p>
        </w:tc>
        <w:tc>
          <w:tcPr>
            <w:tcW w:w="4046" w:type="dxa"/>
          </w:tcPr>
          <w:p w14:paraId="249A0EA6" w14:textId="77777777" w:rsidR="00D10D44" w:rsidRPr="003A22B9" w:rsidRDefault="00D10D44" w:rsidP="00D10D44">
            <w:pPr>
              <w:rPr>
                <w:rFonts w:ascii="Times New Roman" w:eastAsia="Times New Roman" w:hAnsi="Times New Roman" w:cs="Times New Roman"/>
                <w:b/>
                <w:spacing w:val="-1"/>
                <w:lang w:val="it-IT"/>
              </w:rPr>
            </w:pPr>
            <w:r w:rsidRPr="003A22B9">
              <w:rPr>
                <w:rFonts w:ascii="Times New Roman" w:eastAsia="Times New Roman" w:hAnsi="Times New Roman" w:cs="Times New Roman"/>
                <w:b/>
                <w:spacing w:val="-1"/>
                <w:lang w:val="it-IT"/>
              </w:rPr>
              <w:lastRenderedPageBreak/>
              <w:t>Stadijum bolesti</w:t>
            </w:r>
          </w:p>
        </w:tc>
        <w:tc>
          <w:tcPr>
            <w:tcW w:w="4221" w:type="dxa"/>
          </w:tcPr>
          <w:p w14:paraId="4530B851" w14:textId="64B0A6D7" w:rsidR="00D10D44" w:rsidRPr="003A22B9" w:rsidRDefault="00D10D44" w:rsidP="00D10D44">
            <w:pPr>
              <w:rPr>
                <w:rFonts w:ascii="Times New Roman" w:eastAsia="Times New Roman" w:hAnsi="Times New Roman" w:cs="Times New Roman"/>
                <w:b/>
                <w:spacing w:val="-1"/>
                <w:lang w:val="it-IT"/>
              </w:rPr>
            </w:pPr>
            <w:r w:rsidRPr="003A22B9">
              <w:rPr>
                <w:rFonts w:ascii="Times New Roman" w:eastAsia="Times New Roman" w:hAnsi="Times New Roman" w:cs="Times New Roman"/>
                <w:b/>
                <w:spacing w:val="-1"/>
                <w:lang w:val="it-IT"/>
              </w:rPr>
              <w:t>Pojedinosti vezane uz prim</w:t>
            </w:r>
            <w:r w:rsidR="00194EFF" w:rsidRPr="003A22B9">
              <w:rPr>
                <w:rFonts w:ascii="Times New Roman" w:eastAsia="Times New Roman" w:hAnsi="Times New Roman" w:cs="Times New Roman"/>
                <w:b/>
                <w:spacing w:val="-1"/>
                <w:lang w:val="it-IT"/>
              </w:rPr>
              <w:t>j</w:t>
            </w:r>
            <w:r w:rsidRPr="003A22B9">
              <w:rPr>
                <w:rFonts w:ascii="Times New Roman" w:eastAsia="Times New Roman" w:hAnsi="Times New Roman" w:cs="Times New Roman"/>
                <w:b/>
                <w:spacing w:val="-1"/>
                <w:lang w:val="it-IT"/>
              </w:rPr>
              <w:t>enu</w:t>
            </w:r>
          </w:p>
        </w:tc>
      </w:tr>
      <w:tr w:rsidR="00D10D44" w:rsidRPr="003A22B9" w14:paraId="5FD4B543" w14:textId="77777777" w:rsidTr="00043DF7">
        <w:tc>
          <w:tcPr>
            <w:tcW w:w="1350" w:type="dxa"/>
          </w:tcPr>
          <w:p w14:paraId="3BF6C1B2" w14:textId="77777777"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spacing w:val="-1"/>
                <w:lang w:val="it-IT"/>
              </w:rPr>
              <w:lastRenderedPageBreak/>
              <w:t>Grupa B</w:t>
            </w:r>
          </w:p>
        </w:tc>
        <w:tc>
          <w:tcPr>
            <w:tcW w:w="4046" w:type="dxa"/>
          </w:tcPr>
          <w:p w14:paraId="047193EC"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Bolest stadijuma III i visok nivo LDH </w:t>
            </w:r>
          </w:p>
          <w:p w14:paraId="14447870" w14:textId="77777777"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lang w:val="it-IT"/>
              </w:rPr>
              <w:t>(&gt; 2 x iznad normale), bolest stadijuma IV koja ne zahvata CNS</w:t>
            </w:r>
          </w:p>
        </w:tc>
        <w:tc>
          <w:tcPr>
            <w:tcW w:w="4221" w:type="dxa"/>
          </w:tcPr>
          <w:p w14:paraId="21CD20E7"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Predfaza i zatim 4 ciklusa: </w:t>
            </w:r>
          </w:p>
          <w:p w14:paraId="55740AF1" w14:textId="77777777"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lang w:val="it-IT"/>
              </w:rPr>
              <w:t>2 ciklusa uvodne terapije (COPADM) uz visoku dozu metotreksata (3 g/m</w:t>
            </w:r>
            <w:r w:rsidRPr="003A22B9">
              <w:rPr>
                <w:rFonts w:ascii="Times New Roman" w:eastAsia="Times New Roman" w:hAnsi="Times New Roman" w:cs="Times New Roman"/>
                <w:vertAlign w:val="superscript"/>
                <w:lang w:val="it-IT"/>
              </w:rPr>
              <w:t>2</w:t>
            </w:r>
            <w:r w:rsidRPr="003A22B9">
              <w:rPr>
                <w:rFonts w:ascii="Times New Roman" w:eastAsia="Times New Roman" w:hAnsi="Times New Roman" w:cs="Times New Roman"/>
                <w:lang w:val="it-IT"/>
              </w:rPr>
              <w:t xml:space="preserve"> ) i 2 ciklusa konsolidacione terapije (CYM)</w:t>
            </w:r>
          </w:p>
        </w:tc>
      </w:tr>
      <w:tr w:rsidR="00D10D44" w:rsidRPr="003A22B9" w14:paraId="33598BC2" w14:textId="77777777" w:rsidTr="00043DF7">
        <w:tc>
          <w:tcPr>
            <w:tcW w:w="1350" w:type="dxa"/>
            <w:vMerge w:val="restart"/>
          </w:tcPr>
          <w:p w14:paraId="7E3AB2E3" w14:textId="77777777"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spacing w:val="-1"/>
                <w:lang w:val="it-IT"/>
              </w:rPr>
              <w:t>Grupa C</w:t>
            </w:r>
          </w:p>
        </w:tc>
        <w:tc>
          <w:tcPr>
            <w:tcW w:w="4046" w:type="dxa"/>
          </w:tcPr>
          <w:p w14:paraId="2CEDAFB8"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Grupa C1: </w:t>
            </w:r>
          </w:p>
          <w:p w14:paraId="357AE60F"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BAL koji ne zahvata CNS i bolest </w:t>
            </w:r>
          </w:p>
          <w:p w14:paraId="46D89A7A"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stadijuma IV i BAL koji zahvataju CNS, </w:t>
            </w:r>
          </w:p>
          <w:p w14:paraId="7EAB09AA" w14:textId="77777777"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lang w:val="it-IT"/>
              </w:rPr>
              <w:t>ali ne i cerebrospinalnu tečnost</w:t>
            </w:r>
          </w:p>
        </w:tc>
        <w:tc>
          <w:tcPr>
            <w:tcW w:w="4221" w:type="dxa"/>
            <w:vMerge w:val="restart"/>
          </w:tcPr>
          <w:p w14:paraId="029ECCAD"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Predfaza i zatim 6 ciklusa:</w:t>
            </w:r>
          </w:p>
          <w:p w14:paraId="211EBD86" w14:textId="6EB0FA0B"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lang w:val="it-IT"/>
              </w:rPr>
              <w:t>2 ciklusa uvodne terapije (COPADM) uz visoku dozu metotreksata (8 g/m</w:t>
            </w:r>
            <w:r w:rsidRPr="003A22B9">
              <w:rPr>
                <w:rFonts w:ascii="Times New Roman" w:eastAsia="Times New Roman" w:hAnsi="Times New Roman" w:cs="Times New Roman"/>
                <w:vertAlign w:val="superscript"/>
                <w:lang w:val="it-IT"/>
              </w:rPr>
              <w:t>2</w:t>
            </w:r>
            <w:r w:rsidRPr="003A22B9">
              <w:rPr>
                <w:rFonts w:ascii="Times New Roman" w:eastAsia="Times New Roman" w:hAnsi="Times New Roman" w:cs="Times New Roman"/>
                <w:lang w:val="it-IT"/>
              </w:rPr>
              <w:t xml:space="preserve">), 2 </w:t>
            </w:r>
            <w:r w:rsidR="000B1F1D">
              <w:rPr>
                <w:rFonts w:ascii="Times New Roman" w:eastAsia="Times New Roman" w:hAnsi="Times New Roman" w:cs="Times New Roman"/>
                <w:lang w:val="it-IT"/>
              </w:rPr>
              <w:t>ciklusa konsolidacij</w:t>
            </w:r>
            <w:r w:rsidR="00AE2648">
              <w:rPr>
                <w:rFonts w:ascii="Times New Roman" w:eastAsia="Times New Roman" w:hAnsi="Times New Roman" w:cs="Times New Roman"/>
                <w:lang w:val="it-IT"/>
              </w:rPr>
              <w:t xml:space="preserve">ske terapije i 2 </w:t>
            </w:r>
            <w:r w:rsidRPr="003A22B9">
              <w:rPr>
                <w:rFonts w:ascii="Times New Roman" w:eastAsia="Times New Roman" w:hAnsi="Times New Roman" w:cs="Times New Roman"/>
                <w:lang w:val="it-IT"/>
              </w:rPr>
              <w:t>ciklusa terapije održavanja (M1 i M2)</w:t>
            </w:r>
          </w:p>
        </w:tc>
      </w:tr>
      <w:tr w:rsidR="00D10D44" w:rsidRPr="003A22B9" w14:paraId="0024251C" w14:textId="77777777" w:rsidTr="00043DF7">
        <w:tc>
          <w:tcPr>
            <w:tcW w:w="1350" w:type="dxa"/>
            <w:vMerge/>
          </w:tcPr>
          <w:p w14:paraId="0D53664C" w14:textId="77777777" w:rsidR="00D10D44" w:rsidRPr="003A22B9" w:rsidRDefault="00D10D44" w:rsidP="00D10D44">
            <w:pPr>
              <w:rPr>
                <w:rFonts w:ascii="Times New Roman" w:eastAsia="Times New Roman" w:hAnsi="Times New Roman" w:cs="Times New Roman"/>
                <w:spacing w:val="-1"/>
                <w:lang w:val="it-IT"/>
              </w:rPr>
            </w:pPr>
          </w:p>
        </w:tc>
        <w:tc>
          <w:tcPr>
            <w:tcW w:w="4046" w:type="dxa"/>
          </w:tcPr>
          <w:p w14:paraId="53883CC3"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Grupa C3:</w:t>
            </w:r>
          </w:p>
          <w:p w14:paraId="2C8FE5CC" w14:textId="77777777"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lang w:val="it-IT"/>
              </w:rPr>
              <w:t>BAL koji zahvata cerebrospinalnu tečnost, bolest stadijuma IV koja zahvata cerebrospinalnu tečnost</w:t>
            </w:r>
          </w:p>
        </w:tc>
        <w:tc>
          <w:tcPr>
            <w:tcW w:w="4221" w:type="dxa"/>
            <w:vMerge/>
          </w:tcPr>
          <w:p w14:paraId="276F9E99" w14:textId="77777777" w:rsidR="00D10D44" w:rsidRPr="003A22B9" w:rsidRDefault="00D10D44" w:rsidP="00D10D44">
            <w:pPr>
              <w:rPr>
                <w:rFonts w:ascii="Times New Roman" w:eastAsia="Times New Roman" w:hAnsi="Times New Roman" w:cs="Times New Roman"/>
                <w:spacing w:val="-1"/>
                <w:lang w:val="it-IT"/>
              </w:rPr>
            </w:pPr>
          </w:p>
        </w:tc>
      </w:tr>
      <w:tr w:rsidR="00D10D44" w:rsidRPr="003A22B9" w14:paraId="56D108CF" w14:textId="77777777" w:rsidTr="000351D1">
        <w:tc>
          <w:tcPr>
            <w:tcW w:w="9617" w:type="dxa"/>
            <w:gridSpan w:val="3"/>
          </w:tcPr>
          <w:p w14:paraId="05B04844" w14:textId="6899E5BE" w:rsidR="00D10D44" w:rsidRPr="003A22B9" w:rsidRDefault="00D10D44" w:rsidP="00D10D44">
            <w:pPr>
              <w:rPr>
                <w:rFonts w:ascii="Times New Roman" w:eastAsia="Times New Roman" w:hAnsi="Times New Roman" w:cs="Times New Roman"/>
                <w:spacing w:val="-1"/>
                <w:lang w:val="it-IT"/>
              </w:rPr>
            </w:pPr>
            <w:r w:rsidRPr="003A22B9">
              <w:rPr>
                <w:rFonts w:ascii="Times New Roman" w:eastAsia="Times New Roman" w:hAnsi="Times New Roman" w:cs="Times New Roman"/>
                <w:lang w:val="it-IT"/>
              </w:rPr>
              <w:t xml:space="preserve">Cikluse treba </w:t>
            </w:r>
            <w:r w:rsidR="004B7B3D" w:rsidRPr="003A22B9">
              <w:rPr>
                <w:rFonts w:ascii="Times New Roman" w:eastAsia="Times New Roman" w:hAnsi="Times New Roman" w:cs="Times New Roman"/>
                <w:lang w:val="it-IT"/>
              </w:rPr>
              <w:t>primijenit</w:t>
            </w:r>
            <w:r w:rsidRPr="003A22B9">
              <w:rPr>
                <w:rFonts w:ascii="Times New Roman" w:eastAsia="Times New Roman" w:hAnsi="Times New Roman" w:cs="Times New Roman"/>
                <w:lang w:val="it-IT"/>
              </w:rPr>
              <w:t>i jedan za drugim čim se krvna slika oporavi, a pacijentovo stanje to dopusti, osim ciklusa terapije održavanja, koji se prim</w:t>
            </w:r>
            <w:r w:rsidR="0082358D"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enjuju u intervalima od 28 dana</w:t>
            </w:r>
          </w:p>
        </w:tc>
      </w:tr>
      <w:tr w:rsidR="00D10D44" w:rsidRPr="003A22B9" w14:paraId="1769C879" w14:textId="77777777" w:rsidTr="00043DF7">
        <w:tc>
          <w:tcPr>
            <w:tcW w:w="9617" w:type="dxa"/>
            <w:gridSpan w:val="3"/>
          </w:tcPr>
          <w:p w14:paraId="2C4BC693" w14:textId="77777777" w:rsidR="00D10D44" w:rsidRPr="003A22B9" w:rsidRDefault="00D10D44" w:rsidP="00D10D44">
            <w:pPr>
              <w:rPr>
                <w:rFonts w:ascii="Times New Roman" w:eastAsia="Times New Roman" w:hAnsi="Times New Roman" w:cs="Times New Roman"/>
                <w:color w:val="0000FF"/>
                <w:lang w:val="it-IT"/>
              </w:rPr>
            </w:pPr>
            <w:r w:rsidRPr="003A22B9">
              <w:rPr>
                <w:rFonts w:ascii="Times New Roman" w:eastAsia="Times New Roman" w:hAnsi="Times New Roman" w:cs="Times New Roman"/>
                <w:lang w:val="it-IT"/>
              </w:rPr>
              <w:t xml:space="preserve">BAL = Burkitt-ova leukemija (akutna leukemija zrelih B-limfocita); CNS = centralni nervni sistem; </w:t>
            </w:r>
          </w:p>
          <w:p w14:paraId="720DD323" w14:textId="77777777" w:rsidR="00D10D44" w:rsidRPr="003A22B9" w:rsidRDefault="00D10D44" w:rsidP="00D10D44">
            <w:pPr>
              <w:rPr>
                <w:rFonts w:ascii="Times New Roman" w:eastAsia="Times New Roman" w:hAnsi="Times New Roman" w:cs="Times New Roman"/>
                <w:lang w:val="it-IT"/>
              </w:rPr>
            </w:pPr>
            <w:r w:rsidRPr="003A22B9">
              <w:rPr>
                <w:rFonts w:ascii="Times New Roman" w:eastAsia="Times New Roman" w:hAnsi="Times New Roman" w:cs="Times New Roman"/>
                <w:lang w:val="it-IT"/>
              </w:rPr>
              <w:t>LDH = laktat dehidrogenaza</w:t>
            </w:r>
          </w:p>
        </w:tc>
      </w:tr>
    </w:tbl>
    <w:p w14:paraId="60149646" w14:textId="77777777" w:rsidR="004C5141" w:rsidRPr="003A22B9" w:rsidRDefault="004C5141" w:rsidP="000351D1">
      <w:pPr>
        <w:spacing w:after="0" w:line="240" w:lineRule="auto"/>
        <w:jc w:val="both"/>
        <w:rPr>
          <w:rFonts w:ascii="Times New Roman" w:eastAsia="Times New Roman" w:hAnsi="Times New Roman" w:cs="Times New Roman"/>
          <w:lang w:val="it-IT"/>
        </w:rPr>
      </w:pPr>
    </w:p>
    <w:p w14:paraId="731583E3" w14:textId="77777777" w:rsidR="004C5141" w:rsidRPr="003A22B9" w:rsidRDefault="004C5141" w:rsidP="000351D1">
      <w:pPr>
        <w:spacing w:after="0" w:line="240" w:lineRule="auto"/>
        <w:jc w:val="both"/>
        <w:rPr>
          <w:rFonts w:ascii="Times New Roman" w:eastAsia="Times New Roman" w:hAnsi="Times New Roman" w:cs="Times New Roman"/>
          <w:lang w:val="it-IT"/>
        </w:rPr>
      </w:pPr>
    </w:p>
    <w:p w14:paraId="141ABD45" w14:textId="0C389E17" w:rsidR="000351D1" w:rsidRPr="003A22B9" w:rsidRDefault="000351D1" w:rsidP="000351D1">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Granulomatoza sa poliangitisom (GPA) i mikroskopski poliangitis (MPA)</w:t>
      </w:r>
    </w:p>
    <w:p w14:paraId="60DBBFD4" w14:textId="77777777" w:rsidR="000351D1" w:rsidRPr="003A22B9" w:rsidRDefault="000351D1" w:rsidP="000351D1">
      <w:pPr>
        <w:spacing w:after="0" w:line="240" w:lineRule="auto"/>
        <w:jc w:val="both"/>
        <w:rPr>
          <w:rFonts w:ascii="Times New Roman" w:eastAsia="Times New Roman" w:hAnsi="Times New Roman" w:cs="Times New Roman"/>
          <w:lang w:val="it-IT"/>
        </w:rPr>
      </w:pPr>
    </w:p>
    <w:p w14:paraId="695B17F5" w14:textId="730F911F" w:rsidR="000351D1" w:rsidRPr="003A22B9" w:rsidRDefault="004C5141" w:rsidP="000351D1">
      <w:pPr>
        <w:spacing w:after="0" w:line="240" w:lineRule="auto"/>
        <w:jc w:val="both"/>
        <w:rPr>
          <w:rFonts w:ascii="Times New Roman" w:eastAsia="Times New Roman" w:hAnsi="Times New Roman" w:cs="Times New Roman"/>
          <w:i/>
          <w:lang w:val="it-IT"/>
        </w:rPr>
      </w:pPr>
      <w:r w:rsidRPr="003A22B9">
        <w:rPr>
          <w:rFonts w:ascii="Times New Roman" w:eastAsia="Times New Roman" w:hAnsi="Times New Roman" w:cs="Times New Roman"/>
          <w:i/>
          <w:lang w:val="it-IT"/>
        </w:rPr>
        <w:t>Indukcija</w:t>
      </w:r>
      <w:r w:rsidR="000351D1" w:rsidRPr="003A22B9">
        <w:rPr>
          <w:rFonts w:ascii="Times New Roman" w:eastAsia="Times New Roman" w:hAnsi="Times New Roman" w:cs="Times New Roman"/>
          <w:i/>
          <w:lang w:val="it-IT"/>
        </w:rPr>
        <w:t xml:space="preserve"> remisije </w:t>
      </w:r>
    </w:p>
    <w:p w14:paraId="66B2FA14" w14:textId="77777777" w:rsidR="000351D1" w:rsidRPr="003A22B9" w:rsidRDefault="000351D1" w:rsidP="000351D1">
      <w:pPr>
        <w:spacing w:after="0" w:line="240" w:lineRule="auto"/>
        <w:jc w:val="both"/>
        <w:rPr>
          <w:rFonts w:ascii="Times New Roman" w:eastAsia="Times New Roman" w:hAnsi="Times New Roman" w:cs="Times New Roman"/>
          <w:i/>
          <w:lang w:val="it-IT"/>
        </w:rPr>
      </w:pPr>
    </w:p>
    <w:p w14:paraId="16D8C8B2" w14:textId="65AB1CEE" w:rsidR="000351D1" w:rsidRPr="003A22B9" w:rsidRDefault="000351D1" w:rsidP="000351D1">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Preporučena doza l</w:t>
      </w:r>
      <w:r w:rsidR="00524091" w:rsidRPr="003A22B9">
        <w:rPr>
          <w:rFonts w:ascii="Times New Roman" w:eastAsia="Times New Roman" w:hAnsi="Times New Roman" w:cs="Times New Roman"/>
          <w:lang w:val="it-IT"/>
        </w:rPr>
        <w:t>ij</w:t>
      </w:r>
      <w:r w:rsidR="004C5141" w:rsidRPr="003A22B9">
        <w:rPr>
          <w:rFonts w:ascii="Times New Roman" w:eastAsia="Times New Roman" w:hAnsi="Times New Roman" w:cs="Times New Roman"/>
          <w:lang w:val="it-IT"/>
        </w:rPr>
        <w:t>eka Rixathon za indukciju</w:t>
      </w:r>
      <w:r w:rsidRPr="003A22B9">
        <w:rPr>
          <w:rFonts w:ascii="Times New Roman" w:eastAsia="Times New Roman" w:hAnsi="Times New Roman" w:cs="Times New Roman"/>
          <w:lang w:val="it-IT"/>
        </w:rPr>
        <w:t xml:space="preserve"> remisije kod pedijatrijskih p</w:t>
      </w:r>
      <w:r w:rsidR="004C5141" w:rsidRPr="003A22B9">
        <w:rPr>
          <w:rFonts w:ascii="Times New Roman" w:eastAsia="Times New Roman" w:hAnsi="Times New Roman" w:cs="Times New Roman"/>
          <w:lang w:val="it-IT"/>
        </w:rPr>
        <w:t xml:space="preserve">acijenata sa teškim aktivnim </w:t>
      </w:r>
      <w:r w:rsidRPr="003A22B9">
        <w:rPr>
          <w:rFonts w:ascii="Times New Roman" w:eastAsia="Times New Roman" w:hAnsi="Times New Roman" w:cs="Times New Roman"/>
          <w:lang w:val="it-IT"/>
        </w:rPr>
        <w:t>GPA-om ili MPA-om iznosi 375 mg/m</w:t>
      </w:r>
      <w:r w:rsidRPr="003A22B9">
        <w:rPr>
          <w:rFonts w:ascii="Times New Roman" w:eastAsia="Times New Roman" w:hAnsi="Times New Roman" w:cs="Times New Roman"/>
          <w:vertAlign w:val="superscript"/>
          <w:lang w:val="it-IT"/>
        </w:rPr>
        <w:t>2</w:t>
      </w:r>
      <w:r w:rsidRPr="003A22B9">
        <w:rPr>
          <w:rFonts w:ascii="Times New Roman" w:eastAsia="Times New Roman" w:hAnsi="Times New Roman" w:cs="Times New Roman"/>
          <w:lang w:val="it-IT"/>
        </w:rPr>
        <w:t xml:space="preserve"> t</w:t>
      </w:r>
      <w:r w:rsidR="00240968"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elesne površine, prim</w:t>
      </w:r>
      <w:r w:rsidR="00AE2648">
        <w:rPr>
          <w:rFonts w:ascii="Times New Roman" w:eastAsia="Times New Roman" w:hAnsi="Times New Roman" w:cs="Times New Roman"/>
          <w:lang w:val="it-IT"/>
        </w:rPr>
        <w:t>i</w:t>
      </w:r>
      <w:r w:rsidR="00524091"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enjeno intravenskom infuzijom jedanput ned</w:t>
      </w:r>
      <w:r w:rsidR="00524091"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eljno tokom 4 ned</w:t>
      </w:r>
      <w:r w:rsidR="00524091"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elje.</w:t>
      </w:r>
    </w:p>
    <w:p w14:paraId="15981D6C" w14:textId="77777777" w:rsidR="000351D1" w:rsidRPr="003A22B9" w:rsidRDefault="000351D1" w:rsidP="000351D1">
      <w:pPr>
        <w:spacing w:after="0" w:line="240" w:lineRule="auto"/>
        <w:jc w:val="both"/>
        <w:rPr>
          <w:rFonts w:ascii="Times New Roman" w:eastAsia="Times New Roman" w:hAnsi="Times New Roman" w:cs="Times New Roman"/>
          <w:lang w:val="it-IT"/>
        </w:rPr>
      </w:pPr>
    </w:p>
    <w:p w14:paraId="07AD7A06" w14:textId="76A8FF9A" w:rsidR="000351D1" w:rsidRPr="003A22B9" w:rsidRDefault="000351D1" w:rsidP="000351D1">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Bezb</w:t>
      </w:r>
      <w:r w:rsidR="001B305E"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ednost i efikasnost l</w:t>
      </w:r>
      <w:r w:rsidR="001B305E"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 xml:space="preserve">eka Rixathon kod pedijatrijskih pacijenata (u uzrastu od ≥ 2 do &lt; 18 godina) ustanovljene su samo za indikacije teškog aktivnog GPA ili MPA. </w:t>
      </w:r>
    </w:p>
    <w:p w14:paraId="252EFE17" w14:textId="77777777" w:rsidR="000351D1" w:rsidRPr="003A22B9" w:rsidRDefault="000351D1" w:rsidP="000351D1">
      <w:pPr>
        <w:spacing w:after="0" w:line="240" w:lineRule="auto"/>
        <w:jc w:val="both"/>
        <w:rPr>
          <w:rFonts w:ascii="Times New Roman" w:eastAsia="Times New Roman" w:hAnsi="Times New Roman" w:cs="Times New Roman"/>
          <w:lang w:val="it-IT"/>
        </w:rPr>
      </w:pPr>
    </w:p>
    <w:p w14:paraId="3DA85CE2" w14:textId="6E43FCA7" w:rsidR="000351D1" w:rsidRPr="003A22B9" w:rsidRDefault="000351D1" w:rsidP="000351D1">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L</w:t>
      </w:r>
      <w:r w:rsidR="00694F34"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ek Rixathon se ne sm</w:t>
      </w:r>
      <w:r w:rsidR="00694F34"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 prim</w:t>
      </w:r>
      <w:r w:rsidR="00694F3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enjivati kod pedijatrijskih pacijenata </w:t>
      </w:r>
      <w:r w:rsidR="00C72E8F" w:rsidRPr="003A22B9">
        <w:rPr>
          <w:rFonts w:ascii="Times New Roman" w:eastAsia="Times New Roman" w:hAnsi="Times New Roman" w:cs="Times New Roman"/>
          <w:lang w:val="it-IT"/>
        </w:rPr>
        <w:t>ml</w:t>
      </w:r>
      <w:r w:rsidRPr="003A22B9">
        <w:rPr>
          <w:rFonts w:ascii="Times New Roman" w:eastAsia="Times New Roman" w:hAnsi="Times New Roman" w:cs="Times New Roman"/>
          <w:lang w:val="it-IT"/>
        </w:rPr>
        <w:t xml:space="preserve">ađih </w:t>
      </w:r>
      <w:r w:rsidR="004C5141" w:rsidRPr="003A22B9">
        <w:rPr>
          <w:rFonts w:ascii="Times New Roman" w:eastAsia="Times New Roman" w:hAnsi="Times New Roman" w:cs="Times New Roman"/>
          <w:lang w:val="it-IT"/>
        </w:rPr>
        <w:t xml:space="preserve">od 2 godine sa teškim aktivnim </w:t>
      </w:r>
      <w:r w:rsidRPr="003A22B9">
        <w:rPr>
          <w:rFonts w:ascii="Times New Roman" w:eastAsia="Times New Roman" w:hAnsi="Times New Roman" w:cs="Times New Roman"/>
          <w:lang w:val="it-IT"/>
        </w:rPr>
        <w:t xml:space="preserve">GPA-om ili MPA-om zbog </w:t>
      </w:r>
      <w:r w:rsidR="004C5141" w:rsidRPr="003A22B9">
        <w:rPr>
          <w:rFonts w:ascii="Times New Roman" w:eastAsia="Times New Roman" w:hAnsi="Times New Roman" w:cs="Times New Roman"/>
          <w:lang w:val="it-IT"/>
        </w:rPr>
        <w:t>mogućeg nedovoljno dobrog imun</w:t>
      </w:r>
      <w:r w:rsidRPr="003A22B9">
        <w:rPr>
          <w:rFonts w:ascii="Times New Roman" w:eastAsia="Times New Roman" w:hAnsi="Times New Roman" w:cs="Times New Roman"/>
          <w:lang w:val="it-IT"/>
        </w:rPr>
        <w:t>og odgovora na pedijatrijske vakcine protiv čestih d</w:t>
      </w:r>
      <w:r w:rsidR="009446D2"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ečjih bolesti koje se mogu spr</w:t>
      </w:r>
      <w:r w:rsidR="0038515C"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ečiti vakcinaci</w:t>
      </w:r>
      <w:r w:rsidR="004C5141" w:rsidRPr="003A22B9">
        <w:rPr>
          <w:rFonts w:ascii="Times New Roman" w:eastAsia="Times New Roman" w:hAnsi="Times New Roman" w:cs="Times New Roman"/>
          <w:lang w:val="it-IT"/>
        </w:rPr>
        <w:t>jom (npr. morbili, zauške, rube</w:t>
      </w:r>
      <w:r w:rsidRPr="003A22B9">
        <w:rPr>
          <w:rFonts w:ascii="Times New Roman" w:eastAsia="Times New Roman" w:hAnsi="Times New Roman" w:cs="Times New Roman"/>
          <w:lang w:val="it-IT"/>
        </w:rPr>
        <w:t>la i d</w:t>
      </w:r>
      <w:r w:rsidR="00A912F1"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ečja paraliza) (vid</w:t>
      </w:r>
      <w:r w:rsidR="00723E03" w:rsidRPr="003A22B9">
        <w:rPr>
          <w:rFonts w:ascii="Times New Roman" w:eastAsia="Times New Roman" w:hAnsi="Times New Roman" w:cs="Times New Roman"/>
          <w:lang w:val="it-IT"/>
        </w:rPr>
        <w:t>j</w:t>
      </w:r>
      <w:r w:rsidR="004C5141" w:rsidRPr="003A22B9">
        <w:rPr>
          <w:rFonts w:ascii="Times New Roman" w:eastAsia="Times New Roman" w:hAnsi="Times New Roman" w:cs="Times New Roman"/>
          <w:lang w:val="it-IT"/>
        </w:rPr>
        <w:t>eti dio</w:t>
      </w:r>
      <w:r w:rsidRPr="003A22B9">
        <w:rPr>
          <w:rFonts w:ascii="Times New Roman" w:eastAsia="Times New Roman" w:hAnsi="Times New Roman" w:cs="Times New Roman"/>
          <w:lang w:val="it-IT"/>
        </w:rPr>
        <w:t xml:space="preserve"> 5.1).</w:t>
      </w:r>
    </w:p>
    <w:p w14:paraId="7F0027C2" w14:textId="77777777" w:rsidR="000351D1" w:rsidRPr="003A22B9" w:rsidRDefault="000351D1" w:rsidP="000351D1">
      <w:pPr>
        <w:spacing w:after="0" w:line="240" w:lineRule="auto"/>
        <w:jc w:val="both"/>
        <w:rPr>
          <w:rFonts w:ascii="Times New Roman" w:eastAsia="Times New Roman" w:hAnsi="Times New Roman" w:cs="Times New Roman"/>
          <w:lang w:val="it-IT"/>
        </w:rPr>
      </w:pPr>
    </w:p>
    <w:p w14:paraId="44023FA1" w14:textId="77777777" w:rsidR="000351D1" w:rsidRPr="003A22B9" w:rsidRDefault="000351D1" w:rsidP="000351D1">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i/>
          <w:lang w:val="it-IT"/>
        </w:rPr>
        <w:t>Stariji pacijenti</w:t>
      </w:r>
    </w:p>
    <w:p w14:paraId="254FCA99" w14:textId="77777777" w:rsidR="000351D1" w:rsidRPr="003A22B9" w:rsidRDefault="000351D1" w:rsidP="000351D1">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Kod pacijenata starijeg životnog doba (&gt;65 godina starosti) nije potrebno podešavanje doze.</w:t>
      </w:r>
    </w:p>
    <w:p w14:paraId="23F989E1" w14:textId="77777777" w:rsidR="00D10D44" w:rsidRPr="003A22B9" w:rsidRDefault="00D10D44" w:rsidP="00A75B47">
      <w:pPr>
        <w:spacing w:after="0" w:line="240" w:lineRule="auto"/>
        <w:jc w:val="both"/>
        <w:rPr>
          <w:rFonts w:ascii="Times New Roman" w:eastAsia="Times New Roman" w:hAnsi="Times New Roman" w:cs="Times New Roman"/>
          <w:lang w:val="it-IT"/>
        </w:rPr>
      </w:pPr>
    </w:p>
    <w:p w14:paraId="2EC72F6D"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Način primjene </w:t>
      </w:r>
    </w:p>
    <w:p w14:paraId="2A73248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E4DA7F6" w14:textId="4140975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Lijek Rixathon je namijenjen za intravensku primjenu. Pripre</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jen rastvor lijeka Rixathon treba primijeniti intravenskom infuzijom kroz posebnu infuzionu liniju. Ne smije se primijeniti brzom intravenskom injekcijom niti kao bolus.</w:t>
      </w:r>
    </w:p>
    <w:p w14:paraId="24315C7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4B406E3" w14:textId="65FBBEF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Pacijente treba pažljivo nadgledati da bi se uočila pojava sindroma osloba</w:t>
      </w:r>
      <w:r w:rsidR="004C5141" w:rsidRPr="003A22B9">
        <w:rPr>
          <w:rFonts w:ascii="Times New Roman" w:eastAsia="Times New Roman" w:hAnsi="Times New Roman" w:cs="Times New Roman"/>
          <w:lang w:val="sr-Latn-ME"/>
        </w:rPr>
        <w:t>đanja citokina (vidjeti dio</w:t>
      </w:r>
      <w:r w:rsidRPr="003A22B9">
        <w:rPr>
          <w:rFonts w:ascii="Times New Roman" w:eastAsia="Times New Roman" w:hAnsi="Times New Roman" w:cs="Times New Roman"/>
          <w:lang w:val="sr-Latn-ME"/>
        </w:rPr>
        <w:t xml:space="preserve"> 4.4.). Pacijentima koji razviju simptome teške reakcije, posebno teške dispneje, bronhospazma ili hipoksije treba odmah prekinuti primjenu infuzije. Pacijentima sa non-Hodgkinovim limfomom tada treba procijeniti stanje zbog mogućeg sindroma lize tumora, što uključuje odgovarajuća laboratorijska ispitivanja i radiološko snimanje grudnog koša radi otkrivanja moguće plućne infiltracije. Infuzija se ne smije ponovo započinjati ni kod jednog pacijenta, dok se svi simptomi potpuno ne povuku, dok ne dođe do normalizacije laboratorijskih parametara i rendgenskih nalaza. Tada se može nastaviti infuzija, ali brzinom koja iznosi najviše polovinu brzine prethodne infuzije. Ako se i drugi put pojave iste teške reakcije, odluku o potpunom prekidu ove terapije treba donijeti poslije brižljivog razmatranja okolnosti svakog pojedinog slučaja. </w:t>
      </w:r>
    </w:p>
    <w:p w14:paraId="5978EFE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F986F07" w14:textId="05DB324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 xml:space="preserve">Blage do umjerene reakcije na </w:t>
      </w:r>
      <w:r w:rsidR="006A1A52" w:rsidRPr="003A22B9">
        <w:rPr>
          <w:rFonts w:ascii="Times New Roman" w:eastAsia="Times New Roman" w:hAnsi="Times New Roman" w:cs="Times New Roman"/>
          <w:lang w:val="sr-Latn-ME"/>
        </w:rPr>
        <w:t>infuziju (IRR) (vidjeti dio</w:t>
      </w:r>
      <w:r w:rsidRPr="003A22B9">
        <w:rPr>
          <w:rFonts w:ascii="Times New Roman" w:eastAsia="Times New Roman" w:hAnsi="Times New Roman" w:cs="Times New Roman"/>
          <w:lang w:val="sr-Latn-ME"/>
        </w:rPr>
        <w:t xml:space="preserve"> 4.8.) obično se povlače nakon smanjenja brzine infuzije. Brzina infuzije može se povećati nakon poboljšanja simptoma.</w:t>
      </w:r>
    </w:p>
    <w:p w14:paraId="65E8078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176AC47"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Prva infuzija </w:t>
      </w:r>
    </w:p>
    <w:p w14:paraId="10BBE38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31493A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Preporučena početna brzina infuzije je 50 mg/h; nakon prvih 30 minuta može se povećavati za 50 mg/h svakih 30 minuta, do najviše 400 mg/h.</w:t>
      </w:r>
    </w:p>
    <w:p w14:paraId="1772215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0753FF4"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Naredne infuzije </w:t>
      </w:r>
    </w:p>
    <w:p w14:paraId="7D231C1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6F9EE9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Sve indikacije</w:t>
      </w:r>
      <w:r w:rsidRPr="003A22B9">
        <w:rPr>
          <w:rFonts w:ascii="Times New Roman" w:eastAsia="Times New Roman" w:hAnsi="Times New Roman" w:cs="Times New Roman"/>
          <w:lang w:val="sr-Latn-ME"/>
        </w:rPr>
        <w:t xml:space="preserve"> </w:t>
      </w:r>
    </w:p>
    <w:p w14:paraId="7D429B9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F57413F" w14:textId="45248803" w:rsidR="00A75B47" w:rsidRPr="003A22B9" w:rsidRDefault="006A1A52"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Sljedeć</w:t>
      </w:r>
      <w:r w:rsidR="00A75B47" w:rsidRPr="003A22B9">
        <w:rPr>
          <w:rFonts w:ascii="Times New Roman" w:eastAsia="Times New Roman" w:hAnsi="Times New Roman" w:cs="Times New Roman"/>
          <w:lang w:val="sr-Latn-ME"/>
        </w:rPr>
        <w:t>e doze lijeka Rixathon mogu se dati početnom brzinom infuzije od 100 mg/h, a brzina se može povećavati za 100 mg/h u razmacima od 30 minuta, do najviše 400 mg/h.</w:t>
      </w:r>
    </w:p>
    <w:p w14:paraId="516F0EFD" w14:textId="5FCF7BBF" w:rsidR="00A75B47" w:rsidRPr="003A22B9" w:rsidRDefault="00A75B47" w:rsidP="00A75B47">
      <w:pPr>
        <w:spacing w:after="0" w:line="240" w:lineRule="auto"/>
        <w:jc w:val="both"/>
        <w:rPr>
          <w:rFonts w:ascii="Times New Roman" w:eastAsia="Times New Roman" w:hAnsi="Times New Roman" w:cs="Times New Roman"/>
          <w:lang w:val="sr-Latn-ME"/>
        </w:rPr>
      </w:pPr>
    </w:p>
    <w:p w14:paraId="52E93028" w14:textId="77777777" w:rsidR="005A182D" w:rsidRPr="003A22B9" w:rsidRDefault="005A182D" w:rsidP="005A182D">
      <w:pPr>
        <w:spacing w:after="0" w:line="240" w:lineRule="auto"/>
        <w:jc w:val="both"/>
        <w:rPr>
          <w:rFonts w:ascii="Times New Roman" w:eastAsia="Times New Roman" w:hAnsi="Times New Roman" w:cs="Times New Roman"/>
          <w:i/>
          <w:lang w:val="it-IT"/>
        </w:rPr>
      </w:pPr>
      <w:r w:rsidRPr="003A22B9">
        <w:rPr>
          <w:rFonts w:ascii="Times New Roman" w:eastAsia="Times New Roman" w:hAnsi="Times New Roman" w:cs="Times New Roman"/>
          <w:i/>
          <w:lang w:val="it-IT"/>
        </w:rPr>
        <w:t xml:space="preserve">Pedijatrijski pacijenti – non-Hodgkinov limfom </w:t>
      </w:r>
    </w:p>
    <w:p w14:paraId="56E954E2" w14:textId="77777777" w:rsidR="005A182D" w:rsidRPr="003A22B9" w:rsidRDefault="005A182D" w:rsidP="005A182D">
      <w:pPr>
        <w:spacing w:after="0" w:line="240" w:lineRule="auto"/>
        <w:jc w:val="both"/>
        <w:rPr>
          <w:rFonts w:ascii="Times New Roman" w:eastAsia="Times New Roman" w:hAnsi="Times New Roman" w:cs="Times New Roman"/>
          <w:lang w:val="it-IT"/>
        </w:rPr>
      </w:pPr>
    </w:p>
    <w:p w14:paraId="506A4096" w14:textId="77777777" w:rsidR="005A182D" w:rsidRPr="001C3C2B" w:rsidRDefault="005A182D" w:rsidP="005A182D">
      <w:pPr>
        <w:spacing w:after="0" w:line="240" w:lineRule="auto"/>
        <w:jc w:val="both"/>
        <w:rPr>
          <w:rFonts w:ascii="Times New Roman" w:eastAsia="Times New Roman" w:hAnsi="Times New Roman" w:cs="Times New Roman"/>
          <w:i/>
          <w:u w:val="single"/>
          <w:lang w:val="it-IT"/>
        </w:rPr>
      </w:pPr>
      <w:r w:rsidRPr="001C3C2B">
        <w:rPr>
          <w:rFonts w:ascii="Times New Roman" w:eastAsia="Times New Roman" w:hAnsi="Times New Roman" w:cs="Times New Roman"/>
          <w:i/>
          <w:u w:val="single"/>
          <w:lang w:val="it-IT"/>
        </w:rPr>
        <w:t xml:space="preserve">Prva infuzija </w:t>
      </w:r>
    </w:p>
    <w:p w14:paraId="173C9635" w14:textId="77777777" w:rsidR="005A182D" w:rsidRPr="003A22B9" w:rsidRDefault="005A182D" w:rsidP="005A182D">
      <w:pPr>
        <w:spacing w:after="0" w:line="240" w:lineRule="auto"/>
        <w:jc w:val="both"/>
        <w:rPr>
          <w:rFonts w:ascii="Times New Roman" w:eastAsia="Times New Roman" w:hAnsi="Times New Roman" w:cs="Times New Roman"/>
          <w:lang w:val="it-IT"/>
        </w:rPr>
      </w:pPr>
    </w:p>
    <w:p w14:paraId="0A5B2F52" w14:textId="5C84DCDE" w:rsidR="005A182D" w:rsidRPr="003A22B9" w:rsidRDefault="005A182D" w:rsidP="005A182D">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Preporučena početna brzina infuzije je 0,5 mg/kg/sat (najviše 50 mg/sat); ako ne nastupe reakcije preos</w:t>
      </w:r>
      <w:r w:rsidR="00DA5BC5">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etljivosti ili reakcije na infuziju, brzina se može povećavati za 0,5 mg/kg/sat svakih 30 minuta, do najviše 400 mg/sat. </w:t>
      </w:r>
    </w:p>
    <w:p w14:paraId="67331BE0" w14:textId="77777777" w:rsidR="005A182D" w:rsidRPr="003A22B9" w:rsidRDefault="005A182D" w:rsidP="005A182D">
      <w:pPr>
        <w:spacing w:after="0" w:line="240" w:lineRule="auto"/>
        <w:jc w:val="both"/>
        <w:rPr>
          <w:rFonts w:ascii="Times New Roman" w:eastAsia="Times New Roman" w:hAnsi="Times New Roman" w:cs="Times New Roman"/>
          <w:lang w:val="it-IT"/>
        </w:rPr>
      </w:pPr>
    </w:p>
    <w:p w14:paraId="2EC15E55" w14:textId="77777777" w:rsidR="005A182D" w:rsidRPr="003A22B9" w:rsidRDefault="005A182D" w:rsidP="005A182D">
      <w:pPr>
        <w:spacing w:after="0" w:line="240" w:lineRule="auto"/>
        <w:jc w:val="both"/>
        <w:rPr>
          <w:rFonts w:ascii="Times New Roman" w:eastAsia="Times New Roman" w:hAnsi="Times New Roman" w:cs="Times New Roman"/>
          <w:i/>
          <w:u w:val="single"/>
          <w:lang w:val="it-IT"/>
        </w:rPr>
      </w:pPr>
      <w:r w:rsidRPr="003A22B9">
        <w:rPr>
          <w:rFonts w:ascii="Times New Roman" w:eastAsia="Times New Roman" w:hAnsi="Times New Roman" w:cs="Times New Roman"/>
          <w:i/>
          <w:u w:val="single"/>
          <w:lang w:val="it-IT"/>
        </w:rPr>
        <w:t>Naredne infuzije</w:t>
      </w:r>
    </w:p>
    <w:p w14:paraId="4B4CA351" w14:textId="52A2887F" w:rsidR="005A182D" w:rsidRPr="003A22B9" w:rsidRDefault="005A182D" w:rsidP="005A182D">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Sl</w:t>
      </w:r>
      <w:r w:rsidR="00063B79"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edeće doze l</w:t>
      </w:r>
      <w:r w:rsidR="00063B79"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eka Rixathon mogu se dati početnom brzinom infuzije od 1 mg/kg/sat (najviše 50 mg/sat); brzina se može povećavati za 1 mg/kg/sat svakih 30 minuta, do najviše 400 mg/sat.</w:t>
      </w:r>
    </w:p>
    <w:p w14:paraId="35CB4A2B" w14:textId="77777777" w:rsidR="005A182D" w:rsidRPr="003A22B9" w:rsidRDefault="005A182D" w:rsidP="00A75B47">
      <w:pPr>
        <w:spacing w:after="0" w:line="240" w:lineRule="auto"/>
        <w:jc w:val="both"/>
        <w:rPr>
          <w:rFonts w:ascii="Times New Roman" w:eastAsia="Times New Roman" w:hAnsi="Times New Roman" w:cs="Times New Roman"/>
          <w:lang w:val="it-IT"/>
        </w:rPr>
      </w:pPr>
    </w:p>
    <w:p w14:paraId="734CF954" w14:textId="77777777" w:rsidR="003A5417" w:rsidRPr="003A22B9" w:rsidRDefault="003A5417" w:rsidP="00A75B47">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Odrasli bolesnici – samo ne-Hodgkinov limfom (NHL) i hronična limfocitna leukemija (KLL): </w:t>
      </w:r>
    </w:p>
    <w:p w14:paraId="712F5875" w14:textId="77777777" w:rsidR="003A5417" w:rsidRPr="003A22B9" w:rsidRDefault="003A5417" w:rsidP="00A75B47">
      <w:pPr>
        <w:spacing w:after="0" w:line="240" w:lineRule="auto"/>
        <w:jc w:val="both"/>
        <w:rPr>
          <w:rFonts w:ascii="Times New Roman" w:eastAsia="Times New Roman" w:hAnsi="Times New Roman" w:cs="Times New Roman"/>
          <w:lang w:val="it-IT"/>
        </w:rPr>
      </w:pPr>
    </w:p>
    <w:p w14:paraId="1503AC4B" w14:textId="4A4863BB" w:rsidR="003A5417" w:rsidRPr="001C3C2B" w:rsidRDefault="003A5417" w:rsidP="001C3C2B">
      <w:pPr>
        <w:pStyle w:val="BodyText"/>
        <w:spacing w:before="9"/>
        <w:ind w:left="0"/>
        <w:jc w:val="both"/>
      </w:pPr>
      <w:r w:rsidRPr="001C3C2B">
        <w:t>Ako pacijenti ni</w:t>
      </w:r>
      <w:r w:rsidR="00DA5BC5">
        <w:t>je</w:t>
      </w:r>
      <w:r w:rsidRPr="001C3C2B">
        <w:t>su doživjeli neželjeni događaj stepena 3 ili 4 u vezi sa infuzijom tokom ciklusa 1, 90-minutna infuzija može da se prim</w:t>
      </w:r>
      <w:r w:rsidR="00DA5BC5">
        <w:t>i</w:t>
      </w:r>
      <w:r w:rsidRPr="001C3C2B">
        <w:t>jeni u ciklusu 2 sa režimom hemoterapije koji sadrži</w:t>
      </w:r>
      <w:r w:rsidR="00DA5BC5">
        <w:t xml:space="preserve"> </w:t>
      </w:r>
      <w:r w:rsidRPr="001C3C2B">
        <w:t>glukokortikoid. Započnite brzinom od 20% ukupne doze date u prvih 30 minuta i preostalih 80%</w:t>
      </w:r>
      <w:r w:rsidR="00DA5BC5">
        <w:t xml:space="preserve"> </w:t>
      </w:r>
      <w:r w:rsidRPr="001C3C2B">
        <w:t xml:space="preserve">ukupne doze date u narednih 60 minuta. Ako se 90-minutna infuzija toleriše u ciklusu 2, ista brzina se može koristiti kada se primjenjuje ostatak režima liječenja (kroz ciklus 6 ili 8). </w:t>
      </w:r>
    </w:p>
    <w:p w14:paraId="48F57F27" w14:textId="77777777" w:rsidR="003A5417" w:rsidRPr="001C3C2B" w:rsidRDefault="003A5417" w:rsidP="003A5417">
      <w:pPr>
        <w:pStyle w:val="BodyText"/>
        <w:spacing w:before="9"/>
      </w:pPr>
    </w:p>
    <w:p w14:paraId="027C403C" w14:textId="6897B37C" w:rsidR="003A5417" w:rsidRPr="001C3C2B" w:rsidRDefault="003A5417" w:rsidP="001C3C2B">
      <w:pPr>
        <w:pStyle w:val="BodyText"/>
        <w:spacing w:before="9"/>
        <w:ind w:left="0"/>
        <w:jc w:val="both"/>
      </w:pPr>
      <w:r w:rsidRPr="001C3C2B">
        <w:t>Pacijentima koji imaju klinički značajnu kardiovaskularnu bolest, uključujući aritmije, ili prethodne ozbiljne reakcije na infuziju na bilo koju prethodnu biološku terapiju ili na rituksimab, ne treba davati bržu infuziju</w:t>
      </w:r>
      <w:r w:rsidR="00DA5BC5">
        <w:t>.</w:t>
      </w:r>
    </w:p>
    <w:p w14:paraId="6690120B" w14:textId="77777777" w:rsidR="003A5417" w:rsidRPr="003A22B9" w:rsidRDefault="003A5417" w:rsidP="00A75B47">
      <w:pPr>
        <w:spacing w:after="0" w:line="240" w:lineRule="auto"/>
        <w:jc w:val="both"/>
        <w:rPr>
          <w:rFonts w:ascii="Times New Roman" w:eastAsia="Times New Roman" w:hAnsi="Times New Roman" w:cs="Times New Roman"/>
          <w:i/>
          <w:lang w:val="sr-Latn-ME"/>
        </w:rPr>
      </w:pPr>
    </w:p>
    <w:p w14:paraId="2C9ED88D" w14:textId="16C033CE"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Samo reumatoidni artritis </w:t>
      </w:r>
    </w:p>
    <w:p w14:paraId="64E66E7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729A65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Alternativni raspored primjene sljedećih infuzija većom brzinom </w:t>
      </w:r>
    </w:p>
    <w:p w14:paraId="13E0791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592DE8C" w14:textId="232A373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Ako pacijenti nijesu razvili ozbiljnu reakciju na infuziju tokom prve ili neke od sljedećih infuzija doze od 1000 mg lijeka Rixathon primijenjene prema standardnom rasporedu primjene, druga ili sljedeće infuzije mogu se dati većom brzinom, uz istu koncentraciju kao i u prethodnim infuzijama (4 mg/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u volumenu od 250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Infuzija se započinje brzinom od 250 mg/h tokom prvih 30 minuta, a nastavlja brzinom od 600 mg/h tokom sljedećih 90 minuta. Ako pacijent dobro podnosi bržu infuziju, opisani raspored se može primijeniti i u narednim infuzijama. </w:t>
      </w:r>
    </w:p>
    <w:p w14:paraId="0E705D4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7B64987" w14:textId="77777777" w:rsidR="00A75B47" w:rsidRPr="003A22B9" w:rsidRDefault="00A75B47" w:rsidP="00A75B47">
      <w:pPr>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lang w:val="sr-Latn-ME"/>
        </w:rPr>
        <w:t>Pacijentima koji boluju od klinički značajne kardiovaskularne bolesti, uključujući aritmije, ili su ranije imali ozbiljnu infuzijsku reakciju na bilo koju prethodnu biološku terapiju ili na rituksimab, ne smije se primijeniti brža infuzija.</w:t>
      </w:r>
    </w:p>
    <w:p w14:paraId="772F7B62"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739D5968"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4.3. </w:t>
      </w:r>
      <w:r w:rsidRPr="003A22B9">
        <w:rPr>
          <w:rFonts w:ascii="Times New Roman" w:eastAsia="Times New Roman" w:hAnsi="Times New Roman" w:cs="Times New Roman"/>
          <w:b/>
          <w:bCs/>
          <w:lang w:val="sr-Latn-ME"/>
        </w:rPr>
        <w:tab/>
        <w:t>Kontraindikacije</w:t>
      </w:r>
    </w:p>
    <w:p w14:paraId="767BDFE4"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09492A70"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lastRenderedPageBreak/>
        <w:t xml:space="preserve">Kontraindikacije za upotrebu kod non-Hodgkinovog limfoma i hronične limfocitne leukemije </w:t>
      </w:r>
    </w:p>
    <w:p w14:paraId="56EDC0D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A0C9E45" w14:textId="2594DC3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Preosjetljivost na aktivnu supstancu, mišje proteine ili neku od pomoćni</w:t>
      </w:r>
      <w:r w:rsidR="006A1A52" w:rsidRPr="003A22B9">
        <w:rPr>
          <w:rFonts w:ascii="Times New Roman" w:eastAsia="Times New Roman" w:hAnsi="Times New Roman" w:cs="Times New Roman"/>
          <w:lang w:val="sr-Latn-ME"/>
        </w:rPr>
        <w:t>h supstanci navedenih u dijelu</w:t>
      </w:r>
      <w:r w:rsidRPr="003A22B9">
        <w:rPr>
          <w:rFonts w:ascii="Times New Roman" w:eastAsia="Times New Roman" w:hAnsi="Times New Roman" w:cs="Times New Roman"/>
          <w:lang w:val="sr-Latn-ME"/>
        </w:rPr>
        <w:t xml:space="preserve"> 6.1. </w:t>
      </w:r>
    </w:p>
    <w:p w14:paraId="5120C1E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0BC09CB" w14:textId="5AD0523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Aktivne, t</w:t>
      </w:r>
      <w:r w:rsidR="006A1A52" w:rsidRPr="003A22B9">
        <w:rPr>
          <w:rFonts w:ascii="Times New Roman" w:eastAsia="Times New Roman" w:hAnsi="Times New Roman" w:cs="Times New Roman"/>
          <w:lang w:val="sr-Latn-ME"/>
        </w:rPr>
        <w:t>eške infekcije (vidjeti dio</w:t>
      </w:r>
      <w:r w:rsidRPr="003A22B9">
        <w:rPr>
          <w:rFonts w:ascii="Times New Roman" w:eastAsia="Times New Roman" w:hAnsi="Times New Roman" w:cs="Times New Roman"/>
          <w:lang w:val="sr-Latn-ME"/>
        </w:rPr>
        <w:t xml:space="preserve"> 4.4). </w:t>
      </w:r>
    </w:p>
    <w:p w14:paraId="78D09E2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64FAC6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Pacijenti u teškom imunokompromitovanom stanju. </w:t>
      </w:r>
    </w:p>
    <w:p w14:paraId="6996102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CF7C566"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Kontraindikacije za upotrebu kod reumatoidnog artritisa, granulomatoze sa poliangitisom, mikroskopskog poliangitisa i običnog pemfigusa</w:t>
      </w:r>
    </w:p>
    <w:p w14:paraId="085CAA3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5FB5A8B" w14:textId="04EFD37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Preosjetljivost na aktivnu supstancu, mišje proteine ili neku od pomoćn</w:t>
      </w:r>
      <w:r w:rsidR="006A1A52" w:rsidRPr="003A22B9">
        <w:rPr>
          <w:rFonts w:ascii="Times New Roman" w:eastAsia="Times New Roman" w:hAnsi="Times New Roman" w:cs="Times New Roman"/>
          <w:lang w:val="sr-Latn-ME"/>
        </w:rPr>
        <w:t>ih supstanci navedenih u dijel</w:t>
      </w:r>
      <w:r w:rsidRPr="003A22B9">
        <w:rPr>
          <w:rFonts w:ascii="Times New Roman" w:eastAsia="Times New Roman" w:hAnsi="Times New Roman" w:cs="Times New Roman"/>
          <w:lang w:val="sr-Latn-ME"/>
        </w:rPr>
        <w:t>u 6.1.</w:t>
      </w:r>
    </w:p>
    <w:p w14:paraId="76CD80C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 </w:t>
      </w:r>
    </w:p>
    <w:p w14:paraId="44D23CEA" w14:textId="7F9045E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Aktivne, t</w:t>
      </w:r>
      <w:r w:rsidR="006A1A52" w:rsidRPr="003A22B9">
        <w:rPr>
          <w:rFonts w:ascii="Times New Roman" w:eastAsia="Times New Roman" w:hAnsi="Times New Roman" w:cs="Times New Roman"/>
          <w:lang w:val="sr-Latn-ME"/>
        </w:rPr>
        <w:t>eške infekcije (vidjeti dio</w:t>
      </w:r>
      <w:r w:rsidRPr="003A22B9">
        <w:rPr>
          <w:rFonts w:ascii="Times New Roman" w:eastAsia="Times New Roman" w:hAnsi="Times New Roman" w:cs="Times New Roman"/>
          <w:lang w:val="sr-Latn-ME"/>
        </w:rPr>
        <w:t xml:space="preserve"> 4.4). </w:t>
      </w:r>
    </w:p>
    <w:p w14:paraId="5077C92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E6BD4F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Pacijenti u teškom imunokompromitovanom stanju. </w:t>
      </w:r>
    </w:p>
    <w:p w14:paraId="29D53F9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4F4C74F" w14:textId="5CD5DE2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Teška srčana insuficijencija (klasa IV po klasifikaciji New York Heart Association) ili teška nekontrolisa</w:t>
      </w:r>
      <w:r w:rsidR="006A1A52" w:rsidRPr="003A22B9">
        <w:rPr>
          <w:rFonts w:ascii="Times New Roman" w:eastAsia="Times New Roman" w:hAnsi="Times New Roman" w:cs="Times New Roman"/>
          <w:lang w:val="sr-Latn-ME"/>
        </w:rPr>
        <w:t>na bolest srca (vidjeti dio</w:t>
      </w:r>
      <w:r w:rsidRPr="003A22B9">
        <w:rPr>
          <w:rFonts w:ascii="Times New Roman" w:eastAsia="Times New Roman" w:hAnsi="Times New Roman" w:cs="Times New Roman"/>
          <w:lang w:val="sr-Latn-ME"/>
        </w:rPr>
        <w:t xml:space="preserve"> 4.4. za druge kardiovaskularne bolesti).</w:t>
      </w:r>
    </w:p>
    <w:p w14:paraId="6D8F2AE4"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286D5D2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4.4. </w:t>
      </w:r>
      <w:r w:rsidRPr="003A22B9">
        <w:rPr>
          <w:rFonts w:ascii="Times New Roman" w:eastAsia="Times New Roman" w:hAnsi="Times New Roman" w:cs="Times New Roman"/>
          <w:b/>
          <w:bCs/>
          <w:lang w:val="sr-Latn-ME"/>
        </w:rPr>
        <w:tab/>
        <w:t>Posebna upozorenja i mjere opreza pri upotrebi lijeka</w:t>
      </w:r>
    </w:p>
    <w:p w14:paraId="069B3913"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0BE93F35"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Sljedivost</w:t>
      </w:r>
    </w:p>
    <w:p w14:paraId="0E2A9BAA"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13A28035"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lang w:val="sr-Latn-ME"/>
        </w:rPr>
        <w:t>Kako bi se poboljšala sljedivost bioloških ljekova, naziv i broj serije primijenjenog lijeka potrebno je jasno evidentirati.</w:t>
      </w:r>
    </w:p>
    <w:p w14:paraId="5C1D349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7785030"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Progresivna multifokalna leukoencefalopatija </w:t>
      </w:r>
    </w:p>
    <w:p w14:paraId="0DA92386"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2CC4763E" w14:textId="29F39D6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Svi pacijenti sa reumatoidnim artritisom, </w:t>
      </w:r>
      <w:r w:rsidR="001836FF" w:rsidRPr="003A22B9">
        <w:rPr>
          <w:rFonts w:ascii="Times New Roman" w:eastAsia="Times New Roman" w:hAnsi="Times New Roman" w:cs="Times New Roman"/>
          <w:lang w:val="sr-Latn-ME"/>
        </w:rPr>
        <w:t>GPA</w:t>
      </w:r>
      <w:r w:rsidRPr="003A22B9">
        <w:rPr>
          <w:rFonts w:ascii="Times New Roman" w:eastAsia="Times New Roman" w:hAnsi="Times New Roman" w:cs="Times New Roman"/>
          <w:lang w:val="sr-Latn-ME"/>
        </w:rPr>
        <w:t xml:space="preserve">, </w:t>
      </w:r>
      <w:r w:rsidR="003765CE" w:rsidRPr="003A22B9">
        <w:rPr>
          <w:rFonts w:ascii="Times New Roman" w:eastAsia="Times New Roman" w:hAnsi="Times New Roman" w:cs="Times New Roman"/>
          <w:lang w:val="sr-Latn-ME"/>
        </w:rPr>
        <w:t xml:space="preserve">MPA </w:t>
      </w:r>
      <w:r w:rsidRPr="003A22B9">
        <w:rPr>
          <w:rFonts w:ascii="Times New Roman" w:eastAsia="Times New Roman" w:hAnsi="Times New Roman" w:cs="Times New Roman"/>
          <w:lang w:val="sr-Latn-ME"/>
        </w:rPr>
        <w:t xml:space="preserve">ili običnim pemfigusom koji se liječe lijekom Rixathon moraju dobiti karticu </w:t>
      </w:r>
      <w:r w:rsidR="001836FF" w:rsidRPr="003A22B9">
        <w:rPr>
          <w:rFonts w:ascii="Times New Roman" w:eastAsia="Times New Roman" w:hAnsi="Times New Roman" w:cs="Times New Roman"/>
          <w:lang w:val="sr-Latn-ME"/>
        </w:rPr>
        <w:t>sa</w:t>
      </w:r>
      <w:r w:rsidRPr="003A22B9">
        <w:rPr>
          <w:rFonts w:ascii="Times New Roman" w:eastAsia="Times New Roman" w:hAnsi="Times New Roman" w:cs="Times New Roman"/>
          <w:lang w:val="sr-Latn-ME"/>
        </w:rPr>
        <w:t xml:space="preserve"> upozor</w:t>
      </w:r>
      <w:r w:rsidR="001836FF" w:rsidRPr="003A22B9">
        <w:rPr>
          <w:rFonts w:ascii="Times New Roman" w:eastAsia="Times New Roman" w:hAnsi="Times New Roman" w:cs="Times New Roman"/>
          <w:lang w:val="sr-Latn-ME"/>
        </w:rPr>
        <w:t>enjima za</w:t>
      </w:r>
      <w:r w:rsidRPr="003A22B9">
        <w:rPr>
          <w:rFonts w:ascii="Times New Roman" w:eastAsia="Times New Roman" w:hAnsi="Times New Roman" w:cs="Times New Roman"/>
          <w:lang w:val="sr-Latn-ME"/>
        </w:rPr>
        <w:t xml:space="preserve"> pacijenata sa svakom infuzijom. Kartica </w:t>
      </w:r>
      <w:r w:rsidR="001836FF" w:rsidRPr="003A22B9">
        <w:rPr>
          <w:rFonts w:ascii="Times New Roman" w:eastAsia="Times New Roman" w:hAnsi="Times New Roman" w:cs="Times New Roman"/>
          <w:lang w:val="sr-Latn-ME"/>
        </w:rPr>
        <w:t>sa</w:t>
      </w:r>
      <w:r w:rsidRPr="003A22B9">
        <w:rPr>
          <w:rFonts w:ascii="Times New Roman" w:eastAsia="Times New Roman" w:hAnsi="Times New Roman" w:cs="Times New Roman"/>
          <w:lang w:val="sr-Latn-ME"/>
        </w:rPr>
        <w:t xml:space="preserve"> upozor</w:t>
      </w:r>
      <w:r w:rsidR="001836FF" w:rsidRPr="003A22B9">
        <w:rPr>
          <w:rFonts w:ascii="Times New Roman" w:eastAsia="Times New Roman" w:hAnsi="Times New Roman" w:cs="Times New Roman"/>
          <w:lang w:val="sr-Latn-ME"/>
        </w:rPr>
        <w:t>enjima</w:t>
      </w:r>
      <w:r w:rsidRPr="003A22B9">
        <w:rPr>
          <w:rFonts w:ascii="Times New Roman" w:eastAsia="Times New Roman" w:hAnsi="Times New Roman" w:cs="Times New Roman"/>
          <w:lang w:val="sr-Latn-ME"/>
        </w:rPr>
        <w:t xml:space="preserve"> sadrži važne informacije o bezbjednosti za pacijenta, koje se tiču potencijalnog rizika od infekcija, uključujući i progresivnu multifokalnu leukoencefalopatiju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w:t>
      </w:r>
    </w:p>
    <w:p w14:paraId="07F8E29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219B24A" w14:textId="1BB5C60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Veoma rijetki slučajevi fatalne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su prijavljeni nakon primjene rituksimaba. Pacijente treba pratiti u redovnim intervalima zbog moguće pojave novih ili pogoršanja već postojećih neuroloških simptoma ili znakova koji mogu upućivati na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Ukoliko se posumnja na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dalja primjena lijeka mora biti obustavljena dok se ne isključi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Kliničar treba da pregleda pacijenta kako bi utvrdio da li su simptomi ukazuju na neurološki poremećaj, i ukoliko je tako, da li ti simptomi možda upućuju na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Treba razmotriti konsultacije sa neurologom ukoliko je klinički indikovano. </w:t>
      </w:r>
    </w:p>
    <w:p w14:paraId="5ED9AF4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025198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Ukoliko postoji ma kakva sumnja, treba razmotriti dalje pretrage, uključujući MR poželjno sa kontrastnim sredstvom, ispitivanje cerebrospinalnog likvora (CSF) na DNK JC virusa i ponavljanje neuroloških procjena. </w:t>
      </w:r>
    </w:p>
    <w:p w14:paraId="0A50D30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9BD0AA9" w14:textId="3F6BFEE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Ljekar treba da bude posebno obazriv u pogledu simptoma koji ukazuju na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koje pacijent ne mora da primijeti (npr. kognitivni, neurološki i psihijatrijski simptomi). Pacijentima treba takođe savjetovati da obavijeste svoje partnere ili stara</w:t>
      </w:r>
      <w:r w:rsidR="001836FF" w:rsidRPr="003A22B9">
        <w:rPr>
          <w:rFonts w:ascii="Times New Roman" w:eastAsia="Times New Roman" w:hAnsi="Times New Roman" w:cs="Times New Roman"/>
          <w:lang w:val="sr-Latn-ME"/>
        </w:rPr>
        <w:t>telje</w:t>
      </w:r>
      <w:r w:rsidRPr="003A22B9">
        <w:rPr>
          <w:rFonts w:ascii="Times New Roman" w:eastAsia="Times New Roman" w:hAnsi="Times New Roman" w:cs="Times New Roman"/>
          <w:lang w:val="sr-Latn-ME"/>
        </w:rPr>
        <w:t xml:space="preserve"> o svom liječenju, s obzirom na to da oni mogu da uoče simptome kojih pacijent ne mora da bude svjestan. </w:t>
      </w:r>
    </w:p>
    <w:p w14:paraId="444EE20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1428203" w14:textId="2D1E2C1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Ako pacijent razvije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dalja terapija lijekom Rixathon mora biti trajno obustavljena. </w:t>
      </w:r>
    </w:p>
    <w:p w14:paraId="0F82618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7E4CAAB" w14:textId="6C19A8B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Nakon oporavka imunog sistema kod imunokompromitovanih pacijenata sa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zabilježeni su stabilizacija ili poboljšanje stanja. Ostaje nepoznato da li rana detekcija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i obustavljanje terapije lijekom Rixathon može dovesti do slične stabilizacije ili poboljšanja stanja.</w:t>
      </w:r>
    </w:p>
    <w:p w14:paraId="3F3FCC4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D8D791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Non-Hodgkinov limfom i hronična limfocitna leukemija</w:t>
      </w:r>
      <w:r w:rsidRPr="003A22B9">
        <w:rPr>
          <w:rFonts w:ascii="Times New Roman" w:eastAsia="Times New Roman" w:hAnsi="Times New Roman" w:cs="Times New Roman"/>
          <w:lang w:val="sr-Latn-ME"/>
        </w:rPr>
        <w:t xml:space="preserve"> </w:t>
      </w:r>
    </w:p>
    <w:p w14:paraId="076A6BE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8B93D08"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Reakcije na infuziju</w:t>
      </w:r>
    </w:p>
    <w:p w14:paraId="1567086B" w14:textId="48A5B2B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Primjena rituksimaba povezuje se s reakcijama na infuziju, koje mogu biti povezane sa otpuštanjem citokina i/ili drugih hemijskih medijatora. Sindrom otpuštanja citokina možda se klinički neće moći razlik</w:t>
      </w:r>
      <w:r w:rsidR="009177ED" w:rsidRPr="003A22B9">
        <w:rPr>
          <w:rFonts w:ascii="Times New Roman" w:eastAsia="Times New Roman" w:hAnsi="Times New Roman" w:cs="Times New Roman"/>
          <w:lang w:val="sr-Latn-ME"/>
        </w:rPr>
        <w:t>ovati</w:t>
      </w:r>
      <w:r w:rsidRPr="003A22B9">
        <w:rPr>
          <w:rFonts w:ascii="Times New Roman" w:eastAsia="Times New Roman" w:hAnsi="Times New Roman" w:cs="Times New Roman"/>
          <w:lang w:val="sr-Latn-ME"/>
        </w:rPr>
        <w:t xml:space="preserve"> od akutnih reakcija preosjetljivosti.</w:t>
      </w:r>
    </w:p>
    <w:p w14:paraId="2CBAA04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EA482FE" w14:textId="0451FDA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Ovaj skup reakcija, koje uključuju sindrom otpuštanja citokina, sindrom lize tumora i anafilaktičke reakcije i reakcije preosjetljivosti, opisuje se u nastavku. </w:t>
      </w:r>
    </w:p>
    <w:p w14:paraId="587D90BD" w14:textId="77777777" w:rsidR="009177ED" w:rsidRPr="003A22B9" w:rsidRDefault="009177ED" w:rsidP="00A75B47">
      <w:pPr>
        <w:spacing w:after="0" w:line="240" w:lineRule="auto"/>
        <w:jc w:val="both"/>
        <w:rPr>
          <w:rFonts w:ascii="Times New Roman" w:eastAsia="Times New Roman" w:hAnsi="Times New Roman" w:cs="Times New Roman"/>
          <w:lang w:val="sr-Latn-ME"/>
        </w:rPr>
      </w:pPr>
    </w:p>
    <w:p w14:paraId="5841F5A8" w14:textId="17C5514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Teške reakcije na infuziju sa smrtnim ishodom prijavljene su tokom postmarketinške primjene rituksimaba u formulaciji za intravensku primjenu, koje su nastupile 30 minuta do 2 sata nakon početka prve intravenske infuzije rituksimaba. Kod tih su reakcija bili karakteristični plućni događaji, a u nekim su slučajevima uključivale brzu lizu tumora i karakteristike sindroma lize tumora, uz groznicu, jezu, drhtavicu, hipotenziju, urtikariju, angioedem i druge simptome (vidjeti </w:t>
      </w:r>
      <w:r w:rsidR="009177ED"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w:t>
      </w:r>
    </w:p>
    <w:p w14:paraId="757A0E6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686DC6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Teški oblik sindroma otpuštanja citokina karakteriše teška dispneja, često praćena bronhospazmom i hipoksijom, uz groznicu, jezu, drhtavicu, urtikariju i angioedem. Taj sindrom može biti povezan s nekim </w:t>
      </w:r>
    </w:p>
    <w:p w14:paraId="5EC35A86" w14:textId="0283DEB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karakteristikama sindroma lize tumora, kao što su hiperuri</w:t>
      </w:r>
      <w:r w:rsidR="003A19C7" w:rsidRPr="003A22B9">
        <w:rPr>
          <w:rFonts w:ascii="Times New Roman" w:eastAsia="Times New Roman" w:hAnsi="Times New Roman" w:cs="Times New Roman"/>
          <w:lang w:val="sr-Latn-ME"/>
        </w:rPr>
        <w:t>k</w:t>
      </w:r>
      <w:r w:rsidRPr="003A22B9">
        <w:rPr>
          <w:rFonts w:ascii="Times New Roman" w:eastAsia="Times New Roman" w:hAnsi="Times New Roman" w:cs="Times New Roman"/>
          <w:lang w:val="sr-Latn-ME"/>
        </w:rPr>
        <w:t>emija, hiperkalijemija, hipokalcijemija, hiperfosfatemija, akutna bubrežna isuficijencija, povišen nivo laktat dehidrogenaze (LDH), kao i sa  akutnom respiratornom insuficijencijom i smrću. Akutnu respiratornu insuficijenciju mogu pratiti poremećaji kao što su infiltracija plućnog interstic</w:t>
      </w:r>
      <w:r w:rsidR="00112E9E" w:rsidRPr="003A22B9">
        <w:rPr>
          <w:rFonts w:ascii="Times New Roman" w:eastAsia="Times New Roman" w:hAnsi="Times New Roman" w:cs="Times New Roman"/>
          <w:lang w:val="sr-Latn-ME"/>
        </w:rPr>
        <w:t>ijuma</w:t>
      </w:r>
      <w:r w:rsidRPr="003A22B9">
        <w:rPr>
          <w:rFonts w:ascii="Times New Roman" w:eastAsia="Times New Roman" w:hAnsi="Times New Roman" w:cs="Times New Roman"/>
          <w:lang w:val="sr-Latn-ME"/>
        </w:rPr>
        <w:t xml:space="preserve"> ili edem pluća, koji su vidljivi na radiografskom snimku grudnog koša. Taj se sindrom često javlja u roku od jednog do dva sata nakon početka primjene prve infuzije. Pacijenti sa ranijom pulmonarnom insuficijencijom ili oni s tumorskim infiltratom na plućima imaju povećan rizik od lošijeg ishoda pa ih treba liječiti s povećanim oprezom. Kod pacijenata kod kojih se pojavi težak oblik sindroma otpuštanja citokina mora odmah da se obustavi primjena infuzije (vidjeti </w:t>
      </w:r>
      <w:r w:rsidR="005902CA"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4.2) i treba primijeniti agresivno simptomatsko liječenje. S obzirom da nakon početnog poboljšanja kliničkih simptoma može da uslijedi pogoršanje, potrebno je takve pacijente pažljivo nadzirati sve dok se sindrom lize tumora i plućni infiltrat ne riješe ili povuku. Dalje liječenje pacijenata nakon nestanka svih znakova i simptoma rijetko je rezultiralo ponavljanjem teškog oblika sindroma otpuštanja citokina.</w:t>
      </w:r>
    </w:p>
    <w:p w14:paraId="0774BC7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46F0FC0" w14:textId="1A0DF58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Pacijente sa velikom zahvaćenošću tumorom ili velikim brojem (≥ 25 x 10</w:t>
      </w:r>
      <w:r w:rsidRPr="003A22B9">
        <w:rPr>
          <w:rFonts w:ascii="Times New Roman" w:eastAsia="Times New Roman" w:hAnsi="Times New Roman" w:cs="Times New Roman"/>
          <w:vertAlign w:val="superscript"/>
          <w:lang w:val="sr-Latn-ME"/>
        </w:rPr>
        <w:t>9</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malignih ćelija u cirkulaciji, kao što su pacijenti sa HLL, koji mogu biti izloženi visokom riziku od posebno teškog sindroma oslobađanja citokina, treba liječiti sa izuzetnim oprezom. Ove pacijente treba vrlo brižljivo pratiti tokom prve infuzije. Treba razmisliti i o mogućnosti još sporije prve infuzije kod ovih pacijenata, ili o podjeli doze u dva dana tokom prvog ciklusa i svakog sljedećeg ciklusa ukoliko je broj limfocita i dalje  &gt;</w:t>
      </w:r>
      <w:r w:rsidR="00D90A71">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25 x 10</w:t>
      </w:r>
      <w:r w:rsidRPr="003A22B9">
        <w:rPr>
          <w:rFonts w:ascii="Times New Roman" w:eastAsia="Times New Roman" w:hAnsi="Times New Roman" w:cs="Times New Roman"/>
          <w:vertAlign w:val="superscript"/>
          <w:lang w:val="sr-Latn-ME"/>
        </w:rPr>
        <w:t>9</w:t>
      </w:r>
      <w:r w:rsidRPr="003A22B9">
        <w:rPr>
          <w:rFonts w:ascii="Times New Roman" w:eastAsia="Times New Roman" w:hAnsi="Times New Roman" w:cs="Times New Roman"/>
          <w:lang w:val="sr-Latn-ME"/>
        </w:rPr>
        <w:t xml:space="preserve"> </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w:t>
      </w:r>
    </w:p>
    <w:p w14:paraId="53BC0F8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0AC21D4" w14:textId="1804734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77% pacijenata liječenih rituksimabom primijećene su neželjene reakcije vezane za primjenu infuzije (uključujući sindrom otpuštanja citokina praćen hipotenzijom i bronhospazmom kod 10% pacijenata), vidjeti </w:t>
      </w:r>
      <w:r w:rsidR="005902CA"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Ti se simptomi obično povlače nakon prekida infuzije rituksimaba i primjene antipiretika, antihistaminika i ponekad kiseonika, intravenske primjene fiziološkog rastvora ili bronhodilatatora i po potrebi glukokortikoida. O teškim neželjenim reakcijama vidjeti u prethodnom pasusu </w:t>
      </w:r>
      <w:r w:rsidR="00EA6A05" w:rsidRPr="003A22B9">
        <w:rPr>
          <w:rFonts w:ascii="Times New Roman" w:eastAsia="Times New Roman" w:hAnsi="Times New Roman" w:cs="Times New Roman"/>
          <w:lang w:val="sr-Latn-ME"/>
        </w:rPr>
        <w:t xml:space="preserve">informacije </w:t>
      </w:r>
      <w:r w:rsidRPr="003A22B9">
        <w:rPr>
          <w:rFonts w:ascii="Times New Roman" w:eastAsia="Times New Roman" w:hAnsi="Times New Roman" w:cs="Times New Roman"/>
          <w:lang w:val="sr-Latn-ME"/>
        </w:rPr>
        <w:t>o sindromu otpuštanja citokina.</w:t>
      </w:r>
    </w:p>
    <w:p w14:paraId="169AAAE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69BB83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Nakon intravenske primjene proteina pacijentima prijavljene su anafilaktičke i druge reakcije preosjetljivosti. Za razliku od sindroma otpuštanja citokina, prave reakcije preosjetljivosti obično se pojavljuju nekoliko minuta nakon početka infuzije. Ljekovi za liječenje reakcija preosjetljivosti, kao što su epinefrin (adrenalin), antihistaminici i glukokortikoidi, moraju biti dostupni za brzu primjenu u slučaju alergijske reakcije tokom primjene rituksimaba. Klinička slika anafilakse može da izgleda slično </w:t>
      </w:r>
      <w:r w:rsidRPr="003A22B9">
        <w:rPr>
          <w:rFonts w:ascii="Times New Roman" w:eastAsia="Times New Roman" w:hAnsi="Times New Roman" w:cs="Times New Roman"/>
          <w:lang w:val="sr-Latn-ME"/>
        </w:rPr>
        <w:lastRenderedPageBreak/>
        <w:t>kliničkoj slici sindroma otpuštanja citokina (prethodno opisanoj). Reakcije koje se pripisuju preosjetljivosti prijavljene su rjeđe od onih vezanih za otpuštanje citokina.</w:t>
      </w:r>
    </w:p>
    <w:p w14:paraId="5EF7BED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16157A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Dodatne reakcije prijavljene u nekim slučajevima obuhvatale su infarkt miokarda, atrijalnu fibrilaciju, plućni edem i akutnu reverzibilnu trombocitopeniju.</w:t>
      </w:r>
    </w:p>
    <w:p w14:paraId="6E6BC2A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7179AF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 obzirom da tokom primjene rituksimaba može doći do hipotenzije, potrebno je razmotriti mogućnost izostavljanja antihipertenzivne terapije 12 sati prije davanja infuzije.</w:t>
      </w:r>
    </w:p>
    <w:p w14:paraId="3CF8A6DD" w14:textId="77777777" w:rsidR="00EA6A05" w:rsidRPr="003A22B9" w:rsidRDefault="00EA6A05" w:rsidP="00A75B47">
      <w:pPr>
        <w:spacing w:after="0" w:line="240" w:lineRule="auto"/>
        <w:jc w:val="both"/>
        <w:rPr>
          <w:rFonts w:ascii="Times New Roman" w:eastAsia="Times New Roman" w:hAnsi="Times New Roman" w:cs="Times New Roman"/>
          <w:lang w:val="sr-Latn-ME"/>
        </w:rPr>
      </w:pPr>
    </w:p>
    <w:p w14:paraId="5A8930C9"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Kardiološki poremećaji </w:t>
      </w:r>
    </w:p>
    <w:p w14:paraId="5C216868" w14:textId="5626E57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Angina pektoris, srčane aritmije kao što su</w:t>
      </w:r>
      <w:r w:rsidR="0054231E">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atrijalni flater i fibrilacija, srčana insuficijencija i/ili infarkt miokarda zabilježeni su kod pacijenata koji su primali rituksimab. Prema tome, pacijenti koji su patili od srčanih oboljenja i/ili su primali kardiotoksičnu hemioterapiju moraju se držati pod strogim nadzorom. </w:t>
      </w:r>
    </w:p>
    <w:p w14:paraId="08AF526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8F7D24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u w:val="single"/>
          <w:lang w:val="sr-Latn-ME"/>
        </w:rPr>
        <w:t>Hematološka toksičnost</w:t>
      </w:r>
      <w:r w:rsidRPr="003A22B9">
        <w:rPr>
          <w:rFonts w:ascii="Times New Roman" w:eastAsia="Times New Roman" w:hAnsi="Times New Roman" w:cs="Times New Roman"/>
          <w:lang w:val="sr-Latn-ME"/>
        </w:rPr>
        <w:t xml:space="preserve"> </w:t>
      </w:r>
    </w:p>
    <w:p w14:paraId="664A46AE" w14:textId="3D4DC3F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Iako rituksimab nije mijelosupresivan kada se daje kao monoterapija, treba biti oprezan kada se razmišlja o liječenju pacijenata s brojem neutrofila &lt; 1,5 x 10</w:t>
      </w:r>
      <w:r w:rsidRPr="003A22B9">
        <w:rPr>
          <w:rFonts w:ascii="Times New Roman" w:eastAsia="Times New Roman" w:hAnsi="Times New Roman" w:cs="Times New Roman"/>
          <w:vertAlign w:val="superscript"/>
          <w:lang w:val="sr-Latn-ME"/>
        </w:rPr>
        <w:t>9</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i/ili brojem trombocita &lt; 75 x 10</w:t>
      </w:r>
      <w:r w:rsidRPr="003A22B9">
        <w:rPr>
          <w:rFonts w:ascii="Times New Roman" w:eastAsia="Times New Roman" w:hAnsi="Times New Roman" w:cs="Times New Roman"/>
          <w:vertAlign w:val="superscript"/>
          <w:lang w:val="sr-Latn-ME"/>
        </w:rPr>
        <w:t>9</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jer je kliničko iskustvo u liječenju takvih pacijenata ograničeno. Rituksimab je primijenjen kod 21 pacijenta sa autolognom transplantacijom kostne srži i drugim rizičnim grupama pacijenata sa pretpostavljenom smanjenom funkcijom kostne srži, a da nije došlo do mijelotoksičnosti.</w:t>
      </w:r>
    </w:p>
    <w:p w14:paraId="4A86621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06E073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Tokom terapije rituksimabom potrebno je redovno kontrolisati kompletnu krvnu sliku, uključujući broj neutrofila i trombocita.</w:t>
      </w:r>
    </w:p>
    <w:p w14:paraId="381884C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FAB9DEB"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Infekcije </w:t>
      </w:r>
    </w:p>
    <w:p w14:paraId="15D5F400" w14:textId="4EEEAF5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Ozbiljne infekcije, uključujući one sa smrtnim ishodom, mogu se pojaviti tokom terapije rituksimabom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Rixathon se ne smije primijeniti pacijentima sa aktivnom teškom infekcijom (npr. tuberkulozom, sepsom i oportunističkim infekcijama,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4.3).</w:t>
      </w:r>
    </w:p>
    <w:p w14:paraId="4BFE5D3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84C0B08" w14:textId="35C99EC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Ljekari treba da budu oprezni kada razmatraju primjenu lijeka Rixathon kod pacijenata sa anamnezom rekurentnih ili hroničnih infekcija ili postojećim stanjima koje ih mogu dodatno predisponirati za ozbiljne infekcije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w:t>
      </w:r>
    </w:p>
    <w:p w14:paraId="1850273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5FE60B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Kod osoba koje su primale rituksimab prijavljeni su slučajevi reaktivacije hepatitisa B, uključujući fulminantni hepatitis sa smrtnim ishodom. Većina tih osoba je bila izložena i citotoksičnoj hemioterapiji. Ograničeni podaci iz jednog ispitivanja kod pacijenata sa relapsirajućom/refraktornom HLL ukazuju da liječenje rituksimabom može takođe da pogorša ishod primarne infekcije hepatitisom B. Prije početka liječenja lijekom Rixathon svi pacijenti moraju da se testiraju na virus hepatitisa B (HBV). Potrebno je najmanje odrediti status HBsAg i HBcAb, a testiranje se može dopuniti i određivanjem drugih odgovarajućih markera, u skladu sa lokalnim smjernicama. Pacijenti sa aktivnim hepatitisom B ne smiju da se liječe lijekom Rixathon. Pacijenti sa pozitivnim serološkim nalazima na hepatitis B (bilo HBsAg ili HBcAb) treba prije početka liječenja da konsultuju stručnjake za bolesti jetre i treba da budu nadzirani i liječeni u skladu sa lokalnim standardima sa ciljem prevencije reaktivacije hepatitisa B.</w:t>
      </w:r>
    </w:p>
    <w:p w14:paraId="1AD2567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24B7C88" w14:textId="267D3F8F" w:rsidR="00A75B47"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Tokom postmarketinške upotrebe rituksimaba prijavljeni su vrlo rijetki slučajevi progresivne multifokalne leukoencefalopatije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kod pacijenata sa NHL i HLL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Većina pacijenata primala je rituksimab u kombinaciji sa hemioterapijom ili u postupku transplantacije hematopoetskih matičnih ćelija.</w:t>
      </w:r>
    </w:p>
    <w:p w14:paraId="4CC4E5C0" w14:textId="77777777" w:rsidR="003A7195" w:rsidRDefault="003A7195" w:rsidP="00A75B47">
      <w:pPr>
        <w:spacing w:after="0" w:line="240" w:lineRule="auto"/>
        <w:jc w:val="both"/>
        <w:rPr>
          <w:rFonts w:ascii="Times New Roman" w:eastAsia="Times New Roman" w:hAnsi="Times New Roman" w:cs="Times New Roman"/>
          <w:lang w:val="sr-Latn-ME"/>
        </w:rPr>
      </w:pPr>
    </w:p>
    <w:p w14:paraId="7147F25D" w14:textId="189B4316" w:rsidR="003A7195" w:rsidRPr="003A7195" w:rsidRDefault="003A7195" w:rsidP="001C3C2B">
      <w:pPr>
        <w:spacing w:after="0" w:line="240" w:lineRule="auto"/>
        <w:jc w:val="both"/>
        <w:rPr>
          <w:rFonts w:ascii="Times New Roman" w:eastAsia="Times New Roman" w:hAnsi="Times New Roman" w:cs="Times New Roman"/>
          <w:lang w:val="sr-Latn-ME"/>
        </w:rPr>
      </w:pPr>
      <w:r w:rsidRPr="003A7195">
        <w:rPr>
          <w:rFonts w:ascii="Times New Roman" w:eastAsia="Times New Roman" w:hAnsi="Times New Roman" w:cs="Times New Roman"/>
          <w:lang w:val="sr-Latn-ME"/>
        </w:rPr>
        <w:t xml:space="preserve">Prijavljeni su slučajevi enterovirusnog meningoencefalitisa uključujući smrtne slučajeve nakon upotrebe rituksimaba. </w:t>
      </w:r>
    </w:p>
    <w:p w14:paraId="53DEC62B" w14:textId="77777777" w:rsidR="003A7195" w:rsidRDefault="003A7195" w:rsidP="003A7195">
      <w:pPr>
        <w:spacing w:after="0" w:line="240" w:lineRule="auto"/>
        <w:rPr>
          <w:rFonts w:ascii="Times New Roman" w:eastAsia="Times New Roman" w:hAnsi="Times New Roman" w:cs="Times New Roman"/>
          <w:lang w:val="sr-Latn-ME"/>
        </w:rPr>
      </w:pPr>
    </w:p>
    <w:p w14:paraId="33E72E53" w14:textId="35DF5579" w:rsidR="003A7195" w:rsidRDefault="003A7195" w:rsidP="001C3C2B">
      <w:pPr>
        <w:spacing w:after="0" w:line="240" w:lineRule="auto"/>
        <w:jc w:val="both"/>
        <w:rPr>
          <w:rFonts w:ascii="Times New Roman" w:eastAsia="Times New Roman" w:hAnsi="Times New Roman" w:cs="Times New Roman"/>
          <w:lang w:val="sr-Latn-ME"/>
        </w:rPr>
      </w:pPr>
      <w:r w:rsidRPr="003A7195">
        <w:rPr>
          <w:rFonts w:ascii="Times New Roman" w:eastAsia="Times New Roman" w:hAnsi="Times New Roman" w:cs="Times New Roman"/>
          <w:lang w:val="sr-Latn-ME"/>
        </w:rPr>
        <w:t xml:space="preserve">Lažno negativno serološko testiranje infekcija </w:t>
      </w:r>
    </w:p>
    <w:p w14:paraId="2704433F" w14:textId="5B9F5704" w:rsidR="003A7195" w:rsidRPr="003A7195" w:rsidRDefault="003A7195" w:rsidP="001C3C2B">
      <w:pPr>
        <w:spacing w:after="0" w:line="240" w:lineRule="auto"/>
        <w:jc w:val="both"/>
        <w:rPr>
          <w:rFonts w:ascii="Times New Roman" w:eastAsia="Times New Roman" w:hAnsi="Times New Roman" w:cs="Times New Roman"/>
          <w:lang w:val="sr-Latn-ME"/>
        </w:rPr>
      </w:pPr>
      <w:r w:rsidRPr="003A7195">
        <w:rPr>
          <w:rFonts w:ascii="Times New Roman" w:eastAsia="Times New Roman" w:hAnsi="Times New Roman" w:cs="Times New Roman"/>
          <w:lang w:val="sr-Latn-ME"/>
        </w:rPr>
        <w:lastRenderedPageBreak/>
        <w:t xml:space="preserve">Zbog rizika od lažno negativnog serološkog testiranja </w:t>
      </w:r>
      <w:r>
        <w:rPr>
          <w:rFonts w:ascii="Times New Roman" w:eastAsia="Times New Roman" w:hAnsi="Times New Roman" w:cs="Times New Roman"/>
          <w:lang w:val="sr-Latn-ME"/>
        </w:rPr>
        <w:t>i</w:t>
      </w:r>
      <w:r w:rsidRPr="003A7195">
        <w:rPr>
          <w:rFonts w:ascii="Times New Roman" w:eastAsia="Times New Roman" w:hAnsi="Times New Roman" w:cs="Times New Roman"/>
          <w:lang w:val="sr-Latn-ME"/>
        </w:rPr>
        <w:t>nfekcija, treba razmotriti alternativne dijagnostičke alate u slučaju da pacijenti imaju simptome koji ukazuju na r</w:t>
      </w:r>
      <w:r>
        <w:rPr>
          <w:rFonts w:ascii="Times New Roman" w:eastAsia="Times New Roman" w:hAnsi="Times New Roman" w:cs="Times New Roman"/>
          <w:lang w:val="sr-Latn-ME"/>
        </w:rPr>
        <w:t>ij</w:t>
      </w:r>
      <w:r w:rsidRPr="003A7195">
        <w:rPr>
          <w:rFonts w:ascii="Times New Roman" w:eastAsia="Times New Roman" w:hAnsi="Times New Roman" w:cs="Times New Roman"/>
          <w:lang w:val="sr-Latn-ME"/>
        </w:rPr>
        <w:t>etku zaraznu bolest, npr. Virus Zapadnog Nila i neuroborelioza.</w:t>
      </w:r>
    </w:p>
    <w:p w14:paraId="74F51F7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AC4B23A"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Imunizacija </w:t>
      </w:r>
    </w:p>
    <w:p w14:paraId="66F65C78" w14:textId="352A390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Bezbjednost imunizacije živim virusnim vakcinama nakon liječenja rituksimabom nije ispitivana kod pacijenata sa NHL i HLL pa se vakcinisanje živim virusnim vakcinama ne preporučuje. Pacijenti liječeni rituksimabom mogu primiti nežive vakcine</w:t>
      </w:r>
      <w:r w:rsidR="00EA6A05" w:rsidRPr="003A22B9">
        <w:rPr>
          <w:rFonts w:ascii="Times New Roman" w:eastAsia="Times New Roman" w:hAnsi="Times New Roman" w:cs="Times New Roman"/>
          <w:lang w:val="sr-Latn-ME"/>
        </w:rPr>
        <w:t xml:space="preserve"> </w:t>
      </w:r>
      <w:r w:rsidR="009F2B2E" w:rsidRPr="003A22B9">
        <w:rPr>
          <w:rFonts w:ascii="Times New Roman" w:eastAsia="Times New Roman" w:hAnsi="Times New Roman" w:cs="Times New Roman"/>
          <w:lang w:val="sr-Latn-ME"/>
        </w:rPr>
        <w:t>m</w:t>
      </w:r>
      <w:r w:rsidRPr="003A22B9">
        <w:rPr>
          <w:rFonts w:ascii="Times New Roman" w:eastAsia="Times New Roman" w:hAnsi="Times New Roman" w:cs="Times New Roman"/>
          <w:lang w:val="sr-Latn-ME"/>
        </w:rPr>
        <w:t xml:space="preserve">eđutim, stope odgovora na nežive vakcine mogu biti smanjene. U nerandomizovanom ispitivanju, </w:t>
      </w:r>
      <w:r w:rsidR="005C0629" w:rsidRPr="003A22B9">
        <w:rPr>
          <w:rFonts w:ascii="Times New Roman" w:eastAsia="Times New Roman" w:hAnsi="Times New Roman" w:cs="Times New Roman"/>
          <w:lang w:val="sr-Latn-ME"/>
        </w:rPr>
        <w:t xml:space="preserve">odrasli </w:t>
      </w:r>
      <w:r w:rsidRPr="003A22B9">
        <w:rPr>
          <w:rFonts w:ascii="Times New Roman" w:eastAsia="Times New Roman" w:hAnsi="Times New Roman" w:cs="Times New Roman"/>
          <w:lang w:val="sr-Latn-ME"/>
        </w:rPr>
        <w:t xml:space="preserve">pacijenti u relapsu NHL-a niskog stepena malignosti koji su primali monoterapiju rituksimaba su u poređenju sa zdravim neliječenim kontrolnim ispitanicima imali nižu stopu odgovora na vakcinaciju antigenom tetanusa (16% u odnosu na 81%) i </w:t>
      </w:r>
      <w:r w:rsidRPr="003A22B9">
        <w:rPr>
          <w:rFonts w:ascii="Times New Roman" w:eastAsia="Times New Roman" w:hAnsi="Times New Roman" w:cs="Times New Roman"/>
          <w:i/>
          <w:lang w:val="sr-Latn-ME"/>
        </w:rPr>
        <w:t>Keyhole Limpet Haemocyanin</w:t>
      </w:r>
      <w:r w:rsidRPr="003A22B9">
        <w:rPr>
          <w:rFonts w:ascii="Times New Roman" w:eastAsia="Times New Roman" w:hAnsi="Times New Roman" w:cs="Times New Roman"/>
          <w:lang w:val="sr-Latn-ME"/>
        </w:rPr>
        <w:t xml:space="preserve"> (KLH) neoantigenom (4% u odnosu na 76% kada se mjerilo više nego dvostruko povećanje titra antitijela). S obzirom na sličnost među pacijentima, može se pretpostaviti da bi rezultati za pacijente sa HLL bili slični, ali to nije ispitivano u kliničkim ispitivanjima.</w:t>
      </w:r>
    </w:p>
    <w:p w14:paraId="14465C1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A4862F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Srednja vrijednost titara antitijela na niz antigena (</w:t>
      </w:r>
      <w:r w:rsidRPr="003A22B9">
        <w:rPr>
          <w:rFonts w:ascii="Times New Roman" w:eastAsia="Times New Roman" w:hAnsi="Times New Roman" w:cs="Times New Roman"/>
          <w:i/>
          <w:lang w:val="sr-Latn-ME"/>
        </w:rPr>
        <w:t>Streptococcus pneumoniae</w:t>
      </w:r>
      <w:r w:rsidRPr="003A22B9">
        <w:rPr>
          <w:rFonts w:ascii="Times New Roman" w:eastAsia="Times New Roman" w:hAnsi="Times New Roman" w:cs="Times New Roman"/>
          <w:lang w:val="sr-Latn-ME"/>
        </w:rPr>
        <w:t>, influenca tipa A, zauške, rubela, varičela) prije terapije održala se najmanje 6 mjeseci nakon liječenja rituksimabom.</w:t>
      </w:r>
    </w:p>
    <w:p w14:paraId="7609211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747C2F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u w:val="single"/>
          <w:lang w:val="sr-Latn-ME"/>
        </w:rPr>
        <w:t>Kožne reakcije</w:t>
      </w:r>
      <w:r w:rsidRPr="003A22B9">
        <w:rPr>
          <w:rFonts w:ascii="Times New Roman" w:eastAsia="Times New Roman" w:hAnsi="Times New Roman" w:cs="Times New Roman"/>
          <w:lang w:val="sr-Latn-ME"/>
        </w:rPr>
        <w:t xml:space="preserve"> </w:t>
      </w:r>
    </w:p>
    <w:p w14:paraId="770EE2AE" w14:textId="2DFC28E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Prijavljene su teške kožne reakcije kao što su toksična epidermalna nekroliza (Lyell-ov sindrom) i Stivens Džonsonov sindrom, od kojih neke sa smrtnim ishodom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U ovim slučajevima, terapiju treba trajno obustaviti.</w:t>
      </w:r>
    </w:p>
    <w:p w14:paraId="111B1776" w14:textId="3797FC97" w:rsidR="00A75B47" w:rsidRPr="003A22B9" w:rsidRDefault="00A75B47" w:rsidP="00A75B47">
      <w:pPr>
        <w:spacing w:after="0" w:line="240" w:lineRule="auto"/>
        <w:jc w:val="both"/>
        <w:rPr>
          <w:rFonts w:ascii="Times New Roman" w:eastAsia="Times New Roman" w:hAnsi="Times New Roman" w:cs="Times New Roman"/>
          <w:lang w:val="sr-Latn-ME"/>
        </w:rPr>
      </w:pPr>
    </w:p>
    <w:p w14:paraId="1942DAF4" w14:textId="77777777" w:rsidR="00C90F3E" w:rsidRPr="003A22B9" w:rsidRDefault="00C90F3E" w:rsidP="00C90F3E">
      <w:pPr>
        <w:spacing w:after="0" w:line="240" w:lineRule="auto"/>
        <w:jc w:val="both"/>
        <w:rPr>
          <w:rFonts w:ascii="Times New Roman" w:eastAsia="Times New Roman" w:hAnsi="Times New Roman" w:cs="Times New Roman"/>
          <w:i/>
          <w:lang w:val="it-IT"/>
        </w:rPr>
      </w:pPr>
      <w:r w:rsidRPr="003A22B9">
        <w:rPr>
          <w:rFonts w:ascii="Times New Roman" w:eastAsia="Times New Roman" w:hAnsi="Times New Roman" w:cs="Times New Roman"/>
          <w:i/>
          <w:lang w:val="it-IT"/>
        </w:rPr>
        <w:t xml:space="preserve">Pedijatrijska populacija </w:t>
      </w:r>
    </w:p>
    <w:p w14:paraId="34D67AFD" w14:textId="28F57B64" w:rsidR="00C90F3E" w:rsidRPr="003A22B9" w:rsidRDefault="00C90F3E" w:rsidP="00C90F3E">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Dostupni su samo ograničeni podaci za pacijente </w:t>
      </w:r>
      <w:r w:rsidR="00C72E8F" w:rsidRPr="003A22B9">
        <w:rPr>
          <w:rFonts w:ascii="Times New Roman" w:eastAsia="Times New Roman" w:hAnsi="Times New Roman" w:cs="Times New Roman"/>
          <w:lang w:val="it-IT"/>
        </w:rPr>
        <w:t>ml</w:t>
      </w:r>
      <w:r w:rsidRPr="003A22B9">
        <w:rPr>
          <w:rFonts w:ascii="Times New Roman" w:eastAsia="Times New Roman" w:hAnsi="Times New Roman" w:cs="Times New Roman"/>
          <w:lang w:val="it-IT"/>
        </w:rPr>
        <w:t xml:space="preserve">ađe od 3 godine. Za dodatne informacije, vidjeti </w:t>
      </w:r>
      <w:r w:rsidR="00EA6A05" w:rsidRPr="003A22B9">
        <w:rPr>
          <w:rFonts w:ascii="Times New Roman" w:eastAsia="Times New Roman" w:hAnsi="Times New Roman" w:cs="Times New Roman"/>
          <w:lang w:val="it-IT"/>
        </w:rPr>
        <w:t>dio</w:t>
      </w:r>
      <w:r w:rsidRPr="003A22B9">
        <w:rPr>
          <w:rFonts w:ascii="Times New Roman" w:eastAsia="Times New Roman" w:hAnsi="Times New Roman" w:cs="Times New Roman"/>
          <w:lang w:val="it-IT"/>
        </w:rPr>
        <w:t xml:space="preserve"> 5.1.</w:t>
      </w:r>
    </w:p>
    <w:p w14:paraId="2BEF2DF6" w14:textId="77777777" w:rsidR="00027AEE" w:rsidRPr="003A22B9" w:rsidRDefault="00027AEE" w:rsidP="00A75B47">
      <w:pPr>
        <w:spacing w:after="0" w:line="240" w:lineRule="auto"/>
        <w:jc w:val="both"/>
        <w:rPr>
          <w:rFonts w:ascii="Times New Roman" w:eastAsia="Times New Roman" w:hAnsi="Times New Roman" w:cs="Times New Roman"/>
          <w:lang w:val="sr-Latn-ME"/>
        </w:rPr>
      </w:pPr>
    </w:p>
    <w:p w14:paraId="575FD339"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Reumatoidni artritis, granulomatoza sa poliangitisom, mikroskopski polinagitis </w:t>
      </w:r>
      <w:r w:rsidRPr="003A22B9">
        <w:rPr>
          <w:rFonts w:ascii="Times New Roman" w:eastAsia="Times New Roman" w:hAnsi="Times New Roman" w:cs="Times New Roman"/>
          <w:u w:val="single" w:color="000000"/>
          <w:lang w:val="sr-Latn-ME"/>
        </w:rPr>
        <w:t>i obični pemfigus</w:t>
      </w:r>
    </w:p>
    <w:p w14:paraId="123704E1"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63C2F70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u w:val="single"/>
          <w:lang w:val="sr-Latn-ME"/>
        </w:rPr>
        <w:t>Populacija sa reumatoidnim artritisom koja nije primala metotreksat (MTX)</w:t>
      </w:r>
      <w:r w:rsidRPr="003A22B9">
        <w:rPr>
          <w:rFonts w:ascii="Times New Roman" w:eastAsia="Times New Roman" w:hAnsi="Times New Roman" w:cs="Times New Roman"/>
          <w:lang w:val="sr-Latn-ME"/>
        </w:rPr>
        <w:t xml:space="preserve"> </w:t>
      </w:r>
    </w:p>
    <w:p w14:paraId="498C298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Ne preporučuje se primjena rituksimaba kod pacijenata koji nijesu primali metotreksat, jer nije ustanovljen povoljan odnos rizika i koristi. </w:t>
      </w:r>
    </w:p>
    <w:p w14:paraId="2121F34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E7F3028"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Reakcije povezane sa infuzijom </w:t>
      </w:r>
    </w:p>
    <w:p w14:paraId="606732F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Primjena rituksimaba praćena je reakcijama vezanim za infuziju (IRR) koje mogu biti povezane sa oslobađanjem citokina i/ili drugih hemijskih medijatora. </w:t>
      </w:r>
    </w:p>
    <w:p w14:paraId="721A1B2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E9135BB" w14:textId="6C8B615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Tokom postmarketinškog praćenja lijeka, kod pacijenata sa reumatoidnim artritisom prijavljene su teške reakcije vezane za infuziju lijeka sa smrtnim ishodom. U reumatoidnom artritisu najveći dio događaja  vezanih za infuziju, prijavljenih iz kliničkih studija bili su blagog do umjerenog intenziteta. Najčešći simptomi su bili alergijske reakcije kao što su glavobolja, svrab, iritacija grla, crvenilo, osip, urtikarija, hipertenzija i pireksija. Uopšteno, proporcija pacijenata koji su doživjeli neku infuzijsku reakciju je bila veća nakon prve infuzije nego nakon druge infuzije bilo kog ciklusa liječenja. Incidencija IRR se smanjivala sa svakim sljedećim ciklusom liječenja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Zabilježene reakcije su obično bile reverzibilne sa smanjenjem brzine ili obustavljanjem infuzije rituksimaba i davanjem antipiretika, antihistaminika i povremeno kiseonika, i.v. fiziološkog rastvora ili bronhodilatatora i po potrebi glukokortikoida. Pažljivo pratite pacijente sa postojećim srčanim problemima i one koji su prethodno imali neku kardiopulmonarnu neželjenu reakciju. U zavisnosti od težine reakcija vezanih za infuziju i intervencija koje ona zahtijeva, treba privremeno ili potpuno obustaviti primjenu lijeka Rixathon. U većini slučajeva, ova infuzija se može ponovo započeti uz smanjenje brzine za 50% (npr. sa 100 mg/h na 50 mg/h) kada se simptomi potpuno povuku. </w:t>
      </w:r>
    </w:p>
    <w:p w14:paraId="53C7438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E76E1A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Kada se primjenjuje lijek Rixathon, za slučaj da dođe do alergijske reakcije, treba imati na raspolaganju sve ljekove za terapiju reakcija preosetljivosti za hitnu primjenu, npr. epinefrin (adrenalin), antihistaminike i glukokortikoide. </w:t>
      </w:r>
    </w:p>
    <w:p w14:paraId="51BC437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E755771" w14:textId="2D3DA24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 xml:space="preserve">Nema podataka o bezbjednosti primjene rituksimaba </w:t>
      </w:r>
      <w:r w:rsidR="003257BE" w:rsidRPr="003A22B9">
        <w:rPr>
          <w:rFonts w:ascii="Times New Roman" w:eastAsia="Times New Roman" w:hAnsi="Times New Roman" w:cs="Times New Roman"/>
          <w:lang w:val="sr-Latn-ME"/>
        </w:rPr>
        <w:t xml:space="preserve">kod </w:t>
      </w:r>
      <w:r w:rsidRPr="003A22B9">
        <w:rPr>
          <w:rFonts w:ascii="Times New Roman" w:eastAsia="Times New Roman" w:hAnsi="Times New Roman" w:cs="Times New Roman"/>
          <w:lang w:val="sr-Latn-ME"/>
        </w:rPr>
        <w:t>pacijen</w:t>
      </w:r>
      <w:r w:rsidR="003257BE" w:rsidRPr="003A22B9">
        <w:rPr>
          <w:rFonts w:ascii="Times New Roman" w:eastAsia="Times New Roman" w:hAnsi="Times New Roman" w:cs="Times New Roman"/>
          <w:lang w:val="sr-Latn-ME"/>
        </w:rPr>
        <w:t>ata</w:t>
      </w:r>
      <w:r w:rsidRPr="003A22B9">
        <w:rPr>
          <w:rFonts w:ascii="Times New Roman" w:eastAsia="Times New Roman" w:hAnsi="Times New Roman" w:cs="Times New Roman"/>
          <w:lang w:val="sr-Latn-ME"/>
        </w:rPr>
        <w:t xml:space="preserve"> sa umjerenom srčanom insuficijencijom (klasa III po NYHA klasifikaciji) ili teškom, nekontrolisanom kardiovaskularnom bolešću. Kod pacijenata liječenih rituksimabom zabilježena je pojava simptomatske manifestacije prethodno postojećeg ishemičnog stanja srca, kao što je angina pektoris kao i atrijalna fibrilacija i flater. Prema tome, kod pacijenata za koje znamo da imaju kardiološku anamnezu i kod onih koji su prethodno već ispoljili neželjene kardiopulmonarne reakcije, treba unaprijed voditi računa o riziku od kardiovaskularnih komplikacija koje mogu da nastanu zbog reakcija na infuziju i te pacijente treba pažljivo pratiti tokom davanja lijeka. Budući da tokom infuzije rituksimaba može doći do hipotenzije, treba razmisliti o obustavljanju svih antihipertenzivnih ljekova 12 časova prije davanja infuzije lijeka Rixathon. </w:t>
      </w:r>
    </w:p>
    <w:p w14:paraId="36A865C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554D044" w14:textId="5B4C22E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Reakcije povezane sa infuzijom kod pacijenata sa</w:t>
      </w:r>
      <w:r w:rsidR="006205A9" w:rsidRPr="003A22B9">
        <w:rPr>
          <w:rFonts w:ascii="Times New Roman" w:eastAsia="Times New Roman" w:hAnsi="Times New Roman" w:cs="Times New Roman"/>
          <w:lang w:val="sr-Latn-ME"/>
        </w:rPr>
        <w:t xml:space="preserve"> GPA</w:t>
      </w:r>
      <w:r w:rsidRPr="003A22B9">
        <w:rPr>
          <w:rFonts w:ascii="Times New Roman" w:eastAsia="Times New Roman" w:hAnsi="Times New Roman" w:cs="Times New Roman"/>
          <w:lang w:val="sr-Latn-ME"/>
        </w:rPr>
        <w:t xml:space="preserve">,  </w:t>
      </w:r>
      <w:r w:rsidR="00821831" w:rsidRPr="003A22B9">
        <w:rPr>
          <w:rFonts w:ascii="Times New Roman" w:eastAsia="Times New Roman" w:hAnsi="Times New Roman" w:cs="Times New Roman"/>
          <w:lang w:val="sr-Latn-ME"/>
        </w:rPr>
        <w:t xml:space="preserve">MPA </w:t>
      </w:r>
      <w:r w:rsidRPr="003A22B9">
        <w:rPr>
          <w:rFonts w:ascii="Times New Roman" w:eastAsia="Times New Roman" w:hAnsi="Times New Roman" w:cs="Times New Roman"/>
          <w:lang w:val="sr-Latn-ME"/>
        </w:rPr>
        <w:t>i običnim pemfigusom podudarale su se sa reakcijama primijećenim kod pacijenata oboljelih od reumatoidnog artritisa u kliničkim studijama</w:t>
      </w:r>
      <w:r w:rsidR="00846632" w:rsidRPr="003A22B9">
        <w:rPr>
          <w:rFonts w:ascii="Times New Roman" w:eastAsia="Times New Roman" w:hAnsi="Times New Roman" w:cs="Times New Roman"/>
          <w:lang w:val="sr-Latn-ME"/>
        </w:rPr>
        <w:t xml:space="preserve"> i nakon stavljanja lijeka u promet</w:t>
      </w:r>
      <w:r w:rsidRPr="003A22B9">
        <w:rPr>
          <w:rFonts w:ascii="Times New Roman" w:eastAsia="Times New Roman" w:hAnsi="Times New Roman" w:cs="Times New Roman"/>
          <w:lang w:val="sr-Latn-ME"/>
        </w:rPr>
        <w:t xml:space="preserve">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w:t>
      </w:r>
    </w:p>
    <w:p w14:paraId="51C6A62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CE12446" w14:textId="77777777" w:rsidR="00A75B47" w:rsidRPr="00977A0E" w:rsidRDefault="00A75B47" w:rsidP="00A75B47">
      <w:pPr>
        <w:spacing w:after="0" w:line="240" w:lineRule="auto"/>
        <w:jc w:val="both"/>
        <w:rPr>
          <w:rFonts w:ascii="Times New Roman" w:eastAsia="Times New Roman" w:hAnsi="Times New Roman" w:cs="Times New Roman"/>
          <w:lang w:val="sr-Latn-ME"/>
        </w:rPr>
      </w:pPr>
      <w:r w:rsidRPr="00977A0E">
        <w:rPr>
          <w:rFonts w:ascii="Times New Roman" w:eastAsia="Times New Roman" w:hAnsi="Times New Roman" w:cs="Times New Roman"/>
          <w:i/>
          <w:u w:val="single"/>
          <w:lang w:val="sr-Latn-ME"/>
        </w:rPr>
        <w:t xml:space="preserve">Kardiološki poremećaji </w:t>
      </w:r>
    </w:p>
    <w:p w14:paraId="74395FC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977A0E">
        <w:rPr>
          <w:rFonts w:ascii="Times New Roman" w:eastAsia="Times New Roman" w:hAnsi="Times New Roman" w:cs="Times New Roman"/>
          <w:lang w:val="sr-Latn-ME"/>
        </w:rPr>
        <w:t>Angina pektoris, srčane aritmije kao što su atrijalni flater i fibrilacija, srčana insuficijencija i/ili infarkt miokarda zabilježeni su kod pacijenata koji su primali rituksimab. Zbog toga se pacijenti koji su patili od srčanih oboljenja moraju</w:t>
      </w:r>
      <w:r w:rsidRPr="003A22B9">
        <w:rPr>
          <w:rFonts w:ascii="Times New Roman" w:eastAsia="Times New Roman" w:hAnsi="Times New Roman" w:cs="Times New Roman"/>
          <w:lang w:val="sr-Latn-ME"/>
        </w:rPr>
        <w:t xml:space="preserve"> držati pod strogim nadzorom (vidjeti Reakcije povezane sa infuzijom navedene u tekstu iznad).</w:t>
      </w:r>
    </w:p>
    <w:p w14:paraId="581D3B8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4816DDA"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Infekcije </w:t>
      </w:r>
    </w:p>
    <w:p w14:paraId="24602CCC" w14:textId="443E2F9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 osnovu mehanizma dejstva rituksimaba i znanja da B ćelije igraju važnu ulogu u održavanju normalnog imunog odgovora pacijenata, postoji povećani rizik od nastanka infekcije nakon terapije lijekom Rixathon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5.1). Teške infekcije, uključujući i one sa smrtnim ishodom, mogu da se pojave tokom terapije rituksimabom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Lijek Rixathon ne treba davati pacijentima sa aktivnim </w:t>
      </w:r>
      <w:r w:rsidRPr="000B1F1D">
        <w:rPr>
          <w:rFonts w:ascii="Times New Roman" w:eastAsia="Times New Roman" w:hAnsi="Times New Roman" w:cs="Times New Roman"/>
          <w:lang w:val="sr-Latn-ME"/>
        </w:rPr>
        <w:t>i/ili</w:t>
      </w:r>
      <w:r w:rsidRPr="003A22B9">
        <w:rPr>
          <w:rFonts w:ascii="Times New Roman" w:eastAsia="Times New Roman" w:hAnsi="Times New Roman" w:cs="Times New Roman"/>
          <w:lang w:val="sr-Latn-ME"/>
        </w:rPr>
        <w:t xml:space="preserve"> teškim infekcijama (npr. tuberkulozom, sepsom i oportunističkim infekcijama,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4.3) ili onima sa teško kompromitovanim imunitetom (npr. slučajevi kod kojih su nivoi CD4 ili CD8 veoma niski). Ljekari treba da budu pažljivi kada se razmišlja o upotrebi rituksimaba kod pacijenata sa istorijom recidivirajućih ili hroničnih infekcija ili osnovnim stanjima koja mogu da predstavljaju dodatnu predispoziciju pacijenata ka teškim infekcijama npr. hipogamaglobulinemija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Preporučuje se da se odrede nivoi imunoglobulina prije započinjanja terapije lijekom Rixathon. </w:t>
      </w:r>
    </w:p>
    <w:p w14:paraId="18A3577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D5F4366" w14:textId="20B57DB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Pacijente kod kojih se pojave znaci i simptomi infekcije po davanju terapije rituksimabom treba odmah pregledati i </w:t>
      </w:r>
      <w:r w:rsidR="00C72E8F" w:rsidRPr="003A22B9">
        <w:rPr>
          <w:rFonts w:ascii="Times New Roman" w:eastAsia="Times New Roman" w:hAnsi="Times New Roman" w:cs="Times New Roman"/>
          <w:lang w:val="sr-Latn-ME"/>
        </w:rPr>
        <w:t>adekvatno</w:t>
      </w:r>
      <w:r w:rsidRPr="003A22B9">
        <w:rPr>
          <w:rFonts w:ascii="Times New Roman" w:eastAsia="Times New Roman" w:hAnsi="Times New Roman" w:cs="Times New Roman"/>
          <w:lang w:val="sr-Latn-ME"/>
        </w:rPr>
        <w:t xml:space="preserve"> liječiti. Prije davanja narednog ciklusa terapije lijekom Rixathon ove pacijente treba ponovo procijeniti da se utvrdio potencijalni rizik od infekcija. </w:t>
      </w:r>
    </w:p>
    <w:p w14:paraId="5AA991B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6482EBD" w14:textId="6DA3B91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Vrlo rijetki slučajevi fatalne progresivne multifokalne leukoencefalopatije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prijavljeni su nakon primjene rituksimaba u terapiji reumatoidnog artritisa i autoimunih oboljenja, uključujući sistemski lupus eritematozus (SLE) i vaskulitis. </w:t>
      </w:r>
    </w:p>
    <w:p w14:paraId="0A35DBE9" w14:textId="77777777" w:rsidR="00A75B47" w:rsidRDefault="00A75B47" w:rsidP="00A75B47">
      <w:pPr>
        <w:spacing w:after="0" w:line="240" w:lineRule="auto"/>
        <w:jc w:val="both"/>
        <w:rPr>
          <w:rFonts w:ascii="Times New Roman" w:eastAsia="Times New Roman" w:hAnsi="Times New Roman" w:cs="Times New Roman"/>
          <w:lang w:val="sr-Latn-ME"/>
        </w:rPr>
      </w:pPr>
    </w:p>
    <w:p w14:paraId="6C52CF10" w14:textId="77777777" w:rsidR="003A7195" w:rsidRPr="003A7195" w:rsidRDefault="003A7195" w:rsidP="003A7195">
      <w:pPr>
        <w:spacing w:after="0" w:line="240" w:lineRule="auto"/>
        <w:jc w:val="both"/>
        <w:rPr>
          <w:rFonts w:ascii="Times New Roman" w:eastAsia="Times New Roman" w:hAnsi="Times New Roman" w:cs="Times New Roman"/>
          <w:lang w:val="sr-Latn-ME"/>
        </w:rPr>
      </w:pPr>
      <w:r w:rsidRPr="003A7195">
        <w:rPr>
          <w:rFonts w:ascii="Times New Roman" w:eastAsia="Times New Roman" w:hAnsi="Times New Roman" w:cs="Times New Roman"/>
          <w:lang w:val="sr-Latn-ME"/>
        </w:rPr>
        <w:t>Prijavljeni su slučajevi enterovirusnog meningoencefalitisa uključujući smrtne slučajeve nakon upotrebe rituksimaba.</w:t>
      </w:r>
    </w:p>
    <w:p w14:paraId="3FDE87B5" w14:textId="77777777" w:rsidR="003A7195" w:rsidRPr="003A7195" w:rsidRDefault="003A7195" w:rsidP="003A7195">
      <w:pPr>
        <w:spacing w:after="0" w:line="240" w:lineRule="auto"/>
        <w:jc w:val="both"/>
        <w:rPr>
          <w:rFonts w:ascii="Times New Roman" w:eastAsia="Times New Roman" w:hAnsi="Times New Roman" w:cs="Times New Roman"/>
          <w:lang w:val="sr-Latn-ME"/>
        </w:rPr>
      </w:pPr>
    </w:p>
    <w:p w14:paraId="5708FE00" w14:textId="77777777" w:rsidR="003A7195" w:rsidRPr="003A7195" w:rsidRDefault="003A7195" w:rsidP="003A7195">
      <w:pPr>
        <w:spacing w:after="0" w:line="240" w:lineRule="auto"/>
        <w:jc w:val="both"/>
        <w:rPr>
          <w:rFonts w:ascii="Times New Roman" w:eastAsia="Times New Roman" w:hAnsi="Times New Roman" w:cs="Times New Roman"/>
          <w:lang w:val="sr-Latn-ME"/>
        </w:rPr>
      </w:pPr>
      <w:r w:rsidRPr="003A7195">
        <w:rPr>
          <w:rFonts w:ascii="Times New Roman" w:eastAsia="Times New Roman" w:hAnsi="Times New Roman" w:cs="Times New Roman"/>
          <w:lang w:val="sr-Latn-ME"/>
        </w:rPr>
        <w:t>Lažno negativno serološko testiranje infekcija</w:t>
      </w:r>
    </w:p>
    <w:p w14:paraId="6720C8D3" w14:textId="07E76762" w:rsidR="003A7195" w:rsidRPr="003A22B9" w:rsidRDefault="003A7195" w:rsidP="003A7195">
      <w:pPr>
        <w:spacing w:after="0" w:line="240" w:lineRule="auto"/>
        <w:jc w:val="both"/>
        <w:rPr>
          <w:rFonts w:ascii="Times New Roman" w:eastAsia="Times New Roman" w:hAnsi="Times New Roman" w:cs="Times New Roman"/>
          <w:lang w:val="sr-Latn-ME"/>
        </w:rPr>
      </w:pPr>
      <w:r w:rsidRPr="003A7195">
        <w:rPr>
          <w:rFonts w:ascii="Times New Roman" w:eastAsia="Times New Roman" w:hAnsi="Times New Roman" w:cs="Times New Roman"/>
          <w:lang w:val="sr-Latn-ME"/>
        </w:rPr>
        <w:t>Zbog rizika od lažno negativnog serološkog testiranja infekcija, treba razmotriti alternativne dijagnostičke alate u slučaju da pacijenti imaju simptome koji ukazuju na r</w:t>
      </w:r>
      <w:r>
        <w:rPr>
          <w:rFonts w:ascii="Times New Roman" w:eastAsia="Times New Roman" w:hAnsi="Times New Roman" w:cs="Times New Roman"/>
          <w:lang w:val="sr-Latn-ME"/>
        </w:rPr>
        <w:t>ij</w:t>
      </w:r>
      <w:r w:rsidRPr="003A7195">
        <w:rPr>
          <w:rFonts w:ascii="Times New Roman" w:eastAsia="Times New Roman" w:hAnsi="Times New Roman" w:cs="Times New Roman"/>
          <w:lang w:val="sr-Latn-ME"/>
        </w:rPr>
        <w:t>etku zaraznu bolest, npr. Virus Zapadnog Nila i neuroborelioza.</w:t>
      </w:r>
    </w:p>
    <w:p w14:paraId="67815A12" w14:textId="77777777" w:rsidR="003A7195" w:rsidRDefault="003A7195" w:rsidP="00A75B47">
      <w:pPr>
        <w:spacing w:after="0" w:line="240" w:lineRule="auto"/>
        <w:jc w:val="both"/>
        <w:rPr>
          <w:rFonts w:ascii="Times New Roman" w:eastAsia="Times New Roman" w:hAnsi="Times New Roman" w:cs="Times New Roman"/>
          <w:i/>
          <w:u w:val="single"/>
          <w:lang w:val="sr-Latn-ME"/>
        </w:rPr>
      </w:pPr>
    </w:p>
    <w:p w14:paraId="4F42258D" w14:textId="7D595791"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Hepatitis B infekcije </w:t>
      </w:r>
    </w:p>
    <w:p w14:paraId="37A77CFF" w14:textId="6C5DDEB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pacijenata sa reumatoidnim artritisom, </w:t>
      </w:r>
      <w:r w:rsidR="00550F30" w:rsidRPr="003A22B9">
        <w:rPr>
          <w:rFonts w:ascii="Times New Roman" w:eastAsia="Times New Roman" w:hAnsi="Times New Roman" w:cs="Times New Roman"/>
          <w:lang w:val="sr-Latn-ME"/>
        </w:rPr>
        <w:t xml:space="preserve">GPA </w:t>
      </w:r>
      <w:r w:rsidRPr="003A22B9">
        <w:rPr>
          <w:rFonts w:ascii="Times New Roman" w:eastAsia="Times New Roman" w:hAnsi="Times New Roman" w:cs="Times New Roman"/>
          <w:lang w:val="sr-Latn-ME"/>
        </w:rPr>
        <w:t xml:space="preserve">i </w:t>
      </w:r>
      <w:r w:rsidR="00550F30" w:rsidRPr="003A22B9">
        <w:rPr>
          <w:rFonts w:ascii="Times New Roman" w:eastAsia="Times New Roman" w:hAnsi="Times New Roman" w:cs="Times New Roman"/>
          <w:lang w:val="sr-Latn-ME"/>
        </w:rPr>
        <w:t xml:space="preserve">MPA </w:t>
      </w:r>
      <w:r w:rsidRPr="003A22B9">
        <w:rPr>
          <w:rFonts w:ascii="Times New Roman" w:eastAsia="Times New Roman" w:hAnsi="Times New Roman" w:cs="Times New Roman"/>
          <w:lang w:val="sr-Latn-ME"/>
        </w:rPr>
        <w:t xml:space="preserve">koji su primali rituksimab, prijavljeni su slučajevi reaktivacije hepatitisa B, uključujući i one sa smrtnim ishodom. </w:t>
      </w:r>
    </w:p>
    <w:p w14:paraId="2F73164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D29B0B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Prije početka liječenja lijekom Rixathon svi pacijenti moraju da se testiraju na virus hepatitisa B (HBV). Potrebno je najmanje odrediti status HBsAg i HBcAb, a testiranje se može dopuniti i određivanjem drugih odgovarajućih markera, u skladu sa lokalnim smjernicama. Pacijenti sa aktivnim hepatitisom B </w:t>
      </w:r>
      <w:r w:rsidRPr="003A22B9">
        <w:rPr>
          <w:rFonts w:ascii="Times New Roman" w:eastAsia="Times New Roman" w:hAnsi="Times New Roman" w:cs="Times New Roman"/>
          <w:lang w:val="sr-Latn-ME"/>
        </w:rPr>
        <w:lastRenderedPageBreak/>
        <w:t>ne smiju da se liječe lijekom Rixathon. Pacijenti sa pozitivnim serološkim nalazima na hepatitis B (bilo HBsAg ili HBcAb) treba prije početka liječenja da konsultuju stručnjake za bolesti jetre i treba da budu nadzirani i liječeni u skladu sa lokalnim standardima sa ciljem prevencije reaktivacije hepatitisa B.</w:t>
      </w:r>
    </w:p>
    <w:p w14:paraId="43E3907D" w14:textId="77777777" w:rsidR="00926BCD" w:rsidRPr="003A22B9" w:rsidRDefault="00926BCD" w:rsidP="00A75B47">
      <w:pPr>
        <w:spacing w:after="0" w:line="240" w:lineRule="auto"/>
        <w:jc w:val="both"/>
        <w:rPr>
          <w:rFonts w:ascii="Times New Roman" w:eastAsia="Times New Roman" w:hAnsi="Times New Roman" w:cs="Times New Roman"/>
          <w:i/>
          <w:u w:val="single"/>
          <w:lang w:val="sr-Latn-ME"/>
        </w:rPr>
      </w:pPr>
    </w:p>
    <w:p w14:paraId="0C2AEC5F"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Odložena neutropenija </w:t>
      </w:r>
    </w:p>
    <w:p w14:paraId="65BAADA2" w14:textId="3D01176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Treba mjeriti neutrofile u krvi prije svakog ciklusa lijeka Rixathon, redovno tokom najduže 6 mjeseci nakon prestanka terapije kao i nakon pojave znakova </w:t>
      </w:r>
      <w:r w:rsidRPr="00E3082A">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 xml:space="preserve"> simptoma infekcije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w:t>
      </w:r>
    </w:p>
    <w:p w14:paraId="45A417B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32F791D"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Kožne reakcije </w:t>
      </w:r>
    </w:p>
    <w:p w14:paraId="0F462401" w14:textId="6DEC898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Prijavljene su teške kožne reakcije kao što su toksična epidermalna nekroliza (Lyell-ov sindrom) i Stivens Džonsonov sindrom, od kojih neke sa smrtnim ishodom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4.8). U ovim slučajevima, uz sumnju na povezanost sa lijekom Rixathon, terapiju treba trajno obustaviti. </w:t>
      </w:r>
    </w:p>
    <w:p w14:paraId="10E0055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D3ABA2A"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Imunizacija </w:t>
      </w:r>
    </w:p>
    <w:p w14:paraId="5104E75A" w14:textId="10A2439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Ljekari treba da provjere status vakcinacija pacijenta</w:t>
      </w:r>
      <w:r w:rsidR="00242283" w:rsidRPr="003A22B9">
        <w:rPr>
          <w:rFonts w:ascii="Times New Roman" w:hAnsi="Times New Roman" w:cs="Times New Roman"/>
          <w:lang w:val="it-IT"/>
        </w:rPr>
        <w:t xml:space="preserve"> </w:t>
      </w:r>
      <w:r w:rsidR="00242283" w:rsidRPr="003A22B9">
        <w:rPr>
          <w:rFonts w:ascii="Times New Roman" w:eastAsia="Times New Roman" w:hAnsi="Times New Roman" w:cs="Times New Roman"/>
          <w:lang w:val="it-IT"/>
        </w:rPr>
        <w:t>a pacijenti treba, po mogućnosti da prime sve vakcine predviđene</w:t>
      </w:r>
      <w:r w:rsidRPr="003A22B9">
        <w:rPr>
          <w:rFonts w:ascii="Times New Roman" w:eastAsia="Times New Roman" w:hAnsi="Times New Roman" w:cs="Times New Roman"/>
          <w:lang w:val="sr-Latn-ME"/>
        </w:rPr>
        <w:t xml:space="preserve"> postojeć</w:t>
      </w:r>
      <w:r w:rsidR="00E37F61" w:rsidRPr="003A22B9">
        <w:rPr>
          <w:rFonts w:ascii="Times New Roman" w:eastAsia="Times New Roman" w:hAnsi="Times New Roman" w:cs="Times New Roman"/>
          <w:lang w:val="sr-Latn-ME"/>
        </w:rPr>
        <w:t>im</w:t>
      </w:r>
      <w:r w:rsidRPr="003A22B9">
        <w:rPr>
          <w:rFonts w:ascii="Times New Roman" w:eastAsia="Times New Roman" w:hAnsi="Times New Roman" w:cs="Times New Roman"/>
          <w:lang w:val="sr-Latn-ME"/>
        </w:rPr>
        <w:t xml:space="preserve"> vodič</w:t>
      </w:r>
      <w:r w:rsidR="00E37F61" w:rsidRPr="003A22B9">
        <w:rPr>
          <w:rFonts w:ascii="Times New Roman" w:eastAsia="Times New Roman" w:hAnsi="Times New Roman" w:cs="Times New Roman"/>
          <w:lang w:val="sr-Latn-ME"/>
        </w:rPr>
        <w:t>ima</w:t>
      </w:r>
      <w:r w:rsidRPr="003A22B9">
        <w:rPr>
          <w:rFonts w:ascii="Times New Roman" w:eastAsia="Times New Roman" w:hAnsi="Times New Roman" w:cs="Times New Roman"/>
          <w:lang w:val="sr-Latn-ME"/>
        </w:rPr>
        <w:t xml:space="preserve"> za imunizaciju prije započinjanja terapije lijekom Rixathon. Vakcinaciju treba završiti najmanje 4 nedjelje prije prve primjene lijeka Rixathon. </w:t>
      </w:r>
    </w:p>
    <w:p w14:paraId="442C388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F8205F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Bezbjednost imunizacije živim virusnim vakcinama nakon terapije rituksimabom nije ispitivana. Stoga se vakcinacija živim virusnim vakcinama ne preporučuje tokom liječenja lijekom Rixathon ili tokom deplecije perifernih B ćelija. </w:t>
      </w:r>
    </w:p>
    <w:p w14:paraId="6A2B838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262F30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Pacijenti liječeni lijekom Rixathon mogu da prime nežive vakcine. Ipak, odgovor na ovakve vakcine može biti smanjen. U randomizovanoj studiji, pacijenti sa RA liječeni rituksimabom i metotreksatom imali su uporedivu stopu odgovora na antigen tetanusa (39% u odnosu na 42%), smanjenu stopu na vakcinu pneumokoknog polisaharida (43% u odnosu na 82% na najmanje 2 serotipa pneumokoknih antitijela) i KLH neoantigen (47% u odnosu na 93%), kada su primjenjivani 6 mjeseci nakon rituksimaba </w:t>
      </w:r>
      <w:r w:rsidRPr="00977A0E">
        <w:rPr>
          <w:rFonts w:ascii="Times New Roman" w:eastAsia="Times New Roman" w:hAnsi="Times New Roman" w:cs="Times New Roman"/>
          <w:lang w:val="sr-Latn-ME"/>
        </w:rPr>
        <w:t>u poređenju sa pacijentima koji su dobijali samo metotreksat.</w:t>
      </w:r>
      <w:r w:rsidRPr="003A22B9">
        <w:rPr>
          <w:rFonts w:ascii="Times New Roman" w:eastAsia="Times New Roman" w:hAnsi="Times New Roman" w:cs="Times New Roman"/>
          <w:lang w:val="sr-Latn-ME"/>
        </w:rPr>
        <w:t xml:space="preserve"> Ukoliko je neživa vakcina neophodna tokom trajanja terapije rituksimabom, vakcinaciju treba završiti najmanje 4 nedjelje prije započinjanja sljedećeg terapijskog ciklusa rituksimaba. </w:t>
      </w:r>
    </w:p>
    <w:p w14:paraId="4911DA2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CEA49F4" w14:textId="00EFDC4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Sveukupno iskustvo pri primjeni ponovljene terapije rituksimabom tokom jedne godine u liječenju reumatoidnog artritisa pokazalo je da su udijeli pacijenata sa pozitivnim titrom antitijela protiv </w:t>
      </w:r>
      <w:r w:rsidRPr="003A22B9">
        <w:rPr>
          <w:rFonts w:ascii="Times New Roman" w:eastAsia="Times New Roman" w:hAnsi="Times New Roman" w:cs="Times New Roman"/>
          <w:i/>
          <w:lang w:val="sr-Latn-ME"/>
        </w:rPr>
        <w:t>S. pneumoniae</w:t>
      </w:r>
      <w:r w:rsidRPr="003A22B9">
        <w:rPr>
          <w:rFonts w:ascii="Times New Roman" w:eastAsia="Times New Roman" w:hAnsi="Times New Roman" w:cs="Times New Roman"/>
          <w:lang w:val="sr-Latn-ME"/>
        </w:rPr>
        <w:t>, influenz</w:t>
      </w:r>
      <w:r w:rsidR="00C72E8F"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zaušk</w:t>
      </w:r>
      <w:r w:rsidR="00C72E8F" w:rsidRPr="003A22B9">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 rubel</w:t>
      </w:r>
      <w:r w:rsidR="00C72E8F"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varičel</w:t>
      </w:r>
      <w:r w:rsidR="00C72E8F"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xml:space="preserve"> i toksoid tetanusa uglavnom bili slični udjelima na početku terapije. </w:t>
      </w:r>
    </w:p>
    <w:p w14:paraId="5323FC4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6929D3E" w14:textId="30866EE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u w:val="single"/>
          <w:lang w:val="sr-Latn-ME"/>
        </w:rPr>
        <w:t>Istovremen</w:t>
      </w:r>
      <w:r w:rsidR="00C72E8F" w:rsidRPr="003A22B9">
        <w:rPr>
          <w:rFonts w:ascii="Times New Roman" w:eastAsia="Times New Roman" w:hAnsi="Times New Roman" w:cs="Times New Roman"/>
          <w:i/>
          <w:u w:val="single"/>
          <w:lang w:val="sr-Latn-ME"/>
        </w:rPr>
        <w:t>a</w:t>
      </w:r>
      <w:r w:rsidRPr="003A22B9">
        <w:rPr>
          <w:rFonts w:ascii="Times New Roman" w:eastAsia="Times New Roman" w:hAnsi="Times New Roman" w:cs="Times New Roman"/>
          <w:i/>
          <w:u w:val="single"/>
          <w:lang w:val="sr-Latn-ME"/>
        </w:rPr>
        <w:t>/sekvencijalna</w:t>
      </w:r>
      <w:r w:rsidR="00C72E8F" w:rsidRPr="003A22B9">
        <w:rPr>
          <w:rFonts w:ascii="Times New Roman" w:eastAsia="Times New Roman" w:hAnsi="Times New Roman" w:cs="Times New Roman"/>
          <w:i/>
          <w:u w:val="single"/>
          <w:lang w:val="sr-Latn-ME"/>
        </w:rPr>
        <w:t xml:space="preserve"> </w:t>
      </w:r>
      <w:r w:rsidRPr="003A22B9">
        <w:rPr>
          <w:rFonts w:ascii="Times New Roman" w:eastAsia="Times New Roman" w:hAnsi="Times New Roman" w:cs="Times New Roman"/>
          <w:i/>
          <w:u w:val="single"/>
          <w:lang w:val="sr-Latn-ME"/>
        </w:rPr>
        <w:t>primjena drugih antireumatskih ljekova koji modifikuju tok bolesti (DMARD) u liječenju reumatoidnog artritisa</w:t>
      </w:r>
      <w:r w:rsidRPr="003A22B9">
        <w:rPr>
          <w:rFonts w:ascii="Times New Roman" w:eastAsia="Times New Roman" w:hAnsi="Times New Roman" w:cs="Times New Roman"/>
          <w:lang w:val="sr-Latn-ME"/>
        </w:rPr>
        <w:t xml:space="preserve"> </w:t>
      </w:r>
    </w:p>
    <w:p w14:paraId="61A71EC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Ne preporučuje se istovremena primjena lijeka Rixathon i drugih antireumatskih ljekova osim onih koji su navedeni pod indikacijama i doziranjem za reumatoidni artritis. </w:t>
      </w:r>
    </w:p>
    <w:p w14:paraId="635393A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8552B37" w14:textId="53E96BF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Postoje ograničeni podaci iz kliničkih studija da se u potpunosti procjeni bezbjednost sekvencijalne upotrebe drugih DMARD (uključujući i</w:t>
      </w:r>
      <w:r w:rsidR="000D6E0E">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TNF</w:t>
      </w:r>
      <w:r w:rsidR="000D6E0E">
        <w:rPr>
          <w:rFonts w:ascii="Times New Roman" w:eastAsia="Times New Roman" w:hAnsi="Times New Roman" w:cs="Times New Roman"/>
          <w:lang w:val="sr-Latn-ME"/>
        </w:rPr>
        <w:t>-inhibitore</w:t>
      </w:r>
      <w:r w:rsidRPr="003A22B9">
        <w:rPr>
          <w:rFonts w:ascii="Times New Roman" w:eastAsia="Times New Roman" w:hAnsi="Times New Roman" w:cs="Times New Roman"/>
          <w:lang w:val="sr-Latn-ME"/>
        </w:rPr>
        <w:t xml:space="preserve"> i drugu biološku terapiju) po terapiji rituksimabom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4.5). Dostupni podaci ukazuju da je stopa klinički relevantnih infekcija nepromijenjena kada se takva terapija koristi kod pacijenata prethodno liječenih rituksimabom</w:t>
      </w:r>
      <w:r w:rsidR="000D6E0E">
        <w:rPr>
          <w:rFonts w:ascii="Times New Roman" w:eastAsia="Times New Roman" w:hAnsi="Times New Roman" w:cs="Times New Roman"/>
          <w:lang w:val="sr-Latn-ME"/>
        </w:rPr>
        <w:t>. I</w:t>
      </w:r>
      <w:r w:rsidRPr="003A22B9">
        <w:rPr>
          <w:rFonts w:ascii="Times New Roman" w:eastAsia="Times New Roman" w:hAnsi="Times New Roman" w:cs="Times New Roman"/>
          <w:lang w:val="sr-Latn-ME"/>
        </w:rPr>
        <w:t xml:space="preserve">pak pacijente treba pažljivo posmatrati da se prepoznaju znaci infekcije ako se po terapiji rituksimabom koriste biološki ljekovi i/ili DMARD. </w:t>
      </w:r>
    </w:p>
    <w:p w14:paraId="1667AEE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2ACB5AC"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Maligniteti </w:t>
      </w:r>
    </w:p>
    <w:p w14:paraId="3B7F5DC1" w14:textId="309407DC" w:rsidR="008417E9"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Imunomodulatorni ljekovi mogu da povećaju opasnost od maligniteta.</w:t>
      </w:r>
      <w:r w:rsidR="008417E9" w:rsidRPr="003A22B9">
        <w:rPr>
          <w:rFonts w:ascii="Times New Roman" w:eastAsia="Times New Roman" w:hAnsi="Times New Roman" w:cs="Times New Roman"/>
          <w:lang w:val="sr-Latn-ME"/>
        </w:rPr>
        <w:t xml:space="preserve"> Ipak podaci koje imamo na raspolaganju ne ukazuju </w:t>
      </w:r>
      <w:r w:rsidR="000D6E0E">
        <w:rPr>
          <w:rFonts w:ascii="Times New Roman" w:eastAsia="Times New Roman" w:hAnsi="Times New Roman" w:cs="Times New Roman"/>
          <w:lang w:val="sr-Latn-ME"/>
        </w:rPr>
        <w:t xml:space="preserve">na povećan </w:t>
      </w:r>
      <w:r w:rsidR="008417E9" w:rsidRPr="003A22B9">
        <w:rPr>
          <w:rFonts w:ascii="Times New Roman" w:eastAsia="Times New Roman" w:hAnsi="Times New Roman" w:cs="Times New Roman"/>
          <w:lang w:val="sr-Latn-ME"/>
        </w:rPr>
        <w:t>ri</w:t>
      </w:r>
      <w:r w:rsidR="000D6E0E">
        <w:rPr>
          <w:rFonts w:ascii="Times New Roman" w:eastAsia="Times New Roman" w:hAnsi="Times New Roman" w:cs="Times New Roman"/>
          <w:lang w:val="sr-Latn-ME"/>
        </w:rPr>
        <w:t>z</w:t>
      </w:r>
      <w:r w:rsidR="008417E9" w:rsidRPr="003A22B9">
        <w:rPr>
          <w:rFonts w:ascii="Times New Roman" w:eastAsia="Times New Roman" w:hAnsi="Times New Roman" w:cs="Times New Roman"/>
          <w:lang w:val="sr-Latn-ME"/>
        </w:rPr>
        <w:t>ik od pojave maligniteta tokom primjene</w:t>
      </w:r>
      <w:r w:rsidRPr="003A22B9">
        <w:rPr>
          <w:rFonts w:ascii="Times New Roman" w:eastAsia="Times New Roman" w:hAnsi="Times New Roman" w:cs="Times New Roman"/>
          <w:lang w:val="sr-Latn-ME"/>
        </w:rPr>
        <w:t xml:space="preserve"> rituksimaba </w:t>
      </w:r>
      <w:r w:rsidR="00ED5112">
        <w:rPr>
          <w:rFonts w:ascii="Times New Roman" w:eastAsia="Times New Roman" w:hAnsi="Times New Roman" w:cs="Times New Roman"/>
          <w:lang w:val="sr-Latn-ME"/>
        </w:rPr>
        <w:t>u indikacijama za liječenje autoimunih bolesti</w:t>
      </w:r>
      <w:r w:rsidR="008417E9" w:rsidRPr="003A22B9">
        <w:rPr>
          <w:rFonts w:ascii="Times New Roman" w:eastAsia="Times New Roman" w:hAnsi="Times New Roman" w:cs="Times New Roman"/>
          <w:lang w:val="sr-Latn-ME"/>
        </w:rPr>
        <w:t>,</w:t>
      </w:r>
      <w:r w:rsidR="00ED5112">
        <w:rPr>
          <w:rFonts w:ascii="Times New Roman" w:eastAsia="Times New Roman" w:hAnsi="Times New Roman" w:cs="Times New Roman"/>
          <w:lang w:val="sr-Latn-ME"/>
        </w:rPr>
        <w:t xml:space="preserve"> osim</w:t>
      </w:r>
      <w:r w:rsidR="008417E9" w:rsidRPr="003A22B9">
        <w:rPr>
          <w:rFonts w:ascii="Times New Roman" w:eastAsia="Times New Roman" w:hAnsi="Times New Roman" w:cs="Times New Roman"/>
          <w:lang w:val="sr-Latn-ME"/>
        </w:rPr>
        <w:t xml:space="preserve"> rizika od pojave maligniteta koji je već povezan sa autoimunom bolešću u osnovi. </w:t>
      </w:r>
    </w:p>
    <w:p w14:paraId="7684A83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76B0A99" w14:textId="77777777" w:rsidR="00C72E8F" w:rsidRPr="003A22B9" w:rsidRDefault="00F57BCB"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Pomoćne supstance</w:t>
      </w:r>
    </w:p>
    <w:p w14:paraId="6006B969" w14:textId="7838798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 xml:space="preserve">Ovaj lijek sadrži 2,3 mmol (ili 52,6 mg) natrijuma po bočici od 10 </w:t>
      </w:r>
      <w:r w:rsidR="00C72E8F" w:rsidRPr="003A22B9">
        <w:rPr>
          <w:rFonts w:ascii="Times New Roman" w:eastAsia="Times New Roman" w:hAnsi="Times New Roman" w:cs="Times New Roman"/>
          <w:lang w:val="sr-Latn-ME"/>
        </w:rPr>
        <w:t xml:space="preserve">ml i </w:t>
      </w:r>
      <w:r w:rsidRPr="003A22B9">
        <w:rPr>
          <w:rFonts w:ascii="Times New Roman" w:eastAsia="Times New Roman" w:hAnsi="Times New Roman" w:cs="Times New Roman"/>
          <w:lang w:val="sr-Latn-ME"/>
        </w:rPr>
        <w:t>1</w:t>
      </w:r>
      <w:r w:rsidR="00ED5112">
        <w:rPr>
          <w:rFonts w:ascii="Times New Roman" w:eastAsia="Times New Roman" w:hAnsi="Times New Roman" w:cs="Times New Roman"/>
          <w:lang w:val="sr-Latn-ME"/>
        </w:rPr>
        <w:t>1</w:t>
      </w:r>
      <w:r w:rsidRPr="003A22B9">
        <w:rPr>
          <w:rFonts w:ascii="Times New Roman" w:eastAsia="Times New Roman" w:hAnsi="Times New Roman" w:cs="Times New Roman"/>
          <w:lang w:val="sr-Latn-ME"/>
        </w:rPr>
        <w:t>,5 mmol (</w:t>
      </w:r>
      <w:r w:rsidR="00C5529B" w:rsidRPr="003A22B9">
        <w:rPr>
          <w:rFonts w:ascii="Times New Roman" w:eastAsia="Times New Roman" w:hAnsi="Times New Roman" w:cs="Times New Roman"/>
          <w:lang w:val="sr-Latn-ME"/>
        </w:rPr>
        <w:t xml:space="preserve">ili </w:t>
      </w:r>
      <w:r w:rsidRPr="003A22B9">
        <w:rPr>
          <w:rFonts w:ascii="Times New Roman" w:eastAsia="Times New Roman" w:hAnsi="Times New Roman" w:cs="Times New Roman"/>
          <w:lang w:val="sr-Latn-ME"/>
        </w:rPr>
        <w:t>263,2 mg) natrijuma po bočici od 50 </w:t>
      </w:r>
      <w:r w:rsidR="00C72E8F" w:rsidRPr="003A22B9">
        <w:rPr>
          <w:rFonts w:ascii="Times New Roman" w:eastAsia="Times New Roman" w:hAnsi="Times New Roman" w:cs="Times New Roman"/>
          <w:lang w:val="sr-Latn-ME"/>
        </w:rPr>
        <w:t>ml</w:t>
      </w:r>
      <w:r w:rsidR="00BF0590" w:rsidRPr="003A22B9">
        <w:rPr>
          <w:rFonts w:ascii="Times New Roman" w:eastAsia="Times New Roman" w:hAnsi="Times New Roman" w:cs="Times New Roman"/>
          <w:lang w:val="it-IT"/>
        </w:rPr>
        <w:t xml:space="preserve">, što odgovara vrijednosti od 2,6% (za bočicu od 10 </w:t>
      </w:r>
      <w:r w:rsidR="00C72E8F" w:rsidRPr="003A22B9">
        <w:rPr>
          <w:rFonts w:ascii="Times New Roman" w:eastAsia="Times New Roman" w:hAnsi="Times New Roman" w:cs="Times New Roman"/>
          <w:lang w:val="it-IT"/>
        </w:rPr>
        <w:t>ml</w:t>
      </w:r>
      <w:r w:rsidR="00BF0590" w:rsidRPr="003A22B9">
        <w:rPr>
          <w:rFonts w:ascii="Times New Roman" w:eastAsia="Times New Roman" w:hAnsi="Times New Roman" w:cs="Times New Roman"/>
          <w:lang w:val="it-IT"/>
        </w:rPr>
        <w:t xml:space="preserve">) i 13,2% (za bočicu od 50 </w:t>
      </w:r>
      <w:r w:rsidR="00C72E8F" w:rsidRPr="003A22B9">
        <w:rPr>
          <w:rFonts w:ascii="Times New Roman" w:eastAsia="Times New Roman" w:hAnsi="Times New Roman" w:cs="Times New Roman"/>
          <w:lang w:val="it-IT"/>
        </w:rPr>
        <w:t>ml</w:t>
      </w:r>
      <w:r w:rsidR="00BF0590" w:rsidRPr="003A22B9">
        <w:rPr>
          <w:rFonts w:ascii="Times New Roman" w:eastAsia="Times New Roman" w:hAnsi="Times New Roman" w:cs="Times New Roman"/>
          <w:lang w:val="it-IT"/>
        </w:rPr>
        <w:t>) maksimalnog dnevnog unosa za odrasle od 2 g natrijuma koji preporučuje SZO</w:t>
      </w:r>
      <w:r w:rsidRPr="003A22B9">
        <w:rPr>
          <w:rFonts w:ascii="Times New Roman" w:eastAsia="Times New Roman" w:hAnsi="Times New Roman" w:cs="Times New Roman"/>
          <w:lang w:val="sr-Latn-ME"/>
        </w:rPr>
        <w:t xml:space="preserve">. </w:t>
      </w:r>
      <w:r w:rsidRPr="00977A0E">
        <w:rPr>
          <w:rFonts w:ascii="Times New Roman" w:eastAsia="Times New Roman" w:hAnsi="Times New Roman" w:cs="Times New Roman"/>
          <w:lang w:val="sr-Latn-ME"/>
        </w:rPr>
        <w:t xml:space="preserve">Ovo treba uzeti </w:t>
      </w:r>
      <w:r w:rsidRPr="000B1F1D">
        <w:rPr>
          <w:rFonts w:ascii="Times New Roman" w:eastAsia="Times New Roman" w:hAnsi="Times New Roman" w:cs="Times New Roman"/>
          <w:lang w:val="sr-Latn-ME"/>
        </w:rPr>
        <w:t>u obzir kod pacijenata koji su na dijeti sa ograničenim unosom natrijuma.</w:t>
      </w:r>
    </w:p>
    <w:p w14:paraId="7D03D24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6A5CAA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4.5. </w:t>
      </w:r>
      <w:r w:rsidRPr="003A22B9">
        <w:rPr>
          <w:rFonts w:ascii="Times New Roman" w:eastAsia="Times New Roman" w:hAnsi="Times New Roman" w:cs="Times New Roman"/>
          <w:b/>
          <w:bCs/>
          <w:lang w:val="sr-Latn-ME"/>
        </w:rPr>
        <w:tab/>
        <w:t>Interakcije sa drugim ljekovima i druge vrste interakcija</w:t>
      </w:r>
    </w:p>
    <w:p w14:paraId="715D183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B76561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ovom trenutku, podaci o eventualnim interakcijama drugih ljekova sa rituksimabom su ograničeni. </w:t>
      </w:r>
    </w:p>
    <w:p w14:paraId="25D06F4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8495A2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pacijenata sa HLL, istovremena primjena sa rituksimabom nije imala efekta na farmakokinetiku fludarabina ili ciklofosfamida. Štaviše, nije bilo ni efekta fludarabina i ciklofosfamida na farmakokinetiku rituksimaba. </w:t>
      </w:r>
    </w:p>
    <w:p w14:paraId="411514F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0D300E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Istovremeno davanje sa metotreksatom nije imalo dejstva na farmakokinetiku rituksimaba kod pacijenata oboljelih od reumatoidnog artritisa. </w:t>
      </w:r>
    </w:p>
    <w:p w14:paraId="19D78E3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D76BE9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Pacijenti sa titrom humanih anti-mišjih antitijela (eng. </w:t>
      </w:r>
      <w:r w:rsidRPr="003A22B9">
        <w:rPr>
          <w:rFonts w:ascii="Times New Roman" w:eastAsia="Times New Roman" w:hAnsi="Times New Roman" w:cs="Times New Roman"/>
          <w:i/>
          <w:lang w:val="sr-Latn-ME"/>
        </w:rPr>
        <w:t>Human Anti-Mouse Antibody</w:t>
      </w:r>
      <w:r w:rsidRPr="003A22B9">
        <w:rPr>
          <w:rFonts w:ascii="Times New Roman" w:eastAsia="Times New Roman" w:hAnsi="Times New Roman" w:cs="Times New Roman"/>
          <w:lang w:val="sr-Latn-ME"/>
        </w:rPr>
        <w:t xml:space="preserve">, HAMA) ili antitijela na lijek (eng. </w:t>
      </w:r>
      <w:r w:rsidRPr="003A22B9">
        <w:rPr>
          <w:rFonts w:ascii="Times New Roman" w:eastAsia="Times New Roman" w:hAnsi="Times New Roman" w:cs="Times New Roman"/>
          <w:i/>
          <w:lang w:val="sr-Latn-ME"/>
        </w:rPr>
        <w:t>anti-drug antibody</w:t>
      </w:r>
      <w:r w:rsidRPr="003A22B9">
        <w:rPr>
          <w:rFonts w:ascii="Times New Roman" w:eastAsia="Times New Roman" w:hAnsi="Times New Roman" w:cs="Times New Roman"/>
          <w:lang w:val="sr-Latn-ME"/>
        </w:rPr>
        <w:t xml:space="preserve">, ADA) mogu imati alergijske reakcije ili reakcije preosjetljivosti kada se tretiraju drugim dijagnostičkim ili terapijskim monoklonskim antitijelima. </w:t>
      </w:r>
    </w:p>
    <w:p w14:paraId="4F79DFE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18F53F3"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lang w:val="sr-Latn-ME"/>
        </w:rPr>
        <w:t>Kod pacijenata sa reumatoidnim artritisom, 283 pacijenata je primilo biloške DMARD nakon rituksimaba. Kod ovih pacijenata stopa klinički relevantnih infekcija dok su bili na terapiji rituksimabom bila je 6,01 na 100 pacijent-godina u poređenju sa 4,97 na 100 pacijent-godina nakon terapije biološkim DMARD.</w:t>
      </w:r>
    </w:p>
    <w:p w14:paraId="42943924"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4B60E5D5"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bCs/>
          <w:lang w:val="sr-Latn-ME"/>
        </w:rPr>
        <w:t xml:space="preserve">4.6. </w:t>
      </w:r>
      <w:r w:rsidRPr="003A22B9">
        <w:rPr>
          <w:rFonts w:ascii="Times New Roman" w:eastAsia="Times New Roman" w:hAnsi="Times New Roman" w:cs="Times New Roman"/>
          <w:b/>
          <w:bCs/>
          <w:lang w:val="sr-Latn-ME"/>
        </w:rPr>
        <w:tab/>
      </w:r>
      <w:r w:rsidRPr="003A22B9">
        <w:rPr>
          <w:rFonts w:ascii="Times New Roman" w:eastAsia="Times New Roman" w:hAnsi="Times New Roman" w:cs="Times New Roman"/>
          <w:b/>
          <w:lang w:val="sr-Latn-ME"/>
        </w:rPr>
        <w:t>Plodnost, trudnoća i dojenje</w:t>
      </w:r>
    </w:p>
    <w:p w14:paraId="5F5DE85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u w:val="single"/>
          <w:lang w:val="sr-Latn-ME"/>
        </w:rPr>
      </w:pPr>
    </w:p>
    <w:p w14:paraId="30A7CBF1"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bCs/>
          <w:iCs/>
          <w:u w:val="single"/>
          <w:lang w:val="sr-Latn-ME"/>
        </w:rPr>
        <w:t>Kontracepcija kod muškaraca i žena</w:t>
      </w:r>
    </w:p>
    <w:p w14:paraId="3047B11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Zbog dugog vremena zadržavanja rituksimaba kod pacijenata sa deplecijom B-ćelija, žene u reproduktivnom periodu moraju koristiti efektivnu kontracepciju tokom i 12 mjeseci nakon terapije lijekom Rixathon.</w:t>
      </w:r>
    </w:p>
    <w:p w14:paraId="4960D52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2DF3728"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Trudnoća </w:t>
      </w:r>
    </w:p>
    <w:p w14:paraId="6853AD2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Poznato je da IgG immunoglobulini prolaze kroz placentnu barijeru. </w:t>
      </w:r>
    </w:p>
    <w:p w14:paraId="6D26B72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14CB13B" w14:textId="56D9636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Nivoi B ćelija kod novorođenčadi nakon izloženosti majke rituksimabu nijesu ispitivani u kliničkim ispitivanjima. Ne postoje adekvatni i dobro kontrolisani podaci iz studija na trudnicama, ali su ipak prolazna deplecija B ćelija i limfocitopenija prijavljene kod nekih novorođenčadi čije su majke tokom trudnoće bile izložene rituksimabu. Slični efekti primijećeni su i u ispitivanjima na životinjama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5.3). Zbog toga se lijek Rixathon ne smije davati trudnicama, osim ukoliko potencijalna korist od liječenja prevazilazi potencijalni rizik. </w:t>
      </w:r>
    </w:p>
    <w:p w14:paraId="7637CD1E"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55C4E9F1"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Dojenje </w:t>
      </w:r>
    </w:p>
    <w:p w14:paraId="7E4F9318" w14:textId="54EC93EF" w:rsidR="00A75B47" w:rsidRPr="003A22B9" w:rsidRDefault="008417E9"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Ograničeni podaci o ekskreciji rituksimaba u majčino mleko ukazuju na veoma niske koncentracije rituksimaba u mlijeku (manje od 0,4% po relativnoj dozi). Nekoliko praćenih slučajeva djece koja su dojena ukazuje na normalan rast i razvoj do </w:t>
      </w:r>
      <w:r w:rsidR="009A169C" w:rsidRPr="003A22B9">
        <w:rPr>
          <w:rFonts w:ascii="Times New Roman" w:eastAsia="Times New Roman" w:hAnsi="Times New Roman" w:cs="Times New Roman"/>
          <w:lang w:val="sr-Latn-ME"/>
        </w:rPr>
        <w:t xml:space="preserve">2 </w:t>
      </w:r>
      <w:r w:rsidRPr="003A22B9">
        <w:rPr>
          <w:rFonts w:ascii="Times New Roman" w:eastAsia="Times New Roman" w:hAnsi="Times New Roman" w:cs="Times New Roman"/>
          <w:lang w:val="sr-Latn-ME"/>
        </w:rPr>
        <w:t>godine. Ali, s obzirom da su ovu podaci ograničeni, dugoročni ishod dojene djece ostaje nepoznat.</w:t>
      </w:r>
      <w:r w:rsidR="00ED5112">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Dojenje se ne preporučuje tokom terapije rituksimabom </w:t>
      </w:r>
      <w:r w:rsidR="00A75B47" w:rsidRPr="003A22B9">
        <w:rPr>
          <w:rFonts w:ascii="Times New Roman" w:eastAsia="Times New Roman" w:hAnsi="Times New Roman" w:cs="Times New Roman"/>
          <w:lang w:val="sr-Latn-ME"/>
        </w:rPr>
        <w:t xml:space="preserve">kao ni narednih </w:t>
      </w:r>
      <w:r w:rsidR="009A169C" w:rsidRPr="003A22B9">
        <w:rPr>
          <w:rFonts w:ascii="Times New Roman" w:eastAsia="Times New Roman" w:hAnsi="Times New Roman" w:cs="Times New Roman"/>
          <w:lang w:val="sr-Latn-ME"/>
        </w:rPr>
        <w:t xml:space="preserve">6 </w:t>
      </w:r>
      <w:r w:rsidR="00A75B47" w:rsidRPr="003A22B9">
        <w:rPr>
          <w:rFonts w:ascii="Times New Roman" w:eastAsia="Times New Roman" w:hAnsi="Times New Roman" w:cs="Times New Roman"/>
          <w:lang w:val="sr-Latn-ME"/>
        </w:rPr>
        <w:t xml:space="preserve">mjeseci nakon liječenja. </w:t>
      </w:r>
    </w:p>
    <w:p w14:paraId="7D645026" w14:textId="77777777" w:rsidR="00D64A2E" w:rsidRPr="003A22B9" w:rsidRDefault="00D64A2E" w:rsidP="00A75B47">
      <w:pPr>
        <w:spacing w:after="0" w:line="240" w:lineRule="auto"/>
        <w:jc w:val="both"/>
        <w:rPr>
          <w:rFonts w:ascii="Times New Roman" w:eastAsia="Times New Roman" w:hAnsi="Times New Roman" w:cs="Times New Roman"/>
          <w:lang w:val="sr-Latn-ME"/>
        </w:rPr>
      </w:pPr>
    </w:p>
    <w:p w14:paraId="0C63BA5E"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Plodnost </w:t>
      </w:r>
    </w:p>
    <w:p w14:paraId="68F1713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Ispitivanja na životinjama nijesu ukazala na štetne efekte rituksimaba na reproduktivne organe.</w:t>
      </w:r>
    </w:p>
    <w:p w14:paraId="1190B58E" w14:textId="77777777" w:rsidR="00A75B47" w:rsidRPr="003A22B9" w:rsidRDefault="00A75B47" w:rsidP="00A75B47">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14:paraId="7791BE02" w14:textId="77777777" w:rsidR="00A75B47" w:rsidRPr="003A22B9" w:rsidRDefault="00A75B47" w:rsidP="00A75B47">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4.7. </w:t>
      </w:r>
      <w:r w:rsidRPr="003A22B9">
        <w:rPr>
          <w:rFonts w:ascii="Times New Roman" w:eastAsia="Times New Roman" w:hAnsi="Times New Roman" w:cs="Times New Roman"/>
          <w:b/>
          <w:bCs/>
          <w:lang w:val="sr-Latn-ME"/>
        </w:rPr>
        <w:tab/>
        <w:t>Uticaj na sposobnost upravljanja vozilima i rukovanje mašinama</w:t>
      </w:r>
    </w:p>
    <w:p w14:paraId="2D33402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DE28D30" w14:textId="0031DD75" w:rsidR="00A75B47" w:rsidRPr="003A22B9" w:rsidRDefault="00E969F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lang w:val="it-IT"/>
        </w:rPr>
        <w:lastRenderedPageBreak/>
        <w:t>Ni</w:t>
      </w:r>
      <w:r w:rsidR="00BC7E7B" w:rsidRPr="003A22B9">
        <w:rPr>
          <w:rFonts w:ascii="Times New Roman" w:eastAsia="Times New Roman" w:hAnsi="Times New Roman" w:cs="Times New Roman"/>
          <w:lang w:val="it-IT"/>
        </w:rPr>
        <w:t>je</w:t>
      </w:r>
      <w:r w:rsidRPr="003A22B9">
        <w:rPr>
          <w:rFonts w:ascii="Times New Roman" w:eastAsia="Times New Roman" w:hAnsi="Times New Roman" w:cs="Times New Roman"/>
          <w:lang w:val="it-IT"/>
        </w:rPr>
        <w:t xml:space="preserve">su sprovedena ispitivanja o uticaju rituksimaba na sposobnost upravljanja vozilima i rukovanja mašinama, iako farmakološka aktivnost i dosad prijavljena neželjena dejstva ukazuju na to da rituksimab nema ili ima zanemarljiv uticaj na sposobnost upravljanja vozilima i rukovanja mašinama. </w:t>
      </w:r>
    </w:p>
    <w:p w14:paraId="4056E58F" w14:textId="77777777" w:rsidR="00F7503E" w:rsidRPr="003A22B9" w:rsidRDefault="00F7503E"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174F275B" w14:textId="271DE13F"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4.8. </w:t>
      </w:r>
      <w:r w:rsidRPr="003A22B9">
        <w:rPr>
          <w:rFonts w:ascii="Times New Roman" w:eastAsia="Times New Roman" w:hAnsi="Times New Roman" w:cs="Times New Roman"/>
          <w:b/>
          <w:bCs/>
          <w:lang w:val="sr-Latn-ME"/>
        </w:rPr>
        <w:tab/>
        <w:t>Neželjena dejstva</w:t>
      </w:r>
    </w:p>
    <w:p w14:paraId="52A59B62"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3646E9D3" w14:textId="3E10560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 xml:space="preserve">Iskustva sa primjenom u non-Hodgkinovom limfomu i hroničnoj limfocitnoj </w:t>
      </w:r>
      <w:r w:rsidRPr="00977A0E">
        <w:rPr>
          <w:rFonts w:ascii="Times New Roman" w:eastAsia="Times New Roman" w:hAnsi="Times New Roman" w:cs="Times New Roman"/>
          <w:u w:val="single"/>
          <w:lang w:val="sr-Latn-ME"/>
        </w:rPr>
        <w:t>leukemiji</w:t>
      </w:r>
      <w:r w:rsidRPr="001C3C2B">
        <w:rPr>
          <w:rFonts w:ascii="Times New Roman" w:eastAsia="Times New Roman" w:hAnsi="Times New Roman" w:cs="Times New Roman"/>
          <w:u w:val="single"/>
          <w:lang w:val="sr-Latn-ME"/>
        </w:rPr>
        <w:t xml:space="preserve"> </w:t>
      </w:r>
      <w:r w:rsidR="00146CB1" w:rsidRPr="001C3C2B">
        <w:rPr>
          <w:rFonts w:ascii="Times New Roman" w:eastAsia="Times New Roman" w:hAnsi="Times New Roman" w:cs="Times New Roman"/>
          <w:u w:val="single"/>
          <w:lang w:val="sr-Latn-ME"/>
        </w:rPr>
        <w:t>kod odraslih</w:t>
      </w:r>
    </w:p>
    <w:p w14:paraId="59851AB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25EE13B"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Sažetak bezbjednosnog profila </w:t>
      </w:r>
    </w:p>
    <w:p w14:paraId="6CF36CD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1A3A78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Ukupan bezbjednosni profil rituksimaba u terapiji non-Hodgkinovog limfoma i HLL-a zasnovan je na podacima od pacijenata iz kliničkih studija i postmarketinškog praćenja. Ovi pacijenti liječeni su ili rituksimabom kao monoterapijom (indukciona terapija ili terapija održavanja nakon indukcione terapije), ili u kombinaciji sa hemioterapijom. </w:t>
      </w:r>
    </w:p>
    <w:p w14:paraId="0E5FF3F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21FFEFD" w14:textId="1409728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Najčešće prijavljene neželjene reakcije kod pacijenata koji su primali rituksimab bile su reakcije na infuziju (IRR), koje su se kod većine pacijenata javljale pri prvoj infuziji. Incidenca simptoma pri primjeni infuzije značajno se smanjuje sa narednim infuzijama i iznosi manje od 1% nakon osam doza rituksimaba. </w:t>
      </w:r>
    </w:p>
    <w:p w14:paraId="7085EDB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CFDCCC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Infekcije (predominantno bakterijske i virusne) javljale su se kod oko 30-55% pacijenata u kliničkim studijama na pacijentima sa NHL i kod 30-50 % pacijenata tokom kliničkih studija na pacijentima sa HLL. </w:t>
      </w:r>
    </w:p>
    <w:p w14:paraId="0FA6418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82C4083" w14:textId="497C59A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Najčešće prijavljene ili primijećene ozbiljne neželjene reakcije bile su: </w:t>
      </w:r>
    </w:p>
    <w:p w14:paraId="54B3E071" w14:textId="12F418EF" w:rsidR="00A75B47" w:rsidRPr="003A22B9" w:rsidRDefault="00A75B47" w:rsidP="00A75B47">
      <w:pPr>
        <w:numPr>
          <w:ilvl w:val="0"/>
          <w:numId w:val="14"/>
        </w:numPr>
        <w:tabs>
          <w:tab w:val="left" w:pos="284"/>
        </w:tabs>
        <w:spacing w:after="0" w:line="240" w:lineRule="auto"/>
        <w:contextualSpacing/>
        <w:jc w:val="both"/>
        <w:rPr>
          <w:rFonts w:ascii="Times New Roman" w:eastAsia="Calibri" w:hAnsi="Times New Roman" w:cs="Times New Roman"/>
          <w:noProof/>
          <w:u w:val="single"/>
          <w:lang w:val="sr-Latn-ME"/>
        </w:rPr>
      </w:pPr>
      <w:r w:rsidRPr="003A22B9">
        <w:rPr>
          <w:rFonts w:ascii="Times New Roman" w:eastAsia="Calibri" w:hAnsi="Times New Roman" w:cs="Times New Roman"/>
          <w:lang w:val="sr-Latn-ME"/>
        </w:rPr>
        <w:t>Reakcije na infuziju IRR (uključujući sindrom oslobađanja citokina</w:t>
      </w:r>
      <w:r w:rsidR="0025539A">
        <w:rPr>
          <w:rFonts w:ascii="Times New Roman" w:eastAsia="Calibri" w:hAnsi="Times New Roman" w:cs="Times New Roman"/>
          <w:lang w:val="sr-Latn-ME"/>
        </w:rPr>
        <w:t xml:space="preserve"> i</w:t>
      </w:r>
      <w:r w:rsidRPr="003A22B9">
        <w:rPr>
          <w:rFonts w:ascii="Times New Roman" w:eastAsia="Calibri" w:hAnsi="Times New Roman" w:cs="Times New Roman"/>
          <w:lang w:val="sr-Latn-ME"/>
        </w:rPr>
        <w:t xml:space="preserve"> sindrom lize tumora), vidjeti </w:t>
      </w:r>
      <w:r w:rsidR="00EA6A05" w:rsidRPr="003A22B9">
        <w:rPr>
          <w:rFonts w:ascii="Times New Roman" w:eastAsia="Calibri" w:hAnsi="Times New Roman" w:cs="Times New Roman"/>
          <w:lang w:val="sr-Latn-ME"/>
        </w:rPr>
        <w:t>dio</w:t>
      </w:r>
      <w:r w:rsidRPr="003A22B9">
        <w:rPr>
          <w:rFonts w:ascii="Times New Roman" w:eastAsia="Calibri" w:hAnsi="Times New Roman" w:cs="Times New Roman"/>
          <w:lang w:val="sr-Latn-ME"/>
        </w:rPr>
        <w:t xml:space="preserve"> 4.4.</w:t>
      </w:r>
    </w:p>
    <w:p w14:paraId="13B63CD3" w14:textId="4C49ACA9" w:rsidR="00A75B47" w:rsidRPr="003A22B9" w:rsidRDefault="00A75B47" w:rsidP="00A75B47">
      <w:pPr>
        <w:numPr>
          <w:ilvl w:val="0"/>
          <w:numId w:val="14"/>
        </w:numPr>
        <w:tabs>
          <w:tab w:val="left" w:pos="284"/>
        </w:tabs>
        <w:spacing w:after="0" w:line="240" w:lineRule="auto"/>
        <w:contextualSpacing/>
        <w:jc w:val="both"/>
        <w:rPr>
          <w:rFonts w:ascii="Times New Roman" w:eastAsia="Calibri" w:hAnsi="Times New Roman" w:cs="Times New Roman"/>
          <w:noProof/>
          <w:u w:val="single"/>
          <w:lang w:val="sr-Latn-ME"/>
        </w:rPr>
      </w:pPr>
      <w:r w:rsidRPr="003A22B9">
        <w:rPr>
          <w:rFonts w:ascii="Times New Roman" w:eastAsia="Calibri" w:hAnsi="Times New Roman" w:cs="Times New Roman"/>
          <w:lang w:val="sr-Latn-ME"/>
        </w:rPr>
        <w:t xml:space="preserve">Infekcije, vidjeti </w:t>
      </w:r>
      <w:r w:rsidR="00EA6A05" w:rsidRPr="003A22B9">
        <w:rPr>
          <w:rFonts w:ascii="Times New Roman" w:eastAsia="Calibri" w:hAnsi="Times New Roman" w:cs="Times New Roman"/>
          <w:lang w:val="sr-Latn-ME"/>
        </w:rPr>
        <w:t>dio</w:t>
      </w:r>
      <w:r w:rsidRPr="003A22B9">
        <w:rPr>
          <w:rFonts w:ascii="Times New Roman" w:eastAsia="Calibri" w:hAnsi="Times New Roman" w:cs="Times New Roman"/>
          <w:lang w:val="sr-Latn-ME"/>
        </w:rPr>
        <w:t xml:space="preserve"> 4.4.</w:t>
      </w:r>
    </w:p>
    <w:p w14:paraId="51482219" w14:textId="4171AA22" w:rsidR="00A75B47" w:rsidRPr="003A22B9" w:rsidRDefault="00A75B47" w:rsidP="00A75B47">
      <w:pPr>
        <w:numPr>
          <w:ilvl w:val="0"/>
          <w:numId w:val="14"/>
        </w:numPr>
        <w:tabs>
          <w:tab w:val="left" w:pos="284"/>
        </w:tabs>
        <w:spacing w:after="0" w:line="240" w:lineRule="auto"/>
        <w:contextualSpacing/>
        <w:jc w:val="both"/>
        <w:rPr>
          <w:rFonts w:ascii="Times New Roman" w:eastAsia="Calibri" w:hAnsi="Times New Roman" w:cs="Times New Roman"/>
          <w:noProof/>
          <w:u w:val="single"/>
          <w:lang w:val="sr-Latn-ME"/>
        </w:rPr>
      </w:pPr>
      <w:r w:rsidRPr="003A22B9">
        <w:rPr>
          <w:rFonts w:ascii="Times New Roman" w:eastAsia="Calibri" w:hAnsi="Times New Roman" w:cs="Times New Roman"/>
          <w:lang w:val="sr-Latn-ME"/>
        </w:rPr>
        <w:t xml:space="preserve">Kardiovaskularni događaji, vidjeti </w:t>
      </w:r>
      <w:r w:rsidR="00EA6A05" w:rsidRPr="003A22B9">
        <w:rPr>
          <w:rFonts w:ascii="Times New Roman" w:eastAsia="Calibri" w:hAnsi="Times New Roman" w:cs="Times New Roman"/>
          <w:lang w:val="sr-Latn-ME"/>
        </w:rPr>
        <w:t>dio</w:t>
      </w:r>
      <w:r w:rsidRPr="003A22B9">
        <w:rPr>
          <w:rFonts w:ascii="Times New Roman" w:eastAsia="Calibri" w:hAnsi="Times New Roman" w:cs="Times New Roman"/>
          <w:lang w:val="sr-Latn-ME"/>
        </w:rPr>
        <w:t xml:space="preserve"> 4.4.</w:t>
      </w:r>
    </w:p>
    <w:p w14:paraId="575102CE" w14:textId="77777777" w:rsidR="00A75B47" w:rsidRPr="003A22B9" w:rsidRDefault="00A75B47" w:rsidP="00A75B47">
      <w:pPr>
        <w:widowControl w:val="0"/>
        <w:spacing w:after="0" w:line="240" w:lineRule="auto"/>
        <w:jc w:val="both"/>
        <w:rPr>
          <w:rFonts w:ascii="Times New Roman" w:eastAsia="Calibri" w:hAnsi="Times New Roman" w:cs="Times New Roman"/>
          <w:noProof/>
          <w:u w:val="single"/>
          <w:lang w:val="sr-Latn-ME"/>
        </w:rPr>
      </w:pPr>
    </w:p>
    <w:p w14:paraId="59E57DFD" w14:textId="3D14AFAC" w:rsidR="00A75B47" w:rsidRPr="003A22B9" w:rsidRDefault="00A75B47" w:rsidP="00D64A2E">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Ostale prijavljene ozbiljne neželjene reakcije uključuju reaktivaciju hepatitisa B i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 </w:t>
      </w:r>
    </w:p>
    <w:p w14:paraId="541F34FE" w14:textId="77777777" w:rsidR="00A75B47" w:rsidRPr="003A22B9" w:rsidRDefault="00A75B47" w:rsidP="00A75B47">
      <w:pPr>
        <w:spacing w:after="0" w:line="240" w:lineRule="auto"/>
        <w:ind w:left="360"/>
        <w:jc w:val="both"/>
        <w:rPr>
          <w:rFonts w:ascii="Times New Roman" w:eastAsia="Times New Roman" w:hAnsi="Times New Roman" w:cs="Times New Roman"/>
          <w:lang w:val="sr-Latn-ME"/>
        </w:rPr>
      </w:pPr>
    </w:p>
    <w:p w14:paraId="4C40C532"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Tabelarni prikaz neželjenih reakcija</w:t>
      </w:r>
    </w:p>
    <w:p w14:paraId="6BD9EF98"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p>
    <w:p w14:paraId="22C991A8" w14:textId="29C6C797" w:rsidR="00A75B47" w:rsidRPr="003A22B9" w:rsidRDefault="00A75B47" w:rsidP="001C3C2B">
      <w:pPr>
        <w:pStyle w:val="BodyText"/>
        <w:spacing w:before="92"/>
        <w:ind w:left="0" w:right="231"/>
        <w:jc w:val="both"/>
        <w:rPr>
          <w:lang w:val="sr-Latn-ME"/>
        </w:rPr>
      </w:pPr>
      <w:r w:rsidRPr="003A22B9">
        <w:rPr>
          <w:lang w:val="sr-Latn-ME"/>
        </w:rPr>
        <w:t xml:space="preserve">Učestalost neželjenih reakcija prijavljenih samo sa rituksimabom ili u kombinaciji sa hemioterapijom prikazana je u Tabeli </w:t>
      </w:r>
      <w:r w:rsidR="008417E9" w:rsidRPr="003A22B9">
        <w:rPr>
          <w:lang w:val="sr-Latn-ME"/>
        </w:rPr>
        <w:t>3</w:t>
      </w:r>
      <w:r w:rsidRPr="003A22B9">
        <w:rPr>
          <w:lang w:val="sr-Latn-ME"/>
        </w:rPr>
        <w:t>. Učestalost je grupisana i definisana prema sljedećoj konvenciji: veoma često (≥ 1/10); često (≥ 1/100 do &lt; 1/10); povremeno (≥ 1/1000 do &lt; 1/100), rijetko (≥ 1/10000 do &lt; 1/1000), veoma rijetko (&lt;1/10000) i nepoznato (učestalost se ne može procijeniti na osnovu dostupnih podataka).</w:t>
      </w:r>
      <w:r w:rsidR="008417E9" w:rsidRPr="003A22B9">
        <w:t xml:space="preserve"> U okviru svake grupe učestalosti, neželjene reakcije su predstavljene po opadajućem redosl</w:t>
      </w:r>
      <w:r w:rsidR="0025539A">
        <w:t>j</w:t>
      </w:r>
      <w:r w:rsidR="008417E9" w:rsidRPr="003A22B9">
        <w:t>edu ozbiljnosti simptoma.</w:t>
      </w:r>
    </w:p>
    <w:p w14:paraId="29E5A23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6A3071A" w14:textId="514DA972" w:rsidR="00A75B47" w:rsidRPr="003A22B9" w:rsidRDefault="00A75B47" w:rsidP="00A75B47">
      <w:pPr>
        <w:spacing w:after="0" w:line="240" w:lineRule="auto"/>
        <w:jc w:val="both"/>
        <w:rPr>
          <w:rFonts w:ascii="Times New Roman" w:eastAsia="Times New Roman" w:hAnsi="Times New Roman" w:cs="Times New Roman"/>
          <w:noProof/>
          <w:u w:val="single"/>
          <w:lang w:val="sr-Latn-ME"/>
        </w:rPr>
      </w:pPr>
      <w:r w:rsidRPr="003A22B9">
        <w:rPr>
          <w:rFonts w:ascii="Times New Roman" w:eastAsia="Times New Roman" w:hAnsi="Times New Roman" w:cs="Times New Roman"/>
          <w:lang w:val="sr-Latn-ME"/>
        </w:rPr>
        <w:t>Neželjene reakcije na lijek zabilježene samo tokom postmarketinškog praćenja, i za koje učestalost nije procijenjena, navedene su u d</w:t>
      </w:r>
      <w:r w:rsidR="00E8581B" w:rsidRPr="003A22B9">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jelu “nepoznato”.</w:t>
      </w:r>
    </w:p>
    <w:p w14:paraId="775455AC"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p w14:paraId="79679088" w14:textId="4288C585" w:rsidR="00A75B47" w:rsidRPr="003A22B9" w:rsidRDefault="00A75B47" w:rsidP="00A75B47">
      <w:pPr>
        <w:spacing w:after="0" w:line="240" w:lineRule="auto"/>
        <w:ind w:left="1440" w:hanging="1440"/>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 xml:space="preserve">Tabela </w:t>
      </w:r>
      <w:r w:rsidR="00CF00F2" w:rsidRPr="003A22B9">
        <w:rPr>
          <w:rFonts w:ascii="Times New Roman" w:eastAsia="Times New Roman" w:hAnsi="Times New Roman" w:cs="Times New Roman"/>
          <w:b/>
          <w:lang w:val="sr-Latn-ME"/>
        </w:rPr>
        <w:t>3</w:t>
      </w:r>
      <w:r w:rsidRPr="003A22B9">
        <w:rPr>
          <w:rFonts w:ascii="Times New Roman" w:eastAsia="Times New Roman" w:hAnsi="Times New Roman" w:cs="Times New Roman"/>
          <w:b/>
          <w:lang w:val="sr-Latn-ME"/>
        </w:rPr>
        <w:tab/>
        <w:t>Neželjene reakcije na lijek prijavljene u kliničkim studijama ili tokom postmarketinškog praćenja kod pacijenata sa NHL i HLL liječenih rituksimabom kao monoterapijom/terapijom održavanja ili u kombinaciji sa hemioterapijom</w:t>
      </w:r>
    </w:p>
    <w:p w14:paraId="1520A4B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1391"/>
        <w:gridCol w:w="1248"/>
        <w:gridCol w:w="1318"/>
        <w:gridCol w:w="1176"/>
        <w:gridCol w:w="1236"/>
        <w:gridCol w:w="1394"/>
      </w:tblGrid>
      <w:tr w:rsidR="003A7195" w:rsidRPr="003A22B9" w14:paraId="7BF011BF" w14:textId="77777777" w:rsidTr="003A7195">
        <w:tc>
          <w:tcPr>
            <w:tcW w:w="1298" w:type="dxa"/>
            <w:shd w:val="clear" w:color="auto" w:fill="auto"/>
          </w:tcPr>
          <w:p w14:paraId="205C15AA" w14:textId="140E5556" w:rsidR="00A75B47" w:rsidRPr="003A22B9" w:rsidRDefault="00E1435A"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b/>
                <w:lang w:val="sr-Latn-ME"/>
              </w:rPr>
              <w:t xml:space="preserve">MedDRA </w:t>
            </w:r>
            <w:r w:rsidR="00A61916" w:rsidRPr="003A22B9">
              <w:rPr>
                <w:rFonts w:ascii="Times New Roman" w:eastAsia="Times New Roman" w:hAnsi="Times New Roman" w:cs="Times New Roman"/>
                <w:b/>
                <w:lang w:val="sr-Latn-ME"/>
              </w:rPr>
              <w:t>k</w:t>
            </w:r>
            <w:r w:rsidR="00A75B47" w:rsidRPr="003A22B9">
              <w:rPr>
                <w:rFonts w:ascii="Times New Roman" w:eastAsia="Times New Roman" w:hAnsi="Times New Roman" w:cs="Times New Roman"/>
                <w:b/>
                <w:lang w:val="sr-Latn-ME"/>
              </w:rPr>
              <w:t>lasa sistema organa</w:t>
            </w:r>
          </w:p>
        </w:tc>
        <w:tc>
          <w:tcPr>
            <w:tcW w:w="1391" w:type="dxa"/>
            <w:shd w:val="clear" w:color="auto" w:fill="auto"/>
          </w:tcPr>
          <w:p w14:paraId="07B7E70A"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 xml:space="preserve">Veoma </w:t>
            </w:r>
          </w:p>
          <w:p w14:paraId="35271AAA"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često</w:t>
            </w:r>
          </w:p>
        </w:tc>
        <w:tc>
          <w:tcPr>
            <w:tcW w:w="1248" w:type="dxa"/>
            <w:shd w:val="clear" w:color="auto" w:fill="auto"/>
          </w:tcPr>
          <w:p w14:paraId="3836AFCB"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Često</w:t>
            </w:r>
          </w:p>
        </w:tc>
        <w:tc>
          <w:tcPr>
            <w:tcW w:w="1318" w:type="dxa"/>
            <w:shd w:val="clear" w:color="auto" w:fill="auto"/>
          </w:tcPr>
          <w:p w14:paraId="2502D5E4"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Povremeno</w:t>
            </w:r>
          </w:p>
        </w:tc>
        <w:tc>
          <w:tcPr>
            <w:tcW w:w="1176" w:type="dxa"/>
            <w:shd w:val="clear" w:color="auto" w:fill="auto"/>
          </w:tcPr>
          <w:p w14:paraId="78D448D1"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 xml:space="preserve">Rijetko </w:t>
            </w:r>
          </w:p>
        </w:tc>
        <w:tc>
          <w:tcPr>
            <w:tcW w:w="1236" w:type="dxa"/>
            <w:shd w:val="clear" w:color="auto" w:fill="auto"/>
          </w:tcPr>
          <w:p w14:paraId="02FA7496"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Veoma rijetko</w:t>
            </w:r>
          </w:p>
        </w:tc>
        <w:tc>
          <w:tcPr>
            <w:tcW w:w="1394" w:type="dxa"/>
            <w:shd w:val="clear" w:color="auto" w:fill="auto"/>
          </w:tcPr>
          <w:p w14:paraId="5D575F4E" w14:textId="77777777" w:rsidR="00A75B47" w:rsidRPr="003A22B9" w:rsidRDefault="00A75B47" w:rsidP="00A75B47">
            <w:pPr>
              <w:spacing w:after="0" w:line="240" w:lineRule="auto"/>
              <w:jc w:val="both"/>
              <w:rPr>
                <w:rFonts w:ascii="Times New Roman" w:eastAsia="Times New Roman" w:hAnsi="Times New Roman" w:cs="Times New Roman"/>
                <w:b/>
                <w:noProof/>
                <w:lang w:val="sr-Latn-ME"/>
              </w:rPr>
            </w:pPr>
            <w:r w:rsidRPr="003A22B9">
              <w:rPr>
                <w:rFonts w:ascii="Times New Roman" w:eastAsia="Times New Roman" w:hAnsi="Times New Roman" w:cs="Times New Roman"/>
                <w:b/>
                <w:noProof/>
                <w:lang w:val="sr-Latn-ME"/>
              </w:rPr>
              <w:t>Nepoznato</w:t>
            </w:r>
          </w:p>
        </w:tc>
      </w:tr>
      <w:tr w:rsidR="003A7195" w:rsidRPr="003A22B9" w14:paraId="0BA705A3" w14:textId="77777777" w:rsidTr="003A7195">
        <w:tc>
          <w:tcPr>
            <w:tcW w:w="1298" w:type="dxa"/>
            <w:shd w:val="clear" w:color="auto" w:fill="auto"/>
          </w:tcPr>
          <w:p w14:paraId="43E5B822"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Infekcije i infestacije</w:t>
            </w:r>
          </w:p>
        </w:tc>
        <w:tc>
          <w:tcPr>
            <w:tcW w:w="1391" w:type="dxa"/>
            <w:shd w:val="clear" w:color="auto" w:fill="auto"/>
          </w:tcPr>
          <w:p w14:paraId="5ED5D1F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Bakterijske infekcije, virusne infekcije, </w:t>
            </w:r>
          </w:p>
          <w:p w14:paraId="4BE57E0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vertAlign w:val="superscript"/>
                <w:lang w:val="sr-Latn-ME"/>
              </w:rPr>
              <w:lastRenderedPageBreak/>
              <w:t>+</w:t>
            </w:r>
            <w:r w:rsidRPr="003A22B9">
              <w:rPr>
                <w:rFonts w:ascii="Times New Roman" w:eastAsia="Times New Roman" w:hAnsi="Times New Roman" w:cs="Times New Roman"/>
                <w:lang w:val="sr-Latn-ME"/>
              </w:rPr>
              <w:t>bronhitis</w:t>
            </w:r>
          </w:p>
        </w:tc>
        <w:tc>
          <w:tcPr>
            <w:tcW w:w="1248" w:type="dxa"/>
            <w:shd w:val="clear" w:color="auto" w:fill="auto"/>
          </w:tcPr>
          <w:p w14:paraId="3E207EF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 xml:space="preserve">Sepsa, </w:t>
            </w:r>
          </w:p>
          <w:p w14:paraId="7FB40BA4" w14:textId="5DA42C3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pneumonija,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febrilna infekcija, </w:t>
            </w:r>
          </w:p>
          <w:p w14:paraId="392F9614" w14:textId="7E40B51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lastRenderedPageBreak/>
              <w:t>+</w:t>
            </w:r>
            <w:r w:rsidRPr="003A22B9">
              <w:rPr>
                <w:rFonts w:ascii="Times New Roman" w:eastAsia="Times New Roman" w:hAnsi="Times New Roman" w:cs="Times New Roman"/>
                <w:lang w:val="sr-Latn-ME"/>
              </w:rPr>
              <w:t>herpes zoster,</w:t>
            </w:r>
          </w:p>
          <w:p w14:paraId="719D4EB6" w14:textId="1370D46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infekcija respiratornog trakta, gljivična infekcija, infekcije nepoznate etiologije, </w:t>
            </w:r>
          </w:p>
          <w:p w14:paraId="3AE186F7" w14:textId="6A92511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akutni bronhitis, </w:t>
            </w:r>
          </w:p>
          <w:p w14:paraId="79038C77" w14:textId="0A3E6E26"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sinusitis, hepatitis B</w:t>
            </w:r>
            <w:r w:rsidRPr="003A22B9">
              <w:rPr>
                <w:rFonts w:ascii="Times New Roman" w:eastAsia="Times New Roman" w:hAnsi="Times New Roman" w:cs="Times New Roman"/>
                <w:vertAlign w:val="superscript"/>
                <w:lang w:val="sr-Latn-ME"/>
              </w:rPr>
              <w:t>1</w:t>
            </w:r>
          </w:p>
        </w:tc>
        <w:tc>
          <w:tcPr>
            <w:tcW w:w="1318" w:type="dxa"/>
            <w:shd w:val="clear" w:color="auto" w:fill="auto"/>
          </w:tcPr>
          <w:p w14:paraId="1830B02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1EE2E359"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lang w:val="sr-Latn-ME"/>
              </w:rPr>
              <w:t>Ozbiljna virusna infekcija</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w:t>
            </w:r>
            <w:r w:rsidRPr="003A22B9">
              <w:rPr>
                <w:rFonts w:ascii="Times New Roman" w:eastAsia="Times New Roman" w:hAnsi="Times New Roman" w:cs="Times New Roman"/>
                <w:i/>
                <w:lang w:val="sr-Latn-ME"/>
              </w:rPr>
              <w:t>Pneum</w:t>
            </w:r>
          </w:p>
          <w:p w14:paraId="013887A1"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i/>
                <w:lang w:val="sr-Latn-ME"/>
              </w:rPr>
              <w:lastRenderedPageBreak/>
              <w:t>ocystis jirovecii</w:t>
            </w:r>
          </w:p>
        </w:tc>
        <w:tc>
          <w:tcPr>
            <w:tcW w:w="1236" w:type="dxa"/>
            <w:shd w:val="clear" w:color="auto" w:fill="auto"/>
          </w:tcPr>
          <w:p w14:paraId="70B7EB1A" w14:textId="18146C84"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lastRenderedPageBreak/>
              <w:t>P</w:t>
            </w:r>
            <w:r w:rsidR="00C72E8F" w:rsidRPr="003A22B9">
              <w:rPr>
                <w:rFonts w:ascii="Times New Roman" w:eastAsia="Times New Roman" w:hAnsi="Times New Roman" w:cs="Times New Roman"/>
                <w:lang w:val="sr-Latn-ME"/>
              </w:rPr>
              <w:t>ML</w:t>
            </w:r>
          </w:p>
        </w:tc>
        <w:tc>
          <w:tcPr>
            <w:tcW w:w="1394" w:type="dxa"/>
            <w:shd w:val="clear" w:color="auto" w:fill="auto"/>
          </w:tcPr>
          <w:p w14:paraId="5AC32674" w14:textId="0237F7BE" w:rsidR="00A75B47" w:rsidRPr="00B7374A" w:rsidRDefault="003A7195" w:rsidP="00A75B47">
            <w:pPr>
              <w:spacing w:after="0" w:line="240" w:lineRule="auto"/>
              <w:jc w:val="both"/>
              <w:rPr>
                <w:rFonts w:ascii="Times New Roman" w:eastAsia="Times New Roman" w:hAnsi="Times New Roman" w:cs="Times New Roman"/>
                <w:iCs/>
                <w:noProof/>
                <w:lang w:val="sr-Latn-ME"/>
              </w:rPr>
            </w:pPr>
            <w:r w:rsidRPr="00B7374A">
              <w:rPr>
                <w:rFonts w:ascii="Times New Roman" w:eastAsia="Times New Roman" w:hAnsi="Times New Roman" w:cs="Times New Roman"/>
                <w:iCs/>
                <w:noProof/>
                <w:lang w:val="sr-Latn-ME"/>
              </w:rPr>
              <w:t>Enterovirusni meningoencefalitis</w:t>
            </w:r>
            <w:r w:rsidRPr="00B7374A">
              <w:rPr>
                <w:rFonts w:ascii="Times New Roman" w:eastAsia="Times New Roman" w:hAnsi="Times New Roman" w:cs="Times New Roman"/>
                <w:iCs/>
                <w:noProof/>
                <w:vertAlign w:val="superscript"/>
                <w:lang w:val="sr-Latn-ME"/>
              </w:rPr>
              <w:t>2,</w:t>
            </w:r>
            <w:r>
              <w:rPr>
                <w:rFonts w:ascii="Times New Roman" w:eastAsia="Times New Roman" w:hAnsi="Times New Roman" w:cs="Times New Roman"/>
                <w:iCs/>
                <w:noProof/>
                <w:vertAlign w:val="superscript"/>
                <w:lang w:val="sr-Latn-ME"/>
              </w:rPr>
              <w:t>3</w:t>
            </w:r>
          </w:p>
        </w:tc>
      </w:tr>
      <w:tr w:rsidR="003A7195" w:rsidRPr="003A22B9" w14:paraId="303C51C5" w14:textId="77777777" w:rsidTr="003A7195">
        <w:tc>
          <w:tcPr>
            <w:tcW w:w="1298" w:type="dxa"/>
            <w:shd w:val="clear" w:color="auto" w:fill="auto"/>
          </w:tcPr>
          <w:p w14:paraId="218FFB5C"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lastRenderedPageBreak/>
              <w:t>Poremećaji krvi i limfnog sistema</w:t>
            </w:r>
          </w:p>
        </w:tc>
        <w:tc>
          <w:tcPr>
            <w:tcW w:w="1391" w:type="dxa"/>
            <w:shd w:val="clear" w:color="auto" w:fill="auto"/>
          </w:tcPr>
          <w:p w14:paraId="2BAAB44B" w14:textId="6293CD15"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Neutropenija, leukopenija,</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febrilna neutropenija,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trombocitopenija</w:t>
            </w:r>
          </w:p>
        </w:tc>
        <w:tc>
          <w:tcPr>
            <w:tcW w:w="1248" w:type="dxa"/>
            <w:shd w:val="clear" w:color="auto" w:fill="auto"/>
          </w:tcPr>
          <w:p w14:paraId="4ED359B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Anemija, </w:t>
            </w:r>
          </w:p>
          <w:p w14:paraId="1D26A63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pancitope</w:t>
            </w:r>
          </w:p>
          <w:p w14:paraId="6EC35DC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nija,</w:t>
            </w:r>
            <w:r w:rsidRPr="003A22B9">
              <w:rPr>
                <w:rFonts w:ascii="Times New Roman" w:eastAsia="Times New Roman" w:hAnsi="Times New Roman" w:cs="Times New Roman"/>
                <w:vertAlign w:val="superscript"/>
                <w:lang w:val="sr-Latn-ME"/>
              </w:rPr>
              <w:t xml:space="preserve"> </w:t>
            </w:r>
          </w:p>
          <w:p w14:paraId="57F268C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granulocitopenija</w:t>
            </w:r>
          </w:p>
        </w:tc>
        <w:tc>
          <w:tcPr>
            <w:tcW w:w="1318" w:type="dxa"/>
            <w:shd w:val="clear" w:color="auto" w:fill="auto"/>
          </w:tcPr>
          <w:p w14:paraId="09AB468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Poremećaji koagulacije, aplastična anemija, hemolitička anemija, limfadenopatija</w:t>
            </w:r>
          </w:p>
        </w:tc>
        <w:tc>
          <w:tcPr>
            <w:tcW w:w="1176" w:type="dxa"/>
            <w:shd w:val="clear" w:color="auto" w:fill="auto"/>
          </w:tcPr>
          <w:p w14:paraId="0ABDA2E1"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281E528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Prolazno povećanje nivoa serumskog IgM-a</w:t>
            </w:r>
            <w:r w:rsidRPr="003A22B9">
              <w:rPr>
                <w:rFonts w:ascii="Times New Roman" w:eastAsia="Times New Roman" w:hAnsi="Times New Roman" w:cs="Times New Roman"/>
                <w:vertAlign w:val="superscript"/>
                <w:lang w:val="sr-Latn-ME"/>
              </w:rPr>
              <w:t>3</w:t>
            </w:r>
          </w:p>
        </w:tc>
        <w:tc>
          <w:tcPr>
            <w:tcW w:w="1394" w:type="dxa"/>
            <w:shd w:val="clear" w:color="auto" w:fill="auto"/>
          </w:tcPr>
          <w:p w14:paraId="2E51C9A2" w14:textId="5B2F8342" w:rsidR="00A75B47" w:rsidRPr="003A22B9" w:rsidRDefault="0065106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Odložena</w:t>
            </w:r>
            <w:r w:rsidR="00A75B47" w:rsidRPr="003A22B9">
              <w:rPr>
                <w:rFonts w:ascii="Times New Roman" w:eastAsia="Times New Roman" w:hAnsi="Times New Roman" w:cs="Times New Roman"/>
                <w:lang w:val="sr-Latn-ME"/>
              </w:rPr>
              <w:t xml:space="preserve"> neutro</w:t>
            </w:r>
          </w:p>
          <w:p w14:paraId="12B12099" w14:textId="7C2414DC" w:rsidR="00A75B47" w:rsidRPr="003A22B9" w:rsidRDefault="003A7195"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penija</w:t>
            </w:r>
            <w:r>
              <w:rPr>
                <w:rFonts w:ascii="Times New Roman" w:eastAsia="Times New Roman" w:hAnsi="Times New Roman" w:cs="Times New Roman"/>
                <w:vertAlign w:val="superscript"/>
                <w:lang w:val="sr-Latn-ME"/>
              </w:rPr>
              <w:t>4</w:t>
            </w:r>
          </w:p>
        </w:tc>
      </w:tr>
      <w:tr w:rsidR="003A7195" w:rsidRPr="003A22B9" w14:paraId="56BDBF5B" w14:textId="77777777" w:rsidTr="003A7195">
        <w:tc>
          <w:tcPr>
            <w:tcW w:w="1298" w:type="dxa"/>
            <w:shd w:val="clear" w:color="auto" w:fill="auto"/>
          </w:tcPr>
          <w:p w14:paraId="1519B149"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Poremećaji imunog sistema</w:t>
            </w:r>
          </w:p>
        </w:tc>
        <w:tc>
          <w:tcPr>
            <w:tcW w:w="1391" w:type="dxa"/>
            <w:shd w:val="clear" w:color="auto" w:fill="auto"/>
          </w:tcPr>
          <w:p w14:paraId="15B2F24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Reakcije na infuziju</w:t>
            </w:r>
            <w:r w:rsidRPr="003A22B9">
              <w:rPr>
                <w:rFonts w:ascii="Times New Roman" w:eastAsia="Times New Roman" w:hAnsi="Times New Roman" w:cs="Times New Roman"/>
                <w:vertAlign w:val="superscript"/>
                <w:lang w:val="sr-Latn-ME"/>
              </w:rPr>
              <w:t>4</w:t>
            </w:r>
            <w:r w:rsidRPr="003A22B9">
              <w:rPr>
                <w:rFonts w:ascii="Times New Roman" w:eastAsia="Times New Roman" w:hAnsi="Times New Roman" w:cs="Times New Roman"/>
                <w:lang w:val="sr-Latn-ME"/>
              </w:rPr>
              <w:t>, angioedem</w:t>
            </w:r>
          </w:p>
        </w:tc>
        <w:tc>
          <w:tcPr>
            <w:tcW w:w="1248" w:type="dxa"/>
            <w:shd w:val="clear" w:color="auto" w:fill="auto"/>
          </w:tcPr>
          <w:p w14:paraId="0D05161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Preosjetljiv</w:t>
            </w:r>
          </w:p>
          <w:p w14:paraId="172E103C"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ost</w:t>
            </w:r>
          </w:p>
        </w:tc>
        <w:tc>
          <w:tcPr>
            <w:tcW w:w="1318" w:type="dxa"/>
            <w:shd w:val="clear" w:color="auto" w:fill="auto"/>
          </w:tcPr>
          <w:p w14:paraId="5D317C07"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4E6FF52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Anafilak</w:t>
            </w:r>
          </w:p>
          <w:p w14:paraId="381CC67D"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sa</w:t>
            </w:r>
          </w:p>
        </w:tc>
        <w:tc>
          <w:tcPr>
            <w:tcW w:w="1236" w:type="dxa"/>
            <w:shd w:val="clear" w:color="auto" w:fill="auto"/>
          </w:tcPr>
          <w:p w14:paraId="42F783C6" w14:textId="5253A47A"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Sindrom lize tumora, sindrom oslobađanja </w:t>
            </w:r>
            <w:r w:rsidR="003A7195" w:rsidRPr="003A22B9">
              <w:rPr>
                <w:rFonts w:ascii="Times New Roman" w:eastAsia="Times New Roman" w:hAnsi="Times New Roman" w:cs="Times New Roman"/>
                <w:lang w:val="sr-Latn-ME"/>
              </w:rPr>
              <w:t>citokina</w:t>
            </w:r>
            <w:r w:rsidR="003A7195">
              <w:rPr>
                <w:rFonts w:ascii="Times New Roman" w:eastAsia="Times New Roman" w:hAnsi="Times New Roman" w:cs="Times New Roman"/>
                <w:vertAlign w:val="superscript"/>
                <w:lang w:val="sr-Latn-ME"/>
              </w:rPr>
              <w:t>5</w:t>
            </w:r>
            <w:r w:rsidRPr="003A22B9">
              <w:rPr>
                <w:rFonts w:ascii="Times New Roman" w:eastAsia="Times New Roman" w:hAnsi="Times New Roman" w:cs="Times New Roman"/>
                <w:lang w:val="sr-Latn-ME"/>
              </w:rPr>
              <w:t>, serumska bolest</w:t>
            </w:r>
          </w:p>
        </w:tc>
        <w:tc>
          <w:tcPr>
            <w:tcW w:w="1394" w:type="dxa"/>
            <w:shd w:val="clear" w:color="auto" w:fill="auto"/>
          </w:tcPr>
          <w:p w14:paraId="2C871F05" w14:textId="530BC1A1"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Akutna reverzibilna trombocitopenija povezana sa </w:t>
            </w:r>
            <w:r w:rsidR="003A7195" w:rsidRPr="003A22B9">
              <w:rPr>
                <w:rFonts w:ascii="Times New Roman" w:eastAsia="Times New Roman" w:hAnsi="Times New Roman" w:cs="Times New Roman"/>
                <w:lang w:val="sr-Latn-ME"/>
              </w:rPr>
              <w:t>infuzijom</w:t>
            </w:r>
            <w:r w:rsidR="003A7195">
              <w:rPr>
                <w:rFonts w:ascii="Times New Roman" w:eastAsia="Times New Roman" w:hAnsi="Times New Roman" w:cs="Times New Roman"/>
                <w:vertAlign w:val="superscript"/>
                <w:lang w:val="sr-Latn-ME"/>
              </w:rPr>
              <w:t>5</w:t>
            </w:r>
          </w:p>
        </w:tc>
      </w:tr>
      <w:tr w:rsidR="003A7195" w:rsidRPr="003A22B9" w14:paraId="605C64B1" w14:textId="77777777" w:rsidTr="003A7195">
        <w:tc>
          <w:tcPr>
            <w:tcW w:w="1298" w:type="dxa"/>
            <w:shd w:val="clear" w:color="auto" w:fill="auto"/>
          </w:tcPr>
          <w:p w14:paraId="4862FD45"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Poremećaji metabolizma i ishrane</w:t>
            </w:r>
          </w:p>
        </w:tc>
        <w:tc>
          <w:tcPr>
            <w:tcW w:w="1391" w:type="dxa"/>
            <w:shd w:val="clear" w:color="auto" w:fill="auto"/>
          </w:tcPr>
          <w:p w14:paraId="189B198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112F4B9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Hiperglikemi</w:t>
            </w:r>
          </w:p>
          <w:p w14:paraId="5E741A93"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ja, smanjenje tjelesne težine, periferni edem, edem lica, povećanje LDH, hipokalcijemija</w:t>
            </w:r>
          </w:p>
        </w:tc>
        <w:tc>
          <w:tcPr>
            <w:tcW w:w="1318" w:type="dxa"/>
            <w:shd w:val="clear" w:color="auto" w:fill="auto"/>
          </w:tcPr>
          <w:p w14:paraId="272C6C1F"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6E3C9842"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25AA0241"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94" w:type="dxa"/>
            <w:shd w:val="clear" w:color="auto" w:fill="auto"/>
          </w:tcPr>
          <w:p w14:paraId="06254F35"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0DF3C3CD" w14:textId="77777777" w:rsidTr="003A7195">
        <w:tc>
          <w:tcPr>
            <w:tcW w:w="1298" w:type="dxa"/>
            <w:shd w:val="clear" w:color="auto" w:fill="auto"/>
          </w:tcPr>
          <w:p w14:paraId="538FBC3B"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Psihijatrijski poremećaji</w:t>
            </w:r>
          </w:p>
        </w:tc>
        <w:tc>
          <w:tcPr>
            <w:tcW w:w="1391" w:type="dxa"/>
            <w:shd w:val="clear" w:color="auto" w:fill="auto"/>
          </w:tcPr>
          <w:p w14:paraId="4C350CC8"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2A383D55"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18" w:type="dxa"/>
            <w:shd w:val="clear" w:color="auto" w:fill="auto"/>
          </w:tcPr>
          <w:p w14:paraId="4A95B634"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Depresija, nervoza</w:t>
            </w:r>
          </w:p>
        </w:tc>
        <w:tc>
          <w:tcPr>
            <w:tcW w:w="1176" w:type="dxa"/>
            <w:shd w:val="clear" w:color="auto" w:fill="auto"/>
          </w:tcPr>
          <w:p w14:paraId="6C7BB7F0"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614C643A"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94" w:type="dxa"/>
            <w:shd w:val="clear" w:color="auto" w:fill="auto"/>
          </w:tcPr>
          <w:p w14:paraId="4AADF098"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13C204A5" w14:textId="77777777" w:rsidTr="003A7195">
        <w:tc>
          <w:tcPr>
            <w:tcW w:w="1298" w:type="dxa"/>
            <w:shd w:val="clear" w:color="auto" w:fill="auto"/>
          </w:tcPr>
          <w:p w14:paraId="5BAB3503"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Poremećaji nervnog sistema</w:t>
            </w:r>
          </w:p>
        </w:tc>
        <w:tc>
          <w:tcPr>
            <w:tcW w:w="1391" w:type="dxa"/>
            <w:shd w:val="clear" w:color="auto" w:fill="auto"/>
          </w:tcPr>
          <w:p w14:paraId="521D8E01"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52DD9501" w14:textId="3B2E4B59"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Parestezija, hipoestezij</w:t>
            </w:r>
            <w:r w:rsidR="00651061"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w:t>
            </w:r>
            <w:r w:rsidR="0065106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agitacija, nesanica, vazodilatacija, vrtoglavica, anksioznost</w:t>
            </w:r>
          </w:p>
        </w:tc>
        <w:tc>
          <w:tcPr>
            <w:tcW w:w="1318" w:type="dxa"/>
            <w:shd w:val="clear" w:color="auto" w:fill="auto"/>
          </w:tcPr>
          <w:p w14:paraId="19AA1CA2"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Disgeuzija</w:t>
            </w:r>
          </w:p>
        </w:tc>
        <w:tc>
          <w:tcPr>
            <w:tcW w:w="1176" w:type="dxa"/>
            <w:shd w:val="clear" w:color="auto" w:fill="auto"/>
          </w:tcPr>
          <w:p w14:paraId="2E194174"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19F0C760" w14:textId="54700DCB"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Periferna neuropatija, paraliza </w:t>
            </w:r>
            <w:r w:rsidR="003A7195" w:rsidRPr="003A22B9">
              <w:rPr>
                <w:rFonts w:ascii="Times New Roman" w:eastAsia="Times New Roman" w:hAnsi="Times New Roman" w:cs="Times New Roman"/>
                <w:lang w:val="sr-Latn-ME"/>
              </w:rPr>
              <w:t>facijalisa</w:t>
            </w:r>
            <w:r w:rsidR="003A7195">
              <w:rPr>
                <w:rFonts w:ascii="Times New Roman" w:eastAsia="Times New Roman" w:hAnsi="Times New Roman" w:cs="Times New Roman"/>
                <w:vertAlign w:val="superscript"/>
                <w:lang w:val="sr-Latn-ME"/>
              </w:rPr>
              <w:t>6</w:t>
            </w:r>
          </w:p>
        </w:tc>
        <w:tc>
          <w:tcPr>
            <w:tcW w:w="1394" w:type="dxa"/>
            <w:shd w:val="clear" w:color="auto" w:fill="auto"/>
          </w:tcPr>
          <w:p w14:paraId="451D653F" w14:textId="1D819F9E"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Kranijalna neuropatija, gubitak drugih </w:t>
            </w:r>
            <w:r w:rsidR="003A7195" w:rsidRPr="003A22B9">
              <w:rPr>
                <w:rFonts w:ascii="Times New Roman" w:eastAsia="Times New Roman" w:hAnsi="Times New Roman" w:cs="Times New Roman"/>
                <w:lang w:val="sr-Latn-ME"/>
              </w:rPr>
              <w:t>čula</w:t>
            </w:r>
            <w:r w:rsidR="003A7195">
              <w:rPr>
                <w:rFonts w:ascii="Times New Roman" w:eastAsia="Times New Roman" w:hAnsi="Times New Roman" w:cs="Times New Roman"/>
                <w:vertAlign w:val="superscript"/>
                <w:lang w:val="sr-Latn-ME"/>
              </w:rPr>
              <w:t>6</w:t>
            </w:r>
          </w:p>
        </w:tc>
      </w:tr>
      <w:tr w:rsidR="003A7195" w:rsidRPr="003A22B9" w14:paraId="1917416D" w14:textId="77777777" w:rsidTr="003A7195">
        <w:tc>
          <w:tcPr>
            <w:tcW w:w="1298" w:type="dxa"/>
            <w:shd w:val="clear" w:color="auto" w:fill="auto"/>
          </w:tcPr>
          <w:p w14:paraId="1538F0DB"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lastRenderedPageBreak/>
              <w:t>Poremećaji oka</w:t>
            </w:r>
          </w:p>
        </w:tc>
        <w:tc>
          <w:tcPr>
            <w:tcW w:w="1391" w:type="dxa"/>
            <w:shd w:val="clear" w:color="auto" w:fill="auto"/>
          </w:tcPr>
          <w:p w14:paraId="447CBCE7"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0067BE5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Poremećaj u izlučivanju suza, konjunktivitis</w:t>
            </w:r>
          </w:p>
        </w:tc>
        <w:tc>
          <w:tcPr>
            <w:tcW w:w="1318" w:type="dxa"/>
            <w:shd w:val="clear" w:color="auto" w:fill="auto"/>
          </w:tcPr>
          <w:p w14:paraId="26FEC47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16C3B212"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6C931E2D" w14:textId="5CB9CF71"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Ozbiljan gubitak </w:t>
            </w:r>
            <w:r w:rsidR="003A7195" w:rsidRPr="003A22B9">
              <w:rPr>
                <w:rFonts w:ascii="Times New Roman" w:eastAsia="Times New Roman" w:hAnsi="Times New Roman" w:cs="Times New Roman"/>
                <w:lang w:val="sr-Latn-ME"/>
              </w:rPr>
              <w:t>vida</w:t>
            </w:r>
            <w:r w:rsidR="003A7195">
              <w:rPr>
                <w:rFonts w:ascii="Times New Roman" w:eastAsia="Times New Roman" w:hAnsi="Times New Roman" w:cs="Times New Roman"/>
                <w:vertAlign w:val="superscript"/>
                <w:lang w:val="sr-Latn-ME"/>
              </w:rPr>
              <w:t>6</w:t>
            </w:r>
          </w:p>
        </w:tc>
        <w:tc>
          <w:tcPr>
            <w:tcW w:w="1394" w:type="dxa"/>
            <w:shd w:val="clear" w:color="auto" w:fill="auto"/>
          </w:tcPr>
          <w:p w14:paraId="62F982A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64D1244E" w14:textId="77777777" w:rsidTr="003A7195">
        <w:tc>
          <w:tcPr>
            <w:tcW w:w="1298" w:type="dxa"/>
            <w:shd w:val="clear" w:color="auto" w:fill="auto"/>
          </w:tcPr>
          <w:p w14:paraId="2C35C1E0"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Poremećaji uha i labirinta</w:t>
            </w:r>
          </w:p>
        </w:tc>
        <w:tc>
          <w:tcPr>
            <w:tcW w:w="1391" w:type="dxa"/>
            <w:shd w:val="clear" w:color="auto" w:fill="auto"/>
          </w:tcPr>
          <w:p w14:paraId="255B689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3EC86E3A"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Tinitus, bol u uhu</w:t>
            </w:r>
          </w:p>
        </w:tc>
        <w:tc>
          <w:tcPr>
            <w:tcW w:w="1318" w:type="dxa"/>
            <w:shd w:val="clear" w:color="auto" w:fill="auto"/>
          </w:tcPr>
          <w:p w14:paraId="2A398D33"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7CEAA71B"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51199EE2"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94" w:type="dxa"/>
            <w:shd w:val="clear" w:color="auto" w:fill="auto"/>
          </w:tcPr>
          <w:p w14:paraId="5EF1297A" w14:textId="4E6F9F9A"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Gubitak </w:t>
            </w:r>
            <w:r w:rsidR="003A7195" w:rsidRPr="003A22B9">
              <w:rPr>
                <w:rFonts w:ascii="Times New Roman" w:eastAsia="Times New Roman" w:hAnsi="Times New Roman" w:cs="Times New Roman"/>
                <w:lang w:val="sr-Latn-ME"/>
              </w:rPr>
              <w:t>sluha</w:t>
            </w:r>
            <w:r w:rsidR="003A7195">
              <w:rPr>
                <w:rFonts w:ascii="Times New Roman" w:eastAsia="Times New Roman" w:hAnsi="Times New Roman" w:cs="Times New Roman"/>
                <w:vertAlign w:val="superscript"/>
                <w:lang w:val="sr-Latn-ME"/>
              </w:rPr>
              <w:t>6</w:t>
            </w:r>
          </w:p>
        </w:tc>
      </w:tr>
      <w:tr w:rsidR="003A7195" w:rsidRPr="003A22B9" w14:paraId="4A768C9D" w14:textId="77777777" w:rsidTr="003A7195">
        <w:tc>
          <w:tcPr>
            <w:tcW w:w="1298" w:type="dxa"/>
            <w:shd w:val="clear" w:color="auto" w:fill="auto"/>
          </w:tcPr>
          <w:p w14:paraId="466AAF42"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Kardiološki poremećaji</w:t>
            </w:r>
          </w:p>
        </w:tc>
        <w:tc>
          <w:tcPr>
            <w:tcW w:w="1391" w:type="dxa"/>
            <w:shd w:val="clear" w:color="auto" w:fill="auto"/>
          </w:tcPr>
          <w:p w14:paraId="05D2588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719B4646" w14:textId="5C83A28C"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 Infarkt </w:t>
            </w:r>
            <w:r w:rsidR="003A7195" w:rsidRPr="003A22B9">
              <w:rPr>
                <w:rFonts w:ascii="Times New Roman" w:eastAsia="Times New Roman" w:hAnsi="Times New Roman" w:cs="Times New Roman"/>
                <w:lang w:val="sr-Latn-ME"/>
              </w:rPr>
              <w:t>miokarda</w:t>
            </w:r>
            <w:r w:rsidR="003A7195">
              <w:rPr>
                <w:rFonts w:ascii="Times New Roman" w:eastAsia="Times New Roman" w:hAnsi="Times New Roman" w:cs="Times New Roman"/>
                <w:vertAlign w:val="superscript"/>
                <w:lang w:val="sr-Latn-ME"/>
              </w:rPr>
              <w:t>5</w:t>
            </w:r>
            <w:r w:rsidR="003A7195"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vertAlign w:val="superscript"/>
                <w:lang w:val="sr-Latn-ME"/>
              </w:rPr>
              <w:t xml:space="preserve">i </w:t>
            </w:r>
            <w:r w:rsidR="003A7195">
              <w:rPr>
                <w:rFonts w:ascii="Times New Roman" w:eastAsia="Times New Roman" w:hAnsi="Times New Roman" w:cs="Times New Roman"/>
                <w:vertAlign w:val="superscript"/>
                <w:lang w:val="sr-Latn-ME"/>
              </w:rPr>
              <w:t>7</w:t>
            </w:r>
            <w:r w:rsidRPr="003A22B9">
              <w:rPr>
                <w:rFonts w:ascii="Times New Roman" w:eastAsia="Times New Roman" w:hAnsi="Times New Roman" w:cs="Times New Roman"/>
                <w:lang w:val="sr-Latn-ME"/>
              </w:rPr>
              <w:t xml:space="preserve">, aritmija,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atrijalna fibrilacija, tahikardija,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srčani poremećaji</w:t>
            </w:r>
          </w:p>
        </w:tc>
        <w:tc>
          <w:tcPr>
            <w:tcW w:w="1318" w:type="dxa"/>
            <w:shd w:val="clear" w:color="auto" w:fill="auto"/>
          </w:tcPr>
          <w:p w14:paraId="6CE3E8B5"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Insuficijencija  lijeve komore,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supraventrikularna tahikardija,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ventrikularna tahikardija,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angina,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ishemija miokarda, bradikardija</w:t>
            </w:r>
          </w:p>
        </w:tc>
        <w:tc>
          <w:tcPr>
            <w:tcW w:w="1176" w:type="dxa"/>
            <w:shd w:val="clear" w:color="auto" w:fill="auto"/>
          </w:tcPr>
          <w:p w14:paraId="7E635C9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Teški srčani poreme</w:t>
            </w:r>
          </w:p>
          <w:p w14:paraId="44E30769" w14:textId="13DB746C" w:rsidR="00A75B47" w:rsidRPr="003A22B9" w:rsidRDefault="003A7195"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ćaji</w:t>
            </w:r>
            <w:r>
              <w:rPr>
                <w:rFonts w:ascii="Times New Roman" w:eastAsia="Times New Roman" w:hAnsi="Times New Roman" w:cs="Times New Roman"/>
                <w:vertAlign w:val="superscript"/>
                <w:lang w:val="sr-Latn-ME"/>
              </w:rPr>
              <w:t>5</w:t>
            </w:r>
            <w:r w:rsidRPr="003A22B9">
              <w:rPr>
                <w:rFonts w:ascii="Times New Roman" w:eastAsia="Times New Roman" w:hAnsi="Times New Roman" w:cs="Times New Roman"/>
                <w:vertAlign w:val="superscript"/>
                <w:lang w:val="sr-Latn-ME"/>
              </w:rPr>
              <w:t xml:space="preserve"> </w:t>
            </w:r>
            <w:r w:rsidR="00A75B47" w:rsidRPr="003A22B9">
              <w:rPr>
                <w:rFonts w:ascii="Times New Roman" w:eastAsia="Times New Roman" w:hAnsi="Times New Roman" w:cs="Times New Roman"/>
                <w:vertAlign w:val="superscript"/>
                <w:lang w:val="sr-Latn-ME"/>
              </w:rPr>
              <w:t xml:space="preserve">i </w:t>
            </w:r>
            <w:r>
              <w:rPr>
                <w:rFonts w:ascii="Times New Roman" w:eastAsia="Times New Roman" w:hAnsi="Times New Roman" w:cs="Times New Roman"/>
                <w:vertAlign w:val="superscript"/>
                <w:lang w:val="sr-Latn-ME"/>
              </w:rPr>
              <w:t>7</w:t>
            </w:r>
          </w:p>
        </w:tc>
        <w:tc>
          <w:tcPr>
            <w:tcW w:w="1236" w:type="dxa"/>
            <w:shd w:val="clear" w:color="auto" w:fill="auto"/>
          </w:tcPr>
          <w:p w14:paraId="54A00DC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Srčana insuficijen</w:t>
            </w:r>
          </w:p>
          <w:p w14:paraId="1B3E5654" w14:textId="2662E0A6" w:rsidR="00A75B47" w:rsidRPr="003A22B9" w:rsidRDefault="003A7195"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cija</w:t>
            </w:r>
            <w:r>
              <w:rPr>
                <w:rFonts w:ascii="Times New Roman" w:eastAsia="Times New Roman" w:hAnsi="Times New Roman" w:cs="Times New Roman"/>
                <w:vertAlign w:val="superscript"/>
                <w:lang w:val="sr-Latn-ME"/>
              </w:rPr>
              <w:t>5</w:t>
            </w:r>
            <w:r w:rsidRPr="003A22B9">
              <w:rPr>
                <w:rFonts w:ascii="Times New Roman" w:eastAsia="Times New Roman" w:hAnsi="Times New Roman" w:cs="Times New Roman"/>
                <w:vertAlign w:val="superscript"/>
                <w:lang w:val="sr-Latn-ME"/>
              </w:rPr>
              <w:t xml:space="preserve"> </w:t>
            </w:r>
            <w:r w:rsidR="00A75B47" w:rsidRPr="003A22B9">
              <w:rPr>
                <w:rFonts w:ascii="Times New Roman" w:eastAsia="Times New Roman" w:hAnsi="Times New Roman" w:cs="Times New Roman"/>
                <w:vertAlign w:val="superscript"/>
                <w:lang w:val="sr-Latn-ME"/>
              </w:rPr>
              <w:t xml:space="preserve">i </w:t>
            </w:r>
            <w:r>
              <w:rPr>
                <w:rFonts w:ascii="Times New Roman" w:eastAsia="Times New Roman" w:hAnsi="Times New Roman" w:cs="Times New Roman"/>
                <w:vertAlign w:val="superscript"/>
                <w:lang w:val="sr-Latn-ME"/>
              </w:rPr>
              <w:t>7</w:t>
            </w:r>
          </w:p>
        </w:tc>
        <w:tc>
          <w:tcPr>
            <w:tcW w:w="1394" w:type="dxa"/>
            <w:shd w:val="clear" w:color="auto" w:fill="auto"/>
          </w:tcPr>
          <w:p w14:paraId="41829AB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02EFA499" w14:textId="77777777" w:rsidTr="003A7195">
        <w:tc>
          <w:tcPr>
            <w:tcW w:w="1298" w:type="dxa"/>
            <w:shd w:val="clear" w:color="auto" w:fill="auto"/>
          </w:tcPr>
          <w:p w14:paraId="40FD41F8"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Vaskularni poremećaji</w:t>
            </w:r>
          </w:p>
        </w:tc>
        <w:tc>
          <w:tcPr>
            <w:tcW w:w="1391" w:type="dxa"/>
            <w:shd w:val="clear" w:color="auto" w:fill="auto"/>
          </w:tcPr>
          <w:p w14:paraId="4ED8A641"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686ED950"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Hipertenzija, ortostatska hipotenzija, hipotenzija</w:t>
            </w:r>
          </w:p>
        </w:tc>
        <w:tc>
          <w:tcPr>
            <w:tcW w:w="1318" w:type="dxa"/>
            <w:shd w:val="clear" w:color="auto" w:fill="auto"/>
          </w:tcPr>
          <w:p w14:paraId="7F93B9C2"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614A56AA"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7BEB9617"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Vaskulitis (pretežno kutani), leukocitoklastični vaskulitis</w:t>
            </w:r>
          </w:p>
        </w:tc>
        <w:tc>
          <w:tcPr>
            <w:tcW w:w="1394" w:type="dxa"/>
            <w:shd w:val="clear" w:color="auto" w:fill="auto"/>
          </w:tcPr>
          <w:p w14:paraId="17E9E47F"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5A64F258" w14:textId="77777777" w:rsidTr="003A7195">
        <w:tc>
          <w:tcPr>
            <w:tcW w:w="1298" w:type="dxa"/>
            <w:shd w:val="clear" w:color="auto" w:fill="auto"/>
          </w:tcPr>
          <w:p w14:paraId="3E8A277F"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Respiratorni, torakalni i medijastinalni poremećaji</w:t>
            </w:r>
          </w:p>
        </w:tc>
        <w:tc>
          <w:tcPr>
            <w:tcW w:w="1391" w:type="dxa"/>
            <w:shd w:val="clear" w:color="auto" w:fill="auto"/>
          </w:tcPr>
          <w:p w14:paraId="551A0988"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62EC817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Bronho</w:t>
            </w:r>
          </w:p>
          <w:p w14:paraId="262EC07E" w14:textId="52344855" w:rsidR="00A75B47" w:rsidRPr="003A22B9" w:rsidRDefault="003A7195"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spazam</w:t>
            </w:r>
            <w:r>
              <w:rPr>
                <w:rFonts w:ascii="Times New Roman" w:eastAsia="Times New Roman" w:hAnsi="Times New Roman" w:cs="Times New Roman"/>
                <w:vertAlign w:val="superscript"/>
                <w:lang w:val="sr-Latn-ME"/>
              </w:rPr>
              <w:t>5</w:t>
            </w:r>
            <w:r w:rsidR="00A75B47" w:rsidRPr="003A22B9">
              <w:rPr>
                <w:rFonts w:ascii="Times New Roman" w:eastAsia="Times New Roman" w:hAnsi="Times New Roman" w:cs="Times New Roman"/>
                <w:lang w:val="sr-Latn-ME"/>
              </w:rPr>
              <w:t>, respiratorni poremećaji, bol u grudima, dispneja, pojačan kašalj, rinitis</w:t>
            </w:r>
          </w:p>
        </w:tc>
        <w:tc>
          <w:tcPr>
            <w:tcW w:w="1318" w:type="dxa"/>
            <w:shd w:val="clear" w:color="auto" w:fill="auto"/>
          </w:tcPr>
          <w:p w14:paraId="6A9B5F9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Astma, </w:t>
            </w:r>
            <w:r w:rsidRPr="003A22B9">
              <w:rPr>
                <w:rFonts w:ascii="Times New Roman" w:eastAsia="Times New Roman" w:hAnsi="Times New Roman" w:cs="Times New Roman"/>
                <w:i/>
                <w:lang w:val="sr-Latn-ME"/>
              </w:rPr>
              <w:t>bronhiolitis obliterans</w:t>
            </w:r>
            <w:r w:rsidRPr="003A22B9">
              <w:rPr>
                <w:rFonts w:ascii="Times New Roman" w:eastAsia="Times New Roman" w:hAnsi="Times New Roman" w:cs="Times New Roman"/>
                <w:lang w:val="sr-Latn-ME"/>
              </w:rPr>
              <w:t>, poremećaji pluća, hipoksija</w:t>
            </w:r>
          </w:p>
        </w:tc>
        <w:tc>
          <w:tcPr>
            <w:tcW w:w="1176" w:type="dxa"/>
            <w:shd w:val="clear" w:color="auto" w:fill="auto"/>
          </w:tcPr>
          <w:p w14:paraId="65AEF813" w14:textId="1B8D8EC9"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Intersticijalna bolest </w:t>
            </w:r>
            <w:r w:rsidR="003A7195" w:rsidRPr="003A22B9">
              <w:rPr>
                <w:rFonts w:ascii="Times New Roman" w:eastAsia="Times New Roman" w:hAnsi="Times New Roman" w:cs="Times New Roman"/>
                <w:lang w:val="sr-Latn-ME"/>
              </w:rPr>
              <w:t>pluća</w:t>
            </w:r>
            <w:r w:rsidR="003A7195">
              <w:rPr>
                <w:rFonts w:ascii="Times New Roman" w:eastAsia="Times New Roman" w:hAnsi="Times New Roman" w:cs="Times New Roman"/>
                <w:vertAlign w:val="superscript"/>
                <w:lang w:val="sr-Latn-ME"/>
              </w:rPr>
              <w:t>8</w:t>
            </w:r>
          </w:p>
        </w:tc>
        <w:tc>
          <w:tcPr>
            <w:tcW w:w="1236" w:type="dxa"/>
            <w:shd w:val="clear" w:color="auto" w:fill="auto"/>
          </w:tcPr>
          <w:p w14:paraId="046FD10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Respiratorna insuficijen</w:t>
            </w:r>
          </w:p>
          <w:p w14:paraId="50B321D5" w14:textId="6DE55E80" w:rsidR="00A75B47" w:rsidRPr="003A22B9" w:rsidRDefault="003A7195"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cija</w:t>
            </w:r>
            <w:r>
              <w:rPr>
                <w:rFonts w:ascii="Times New Roman" w:eastAsia="Times New Roman" w:hAnsi="Times New Roman" w:cs="Times New Roman"/>
                <w:vertAlign w:val="superscript"/>
                <w:lang w:val="sr-Latn-ME"/>
              </w:rPr>
              <w:t>5</w:t>
            </w:r>
          </w:p>
        </w:tc>
        <w:tc>
          <w:tcPr>
            <w:tcW w:w="1394" w:type="dxa"/>
            <w:shd w:val="clear" w:color="auto" w:fill="auto"/>
          </w:tcPr>
          <w:p w14:paraId="0325C0E0"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Infiltracija pluća</w:t>
            </w:r>
          </w:p>
        </w:tc>
      </w:tr>
      <w:tr w:rsidR="003A7195" w:rsidRPr="003A22B9" w14:paraId="7A1BBBC9" w14:textId="77777777" w:rsidTr="003A7195">
        <w:tc>
          <w:tcPr>
            <w:tcW w:w="1298" w:type="dxa"/>
            <w:shd w:val="clear" w:color="auto" w:fill="auto"/>
          </w:tcPr>
          <w:p w14:paraId="6DB1F0CF"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Gastrointestinalni poremećaji</w:t>
            </w:r>
          </w:p>
        </w:tc>
        <w:tc>
          <w:tcPr>
            <w:tcW w:w="1391" w:type="dxa"/>
            <w:shd w:val="clear" w:color="auto" w:fill="auto"/>
          </w:tcPr>
          <w:p w14:paraId="5E703A0C"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Mučnina</w:t>
            </w:r>
          </w:p>
        </w:tc>
        <w:tc>
          <w:tcPr>
            <w:tcW w:w="1248" w:type="dxa"/>
            <w:shd w:val="clear" w:color="auto" w:fill="auto"/>
          </w:tcPr>
          <w:p w14:paraId="126FBA2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Povraćanje, dijareja, bol u abdomenu, disfagija, stomatitis, opstipacija, dispepsija, anoreksija, iritacija grla</w:t>
            </w:r>
          </w:p>
        </w:tc>
        <w:tc>
          <w:tcPr>
            <w:tcW w:w="1318" w:type="dxa"/>
            <w:shd w:val="clear" w:color="auto" w:fill="auto"/>
          </w:tcPr>
          <w:p w14:paraId="63450AD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Povećanje abdomena</w:t>
            </w:r>
          </w:p>
        </w:tc>
        <w:tc>
          <w:tcPr>
            <w:tcW w:w="1176" w:type="dxa"/>
            <w:shd w:val="clear" w:color="auto" w:fill="auto"/>
          </w:tcPr>
          <w:p w14:paraId="6ABD9512"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060CD1DF" w14:textId="7C380595"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Gastrointestinalna </w:t>
            </w:r>
            <w:r w:rsidR="003A7195" w:rsidRPr="003A22B9">
              <w:rPr>
                <w:rFonts w:ascii="Times New Roman" w:eastAsia="Times New Roman" w:hAnsi="Times New Roman" w:cs="Times New Roman"/>
                <w:lang w:val="sr-Latn-ME"/>
              </w:rPr>
              <w:t>perforacija</w:t>
            </w:r>
            <w:r w:rsidR="003A7195">
              <w:rPr>
                <w:rFonts w:ascii="Times New Roman" w:eastAsia="Times New Roman" w:hAnsi="Times New Roman" w:cs="Times New Roman"/>
                <w:vertAlign w:val="superscript"/>
                <w:lang w:val="sr-Latn-ME"/>
              </w:rPr>
              <w:t>8</w:t>
            </w:r>
          </w:p>
        </w:tc>
        <w:tc>
          <w:tcPr>
            <w:tcW w:w="1394" w:type="dxa"/>
            <w:shd w:val="clear" w:color="auto" w:fill="auto"/>
          </w:tcPr>
          <w:p w14:paraId="34DC14E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3D835544" w14:textId="77777777" w:rsidTr="003A7195">
        <w:tc>
          <w:tcPr>
            <w:tcW w:w="1298" w:type="dxa"/>
            <w:shd w:val="clear" w:color="auto" w:fill="auto"/>
          </w:tcPr>
          <w:p w14:paraId="14FFF93F"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Poremećaji kože i potkožnog tkiva</w:t>
            </w:r>
          </w:p>
        </w:tc>
        <w:tc>
          <w:tcPr>
            <w:tcW w:w="1391" w:type="dxa"/>
            <w:shd w:val="clear" w:color="auto" w:fill="auto"/>
          </w:tcPr>
          <w:p w14:paraId="3B0996AA"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Svrab, osip,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alopecija</w:t>
            </w:r>
          </w:p>
        </w:tc>
        <w:tc>
          <w:tcPr>
            <w:tcW w:w="1248" w:type="dxa"/>
            <w:shd w:val="clear" w:color="auto" w:fill="auto"/>
          </w:tcPr>
          <w:p w14:paraId="79E5DB1C"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Urtikarija, znojenje, noćno znojenje, </w:t>
            </w: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poremećaj kože</w:t>
            </w:r>
          </w:p>
        </w:tc>
        <w:tc>
          <w:tcPr>
            <w:tcW w:w="1318" w:type="dxa"/>
            <w:shd w:val="clear" w:color="auto" w:fill="auto"/>
          </w:tcPr>
          <w:p w14:paraId="0213BBD5"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4A199B31"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53638536" w14:textId="0C3B22DD"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 xml:space="preserve">Teške bulozne kožne reakcije, Stivens-Džonsonov sindrom, </w:t>
            </w:r>
            <w:r w:rsidRPr="003A22B9">
              <w:rPr>
                <w:rFonts w:ascii="Times New Roman" w:eastAsia="Times New Roman" w:hAnsi="Times New Roman" w:cs="Times New Roman"/>
                <w:lang w:val="sr-Latn-ME"/>
              </w:rPr>
              <w:lastRenderedPageBreak/>
              <w:t>toksična epidermalna nekroliza (Lielov sindrom)</w:t>
            </w:r>
            <w:r w:rsidR="003A7195">
              <w:rPr>
                <w:rFonts w:ascii="Times New Roman" w:eastAsia="Times New Roman" w:hAnsi="Times New Roman" w:cs="Times New Roman"/>
                <w:vertAlign w:val="superscript"/>
                <w:lang w:val="sr-Latn-ME"/>
              </w:rPr>
              <w:t>8</w:t>
            </w:r>
          </w:p>
        </w:tc>
        <w:tc>
          <w:tcPr>
            <w:tcW w:w="1394" w:type="dxa"/>
            <w:shd w:val="clear" w:color="auto" w:fill="auto"/>
          </w:tcPr>
          <w:p w14:paraId="2BFA545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41276856" w14:textId="77777777" w:rsidTr="003A7195">
        <w:tc>
          <w:tcPr>
            <w:tcW w:w="1298" w:type="dxa"/>
            <w:shd w:val="clear" w:color="auto" w:fill="auto"/>
          </w:tcPr>
          <w:p w14:paraId="726AF79A"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lastRenderedPageBreak/>
              <w:t>Poremećaji mišićno-koštanog sistema i vezivnog tkiva</w:t>
            </w:r>
          </w:p>
        </w:tc>
        <w:tc>
          <w:tcPr>
            <w:tcW w:w="1391" w:type="dxa"/>
            <w:shd w:val="clear" w:color="auto" w:fill="auto"/>
          </w:tcPr>
          <w:p w14:paraId="0CA9D05A"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69AAB47B"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Hipertonija, mialgija, artralgija, bol u leđima, bol u vratu, bol</w:t>
            </w:r>
          </w:p>
        </w:tc>
        <w:tc>
          <w:tcPr>
            <w:tcW w:w="1318" w:type="dxa"/>
            <w:shd w:val="clear" w:color="auto" w:fill="auto"/>
          </w:tcPr>
          <w:p w14:paraId="54DABDD5"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66B1647A"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3E687CD4"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94" w:type="dxa"/>
            <w:shd w:val="clear" w:color="auto" w:fill="auto"/>
          </w:tcPr>
          <w:p w14:paraId="4989A90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7712A19B" w14:textId="77777777" w:rsidTr="003A7195">
        <w:tc>
          <w:tcPr>
            <w:tcW w:w="1298" w:type="dxa"/>
            <w:shd w:val="clear" w:color="auto" w:fill="auto"/>
          </w:tcPr>
          <w:p w14:paraId="1FDA7473"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Poremećaji bubrega i urinarnog sistema</w:t>
            </w:r>
          </w:p>
        </w:tc>
        <w:tc>
          <w:tcPr>
            <w:tcW w:w="1391" w:type="dxa"/>
            <w:shd w:val="clear" w:color="auto" w:fill="auto"/>
          </w:tcPr>
          <w:p w14:paraId="1AB22504"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48" w:type="dxa"/>
            <w:shd w:val="clear" w:color="auto" w:fill="auto"/>
          </w:tcPr>
          <w:p w14:paraId="3F42B7A3"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18" w:type="dxa"/>
            <w:shd w:val="clear" w:color="auto" w:fill="auto"/>
          </w:tcPr>
          <w:p w14:paraId="7D8BAFFE"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72EBA3EC"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54FC904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Bubrežna insuficijen</w:t>
            </w:r>
          </w:p>
          <w:p w14:paraId="783854F3" w14:textId="6731B6F6" w:rsidR="00A75B47" w:rsidRPr="003A22B9" w:rsidRDefault="003A7195"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cija</w:t>
            </w:r>
            <w:r>
              <w:rPr>
                <w:rFonts w:ascii="Times New Roman" w:eastAsia="Times New Roman" w:hAnsi="Times New Roman" w:cs="Times New Roman"/>
                <w:vertAlign w:val="superscript"/>
                <w:lang w:val="sr-Latn-ME"/>
              </w:rPr>
              <w:t>5</w:t>
            </w:r>
          </w:p>
        </w:tc>
        <w:tc>
          <w:tcPr>
            <w:tcW w:w="1394" w:type="dxa"/>
            <w:shd w:val="clear" w:color="auto" w:fill="auto"/>
          </w:tcPr>
          <w:p w14:paraId="241FE7F7"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34B7F26D" w14:textId="77777777" w:rsidTr="003A7195">
        <w:tc>
          <w:tcPr>
            <w:tcW w:w="1298" w:type="dxa"/>
            <w:shd w:val="clear" w:color="auto" w:fill="auto"/>
          </w:tcPr>
          <w:p w14:paraId="20CE9DF6"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Opšti poremećaji i reakcije na mjestu primjene</w:t>
            </w:r>
          </w:p>
        </w:tc>
        <w:tc>
          <w:tcPr>
            <w:tcW w:w="1391" w:type="dxa"/>
            <w:shd w:val="clear" w:color="auto" w:fill="auto"/>
          </w:tcPr>
          <w:p w14:paraId="318EBA83"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Groznica, jeza, astenija, glavobolja</w:t>
            </w:r>
          </w:p>
        </w:tc>
        <w:tc>
          <w:tcPr>
            <w:tcW w:w="1248" w:type="dxa"/>
            <w:shd w:val="clear" w:color="auto" w:fill="auto"/>
          </w:tcPr>
          <w:p w14:paraId="4B960CC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Tumorski bol, crvenilo uz osjećaj vrućine, opšta slabost, sindrom sličan prehladi, </w:t>
            </w:r>
          </w:p>
          <w:p w14:paraId="567427C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 umor, </w:t>
            </w:r>
          </w:p>
          <w:p w14:paraId="4127953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 xml:space="preserve">+ </w:t>
            </w:r>
            <w:r w:rsidRPr="003A22B9">
              <w:rPr>
                <w:rFonts w:ascii="Times New Roman" w:eastAsia="Times New Roman" w:hAnsi="Times New Roman" w:cs="Times New Roman"/>
                <w:lang w:val="sr-Latn-ME"/>
              </w:rPr>
              <w:t xml:space="preserve">drhtavica, </w:t>
            </w:r>
          </w:p>
          <w:p w14:paraId="26949CED" w14:textId="619FD952"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vertAlign w:val="superscript"/>
                <w:lang w:val="sr-Latn-ME"/>
              </w:rPr>
              <w:t>+</w:t>
            </w:r>
            <w:r w:rsidRPr="003A22B9">
              <w:rPr>
                <w:rFonts w:ascii="Times New Roman" w:eastAsia="Times New Roman" w:hAnsi="Times New Roman" w:cs="Times New Roman"/>
                <w:lang w:val="sr-Latn-ME"/>
              </w:rPr>
              <w:t xml:space="preserve">insuficijencija više </w:t>
            </w:r>
            <w:r w:rsidR="003A7195" w:rsidRPr="003A22B9">
              <w:rPr>
                <w:rFonts w:ascii="Times New Roman" w:eastAsia="Times New Roman" w:hAnsi="Times New Roman" w:cs="Times New Roman"/>
                <w:lang w:val="sr-Latn-ME"/>
              </w:rPr>
              <w:t>organa</w:t>
            </w:r>
            <w:r w:rsidR="003A7195">
              <w:rPr>
                <w:rFonts w:ascii="Times New Roman" w:eastAsia="Times New Roman" w:hAnsi="Times New Roman" w:cs="Times New Roman"/>
                <w:vertAlign w:val="superscript"/>
                <w:lang w:val="sr-Latn-ME"/>
              </w:rPr>
              <w:t>5</w:t>
            </w:r>
          </w:p>
        </w:tc>
        <w:tc>
          <w:tcPr>
            <w:tcW w:w="1318" w:type="dxa"/>
            <w:shd w:val="clear" w:color="auto" w:fill="auto"/>
          </w:tcPr>
          <w:p w14:paraId="2E54F52F"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Bol na mjestu primjene infuzije</w:t>
            </w:r>
          </w:p>
        </w:tc>
        <w:tc>
          <w:tcPr>
            <w:tcW w:w="1176" w:type="dxa"/>
            <w:shd w:val="clear" w:color="auto" w:fill="auto"/>
          </w:tcPr>
          <w:p w14:paraId="0C4ED1B0"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46CEF699"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94" w:type="dxa"/>
            <w:shd w:val="clear" w:color="auto" w:fill="auto"/>
          </w:tcPr>
          <w:p w14:paraId="0CD72520"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3A7195" w:rsidRPr="003A22B9" w14:paraId="48DEF266" w14:textId="77777777" w:rsidTr="003A7195">
        <w:tc>
          <w:tcPr>
            <w:tcW w:w="1298" w:type="dxa"/>
            <w:shd w:val="clear" w:color="auto" w:fill="auto"/>
          </w:tcPr>
          <w:p w14:paraId="0FDC031C" w14:textId="77777777" w:rsidR="00A75B47" w:rsidRPr="003A22B9" w:rsidRDefault="00A75B47" w:rsidP="00A75B47">
            <w:pPr>
              <w:spacing w:after="0" w:line="240" w:lineRule="auto"/>
              <w:jc w:val="both"/>
              <w:rPr>
                <w:rFonts w:ascii="Times New Roman" w:eastAsia="Times New Roman" w:hAnsi="Times New Roman" w:cs="Times New Roman"/>
                <w:b/>
                <w:i/>
                <w:noProof/>
                <w:lang w:val="sr-Latn-ME"/>
              </w:rPr>
            </w:pPr>
            <w:r w:rsidRPr="003A22B9">
              <w:rPr>
                <w:rFonts w:ascii="Times New Roman" w:eastAsia="Times New Roman" w:hAnsi="Times New Roman" w:cs="Times New Roman"/>
                <w:b/>
                <w:lang w:val="sr-Latn-ME"/>
              </w:rPr>
              <w:t>Ispitivanja</w:t>
            </w:r>
          </w:p>
        </w:tc>
        <w:tc>
          <w:tcPr>
            <w:tcW w:w="1391" w:type="dxa"/>
            <w:shd w:val="clear" w:color="auto" w:fill="auto"/>
          </w:tcPr>
          <w:p w14:paraId="067015E7"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r w:rsidRPr="003A22B9">
              <w:rPr>
                <w:rFonts w:ascii="Times New Roman" w:eastAsia="Times New Roman" w:hAnsi="Times New Roman" w:cs="Times New Roman"/>
                <w:lang w:val="sr-Latn-ME"/>
              </w:rPr>
              <w:t>Smanjenje nivoa IgG</w:t>
            </w:r>
          </w:p>
        </w:tc>
        <w:tc>
          <w:tcPr>
            <w:tcW w:w="1248" w:type="dxa"/>
            <w:shd w:val="clear" w:color="auto" w:fill="auto"/>
          </w:tcPr>
          <w:p w14:paraId="1504F26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18" w:type="dxa"/>
            <w:shd w:val="clear" w:color="auto" w:fill="auto"/>
          </w:tcPr>
          <w:p w14:paraId="79D3DE5C"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176" w:type="dxa"/>
            <w:shd w:val="clear" w:color="auto" w:fill="auto"/>
          </w:tcPr>
          <w:p w14:paraId="50066F2D"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236" w:type="dxa"/>
            <w:shd w:val="clear" w:color="auto" w:fill="auto"/>
          </w:tcPr>
          <w:p w14:paraId="21E3DFA6"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c>
          <w:tcPr>
            <w:tcW w:w="1394" w:type="dxa"/>
            <w:shd w:val="clear" w:color="auto" w:fill="auto"/>
          </w:tcPr>
          <w:p w14:paraId="3E07B607"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tc>
      </w:tr>
      <w:tr w:rsidR="00A75B47" w:rsidRPr="003A22B9" w14:paraId="53E57D46" w14:textId="77777777" w:rsidTr="00B7374A">
        <w:tc>
          <w:tcPr>
            <w:tcW w:w="9061" w:type="dxa"/>
            <w:gridSpan w:val="7"/>
            <w:shd w:val="clear" w:color="auto" w:fill="auto"/>
          </w:tcPr>
          <w:p w14:paraId="2C06145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Za svako stanje, navedena učestalost zasnovana je na reakcijama svih stepena ozbiljnosti (od blagih do teških), osim kod stanja označenih znakom „+“, kod kojih je učestalost zasnovana samo na teškim reakcijama (≥ 3 stepena prema opštim kriterijumima toksičnosti NCI -Nacionalnog instituta za rak). Prijavljena je samo najveća učestalost primijećena tokom ispitivanja. </w:t>
            </w:r>
          </w:p>
          <w:p w14:paraId="00461210" w14:textId="710715C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1</w:t>
            </w:r>
            <w:r w:rsidRPr="003A22B9">
              <w:rPr>
                <w:rFonts w:ascii="Times New Roman" w:eastAsia="Times New Roman" w:hAnsi="Times New Roman" w:cs="Times New Roman"/>
                <w:lang w:val="sr-Latn-ME"/>
              </w:rPr>
              <w:t xml:space="preserve"> uključuje reaktivaciju i primarne infekcije; učestalost zasnovana na R-FC terapijskom režimu kod pacijenata sa relaps</w:t>
            </w:r>
            <w:r w:rsidR="00651061" w:rsidRPr="003A22B9">
              <w:rPr>
                <w:rFonts w:ascii="Times New Roman" w:eastAsia="Times New Roman" w:hAnsi="Times New Roman" w:cs="Times New Roman"/>
                <w:lang w:val="sr-Latn-ME"/>
              </w:rPr>
              <w:t>nom</w:t>
            </w:r>
            <w:r w:rsidRPr="003A22B9">
              <w:rPr>
                <w:rFonts w:ascii="Times New Roman" w:eastAsia="Times New Roman" w:hAnsi="Times New Roman" w:cs="Times New Roman"/>
                <w:lang w:val="sr-Latn-ME"/>
              </w:rPr>
              <w:t>/refraktorn</w:t>
            </w:r>
            <w:r w:rsidR="00651061" w:rsidRPr="003A22B9">
              <w:rPr>
                <w:rFonts w:ascii="Times New Roman" w:eastAsia="Times New Roman" w:hAnsi="Times New Roman" w:cs="Times New Roman"/>
                <w:lang w:val="sr-Latn-ME"/>
              </w:rPr>
              <w:t xml:space="preserve">o </w:t>
            </w:r>
            <w:r w:rsidRPr="003A22B9">
              <w:rPr>
                <w:rFonts w:ascii="Times New Roman" w:eastAsia="Times New Roman" w:hAnsi="Times New Roman" w:cs="Times New Roman"/>
                <w:lang w:val="sr-Latn-ME"/>
              </w:rPr>
              <w:t>m HLL</w:t>
            </w:r>
          </w:p>
          <w:p w14:paraId="5676FDAE" w14:textId="4C60FF85" w:rsidR="000932A1"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vidjeti takođe dio </w:t>
            </w:r>
            <w:r w:rsidRPr="003A22B9">
              <w:rPr>
                <w:rFonts w:ascii="Times New Roman" w:eastAsia="Times New Roman" w:hAnsi="Times New Roman" w:cs="Times New Roman"/>
                <w:i/>
                <w:lang w:val="sr-Latn-ME"/>
              </w:rPr>
              <w:t>Infekcije</w:t>
            </w:r>
            <w:r w:rsidRPr="003A22B9">
              <w:rPr>
                <w:rFonts w:ascii="Times New Roman" w:eastAsia="Times New Roman" w:hAnsi="Times New Roman" w:cs="Times New Roman"/>
                <w:lang w:val="sr-Latn-ME"/>
              </w:rPr>
              <w:t xml:space="preserve"> u daljem tekstu. </w:t>
            </w:r>
          </w:p>
          <w:p w14:paraId="41D85C56" w14:textId="7E85FB63" w:rsidR="003A7195" w:rsidRPr="00B7374A" w:rsidRDefault="003A7195" w:rsidP="00A75B47">
            <w:pPr>
              <w:spacing w:after="0" w:line="240" w:lineRule="auto"/>
              <w:jc w:val="both"/>
              <w:rPr>
                <w:rFonts w:ascii="Times New Roman" w:eastAsia="Times New Roman" w:hAnsi="Times New Roman" w:cs="Times New Roman"/>
                <w:vertAlign w:val="superscript"/>
                <w:lang w:val="sr-Latn-ME"/>
              </w:rPr>
            </w:pPr>
            <w:r>
              <w:rPr>
                <w:rFonts w:ascii="Times New Roman" w:eastAsia="Times New Roman" w:hAnsi="Times New Roman" w:cs="Times New Roman"/>
                <w:vertAlign w:val="superscript"/>
                <w:lang w:val="sr-Latn-ME"/>
              </w:rPr>
              <w:t>3</w:t>
            </w:r>
            <w:r>
              <w:t xml:space="preserve"> </w:t>
            </w:r>
            <w:r w:rsidRPr="00B7374A">
              <w:rPr>
                <w:rFonts w:ascii="Times New Roman" w:eastAsia="Times New Roman" w:hAnsi="Times New Roman" w:cs="Times New Roman"/>
                <w:lang w:val="sr-Latn-ME"/>
              </w:rPr>
              <w:t>primećeno tokom post-maretinškog praćena</w:t>
            </w:r>
          </w:p>
          <w:p w14:paraId="0FA06827" w14:textId="2BF3AE3A" w:rsidR="00A75B47"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4</w:t>
            </w:r>
            <w:r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 xml:space="preserve">vidjeti takođe dio </w:t>
            </w:r>
            <w:r w:rsidR="00A75B47" w:rsidRPr="003A22B9">
              <w:rPr>
                <w:rFonts w:ascii="Times New Roman" w:eastAsia="Times New Roman" w:hAnsi="Times New Roman" w:cs="Times New Roman"/>
                <w:i/>
                <w:lang w:val="sr-Latn-ME"/>
              </w:rPr>
              <w:t>Hematološke neželjene reakcije</w:t>
            </w:r>
            <w:r w:rsidR="00A75B47" w:rsidRPr="003A22B9">
              <w:rPr>
                <w:rFonts w:ascii="Times New Roman" w:eastAsia="Times New Roman" w:hAnsi="Times New Roman" w:cs="Times New Roman"/>
                <w:lang w:val="sr-Latn-ME"/>
              </w:rPr>
              <w:t xml:space="preserve"> u u daljem tekstu. </w:t>
            </w:r>
          </w:p>
          <w:p w14:paraId="17C85093" w14:textId="5DF57716" w:rsidR="00A75B47"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5</w:t>
            </w:r>
            <w:r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 xml:space="preserve">vidjeti takođe dio </w:t>
            </w:r>
            <w:r w:rsidR="00A75B47" w:rsidRPr="003A22B9">
              <w:rPr>
                <w:rFonts w:ascii="Times New Roman" w:eastAsia="Times New Roman" w:hAnsi="Times New Roman" w:cs="Times New Roman"/>
                <w:i/>
                <w:lang w:val="sr-Latn-ME"/>
              </w:rPr>
              <w:t>Reakcije na infuziju</w:t>
            </w:r>
            <w:r w:rsidR="00A75B47" w:rsidRPr="003A22B9">
              <w:rPr>
                <w:rFonts w:ascii="Times New Roman" w:eastAsia="Times New Roman" w:hAnsi="Times New Roman" w:cs="Times New Roman"/>
                <w:lang w:val="sr-Latn-ME"/>
              </w:rPr>
              <w:t xml:space="preserve"> u daljem tekstu. Rijetko su prijavljeni slučajevi sa smrtnim ishodom. </w:t>
            </w:r>
          </w:p>
          <w:p w14:paraId="7AC7D7EA" w14:textId="1E682E2E" w:rsidR="00A75B47"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6</w:t>
            </w:r>
            <w:r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 xml:space="preserve">znaci i simptomi kranijalne neuropatije. Javljaju se u različito vrijeme i do nekoliko mjeseci nakon završetka terapije rituksimabom. </w:t>
            </w:r>
          </w:p>
          <w:p w14:paraId="5FB314E8" w14:textId="792A8F13" w:rsidR="00A75B47"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7</w:t>
            </w:r>
            <w:r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 xml:space="preserve">primijećeni uglavnom kod pacijenata sa prethodnim srčanim poremećajima i/ili kardiotoksičnom hemioterapijom i uglavnom su bili povezani sa reakcijama na infuziju. </w:t>
            </w:r>
          </w:p>
          <w:p w14:paraId="7435ED82" w14:textId="09761497" w:rsidR="00A75B47" w:rsidRPr="003A22B9" w:rsidRDefault="000932A1" w:rsidP="00A75B47">
            <w:pPr>
              <w:spacing w:after="0" w:line="240" w:lineRule="auto"/>
              <w:jc w:val="both"/>
              <w:rPr>
                <w:rFonts w:ascii="Times New Roman" w:eastAsia="Times New Roman" w:hAnsi="Times New Roman" w:cs="Times New Roman"/>
                <w:i/>
                <w:noProof/>
                <w:lang w:val="sr-Latn-ME"/>
              </w:rPr>
            </w:pPr>
            <w:r>
              <w:rPr>
                <w:rFonts w:ascii="Times New Roman" w:eastAsia="Times New Roman" w:hAnsi="Times New Roman" w:cs="Times New Roman"/>
                <w:vertAlign w:val="superscript"/>
                <w:lang w:val="sr-Latn-ME"/>
              </w:rPr>
              <w:t>8</w:t>
            </w:r>
            <w:r w:rsidRPr="003A22B9">
              <w:rPr>
                <w:rFonts w:ascii="Times New Roman" w:eastAsia="Times New Roman" w:hAnsi="Times New Roman" w:cs="Times New Roman"/>
                <w:lang w:val="sr-Latn-ME"/>
              </w:rPr>
              <w:t xml:space="preserve"> </w:t>
            </w:r>
            <w:r w:rsidR="00A75B47" w:rsidRPr="003A22B9">
              <w:rPr>
                <w:rFonts w:ascii="Times New Roman" w:eastAsia="Times New Roman" w:hAnsi="Times New Roman" w:cs="Times New Roman"/>
                <w:lang w:val="sr-Latn-ME"/>
              </w:rPr>
              <w:t>uključuju i slučajeve sa smrtnim ishodom.</w:t>
            </w:r>
          </w:p>
        </w:tc>
      </w:tr>
    </w:tbl>
    <w:p w14:paraId="2603D9BF" w14:textId="77777777" w:rsidR="00A75B47" w:rsidRPr="003A22B9" w:rsidRDefault="00A75B47" w:rsidP="00A75B47">
      <w:pPr>
        <w:spacing w:after="0" w:line="240" w:lineRule="auto"/>
        <w:jc w:val="both"/>
        <w:rPr>
          <w:rFonts w:ascii="Times New Roman" w:eastAsia="Times New Roman" w:hAnsi="Times New Roman" w:cs="Times New Roman"/>
          <w:i/>
          <w:noProof/>
          <w:lang w:val="sr-Latn-ME"/>
        </w:rPr>
      </w:pPr>
    </w:p>
    <w:p w14:paraId="7CC53CC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Sljedeća stanja prijavljena su kao neželjeni događaji tokom kliničkih studija, ali su bili prijavljeni sa sličnom ili nižom incidencom u grupi pacijenata na terapiji rituksimabom u poređenju sa kontrolnom grupom: hematotoksičnost, neutropenijske infekcije, infekcije urinarnog trakta, senzorni poremećaji, pireksija. </w:t>
      </w:r>
    </w:p>
    <w:p w14:paraId="35B916E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7974ED8" w14:textId="77777777" w:rsidR="00651061"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Znaci i simptomi koji ukazuju na pojavu reakcije vezane za infuziju zabilježeni su kod više od 50% pacijenata u kliničkim studijama, i uglavnom su se pojavljivali tokom prve infuzije, i to obično u prvom </w:t>
      </w:r>
      <w:r w:rsidRPr="003A22B9">
        <w:rPr>
          <w:rFonts w:ascii="Times New Roman" w:eastAsia="Times New Roman" w:hAnsi="Times New Roman" w:cs="Times New Roman"/>
          <w:lang w:val="sr-Latn-ME"/>
        </w:rPr>
        <w:lastRenderedPageBreak/>
        <w:t xml:space="preserve">satu ili prva dva sata. Ovi simptomi su uglavnom uključivali groznicu, jezu i drhtavicu. U ostale simptome spadaju: crvenilo uz osjećaj vrućine, angioedem, bronhospazam, povraćanje, mučnina, urtikarija/osip, umor, glavobolja, iritacija grla, rinitis, pruritus, bol, tahikardija, hipertenzija, hipotenzija, dispnea, dispepsija, astenija i karakteristike sindroma lize tumora. Teške reakcije na infuziju (kao što su bronhospazam i hipotenzija) javili su se u do 12% slučajeva. </w:t>
      </w:r>
    </w:p>
    <w:p w14:paraId="032330FC" w14:textId="77777777" w:rsidR="009F367A"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Reakcije koje su još bile prijavljene u nekim slučajevima bile su infarkt miokarda, atrijalna fibrilacija, plućni edem i akutna reverzibilna trombocitopenija. Egzacerbacije ranijih kardioloških događaja kao što su angina pektoris ili kongestivna srčana insuficijencija ili teški kardiološki poremećaji (srčana insuficijencija, infarkt miokarda, atrijalna fibrilacija), edem pluća, multiorganska insuficijencija, sindrom lize tumora, sindrom oslobađanja citokina, bubrežna insuficijencija i respiratorna insuficijencija, prijavljene su sa manjom ili nepoznatom učestalošću. </w:t>
      </w:r>
    </w:p>
    <w:p w14:paraId="18AF69F7" w14:textId="301DD28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Incidenca simptoma vezanih za infuziju značajno se smanjuje sa primjenom narednih infuzija i iznosi &lt; 1% pacijenata pri primjeni osmog ciklusa terapije koja sadrži rituksimab.</w:t>
      </w:r>
    </w:p>
    <w:p w14:paraId="1C80F35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A04E6F7"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Opis odabranih neželjenih reakcija</w:t>
      </w:r>
    </w:p>
    <w:p w14:paraId="491D63B4"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p>
    <w:p w14:paraId="0786BF4B"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Infekcije </w:t>
      </w:r>
    </w:p>
    <w:p w14:paraId="57655DF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Rituksimab je indukovao depleciju B ćelija kod 70% - 80% pacijenata, ali je ovo bilo praćeno smanjenim nivoima imunoglobulina u serumu samo kod manjeg broja pacijenata.</w:t>
      </w:r>
    </w:p>
    <w:p w14:paraId="66D3802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5E251FF" w14:textId="4094815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Lokalizovana infekcija kandidom, kao i Herpes zoster prijavljeni su sa većom incidencom u grupi pacijenata koja je primala rituksimab u randomizovanim studijama.</w:t>
      </w:r>
      <w:r w:rsidR="00986943"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Teške infekcije prijavljene su kod oko 4% pacijenata liječenih rituksimabom kao monoterapijom. Veća učestalost svih infekcija, uključujući i infekcije stepena 3 ili 4, zabilježene su prilikom primjene rituksimaba u terapiji održavanja do dvije godine, u poređenju sa kontrolnom grupom. Nije bilo kumulativne toksičnosti zbog infekcija tokom dvogodišnjeg perioda terapije. Štaviše, druge ozbiljne virusne infekcije, bilo nove, reaktivirane ili pogoršane, od kojih su neke bile fatalne, prijavljene su tokom terapije rituksimabom. Većina pacijenata dobijala je rituksimab u kombinaciji sa hemioterapijom ili kao dio terapije pri transplantaciji hematopoetskih matičnih ćelija. Primjeri ovih ozbiljnih virusnih infekcija su infekcije uzrokovane herpes virusima (</w:t>
      </w:r>
      <w:r w:rsidRPr="003A22B9">
        <w:rPr>
          <w:rFonts w:ascii="Times New Roman" w:eastAsia="Times New Roman" w:hAnsi="Times New Roman" w:cs="Times New Roman"/>
          <w:i/>
          <w:lang w:val="sr-Latn-ME"/>
        </w:rPr>
        <w:t xml:space="preserve">Cytomegalovirus, Varicella </w:t>
      </w:r>
      <w:r w:rsidR="00F77F2E" w:rsidRPr="003A22B9">
        <w:rPr>
          <w:rFonts w:ascii="Times New Roman" w:eastAsia="Times New Roman" w:hAnsi="Times New Roman" w:cs="Times New Roman"/>
          <w:i/>
          <w:lang w:val="sr-Latn-ME"/>
        </w:rPr>
        <w:t>z</w:t>
      </w:r>
      <w:r w:rsidRPr="003A22B9">
        <w:rPr>
          <w:rFonts w:ascii="Times New Roman" w:eastAsia="Times New Roman" w:hAnsi="Times New Roman" w:cs="Times New Roman"/>
          <w:i/>
          <w:lang w:val="sr-Latn-ME"/>
        </w:rPr>
        <w:t xml:space="preserve">oster </w:t>
      </w:r>
      <w:r w:rsidR="00F77F2E" w:rsidRPr="003A22B9">
        <w:rPr>
          <w:rFonts w:ascii="Times New Roman" w:eastAsia="Times New Roman" w:hAnsi="Times New Roman" w:cs="Times New Roman"/>
          <w:i/>
          <w:lang w:val="sr-Latn-ME"/>
        </w:rPr>
        <w:t>v</w:t>
      </w:r>
      <w:r w:rsidRPr="003A22B9">
        <w:rPr>
          <w:rFonts w:ascii="Times New Roman" w:eastAsia="Times New Roman" w:hAnsi="Times New Roman" w:cs="Times New Roman"/>
          <w:i/>
          <w:lang w:val="sr-Latn-ME"/>
        </w:rPr>
        <w:t xml:space="preserve">irus i Herpes </w:t>
      </w:r>
      <w:r w:rsidR="00F77F2E" w:rsidRPr="003A22B9">
        <w:rPr>
          <w:rFonts w:ascii="Times New Roman" w:eastAsia="Times New Roman" w:hAnsi="Times New Roman" w:cs="Times New Roman"/>
          <w:i/>
          <w:lang w:val="sr-Latn-ME"/>
        </w:rPr>
        <w:t>s</w:t>
      </w:r>
      <w:r w:rsidRPr="003A22B9">
        <w:rPr>
          <w:rFonts w:ascii="Times New Roman" w:eastAsia="Times New Roman" w:hAnsi="Times New Roman" w:cs="Times New Roman"/>
          <w:i/>
          <w:lang w:val="sr-Latn-ME"/>
        </w:rPr>
        <w:t xml:space="preserve">implex </w:t>
      </w:r>
      <w:r w:rsidR="00F77F2E" w:rsidRPr="003A22B9">
        <w:rPr>
          <w:rFonts w:ascii="Times New Roman" w:eastAsia="Times New Roman" w:hAnsi="Times New Roman" w:cs="Times New Roman"/>
          <w:i/>
          <w:lang w:val="sr-Latn-ME"/>
        </w:rPr>
        <w:t>v</w:t>
      </w:r>
      <w:r w:rsidRPr="003A22B9">
        <w:rPr>
          <w:rFonts w:ascii="Times New Roman" w:eastAsia="Times New Roman" w:hAnsi="Times New Roman" w:cs="Times New Roman"/>
          <w:i/>
          <w:lang w:val="sr-Latn-ME"/>
        </w:rPr>
        <w:t>irus</w:t>
      </w:r>
      <w:r w:rsidRPr="003A22B9">
        <w:rPr>
          <w:rFonts w:ascii="Times New Roman" w:eastAsia="Times New Roman" w:hAnsi="Times New Roman" w:cs="Times New Roman"/>
          <w:lang w:val="sr-Latn-ME"/>
        </w:rPr>
        <w:t xml:space="preserve">), </w:t>
      </w:r>
      <w:r w:rsidRPr="001C3C2B">
        <w:rPr>
          <w:rFonts w:ascii="Times New Roman" w:eastAsia="Times New Roman" w:hAnsi="Times New Roman" w:cs="Times New Roman"/>
          <w:i/>
          <w:lang w:val="sr-Latn-ME"/>
        </w:rPr>
        <w:t>JC virusom</w:t>
      </w:r>
      <w:r w:rsidRPr="003A22B9">
        <w:rPr>
          <w:rFonts w:ascii="Times New Roman" w:eastAsia="Times New Roman" w:hAnsi="Times New Roman" w:cs="Times New Roman"/>
          <w:lang w:val="sr-Latn-ME"/>
        </w:rPr>
        <w:t xml:space="preserve"> (progresivna multifokalna leukoencefalopatija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w:t>
      </w:r>
      <w:r w:rsidR="000932A1" w:rsidRPr="000932A1">
        <w:t xml:space="preserve"> </w:t>
      </w:r>
      <w:r w:rsidR="000932A1" w:rsidRPr="000932A1">
        <w:rPr>
          <w:rFonts w:ascii="Times New Roman" w:eastAsia="Times New Roman" w:hAnsi="Times New Roman" w:cs="Times New Roman"/>
          <w:lang w:val="sr-Latn-ME"/>
        </w:rPr>
        <w:t>enterovirus (meningoencefalitis)</w:t>
      </w:r>
      <w:r w:rsidRPr="003A22B9">
        <w:rPr>
          <w:rFonts w:ascii="Times New Roman" w:eastAsia="Times New Roman" w:hAnsi="Times New Roman" w:cs="Times New Roman"/>
          <w:lang w:val="sr-Latn-ME"/>
        </w:rPr>
        <w:t xml:space="preserve"> i hepatitis C virusom</w:t>
      </w:r>
      <w:r w:rsidR="000932A1">
        <w:rPr>
          <w:rFonts w:ascii="Times New Roman" w:eastAsia="Times New Roman" w:hAnsi="Times New Roman" w:cs="Times New Roman"/>
          <w:lang w:val="sr-Latn-ME"/>
        </w:rPr>
        <w:t xml:space="preserve"> (vidjeti dio 4.4)</w:t>
      </w:r>
      <w:r w:rsidRPr="003A22B9">
        <w:rPr>
          <w:rFonts w:ascii="Times New Roman" w:eastAsia="Times New Roman" w:hAnsi="Times New Roman" w:cs="Times New Roman"/>
          <w:lang w:val="sr-Latn-ME"/>
        </w:rPr>
        <w:t>. U kliničkim studijama su bili prijavljeni i slučajevi fatalne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koja se javila nakon progresije bolesti i ponavljanja ciklusa liječenja. Prijavljeni su i primjeri reaktivacije hepatitisa B, od kojih je većina bila pri primjeni rituksimaba u kombinaciji sa citotoksičnom hemioterapijom. Kod pacijenata sa relaps/refraktornom HLL, incidenca hepatitis B infekcije gradusa 3/4 (reaktivacija i primarna infekcija) prijavljena je kod 2% pacijenata na terapijskom režimu R-FC u odnosu na 0% na FC. Progresija Kapoši sarkoma zabilježena je kod pacijenata koji su dobijali rituksimab, a već su imali Kapoši sarkom. Ovi slučajevi javili su se pri primjeni lijeka u neodobrenim indikacijama i većina pacijenata bila je HIV pozitivna.</w:t>
      </w:r>
    </w:p>
    <w:p w14:paraId="7670594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F1E2175"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Hematološke neželjene reakcije </w:t>
      </w:r>
    </w:p>
    <w:p w14:paraId="51F65A8C" w14:textId="3DBE62B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kliničkim studijama sa primjenom rituksimaba kao monoterapije tokom 4 nedjelje, hematološki poremećaji javili su se kod manjeg broja pacijenata i obično su bili blagi i reverzibilni. Teška (stepen 3/4) neutropenija zabilježena je kod 4,2% pacijenata, anemija kod 1,1%, a trombocitopenija kod 1,7% pacijenata. Tokom primjene rituksimaba u terapiji održavanja tokom 2 godine, leukopenija (5% u odnosu na 2%, stepena 3/4) i neutropenija (10% u odnosu na 4%, stepena 3/4) prijavljene su sa većom incidencom u odnosu na kontrolnu grupu. Incidenca trombocitopenije bila je niska (&lt;1% stepena 3/4) i nije se razlikovala između terapijskih grupa. U toku liječenja u studijama sa rituksimabom u kombinaciji sa hemioterapijom, leukopenija stepena 3/4 (R-CHOP 88% u odnosu na CHOP 79%, R-FC 23% u odnosu na FC 12%), neutropenija (R-CVP 24% u odnosu na CVP 14%; R-CHOP 97% u odnosu na CHOP 88%, RFC 30% u odnosu na FC 19% kod prethodno neliječenih pacijenata sa HLL), pancitopenija (R-FC 3% u odnosu na FC 1% kod prethodno neliječenih pacijenata sa HLL) prijavljene su obično sa većom učestalošću nego pri primjeni samo hemioterapije. </w:t>
      </w:r>
      <w:r w:rsidR="00F77F2E"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Ipak, viša incidenca neutropenije kod pacijenata liječenih rituksimabom i hemioterapijom nije bila povezana sa višom incidencom infekcija i infestacija u poređenju sa pacijentima liječenim samo hemioterapijom. U studijama kod prethodno neliječenih pacijenata i pacijenata sa relaps</w:t>
      </w:r>
      <w:r w:rsidR="00F77F2E" w:rsidRPr="003A22B9">
        <w:rPr>
          <w:rFonts w:ascii="Times New Roman" w:eastAsia="Times New Roman" w:hAnsi="Times New Roman" w:cs="Times New Roman"/>
          <w:lang w:val="sr-Latn-ME"/>
        </w:rPr>
        <w:t>nom</w:t>
      </w:r>
      <w:r w:rsidRPr="003A22B9">
        <w:rPr>
          <w:rFonts w:ascii="Times New Roman" w:eastAsia="Times New Roman" w:hAnsi="Times New Roman" w:cs="Times New Roman"/>
          <w:lang w:val="sr-Latn-ME"/>
        </w:rPr>
        <w:t xml:space="preserve">/refraktornom HLL ustanovljeno je da je </w:t>
      </w:r>
      <w:r w:rsidR="00F77F2E" w:rsidRPr="003A22B9">
        <w:rPr>
          <w:rFonts w:ascii="Times New Roman" w:eastAsia="Times New Roman" w:hAnsi="Times New Roman" w:cs="Times New Roman"/>
          <w:lang w:val="sr-Latn-ME"/>
        </w:rPr>
        <w:t>kod</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lastRenderedPageBreak/>
        <w:t>do 25% pacijenata liječenih sa R-FC neutropenija bila produženog trajanja (definisano kao broj neutrofila ispod 1 x 10</w:t>
      </w:r>
      <w:r w:rsidRPr="003A22B9">
        <w:rPr>
          <w:rFonts w:ascii="Times New Roman" w:eastAsia="Times New Roman" w:hAnsi="Times New Roman" w:cs="Times New Roman"/>
          <w:vertAlign w:val="superscript"/>
          <w:lang w:val="sr-Latn-ME"/>
        </w:rPr>
        <w:t>9</w:t>
      </w:r>
      <w:r w:rsidRPr="003A22B9">
        <w:rPr>
          <w:rFonts w:ascii="Times New Roman" w:eastAsia="Times New Roman" w:hAnsi="Times New Roman" w:cs="Times New Roman"/>
          <w:lang w:val="sr-Latn-ME"/>
        </w:rPr>
        <w:t xml:space="preserve"> </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između 24</w:t>
      </w:r>
      <w:r w:rsidR="001D4C8B">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do 42</w:t>
      </w:r>
      <w:r w:rsidR="001D4C8B">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dana nakon posljednje doze) ili se javljala sa kasnim početkom (definisano kao broj neutrofila ispod 1 x 10</w:t>
      </w:r>
      <w:r w:rsidRPr="003A22B9">
        <w:rPr>
          <w:rFonts w:ascii="Times New Roman" w:eastAsia="Times New Roman" w:hAnsi="Times New Roman" w:cs="Times New Roman"/>
          <w:vertAlign w:val="superscript"/>
          <w:lang w:val="sr-Latn-ME"/>
        </w:rPr>
        <w:t>9</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koji se javljao nakon 42 dana od posljednje doze kod pacijenata bez prethodne neutropenije produženog trajanja ili kod pacijenata koji su se oporavljali prije 42 dana), nakon terapije rituksimabom u kombinaciji sa FC. Nije bilo prijavljenih razlika za incidencu anemije. Prijavljeni su neki slučajevi kasne neutropenije koji su se javljali više od četiri nedjelje nakon primjene poslednje infuzije rituksimaba. U studiji prve linije kod HLL, pacijenti sa Binet-ovim stadijumom C ispoljili su više neželjenih događaja u grupi koja je bila liječena R-FC terapijom u poređenju sa grupom na FC terapiji (R-FC 83% u odnosu na FC 71%). U studiji sa relaps</w:t>
      </w:r>
      <w:r w:rsidR="00F77F2E" w:rsidRPr="003A22B9">
        <w:rPr>
          <w:rFonts w:ascii="Times New Roman" w:eastAsia="Times New Roman" w:hAnsi="Times New Roman" w:cs="Times New Roman"/>
          <w:lang w:val="sr-Latn-ME"/>
        </w:rPr>
        <w:t>nom</w:t>
      </w:r>
      <w:r w:rsidRPr="003A22B9">
        <w:rPr>
          <w:rFonts w:ascii="Times New Roman" w:eastAsia="Times New Roman" w:hAnsi="Times New Roman" w:cs="Times New Roman"/>
          <w:lang w:val="sr-Latn-ME"/>
        </w:rPr>
        <w:t>/refraktornom HLL, trombocitopenija gradusa 3/4 prijavljena je kod 11% pacijenata u R-FC grupi u poređenju sa 9% pacijenata u FC grupi.</w:t>
      </w:r>
    </w:p>
    <w:p w14:paraId="72FC8CE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9A195C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studijama sa rituksimabom kod pacijenata sa Waldenstrom-ovom makroglobulinemijom, primijećeno je prolazno povećanje nivoa serumskog IgM nakon započinjanja terapije, koje može biti povezano sa hiperviskozitetom i sličnim simptomima. Prolazno povećanje IgM obično se vraćalo bar na početni nivo u toku 4 mjeseca.</w:t>
      </w:r>
    </w:p>
    <w:p w14:paraId="26FC895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12E1E2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Kardiovaskularne neželjene reakcije</w:t>
      </w:r>
      <w:r w:rsidRPr="003A22B9">
        <w:rPr>
          <w:rFonts w:ascii="Times New Roman" w:eastAsia="Times New Roman" w:hAnsi="Times New Roman" w:cs="Times New Roman"/>
          <w:lang w:val="sr-Latn-ME"/>
        </w:rPr>
        <w:t xml:space="preserve"> </w:t>
      </w:r>
    </w:p>
    <w:p w14:paraId="2147C3EB" w14:textId="2389837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Kardiovaskularne reakcije tokom kliničkih studija sa rituksimabom kao monoterapijom zabilježene su kod 18,8%, pri čemu su najčešće prijavljeni događaji bili hipotenzija i hipertenzija. Tokom primjene infuzije, prijavljeni su slučajevi aritmije stepena 3 ili 4 (uključujući ventrikularnu i supraventrikularnu tahikardiju) i anginu pektoris. Tokom terapije održavanja incidenca kardioloških poremećaja stepena 3/4 bila je slična između pacijenata liječenih rituksimabom i kontrolne grupe. Kardiološki događaji prijavljeni su kao ozbiljni neželjeni događaji (uključujući atrijalnu fibrilaciju, infarkt miokarda, insuficijenciju lijeve komore, ishemiju miokarda) kod 3% pacijenata liječenih rituksimabom i &lt; 1% u kontrolnoj grupi. U studijama koje su procjenjivale liječenje rituksimabom u kombinaciji sa hemioterapijom, incidenca stepena 3 i 4 kardijalnih aritmija, predominantno supraventrikularnih aritmija kao što su tahikardija i atrijalni flater/fibrilacija, bila je viša u R-CHOP grupi (14 pacijenata, 6,9%) u poređenju sa CHOP grupom (3 pacijenta, 1,5%). Sve ove aritmije javljale su se ili pri primjeni infuzije rituksimaba ili su bile povezane sa stanjima predispozicija kao što su groznica, infekcija, akutni infarkt miokarda ili postojeće respiratorne i kardiovaskularne bolesti. Nije primijećena razlika između R-CHOP i CHOP grupe u incidenci ostalih kardioloških događaja stepena 3 i 4, uključujući srčanu insuficijenciju, bolesti miokarda i manifestacije koronarne arterijske bolesti. U HLL, ukupna incidenca kardioloških poremećaja stepena 3 i 4 bila je niska, kako u studiji prve terapijske linije (4% R-FC, 3% FC), tako i u studiji sa relaps</w:t>
      </w:r>
      <w:r w:rsidR="00F77F2E" w:rsidRPr="003A22B9">
        <w:rPr>
          <w:rFonts w:ascii="Times New Roman" w:eastAsia="Times New Roman" w:hAnsi="Times New Roman" w:cs="Times New Roman"/>
          <w:lang w:val="sr-Latn-ME"/>
        </w:rPr>
        <w:t>nom</w:t>
      </w:r>
      <w:r w:rsidRPr="003A22B9">
        <w:rPr>
          <w:rFonts w:ascii="Times New Roman" w:eastAsia="Times New Roman" w:hAnsi="Times New Roman" w:cs="Times New Roman"/>
          <w:lang w:val="sr-Latn-ME"/>
        </w:rPr>
        <w:t>/refrakt</w:t>
      </w:r>
      <w:r w:rsidR="00F77F2E" w:rsidRPr="003A22B9">
        <w:rPr>
          <w:rFonts w:ascii="Times New Roman" w:eastAsia="Times New Roman" w:hAnsi="Times New Roman" w:cs="Times New Roman"/>
          <w:lang w:val="sr-Latn-ME"/>
        </w:rPr>
        <w:t>o</w:t>
      </w:r>
      <w:r w:rsidRPr="003A22B9">
        <w:rPr>
          <w:rFonts w:ascii="Times New Roman" w:eastAsia="Times New Roman" w:hAnsi="Times New Roman" w:cs="Times New Roman"/>
          <w:lang w:val="sr-Latn-ME"/>
        </w:rPr>
        <w:t>rn</w:t>
      </w:r>
      <w:r w:rsidR="00F77F2E" w:rsidRPr="003A22B9">
        <w:rPr>
          <w:rFonts w:ascii="Times New Roman" w:eastAsia="Times New Roman" w:hAnsi="Times New Roman" w:cs="Times New Roman"/>
          <w:lang w:val="sr-Latn-ME"/>
        </w:rPr>
        <w:t>o</w:t>
      </w:r>
      <w:r w:rsidRPr="003A22B9">
        <w:rPr>
          <w:rFonts w:ascii="Times New Roman" w:eastAsia="Times New Roman" w:hAnsi="Times New Roman" w:cs="Times New Roman"/>
          <w:lang w:val="sr-Latn-ME"/>
        </w:rPr>
        <w:t>m HLL (4% R-FC, 4% FC).</w:t>
      </w:r>
    </w:p>
    <w:p w14:paraId="5933CA9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2F0C460"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Respiratorni sistem</w:t>
      </w:r>
    </w:p>
    <w:p w14:paraId="59AA5A76"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Prijavljeni su slučajevi intersticijalnog oboljenja pluća, neki sa fatalnim ishodom.</w:t>
      </w:r>
    </w:p>
    <w:p w14:paraId="775D348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DB64E08"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Neurološki poremećaji </w:t>
      </w:r>
    </w:p>
    <w:p w14:paraId="65DC5AF3" w14:textId="368602F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Tokom perioda liječenja (period uvodnog liječenja koje se sastojalo od primjene R-CHOP tokom najviše osam ciklusa), četiri pacijenta (2%) iz R-CHOP grupe, svi sa kardiovaskularnim faktorima rizika, imali su tromboembolijske cerebrovaskularne događaje tokom prvog terapijskog ciklusa. Nije bilo razlike među terapijskim grupama u incidenci ostalih tromboembolijskih događaja. Nasuprot tome, u CHOP grupi su tri pacijenta (1.5%) imala cerebrovaskularne događaje, i kod svih su se javili tokom perioda praćenja, nakon liječenja. U HLL, ukupna incidenca neuroloških poremećaja stepena 3 i 4 bila je niska, kako u studiji prve terapijske linije (4% R-FC, 4% FC), tako i u studiji sa relaps/refraktornom HLL (3% R-FC, 3% FC).</w:t>
      </w:r>
    </w:p>
    <w:p w14:paraId="519A188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10CCC3F" w14:textId="45BED81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Prijavljeni su slučajevi sindroma posteriorne reverzibilne encefalopatije (eng. </w:t>
      </w:r>
      <w:r w:rsidRPr="003A22B9">
        <w:rPr>
          <w:rFonts w:ascii="Times New Roman" w:eastAsia="Times New Roman" w:hAnsi="Times New Roman" w:cs="Times New Roman"/>
          <w:i/>
          <w:lang w:val="sr-Latn-ME"/>
        </w:rPr>
        <w:t>posterior reversible encephalopathy syndrome</w:t>
      </w:r>
      <w:r w:rsidRPr="003A22B9">
        <w:rPr>
          <w:rFonts w:ascii="Times New Roman" w:eastAsia="Times New Roman" w:hAnsi="Times New Roman" w:cs="Times New Roman"/>
          <w:lang w:val="sr-Latn-ME"/>
        </w:rPr>
        <w:t xml:space="preserve"> – PRES)</w:t>
      </w:r>
      <w:r w:rsidR="00AD319D">
        <w:rPr>
          <w:rFonts w:ascii="Times New Roman" w:eastAsia="Times New Roman" w:hAnsi="Times New Roman" w:cs="Times New Roman"/>
          <w:lang w:val="sr-Latn-ME"/>
        </w:rPr>
        <w:t xml:space="preserve"> odnosno </w:t>
      </w:r>
      <w:r w:rsidRPr="003A22B9">
        <w:rPr>
          <w:rFonts w:ascii="Times New Roman" w:eastAsia="Times New Roman" w:hAnsi="Times New Roman" w:cs="Times New Roman"/>
          <w:lang w:val="sr-Latn-ME"/>
        </w:rPr>
        <w:t xml:space="preserve">sindroma reverzibilne posteriorne leukoencefalopatije (eng. </w:t>
      </w:r>
      <w:r w:rsidRPr="003A22B9">
        <w:rPr>
          <w:rFonts w:ascii="Times New Roman" w:eastAsia="Times New Roman" w:hAnsi="Times New Roman" w:cs="Times New Roman"/>
          <w:i/>
          <w:lang w:val="sr-Latn-ME"/>
        </w:rPr>
        <w:t>reversible posterior leukoencephalopathy syndrome</w:t>
      </w:r>
      <w:r w:rsidRPr="003A22B9">
        <w:rPr>
          <w:rFonts w:ascii="Times New Roman" w:eastAsia="Times New Roman" w:hAnsi="Times New Roman" w:cs="Times New Roman"/>
          <w:lang w:val="sr-Latn-ME"/>
        </w:rPr>
        <w:t>- RPLS). Znaci i simptomi su uključivali smetnje</w:t>
      </w:r>
      <w:r w:rsidR="009D5767"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vida, glavobolju, </w:t>
      </w:r>
      <w:r w:rsidR="00AD319D">
        <w:rPr>
          <w:rFonts w:ascii="Times New Roman" w:eastAsia="Times New Roman" w:hAnsi="Times New Roman" w:cs="Times New Roman"/>
          <w:lang w:val="sr-Latn-ME"/>
        </w:rPr>
        <w:t xml:space="preserve">epileptičke </w:t>
      </w:r>
      <w:r w:rsidRPr="003A22B9">
        <w:rPr>
          <w:rFonts w:ascii="Times New Roman" w:eastAsia="Times New Roman" w:hAnsi="Times New Roman" w:cs="Times New Roman"/>
          <w:lang w:val="sr-Latn-ME"/>
        </w:rPr>
        <w:t xml:space="preserve">napade i promijenjen mentalni status sa ili bez pridružene hipertenzije. Dijagnozu PRES/RPLS treba potvrditi snimanjem mozga. Kod prijavljenih slučajeva su prepoznati faktori rizika za PRES/RPLS, koji uključuju i osnovnu bolest pacijenata, hipertenziju, terapiju imunosupresivima i/ili hemioterapiju. </w:t>
      </w:r>
    </w:p>
    <w:p w14:paraId="63044741"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lastRenderedPageBreak/>
        <w:t xml:space="preserve">Gastrointestinalni poremećaji </w:t>
      </w:r>
    </w:p>
    <w:p w14:paraId="362E759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Gastrointestinalne perforacije koje su u nekim slučajevima dovele do smrti zabilježene su kod pacijenata koji su dobijali rituksimab u terapiji non – Hodgkinovog limfoma. U većini ovih slučajeva, rituksimab je primjenjivan sa hemioterapijom. </w:t>
      </w:r>
    </w:p>
    <w:p w14:paraId="2F60D84D" w14:textId="77777777" w:rsidR="009D5767" w:rsidRPr="003A22B9" w:rsidRDefault="009D5767" w:rsidP="00A75B47">
      <w:pPr>
        <w:spacing w:after="0" w:line="240" w:lineRule="auto"/>
        <w:jc w:val="both"/>
        <w:rPr>
          <w:rFonts w:ascii="Times New Roman" w:eastAsia="Times New Roman" w:hAnsi="Times New Roman" w:cs="Times New Roman"/>
          <w:lang w:val="sr-Latn-ME"/>
        </w:rPr>
      </w:pPr>
    </w:p>
    <w:p w14:paraId="3156C449"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Nivoi IgG </w:t>
      </w:r>
    </w:p>
    <w:p w14:paraId="68B4F4D7" w14:textId="4574168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kliničkim studijama koje su procjenjivale terapiju održavanja lijekom rituksimab kod pacijenata sa relaps</w:t>
      </w:r>
      <w:r w:rsidR="005562DF" w:rsidRPr="003A22B9">
        <w:rPr>
          <w:rFonts w:ascii="Times New Roman" w:eastAsia="Times New Roman" w:hAnsi="Times New Roman" w:cs="Times New Roman"/>
          <w:lang w:val="sr-Latn-ME"/>
        </w:rPr>
        <w:t>nim</w:t>
      </w:r>
      <w:r w:rsidRPr="003A22B9">
        <w:rPr>
          <w:rFonts w:ascii="Times New Roman" w:eastAsia="Times New Roman" w:hAnsi="Times New Roman" w:cs="Times New Roman"/>
          <w:lang w:val="sr-Latn-ME"/>
        </w:rPr>
        <w:t>/refrakt</w:t>
      </w:r>
      <w:r w:rsidR="00526916" w:rsidRPr="003A22B9">
        <w:rPr>
          <w:rFonts w:ascii="Times New Roman" w:eastAsia="Times New Roman" w:hAnsi="Times New Roman" w:cs="Times New Roman"/>
          <w:lang w:val="sr-Latn-ME"/>
        </w:rPr>
        <w:t>o</w:t>
      </w:r>
      <w:r w:rsidRPr="003A22B9">
        <w:rPr>
          <w:rFonts w:ascii="Times New Roman" w:eastAsia="Times New Roman" w:hAnsi="Times New Roman" w:cs="Times New Roman"/>
          <w:lang w:val="sr-Latn-ME"/>
        </w:rPr>
        <w:t xml:space="preserve">rnim folikularnim limfomom, srednje vrijednosti IgG-a bile su ispod donje granice normale (eng. </w:t>
      </w:r>
      <w:r w:rsidRPr="003A22B9">
        <w:rPr>
          <w:rFonts w:ascii="Times New Roman" w:eastAsia="Times New Roman" w:hAnsi="Times New Roman" w:cs="Times New Roman"/>
          <w:i/>
          <w:iCs/>
          <w:shd w:val="clear" w:color="auto" w:fill="FFFFFF"/>
          <w:lang w:val="sr-Latn-ME"/>
        </w:rPr>
        <w:t>lower limit of normal -</w:t>
      </w:r>
      <w:r w:rsidRPr="003A22B9">
        <w:rPr>
          <w:rFonts w:ascii="Times New Roman" w:eastAsia="Times New Roman" w:hAnsi="Times New Roman" w:cs="Times New Roman"/>
          <w:lang w:val="sr-Latn-ME"/>
        </w:rPr>
        <w:t xml:space="preserve"> LLN) (&lt; 7 g</w:t>
      </w:r>
      <w:r w:rsidR="004C5141" w:rsidRPr="003A22B9">
        <w:rPr>
          <w:rFonts w:ascii="Times New Roman" w:eastAsia="Times New Roman" w:hAnsi="Times New Roman" w:cs="Times New Roman"/>
          <w:lang w:val="sr-Latn-ME"/>
        </w:rPr>
        <w:t>/l</w:t>
      </w:r>
      <w:r w:rsidRPr="003A22B9">
        <w:rPr>
          <w:rFonts w:ascii="Times New Roman" w:eastAsia="Times New Roman" w:hAnsi="Times New Roman" w:cs="Times New Roman"/>
          <w:lang w:val="sr-Latn-ME"/>
        </w:rPr>
        <w:t xml:space="preserve">), nakon indukcione terapije i u kontrolnoj i u grupi koja je primala rituksimab. U kontrolnoj grupi, srednja vrijednost IgG-a postepeno se povećavala do preko LLN, a u grupi koja je primala rituksimab ostala je konstantantna. Udio pacijenata sa IgG nivoima ispod LLN bio je oko 60% u rituksimab grupi tokom dvije godine terapije, dok se u kontrolnoj grupi smanjio (36% nakon 2 godine). </w:t>
      </w:r>
    </w:p>
    <w:p w14:paraId="0121D18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96FA6FF" w14:textId="11906F9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Mali broj spontanih slučajeva i slučajeva iz literature, hipogamaglobulinemije, primijećene kod pedijatrijskih pacijenata liječenih rituksimabom,</w:t>
      </w:r>
      <w:r w:rsidR="00AD319D">
        <w:rPr>
          <w:rFonts w:ascii="Times New Roman" w:eastAsia="Times New Roman" w:hAnsi="Times New Roman" w:cs="Times New Roman"/>
          <w:lang w:val="sr-Latn-ME"/>
        </w:rPr>
        <w:t xml:space="preserve"> od kojih su neki bili </w:t>
      </w:r>
      <w:r w:rsidRPr="003A22B9">
        <w:rPr>
          <w:rFonts w:ascii="Times New Roman" w:eastAsia="Times New Roman" w:hAnsi="Times New Roman" w:cs="Times New Roman"/>
          <w:lang w:val="sr-Latn-ME"/>
        </w:rPr>
        <w:t xml:space="preserve">ozbiljni i zahtijevali su supstitucionu terapiju imunoglobulinom. Posljedice dugotrajne B ćelijske deplecije kod pedijatrijske populacije su nepoznate. </w:t>
      </w:r>
    </w:p>
    <w:p w14:paraId="1B6649A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E242F7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Poremećaji kože i potkožnog tkiva</w:t>
      </w:r>
      <w:r w:rsidRPr="003A22B9">
        <w:rPr>
          <w:rFonts w:ascii="Times New Roman" w:eastAsia="Times New Roman" w:hAnsi="Times New Roman" w:cs="Times New Roman"/>
          <w:lang w:val="sr-Latn-ME"/>
        </w:rPr>
        <w:t xml:space="preserve"> </w:t>
      </w:r>
    </w:p>
    <w:p w14:paraId="0D3D0B36" w14:textId="6D16B39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Veoma rijetko su prijavljeni toksična epidermalna nekroliza (Lielov sindrom) i St</w:t>
      </w:r>
      <w:r w:rsidR="00AD319D">
        <w:rPr>
          <w:rFonts w:ascii="Times New Roman" w:eastAsia="Times New Roman" w:hAnsi="Times New Roman" w:cs="Times New Roman"/>
          <w:lang w:val="sr-Latn-ME"/>
        </w:rPr>
        <w:t xml:space="preserve">evens-Johnsonov </w:t>
      </w:r>
      <w:r w:rsidRPr="003A22B9">
        <w:rPr>
          <w:rFonts w:ascii="Times New Roman" w:eastAsia="Times New Roman" w:hAnsi="Times New Roman" w:cs="Times New Roman"/>
          <w:lang w:val="sr-Latn-ME"/>
        </w:rPr>
        <w:t xml:space="preserve">sindrom, od kojih neki sa smrtnim ishodom. </w:t>
      </w:r>
    </w:p>
    <w:p w14:paraId="79E3C9D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2C42CC8"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Subpopulacije pacijenata – monoterapija rituksimabom </w:t>
      </w:r>
    </w:p>
    <w:p w14:paraId="2AF6B41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568DD55" w14:textId="04EC8BC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Stariji (≥ 65 godina):</w:t>
      </w:r>
    </w:p>
    <w:p w14:paraId="32FFD814" w14:textId="01163B4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Incidenca svih neželjenih reakcija na lijek svih stepena kao i stepena 3/4 bila je slična kod starijih i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ađih pacijenata (&lt; 65 godina).</w:t>
      </w:r>
    </w:p>
    <w:p w14:paraId="1C1134B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B1FDB7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Prošireni tumori (</w:t>
      </w:r>
      <w:r w:rsidRPr="003A22B9">
        <w:rPr>
          <w:rFonts w:ascii="Times New Roman" w:eastAsia="Times New Roman" w:hAnsi="Times New Roman" w:cs="Times New Roman"/>
          <w:i/>
          <w:lang w:val="sr-Latn-ME"/>
        </w:rPr>
        <w:t>bulky disease</w:t>
      </w:r>
      <w:r w:rsidRPr="003A22B9">
        <w:rPr>
          <w:rFonts w:ascii="Times New Roman" w:eastAsia="Times New Roman" w:hAnsi="Times New Roman" w:cs="Times New Roman"/>
          <w:lang w:val="sr-Latn-ME"/>
        </w:rPr>
        <w:t>)</w:t>
      </w:r>
    </w:p>
    <w:p w14:paraId="7034658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5272C48" w14:textId="0045BEE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Postojala je veća incidenca neželjenih reakcija stepena 3/4 kod pacijenata sa proširenim tumorima nego kod pacijenata koji ni</w:t>
      </w:r>
      <w:r w:rsidR="00526916" w:rsidRPr="003A22B9">
        <w:rPr>
          <w:rFonts w:ascii="Times New Roman" w:eastAsia="Times New Roman" w:hAnsi="Times New Roman" w:cs="Times New Roman"/>
          <w:lang w:val="sr-Latn-ME"/>
        </w:rPr>
        <w:t>je</w:t>
      </w:r>
      <w:r w:rsidRPr="003A22B9">
        <w:rPr>
          <w:rFonts w:ascii="Times New Roman" w:eastAsia="Times New Roman" w:hAnsi="Times New Roman" w:cs="Times New Roman"/>
          <w:lang w:val="sr-Latn-ME"/>
        </w:rPr>
        <w:t>su imali proširene tumore (25</w:t>
      </w:r>
      <w:r w:rsidR="00AD319D">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6% u odnosu na 15</w:t>
      </w:r>
      <w:r w:rsidR="00AD319D">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4%). Incidenca neželjenih reakcija na lijek svih stepena bila je slična u ove dvije grupe. </w:t>
      </w:r>
    </w:p>
    <w:p w14:paraId="6ADA89F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CEBB15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Ponovna terapija </w:t>
      </w:r>
    </w:p>
    <w:p w14:paraId="58FED33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Procenat pacijenata koji prijavljuju neželjene reakcije pri ponovnoj terapiji rituksimabom bio je sličan procentu pacijenata koji prijavljuju neželjene reakcije po inicijalnom izlaganju (neželjene reakcije svih stepena i neželjene reakcije stepena 3/4).</w:t>
      </w:r>
    </w:p>
    <w:p w14:paraId="42FA77F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DD93066" w14:textId="1F947C55"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Subpopulacije pacijenata –</w:t>
      </w:r>
      <w:r w:rsidR="00AD319D">
        <w:rPr>
          <w:rFonts w:ascii="Times New Roman" w:eastAsia="Times New Roman" w:hAnsi="Times New Roman" w:cs="Times New Roman"/>
          <w:i/>
          <w:lang w:val="sr-Latn-ME"/>
        </w:rPr>
        <w:t xml:space="preserve"> </w:t>
      </w:r>
      <w:r w:rsidRPr="003A22B9">
        <w:rPr>
          <w:rFonts w:ascii="Times New Roman" w:eastAsia="Times New Roman" w:hAnsi="Times New Roman" w:cs="Times New Roman"/>
          <w:i/>
          <w:lang w:val="sr-Latn-ME"/>
        </w:rPr>
        <w:t>kombinovana terapija rituksimabom</w:t>
      </w:r>
    </w:p>
    <w:p w14:paraId="3022819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6D22ABD" w14:textId="01BBFCD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Stariji (≥ 65 godina)</w:t>
      </w:r>
    </w:p>
    <w:p w14:paraId="37BE66EF" w14:textId="1F0B650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Incidenca hematoloških i limfatičkih neželjenih događaja stepena 3/4 bila je viša kod starijih pacijenata u poređenju sa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ađim pacijentima (&lt;</w:t>
      </w:r>
      <w:r w:rsidR="00AD319D">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65 godina), sa prethodno neliječenom ili relaps/refraktornom HLL.</w:t>
      </w:r>
    </w:p>
    <w:p w14:paraId="1E7FA33C" w14:textId="68E1B264" w:rsidR="00A75B47" w:rsidRPr="003A22B9" w:rsidRDefault="00A75B47" w:rsidP="00A75B47">
      <w:pPr>
        <w:spacing w:after="0" w:line="240" w:lineRule="auto"/>
        <w:jc w:val="both"/>
        <w:rPr>
          <w:rFonts w:ascii="Times New Roman" w:eastAsia="Times New Roman" w:hAnsi="Times New Roman" w:cs="Times New Roman"/>
          <w:lang w:val="sr-Latn-ME"/>
        </w:rPr>
      </w:pPr>
    </w:p>
    <w:p w14:paraId="5EBAD5F9" w14:textId="651DEFC3" w:rsidR="00D318FF" w:rsidRPr="003A22B9" w:rsidRDefault="00D318FF" w:rsidP="00D318FF">
      <w:pPr>
        <w:spacing w:after="0" w:line="240" w:lineRule="auto"/>
        <w:jc w:val="both"/>
        <w:rPr>
          <w:rFonts w:ascii="Times New Roman" w:eastAsia="Times New Roman" w:hAnsi="Times New Roman" w:cs="Times New Roman"/>
          <w:u w:val="single"/>
        </w:rPr>
      </w:pPr>
      <w:r w:rsidRPr="003A22B9">
        <w:rPr>
          <w:rFonts w:ascii="Times New Roman" w:eastAsia="Times New Roman" w:hAnsi="Times New Roman" w:cs="Times New Roman"/>
          <w:u w:val="single"/>
        </w:rPr>
        <w:t>Iskustvo s</w:t>
      </w:r>
      <w:r w:rsidR="00813EAB" w:rsidRPr="003A22B9">
        <w:rPr>
          <w:rFonts w:ascii="Times New Roman" w:eastAsia="Times New Roman" w:hAnsi="Times New Roman" w:cs="Times New Roman"/>
          <w:u w:val="single"/>
        </w:rPr>
        <w:t>a</w:t>
      </w:r>
      <w:r w:rsidRPr="003A22B9">
        <w:rPr>
          <w:rFonts w:ascii="Times New Roman" w:eastAsia="Times New Roman" w:hAnsi="Times New Roman" w:cs="Times New Roman"/>
          <w:u w:val="single"/>
        </w:rPr>
        <w:t xml:space="preserve"> prim</w:t>
      </w:r>
      <w:r w:rsidR="00824DC4" w:rsidRPr="003A22B9">
        <w:rPr>
          <w:rFonts w:ascii="Times New Roman" w:eastAsia="Times New Roman" w:hAnsi="Times New Roman" w:cs="Times New Roman"/>
          <w:u w:val="single"/>
        </w:rPr>
        <w:t>j</w:t>
      </w:r>
      <w:r w:rsidRPr="003A22B9">
        <w:rPr>
          <w:rFonts w:ascii="Times New Roman" w:eastAsia="Times New Roman" w:hAnsi="Times New Roman" w:cs="Times New Roman"/>
          <w:u w:val="single"/>
        </w:rPr>
        <w:t>enom kod DLBCL-a/BL-a/BAL-a/BLL-a kod pedijatrijskih pacijenata</w:t>
      </w:r>
    </w:p>
    <w:p w14:paraId="40AF8860" w14:textId="77777777" w:rsidR="00D318FF" w:rsidRPr="003A22B9" w:rsidRDefault="00D318FF" w:rsidP="00D318FF">
      <w:pPr>
        <w:spacing w:after="0" w:line="240" w:lineRule="auto"/>
        <w:jc w:val="both"/>
        <w:rPr>
          <w:rFonts w:ascii="Times New Roman" w:eastAsia="Times New Roman" w:hAnsi="Times New Roman" w:cs="Times New Roman"/>
        </w:rPr>
      </w:pPr>
    </w:p>
    <w:p w14:paraId="290F9954" w14:textId="1BD5BBB8" w:rsidR="00D318FF" w:rsidRPr="003A22B9" w:rsidRDefault="00D318FF" w:rsidP="00D318FF">
      <w:pPr>
        <w:spacing w:after="0" w:line="240" w:lineRule="auto"/>
        <w:jc w:val="both"/>
        <w:rPr>
          <w:rFonts w:ascii="Times New Roman" w:eastAsia="Times New Roman" w:hAnsi="Times New Roman" w:cs="Times New Roman"/>
          <w:i/>
          <w:u w:val="single"/>
        </w:rPr>
      </w:pPr>
      <w:r w:rsidRPr="003A22B9">
        <w:rPr>
          <w:rFonts w:ascii="Times New Roman" w:eastAsia="Times New Roman" w:hAnsi="Times New Roman" w:cs="Times New Roman"/>
          <w:i/>
          <w:u w:val="single"/>
        </w:rPr>
        <w:t>Sažetak bezb</w:t>
      </w:r>
      <w:r w:rsidR="00824DC4" w:rsidRPr="003A22B9">
        <w:rPr>
          <w:rFonts w:ascii="Times New Roman" w:eastAsia="Times New Roman" w:hAnsi="Times New Roman" w:cs="Times New Roman"/>
          <w:i/>
          <w:u w:val="single"/>
        </w:rPr>
        <w:t>j</w:t>
      </w:r>
      <w:r w:rsidRPr="003A22B9">
        <w:rPr>
          <w:rFonts w:ascii="Times New Roman" w:eastAsia="Times New Roman" w:hAnsi="Times New Roman" w:cs="Times New Roman"/>
          <w:i/>
          <w:u w:val="single"/>
        </w:rPr>
        <w:t>ednosnog profila</w:t>
      </w:r>
    </w:p>
    <w:p w14:paraId="5679E5CF" w14:textId="77777777" w:rsidR="00D318FF" w:rsidRPr="003A22B9" w:rsidRDefault="00D318FF" w:rsidP="00D318FF">
      <w:pPr>
        <w:spacing w:after="0" w:line="240" w:lineRule="auto"/>
        <w:jc w:val="both"/>
        <w:rPr>
          <w:rFonts w:ascii="Times New Roman" w:eastAsia="Times New Roman" w:hAnsi="Times New Roman" w:cs="Times New Roman"/>
        </w:rPr>
      </w:pPr>
    </w:p>
    <w:p w14:paraId="1D721C2E" w14:textId="2A977CD1" w:rsidR="00D318FF" w:rsidRPr="003A22B9" w:rsidRDefault="00D318FF" w:rsidP="00D318FF">
      <w:pPr>
        <w:spacing w:after="0" w:line="240" w:lineRule="auto"/>
        <w:jc w:val="both"/>
        <w:rPr>
          <w:rFonts w:ascii="Times New Roman" w:eastAsia="Times New Roman" w:hAnsi="Times New Roman" w:cs="Times New Roman"/>
        </w:rPr>
      </w:pPr>
      <w:r w:rsidRPr="003A22B9">
        <w:rPr>
          <w:rFonts w:ascii="Times New Roman" w:eastAsia="Times New Roman" w:hAnsi="Times New Roman" w:cs="Times New Roman"/>
        </w:rPr>
        <w:t>Sprovedena je multicentrična, otvorena, randomizovana studija hemioterapije LMB (</w:t>
      </w:r>
      <w:r w:rsidRPr="003A22B9">
        <w:rPr>
          <w:rFonts w:ascii="Times New Roman" w:eastAsia="Times New Roman" w:hAnsi="Times New Roman" w:cs="Times New Roman"/>
          <w:i/>
        </w:rPr>
        <w:t>Lymphome Malin</w:t>
      </w:r>
      <w:r w:rsidRPr="003A22B9">
        <w:rPr>
          <w:rFonts w:ascii="Times New Roman" w:eastAsia="Times New Roman" w:hAnsi="Times New Roman" w:cs="Times New Roman"/>
        </w:rPr>
        <w:t xml:space="preserve"> B) u kombinaciji sa rituksimabom ili bez njega kod pedijatrijskih pacijenata (uzrasta od ≥ 6 m</w:t>
      </w:r>
      <w:r w:rsidR="007E79BF" w:rsidRPr="003A22B9">
        <w:rPr>
          <w:rFonts w:ascii="Times New Roman" w:eastAsia="Times New Roman" w:hAnsi="Times New Roman" w:cs="Times New Roman"/>
        </w:rPr>
        <w:t>j</w:t>
      </w:r>
      <w:r w:rsidRPr="003A22B9">
        <w:rPr>
          <w:rFonts w:ascii="Times New Roman" w:eastAsia="Times New Roman" w:hAnsi="Times New Roman" w:cs="Times New Roman"/>
        </w:rPr>
        <w:t>eseci do &lt; 18 godina) sa prethodno nel</w:t>
      </w:r>
      <w:r w:rsidR="007E79BF" w:rsidRPr="003A22B9">
        <w:rPr>
          <w:rFonts w:ascii="Times New Roman" w:eastAsia="Times New Roman" w:hAnsi="Times New Roman" w:cs="Times New Roman"/>
        </w:rPr>
        <w:t>ij</w:t>
      </w:r>
      <w:r w:rsidRPr="003A22B9">
        <w:rPr>
          <w:rFonts w:ascii="Times New Roman" w:eastAsia="Times New Roman" w:hAnsi="Times New Roman" w:cs="Times New Roman"/>
        </w:rPr>
        <w:t xml:space="preserve">ečenim uznapredovalim CD20 pozitivnim DLBCL-om/BL-om/B-AL-om/BLL-om. </w:t>
      </w:r>
    </w:p>
    <w:p w14:paraId="3DAFCC5B" w14:textId="77777777" w:rsidR="00D318FF" w:rsidRPr="003A22B9" w:rsidRDefault="00D318FF" w:rsidP="00D318FF">
      <w:pPr>
        <w:spacing w:after="0" w:line="240" w:lineRule="auto"/>
        <w:jc w:val="both"/>
        <w:rPr>
          <w:rFonts w:ascii="Times New Roman" w:eastAsia="Times New Roman" w:hAnsi="Times New Roman" w:cs="Times New Roman"/>
        </w:rPr>
      </w:pPr>
    </w:p>
    <w:p w14:paraId="1C3F8904" w14:textId="6DE6C816" w:rsidR="00D318FF" w:rsidRPr="003A22B9" w:rsidRDefault="00D318FF" w:rsidP="00D318FF">
      <w:pPr>
        <w:spacing w:after="0" w:line="240" w:lineRule="auto"/>
        <w:jc w:val="both"/>
        <w:rPr>
          <w:rFonts w:ascii="Times New Roman" w:eastAsia="Times New Roman" w:hAnsi="Times New Roman" w:cs="Times New Roman"/>
        </w:rPr>
      </w:pPr>
      <w:r w:rsidRPr="003A22B9">
        <w:rPr>
          <w:rFonts w:ascii="Times New Roman" w:eastAsia="Times New Roman" w:hAnsi="Times New Roman" w:cs="Times New Roman"/>
        </w:rPr>
        <w:lastRenderedPageBreak/>
        <w:t>Ukupno je 309 pedijatrijskih pacijenata primilo rituksimab i bilo uključeno u populaciju za analizu bezb</w:t>
      </w:r>
      <w:r w:rsidR="00033073" w:rsidRPr="003A22B9">
        <w:rPr>
          <w:rFonts w:ascii="Times New Roman" w:eastAsia="Times New Roman" w:hAnsi="Times New Roman" w:cs="Times New Roman"/>
        </w:rPr>
        <w:t>j</w:t>
      </w:r>
      <w:r w:rsidRPr="003A22B9">
        <w:rPr>
          <w:rFonts w:ascii="Times New Roman" w:eastAsia="Times New Roman" w:hAnsi="Times New Roman" w:cs="Times New Roman"/>
        </w:rPr>
        <w:t>ednosti. Pedijatrijski pacijenti randomizovani su u grupu koja je primala hemioterapiju LMB u kombinaciji sa rituksimabom ili oni uključeni u d</w:t>
      </w:r>
      <w:r w:rsidR="005351F4" w:rsidRPr="003A22B9">
        <w:rPr>
          <w:rFonts w:ascii="Times New Roman" w:eastAsia="Times New Roman" w:hAnsi="Times New Roman" w:cs="Times New Roman"/>
        </w:rPr>
        <w:t>i</w:t>
      </w:r>
      <w:r w:rsidRPr="003A22B9">
        <w:rPr>
          <w:rFonts w:ascii="Times New Roman" w:eastAsia="Times New Roman" w:hAnsi="Times New Roman" w:cs="Times New Roman"/>
        </w:rPr>
        <w:t>o studije sa samo jednom grupom primali su rituksimab u dozi od 375 mg/m</w:t>
      </w:r>
      <w:r w:rsidRPr="003A22B9">
        <w:rPr>
          <w:rFonts w:ascii="Times New Roman" w:eastAsia="Times New Roman" w:hAnsi="Times New Roman" w:cs="Times New Roman"/>
          <w:vertAlign w:val="superscript"/>
        </w:rPr>
        <w:t>2</w:t>
      </w:r>
      <w:r w:rsidRPr="003A22B9">
        <w:rPr>
          <w:rFonts w:ascii="Times New Roman" w:eastAsia="Times New Roman" w:hAnsi="Times New Roman" w:cs="Times New Roman"/>
        </w:rPr>
        <w:t xml:space="preserve"> t</w:t>
      </w:r>
      <w:r w:rsidR="005351F4" w:rsidRPr="003A22B9">
        <w:rPr>
          <w:rFonts w:ascii="Times New Roman" w:eastAsia="Times New Roman" w:hAnsi="Times New Roman" w:cs="Times New Roman"/>
        </w:rPr>
        <w:t>j</w:t>
      </w:r>
      <w:r w:rsidRPr="003A22B9">
        <w:rPr>
          <w:rFonts w:ascii="Times New Roman" w:eastAsia="Times New Roman" w:hAnsi="Times New Roman" w:cs="Times New Roman"/>
        </w:rPr>
        <w:t>elesne površine i primili su ukupno šest i.v. infuzija rituksimaba (po dv</w:t>
      </w:r>
      <w:r w:rsidR="000A0C58" w:rsidRPr="003A22B9">
        <w:rPr>
          <w:rFonts w:ascii="Times New Roman" w:eastAsia="Times New Roman" w:hAnsi="Times New Roman" w:cs="Times New Roman"/>
        </w:rPr>
        <w:t>ij</w:t>
      </w:r>
      <w:r w:rsidRPr="003A22B9">
        <w:rPr>
          <w:rFonts w:ascii="Times New Roman" w:eastAsia="Times New Roman" w:hAnsi="Times New Roman" w:cs="Times New Roman"/>
        </w:rPr>
        <w:t xml:space="preserve">e tokom svakog od dva ciklusa indukcione terapije i po jednu tokom svakog od dva ciklusa konsolidacione terapije protokolom LMB). </w:t>
      </w:r>
    </w:p>
    <w:p w14:paraId="4C781CA5" w14:textId="77777777" w:rsidR="00D318FF" w:rsidRPr="003A22B9" w:rsidRDefault="00D318FF" w:rsidP="00D318FF">
      <w:pPr>
        <w:spacing w:after="0" w:line="240" w:lineRule="auto"/>
        <w:jc w:val="both"/>
        <w:rPr>
          <w:rFonts w:ascii="Times New Roman" w:eastAsia="Times New Roman" w:hAnsi="Times New Roman" w:cs="Times New Roman"/>
        </w:rPr>
      </w:pPr>
    </w:p>
    <w:p w14:paraId="253E7D1C" w14:textId="0FE10574" w:rsidR="00D318FF" w:rsidRPr="003A22B9" w:rsidRDefault="00D318FF" w:rsidP="00D318FF">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rPr>
        <w:t>Bezb</w:t>
      </w:r>
      <w:r w:rsidR="002E6206" w:rsidRPr="003A22B9">
        <w:rPr>
          <w:rFonts w:ascii="Times New Roman" w:eastAsia="Times New Roman" w:hAnsi="Times New Roman" w:cs="Times New Roman"/>
        </w:rPr>
        <w:t>j</w:t>
      </w:r>
      <w:r w:rsidRPr="003A22B9">
        <w:rPr>
          <w:rFonts w:ascii="Times New Roman" w:eastAsia="Times New Roman" w:hAnsi="Times New Roman" w:cs="Times New Roman"/>
        </w:rPr>
        <w:t>ednosni profil rituksimaba kod pedijatrijskih pacijenata (uzrasta od ≥ 6 m</w:t>
      </w:r>
      <w:r w:rsidR="002E6206" w:rsidRPr="003A22B9">
        <w:rPr>
          <w:rFonts w:ascii="Times New Roman" w:eastAsia="Times New Roman" w:hAnsi="Times New Roman" w:cs="Times New Roman"/>
        </w:rPr>
        <w:t>j</w:t>
      </w:r>
      <w:r w:rsidRPr="003A22B9">
        <w:rPr>
          <w:rFonts w:ascii="Times New Roman" w:eastAsia="Times New Roman" w:hAnsi="Times New Roman" w:cs="Times New Roman"/>
        </w:rPr>
        <w:t>eseci do &lt; 18 godina) sa prethodno nel</w:t>
      </w:r>
      <w:r w:rsidR="002E6206" w:rsidRPr="003A22B9">
        <w:rPr>
          <w:rFonts w:ascii="Times New Roman" w:eastAsia="Times New Roman" w:hAnsi="Times New Roman" w:cs="Times New Roman"/>
        </w:rPr>
        <w:t>ij</w:t>
      </w:r>
      <w:r w:rsidRPr="003A22B9">
        <w:rPr>
          <w:rFonts w:ascii="Times New Roman" w:eastAsia="Times New Roman" w:hAnsi="Times New Roman" w:cs="Times New Roman"/>
        </w:rPr>
        <w:t>ečenim uznapredovalim CD20 pozitivnim DLBCL-om/BL-om/B-AL-om/BLL-om u načelu je s obzirom na vrstu, prirodu i težinu neželjenih dejstava odgovarao poznatom bezb</w:t>
      </w:r>
      <w:r w:rsidR="00F06925" w:rsidRPr="003A22B9">
        <w:rPr>
          <w:rFonts w:ascii="Times New Roman" w:eastAsia="Times New Roman" w:hAnsi="Times New Roman" w:cs="Times New Roman"/>
        </w:rPr>
        <w:t>j</w:t>
      </w:r>
      <w:r w:rsidRPr="003A22B9">
        <w:rPr>
          <w:rFonts w:ascii="Times New Roman" w:eastAsia="Times New Roman" w:hAnsi="Times New Roman" w:cs="Times New Roman"/>
        </w:rPr>
        <w:t>ednosnom profilu uočenom</w:t>
      </w:r>
      <w:r w:rsidR="00F06925" w:rsidRPr="003A22B9">
        <w:rPr>
          <w:rFonts w:ascii="Times New Roman" w:eastAsia="Times New Roman" w:hAnsi="Times New Roman" w:cs="Times New Roman"/>
        </w:rPr>
        <w:t xml:space="preserve"> </w:t>
      </w:r>
      <w:r w:rsidRPr="003A22B9">
        <w:rPr>
          <w:rFonts w:ascii="Times New Roman" w:eastAsia="Times New Roman" w:hAnsi="Times New Roman" w:cs="Times New Roman"/>
          <w:lang w:val="it-IT"/>
        </w:rPr>
        <w:t>kod odraslih pacijenata sa NHL-om i HLL-om. Dodavanje rituksimaba hemioterapiji dovelo je do povećanog rizika od nekih događaja, uključujući infekcije (uključujući sepsu), u odnosu na l</w:t>
      </w:r>
      <w:r w:rsidR="00FB6EF6"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ečenje samo hemioterapijom.</w:t>
      </w:r>
    </w:p>
    <w:p w14:paraId="358587E3" w14:textId="77777777" w:rsidR="00D318FF" w:rsidRPr="003A22B9" w:rsidRDefault="00D318FF" w:rsidP="00A75B47">
      <w:pPr>
        <w:spacing w:after="0" w:line="240" w:lineRule="auto"/>
        <w:jc w:val="both"/>
        <w:rPr>
          <w:rFonts w:ascii="Times New Roman" w:eastAsia="Times New Roman" w:hAnsi="Times New Roman" w:cs="Times New Roman"/>
          <w:lang w:val="sr-Latn-ME"/>
        </w:rPr>
      </w:pPr>
    </w:p>
    <w:p w14:paraId="21A6086B"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Iskustva za reumatoidni artritis </w:t>
      </w:r>
    </w:p>
    <w:p w14:paraId="799DBF9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3CD0CEE"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Sažetak bezbjednosnog profila</w:t>
      </w:r>
    </w:p>
    <w:p w14:paraId="5C75DC1A"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p>
    <w:p w14:paraId="3089C2E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Ukupan bezbjednosni profil rituksimaba u terapiji reumatoidnog artritisa zasnovan je na podacima pacijenata iz kliničkih studija i postmarketinškog praćenja.</w:t>
      </w:r>
    </w:p>
    <w:p w14:paraId="3006587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E7C39BF" w14:textId="423FEE0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Bezbjednosni profil rituksimaba kod pacijenata sa srednje teškim ili teškim reumatoidnim artritisom (RA) je sumiran u donjem </w:t>
      </w:r>
      <w:r w:rsidR="00526916" w:rsidRPr="003A22B9">
        <w:rPr>
          <w:rFonts w:ascii="Times New Roman" w:eastAsia="Times New Roman" w:hAnsi="Times New Roman" w:cs="Times New Roman"/>
          <w:lang w:val="sr-Latn-ME"/>
        </w:rPr>
        <w:t>dijelu</w:t>
      </w:r>
      <w:r w:rsidRPr="003A22B9">
        <w:rPr>
          <w:rFonts w:ascii="Times New Roman" w:eastAsia="Times New Roman" w:hAnsi="Times New Roman" w:cs="Times New Roman"/>
          <w:lang w:val="sr-Latn-ME"/>
        </w:rPr>
        <w:t>.</w:t>
      </w:r>
      <w:r w:rsidR="00526916"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U kliničkim studijama više od 3100 pacijenata je primilo bar jedan ciklus liječenja i bili su praćeni tokom perioda od 6 mjeseci do preko 5 godina; skoro 2400 pacijenata je primilo dva ili više ciklusa terapije, dok je više od 1000 pacijenata primilo 5 ili više ciklusa terapije. Bezbjednosne informacije koje su prikupljene tokom postmarketinškog praćenja odražavaju očekivani profil neželjenih reakcija koji je primijećen i u kliničkim studijama za rituksimab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w:t>
      </w:r>
    </w:p>
    <w:p w14:paraId="7EC04BE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22C859B" w14:textId="6AF0D06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Pacijenti su primali 2 x 1000 mg rituksimaba odvojeno u intervalima od dvije ned</w:t>
      </w:r>
      <w:r w:rsidR="00632E00">
        <w:rPr>
          <w:rFonts w:ascii="Times New Roman" w:eastAsia="Times New Roman" w:hAnsi="Times New Roman" w:cs="Times New Roman"/>
          <w:lang w:val="sr-Latn-ME"/>
        </w:rPr>
        <w:t>j</w:t>
      </w:r>
      <w:r w:rsidRPr="003A22B9">
        <w:rPr>
          <w:rFonts w:ascii="Times New Roman" w:eastAsia="Times New Roman" w:hAnsi="Times New Roman" w:cs="Times New Roman"/>
          <w:lang w:val="sr-Latn-ME"/>
        </w:rPr>
        <w:t>elje</w:t>
      </w:r>
      <w:r w:rsidRPr="00977A0E">
        <w:rPr>
          <w:rFonts w:ascii="Times New Roman" w:eastAsia="Times New Roman" w:hAnsi="Times New Roman" w:cs="Times New Roman"/>
          <w:lang w:val="sr-Latn-ME"/>
        </w:rPr>
        <w:t>; uz to je davan metotreksat</w:t>
      </w:r>
      <w:r w:rsidRPr="003A22B9">
        <w:rPr>
          <w:rFonts w:ascii="Times New Roman" w:eastAsia="Times New Roman" w:hAnsi="Times New Roman" w:cs="Times New Roman"/>
          <w:lang w:val="sr-Latn-ME"/>
        </w:rPr>
        <w:t xml:space="preserve"> (10-25 mg nedeljno). Infuzije rituksimaba primjenjivane su poslije intravenske infuzije od 100 mg metilprednizolona; pacijenti su takođe dobijali i terapiju oralnim prednizonom tokom 15 dana. </w:t>
      </w:r>
    </w:p>
    <w:p w14:paraId="710E570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E2ECCCA"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Tabelarni prikaz neželjenih reakcija</w:t>
      </w:r>
    </w:p>
    <w:p w14:paraId="7473426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4C7BEF8" w14:textId="6C2155D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Neželjene reakcije navedene su u Tabeli </w:t>
      </w:r>
      <w:r w:rsidR="00C072B5" w:rsidRPr="003A22B9">
        <w:rPr>
          <w:rFonts w:ascii="Times New Roman" w:eastAsia="Times New Roman" w:hAnsi="Times New Roman" w:cs="Times New Roman"/>
          <w:lang w:val="sr-Latn-ME"/>
        </w:rPr>
        <w:t>4</w:t>
      </w:r>
      <w:r w:rsidRPr="003A22B9">
        <w:rPr>
          <w:rFonts w:ascii="Times New Roman" w:eastAsia="Times New Roman" w:hAnsi="Times New Roman" w:cs="Times New Roman"/>
          <w:lang w:val="sr-Latn-ME"/>
        </w:rPr>
        <w:t>. Učestalost je definisana kao veoma često (≥ 1/10); često (≥ 1/100 do &lt; 1/10); povremeno (≥ 1/1000 do &lt; 1/100), rijetko (≥ 1/10000 do &lt; 1/1000), veoma rijetko (&lt;1/10000)</w:t>
      </w:r>
      <w:r w:rsidR="00450742" w:rsidRPr="003A22B9">
        <w:rPr>
          <w:rFonts w:ascii="Times New Roman" w:eastAsia="Times New Roman" w:hAnsi="Times New Roman" w:cs="Times New Roman"/>
          <w:lang w:val="sr-Latn-ME"/>
        </w:rPr>
        <w:t xml:space="preserve"> i nepoznato (ne može se procjeniti na osnovu dostupnih podataka)</w:t>
      </w:r>
      <w:r w:rsidRPr="003A22B9">
        <w:rPr>
          <w:rFonts w:ascii="Times New Roman" w:eastAsia="Times New Roman" w:hAnsi="Times New Roman" w:cs="Times New Roman"/>
          <w:lang w:val="sr-Latn-ME"/>
        </w:rPr>
        <w:t xml:space="preserve">. U okviru svake grupe učestalosti, neželjena dejstva su predstavljena po opadajućem redosljedu ozbiljnosti simptoma. </w:t>
      </w:r>
    </w:p>
    <w:p w14:paraId="7DF5D74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B50BEEB" w14:textId="4F245D5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Najčešće neželjene reakcije za koje se smatra da su posljedica primanja rituksimaba su bile reakcije vezane za infuziju (IRR). Ukupna incidenca javljanja IRR u kliničkim studijama je bila 23% sa prvom infuzijom i smanjivala se sa svakom sljedećom infuzijom. Ozbiljne IRR su se javljale povremeno (0.5% pacijenata) i uglavnom su primijećene tokom početnog ciklusa liječenja. Pored neželjenih reakcija viđenih u kliničkim studijama za reumatoidni artritis sa rituksimabom, prijavljeni su i slučajevi progresivne multifokalne leukoencefalopatije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 i reakcije slične serumskoj bolesti tokom postmarketinškog praćenja.</w:t>
      </w:r>
    </w:p>
    <w:p w14:paraId="43B92E9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23D1BF1" w14:textId="6CDF4889"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103A6B" w:rsidRPr="003A22B9">
        <w:rPr>
          <w:rFonts w:ascii="Times New Roman" w:eastAsia="Times New Roman" w:hAnsi="Times New Roman" w:cs="Times New Roman"/>
          <w:b/>
          <w:lang w:val="sr-Latn-ME"/>
        </w:rPr>
        <w:t>4</w:t>
      </w:r>
      <w:r w:rsidRPr="003A22B9">
        <w:rPr>
          <w:rFonts w:ascii="Times New Roman" w:eastAsia="Times New Roman" w:hAnsi="Times New Roman" w:cs="Times New Roman"/>
          <w:b/>
          <w:lang w:val="sr-Latn-ME"/>
        </w:rPr>
        <w:t>. Prikaz neželjenih reakcija na lijek koje su se javljale kod pacijenata sa reumatoidnim artritisom koji su dobijali rituksimab u kliničkim studijama ili tokom postmarketinškog praćenja</w:t>
      </w:r>
    </w:p>
    <w:p w14:paraId="6D65B228" w14:textId="77777777" w:rsidR="00D64A2E" w:rsidRPr="003A22B9" w:rsidRDefault="00D64A2E" w:rsidP="00A75B47">
      <w:pPr>
        <w:spacing w:after="0" w:line="240" w:lineRule="auto"/>
        <w:jc w:val="both"/>
        <w:rPr>
          <w:rFonts w:ascii="Times New Roman" w:eastAsia="Times New Roman" w:hAnsi="Times New Roman" w:cs="Times New Roman"/>
          <w:b/>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17"/>
        <w:gridCol w:w="1418"/>
        <w:gridCol w:w="1276"/>
        <w:gridCol w:w="992"/>
        <w:gridCol w:w="1276"/>
        <w:gridCol w:w="1269"/>
      </w:tblGrid>
      <w:tr w:rsidR="006164B1" w:rsidRPr="003A22B9" w14:paraId="45A0CECF" w14:textId="2FD7383B" w:rsidTr="006164B1">
        <w:tc>
          <w:tcPr>
            <w:tcW w:w="1413" w:type="dxa"/>
            <w:shd w:val="clear" w:color="auto" w:fill="auto"/>
          </w:tcPr>
          <w:p w14:paraId="71709EEA" w14:textId="4CEEA1CF"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MedDRA klasa sistema organa</w:t>
            </w:r>
          </w:p>
        </w:tc>
        <w:tc>
          <w:tcPr>
            <w:tcW w:w="1417" w:type="dxa"/>
            <w:shd w:val="clear" w:color="auto" w:fill="auto"/>
          </w:tcPr>
          <w:p w14:paraId="088D76EA"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Veoma </w:t>
            </w:r>
          </w:p>
          <w:p w14:paraId="3617A4E2"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često</w:t>
            </w:r>
          </w:p>
        </w:tc>
        <w:tc>
          <w:tcPr>
            <w:tcW w:w="1418" w:type="dxa"/>
            <w:shd w:val="clear" w:color="auto" w:fill="auto"/>
          </w:tcPr>
          <w:p w14:paraId="441D3C95"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Često</w:t>
            </w:r>
          </w:p>
        </w:tc>
        <w:tc>
          <w:tcPr>
            <w:tcW w:w="1276" w:type="dxa"/>
            <w:shd w:val="clear" w:color="auto" w:fill="auto"/>
          </w:tcPr>
          <w:p w14:paraId="30A9E8BC"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Povremeno</w:t>
            </w:r>
          </w:p>
        </w:tc>
        <w:tc>
          <w:tcPr>
            <w:tcW w:w="992" w:type="dxa"/>
            <w:shd w:val="clear" w:color="auto" w:fill="auto"/>
          </w:tcPr>
          <w:p w14:paraId="01524E84"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Rijetko</w:t>
            </w:r>
          </w:p>
        </w:tc>
        <w:tc>
          <w:tcPr>
            <w:tcW w:w="1276" w:type="dxa"/>
            <w:shd w:val="clear" w:color="auto" w:fill="auto"/>
          </w:tcPr>
          <w:p w14:paraId="4D9AC5BD"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Veoma rijetko</w:t>
            </w:r>
          </w:p>
        </w:tc>
        <w:tc>
          <w:tcPr>
            <w:tcW w:w="1269" w:type="dxa"/>
          </w:tcPr>
          <w:p w14:paraId="6E94EAED" w14:textId="4BF9A30E"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Nepoznato</w:t>
            </w:r>
          </w:p>
        </w:tc>
      </w:tr>
      <w:tr w:rsidR="006164B1" w:rsidRPr="003A22B9" w14:paraId="352619DA" w14:textId="6205687A" w:rsidTr="006164B1">
        <w:tc>
          <w:tcPr>
            <w:tcW w:w="1413" w:type="dxa"/>
            <w:shd w:val="clear" w:color="auto" w:fill="auto"/>
          </w:tcPr>
          <w:p w14:paraId="452AB6C3"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lastRenderedPageBreak/>
              <w:t>Infekcije i infestacije</w:t>
            </w:r>
          </w:p>
        </w:tc>
        <w:tc>
          <w:tcPr>
            <w:tcW w:w="1417" w:type="dxa"/>
            <w:shd w:val="clear" w:color="auto" w:fill="auto"/>
          </w:tcPr>
          <w:p w14:paraId="12B22F55"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Infekcija gornjeg respiratornog trakta, infekcija urinarnog trakta</w:t>
            </w:r>
          </w:p>
        </w:tc>
        <w:tc>
          <w:tcPr>
            <w:tcW w:w="1418" w:type="dxa"/>
            <w:shd w:val="clear" w:color="auto" w:fill="auto"/>
          </w:tcPr>
          <w:p w14:paraId="58CE9736"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Bronhitis, sinuzitis, gastroenteritis, tinea pedis</w:t>
            </w:r>
          </w:p>
        </w:tc>
        <w:tc>
          <w:tcPr>
            <w:tcW w:w="1276" w:type="dxa"/>
            <w:shd w:val="clear" w:color="auto" w:fill="auto"/>
          </w:tcPr>
          <w:p w14:paraId="088BC976"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75BC7B59"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5AD4EA1C" w14:textId="411E1040"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PML, reaktivacija hepatitisa B</w:t>
            </w:r>
          </w:p>
        </w:tc>
        <w:tc>
          <w:tcPr>
            <w:tcW w:w="1269" w:type="dxa"/>
          </w:tcPr>
          <w:p w14:paraId="1C72A9F2" w14:textId="77777777" w:rsidR="006164B1" w:rsidRDefault="006164B1" w:rsidP="00A75B47">
            <w:pPr>
              <w:spacing w:after="0" w:line="240" w:lineRule="auto"/>
              <w:jc w:val="both"/>
              <w:rPr>
                <w:rFonts w:ascii="Times New Roman" w:eastAsia="Times New Roman" w:hAnsi="Times New Roman" w:cs="Times New Roman"/>
                <w:vertAlign w:val="superscript"/>
                <w:lang w:val="sr-Latn-ME"/>
              </w:rPr>
            </w:pPr>
            <w:r w:rsidRPr="003A22B9">
              <w:rPr>
                <w:rFonts w:ascii="Times New Roman" w:eastAsia="Times New Roman" w:hAnsi="Times New Roman" w:cs="Times New Roman"/>
                <w:lang w:val="sr-Latn-ME"/>
              </w:rPr>
              <w:t>Ozbiljna virusna infekcija</w:t>
            </w:r>
            <w:r w:rsidRPr="00B7374A">
              <w:rPr>
                <w:rFonts w:ascii="Times New Roman" w:eastAsia="Times New Roman" w:hAnsi="Times New Roman" w:cs="Times New Roman"/>
                <w:vertAlign w:val="superscript"/>
                <w:lang w:val="sr-Latn-ME"/>
              </w:rPr>
              <w:t>1</w:t>
            </w:r>
          </w:p>
          <w:p w14:paraId="0485FD32" w14:textId="7DAD559C" w:rsidR="000932A1" w:rsidRPr="003A22B9" w:rsidRDefault="000932A1" w:rsidP="00A75B47">
            <w:pPr>
              <w:spacing w:after="0" w:line="240" w:lineRule="auto"/>
              <w:jc w:val="both"/>
              <w:rPr>
                <w:rFonts w:ascii="Times New Roman" w:eastAsia="Times New Roman" w:hAnsi="Times New Roman" w:cs="Times New Roman"/>
                <w:lang w:val="sr-Latn-ME"/>
              </w:rPr>
            </w:pPr>
            <w:r w:rsidRPr="000932A1">
              <w:rPr>
                <w:rFonts w:ascii="Times New Roman" w:eastAsia="Times New Roman" w:hAnsi="Times New Roman" w:cs="Times New Roman"/>
                <w:lang w:val="sr-Latn-ME"/>
              </w:rPr>
              <w:t>Enterovirusni meningoencefalitis</w:t>
            </w:r>
            <w:r w:rsidRPr="00B7374A">
              <w:rPr>
                <w:rFonts w:ascii="Times New Roman" w:eastAsia="Times New Roman" w:hAnsi="Times New Roman" w:cs="Times New Roman"/>
                <w:vertAlign w:val="superscript"/>
                <w:lang w:val="sr-Latn-ME"/>
              </w:rPr>
              <w:t>2</w:t>
            </w:r>
          </w:p>
        </w:tc>
      </w:tr>
      <w:tr w:rsidR="006164B1" w:rsidRPr="003A22B9" w14:paraId="448EFA94" w14:textId="234F17B8" w:rsidTr="006164B1">
        <w:tc>
          <w:tcPr>
            <w:tcW w:w="1413" w:type="dxa"/>
            <w:shd w:val="clear" w:color="auto" w:fill="auto"/>
          </w:tcPr>
          <w:p w14:paraId="11BA8655"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krvi i limfnog sistema</w:t>
            </w:r>
          </w:p>
        </w:tc>
        <w:tc>
          <w:tcPr>
            <w:tcW w:w="1417" w:type="dxa"/>
            <w:shd w:val="clear" w:color="auto" w:fill="auto"/>
          </w:tcPr>
          <w:p w14:paraId="3BC01EF4"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547059B2" w14:textId="3CD23BB0" w:rsidR="006164B1" w:rsidRPr="003A22B9" w:rsidRDefault="000932A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Neutropenija</w:t>
            </w:r>
            <w:r>
              <w:rPr>
                <w:rFonts w:ascii="Times New Roman" w:eastAsia="Times New Roman" w:hAnsi="Times New Roman" w:cs="Times New Roman"/>
                <w:vertAlign w:val="superscript"/>
                <w:lang w:val="sr-Latn-ME"/>
              </w:rPr>
              <w:t>3</w:t>
            </w:r>
          </w:p>
        </w:tc>
        <w:tc>
          <w:tcPr>
            <w:tcW w:w="1276" w:type="dxa"/>
            <w:shd w:val="clear" w:color="auto" w:fill="auto"/>
          </w:tcPr>
          <w:p w14:paraId="752DE072"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7C086CFF" w14:textId="464BEE4B"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Odložena </w:t>
            </w:r>
            <w:r w:rsidR="000932A1" w:rsidRPr="003A22B9">
              <w:rPr>
                <w:rFonts w:ascii="Times New Roman" w:eastAsia="Times New Roman" w:hAnsi="Times New Roman" w:cs="Times New Roman"/>
                <w:lang w:val="sr-Latn-ME"/>
              </w:rPr>
              <w:t>neutropenija</w:t>
            </w:r>
            <w:r w:rsidR="000932A1">
              <w:rPr>
                <w:rFonts w:ascii="Times New Roman" w:eastAsia="Times New Roman" w:hAnsi="Times New Roman" w:cs="Times New Roman"/>
                <w:vertAlign w:val="superscript"/>
                <w:lang w:val="sr-Latn-ME"/>
              </w:rPr>
              <w:t>4</w:t>
            </w:r>
          </w:p>
        </w:tc>
        <w:tc>
          <w:tcPr>
            <w:tcW w:w="1276" w:type="dxa"/>
            <w:shd w:val="clear" w:color="auto" w:fill="auto"/>
          </w:tcPr>
          <w:p w14:paraId="6A4A6EF1"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Reakcija slična serumskoj bolesti</w:t>
            </w:r>
          </w:p>
        </w:tc>
        <w:tc>
          <w:tcPr>
            <w:tcW w:w="1269" w:type="dxa"/>
          </w:tcPr>
          <w:p w14:paraId="2C4DBC4C"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53F8CEF7" w14:textId="3D3D69E7" w:rsidTr="006164B1">
        <w:tc>
          <w:tcPr>
            <w:tcW w:w="1413" w:type="dxa"/>
            <w:shd w:val="clear" w:color="auto" w:fill="auto"/>
          </w:tcPr>
          <w:p w14:paraId="3C2FD03D"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imunog sistema</w:t>
            </w:r>
          </w:p>
        </w:tc>
        <w:tc>
          <w:tcPr>
            <w:tcW w:w="1417" w:type="dxa"/>
            <w:vMerge w:val="restart"/>
            <w:shd w:val="clear" w:color="auto" w:fill="auto"/>
          </w:tcPr>
          <w:p w14:paraId="11549126" w14:textId="2C9F0586"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Reakcije vezane za </w:t>
            </w:r>
            <w:r w:rsidR="000932A1" w:rsidRPr="003A22B9">
              <w:rPr>
                <w:rFonts w:ascii="Times New Roman" w:eastAsia="Times New Roman" w:hAnsi="Times New Roman" w:cs="Times New Roman"/>
                <w:lang w:val="sr-Latn-ME"/>
              </w:rPr>
              <w:t>infuziju</w:t>
            </w:r>
            <w:r w:rsidR="000932A1">
              <w:rPr>
                <w:rFonts w:ascii="Times New Roman" w:eastAsia="Times New Roman" w:hAnsi="Times New Roman" w:cs="Times New Roman"/>
                <w:vertAlign w:val="superscript"/>
                <w:lang w:val="sr-Latn-ME"/>
              </w:rPr>
              <w:t>5</w:t>
            </w:r>
            <w:r w:rsidR="000932A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(hipertenzija, mučnina, osip, pireksija, pruritus, urtikarija, iritacija grla, valunzi, hipotenzija, rinitis, drhtavica, tahikardija, umor, </w:t>
            </w:r>
            <w:r w:rsidRPr="003A22B9">
              <w:rPr>
                <w:rFonts w:ascii="Times New Roman" w:eastAsia="Times New Roman" w:hAnsi="Times New Roman" w:cs="Times New Roman"/>
                <w:iCs/>
                <w:shd w:val="clear" w:color="auto" w:fill="FFFFFF"/>
                <w:lang w:val="sr-Latn-ME"/>
              </w:rPr>
              <w:t>orofaringealni bol</w:t>
            </w:r>
            <w:r w:rsidRPr="003A22B9">
              <w:rPr>
                <w:rFonts w:ascii="Times New Roman" w:eastAsia="Times New Roman" w:hAnsi="Times New Roman" w:cs="Times New Roman"/>
                <w:i/>
                <w:lang w:val="sr-Latn-ME"/>
              </w:rPr>
              <w:t>,</w:t>
            </w:r>
            <w:r w:rsidRPr="003A22B9">
              <w:rPr>
                <w:rFonts w:ascii="Times New Roman" w:eastAsia="Times New Roman" w:hAnsi="Times New Roman" w:cs="Times New Roman"/>
                <w:lang w:val="sr-Latn-ME"/>
              </w:rPr>
              <w:t xml:space="preserve"> periferni edem, eritem)</w:t>
            </w:r>
          </w:p>
        </w:tc>
        <w:tc>
          <w:tcPr>
            <w:tcW w:w="1418" w:type="dxa"/>
            <w:vMerge w:val="restart"/>
            <w:shd w:val="clear" w:color="auto" w:fill="auto"/>
          </w:tcPr>
          <w:p w14:paraId="7451223D"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vMerge w:val="restart"/>
            <w:shd w:val="clear" w:color="auto" w:fill="auto"/>
          </w:tcPr>
          <w:p w14:paraId="679B6A48" w14:textId="4F614630"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Reakcije vezane za </w:t>
            </w:r>
            <w:r w:rsidR="000932A1" w:rsidRPr="003A22B9">
              <w:rPr>
                <w:rFonts w:ascii="Times New Roman" w:eastAsia="Times New Roman" w:hAnsi="Times New Roman" w:cs="Times New Roman"/>
                <w:lang w:val="sr-Latn-ME"/>
              </w:rPr>
              <w:t>infuziju</w:t>
            </w:r>
            <w:r w:rsidR="000932A1">
              <w:rPr>
                <w:rFonts w:ascii="Times New Roman" w:eastAsia="Times New Roman" w:hAnsi="Times New Roman" w:cs="Times New Roman"/>
                <w:vertAlign w:val="superscript"/>
                <w:lang w:val="sr-Latn-ME"/>
              </w:rPr>
              <w:t>5</w:t>
            </w:r>
            <w:r w:rsidR="000932A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(generalizovani edem, bronhospazam, zviždanje u plućima, edem larinksa, angioneurotski edem, generalizovani pruritus, anafilaksa, anafilaktoidna reakcija)</w:t>
            </w:r>
          </w:p>
        </w:tc>
        <w:tc>
          <w:tcPr>
            <w:tcW w:w="992" w:type="dxa"/>
            <w:vMerge w:val="restart"/>
            <w:shd w:val="clear" w:color="auto" w:fill="auto"/>
          </w:tcPr>
          <w:p w14:paraId="50492A31"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vMerge w:val="restart"/>
            <w:shd w:val="clear" w:color="auto" w:fill="auto"/>
          </w:tcPr>
          <w:p w14:paraId="21E47212"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7814A8E4"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10AF04D0" w14:textId="4BA03B32" w:rsidTr="006164B1">
        <w:tc>
          <w:tcPr>
            <w:tcW w:w="1413" w:type="dxa"/>
            <w:shd w:val="clear" w:color="auto" w:fill="auto"/>
          </w:tcPr>
          <w:p w14:paraId="0B28BCF0"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Opšti poremećaji i reakcije na mjestu primjene</w:t>
            </w:r>
          </w:p>
        </w:tc>
        <w:tc>
          <w:tcPr>
            <w:tcW w:w="1417" w:type="dxa"/>
            <w:vMerge/>
            <w:shd w:val="clear" w:color="auto" w:fill="auto"/>
          </w:tcPr>
          <w:p w14:paraId="34E5098C"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vMerge/>
            <w:shd w:val="clear" w:color="auto" w:fill="auto"/>
          </w:tcPr>
          <w:p w14:paraId="51AC08D7"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vMerge/>
            <w:shd w:val="clear" w:color="auto" w:fill="auto"/>
          </w:tcPr>
          <w:p w14:paraId="4FDBF6CC"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vMerge/>
            <w:shd w:val="clear" w:color="auto" w:fill="auto"/>
          </w:tcPr>
          <w:p w14:paraId="4497D005"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vMerge/>
            <w:shd w:val="clear" w:color="auto" w:fill="auto"/>
          </w:tcPr>
          <w:p w14:paraId="0F14167A"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5D0BDD7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6360EAD6" w14:textId="2B3C9C3D" w:rsidTr="006164B1">
        <w:tc>
          <w:tcPr>
            <w:tcW w:w="1413" w:type="dxa"/>
            <w:shd w:val="clear" w:color="auto" w:fill="auto"/>
          </w:tcPr>
          <w:p w14:paraId="255865C6"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metabolizma i ishrane</w:t>
            </w:r>
          </w:p>
        </w:tc>
        <w:tc>
          <w:tcPr>
            <w:tcW w:w="1417" w:type="dxa"/>
            <w:shd w:val="clear" w:color="auto" w:fill="auto"/>
          </w:tcPr>
          <w:p w14:paraId="4B4517F9"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34B58A64"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Hiperholesterolemija</w:t>
            </w:r>
          </w:p>
        </w:tc>
        <w:tc>
          <w:tcPr>
            <w:tcW w:w="1276" w:type="dxa"/>
            <w:shd w:val="clear" w:color="auto" w:fill="auto"/>
          </w:tcPr>
          <w:p w14:paraId="338AFD7D"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762B721C"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7BC583DF"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4F42A0D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5B0E5510" w14:textId="4A21E373" w:rsidTr="006164B1">
        <w:tc>
          <w:tcPr>
            <w:tcW w:w="1413" w:type="dxa"/>
            <w:shd w:val="clear" w:color="auto" w:fill="auto"/>
          </w:tcPr>
          <w:p w14:paraId="181DF214"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Psihijatrijski poremećaji</w:t>
            </w:r>
          </w:p>
        </w:tc>
        <w:tc>
          <w:tcPr>
            <w:tcW w:w="1417" w:type="dxa"/>
            <w:shd w:val="clear" w:color="auto" w:fill="auto"/>
          </w:tcPr>
          <w:p w14:paraId="4FDCB70A"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6166E94D"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Depresija, anskioznost</w:t>
            </w:r>
          </w:p>
        </w:tc>
        <w:tc>
          <w:tcPr>
            <w:tcW w:w="1276" w:type="dxa"/>
            <w:shd w:val="clear" w:color="auto" w:fill="auto"/>
          </w:tcPr>
          <w:p w14:paraId="441113AD"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5E2CB27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73C80254"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111F9037"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0DAA6211" w14:textId="02EC54DE" w:rsidTr="006164B1">
        <w:tc>
          <w:tcPr>
            <w:tcW w:w="1413" w:type="dxa"/>
            <w:shd w:val="clear" w:color="auto" w:fill="auto"/>
          </w:tcPr>
          <w:p w14:paraId="4FE22D17"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nervnog sistema</w:t>
            </w:r>
          </w:p>
        </w:tc>
        <w:tc>
          <w:tcPr>
            <w:tcW w:w="1417" w:type="dxa"/>
            <w:shd w:val="clear" w:color="auto" w:fill="auto"/>
          </w:tcPr>
          <w:p w14:paraId="32E8A2DF"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Glavobolja</w:t>
            </w:r>
          </w:p>
        </w:tc>
        <w:tc>
          <w:tcPr>
            <w:tcW w:w="1418" w:type="dxa"/>
            <w:shd w:val="clear" w:color="auto" w:fill="auto"/>
          </w:tcPr>
          <w:p w14:paraId="21BD24D9"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Parestezija, migrena, vrtoglavica, išijas</w:t>
            </w:r>
          </w:p>
        </w:tc>
        <w:tc>
          <w:tcPr>
            <w:tcW w:w="1276" w:type="dxa"/>
            <w:shd w:val="clear" w:color="auto" w:fill="auto"/>
          </w:tcPr>
          <w:p w14:paraId="703B5885"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2FBFCF4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6C803627"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3F8075AE"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045B260B" w14:textId="3E2F746C" w:rsidTr="006164B1">
        <w:tc>
          <w:tcPr>
            <w:tcW w:w="1413" w:type="dxa"/>
            <w:shd w:val="clear" w:color="auto" w:fill="auto"/>
          </w:tcPr>
          <w:p w14:paraId="5C80EF3B"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Kardiološki poremećaji</w:t>
            </w:r>
          </w:p>
        </w:tc>
        <w:tc>
          <w:tcPr>
            <w:tcW w:w="1417" w:type="dxa"/>
            <w:shd w:val="clear" w:color="auto" w:fill="auto"/>
          </w:tcPr>
          <w:p w14:paraId="59668818"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4D7FDC81"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3D3B2E42"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226A7B4F"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Angina pektoris, atrijalna fibrilacija, srčana insuficijencija, infarkt miokarda</w:t>
            </w:r>
          </w:p>
        </w:tc>
        <w:tc>
          <w:tcPr>
            <w:tcW w:w="1276" w:type="dxa"/>
            <w:shd w:val="clear" w:color="auto" w:fill="auto"/>
          </w:tcPr>
          <w:p w14:paraId="6A095DAA"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Atrijalni flater</w:t>
            </w:r>
          </w:p>
        </w:tc>
        <w:tc>
          <w:tcPr>
            <w:tcW w:w="1269" w:type="dxa"/>
          </w:tcPr>
          <w:p w14:paraId="3D922668"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00BA432A" w14:textId="2AD82F16" w:rsidTr="006164B1">
        <w:tc>
          <w:tcPr>
            <w:tcW w:w="1413" w:type="dxa"/>
            <w:shd w:val="clear" w:color="auto" w:fill="auto"/>
          </w:tcPr>
          <w:p w14:paraId="37CF1AF6"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Gastrointestinalni poremećaji</w:t>
            </w:r>
          </w:p>
        </w:tc>
        <w:tc>
          <w:tcPr>
            <w:tcW w:w="1417" w:type="dxa"/>
            <w:shd w:val="clear" w:color="auto" w:fill="auto"/>
          </w:tcPr>
          <w:p w14:paraId="1F4A143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77F6CC22"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Dispepsija, dijareja, gastroezofagealni refluks, ulceracije u </w:t>
            </w:r>
            <w:r w:rsidRPr="003A22B9">
              <w:rPr>
                <w:rFonts w:ascii="Times New Roman" w:eastAsia="Times New Roman" w:hAnsi="Times New Roman" w:cs="Times New Roman"/>
                <w:lang w:val="sr-Latn-ME"/>
              </w:rPr>
              <w:lastRenderedPageBreak/>
              <w:t>ustima, bol u gornjem abdomenu</w:t>
            </w:r>
          </w:p>
        </w:tc>
        <w:tc>
          <w:tcPr>
            <w:tcW w:w="1276" w:type="dxa"/>
            <w:shd w:val="clear" w:color="auto" w:fill="auto"/>
          </w:tcPr>
          <w:p w14:paraId="5202371A"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3A08B8F0"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7BAB9684"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42932786"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501BC497" w14:textId="226012ED" w:rsidTr="006164B1">
        <w:trPr>
          <w:trHeight w:val="2138"/>
        </w:trPr>
        <w:tc>
          <w:tcPr>
            <w:tcW w:w="1413" w:type="dxa"/>
            <w:shd w:val="clear" w:color="auto" w:fill="auto"/>
          </w:tcPr>
          <w:p w14:paraId="04AF4374"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lastRenderedPageBreak/>
              <w:t>Poremećaji kože i potkožnog tkiva</w:t>
            </w:r>
          </w:p>
        </w:tc>
        <w:tc>
          <w:tcPr>
            <w:tcW w:w="1417" w:type="dxa"/>
            <w:shd w:val="clear" w:color="auto" w:fill="auto"/>
          </w:tcPr>
          <w:p w14:paraId="52BB7E86"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7DF1C7A8"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Alopecija</w:t>
            </w:r>
          </w:p>
        </w:tc>
        <w:tc>
          <w:tcPr>
            <w:tcW w:w="1276" w:type="dxa"/>
            <w:shd w:val="clear" w:color="auto" w:fill="auto"/>
          </w:tcPr>
          <w:p w14:paraId="3F8564FA"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7B7FA8DA"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6B7DB1D2" w14:textId="4B70CF0C"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Toksična epidermalana nekroliza (Lielov sidnrom) i Stevens- Džonsonov </w:t>
            </w:r>
            <w:r w:rsidR="000932A1" w:rsidRPr="003A22B9">
              <w:rPr>
                <w:rFonts w:ascii="Times New Roman" w:eastAsia="Times New Roman" w:hAnsi="Times New Roman" w:cs="Times New Roman"/>
                <w:lang w:val="sr-Latn-ME"/>
              </w:rPr>
              <w:t>sindrom</w:t>
            </w:r>
            <w:r w:rsidR="000932A1">
              <w:rPr>
                <w:rFonts w:ascii="Times New Roman" w:eastAsia="Times New Roman" w:hAnsi="Times New Roman" w:cs="Times New Roman"/>
                <w:vertAlign w:val="superscript"/>
                <w:lang w:val="sr-Latn-ME"/>
              </w:rPr>
              <w:t>7</w:t>
            </w:r>
          </w:p>
        </w:tc>
        <w:tc>
          <w:tcPr>
            <w:tcW w:w="1269" w:type="dxa"/>
          </w:tcPr>
          <w:p w14:paraId="5AC2E05E"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6181E7D1" w14:textId="012660ED" w:rsidTr="006164B1">
        <w:tc>
          <w:tcPr>
            <w:tcW w:w="1413" w:type="dxa"/>
            <w:shd w:val="clear" w:color="auto" w:fill="auto"/>
          </w:tcPr>
          <w:p w14:paraId="5451C612"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mišićno-koštanog sistema i vezivnog tkiva</w:t>
            </w:r>
          </w:p>
        </w:tc>
        <w:tc>
          <w:tcPr>
            <w:tcW w:w="1417" w:type="dxa"/>
            <w:shd w:val="clear" w:color="auto" w:fill="auto"/>
          </w:tcPr>
          <w:p w14:paraId="60288BFC"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418" w:type="dxa"/>
            <w:shd w:val="clear" w:color="auto" w:fill="auto"/>
          </w:tcPr>
          <w:p w14:paraId="0E8F2E86" w14:textId="77777777"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Artralgija/ koštanomišićni bol, osteoartritis, burzitis</w:t>
            </w:r>
          </w:p>
        </w:tc>
        <w:tc>
          <w:tcPr>
            <w:tcW w:w="1276" w:type="dxa"/>
            <w:shd w:val="clear" w:color="auto" w:fill="auto"/>
          </w:tcPr>
          <w:p w14:paraId="25F87457"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47940725"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14E2F29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3861115B"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3FC87570" w14:textId="7EE39ECE" w:rsidTr="006164B1">
        <w:tc>
          <w:tcPr>
            <w:tcW w:w="1413" w:type="dxa"/>
            <w:shd w:val="clear" w:color="auto" w:fill="auto"/>
          </w:tcPr>
          <w:p w14:paraId="4FA73004" w14:textId="77777777" w:rsidR="006164B1" w:rsidRPr="003A22B9" w:rsidRDefault="006164B1"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Ispitivanja</w:t>
            </w:r>
          </w:p>
        </w:tc>
        <w:tc>
          <w:tcPr>
            <w:tcW w:w="1417" w:type="dxa"/>
            <w:shd w:val="clear" w:color="auto" w:fill="auto"/>
          </w:tcPr>
          <w:p w14:paraId="5BE9E34A" w14:textId="12AC7CFA"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Smanjena vrijednost </w:t>
            </w:r>
            <w:r w:rsidR="000932A1" w:rsidRPr="003A22B9">
              <w:rPr>
                <w:rFonts w:ascii="Times New Roman" w:eastAsia="Times New Roman" w:hAnsi="Times New Roman" w:cs="Times New Roman"/>
                <w:lang w:val="sr-Latn-ME"/>
              </w:rPr>
              <w:t>IgM</w:t>
            </w:r>
            <w:r w:rsidR="000932A1">
              <w:rPr>
                <w:rFonts w:ascii="Times New Roman" w:eastAsia="Times New Roman" w:hAnsi="Times New Roman" w:cs="Times New Roman"/>
                <w:vertAlign w:val="superscript"/>
                <w:lang w:val="sr-Latn-ME"/>
              </w:rPr>
              <w:t>6</w:t>
            </w:r>
          </w:p>
        </w:tc>
        <w:tc>
          <w:tcPr>
            <w:tcW w:w="1418" w:type="dxa"/>
            <w:shd w:val="clear" w:color="auto" w:fill="auto"/>
          </w:tcPr>
          <w:p w14:paraId="36C185EB" w14:textId="7483C7E6" w:rsidR="006164B1" w:rsidRPr="003A22B9"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Smanjena vrijednost </w:t>
            </w:r>
            <w:r w:rsidR="000932A1" w:rsidRPr="003A22B9">
              <w:rPr>
                <w:rFonts w:ascii="Times New Roman" w:eastAsia="Times New Roman" w:hAnsi="Times New Roman" w:cs="Times New Roman"/>
                <w:lang w:val="sr-Latn-ME"/>
              </w:rPr>
              <w:t>IgG</w:t>
            </w:r>
            <w:r w:rsidR="000932A1">
              <w:rPr>
                <w:rFonts w:ascii="Times New Roman" w:eastAsia="Times New Roman" w:hAnsi="Times New Roman" w:cs="Times New Roman"/>
                <w:vertAlign w:val="superscript"/>
                <w:lang w:val="sr-Latn-ME"/>
              </w:rPr>
              <w:t>6</w:t>
            </w:r>
          </w:p>
        </w:tc>
        <w:tc>
          <w:tcPr>
            <w:tcW w:w="1276" w:type="dxa"/>
            <w:shd w:val="clear" w:color="auto" w:fill="auto"/>
          </w:tcPr>
          <w:p w14:paraId="393B61C3"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992" w:type="dxa"/>
            <w:shd w:val="clear" w:color="auto" w:fill="auto"/>
          </w:tcPr>
          <w:p w14:paraId="36224411"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76" w:type="dxa"/>
            <w:shd w:val="clear" w:color="auto" w:fill="auto"/>
          </w:tcPr>
          <w:p w14:paraId="5B9A0BED"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c>
          <w:tcPr>
            <w:tcW w:w="1269" w:type="dxa"/>
          </w:tcPr>
          <w:p w14:paraId="7D504CD4" w14:textId="77777777" w:rsidR="006164B1" w:rsidRPr="003A22B9" w:rsidRDefault="006164B1" w:rsidP="00A75B47">
            <w:pPr>
              <w:spacing w:after="0" w:line="240" w:lineRule="auto"/>
              <w:jc w:val="both"/>
              <w:rPr>
                <w:rFonts w:ascii="Times New Roman" w:eastAsia="Times New Roman" w:hAnsi="Times New Roman" w:cs="Times New Roman"/>
                <w:lang w:val="sr-Latn-ME"/>
              </w:rPr>
            </w:pPr>
          </w:p>
        </w:tc>
      </w:tr>
      <w:tr w:rsidR="006164B1" w:rsidRPr="003A22B9" w14:paraId="72188E30" w14:textId="0CA054EF" w:rsidTr="003A22B9">
        <w:tc>
          <w:tcPr>
            <w:tcW w:w="7792" w:type="dxa"/>
            <w:gridSpan w:val="6"/>
            <w:shd w:val="clear" w:color="auto" w:fill="auto"/>
          </w:tcPr>
          <w:p w14:paraId="6273BCD2" w14:textId="0EB8902A" w:rsidR="006164B1" w:rsidRDefault="006164B1"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vertAlign w:val="superscript"/>
                <w:lang w:val="sr-Latn-ME"/>
              </w:rPr>
              <w:t xml:space="preserve">1 </w:t>
            </w:r>
            <w:r w:rsidRPr="003A22B9">
              <w:rPr>
                <w:rFonts w:ascii="Times New Roman" w:eastAsia="Times New Roman" w:hAnsi="Times New Roman" w:cs="Times New Roman"/>
                <w:lang w:val="sr-Latn-ME"/>
              </w:rPr>
              <w:t xml:space="preserve">Takođe pogledajte </w:t>
            </w:r>
            <w:r w:rsidR="00632E00">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o infekcijama u nastavku.</w:t>
            </w:r>
          </w:p>
          <w:p w14:paraId="4AF6A9F7" w14:textId="0AFF82A5" w:rsidR="000932A1" w:rsidRPr="00B7374A"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2</w:t>
            </w:r>
            <w:r>
              <w:rPr>
                <w:rFonts w:ascii="Times New Roman" w:eastAsia="Times New Roman" w:hAnsi="Times New Roman" w:cs="Times New Roman"/>
                <w:lang w:val="sr-Latn-ME"/>
              </w:rPr>
              <w:t xml:space="preserve"> Prim</w:t>
            </w:r>
            <w:r w:rsidR="00632E00">
              <w:rPr>
                <w:rFonts w:ascii="Times New Roman" w:eastAsia="Times New Roman" w:hAnsi="Times New Roman" w:cs="Times New Roman"/>
                <w:lang w:val="sr-Latn-ME"/>
              </w:rPr>
              <w:t>i</w:t>
            </w:r>
            <w:r>
              <w:rPr>
                <w:rFonts w:ascii="Times New Roman" w:eastAsia="Times New Roman" w:hAnsi="Times New Roman" w:cs="Times New Roman"/>
                <w:lang w:val="sr-Latn-ME"/>
              </w:rPr>
              <w:t>jećeno tokom post-marketinškog praćenja</w:t>
            </w:r>
          </w:p>
          <w:p w14:paraId="084E2A93" w14:textId="7E98B112" w:rsidR="006164B1"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 xml:space="preserve">3 </w:t>
            </w:r>
            <w:r w:rsidR="006164B1" w:rsidRPr="003A22B9">
              <w:rPr>
                <w:rFonts w:ascii="Times New Roman" w:eastAsia="Times New Roman" w:hAnsi="Times New Roman" w:cs="Times New Roman"/>
                <w:lang w:val="sr-Latn-ME"/>
              </w:rPr>
              <w:t xml:space="preserve">Kategorija učestalosti ustanovljena je na osnovu laboratorijskih vrijednosti koje su prikupljene tokom rutinskih laboratorijskih kontrola u kliničkim ispitivanjima </w:t>
            </w:r>
          </w:p>
          <w:p w14:paraId="39C3F78F" w14:textId="7365F2F1" w:rsidR="006164B1"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4</w:t>
            </w:r>
            <w:r w:rsidRPr="003A22B9">
              <w:rPr>
                <w:rFonts w:ascii="Times New Roman" w:eastAsia="Times New Roman" w:hAnsi="Times New Roman" w:cs="Times New Roman"/>
                <w:lang w:val="sr-Latn-ME"/>
              </w:rPr>
              <w:t xml:space="preserve"> </w:t>
            </w:r>
            <w:r w:rsidR="006164B1" w:rsidRPr="003A22B9">
              <w:rPr>
                <w:rFonts w:ascii="Times New Roman" w:eastAsia="Times New Roman" w:hAnsi="Times New Roman" w:cs="Times New Roman"/>
                <w:lang w:val="sr-Latn-ME"/>
              </w:rPr>
              <w:t xml:space="preserve">Kategorija učestalosti ustanovljena je prikupljanjem postmarketinških podataka. </w:t>
            </w:r>
          </w:p>
          <w:p w14:paraId="2DFCFE98" w14:textId="2FF38C3E" w:rsidR="006164B1"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5</w:t>
            </w:r>
            <w:r w:rsidRPr="003A22B9">
              <w:rPr>
                <w:rFonts w:ascii="Times New Roman" w:eastAsia="Times New Roman" w:hAnsi="Times New Roman" w:cs="Times New Roman"/>
                <w:lang w:val="sr-Latn-ME"/>
              </w:rPr>
              <w:t xml:space="preserve"> </w:t>
            </w:r>
            <w:r w:rsidR="006164B1" w:rsidRPr="003A22B9">
              <w:rPr>
                <w:rFonts w:ascii="Times New Roman" w:eastAsia="Times New Roman" w:hAnsi="Times New Roman" w:cs="Times New Roman"/>
                <w:lang w:val="sr-Latn-ME"/>
              </w:rPr>
              <w:t xml:space="preserve">Reakcije koje se javljaju tokom ili u roku od 24 sata od infuzije. Vidjeti takođe dio Reakcije vezane za infuziju. Reakcije vezane za infuziju mogu nastati kao rezultat preosjetljivosti i/ili usljed mehanizma dejstva. </w:t>
            </w:r>
          </w:p>
          <w:p w14:paraId="5DBFD84C" w14:textId="223876CC" w:rsidR="006164B1"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6</w:t>
            </w:r>
            <w:r w:rsidRPr="003A22B9">
              <w:rPr>
                <w:rFonts w:ascii="Times New Roman" w:eastAsia="Times New Roman" w:hAnsi="Times New Roman" w:cs="Times New Roman"/>
                <w:lang w:val="sr-Latn-ME"/>
              </w:rPr>
              <w:t xml:space="preserve"> </w:t>
            </w:r>
            <w:r w:rsidR="006164B1" w:rsidRPr="003A22B9">
              <w:rPr>
                <w:rFonts w:ascii="Times New Roman" w:eastAsia="Times New Roman" w:hAnsi="Times New Roman" w:cs="Times New Roman"/>
                <w:lang w:val="sr-Latn-ME"/>
              </w:rPr>
              <w:t xml:space="preserve">Uključuje podatke koji su prikupljeni tokom rutinskog praćenja laboratorijsih vrijednosti. </w:t>
            </w:r>
          </w:p>
          <w:p w14:paraId="23D9B59A" w14:textId="01A533F7" w:rsidR="006164B1" w:rsidRPr="003A22B9" w:rsidRDefault="000932A1" w:rsidP="00A75B47">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vertAlign w:val="superscript"/>
                <w:lang w:val="sr-Latn-ME"/>
              </w:rPr>
              <w:t>7</w:t>
            </w:r>
            <w:r w:rsidRPr="003A22B9">
              <w:rPr>
                <w:rFonts w:ascii="Times New Roman" w:eastAsia="Times New Roman" w:hAnsi="Times New Roman" w:cs="Times New Roman"/>
                <w:lang w:val="sr-Latn-ME"/>
              </w:rPr>
              <w:t xml:space="preserve"> </w:t>
            </w:r>
            <w:r w:rsidR="006164B1" w:rsidRPr="003A22B9">
              <w:rPr>
                <w:rFonts w:ascii="Times New Roman" w:eastAsia="Times New Roman" w:hAnsi="Times New Roman" w:cs="Times New Roman"/>
                <w:lang w:val="sr-Latn-ME"/>
              </w:rPr>
              <w:t>Uključuje slučajeve sa smrtnim ishodom.</w:t>
            </w:r>
          </w:p>
        </w:tc>
        <w:tc>
          <w:tcPr>
            <w:tcW w:w="1269" w:type="dxa"/>
          </w:tcPr>
          <w:p w14:paraId="7DE7084C" w14:textId="77777777" w:rsidR="006164B1" w:rsidRPr="003A22B9" w:rsidRDefault="006164B1" w:rsidP="00A75B47">
            <w:pPr>
              <w:spacing w:after="0" w:line="240" w:lineRule="auto"/>
              <w:jc w:val="both"/>
              <w:rPr>
                <w:rFonts w:ascii="Times New Roman" w:eastAsia="Times New Roman" w:hAnsi="Times New Roman" w:cs="Times New Roman"/>
                <w:vertAlign w:val="superscript"/>
                <w:lang w:val="sr-Latn-ME"/>
              </w:rPr>
            </w:pPr>
          </w:p>
        </w:tc>
      </w:tr>
    </w:tbl>
    <w:p w14:paraId="3313BEF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7913F54"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Višestruki ciklusi</w:t>
      </w:r>
    </w:p>
    <w:p w14:paraId="3A37453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Višestruki ciklusi liječenja povezani su sa sličnim profilom neželjenih dejstava kao i nakon prve izloženosti. Stopa učestalosti svih neželjenih dejstava nakon prve izloženosti rituksimabu bila je najveća tokom prvih 6 mjeseci, a nakon toga se smanjivala. Za to su uglavnom zaslužne reakcije vezane za infuziju (najčešće tokom prvog ciklusa liječenja), egzacerbacija reumatoidnog artritisa i infekcije jer su se sve one javljale češće tokom prvih 6 mjeseci liječenja.</w:t>
      </w:r>
    </w:p>
    <w:p w14:paraId="7566542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1B800FC"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Opis odabranih neželjenih reakcija</w:t>
      </w:r>
    </w:p>
    <w:p w14:paraId="3B0ABE0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629F854"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Reakcije vezane za infuziju </w:t>
      </w:r>
    </w:p>
    <w:p w14:paraId="33286ECE" w14:textId="597F473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Najčešće neželjene reakcije koje su se javljale nakon primjene rituksimaba u kliničkim studijama su bile reakcije vezane za infuziju (eng. </w:t>
      </w:r>
      <w:r w:rsidRPr="003A22B9">
        <w:rPr>
          <w:rFonts w:ascii="Times New Roman" w:eastAsia="Times New Roman" w:hAnsi="Times New Roman" w:cs="Times New Roman"/>
          <w:i/>
          <w:lang w:val="sr-Latn-ME"/>
        </w:rPr>
        <w:t>infusion related reactions</w:t>
      </w:r>
      <w:r w:rsidRPr="003A22B9">
        <w:rPr>
          <w:rFonts w:ascii="Times New Roman" w:eastAsia="Times New Roman" w:hAnsi="Times New Roman" w:cs="Times New Roman"/>
          <w:lang w:val="sr-Latn-ME"/>
        </w:rPr>
        <w:t xml:space="preserve"> – IRR) (</w:t>
      </w:r>
      <w:r w:rsidRPr="00977A0E">
        <w:rPr>
          <w:rFonts w:ascii="Times New Roman" w:eastAsia="Times New Roman" w:hAnsi="Times New Roman" w:cs="Times New Roman"/>
          <w:lang w:val="sr-Latn-ME"/>
        </w:rPr>
        <w:t xml:space="preserve">vidjeti tabelu </w:t>
      </w:r>
      <w:r w:rsidR="00977A0E" w:rsidRPr="001C3C2B">
        <w:rPr>
          <w:rFonts w:ascii="Times New Roman" w:eastAsia="Times New Roman" w:hAnsi="Times New Roman" w:cs="Times New Roman"/>
          <w:lang w:val="sr-Latn-ME"/>
        </w:rPr>
        <w:t>4</w:t>
      </w:r>
      <w:r w:rsidRPr="003A22B9">
        <w:rPr>
          <w:rFonts w:ascii="Times New Roman" w:eastAsia="Times New Roman" w:hAnsi="Times New Roman" w:cs="Times New Roman"/>
          <w:lang w:val="sr-Latn-ME"/>
        </w:rPr>
        <w:t xml:space="preserve">). Od 3189 pacijenata liječenih rituksimabom, 1135 (36%) je imalo najmanje jednu IRR, a 733/3189 (23%) pacijenata je imalo IRR nakon prve infuzije prvog izlaganja rituksimabu. Incidencija IRR opada nakon svake sljedeće infuzije. U kliničkim studijama je manje od 1% (17/3189) pacijenata imalo ozbiljne IRR. Nije bilo IRR prema opštim kriterijumima toksičnosti (eng. </w:t>
      </w:r>
      <w:r w:rsidRPr="003A22B9">
        <w:rPr>
          <w:rFonts w:ascii="Times New Roman" w:eastAsia="Times New Roman" w:hAnsi="Times New Roman" w:cs="Times New Roman"/>
          <w:i/>
          <w:lang w:val="sr-Latn-ME"/>
        </w:rPr>
        <w:t>Common Toxicity Criteria</w:t>
      </w:r>
      <w:r w:rsidRPr="003A22B9">
        <w:rPr>
          <w:rFonts w:ascii="Times New Roman" w:eastAsia="Times New Roman" w:hAnsi="Times New Roman" w:cs="Times New Roman"/>
          <w:lang w:val="sr-Latn-ME"/>
        </w:rPr>
        <w:t xml:space="preserve"> –</w:t>
      </w:r>
      <w:r w:rsidR="006F69A0">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CTC) gradusa 4 i nije bilo smrtnih slučajeva kao posljedice IRR u kliničkim studijama. Udio događaja CTC gradusa 3 i pojave IRR koje su dovele do prekida terapije se smanjivao sa svakim narednim ciklusom liječenja, i bio je rijedak nakon trećeg ciklusa liječenja, nadalje. Premedikacija intravenskim glukokortikoidima značajno je smanjila incidencu i težinu IRR (vidjeti </w:t>
      </w:r>
      <w:r w:rsidR="00947CDF"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4.2 i 4.4). Tokom postmarketinškog praćenja lijeka prijavljene su teške reakcije vezane za infuziju sa smrtnim ishodom. </w:t>
      </w:r>
    </w:p>
    <w:p w14:paraId="312FA8D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C6CBE9C" w14:textId="1C9B9E3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U ispitivanju osmišljenom da ocijeni sigurnost primjene brže infuzije rituksimaba kod pacijenata sa reumatoidnim artritisom, pacijenti sa umjerenim do teškim aktivnim reumatoidnim artritisom koji nijesu imali ozbiljnu reakciju vezanu za infuziju tokom ili unutar 24 časa od prve ispitivane infuzije smjeli su da prime 2-satnu intravensku infuziju rituksimaba. U ispitivanje ni</w:t>
      </w:r>
      <w:r w:rsidR="00947CDF" w:rsidRPr="003A22B9">
        <w:rPr>
          <w:rFonts w:ascii="Times New Roman" w:eastAsia="Times New Roman" w:hAnsi="Times New Roman" w:cs="Times New Roman"/>
          <w:lang w:val="sr-Latn-ME"/>
        </w:rPr>
        <w:t>je</w:t>
      </w:r>
      <w:r w:rsidRPr="003A22B9">
        <w:rPr>
          <w:rFonts w:ascii="Times New Roman" w:eastAsia="Times New Roman" w:hAnsi="Times New Roman" w:cs="Times New Roman"/>
          <w:lang w:val="sr-Latn-ME"/>
        </w:rPr>
        <w:t>su mogli da budu uključeni pacijenti koji su u anamnezi imali ozbiljnu infuzijsku reakciju na neki biološki lijek za reumatoidni artritis. Incidenca, vrste i težina reakcija vezanih za infuziju bile su u skladu s onima primijećenim u ranijim ispitivanjima. Ni</w:t>
      </w:r>
      <w:r w:rsidR="00947CDF" w:rsidRPr="003A22B9">
        <w:rPr>
          <w:rFonts w:ascii="Times New Roman" w:eastAsia="Times New Roman" w:hAnsi="Times New Roman" w:cs="Times New Roman"/>
          <w:lang w:val="sr-Latn-ME"/>
        </w:rPr>
        <w:t>je</w:t>
      </w:r>
      <w:r w:rsidRPr="003A22B9">
        <w:rPr>
          <w:rFonts w:ascii="Times New Roman" w:eastAsia="Times New Roman" w:hAnsi="Times New Roman" w:cs="Times New Roman"/>
          <w:lang w:val="sr-Latn-ME"/>
        </w:rPr>
        <w:t>su zapažene ozbiljne reakcije vezane za infuziju.</w:t>
      </w:r>
    </w:p>
    <w:p w14:paraId="1FE95D2A" w14:textId="77777777" w:rsidR="00D64A2E" w:rsidRPr="003A22B9" w:rsidRDefault="00D64A2E" w:rsidP="00A75B47">
      <w:pPr>
        <w:spacing w:after="0" w:line="240" w:lineRule="auto"/>
        <w:jc w:val="both"/>
        <w:rPr>
          <w:rFonts w:ascii="Times New Roman" w:eastAsia="Times New Roman" w:hAnsi="Times New Roman" w:cs="Times New Roman"/>
          <w:lang w:val="sr-Latn-ME"/>
        </w:rPr>
      </w:pPr>
    </w:p>
    <w:p w14:paraId="56A7E627"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Infekcije </w:t>
      </w:r>
    </w:p>
    <w:p w14:paraId="02355477" w14:textId="3F40A99E" w:rsidR="00A75B47" w:rsidRPr="003A22B9" w:rsidRDefault="00450742"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Ukupna </w:t>
      </w:r>
      <w:r w:rsidR="00A75B47" w:rsidRPr="003A22B9">
        <w:rPr>
          <w:rFonts w:ascii="Times New Roman" w:eastAsia="Times New Roman" w:hAnsi="Times New Roman" w:cs="Times New Roman"/>
          <w:lang w:val="sr-Latn-ME"/>
        </w:rPr>
        <w:t>stopa infekcija</w:t>
      </w:r>
      <w:r w:rsidRPr="003A22B9">
        <w:rPr>
          <w:rFonts w:ascii="Times New Roman" w:eastAsia="Times New Roman" w:hAnsi="Times New Roman" w:cs="Times New Roman"/>
          <w:lang w:val="sr-Latn-ME"/>
        </w:rPr>
        <w:t xml:space="preserve"> iz</w:t>
      </w:r>
      <w:r w:rsidR="006164B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kliničkih ispitivanja</w:t>
      </w:r>
      <w:r w:rsidR="00A75B47" w:rsidRPr="003A22B9">
        <w:rPr>
          <w:rFonts w:ascii="Times New Roman" w:eastAsia="Times New Roman" w:hAnsi="Times New Roman" w:cs="Times New Roman"/>
          <w:lang w:val="sr-Latn-ME"/>
        </w:rPr>
        <w:t xml:space="preserve"> iznosila je približno 94 na 100 pacijent - godina kod pacijenata koji su primali rituksimab. Ove infekcije su uglavnom bile blage do umjerene i obično su predstavljale infekcije gornjeg respiratornog trakta i urinarnog trakta. Incidenca ozbiljnih </w:t>
      </w:r>
      <w:r w:rsidR="00A75B47" w:rsidRPr="001C3C2B">
        <w:rPr>
          <w:rFonts w:ascii="Times New Roman" w:eastAsia="Times New Roman" w:hAnsi="Times New Roman" w:cs="Times New Roman"/>
          <w:highlight w:val="yellow"/>
          <w:lang w:val="sr-Latn-ME"/>
        </w:rPr>
        <w:t>i</w:t>
      </w:r>
      <w:r w:rsidR="00A75B47" w:rsidRPr="003A22B9">
        <w:rPr>
          <w:rFonts w:ascii="Times New Roman" w:eastAsia="Times New Roman" w:hAnsi="Times New Roman" w:cs="Times New Roman"/>
          <w:lang w:val="sr-Latn-ME"/>
        </w:rPr>
        <w:t xml:space="preserve"> infekcija koje su zahtijevale primjenu IV antibiotika, iznosila je približno 4 na 100 pacijent - godina. Stopa ozbiljnih infekcija nije pokazala nikakvo značajno povećanje sa primjenom ponovljenih ciklusa liječenja. Tokom kliničkih studija prijavljene su infekcije donjeg respiratornog trakta (uključujući pneumoniju) sa sličnom incidencom javljanja u grupi pacijenata koja je primala rituksimab, kao u kontrolnoj grupi. </w:t>
      </w:r>
    </w:p>
    <w:p w14:paraId="612CFE63" w14:textId="77777777" w:rsidR="00450742" w:rsidRPr="003A22B9" w:rsidRDefault="00450742" w:rsidP="00A75B47">
      <w:pPr>
        <w:spacing w:after="0" w:line="240" w:lineRule="auto"/>
        <w:jc w:val="both"/>
        <w:rPr>
          <w:rFonts w:ascii="Times New Roman" w:eastAsia="Times New Roman" w:hAnsi="Times New Roman" w:cs="Times New Roman"/>
          <w:lang w:val="sr-Latn-ME"/>
        </w:rPr>
      </w:pPr>
    </w:p>
    <w:p w14:paraId="36B2949F" w14:textId="538AF9B7" w:rsidR="00450742" w:rsidRPr="003A22B9" w:rsidRDefault="00450742"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postmarketinškom praćenju, prijavljene su ozbiljne virusne infekcije kod pacijenata sa RA liječenim rituksimabom.</w:t>
      </w:r>
    </w:p>
    <w:p w14:paraId="52F61B1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67A3499" w14:textId="327A120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Slučajevi progresivne multifokalne leukoencefalopatije sa fatalnim ishodom prijavljeni su nakon primjene rituksimaba za liječenje autoimunih bolesti. Ovdje spadaju reumatoidni artritis i autoimune bolesti koje ni</w:t>
      </w:r>
      <w:r w:rsidR="00947CDF" w:rsidRPr="003A22B9">
        <w:rPr>
          <w:rFonts w:ascii="Times New Roman" w:eastAsia="Times New Roman" w:hAnsi="Times New Roman" w:cs="Times New Roman"/>
          <w:lang w:val="sr-Latn-ME"/>
        </w:rPr>
        <w:t>je</w:t>
      </w:r>
      <w:r w:rsidRPr="003A22B9">
        <w:rPr>
          <w:rFonts w:ascii="Times New Roman" w:eastAsia="Times New Roman" w:hAnsi="Times New Roman" w:cs="Times New Roman"/>
          <w:lang w:val="sr-Latn-ME"/>
        </w:rPr>
        <w:t>su registrovane kao indikacija</w:t>
      </w:r>
      <w:r w:rsidR="00947CDF" w:rsidRPr="003A22B9">
        <w:rPr>
          <w:rFonts w:ascii="Times New Roman" w:eastAsia="Times New Roman" w:hAnsi="Times New Roman" w:cs="Times New Roman"/>
          <w:lang w:val="sr-Latn-ME"/>
        </w:rPr>
        <w:t xml:space="preserve"> (</w:t>
      </w:r>
      <w:r w:rsidR="00947CDF" w:rsidRPr="003A22B9">
        <w:rPr>
          <w:rFonts w:ascii="Times New Roman" w:eastAsia="Times New Roman" w:hAnsi="Times New Roman" w:cs="Times New Roman"/>
          <w:i/>
          <w:lang w:val="sr-Latn-ME"/>
        </w:rPr>
        <w:t>off-label</w:t>
      </w:r>
      <w:r w:rsidR="00947CDF" w:rsidRPr="003A22B9">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uključujući sistemski eritemski lupus (SLE) i vaskulitis.</w:t>
      </w:r>
    </w:p>
    <w:p w14:paraId="5940A9F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0C6825E" w14:textId="2E108D4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pacijenata sa non-Hodgkinovim limfomom koji su primali rituksimab u kombinaciji sa citotoksičnom hemioterapijom prijavljeni su slučajevi reaktivacije hepatitisa B (vidjeti non - Hodgkinov limfom). Reaktivacija hepatitis B infekcije je takođe bila vrlo rijetko zapažena i kod pacijenata oboljelih od reumatoidnog artritisa koji su primali rituksimab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 </w:t>
      </w:r>
    </w:p>
    <w:p w14:paraId="7A8404B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5B700DC"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Kardiovaskularne neželjene reakcije </w:t>
      </w:r>
    </w:p>
    <w:p w14:paraId="48A8B9E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Ozbiljne kardivaskularne reakcije su zabilježene u stopi od 1.3 na 100 pacijent - godina, u grupi pacijenata koji su primali rituksimab, u poređenju sa 1.3 na 100 pacijent - godina u grupi pacijenata koji su primali placebo. Udio pacijenata koji su imali kardiovaskularne reakcije (sve ili ozbiljne) nije se povećavao tokom višestrukih ciklusa liječenja. </w:t>
      </w:r>
    </w:p>
    <w:p w14:paraId="0BF1E0A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943ACBF"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Neurološki događaji</w:t>
      </w:r>
    </w:p>
    <w:p w14:paraId="14470BEF" w14:textId="02DCEF4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Prijavljeni su slučajevi sindroma posteriorne reverzibilne encefalopatije (engl. </w:t>
      </w:r>
      <w:r w:rsidRPr="003A22B9">
        <w:rPr>
          <w:rFonts w:ascii="Times New Roman" w:eastAsia="Times New Roman" w:hAnsi="Times New Roman" w:cs="Times New Roman"/>
          <w:i/>
          <w:lang w:val="sr-Latn-ME"/>
        </w:rPr>
        <w:t>posterior reversible encephalopathy syndrome -</w:t>
      </w:r>
      <w:r w:rsidRPr="003A22B9">
        <w:rPr>
          <w:rFonts w:ascii="Times New Roman" w:eastAsia="Times New Roman" w:hAnsi="Times New Roman" w:cs="Times New Roman"/>
          <w:lang w:val="sr-Latn-ME"/>
        </w:rPr>
        <w:t xml:space="preserve"> PRES) odnosno sindroma reverzibilne posteriorne leukoencefalopatije (engl. </w:t>
      </w:r>
      <w:r w:rsidR="00D52A1E">
        <w:rPr>
          <w:rFonts w:ascii="Times New Roman" w:eastAsia="Times New Roman" w:hAnsi="Times New Roman" w:cs="Times New Roman"/>
          <w:i/>
          <w:lang w:val="sr-Latn-ME"/>
        </w:rPr>
        <w:t>R</w:t>
      </w:r>
      <w:r w:rsidRPr="003A22B9">
        <w:rPr>
          <w:rFonts w:ascii="Times New Roman" w:eastAsia="Times New Roman" w:hAnsi="Times New Roman" w:cs="Times New Roman"/>
          <w:i/>
          <w:lang w:val="sr-Latn-ME"/>
        </w:rPr>
        <w:t>eversible posterior leukoencephalopathy syndrome -</w:t>
      </w:r>
      <w:r w:rsidRPr="003A22B9">
        <w:rPr>
          <w:rFonts w:ascii="Times New Roman" w:eastAsia="Times New Roman" w:hAnsi="Times New Roman" w:cs="Times New Roman"/>
          <w:lang w:val="sr-Latn-ME"/>
        </w:rPr>
        <w:t xml:space="preserve"> RPLS). Znaci i simptomi obuhvatali su smetnje vida, glavobolju, epileptične napade i promijenjeno mentalno stanje, uz pridruženu hipertenziju ili bez nje. Dijagnozu PRES/RPLS treba potvrditi snimanjem mozga. U prijavljenim slučajevima postojali su faktori rizika za PRES/RPLS, uključujući osnovnu bolest pacijenta, hipertenziju, terapiju imunosupresivima i/ili hemioterapiju.</w:t>
      </w:r>
    </w:p>
    <w:p w14:paraId="04A17C8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2343E49"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Neutropenija </w:t>
      </w:r>
    </w:p>
    <w:p w14:paraId="6946432B" w14:textId="4C0871F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Tokom terapije rituksimabom primijećena je pojava neutropenije, u većini slučajeva prolaznog karaktera i blagog do umjerenog intenziteta. Neutropenija se može javiti nekoliko mjeseci nakon primjene rituksimaba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 </w:t>
      </w:r>
    </w:p>
    <w:p w14:paraId="478BC1D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798C45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placebo kontrolisanim periodima kliničkih studija, 0.94% (13/1382) pacijenata liječenih rituksimabom i 0.27% (2/731) pacijenata koji su primali placebo su razvili tešku neutropeniju. </w:t>
      </w:r>
    </w:p>
    <w:p w14:paraId="1AB189B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AB1EAA5" w14:textId="70D3FCA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Neutropenijski događaji, uključujući teške slučajeve neutropenije sa odloženim početkom i perzistentnu neutropeniju, prijavljivani su rijetko u postmarketinškom periodu, a neki su povezani sa fatalnim infekcijama. </w:t>
      </w:r>
    </w:p>
    <w:p w14:paraId="0683860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lastRenderedPageBreak/>
        <w:t>Poremećaji kože i potkožnog tkiva</w:t>
      </w:r>
      <w:r w:rsidRPr="003A22B9">
        <w:rPr>
          <w:rFonts w:ascii="Times New Roman" w:eastAsia="Times New Roman" w:hAnsi="Times New Roman" w:cs="Times New Roman"/>
          <w:lang w:val="sr-Latn-ME"/>
        </w:rPr>
        <w:t xml:space="preserve"> </w:t>
      </w:r>
    </w:p>
    <w:p w14:paraId="7EBA467C" w14:textId="0F8FD98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Veoma rijetko su prijavljeni toksična epidermalna nekroliza (Lielov sindrom) i St</w:t>
      </w:r>
      <w:r w:rsidR="00D52A1E">
        <w:rPr>
          <w:rFonts w:ascii="Times New Roman" w:eastAsia="Times New Roman" w:hAnsi="Times New Roman" w:cs="Times New Roman"/>
          <w:lang w:val="sr-Latn-ME"/>
        </w:rPr>
        <w:t xml:space="preserve">evens-Johnsonov </w:t>
      </w:r>
      <w:r w:rsidRPr="003A22B9">
        <w:rPr>
          <w:rFonts w:ascii="Times New Roman" w:eastAsia="Times New Roman" w:hAnsi="Times New Roman" w:cs="Times New Roman"/>
          <w:lang w:val="sr-Latn-ME"/>
        </w:rPr>
        <w:t xml:space="preserve">sindrom, od kojih neki sa smrtnim ishodom. </w:t>
      </w:r>
    </w:p>
    <w:p w14:paraId="6457196F" w14:textId="77777777" w:rsidR="00503160" w:rsidRPr="003A22B9" w:rsidRDefault="00503160" w:rsidP="00A75B47">
      <w:pPr>
        <w:spacing w:after="0" w:line="240" w:lineRule="auto"/>
        <w:jc w:val="both"/>
        <w:rPr>
          <w:rFonts w:ascii="Times New Roman" w:eastAsia="Times New Roman" w:hAnsi="Times New Roman" w:cs="Times New Roman"/>
          <w:lang w:val="sr-Latn-ME"/>
        </w:rPr>
      </w:pPr>
    </w:p>
    <w:p w14:paraId="4B2EF1DE"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Laboratorijski poremećaji </w:t>
      </w:r>
    </w:p>
    <w:p w14:paraId="63019E00" w14:textId="7B0A2CF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Hipogamaglobulinemija (IgG ili IgM ispod donjeg limita normalnih vrijednosti) primijećena je kod pacijenata sa RA koji su liječeni rituksimabom. Nije bilo povećanja stope svih infekcija ili ozbiljnih infekcija nakon pojave sniženih IgG ili IgM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 </w:t>
      </w:r>
    </w:p>
    <w:p w14:paraId="5017435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78006B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Mali broj spontanih slučajeva i slučajeva iz literature, hipogamaglobulinemije, primijećene kod pedijatrijskih pacijenata liječenih rituksimabom, u nekim slučajevima su bili ozbiljni i zahtijevali su supstitucionu terapiju imunoglobulinom. Posljedice dugotrajne B ćelijske deplecije kod pedijatrijske populacije su nepoznate.</w:t>
      </w:r>
    </w:p>
    <w:p w14:paraId="758DD88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DB92C54" w14:textId="1C97DDA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 xml:space="preserve">Iskustvo iz kliničke studije za granulomatozu sa poliangiitisom </w:t>
      </w:r>
      <w:r w:rsidR="00907CF3" w:rsidRPr="003A22B9">
        <w:rPr>
          <w:rFonts w:ascii="Times New Roman" w:eastAsia="Times New Roman" w:hAnsi="Times New Roman" w:cs="Times New Roman"/>
          <w:u w:val="single"/>
          <w:lang w:val="sr-Latn-ME"/>
        </w:rPr>
        <w:t xml:space="preserve">(GPA) </w:t>
      </w:r>
      <w:r w:rsidRPr="003A22B9">
        <w:rPr>
          <w:rFonts w:ascii="Times New Roman" w:eastAsia="Times New Roman" w:hAnsi="Times New Roman" w:cs="Times New Roman"/>
          <w:u w:val="single"/>
          <w:lang w:val="sr-Latn-ME"/>
        </w:rPr>
        <w:t>i mikroskopski poliangitis</w:t>
      </w:r>
      <w:r w:rsidRPr="003A22B9">
        <w:rPr>
          <w:rFonts w:ascii="Times New Roman" w:eastAsia="Times New Roman" w:hAnsi="Times New Roman" w:cs="Times New Roman"/>
          <w:lang w:val="sr-Latn-ME"/>
        </w:rPr>
        <w:t xml:space="preserve"> </w:t>
      </w:r>
      <w:r w:rsidR="00907CF3" w:rsidRPr="003A22B9">
        <w:rPr>
          <w:rFonts w:ascii="Times New Roman" w:eastAsia="Times New Roman" w:hAnsi="Times New Roman" w:cs="Times New Roman"/>
          <w:lang w:val="sr-Latn-ME"/>
        </w:rPr>
        <w:t>(MPA)</w:t>
      </w:r>
    </w:p>
    <w:p w14:paraId="23E678A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BAF1B85" w14:textId="34A6F9FA"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Indukcija remisije</w:t>
      </w:r>
      <w:r w:rsidR="005C4EDA" w:rsidRPr="003A22B9">
        <w:rPr>
          <w:rFonts w:ascii="Times New Roman" w:hAnsi="Times New Roman" w:cs="Times New Roman"/>
          <w:i/>
          <w:lang w:val="it-IT"/>
        </w:rPr>
        <w:t xml:space="preserve"> </w:t>
      </w:r>
      <w:r w:rsidR="005C4EDA" w:rsidRPr="003A22B9">
        <w:rPr>
          <w:rFonts w:ascii="Times New Roman" w:eastAsia="Times New Roman" w:hAnsi="Times New Roman" w:cs="Times New Roman"/>
          <w:i/>
          <w:lang w:val="it-IT"/>
        </w:rPr>
        <w:t>kod odraslih (GPA/MPA Studija 1)</w:t>
      </w:r>
    </w:p>
    <w:p w14:paraId="67BFA564" w14:textId="5F25A66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w:t>
      </w:r>
      <w:r w:rsidR="00450742" w:rsidRPr="003A22B9">
        <w:rPr>
          <w:rFonts w:ascii="Times New Roman" w:eastAsia="Times New Roman" w:hAnsi="Times New Roman" w:cs="Times New Roman"/>
          <w:lang w:val="sr-Latn-ME"/>
        </w:rPr>
        <w:t xml:space="preserve"> GPA/MPA</w:t>
      </w:r>
      <w:r w:rsidRPr="003A22B9">
        <w:rPr>
          <w:rFonts w:ascii="Times New Roman" w:eastAsia="Times New Roman" w:hAnsi="Times New Roman" w:cs="Times New Roman"/>
          <w:lang w:val="sr-Latn-ME"/>
        </w:rPr>
        <w:t xml:space="preserve"> </w:t>
      </w:r>
      <w:r w:rsidR="00450742" w:rsidRPr="003A22B9">
        <w:rPr>
          <w:rFonts w:ascii="Times New Roman" w:eastAsia="Times New Roman" w:hAnsi="Times New Roman" w:cs="Times New Roman"/>
          <w:lang w:val="sr-Latn-ME"/>
        </w:rPr>
        <w:t xml:space="preserve">Studiji 1, </w:t>
      </w:r>
      <w:r w:rsidRPr="003A22B9">
        <w:rPr>
          <w:rFonts w:ascii="Times New Roman" w:eastAsia="Times New Roman" w:hAnsi="Times New Roman" w:cs="Times New Roman"/>
          <w:lang w:val="sr-Latn-ME"/>
        </w:rPr>
        <w:t xml:space="preserve"> 99 </w:t>
      </w:r>
      <w:r w:rsidR="00450742" w:rsidRPr="003A22B9">
        <w:rPr>
          <w:rFonts w:ascii="Times New Roman" w:eastAsia="Times New Roman" w:hAnsi="Times New Roman" w:cs="Times New Roman"/>
          <w:lang w:val="sr-Latn-ME"/>
        </w:rPr>
        <w:t xml:space="preserve">odraslih </w:t>
      </w:r>
      <w:r w:rsidRPr="003A22B9">
        <w:rPr>
          <w:rFonts w:ascii="Times New Roman" w:eastAsia="Times New Roman" w:hAnsi="Times New Roman" w:cs="Times New Roman"/>
          <w:lang w:val="sr-Latn-ME"/>
        </w:rPr>
        <w:t>pacijenata je liječeno rituksimabom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jedanput nedjeljno tokom 4 nedjelje) i glukokortikoidima za indukciju remisije GPA i MPA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5.1). </w:t>
      </w:r>
    </w:p>
    <w:p w14:paraId="3E38D2A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4F55A82" w14:textId="737E631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Neželjene reakcije na lijek koje su navedene u Tabeli </w:t>
      </w:r>
      <w:r w:rsidR="00503160" w:rsidRPr="003A22B9">
        <w:rPr>
          <w:rFonts w:ascii="Times New Roman" w:eastAsia="Times New Roman" w:hAnsi="Times New Roman" w:cs="Times New Roman"/>
          <w:lang w:val="sr-Latn-ME"/>
        </w:rPr>
        <w:t>5</w:t>
      </w:r>
      <w:r w:rsidRPr="003A22B9">
        <w:rPr>
          <w:rFonts w:ascii="Times New Roman" w:eastAsia="Times New Roman" w:hAnsi="Times New Roman" w:cs="Times New Roman"/>
          <w:lang w:val="sr-Latn-ME"/>
        </w:rPr>
        <w:t xml:space="preserve"> su svi neželjeni događaji  koji su se pojavili sa učestalošću ≥ 5% kod grupe koja je primala rituksimab i sa većom učestalošću nego u uporednoj grupi.</w:t>
      </w:r>
    </w:p>
    <w:p w14:paraId="739DF5E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DEFA677" w14:textId="2B416134" w:rsidR="00A75B47" w:rsidRPr="003A22B9" w:rsidRDefault="00A75B47" w:rsidP="001C3C2B">
      <w:pPr>
        <w:autoSpaceDE w:val="0"/>
        <w:autoSpaceDN w:val="0"/>
        <w:adjustRightInd w:val="0"/>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042089" w:rsidRPr="003A22B9">
        <w:rPr>
          <w:rFonts w:ascii="Times New Roman" w:eastAsia="Times New Roman" w:hAnsi="Times New Roman" w:cs="Times New Roman"/>
          <w:b/>
          <w:lang w:val="sr-Latn-ME"/>
        </w:rPr>
        <w:t>5</w:t>
      </w:r>
      <w:r w:rsidRPr="003A22B9">
        <w:rPr>
          <w:rFonts w:ascii="Times New Roman" w:eastAsia="Times New Roman" w:hAnsi="Times New Roman" w:cs="Times New Roman"/>
          <w:b/>
          <w:lang w:val="sr-Latn-ME"/>
        </w:rPr>
        <w:t>.</w:t>
      </w:r>
      <w:r w:rsidRPr="003A22B9">
        <w:rPr>
          <w:rFonts w:ascii="Times New Roman" w:eastAsia="Times New Roman" w:hAnsi="Times New Roman" w:cs="Times New Roman"/>
          <w:b/>
          <w:lang w:val="sr-Latn-ME"/>
        </w:rPr>
        <w:tab/>
        <w:t xml:space="preserve">Neželjene reakcije koje su se javljale tokom 6 mjeseci kod ≥ 5% </w:t>
      </w:r>
      <w:r w:rsidR="00AD38C7" w:rsidRPr="003A22B9">
        <w:rPr>
          <w:rFonts w:ascii="Times New Roman" w:eastAsia="Times New Roman" w:hAnsi="Times New Roman" w:cs="Times New Roman"/>
          <w:b/>
          <w:lang w:val="sr-Latn-ME"/>
        </w:rPr>
        <w:t xml:space="preserve">odraslih </w:t>
      </w:r>
      <w:r w:rsidR="00BF7E0A">
        <w:rPr>
          <w:rFonts w:ascii="Times New Roman" w:eastAsia="Times New Roman" w:hAnsi="Times New Roman" w:cs="Times New Roman"/>
          <w:b/>
          <w:lang w:val="sr-Latn-ME"/>
        </w:rPr>
        <w:t xml:space="preserve">                        </w:t>
      </w:r>
      <w:r w:rsidRPr="003A22B9">
        <w:rPr>
          <w:rFonts w:ascii="Times New Roman" w:eastAsia="Times New Roman" w:hAnsi="Times New Roman" w:cs="Times New Roman"/>
          <w:b/>
          <w:lang w:val="sr-Latn-ME"/>
        </w:rPr>
        <w:t>pacijenata koji su primali rituksimab</w:t>
      </w:r>
      <w:r w:rsidR="004021B0" w:rsidRPr="003A22B9">
        <w:rPr>
          <w:rFonts w:ascii="Times New Roman" w:eastAsia="Times New Roman" w:hAnsi="Times New Roman" w:cs="Times New Roman"/>
          <w:b/>
          <w:lang w:val="sr-Latn-ME"/>
        </w:rPr>
        <w:t xml:space="preserve"> u </w:t>
      </w:r>
      <w:r w:rsidR="00D52A1E" w:rsidRPr="003A22B9">
        <w:rPr>
          <w:rFonts w:ascii="Times New Roman" w:eastAsia="Times New Roman" w:hAnsi="Times New Roman" w:cs="Times New Roman"/>
          <w:b/>
          <w:lang w:val="sr-Latn-ME"/>
        </w:rPr>
        <w:t>Studiji 1</w:t>
      </w:r>
      <w:r w:rsidR="00BF7E0A">
        <w:rPr>
          <w:rFonts w:ascii="Times New Roman" w:eastAsia="Times New Roman" w:hAnsi="Times New Roman" w:cs="Times New Roman"/>
          <w:b/>
          <w:lang w:val="sr-Latn-ME"/>
        </w:rPr>
        <w:t xml:space="preserve"> kod </w:t>
      </w:r>
      <w:r w:rsidR="004021B0" w:rsidRPr="003A22B9">
        <w:rPr>
          <w:rFonts w:ascii="Times New Roman" w:eastAsia="Times New Roman" w:hAnsi="Times New Roman" w:cs="Times New Roman"/>
          <w:b/>
          <w:lang w:val="sr-Latn-ME"/>
        </w:rPr>
        <w:t xml:space="preserve">GPA/MPA </w:t>
      </w:r>
      <w:r w:rsidR="00D52A1E">
        <w:rPr>
          <w:rFonts w:ascii="Times New Roman" w:eastAsia="Times New Roman" w:hAnsi="Times New Roman" w:cs="Times New Roman"/>
          <w:b/>
          <w:lang w:val="sr-Latn-ME"/>
        </w:rPr>
        <w:t xml:space="preserve">(rituksimab=99) </w:t>
      </w:r>
      <w:r w:rsidRPr="003A22B9">
        <w:rPr>
          <w:rFonts w:ascii="Times New Roman" w:eastAsia="Times New Roman" w:hAnsi="Times New Roman" w:cs="Times New Roman"/>
          <w:b/>
          <w:lang w:val="sr-Latn-ME"/>
        </w:rPr>
        <w:t xml:space="preserve">i </w:t>
      </w:r>
      <w:r w:rsidRPr="00977A0E">
        <w:rPr>
          <w:rFonts w:ascii="Times New Roman" w:eastAsia="Times New Roman" w:hAnsi="Times New Roman" w:cs="Times New Roman"/>
          <w:b/>
          <w:lang w:val="sr-Latn-ME"/>
        </w:rPr>
        <w:t xml:space="preserve">koje su se pojavile </w:t>
      </w:r>
      <w:r w:rsidRPr="003A22B9">
        <w:rPr>
          <w:rFonts w:ascii="Times New Roman" w:eastAsia="Times New Roman" w:hAnsi="Times New Roman" w:cs="Times New Roman"/>
          <w:b/>
          <w:lang w:val="sr-Latn-ME"/>
        </w:rPr>
        <w:t>češće nego u grupi koja je primala komparator</w:t>
      </w:r>
      <w:r w:rsidR="00BF7E0A">
        <w:rPr>
          <w:rFonts w:ascii="Times New Roman" w:eastAsia="Times New Roman" w:hAnsi="Times New Roman" w:cs="Times New Roman"/>
          <w:b/>
          <w:lang w:val="sr-Latn-ME"/>
        </w:rPr>
        <w:t xml:space="preserve"> </w:t>
      </w:r>
      <w:r w:rsidR="00BF7E0A" w:rsidRPr="003A22B9">
        <w:rPr>
          <w:rFonts w:ascii="Times New Roman" w:eastAsia="Times New Roman" w:hAnsi="Times New Roman" w:cs="Times New Roman"/>
          <w:b/>
          <w:lang w:val="sr-Latn-ME"/>
        </w:rPr>
        <w:t>ili tokom postmarketinškog praćenja</w:t>
      </w:r>
    </w:p>
    <w:p w14:paraId="3DD1ED56" w14:textId="77777777" w:rsidR="00A75B47" w:rsidRPr="003A22B9" w:rsidRDefault="00A75B47" w:rsidP="00D64A2E">
      <w:pPr>
        <w:spacing w:after="0" w:line="240" w:lineRule="auto"/>
        <w:jc w:val="center"/>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402"/>
      </w:tblGrid>
      <w:tr w:rsidR="00A75B47" w:rsidRPr="003A22B9" w14:paraId="2E47BE92" w14:textId="77777777" w:rsidTr="00450742">
        <w:trPr>
          <w:jc w:val="center"/>
        </w:trPr>
        <w:tc>
          <w:tcPr>
            <w:tcW w:w="3936" w:type="dxa"/>
            <w:shd w:val="clear" w:color="auto" w:fill="auto"/>
          </w:tcPr>
          <w:p w14:paraId="398AC85F" w14:textId="2A1CD7E1" w:rsidR="00A75B47" w:rsidRPr="003A22B9" w:rsidRDefault="00D327AF"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MedDRA k</w:t>
            </w:r>
            <w:r w:rsidR="00A75B47" w:rsidRPr="003A22B9">
              <w:rPr>
                <w:rFonts w:ascii="Times New Roman" w:eastAsia="Times New Roman" w:hAnsi="Times New Roman" w:cs="Times New Roman"/>
                <w:b/>
                <w:lang w:val="sr-Latn-ME"/>
              </w:rPr>
              <w:t xml:space="preserve">lasa sistema organa </w:t>
            </w:r>
          </w:p>
          <w:p w14:paraId="1C35ACF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Neželjena reakcija</w:t>
            </w:r>
          </w:p>
        </w:tc>
        <w:tc>
          <w:tcPr>
            <w:tcW w:w="3402" w:type="dxa"/>
            <w:shd w:val="clear" w:color="auto" w:fill="auto"/>
          </w:tcPr>
          <w:p w14:paraId="7EF59450" w14:textId="7635B08C" w:rsidR="00A75B47" w:rsidRPr="003A22B9" w:rsidRDefault="00450742"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Učestalost</w:t>
            </w:r>
          </w:p>
        </w:tc>
      </w:tr>
      <w:tr w:rsidR="00A75B47" w:rsidRPr="003A22B9" w14:paraId="2B6D2728" w14:textId="77777777" w:rsidTr="00450742">
        <w:trPr>
          <w:jc w:val="center"/>
        </w:trPr>
        <w:tc>
          <w:tcPr>
            <w:tcW w:w="7338" w:type="dxa"/>
            <w:gridSpan w:val="2"/>
            <w:shd w:val="clear" w:color="auto" w:fill="auto"/>
          </w:tcPr>
          <w:p w14:paraId="1166AFA6"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Infekcije i infestacije</w:t>
            </w:r>
          </w:p>
        </w:tc>
      </w:tr>
      <w:tr w:rsidR="00A75B47" w:rsidRPr="003A22B9" w14:paraId="5CF0CE85" w14:textId="77777777" w:rsidTr="00450742">
        <w:trPr>
          <w:jc w:val="center"/>
        </w:trPr>
        <w:tc>
          <w:tcPr>
            <w:tcW w:w="3936" w:type="dxa"/>
            <w:shd w:val="clear" w:color="auto" w:fill="auto"/>
          </w:tcPr>
          <w:p w14:paraId="1583F7AF"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infekcije urinarnog trakta</w:t>
            </w:r>
          </w:p>
        </w:tc>
        <w:tc>
          <w:tcPr>
            <w:tcW w:w="3402" w:type="dxa"/>
            <w:shd w:val="clear" w:color="auto" w:fill="auto"/>
          </w:tcPr>
          <w:p w14:paraId="02C1B95D"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w:t>
            </w:r>
          </w:p>
        </w:tc>
      </w:tr>
      <w:tr w:rsidR="00A75B47" w:rsidRPr="003A22B9" w14:paraId="09C08ADA" w14:textId="77777777" w:rsidTr="00450742">
        <w:trPr>
          <w:jc w:val="center"/>
        </w:trPr>
        <w:tc>
          <w:tcPr>
            <w:tcW w:w="3936" w:type="dxa"/>
            <w:shd w:val="clear" w:color="auto" w:fill="auto"/>
          </w:tcPr>
          <w:p w14:paraId="1D2FA4D4"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bronhitis</w:t>
            </w:r>
          </w:p>
        </w:tc>
        <w:tc>
          <w:tcPr>
            <w:tcW w:w="3402" w:type="dxa"/>
            <w:shd w:val="clear" w:color="auto" w:fill="auto"/>
          </w:tcPr>
          <w:p w14:paraId="47D321B2"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203648FE" w14:textId="77777777" w:rsidTr="00450742">
        <w:trPr>
          <w:jc w:val="center"/>
        </w:trPr>
        <w:tc>
          <w:tcPr>
            <w:tcW w:w="3936" w:type="dxa"/>
            <w:shd w:val="clear" w:color="auto" w:fill="auto"/>
          </w:tcPr>
          <w:p w14:paraId="3A9B70DD"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herpes zoster</w:t>
            </w:r>
          </w:p>
        </w:tc>
        <w:tc>
          <w:tcPr>
            <w:tcW w:w="3402" w:type="dxa"/>
            <w:shd w:val="clear" w:color="auto" w:fill="auto"/>
          </w:tcPr>
          <w:p w14:paraId="78459371"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22FC12C3" w14:textId="77777777" w:rsidTr="00450742">
        <w:trPr>
          <w:jc w:val="center"/>
        </w:trPr>
        <w:tc>
          <w:tcPr>
            <w:tcW w:w="3936" w:type="dxa"/>
            <w:shd w:val="clear" w:color="auto" w:fill="auto"/>
          </w:tcPr>
          <w:p w14:paraId="5D9B0453"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nazofaringitis</w:t>
            </w:r>
          </w:p>
        </w:tc>
        <w:tc>
          <w:tcPr>
            <w:tcW w:w="3402" w:type="dxa"/>
            <w:shd w:val="clear" w:color="auto" w:fill="auto"/>
          </w:tcPr>
          <w:p w14:paraId="1F01CC01"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450742" w:rsidRPr="003A22B9" w14:paraId="578FF021" w14:textId="77777777" w:rsidTr="00450742">
        <w:trPr>
          <w:jc w:val="center"/>
        </w:trPr>
        <w:tc>
          <w:tcPr>
            <w:tcW w:w="3936" w:type="dxa"/>
            <w:shd w:val="clear" w:color="auto" w:fill="auto"/>
          </w:tcPr>
          <w:p w14:paraId="34E3ED80" w14:textId="063ACE2D" w:rsidR="00450742" w:rsidRPr="003A22B9" w:rsidRDefault="00BF7E0A" w:rsidP="00A75B47">
            <w:pPr>
              <w:spacing w:after="0" w:line="240" w:lineRule="auto"/>
              <w:ind w:left="284"/>
              <w:jc w:val="both"/>
              <w:rPr>
                <w:rFonts w:ascii="Times New Roman" w:eastAsia="Times New Roman" w:hAnsi="Times New Roman" w:cs="Times New Roman"/>
                <w:lang w:val="sr-Latn-ME"/>
              </w:rPr>
            </w:pPr>
            <w:r>
              <w:rPr>
                <w:rFonts w:ascii="Times New Roman" w:eastAsia="Times New Roman" w:hAnsi="Times New Roman" w:cs="Times New Roman"/>
                <w:lang w:val="sr-Latn-ME"/>
              </w:rPr>
              <w:t>o</w:t>
            </w:r>
            <w:r w:rsidR="00450742" w:rsidRPr="003A22B9">
              <w:rPr>
                <w:rFonts w:ascii="Times New Roman" w:eastAsia="Times New Roman" w:hAnsi="Times New Roman" w:cs="Times New Roman"/>
                <w:lang w:val="sr-Latn-ME"/>
              </w:rPr>
              <w:t xml:space="preserve">zbiljna virusna </w:t>
            </w:r>
            <w:r w:rsidR="000932A1" w:rsidRPr="003A22B9">
              <w:rPr>
                <w:rFonts w:ascii="Times New Roman" w:eastAsia="Times New Roman" w:hAnsi="Times New Roman" w:cs="Times New Roman"/>
                <w:lang w:val="sr-Latn-ME"/>
              </w:rPr>
              <w:t>infekcija</w:t>
            </w:r>
            <w:r w:rsidR="000932A1">
              <w:rPr>
                <w:rFonts w:ascii="Times New Roman" w:eastAsia="Times New Roman" w:hAnsi="Times New Roman" w:cs="Times New Roman"/>
                <w:vertAlign w:val="superscript"/>
                <w:lang w:val="sr-Latn-ME"/>
              </w:rPr>
              <w:t>2</w:t>
            </w:r>
          </w:p>
        </w:tc>
        <w:tc>
          <w:tcPr>
            <w:tcW w:w="3402" w:type="dxa"/>
            <w:shd w:val="clear" w:color="auto" w:fill="auto"/>
          </w:tcPr>
          <w:p w14:paraId="271B2610" w14:textId="08079C47" w:rsidR="00450742" w:rsidRPr="003A22B9" w:rsidRDefault="00450742"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nepoznato</w:t>
            </w:r>
          </w:p>
        </w:tc>
      </w:tr>
      <w:tr w:rsidR="000932A1" w:rsidRPr="003A22B9" w14:paraId="4AA1E891" w14:textId="77777777" w:rsidTr="00450742">
        <w:trPr>
          <w:jc w:val="center"/>
        </w:trPr>
        <w:tc>
          <w:tcPr>
            <w:tcW w:w="3936" w:type="dxa"/>
            <w:shd w:val="clear" w:color="auto" w:fill="auto"/>
          </w:tcPr>
          <w:p w14:paraId="133B6498" w14:textId="1904565D" w:rsidR="000932A1" w:rsidRPr="003A22B9" w:rsidRDefault="00BF7E0A" w:rsidP="00A75B47">
            <w:pPr>
              <w:spacing w:after="0" w:line="240" w:lineRule="auto"/>
              <w:ind w:left="284"/>
              <w:jc w:val="both"/>
              <w:rPr>
                <w:rFonts w:ascii="Times New Roman" w:eastAsia="Times New Roman" w:hAnsi="Times New Roman" w:cs="Times New Roman"/>
                <w:lang w:val="sr-Latn-ME"/>
              </w:rPr>
            </w:pPr>
            <w:r>
              <w:rPr>
                <w:rFonts w:ascii="Times New Roman" w:eastAsia="Times New Roman" w:hAnsi="Times New Roman" w:cs="Times New Roman"/>
                <w:lang w:val="sr-Latn-ME"/>
              </w:rPr>
              <w:t>e</w:t>
            </w:r>
            <w:r w:rsidR="000932A1" w:rsidRPr="000932A1">
              <w:rPr>
                <w:rFonts w:ascii="Times New Roman" w:eastAsia="Times New Roman" w:hAnsi="Times New Roman" w:cs="Times New Roman"/>
                <w:lang w:val="sr-Latn-ME"/>
              </w:rPr>
              <w:t>nterovirusni meningoencefalitis</w:t>
            </w:r>
            <w:r w:rsidR="000932A1" w:rsidRPr="00B7374A">
              <w:rPr>
                <w:rFonts w:ascii="Times New Roman" w:eastAsia="Times New Roman" w:hAnsi="Times New Roman" w:cs="Times New Roman"/>
                <w:vertAlign w:val="superscript"/>
                <w:lang w:val="sr-Latn-ME"/>
              </w:rPr>
              <w:t>1</w:t>
            </w:r>
          </w:p>
        </w:tc>
        <w:tc>
          <w:tcPr>
            <w:tcW w:w="3402" w:type="dxa"/>
            <w:shd w:val="clear" w:color="auto" w:fill="auto"/>
          </w:tcPr>
          <w:p w14:paraId="688ED583" w14:textId="78E17535" w:rsidR="000932A1" w:rsidRPr="003A22B9" w:rsidRDefault="000932A1"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nepoznato</w:t>
            </w:r>
          </w:p>
        </w:tc>
      </w:tr>
      <w:tr w:rsidR="00A75B47" w:rsidRPr="003A22B9" w14:paraId="36BCF77B" w14:textId="77777777" w:rsidTr="00450742">
        <w:trPr>
          <w:jc w:val="center"/>
        </w:trPr>
        <w:tc>
          <w:tcPr>
            <w:tcW w:w="7338" w:type="dxa"/>
            <w:gridSpan w:val="2"/>
            <w:shd w:val="clear" w:color="auto" w:fill="auto"/>
          </w:tcPr>
          <w:p w14:paraId="3B6898D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krvi i limfnog sistema</w:t>
            </w:r>
          </w:p>
        </w:tc>
      </w:tr>
      <w:tr w:rsidR="00A75B47" w:rsidRPr="003A22B9" w14:paraId="227B52F0" w14:textId="77777777" w:rsidTr="00450742">
        <w:trPr>
          <w:jc w:val="center"/>
        </w:trPr>
        <w:tc>
          <w:tcPr>
            <w:tcW w:w="3936" w:type="dxa"/>
            <w:shd w:val="clear" w:color="auto" w:fill="auto"/>
          </w:tcPr>
          <w:p w14:paraId="0A6EEF12"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trombocitopenija</w:t>
            </w:r>
          </w:p>
        </w:tc>
        <w:tc>
          <w:tcPr>
            <w:tcW w:w="3402" w:type="dxa"/>
            <w:shd w:val="clear" w:color="auto" w:fill="auto"/>
          </w:tcPr>
          <w:p w14:paraId="5CD640A8"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w:t>
            </w:r>
          </w:p>
        </w:tc>
      </w:tr>
      <w:tr w:rsidR="00A75B47" w:rsidRPr="003A22B9" w14:paraId="019B6D5D" w14:textId="77777777" w:rsidTr="00450742">
        <w:trPr>
          <w:jc w:val="center"/>
        </w:trPr>
        <w:tc>
          <w:tcPr>
            <w:tcW w:w="7338" w:type="dxa"/>
            <w:gridSpan w:val="2"/>
            <w:shd w:val="clear" w:color="auto" w:fill="auto"/>
          </w:tcPr>
          <w:p w14:paraId="702975DC" w14:textId="52ACD8D3"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imunog sistema</w:t>
            </w:r>
          </w:p>
        </w:tc>
      </w:tr>
      <w:tr w:rsidR="00A75B47" w:rsidRPr="003A22B9" w14:paraId="00F748A4" w14:textId="77777777" w:rsidTr="00450742">
        <w:trPr>
          <w:jc w:val="center"/>
        </w:trPr>
        <w:tc>
          <w:tcPr>
            <w:tcW w:w="3936" w:type="dxa"/>
            <w:shd w:val="clear" w:color="auto" w:fill="auto"/>
          </w:tcPr>
          <w:p w14:paraId="42BF46C0"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sindrom oslobađanja citokina</w:t>
            </w:r>
          </w:p>
        </w:tc>
        <w:tc>
          <w:tcPr>
            <w:tcW w:w="3402" w:type="dxa"/>
            <w:shd w:val="clear" w:color="auto" w:fill="auto"/>
          </w:tcPr>
          <w:p w14:paraId="3F0A15E8"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099E8755" w14:textId="77777777" w:rsidTr="00450742">
        <w:trPr>
          <w:jc w:val="center"/>
        </w:trPr>
        <w:tc>
          <w:tcPr>
            <w:tcW w:w="7338" w:type="dxa"/>
            <w:gridSpan w:val="2"/>
            <w:shd w:val="clear" w:color="auto" w:fill="auto"/>
          </w:tcPr>
          <w:p w14:paraId="29AA6983"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metabolizma i ishrane</w:t>
            </w:r>
          </w:p>
        </w:tc>
      </w:tr>
      <w:tr w:rsidR="00A75B47" w:rsidRPr="003A22B9" w14:paraId="24A1D80A" w14:textId="77777777" w:rsidTr="00450742">
        <w:trPr>
          <w:jc w:val="center"/>
        </w:trPr>
        <w:tc>
          <w:tcPr>
            <w:tcW w:w="3936" w:type="dxa"/>
            <w:shd w:val="clear" w:color="auto" w:fill="auto"/>
          </w:tcPr>
          <w:p w14:paraId="21BA8476"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hiperkalemija</w:t>
            </w:r>
          </w:p>
        </w:tc>
        <w:tc>
          <w:tcPr>
            <w:tcW w:w="3402" w:type="dxa"/>
            <w:shd w:val="clear" w:color="auto" w:fill="auto"/>
          </w:tcPr>
          <w:p w14:paraId="0B786405"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776AD852" w14:textId="77777777" w:rsidTr="00450742">
        <w:trPr>
          <w:jc w:val="center"/>
        </w:trPr>
        <w:tc>
          <w:tcPr>
            <w:tcW w:w="7338" w:type="dxa"/>
            <w:gridSpan w:val="2"/>
            <w:shd w:val="clear" w:color="auto" w:fill="auto"/>
          </w:tcPr>
          <w:p w14:paraId="6FE9CD03"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Psihijatrijski poremećaji</w:t>
            </w:r>
          </w:p>
        </w:tc>
      </w:tr>
      <w:tr w:rsidR="00A75B47" w:rsidRPr="003A22B9" w14:paraId="702A71BB" w14:textId="77777777" w:rsidTr="00450742">
        <w:trPr>
          <w:jc w:val="center"/>
        </w:trPr>
        <w:tc>
          <w:tcPr>
            <w:tcW w:w="3936" w:type="dxa"/>
            <w:shd w:val="clear" w:color="auto" w:fill="auto"/>
          </w:tcPr>
          <w:p w14:paraId="58F9BD7F"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nesanica</w:t>
            </w:r>
          </w:p>
        </w:tc>
        <w:tc>
          <w:tcPr>
            <w:tcW w:w="3402" w:type="dxa"/>
            <w:shd w:val="clear" w:color="auto" w:fill="auto"/>
          </w:tcPr>
          <w:p w14:paraId="7FE786C7"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14%</w:t>
            </w:r>
          </w:p>
        </w:tc>
      </w:tr>
      <w:tr w:rsidR="00A75B47" w:rsidRPr="003A22B9" w14:paraId="45A876F2" w14:textId="77777777" w:rsidTr="00450742">
        <w:trPr>
          <w:jc w:val="center"/>
        </w:trPr>
        <w:tc>
          <w:tcPr>
            <w:tcW w:w="7338" w:type="dxa"/>
            <w:gridSpan w:val="2"/>
            <w:shd w:val="clear" w:color="auto" w:fill="auto"/>
          </w:tcPr>
          <w:p w14:paraId="275A1370"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nervnog sistema</w:t>
            </w:r>
          </w:p>
        </w:tc>
      </w:tr>
      <w:tr w:rsidR="00A75B47" w:rsidRPr="003A22B9" w14:paraId="5A40B106" w14:textId="77777777" w:rsidTr="00450742">
        <w:trPr>
          <w:jc w:val="center"/>
        </w:trPr>
        <w:tc>
          <w:tcPr>
            <w:tcW w:w="3936" w:type="dxa"/>
            <w:shd w:val="clear" w:color="auto" w:fill="auto"/>
          </w:tcPr>
          <w:p w14:paraId="6AE7F1C9"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vrtoglavica</w:t>
            </w:r>
          </w:p>
        </w:tc>
        <w:tc>
          <w:tcPr>
            <w:tcW w:w="3402" w:type="dxa"/>
            <w:shd w:val="clear" w:color="auto" w:fill="auto"/>
          </w:tcPr>
          <w:p w14:paraId="5F339DFC"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w:t>
            </w:r>
          </w:p>
        </w:tc>
      </w:tr>
      <w:tr w:rsidR="00A75B47" w:rsidRPr="003A22B9" w14:paraId="375B5067" w14:textId="77777777" w:rsidTr="00450742">
        <w:trPr>
          <w:jc w:val="center"/>
        </w:trPr>
        <w:tc>
          <w:tcPr>
            <w:tcW w:w="3936" w:type="dxa"/>
            <w:shd w:val="clear" w:color="auto" w:fill="auto"/>
          </w:tcPr>
          <w:p w14:paraId="7ED42345"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tremor</w:t>
            </w:r>
          </w:p>
        </w:tc>
        <w:tc>
          <w:tcPr>
            <w:tcW w:w="3402" w:type="dxa"/>
            <w:shd w:val="clear" w:color="auto" w:fill="auto"/>
          </w:tcPr>
          <w:p w14:paraId="2B5A0414"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w:t>
            </w:r>
          </w:p>
        </w:tc>
      </w:tr>
      <w:tr w:rsidR="00A75B47" w:rsidRPr="003A22B9" w14:paraId="36B03943" w14:textId="77777777" w:rsidTr="00450742">
        <w:trPr>
          <w:jc w:val="center"/>
        </w:trPr>
        <w:tc>
          <w:tcPr>
            <w:tcW w:w="7338" w:type="dxa"/>
            <w:gridSpan w:val="2"/>
            <w:shd w:val="clear" w:color="auto" w:fill="auto"/>
          </w:tcPr>
          <w:p w14:paraId="452850CA"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Vaskularni poremećaji</w:t>
            </w:r>
          </w:p>
        </w:tc>
      </w:tr>
      <w:tr w:rsidR="00A75B47" w:rsidRPr="003A22B9" w14:paraId="5E6FAAE2" w14:textId="77777777" w:rsidTr="00450742">
        <w:trPr>
          <w:jc w:val="center"/>
        </w:trPr>
        <w:tc>
          <w:tcPr>
            <w:tcW w:w="3936" w:type="dxa"/>
            <w:shd w:val="clear" w:color="auto" w:fill="auto"/>
          </w:tcPr>
          <w:p w14:paraId="21919E0D"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hipertenzija</w:t>
            </w:r>
          </w:p>
        </w:tc>
        <w:tc>
          <w:tcPr>
            <w:tcW w:w="3402" w:type="dxa"/>
            <w:shd w:val="clear" w:color="auto" w:fill="auto"/>
          </w:tcPr>
          <w:p w14:paraId="6A6922F9"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12%</w:t>
            </w:r>
          </w:p>
        </w:tc>
      </w:tr>
      <w:tr w:rsidR="00A75B47" w:rsidRPr="003A22B9" w14:paraId="0ADF8983" w14:textId="77777777" w:rsidTr="00450742">
        <w:trPr>
          <w:jc w:val="center"/>
        </w:trPr>
        <w:tc>
          <w:tcPr>
            <w:tcW w:w="3936" w:type="dxa"/>
            <w:shd w:val="clear" w:color="auto" w:fill="auto"/>
          </w:tcPr>
          <w:p w14:paraId="7CFB86AD"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crvenilo praćeno osjećajem vrućine</w:t>
            </w:r>
          </w:p>
        </w:tc>
        <w:tc>
          <w:tcPr>
            <w:tcW w:w="3402" w:type="dxa"/>
            <w:shd w:val="clear" w:color="auto" w:fill="auto"/>
          </w:tcPr>
          <w:p w14:paraId="586A8E3C"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0D21D82F" w14:textId="77777777" w:rsidTr="00450742">
        <w:trPr>
          <w:jc w:val="center"/>
        </w:trPr>
        <w:tc>
          <w:tcPr>
            <w:tcW w:w="7338" w:type="dxa"/>
            <w:gridSpan w:val="2"/>
            <w:shd w:val="clear" w:color="auto" w:fill="auto"/>
          </w:tcPr>
          <w:p w14:paraId="3CAB27C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Respiratorni, torakalni i medijastinalni poremećaji</w:t>
            </w:r>
          </w:p>
        </w:tc>
      </w:tr>
      <w:tr w:rsidR="00A75B47" w:rsidRPr="003A22B9" w14:paraId="1F1B621B" w14:textId="77777777" w:rsidTr="00450742">
        <w:trPr>
          <w:jc w:val="center"/>
        </w:trPr>
        <w:tc>
          <w:tcPr>
            <w:tcW w:w="3936" w:type="dxa"/>
            <w:shd w:val="clear" w:color="auto" w:fill="auto"/>
          </w:tcPr>
          <w:p w14:paraId="666F4336"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kašalj</w:t>
            </w:r>
          </w:p>
        </w:tc>
        <w:tc>
          <w:tcPr>
            <w:tcW w:w="3402" w:type="dxa"/>
            <w:shd w:val="clear" w:color="auto" w:fill="auto"/>
          </w:tcPr>
          <w:p w14:paraId="55725B0A" w14:textId="77777777" w:rsidR="00A75B47" w:rsidRPr="003A22B9" w:rsidRDefault="00A75B47" w:rsidP="009D576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12%</w:t>
            </w:r>
          </w:p>
        </w:tc>
      </w:tr>
      <w:tr w:rsidR="00A75B47" w:rsidRPr="003A22B9" w14:paraId="0AB92CBB" w14:textId="77777777" w:rsidTr="00450742">
        <w:trPr>
          <w:jc w:val="center"/>
        </w:trPr>
        <w:tc>
          <w:tcPr>
            <w:tcW w:w="3936" w:type="dxa"/>
            <w:shd w:val="clear" w:color="auto" w:fill="auto"/>
          </w:tcPr>
          <w:p w14:paraId="788F669E"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dispnea</w:t>
            </w:r>
          </w:p>
        </w:tc>
        <w:tc>
          <w:tcPr>
            <w:tcW w:w="3402" w:type="dxa"/>
            <w:shd w:val="clear" w:color="auto" w:fill="auto"/>
          </w:tcPr>
          <w:p w14:paraId="3060C02C"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11%</w:t>
            </w:r>
          </w:p>
        </w:tc>
      </w:tr>
      <w:tr w:rsidR="00A75B47" w:rsidRPr="003A22B9" w14:paraId="4F5BBF02" w14:textId="77777777" w:rsidTr="00450742">
        <w:trPr>
          <w:jc w:val="center"/>
        </w:trPr>
        <w:tc>
          <w:tcPr>
            <w:tcW w:w="3936" w:type="dxa"/>
            <w:shd w:val="clear" w:color="auto" w:fill="auto"/>
          </w:tcPr>
          <w:p w14:paraId="7CF5C61D"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epistaksa</w:t>
            </w:r>
          </w:p>
        </w:tc>
        <w:tc>
          <w:tcPr>
            <w:tcW w:w="3402" w:type="dxa"/>
            <w:shd w:val="clear" w:color="auto" w:fill="auto"/>
          </w:tcPr>
          <w:p w14:paraId="7BBE51F9"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11%</w:t>
            </w:r>
          </w:p>
        </w:tc>
      </w:tr>
      <w:tr w:rsidR="00A75B47" w:rsidRPr="003A22B9" w14:paraId="77130570" w14:textId="77777777" w:rsidTr="00450742">
        <w:trPr>
          <w:jc w:val="center"/>
        </w:trPr>
        <w:tc>
          <w:tcPr>
            <w:tcW w:w="3936" w:type="dxa"/>
            <w:shd w:val="clear" w:color="auto" w:fill="auto"/>
          </w:tcPr>
          <w:p w14:paraId="0DBB8BD1"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zapušen nos</w:t>
            </w:r>
          </w:p>
        </w:tc>
        <w:tc>
          <w:tcPr>
            <w:tcW w:w="3402" w:type="dxa"/>
            <w:shd w:val="clear" w:color="auto" w:fill="auto"/>
          </w:tcPr>
          <w:p w14:paraId="6EEF8D77"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w:t>
            </w:r>
          </w:p>
        </w:tc>
      </w:tr>
      <w:tr w:rsidR="00A75B47" w:rsidRPr="003A22B9" w14:paraId="24451218" w14:textId="77777777" w:rsidTr="00450742">
        <w:trPr>
          <w:jc w:val="center"/>
        </w:trPr>
        <w:tc>
          <w:tcPr>
            <w:tcW w:w="7338" w:type="dxa"/>
            <w:gridSpan w:val="2"/>
            <w:shd w:val="clear" w:color="auto" w:fill="auto"/>
          </w:tcPr>
          <w:p w14:paraId="2FC4999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lastRenderedPageBreak/>
              <w:t>Gastrointestinalni poremećaji</w:t>
            </w:r>
          </w:p>
        </w:tc>
      </w:tr>
      <w:tr w:rsidR="00A75B47" w:rsidRPr="003A22B9" w14:paraId="3109A091" w14:textId="77777777" w:rsidTr="00450742">
        <w:trPr>
          <w:jc w:val="center"/>
        </w:trPr>
        <w:tc>
          <w:tcPr>
            <w:tcW w:w="3936" w:type="dxa"/>
            <w:shd w:val="clear" w:color="auto" w:fill="auto"/>
          </w:tcPr>
          <w:p w14:paraId="08D3ED33"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dijareja</w:t>
            </w:r>
          </w:p>
        </w:tc>
        <w:tc>
          <w:tcPr>
            <w:tcW w:w="3402" w:type="dxa"/>
            <w:shd w:val="clear" w:color="auto" w:fill="auto"/>
          </w:tcPr>
          <w:p w14:paraId="453F8622"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18%</w:t>
            </w:r>
          </w:p>
        </w:tc>
      </w:tr>
      <w:tr w:rsidR="00A75B47" w:rsidRPr="003A22B9" w14:paraId="35643592" w14:textId="77777777" w:rsidTr="00450742">
        <w:trPr>
          <w:jc w:val="center"/>
        </w:trPr>
        <w:tc>
          <w:tcPr>
            <w:tcW w:w="3936" w:type="dxa"/>
            <w:shd w:val="clear" w:color="auto" w:fill="auto"/>
          </w:tcPr>
          <w:p w14:paraId="5961A8D3"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dispepsija</w:t>
            </w:r>
          </w:p>
        </w:tc>
        <w:tc>
          <w:tcPr>
            <w:tcW w:w="3402" w:type="dxa"/>
            <w:shd w:val="clear" w:color="auto" w:fill="auto"/>
          </w:tcPr>
          <w:p w14:paraId="129691CE"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w:t>
            </w:r>
          </w:p>
        </w:tc>
      </w:tr>
      <w:tr w:rsidR="00A75B47" w:rsidRPr="003A22B9" w14:paraId="74C83DCD" w14:textId="77777777" w:rsidTr="00450742">
        <w:trPr>
          <w:jc w:val="center"/>
        </w:trPr>
        <w:tc>
          <w:tcPr>
            <w:tcW w:w="3936" w:type="dxa"/>
            <w:shd w:val="clear" w:color="auto" w:fill="auto"/>
          </w:tcPr>
          <w:p w14:paraId="6068028C"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opstipacija</w:t>
            </w:r>
          </w:p>
        </w:tc>
        <w:tc>
          <w:tcPr>
            <w:tcW w:w="3402" w:type="dxa"/>
            <w:shd w:val="clear" w:color="auto" w:fill="auto"/>
          </w:tcPr>
          <w:p w14:paraId="11368CE7"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7E1B584D" w14:textId="77777777" w:rsidTr="00450742">
        <w:trPr>
          <w:jc w:val="center"/>
        </w:trPr>
        <w:tc>
          <w:tcPr>
            <w:tcW w:w="7338" w:type="dxa"/>
            <w:gridSpan w:val="2"/>
            <w:shd w:val="clear" w:color="auto" w:fill="auto"/>
          </w:tcPr>
          <w:p w14:paraId="40F7D10B"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kože i potkožnog tkiva</w:t>
            </w:r>
          </w:p>
        </w:tc>
      </w:tr>
      <w:tr w:rsidR="00A75B47" w:rsidRPr="003A22B9" w14:paraId="6E71B44B" w14:textId="77777777" w:rsidTr="00450742">
        <w:trPr>
          <w:jc w:val="center"/>
        </w:trPr>
        <w:tc>
          <w:tcPr>
            <w:tcW w:w="3936" w:type="dxa"/>
            <w:shd w:val="clear" w:color="auto" w:fill="auto"/>
          </w:tcPr>
          <w:p w14:paraId="7A1782D9"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akne</w:t>
            </w:r>
          </w:p>
        </w:tc>
        <w:tc>
          <w:tcPr>
            <w:tcW w:w="3402" w:type="dxa"/>
            <w:shd w:val="clear" w:color="auto" w:fill="auto"/>
          </w:tcPr>
          <w:p w14:paraId="7303A8DA"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w:t>
            </w:r>
          </w:p>
        </w:tc>
      </w:tr>
      <w:tr w:rsidR="00A75B47" w:rsidRPr="003A22B9" w14:paraId="00F68C99" w14:textId="77777777" w:rsidTr="00450742">
        <w:trPr>
          <w:jc w:val="center"/>
        </w:trPr>
        <w:tc>
          <w:tcPr>
            <w:tcW w:w="7338" w:type="dxa"/>
            <w:gridSpan w:val="2"/>
            <w:shd w:val="clear" w:color="auto" w:fill="auto"/>
          </w:tcPr>
          <w:p w14:paraId="1B1EA04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Poremećaji mišićno-koštanog sistema i vezivnog tkiva</w:t>
            </w:r>
          </w:p>
        </w:tc>
      </w:tr>
      <w:tr w:rsidR="00A75B47" w:rsidRPr="003A22B9" w14:paraId="606A4862" w14:textId="77777777" w:rsidTr="00450742">
        <w:trPr>
          <w:jc w:val="center"/>
        </w:trPr>
        <w:tc>
          <w:tcPr>
            <w:tcW w:w="3936" w:type="dxa"/>
            <w:shd w:val="clear" w:color="auto" w:fill="auto"/>
          </w:tcPr>
          <w:p w14:paraId="0D7C78CA"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grčevi mišića</w:t>
            </w:r>
          </w:p>
        </w:tc>
        <w:tc>
          <w:tcPr>
            <w:tcW w:w="3402" w:type="dxa"/>
            <w:shd w:val="clear" w:color="auto" w:fill="auto"/>
          </w:tcPr>
          <w:p w14:paraId="7B32A17E"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18%</w:t>
            </w:r>
          </w:p>
        </w:tc>
      </w:tr>
      <w:tr w:rsidR="00A75B47" w:rsidRPr="003A22B9" w14:paraId="6745264B" w14:textId="77777777" w:rsidTr="00450742">
        <w:trPr>
          <w:jc w:val="center"/>
        </w:trPr>
        <w:tc>
          <w:tcPr>
            <w:tcW w:w="3936" w:type="dxa"/>
            <w:shd w:val="clear" w:color="auto" w:fill="auto"/>
          </w:tcPr>
          <w:p w14:paraId="6867C585"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artralgija</w:t>
            </w:r>
          </w:p>
        </w:tc>
        <w:tc>
          <w:tcPr>
            <w:tcW w:w="3402" w:type="dxa"/>
            <w:shd w:val="clear" w:color="auto" w:fill="auto"/>
          </w:tcPr>
          <w:p w14:paraId="70116B10"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15%</w:t>
            </w:r>
          </w:p>
        </w:tc>
      </w:tr>
      <w:tr w:rsidR="00A75B47" w:rsidRPr="003A22B9" w14:paraId="30CCAB70" w14:textId="77777777" w:rsidTr="00450742">
        <w:trPr>
          <w:jc w:val="center"/>
        </w:trPr>
        <w:tc>
          <w:tcPr>
            <w:tcW w:w="3936" w:type="dxa"/>
            <w:shd w:val="clear" w:color="auto" w:fill="auto"/>
          </w:tcPr>
          <w:p w14:paraId="62DAF139"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bol u leđima</w:t>
            </w:r>
          </w:p>
        </w:tc>
        <w:tc>
          <w:tcPr>
            <w:tcW w:w="3402" w:type="dxa"/>
            <w:shd w:val="clear" w:color="auto" w:fill="auto"/>
          </w:tcPr>
          <w:p w14:paraId="0464F9B8"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w:t>
            </w:r>
          </w:p>
        </w:tc>
      </w:tr>
      <w:tr w:rsidR="00A75B47" w:rsidRPr="003A22B9" w14:paraId="3DE88937" w14:textId="77777777" w:rsidTr="00450742">
        <w:trPr>
          <w:jc w:val="center"/>
        </w:trPr>
        <w:tc>
          <w:tcPr>
            <w:tcW w:w="3936" w:type="dxa"/>
            <w:shd w:val="clear" w:color="auto" w:fill="auto"/>
          </w:tcPr>
          <w:p w14:paraId="36D9A5E1"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slabost mišića</w:t>
            </w:r>
          </w:p>
        </w:tc>
        <w:tc>
          <w:tcPr>
            <w:tcW w:w="3402" w:type="dxa"/>
            <w:shd w:val="clear" w:color="auto" w:fill="auto"/>
          </w:tcPr>
          <w:p w14:paraId="56BD796F"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046ED283" w14:textId="77777777" w:rsidTr="00450742">
        <w:trPr>
          <w:jc w:val="center"/>
        </w:trPr>
        <w:tc>
          <w:tcPr>
            <w:tcW w:w="3936" w:type="dxa"/>
            <w:shd w:val="clear" w:color="auto" w:fill="auto"/>
          </w:tcPr>
          <w:p w14:paraId="1CE4E06B" w14:textId="77777777" w:rsidR="00A75B47" w:rsidRPr="003A22B9" w:rsidRDefault="00A75B47" w:rsidP="00A75B47">
            <w:pPr>
              <w:spacing w:after="0" w:line="240" w:lineRule="auto"/>
              <w:ind w:left="284"/>
              <w:jc w:val="both"/>
              <w:rPr>
                <w:rFonts w:ascii="Times New Roman" w:eastAsia="Times New Roman" w:hAnsi="Times New Roman" w:cs="Times New Roman"/>
                <w:i/>
                <w:lang w:val="sr-Latn-ME"/>
              </w:rPr>
            </w:pPr>
            <w:r w:rsidRPr="003A22B9">
              <w:rPr>
                <w:rFonts w:ascii="Times New Roman" w:eastAsia="Times New Roman" w:hAnsi="Times New Roman" w:cs="Times New Roman"/>
                <w:iCs/>
                <w:shd w:val="clear" w:color="auto" w:fill="FFFFFF"/>
                <w:lang w:val="sr-Latn-ME"/>
              </w:rPr>
              <w:t>koštano mišićni bol</w:t>
            </w:r>
          </w:p>
        </w:tc>
        <w:tc>
          <w:tcPr>
            <w:tcW w:w="3402" w:type="dxa"/>
            <w:shd w:val="clear" w:color="auto" w:fill="auto"/>
          </w:tcPr>
          <w:p w14:paraId="13822FC2"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2B4F26EE" w14:textId="77777777" w:rsidTr="00450742">
        <w:trPr>
          <w:jc w:val="center"/>
        </w:trPr>
        <w:tc>
          <w:tcPr>
            <w:tcW w:w="3936" w:type="dxa"/>
            <w:shd w:val="clear" w:color="auto" w:fill="auto"/>
          </w:tcPr>
          <w:p w14:paraId="2A8EA570"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bol u ektremitetima</w:t>
            </w:r>
          </w:p>
        </w:tc>
        <w:tc>
          <w:tcPr>
            <w:tcW w:w="3402" w:type="dxa"/>
            <w:shd w:val="clear" w:color="auto" w:fill="auto"/>
          </w:tcPr>
          <w:p w14:paraId="3D6D75DB"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r>
      <w:tr w:rsidR="00A75B47" w:rsidRPr="003A22B9" w14:paraId="76CB84F0" w14:textId="77777777" w:rsidTr="00450742">
        <w:trPr>
          <w:jc w:val="center"/>
        </w:trPr>
        <w:tc>
          <w:tcPr>
            <w:tcW w:w="7338" w:type="dxa"/>
            <w:gridSpan w:val="2"/>
            <w:shd w:val="clear" w:color="auto" w:fill="auto"/>
          </w:tcPr>
          <w:p w14:paraId="1695402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Opšti poremećaji i reakcije na mjestu primjene</w:t>
            </w:r>
          </w:p>
        </w:tc>
      </w:tr>
      <w:tr w:rsidR="00A75B47" w:rsidRPr="003A22B9" w14:paraId="0870C337" w14:textId="77777777" w:rsidTr="00450742">
        <w:trPr>
          <w:jc w:val="center"/>
        </w:trPr>
        <w:tc>
          <w:tcPr>
            <w:tcW w:w="3936" w:type="dxa"/>
            <w:shd w:val="clear" w:color="auto" w:fill="auto"/>
          </w:tcPr>
          <w:p w14:paraId="78B7EACA"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periferni edem</w:t>
            </w:r>
          </w:p>
        </w:tc>
        <w:tc>
          <w:tcPr>
            <w:tcW w:w="3402" w:type="dxa"/>
            <w:shd w:val="clear" w:color="auto" w:fill="auto"/>
          </w:tcPr>
          <w:p w14:paraId="42B72E1C"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16%</w:t>
            </w:r>
          </w:p>
        </w:tc>
      </w:tr>
      <w:tr w:rsidR="00A75B47" w:rsidRPr="003A22B9" w14:paraId="693CB67A" w14:textId="77777777" w:rsidTr="00450742">
        <w:trPr>
          <w:jc w:val="center"/>
        </w:trPr>
        <w:tc>
          <w:tcPr>
            <w:tcW w:w="7338" w:type="dxa"/>
            <w:gridSpan w:val="2"/>
            <w:shd w:val="clear" w:color="auto" w:fill="auto"/>
          </w:tcPr>
          <w:p w14:paraId="68FDBCB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Ispitivanja</w:t>
            </w:r>
          </w:p>
        </w:tc>
      </w:tr>
      <w:tr w:rsidR="00A75B47" w:rsidRPr="003A22B9" w14:paraId="23A7F449" w14:textId="77777777" w:rsidTr="00450742">
        <w:trPr>
          <w:jc w:val="center"/>
        </w:trPr>
        <w:tc>
          <w:tcPr>
            <w:tcW w:w="3936" w:type="dxa"/>
            <w:shd w:val="clear" w:color="auto" w:fill="auto"/>
          </w:tcPr>
          <w:p w14:paraId="593160E7" w14:textId="77777777" w:rsidR="00A75B47" w:rsidRPr="003A22B9" w:rsidRDefault="00A75B47" w:rsidP="00A75B47">
            <w:pPr>
              <w:spacing w:after="0" w:line="240" w:lineRule="auto"/>
              <w:ind w:left="284"/>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smanjen nivo hemoglobina</w:t>
            </w:r>
          </w:p>
        </w:tc>
        <w:tc>
          <w:tcPr>
            <w:tcW w:w="3402" w:type="dxa"/>
            <w:shd w:val="clear" w:color="auto" w:fill="auto"/>
          </w:tcPr>
          <w:p w14:paraId="565F5E0D" w14:textId="77777777" w:rsidR="00A75B47" w:rsidRPr="003A22B9" w:rsidRDefault="00A75B47" w:rsidP="005D56F1">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w:t>
            </w:r>
          </w:p>
        </w:tc>
      </w:tr>
    </w:tbl>
    <w:p w14:paraId="0A9267AD" w14:textId="6DA5824E" w:rsidR="000932A1" w:rsidRDefault="00450742" w:rsidP="00450742">
      <w:pPr>
        <w:pStyle w:val="BodyText"/>
        <w:spacing w:before="5"/>
        <w:rPr>
          <w:bCs/>
        </w:rPr>
      </w:pPr>
      <w:r w:rsidRPr="003A22B9">
        <w:rPr>
          <w:bCs/>
          <w:vertAlign w:val="superscript"/>
        </w:rPr>
        <w:t xml:space="preserve">  </w:t>
      </w:r>
      <w:r w:rsidRPr="003A22B9">
        <w:rPr>
          <w:bCs/>
          <w:vertAlign w:val="superscript"/>
        </w:rPr>
        <w:tab/>
        <w:t>1</w:t>
      </w:r>
      <w:r w:rsidRPr="003A22B9">
        <w:rPr>
          <w:bCs/>
          <w:vertAlign w:val="subscript"/>
        </w:rPr>
        <w:t xml:space="preserve"> </w:t>
      </w:r>
      <w:r w:rsidRPr="003A22B9">
        <w:rPr>
          <w:bCs/>
        </w:rPr>
        <w:t>Prim</w:t>
      </w:r>
      <w:r w:rsidR="00BF7E0A">
        <w:rPr>
          <w:bCs/>
        </w:rPr>
        <w:t>i</w:t>
      </w:r>
      <w:r w:rsidR="000932A1">
        <w:rPr>
          <w:bCs/>
        </w:rPr>
        <w:t>j</w:t>
      </w:r>
      <w:r w:rsidRPr="003A22B9">
        <w:rPr>
          <w:bCs/>
        </w:rPr>
        <w:t xml:space="preserve">ećeno tokom postmarketinškog praćenja. </w:t>
      </w:r>
    </w:p>
    <w:p w14:paraId="76A9BD74" w14:textId="5671E23C" w:rsidR="00450742" w:rsidRPr="003A22B9" w:rsidRDefault="000932A1" w:rsidP="00B7374A">
      <w:pPr>
        <w:pStyle w:val="BodyText"/>
        <w:spacing w:before="5"/>
        <w:ind w:firstLine="608"/>
        <w:rPr>
          <w:bCs/>
        </w:rPr>
      </w:pPr>
      <w:r>
        <w:rPr>
          <w:bCs/>
          <w:vertAlign w:val="superscript"/>
        </w:rPr>
        <w:t xml:space="preserve">2 </w:t>
      </w:r>
      <w:r w:rsidR="00450742" w:rsidRPr="003A22B9">
        <w:rPr>
          <w:bCs/>
        </w:rPr>
        <w:t>Vid</w:t>
      </w:r>
      <w:r w:rsidR="00BF7E0A">
        <w:rPr>
          <w:bCs/>
        </w:rPr>
        <w:t>j</w:t>
      </w:r>
      <w:r w:rsidR="00450742" w:rsidRPr="003A22B9">
        <w:rPr>
          <w:bCs/>
        </w:rPr>
        <w:t>eti</w:t>
      </w:r>
      <w:r w:rsidR="00BF7E0A">
        <w:rPr>
          <w:bCs/>
        </w:rPr>
        <w:t xml:space="preserve"> i</w:t>
      </w:r>
      <w:r w:rsidR="00450742" w:rsidRPr="003A22B9">
        <w:rPr>
          <w:bCs/>
        </w:rPr>
        <w:t xml:space="preserve"> </w:t>
      </w:r>
      <w:r w:rsidR="00BF7E0A">
        <w:rPr>
          <w:bCs/>
        </w:rPr>
        <w:t>dio</w:t>
      </w:r>
      <w:r w:rsidR="00450742" w:rsidRPr="003A22B9">
        <w:rPr>
          <w:bCs/>
        </w:rPr>
        <w:t xml:space="preserve"> o infekcijama ispod.</w:t>
      </w:r>
    </w:p>
    <w:p w14:paraId="7D536D0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489D36D" w14:textId="16E5FA90" w:rsidR="00A75B47" w:rsidRPr="003A22B9" w:rsidRDefault="00A75B47" w:rsidP="00A75B47">
      <w:pPr>
        <w:keepNext/>
        <w:spacing w:after="0" w:line="240" w:lineRule="auto"/>
        <w:jc w:val="both"/>
        <w:rPr>
          <w:rFonts w:ascii="Times New Roman" w:eastAsia="Times New Roman" w:hAnsi="Times New Roman" w:cs="Times New Roman"/>
          <w:i/>
          <w:lang w:val="sr-Latn-ME" w:eastAsia="ja-JP"/>
        </w:rPr>
      </w:pPr>
      <w:r w:rsidRPr="003A22B9">
        <w:rPr>
          <w:rFonts w:ascii="Times New Roman" w:eastAsia="Times New Roman" w:hAnsi="Times New Roman" w:cs="Times New Roman"/>
          <w:i/>
          <w:lang w:val="sr-Latn-ME" w:eastAsia="ja-JP"/>
        </w:rPr>
        <w:t>Terapija održavanja</w:t>
      </w:r>
      <w:r w:rsidR="00AF137F" w:rsidRPr="003A22B9">
        <w:rPr>
          <w:rFonts w:ascii="Times New Roman" w:eastAsia="Times New Roman" w:hAnsi="Times New Roman" w:cs="Times New Roman"/>
          <w:i/>
          <w:lang w:val="sr-Latn-ME" w:eastAsia="ja-JP"/>
        </w:rPr>
        <w:t xml:space="preserve"> kod odraslih </w:t>
      </w:r>
      <w:r w:rsidR="00C2039B" w:rsidRPr="003A22B9">
        <w:rPr>
          <w:rFonts w:ascii="Times New Roman" w:eastAsia="Times New Roman" w:hAnsi="Times New Roman" w:cs="Times New Roman"/>
          <w:i/>
          <w:lang w:val="sr-Latn-ME" w:eastAsia="ja-JP"/>
        </w:rPr>
        <w:t>(</w:t>
      </w:r>
      <w:r w:rsidR="00C2039B" w:rsidRPr="003A22B9">
        <w:rPr>
          <w:rFonts w:ascii="Times New Roman" w:eastAsia="Times New Roman" w:hAnsi="Times New Roman" w:cs="Times New Roman"/>
          <w:i/>
          <w:lang w:eastAsia="ja-JP"/>
        </w:rPr>
        <w:t>GPA</w:t>
      </w:r>
      <w:r w:rsidR="00C2039B" w:rsidRPr="003A22B9">
        <w:rPr>
          <w:rFonts w:ascii="Times New Roman" w:eastAsia="Times New Roman" w:hAnsi="Times New Roman" w:cs="Times New Roman"/>
          <w:i/>
          <w:lang w:val="sr-Latn-ME" w:eastAsia="ja-JP"/>
        </w:rPr>
        <w:t>/</w:t>
      </w:r>
      <w:r w:rsidR="00C2039B" w:rsidRPr="003A22B9">
        <w:rPr>
          <w:rFonts w:ascii="Times New Roman" w:eastAsia="Times New Roman" w:hAnsi="Times New Roman" w:cs="Times New Roman"/>
          <w:i/>
          <w:lang w:eastAsia="ja-JP"/>
        </w:rPr>
        <w:t>MPA</w:t>
      </w:r>
      <w:r w:rsidR="00C2039B" w:rsidRPr="003A22B9">
        <w:rPr>
          <w:rFonts w:ascii="Times New Roman" w:eastAsia="Times New Roman" w:hAnsi="Times New Roman" w:cs="Times New Roman"/>
          <w:i/>
          <w:lang w:val="sr-Latn-ME" w:eastAsia="ja-JP"/>
        </w:rPr>
        <w:t xml:space="preserve"> </w:t>
      </w:r>
      <w:r w:rsidR="00C2039B" w:rsidRPr="003A22B9">
        <w:rPr>
          <w:rFonts w:ascii="Times New Roman" w:eastAsia="Times New Roman" w:hAnsi="Times New Roman" w:cs="Times New Roman"/>
          <w:i/>
          <w:lang w:eastAsia="ja-JP"/>
        </w:rPr>
        <w:t>Studija</w:t>
      </w:r>
      <w:r w:rsidR="00C2039B" w:rsidRPr="003A22B9">
        <w:rPr>
          <w:rFonts w:ascii="Times New Roman" w:eastAsia="Times New Roman" w:hAnsi="Times New Roman" w:cs="Times New Roman"/>
          <w:i/>
          <w:lang w:val="sr-Latn-ME" w:eastAsia="ja-JP"/>
        </w:rPr>
        <w:t xml:space="preserve"> 2)</w:t>
      </w:r>
    </w:p>
    <w:p w14:paraId="3680AD14" w14:textId="6A00F754" w:rsidR="00A75B47" w:rsidRPr="003A22B9" w:rsidRDefault="00A75B47" w:rsidP="00A75B47">
      <w:pPr>
        <w:spacing w:after="0" w:line="240" w:lineRule="auto"/>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 xml:space="preserve">U </w:t>
      </w:r>
      <w:r w:rsidR="00D94E5A" w:rsidRPr="003A22B9">
        <w:rPr>
          <w:rFonts w:ascii="Times New Roman" w:eastAsia="Times New Roman" w:hAnsi="Times New Roman" w:cs="Times New Roman"/>
          <w:lang w:val="sr-Latn-ME" w:eastAsia="ja-JP"/>
        </w:rPr>
        <w:t xml:space="preserve">GPA/MPA studiji </w:t>
      </w:r>
      <w:r w:rsidRPr="003A22B9">
        <w:rPr>
          <w:rFonts w:ascii="Times New Roman" w:eastAsia="Times New Roman" w:hAnsi="Times New Roman" w:cs="Times New Roman"/>
          <w:lang w:val="sr-Latn-ME" w:eastAsia="ja-JP"/>
        </w:rPr>
        <w:t xml:space="preserve">ukupno </w:t>
      </w:r>
      <w:r w:rsidR="006F0964" w:rsidRPr="003A22B9">
        <w:rPr>
          <w:rFonts w:ascii="Times New Roman" w:eastAsia="Times New Roman" w:hAnsi="Times New Roman" w:cs="Times New Roman"/>
          <w:lang w:val="sr-Latn-ME" w:eastAsia="ja-JP"/>
        </w:rPr>
        <w:t xml:space="preserve">je </w:t>
      </w:r>
      <w:r w:rsidRPr="003A22B9">
        <w:rPr>
          <w:rFonts w:ascii="Times New Roman" w:eastAsia="Times New Roman" w:hAnsi="Times New Roman" w:cs="Times New Roman"/>
          <w:lang w:val="sr-Latn-ME" w:eastAsia="ja-JP"/>
        </w:rPr>
        <w:t>57 </w:t>
      </w:r>
      <w:r w:rsidR="00A4542B" w:rsidRPr="003A22B9">
        <w:rPr>
          <w:rFonts w:ascii="Times New Roman" w:eastAsia="Times New Roman" w:hAnsi="Times New Roman" w:cs="Times New Roman"/>
          <w:lang w:val="sr-Latn-ME" w:eastAsia="ja-JP"/>
        </w:rPr>
        <w:t xml:space="preserve">odraslih </w:t>
      </w:r>
      <w:r w:rsidRPr="003A22B9">
        <w:rPr>
          <w:rFonts w:ascii="Times New Roman" w:eastAsia="Times New Roman" w:hAnsi="Times New Roman" w:cs="Times New Roman"/>
          <w:lang w:val="sr-Latn-ME" w:eastAsia="ja-JP"/>
        </w:rPr>
        <w:t>pacijenata sa teškim aktivnim GPA</w:t>
      </w:r>
      <w:r w:rsidRPr="003A22B9">
        <w:rPr>
          <w:rFonts w:ascii="Times New Roman" w:eastAsia="Times New Roman" w:hAnsi="Times New Roman" w:cs="Times New Roman"/>
          <w:lang w:val="sr-Latn-ME" w:eastAsia="ja-JP"/>
        </w:rPr>
        <w:noBreakHyphen/>
        <w:t>om i MPA</w:t>
      </w:r>
      <w:r w:rsidRPr="003A22B9">
        <w:rPr>
          <w:rFonts w:ascii="Times New Roman" w:eastAsia="Times New Roman" w:hAnsi="Times New Roman" w:cs="Times New Roman"/>
          <w:lang w:val="sr-Latn-ME" w:eastAsia="ja-JP"/>
        </w:rPr>
        <w:noBreakHyphen/>
        <w:t>om</w:t>
      </w:r>
      <w:r w:rsidR="00692EFC" w:rsidRPr="003A22B9">
        <w:rPr>
          <w:rFonts w:ascii="Times New Roman" w:eastAsia="Times New Roman" w:hAnsi="Times New Roman" w:cs="Times New Roman"/>
          <w:lang w:val="sr-Latn-ME" w:eastAsia="ja-JP"/>
        </w:rPr>
        <w:t xml:space="preserve"> je </w:t>
      </w:r>
      <w:r w:rsidRPr="003A22B9">
        <w:rPr>
          <w:rFonts w:ascii="Times New Roman" w:eastAsia="Times New Roman" w:hAnsi="Times New Roman" w:cs="Times New Roman"/>
          <w:lang w:val="sr-Latn-ME" w:eastAsia="ja-JP"/>
        </w:rPr>
        <w:t xml:space="preserve">primalo rituksimab za održavanje remisije (vidjeti </w:t>
      </w:r>
      <w:r w:rsidR="00EA6A05" w:rsidRPr="003A22B9">
        <w:rPr>
          <w:rFonts w:ascii="Times New Roman" w:eastAsia="Times New Roman" w:hAnsi="Times New Roman" w:cs="Times New Roman"/>
          <w:lang w:val="sr-Latn-ME" w:eastAsia="ja-JP"/>
        </w:rPr>
        <w:t>dio</w:t>
      </w:r>
      <w:r w:rsidRPr="003A22B9">
        <w:rPr>
          <w:rFonts w:ascii="Times New Roman" w:eastAsia="Times New Roman" w:hAnsi="Times New Roman" w:cs="Times New Roman"/>
          <w:lang w:val="sr-Latn-ME" w:eastAsia="ja-JP"/>
        </w:rPr>
        <w:t> </w:t>
      </w:r>
      <w:r w:rsidRPr="003A22B9">
        <w:rPr>
          <w:rFonts w:ascii="Times New Roman" w:eastAsia="Times New Roman" w:hAnsi="Times New Roman" w:cs="Times New Roman"/>
          <w:lang w:val="sr-Latn-ME"/>
        </w:rPr>
        <w:t>5.1</w:t>
      </w:r>
      <w:r w:rsidRPr="003A22B9">
        <w:rPr>
          <w:rFonts w:ascii="Times New Roman" w:eastAsia="Times New Roman" w:hAnsi="Times New Roman" w:cs="Times New Roman"/>
          <w:lang w:val="sr-Latn-ME" w:eastAsia="ja-JP"/>
        </w:rPr>
        <w:t>).</w:t>
      </w:r>
    </w:p>
    <w:p w14:paraId="017C9FC0" w14:textId="77777777" w:rsidR="00A75B47" w:rsidRPr="003A22B9" w:rsidRDefault="00A75B47" w:rsidP="00A75B47">
      <w:pPr>
        <w:spacing w:after="0" w:line="240" w:lineRule="auto"/>
        <w:jc w:val="both"/>
        <w:rPr>
          <w:rFonts w:ascii="Times New Roman" w:eastAsia="Times New Roman" w:hAnsi="Times New Roman" w:cs="Times New Roman"/>
          <w:u w:color="000000"/>
          <w:lang w:val="sr-Latn-ME"/>
        </w:rPr>
      </w:pPr>
    </w:p>
    <w:p w14:paraId="2509472B" w14:textId="04C2F3D5" w:rsidR="00A75B47" w:rsidRPr="003A22B9" w:rsidRDefault="00A75B47" w:rsidP="00A75B47">
      <w:pPr>
        <w:keepNext/>
        <w:spacing w:after="0" w:line="240" w:lineRule="auto"/>
        <w:ind w:left="1077" w:hanging="1077"/>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Tabela </w:t>
      </w:r>
      <w:r w:rsidR="00B84E03" w:rsidRPr="003A22B9">
        <w:rPr>
          <w:rFonts w:ascii="Times New Roman" w:eastAsia="Times New Roman" w:hAnsi="Times New Roman" w:cs="Times New Roman"/>
          <w:b/>
          <w:bCs/>
          <w:lang w:val="sr-Latn-ME"/>
        </w:rPr>
        <w:t>6</w:t>
      </w:r>
      <w:r w:rsidRPr="003A22B9">
        <w:rPr>
          <w:rFonts w:ascii="Times New Roman" w:eastAsia="Times New Roman" w:hAnsi="Times New Roman" w:cs="Times New Roman"/>
          <w:b/>
          <w:lang w:val="sr-Latn-ME" w:eastAsia="ja-JP"/>
        </w:rPr>
        <w:tab/>
      </w:r>
      <w:r w:rsidRPr="003A22B9">
        <w:rPr>
          <w:rFonts w:ascii="Times New Roman" w:eastAsia="Times New Roman" w:hAnsi="Times New Roman" w:cs="Times New Roman"/>
          <w:b/>
          <w:bCs/>
          <w:lang w:val="sr-Latn-ME"/>
        </w:rPr>
        <w:t xml:space="preserve">Neželjene reakcije koje su nastupile kod ≥ 5% </w:t>
      </w:r>
      <w:r w:rsidR="0052416F" w:rsidRPr="003A22B9">
        <w:rPr>
          <w:rFonts w:ascii="Times New Roman" w:eastAsia="Times New Roman" w:hAnsi="Times New Roman" w:cs="Times New Roman"/>
          <w:b/>
          <w:bCs/>
          <w:lang w:val="sr-Latn-ME"/>
        </w:rPr>
        <w:t xml:space="preserve">odraslih </w:t>
      </w:r>
      <w:r w:rsidRPr="003A22B9">
        <w:rPr>
          <w:rFonts w:ascii="Times New Roman" w:eastAsia="Times New Roman" w:hAnsi="Times New Roman" w:cs="Times New Roman"/>
          <w:b/>
          <w:bCs/>
          <w:lang w:val="sr-Latn-ME"/>
        </w:rPr>
        <w:t xml:space="preserve">pacijenata koji su primali rituksimab </w:t>
      </w:r>
      <w:r w:rsidR="007B1D60" w:rsidRPr="003A22B9">
        <w:rPr>
          <w:rFonts w:ascii="Times New Roman" w:eastAsia="Times New Roman" w:hAnsi="Times New Roman" w:cs="Times New Roman"/>
          <w:b/>
          <w:bCs/>
          <w:lang w:val="sr-Latn-ME"/>
        </w:rPr>
        <w:t>u Studiji 2</w:t>
      </w:r>
      <w:r w:rsidR="006164B1" w:rsidRPr="003A22B9">
        <w:rPr>
          <w:rFonts w:ascii="Times New Roman" w:eastAsia="Times New Roman" w:hAnsi="Times New Roman" w:cs="Times New Roman"/>
          <w:b/>
          <w:bCs/>
          <w:lang w:val="sr-Latn-ME"/>
        </w:rPr>
        <w:t xml:space="preserve"> (rituksimab n=57)  </w:t>
      </w:r>
      <w:r w:rsidR="007B1D60" w:rsidRPr="003A22B9">
        <w:rPr>
          <w:rFonts w:ascii="Times New Roman" w:eastAsia="Times New Roman" w:hAnsi="Times New Roman" w:cs="Times New Roman"/>
          <w:b/>
          <w:bCs/>
          <w:lang w:val="sr-Latn-ME"/>
        </w:rPr>
        <w:t xml:space="preserve"> </w:t>
      </w:r>
      <w:r w:rsidRPr="003A22B9">
        <w:rPr>
          <w:rFonts w:ascii="Times New Roman" w:eastAsia="Times New Roman" w:hAnsi="Times New Roman" w:cs="Times New Roman"/>
          <w:b/>
          <w:bCs/>
          <w:lang w:val="sr-Latn-ME"/>
        </w:rPr>
        <w:t>GPA i MPA</w:t>
      </w:r>
      <w:r w:rsidR="006164B1" w:rsidRPr="003A22B9">
        <w:rPr>
          <w:rFonts w:ascii="Times New Roman" w:eastAsia="Times New Roman" w:hAnsi="Times New Roman" w:cs="Times New Roman"/>
          <w:b/>
          <w:bCs/>
          <w:lang w:val="sr-Latn-ME"/>
        </w:rPr>
        <w:t xml:space="preserve"> </w:t>
      </w:r>
      <w:r w:rsidRPr="003A22B9">
        <w:rPr>
          <w:rFonts w:ascii="Times New Roman" w:eastAsia="Times New Roman" w:hAnsi="Times New Roman" w:cs="Times New Roman"/>
          <w:b/>
          <w:bCs/>
          <w:lang w:val="sr-Latn-ME"/>
        </w:rPr>
        <w:t xml:space="preserve">i koje su se pojavile </w:t>
      </w:r>
      <w:r w:rsidRPr="003A22B9">
        <w:rPr>
          <w:rFonts w:ascii="Times New Roman" w:eastAsia="Times New Roman" w:hAnsi="Times New Roman" w:cs="Times New Roman"/>
          <w:b/>
          <w:lang w:val="sr-Latn-ME"/>
        </w:rPr>
        <w:t>češće nego u grupi koja je primala komparator</w:t>
      </w:r>
      <w:r w:rsidR="00450742" w:rsidRPr="003A22B9">
        <w:rPr>
          <w:rFonts w:ascii="Times New Roman" w:eastAsia="Times New Roman" w:hAnsi="Times New Roman" w:cs="Times New Roman"/>
          <w:b/>
          <w:lang w:val="sr-Latn-ME"/>
        </w:rPr>
        <w:t xml:space="preserve"> ili tokom postmarketinškog praćenja</w:t>
      </w:r>
    </w:p>
    <w:p w14:paraId="6FFBFBDC" w14:textId="77777777" w:rsidR="00A75B47" w:rsidRPr="003A22B9" w:rsidRDefault="00A75B47" w:rsidP="00A75B47">
      <w:pPr>
        <w:spacing w:after="0" w:line="240" w:lineRule="auto"/>
        <w:jc w:val="both"/>
        <w:rPr>
          <w:rFonts w:ascii="Times New Roman" w:eastAsia="Times New Roman" w:hAnsi="Times New Roman" w:cs="Times New Roman"/>
          <w:u w:color="000000"/>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3908"/>
      </w:tblGrid>
      <w:tr w:rsidR="00A75B47" w:rsidRPr="003A22B9" w14:paraId="3D043BE8" w14:textId="77777777" w:rsidTr="00C444FC">
        <w:trPr>
          <w:trHeight w:val="20"/>
          <w:tblHeader/>
          <w:jc w:val="center"/>
        </w:trPr>
        <w:tc>
          <w:tcPr>
            <w:tcW w:w="4138" w:type="dxa"/>
          </w:tcPr>
          <w:p w14:paraId="30FA17F4" w14:textId="7AC66CC8" w:rsidR="00A75B47" w:rsidRPr="003A22B9" w:rsidRDefault="001466EF"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MedDRA k</w:t>
            </w:r>
            <w:r w:rsidR="00A75B47" w:rsidRPr="003A22B9">
              <w:rPr>
                <w:rFonts w:ascii="Times New Roman" w:eastAsia="Times New Roman" w:hAnsi="Times New Roman" w:cs="Times New Roman"/>
                <w:b/>
                <w:lang w:val="sr-Latn-ME"/>
              </w:rPr>
              <w:t xml:space="preserve">lasa sistema organa </w:t>
            </w:r>
          </w:p>
          <w:p w14:paraId="0575B29A" w14:textId="77777777" w:rsidR="00A75B47" w:rsidRPr="003A22B9" w:rsidRDefault="00A75B47" w:rsidP="00A75B47">
            <w:pPr>
              <w:keepNext/>
              <w:spacing w:after="0" w:line="240" w:lineRule="auto"/>
              <w:ind w:left="426" w:hanging="426"/>
              <w:jc w:val="both"/>
              <w:rPr>
                <w:rFonts w:ascii="Times New Roman" w:eastAsia="Times New Roman" w:hAnsi="Times New Roman" w:cs="Times New Roman"/>
                <w:b/>
                <w:lang w:val="sr-Latn-ME"/>
              </w:rPr>
            </w:pPr>
          </w:p>
          <w:p w14:paraId="0F5171F3" w14:textId="444740C9" w:rsidR="00A75B47" w:rsidRPr="003A22B9" w:rsidRDefault="00A75B47" w:rsidP="00A75B47">
            <w:pPr>
              <w:keepNext/>
              <w:spacing w:after="0" w:line="240" w:lineRule="auto"/>
              <w:ind w:left="426" w:hanging="426"/>
              <w:jc w:val="both"/>
              <w:rPr>
                <w:rFonts w:ascii="Times New Roman" w:eastAsia="Times New Roman" w:hAnsi="Times New Roman" w:cs="Times New Roman"/>
                <w:vertAlign w:val="superscript"/>
                <w:lang w:val="sr-Latn-ME" w:eastAsia="ja-JP"/>
              </w:rPr>
            </w:pPr>
            <w:r w:rsidRPr="003A22B9">
              <w:rPr>
                <w:rFonts w:ascii="Times New Roman" w:eastAsia="Times New Roman" w:hAnsi="Times New Roman" w:cs="Times New Roman"/>
                <w:b/>
                <w:lang w:val="sr-Latn-ME"/>
              </w:rPr>
              <w:t>Neželjena reakcija</w:t>
            </w:r>
          </w:p>
        </w:tc>
        <w:tc>
          <w:tcPr>
            <w:tcW w:w="3908" w:type="dxa"/>
            <w:vAlign w:val="center"/>
          </w:tcPr>
          <w:p w14:paraId="428D2D00" w14:textId="4610E75A" w:rsidR="00A75B47" w:rsidRPr="003A22B9" w:rsidRDefault="00450742" w:rsidP="00A75B47">
            <w:pPr>
              <w:keepNext/>
              <w:spacing w:after="0" w:line="240" w:lineRule="auto"/>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Učestalost</w:t>
            </w:r>
          </w:p>
        </w:tc>
      </w:tr>
      <w:tr w:rsidR="00A75B47" w:rsidRPr="003A22B9" w14:paraId="59411A55" w14:textId="77777777" w:rsidTr="00C444FC">
        <w:trPr>
          <w:trHeight w:val="20"/>
          <w:tblHeader/>
          <w:jc w:val="center"/>
        </w:trPr>
        <w:tc>
          <w:tcPr>
            <w:tcW w:w="4138" w:type="dxa"/>
            <w:tcBorders>
              <w:right w:val="nil"/>
            </w:tcBorders>
          </w:tcPr>
          <w:p w14:paraId="667B0420" w14:textId="77777777" w:rsidR="00A75B47" w:rsidRPr="003A22B9" w:rsidRDefault="00A75B47" w:rsidP="00A75B47">
            <w:pPr>
              <w:keepNext/>
              <w:spacing w:after="0" w:line="240" w:lineRule="auto"/>
              <w:jc w:val="both"/>
              <w:rPr>
                <w:rFonts w:ascii="Times New Roman" w:eastAsia="Times New Roman" w:hAnsi="Times New Roman" w:cs="Times New Roman"/>
                <w:b/>
                <w:lang w:val="sr-Latn-ME" w:eastAsia="ja-JP"/>
              </w:rPr>
            </w:pPr>
            <w:r w:rsidRPr="003A22B9">
              <w:rPr>
                <w:rFonts w:ascii="Times New Roman" w:eastAsia="Times New Roman" w:hAnsi="Times New Roman" w:cs="Times New Roman"/>
                <w:b/>
                <w:lang w:val="sr-Latn-ME" w:eastAsia="ja-JP"/>
              </w:rPr>
              <w:t xml:space="preserve">Infekcije i infestacije </w:t>
            </w:r>
          </w:p>
        </w:tc>
        <w:tc>
          <w:tcPr>
            <w:tcW w:w="3908" w:type="dxa"/>
            <w:tcBorders>
              <w:left w:val="nil"/>
            </w:tcBorders>
            <w:vAlign w:val="center"/>
          </w:tcPr>
          <w:p w14:paraId="185A3F75" w14:textId="77777777" w:rsidR="00A75B47" w:rsidRPr="003A22B9" w:rsidRDefault="00A75B47" w:rsidP="00A75B47">
            <w:pPr>
              <w:keepNext/>
              <w:spacing w:after="0" w:line="240" w:lineRule="auto"/>
              <w:jc w:val="both"/>
              <w:rPr>
                <w:rFonts w:ascii="Times New Roman" w:eastAsia="Times New Roman" w:hAnsi="Times New Roman" w:cs="Times New Roman"/>
                <w:lang w:val="sr-Latn-ME" w:eastAsia="ja-JP"/>
              </w:rPr>
            </w:pPr>
          </w:p>
        </w:tc>
      </w:tr>
      <w:tr w:rsidR="00A75B47" w:rsidRPr="003A22B9" w14:paraId="750C81EE" w14:textId="77777777" w:rsidTr="00C444FC">
        <w:trPr>
          <w:trHeight w:val="20"/>
          <w:tblHeader/>
          <w:jc w:val="center"/>
        </w:trPr>
        <w:tc>
          <w:tcPr>
            <w:tcW w:w="4138" w:type="dxa"/>
          </w:tcPr>
          <w:p w14:paraId="319C1CE0" w14:textId="77777777" w:rsidR="00A75B47" w:rsidRPr="003A22B9" w:rsidRDefault="00A75B47" w:rsidP="00A75B47">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bronhitis</w:t>
            </w:r>
          </w:p>
        </w:tc>
        <w:tc>
          <w:tcPr>
            <w:tcW w:w="3908" w:type="dxa"/>
            <w:vAlign w:val="center"/>
          </w:tcPr>
          <w:p w14:paraId="4D0C89BA" w14:textId="77777777" w:rsidR="00A75B47" w:rsidRPr="003A22B9" w:rsidRDefault="00A75B47"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14 %</w:t>
            </w:r>
          </w:p>
        </w:tc>
      </w:tr>
      <w:tr w:rsidR="00A75B47" w:rsidRPr="003A22B9" w14:paraId="19BE5521" w14:textId="77777777" w:rsidTr="00C444FC">
        <w:trPr>
          <w:trHeight w:val="20"/>
          <w:tblHeader/>
          <w:jc w:val="center"/>
        </w:trPr>
        <w:tc>
          <w:tcPr>
            <w:tcW w:w="4138" w:type="dxa"/>
          </w:tcPr>
          <w:p w14:paraId="7BE16DBC" w14:textId="77777777" w:rsidR="00A75B47" w:rsidRPr="003A22B9" w:rsidRDefault="00A75B47" w:rsidP="00A75B47">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rinitis</w:t>
            </w:r>
          </w:p>
        </w:tc>
        <w:tc>
          <w:tcPr>
            <w:tcW w:w="3908" w:type="dxa"/>
            <w:vAlign w:val="center"/>
          </w:tcPr>
          <w:p w14:paraId="123BC341" w14:textId="77777777" w:rsidR="00A75B47" w:rsidRPr="003A22B9" w:rsidRDefault="00A75B47"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5 %</w:t>
            </w:r>
          </w:p>
        </w:tc>
      </w:tr>
      <w:tr w:rsidR="00450742" w:rsidRPr="003A22B9" w14:paraId="5A7AFDFC" w14:textId="77777777" w:rsidTr="00C444FC">
        <w:trPr>
          <w:trHeight w:val="20"/>
          <w:tblHeader/>
          <w:jc w:val="center"/>
        </w:trPr>
        <w:tc>
          <w:tcPr>
            <w:tcW w:w="4138" w:type="dxa"/>
          </w:tcPr>
          <w:p w14:paraId="033AB096" w14:textId="421D420F" w:rsidR="00450742" w:rsidRPr="00B7374A" w:rsidRDefault="00BF7E0A" w:rsidP="00A75B47">
            <w:pPr>
              <w:keepNext/>
              <w:spacing w:after="0" w:line="240" w:lineRule="auto"/>
              <w:ind w:firstLine="426"/>
              <w:jc w:val="both"/>
              <w:rPr>
                <w:rFonts w:ascii="Times New Roman" w:eastAsia="Times New Roman" w:hAnsi="Times New Roman" w:cs="Times New Roman"/>
                <w:vertAlign w:val="superscript"/>
                <w:lang w:val="sr-Latn-ME" w:eastAsia="ja-JP"/>
              </w:rPr>
            </w:pPr>
            <w:r>
              <w:rPr>
                <w:rFonts w:ascii="Times New Roman" w:eastAsia="Times New Roman" w:hAnsi="Times New Roman" w:cs="Times New Roman"/>
                <w:lang w:val="sr-Latn-ME" w:eastAsia="ja-JP"/>
              </w:rPr>
              <w:t>o</w:t>
            </w:r>
            <w:r w:rsidR="00450742" w:rsidRPr="003A22B9">
              <w:rPr>
                <w:rFonts w:ascii="Times New Roman" w:eastAsia="Times New Roman" w:hAnsi="Times New Roman" w:cs="Times New Roman"/>
                <w:lang w:val="sr-Latn-ME" w:eastAsia="ja-JP"/>
              </w:rPr>
              <w:t>zbiljna virusna infekcija</w:t>
            </w:r>
            <w:r w:rsidR="000932A1">
              <w:rPr>
                <w:rFonts w:ascii="Times New Roman" w:eastAsia="Times New Roman" w:hAnsi="Times New Roman" w:cs="Times New Roman"/>
                <w:vertAlign w:val="superscript"/>
                <w:lang w:val="sr-Latn-ME" w:eastAsia="ja-JP"/>
              </w:rPr>
              <w:t>2</w:t>
            </w:r>
          </w:p>
        </w:tc>
        <w:tc>
          <w:tcPr>
            <w:tcW w:w="3908" w:type="dxa"/>
            <w:vAlign w:val="center"/>
          </w:tcPr>
          <w:p w14:paraId="7D950F5A" w14:textId="2145C166" w:rsidR="00450742" w:rsidRPr="003A22B9" w:rsidRDefault="00450742"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nepoznato</w:t>
            </w:r>
          </w:p>
        </w:tc>
      </w:tr>
      <w:tr w:rsidR="000932A1" w:rsidRPr="003A22B9" w14:paraId="78FE609B" w14:textId="77777777" w:rsidTr="00C444FC">
        <w:trPr>
          <w:trHeight w:val="20"/>
          <w:tblHeader/>
          <w:jc w:val="center"/>
        </w:trPr>
        <w:tc>
          <w:tcPr>
            <w:tcW w:w="4138" w:type="dxa"/>
          </w:tcPr>
          <w:p w14:paraId="53B8CEA7" w14:textId="777C0C8B" w:rsidR="000932A1" w:rsidRPr="003A22B9" w:rsidRDefault="00BF7E0A" w:rsidP="00A75B47">
            <w:pPr>
              <w:keepNext/>
              <w:spacing w:after="0" w:line="240" w:lineRule="auto"/>
              <w:ind w:firstLine="426"/>
              <w:jc w:val="both"/>
              <w:rPr>
                <w:rFonts w:ascii="Times New Roman" w:eastAsia="Times New Roman" w:hAnsi="Times New Roman" w:cs="Times New Roman"/>
                <w:lang w:val="sr-Latn-ME" w:eastAsia="ja-JP"/>
              </w:rPr>
            </w:pPr>
            <w:r>
              <w:rPr>
                <w:rFonts w:ascii="Times New Roman" w:eastAsia="Times New Roman" w:hAnsi="Times New Roman" w:cs="Times New Roman"/>
                <w:lang w:val="sr-Latn-ME" w:eastAsia="ja-JP"/>
              </w:rPr>
              <w:t>e</w:t>
            </w:r>
            <w:r w:rsidR="000932A1" w:rsidRPr="000932A1">
              <w:rPr>
                <w:rFonts w:ascii="Times New Roman" w:eastAsia="Times New Roman" w:hAnsi="Times New Roman" w:cs="Times New Roman"/>
                <w:lang w:val="sr-Latn-ME" w:eastAsia="ja-JP"/>
              </w:rPr>
              <w:t>nterovirusni meningoencefalitis</w:t>
            </w:r>
            <w:r w:rsidR="000932A1" w:rsidRPr="00B7374A">
              <w:rPr>
                <w:rFonts w:ascii="Times New Roman" w:eastAsia="Times New Roman" w:hAnsi="Times New Roman" w:cs="Times New Roman"/>
                <w:vertAlign w:val="superscript"/>
                <w:lang w:val="sr-Latn-ME" w:eastAsia="ja-JP"/>
              </w:rPr>
              <w:t>1</w:t>
            </w:r>
          </w:p>
        </w:tc>
        <w:tc>
          <w:tcPr>
            <w:tcW w:w="3908" w:type="dxa"/>
            <w:vAlign w:val="center"/>
          </w:tcPr>
          <w:p w14:paraId="73DCCF01" w14:textId="5D015A80" w:rsidR="000932A1" w:rsidRPr="003A22B9" w:rsidRDefault="000932A1"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nepoznato</w:t>
            </w:r>
          </w:p>
        </w:tc>
      </w:tr>
      <w:tr w:rsidR="00A75B47" w:rsidRPr="003A22B9" w14:paraId="3C0A1F55" w14:textId="77777777" w:rsidTr="00C444FC">
        <w:trPr>
          <w:trHeight w:val="20"/>
          <w:tblHeader/>
          <w:jc w:val="center"/>
        </w:trPr>
        <w:tc>
          <w:tcPr>
            <w:tcW w:w="4138" w:type="dxa"/>
            <w:tcBorders>
              <w:right w:val="nil"/>
            </w:tcBorders>
          </w:tcPr>
          <w:p w14:paraId="35D49587" w14:textId="118851A6" w:rsidR="00A75B47" w:rsidRPr="003A22B9" w:rsidRDefault="00450742" w:rsidP="00A75B47">
            <w:pPr>
              <w:keepNext/>
              <w:spacing w:after="0" w:line="240" w:lineRule="auto"/>
              <w:jc w:val="both"/>
              <w:rPr>
                <w:rFonts w:ascii="Times New Roman" w:eastAsia="Times New Roman" w:hAnsi="Times New Roman" w:cs="Times New Roman"/>
                <w:b/>
                <w:lang w:val="sr-Latn-ME" w:eastAsia="ja-JP"/>
              </w:rPr>
            </w:pPr>
            <w:r w:rsidRPr="003A22B9">
              <w:rPr>
                <w:rFonts w:ascii="Times New Roman" w:eastAsia="Times New Roman" w:hAnsi="Times New Roman" w:cs="Times New Roman"/>
                <w:b/>
                <w:lang w:val="sr-Latn-ME" w:eastAsia="ja-JP"/>
              </w:rPr>
              <w:t>Respiratorni, torakalni i medijastinalni poremećaji</w:t>
            </w:r>
          </w:p>
        </w:tc>
        <w:tc>
          <w:tcPr>
            <w:tcW w:w="3908" w:type="dxa"/>
            <w:tcBorders>
              <w:left w:val="nil"/>
            </w:tcBorders>
            <w:vAlign w:val="center"/>
          </w:tcPr>
          <w:p w14:paraId="37791AE9" w14:textId="77777777" w:rsidR="00A75B47" w:rsidRPr="003A22B9" w:rsidRDefault="00A75B47" w:rsidP="00A75B47">
            <w:pPr>
              <w:keepNext/>
              <w:spacing w:after="0" w:line="240" w:lineRule="auto"/>
              <w:jc w:val="both"/>
              <w:rPr>
                <w:rFonts w:ascii="Times New Roman" w:eastAsia="Times New Roman" w:hAnsi="Times New Roman" w:cs="Times New Roman"/>
                <w:lang w:val="sr-Latn-ME" w:eastAsia="ja-JP"/>
              </w:rPr>
            </w:pPr>
          </w:p>
        </w:tc>
      </w:tr>
      <w:tr w:rsidR="00A75B47" w:rsidRPr="003A22B9" w14:paraId="3A085D5E" w14:textId="77777777" w:rsidTr="00C444FC">
        <w:trPr>
          <w:trHeight w:val="20"/>
          <w:tblHeader/>
          <w:jc w:val="center"/>
        </w:trPr>
        <w:tc>
          <w:tcPr>
            <w:tcW w:w="4138" w:type="dxa"/>
          </w:tcPr>
          <w:p w14:paraId="6B60CCAE" w14:textId="35B0FAA3" w:rsidR="00A75B47" w:rsidRPr="003A22B9" w:rsidRDefault="00450742" w:rsidP="00A75B47">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hAnsi="Times New Roman" w:cs="Times New Roman"/>
                <w:lang w:eastAsia="ja-JP"/>
              </w:rPr>
              <w:t>dispneja</w:t>
            </w:r>
          </w:p>
        </w:tc>
        <w:tc>
          <w:tcPr>
            <w:tcW w:w="3908" w:type="dxa"/>
            <w:vAlign w:val="center"/>
          </w:tcPr>
          <w:p w14:paraId="7B991004" w14:textId="77777777" w:rsidR="00A75B47" w:rsidRPr="003A22B9" w:rsidRDefault="00A75B47"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9 %</w:t>
            </w:r>
          </w:p>
        </w:tc>
      </w:tr>
      <w:tr w:rsidR="00A75B47" w:rsidRPr="003A22B9" w14:paraId="4C31640D" w14:textId="77777777" w:rsidTr="00C444FC">
        <w:trPr>
          <w:trHeight w:val="20"/>
          <w:tblHeader/>
          <w:jc w:val="center"/>
        </w:trPr>
        <w:tc>
          <w:tcPr>
            <w:tcW w:w="4138" w:type="dxa"/>
            <w:tcBorders>
              <w:right w:val="nil"/>
            </w:tcBorders>
          </w:tcPr>
          <w:p w14:paraId="638A378F" w14:textId="77777777" w:rsidR="00A75B47" w:rsidRPr="003A22B9" w:rsidRDefault="00A75B47" w:rsidP="00A75B47">
            <w:pPr>
              <w:keepNext/>
              <w:spacing w:after="0" w:line="240" w:lineRule="auto"/>
              <w:jc w:val="both"/>
              <w:rPr>
                <w:rFonts w:ascii="Times New Roman" w:eastAsia="Times New Roman" w:hAnsi="Times New Roman" w:cs="Times New Roman"/>
                <w:b/>
                <w:lang w:val="sr-Latn-ME" w:eastAsia="ja-JP"/>
              </w:rPr>
            </w:pPr>
            <w:r w:rsidRPr="003A22B9">
              <w:rPr>
                <w:rFonts w:ascii="Times New Roman" w:eastAsia="Times New Roman" w:hAnsi="Times New Roman" w:cs="Times New Roman"/>
                <w:b/>
                <w:lang w:val="sr-Latn-ME" w:eastAsia="ja-JP"/>
              </w:rPr>
              <w:t>Gastrointestinalni poremećaji</w:t>
            </w:r>
          </w:p>
        </w:tc>
        <w:tc>
          <w:tcPr>
            <w:tcW w:w="3908" w:type="dxa"/>
            <w:tcBorders>
              <w:left w:val="nil"/>
            </w:tcBorders>
            <w:vAlign w:val="center"/>
          </w:tcPr>
          <w:p w14:paraId="48825CDD" w14:textId="77777777" w:rsidR="00A75B47" w:rsidRPr="003A22B9" w:rsidRDefault="00A75B47" w:rsidP="00A75B47">
            <w:pPr>
              <w:keepNext/>
              <w:spacing w:after="0" w:line="240" w:lineRule="auto"/>
              <w:jc w:val="both"/>
              <w:rPr>
                <w:rFonts w:ascii="Times New Roman" w:eastAsia="Times New Roman" w:hAnsi="Times New Roman" w:cs="Times New Roman"/>
                <w:lang w:val="sr-Latn-ME" w:eastAsia="ja-JP"/>
              </w:rPr>
            </w:pPr>
          </w:p>
        </w:tc>
      </w:tr>
      <w:tr w:rsidR="00A75B47" w:rsidRPr="003A22B9" w14:paraId="6C70E005" w14:textId="77777777" w:rsidTr="00C444FC">
        <w:trPr>
          <w:trHeight w:val="20"/>
          <w:tblHeader/>
          <w:jc w:val="center"/>
        </w:trPr>
        <w:tc>
          <w:tcPr>
            <w:tcW w:w="4138" w:type="dxa"/>
          </w:tcPr>
          <w:p w14:paraId="1DD8116E" w14:textId="77777777" w:rsidR="00A75B47" w:rsidRPr="003A22B9" w:rsidRDefault="00A75B47" w:rsidP="00A75B47">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proliv</w:t>
            </w:r>
          </w:p>
        </w:tc>
        <w:tc>
          <w:tcPr>
            <w:tcW w:w="3908" w:type="dxa"/>
            <w:vAlign w:val="center"/>
          </w:tcPr>
          <w:p w14:paraId="0521601D" w14:textId="77777777" w:rsidR="00A75B47" w:rsidRPr="003A22B9" w:rsidRDefault="00A75B47"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7 %</w:t>
            </w:r>
          </w:p>
        </w:tc>
      </w:tr>
      <w:tr w:rsidR="00C444FC" w:rsidRPr="003A22B9" w14:paraId="1BE1E103" w14:textId="77777777" w:rsidTr="00C444FC">
        <w:trPr>
          <w:trHeight w:val="20"/>
          <w:tblHeader/>
          <w:jc w:val="center"/>
        </w:trPr>
        <w:tc>
          <w:tcPr>
            <w:tcW w:w="8046" w:type="dxa"/>
            <w:gridSpan w:val="2"/>
          </w:tcPr>
          <w:p w14:paraId="58A06224" w14:textId="0BB4C247" w:rsidR="00C444FC" w:rsidRPr="003A22B9" w:rsidRDefault="00C444FC" w:rsidP="003A22B9">
            <w:pPr>
              <w:keepNext/>
              <w:spacing w:after="0" w:line="240" w:lineRule="auto"/>
              <w:jc w:val="both"/>
              <w:rPr>
                <w:rFonts w:ascii="Times New Roman" w:eastAsia="Times New Roman" w:hAnsi="Times New Roman" w:cs="Times New Roman"/>
                <w:b/>
                <w:bCs/>
                <w:lang w:val="sr-Latn-ME" w:eastAsia="ja-JP"/>
              </w:rPr>
            </w:pPr>
            <w:r w:rsidRPr="003A22B9">
              <w:rPr>
                <w:rFonts w:ascii="Times New Roman" w:eastAsia="Times New Roman" w:hAnsi="Times New Roman" w:cs="Times New Roman"/>
                <w:b/>
                <w:bCs/>
                <w:lang w:val="sr-Latn-ME" w:eastAsia="ja-JP"/>
              </w:rPr>
              <w:t>Opšti poremećaji i reakcije na mestu primene</w:t>
            </w:r>
          </w:p>
        </w:tc>
      </w:tr>
      <w:tr w:rsidR="00C444FC" w:rsidRPr="003A22B9" w14:paraId="7766CA99" w14:textId="77777777" w:rsidTr="003A22B9">
        <w:trPr>
          <w:trHeight w:val="20"/>
          <w:tblHeader/>
          <w:jc w:val="center"/>
        </w:trPr>
        <w:tc>
          <w:tcPr>
            <w:tcW w:w="4138" w:type="dxa"/>
          </w:tcPr>
          <w:p w14:paraId="7FCD6BEB" w14:textId="623888CF" w:rsidR="00C444FC" w:rsidRPr="003A22B9" w:rsidRDefault="00C444FC" w:rsidP="00C444FC">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povišena temperatura</w:t>
            </w:r>
          </w:p>
        </w:tc>
        <w:tc>
          <w:tcPr>
            <w:tcW w:w="3908" w:type="dxa"/>
          </w:tcPr>
          <w:p w14:paraId="06B20B43" w14:textId="5DBAB41D" w:rsidR="00C444FC" w:rsidRPr="003A22B9" w:rsidRDefault="00C444FC" w:rsidP="00C444FC">
            <w:pPr>
              <w:keepNext/>
              <w:spacing w:after="0" w:line="240" w:lineRule="auto"/>
              <w:jc w:val="center"/>
              <w:rPr>
                <w:rFonts w:ascii="Times New Roman" w:eastAsia="Times New Roman" w:hAnsi="Times New Roman" w:cs="Times New Roman"/>
                <w:lang w:val="sr-Latn-ME" w:eastAsia="ja-JP"/>
              </w:rPr>
            </w:pPr>
            <w:r w:rsidRPr="003A22B9">
              <w:rPr>
                <w:rFonts w:ascii="Times New Roman" w:hAnsi="Times New Roman" w:cs="Times New Roman"/>
              </w:rPr>
              <w:t>9 %</w:t>
            </w:r>
          </w:p>
        </w:tc>
      </w:tr>
      <w:tr w:rsidR="00C444FC" w:rsidRPr="003A22B9" w14:paraId="26ECCF32" w14:textId="77777777" w:rsidTr="003A22B9">
        <w:trPr>
          <w:trHeight w:val="20"/>
          <w:tblHeader/>
          <w:jc w:val="center"/>
        </w:trPr>
        <w:tc>
          <w:tcPr>
            <w:tcW w:w="4138" w:type="dxa"/>
          </w:tcPr>
          <w:p w14:paraId="7A5410A7" w14:textId="2DE549D0" w:rsidR="00C444FC" w:rsidRPr="003A22B9" w:rsidRDefault="00C444FC" w:rsidP="00C444FC">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bolest slična gripu</w:t>
            </w:r>
          </w:p>
        </w:tc>
        <w:tc>
          <w:tcPr>
            <w:tcW w:w="3908" w:type="dxa"/>
          </w:tcPr>
          <w:p w14:paraId="060FCB09" w14:textId="5E9CAAD4" w:rsidR="00C444FC" w:rsidRPr="003A22B9" w:rsidRDefault="00C444FC" w:rsidP="00C444FC">
            <w:pPr>
              <w:keepNext/>
              <w:spacing w:after="0" w:line="240" w:lineRule="auto"/>
              <w:jc w:val="center"/>
              <w:rPr>
                <w:rFonts w:ascii="Times New Roman" w:eastAsia="Times New Roman" w:hAnsi="Times New Roman" w:cs="Times New Roman"/>
                <w:lang w:val="sr-Latn-ME" w:eastAsia="ja-JP"/>
              </w:rPr>
            </w:pPr>
            <w:r w:rsidRPr="003A22B9">
              <w:rPr>
                <w:rFonts w:ascii="Times New Roman" w:hAnsi="Times New Roman" w:cs="Times New Roman"/>
              </w:rPr>
              <w:t>5 %</w:t>
            </w:r>
          </w:p>
        </w:tc>
      </w:tr>
      <w:tr w:rsidR="00C444FC" w:rsidRPr="003A22B9" w14:paraId="072B330B" w14:textId="77777777" w:rsidTr="003A22B9">
        <w:trPr>
          <w:trHeight w:val="20"/>
          <w:tblHeader/>
          <w:jc w:val="center"/>
        </w:trPr>
        <w:tc>
          <w:tcPr>
            <w:tcW w:w="4138" w:type="dxa"/>
          </w:tcPr>
          <w:p w14:paraId="7E59938D" w14:textId="504D7785" w:rsidR="00C444FC" w:rsidRPr="003A22B9" w:rsidRDefault="00C444FC" w:rsidP="00C444FC">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periferni edem</w:t>
            </w:r>
          </w:p>
        </w:tc>
        <w:tc>
          <w:tcPr>
            <w:tcW w:w="3908" w:type="dxa"/>
          </w:tcPr>
          <w:p w14:paraId="4D7E73BF" w14:textId="3B526F3E" w:rsidR="00C444FC" w:rsidRPr="003A22B9" w:rsidRDefault="00C444FC" w:rsidP="00C444FC">
            <w:pPr>
              <w:keepNext/>
              <w:spacing w:after="0" w:line="240" w:lineRule="auto"/>
              <w:jc w:val="center"/>
              <w:rPr>
                <w:rFonts w:ascii="Times New Roman" w:eastAsia="Times New Roman" w:hAnsi="Times New Roman" w:cs="Times New Roman"/>
                <w:lang w:val="sr-Latn-ME" w:eastAsia="ja-JP"/>
              </w:rPr>
            </w:pPr>
            <w:r w:rsidRPr="003A22B9">
              <w:rPr>
                <w:rFonts w:ascii="Times New Roman" w:hAnsi="Times New Roman" w:cs="Times New Roman"/>
              </w:rPr>
              <w:t>5 %</w:t>
            </w:r>
          </w:p>
        </w:tc>
      </w:tr>
      <w:tr w:rsidR="00A75B47" w:rsidRPr="003A22B9" w14:paraId="7E651BAD" w14:textId="77777777" w:rsidTr="00C444FC">
        <w:trPr>
          <w:trHeight w:val="20"/>
          <w:tblHeader/>
          <w:jc w:val="center"/>
        </w:trPr>
        <w:tc>
          <w:tcPr>
            <w:tcW w:w="4138" w:type="dxa"/>
            <w:tcBorders>
              <w:right w:val="nil"/>
            </w:tcBorders>
          </w:tcPr>
          <w:p w14:paraId="0E569AF8" w14:textId="77777777" w:rsidR="00A75B47" w:rsidRPr="003A22B9" w:rsidRDefault="00A75B47" w:rsidP="00A75B47">
            <w:pPr>
              <w:keepNext/>
              <w:spacing w:after="0" w:line="240" w:lineRule="auto"/>
              <w:jc w:val="both"/>
              <w:rPr>
                <w:rFonts w:ascii="Times New Roman" w:eastAsia="Times New Roman" w:hAnsi="Times New Roman" w:cs="Times New Roman"/>
                <w:b/>
                <w:lang w:val="sr-Latn-ME" w:eastAsia="ja-JP"/>
              </w:rPr>
            </w:pPr>
            <w:r w:rsidRPr="003A22B9">
              <w:rPr>
                <w:rFonts w:ascii="Times New Roman" w:eastAsia="Times New Roman" w:hAnsi="Times New Roman" w:cs="Times New Roman"/>
                <w:b/>
                <w:lang w:val="sr-Latn-ME"/>
              </w:rPr>
              <w:t>Povrede, trovanja i proceduralne komplikacije</w:t>
            </w:r>
          </w:p>
        </w:tc>
        <w:tc>
          <w:tcPr>
            <w:tcW w:w="3908" w:type="dxa"/>
            <w:tcBorders>
              <w:left w:val="nil"/>
            </w:tcBorders>
            <w:vAlign w:val="center"/>
          </w:tcPr>
          <w:p w14:paraId="2B83E7EC" w14:textId="77777777" w:rsidR="00A75B47" w:rsidRPr="003A22B9" w:rsidRDefault="00A75B47" w:rsidP="00A75B47">
            <w:pPr>
              <w:keepNext/>
              <w:spacing w:after="0" w:line="240" w:lineRule="auto"/>
              <w:jc w:val="both"/>
              <w:rPr>
                <w:rFonts w:ascii="Times New Roman" w:eastAsia="Times New Roman" w:hAnsi="Times New Roman" w:cs="Times New Roman"/>
                <w:lang w:val="sr-Latn-ME" w:eastAsia="ja-JP"/>
              </w:rPr>
            </w:pPr>
          </w:p>
        </w:tc>
      </w:tr>
      <w:tr w:rsidR="00A75B47" w:rsidRPr="003A22B9" w14:paraId="04EBAD90" w14:textId="77777777" w:rsidTr="00C444FC">
        <w:trPr>
          <w:trHeight w:val="20"/>
          <w:tblHeader/>
          <w:jc w:val="center"/>
        </w:trPr>
        <w:tc>
          <w:tcPr>
            <w:tcW w:w="4138" w:type="dxa"/>
          </w:tcPr>
          <w:p w14:paraId="07E3BEFA" w14:textId="560BE6DF" w:rsidR="00A75B47" w:rsidRPr="003A22B9" w:rsidRDefault="00A75B47" w:rsidP="00A75B47">
            <w:pPr>
              <w:keepNext/>
              <w:spacing w:after="0" w:line="240" w:lineRule="auto"/>
              <w:ind w:firstLine="426"/>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 xml:space="preserve">reakcije povezane sa </w:t>
            </w:r>
            <w:r w:rsidR="006164B1" w:rsidRPr="003A22B9">
              <w:rPr>
                <w:rFonts w:ascii="Times New Roman" w:eastAsia="Times New Roman" w:hAnsi="Times New Roman" w:cs="Times New Roman"/>
                <w:lang w:val="sr-Latn-ME" w:eastAsia="ja-JP"/>
              </w:rPr>
              <w:t>infuzijom</w:t>
            </w:r>
            <w:r w:rsidR="006164B1" w:rsidRPr="003A22B9">
              <w:rPr>
                <w:rFonts w:ascii="Times New Roman" w:eastAsia="Times New Roman" w:hAnsi="Times New Roman" w:cs="Times New Roman"/>
                <w:vertAlign w:val="superscript"/>
                <w:lang w:val="sr-Latn-ME" w:eastAsia="ja-JP"/>
              </w:rPr>
              <w:t>2</w:t>
            </w:r>
          </w:p>
        </w:tc>
        <w:tc>
          <w:tcPr>
            <w:tcW w:w="3908" w:type="dxa"/>
            <w:vAlign w:val="center"/>
          </w:tcPr>
          <w:p w14:paraId="47222B80" w14:textId="77777777" w:rsidR="00A75B47" w:rsidRPr="003A22B9" w:rsidRDefault="00A75B47" w:rsidP="005D56F1">
            <w:pPr>
              <w:keepNext/>
              <w:spacing w:after="0" w:line="240" w:lineRule="auto"/>
              <w:jc w:val="center"/>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12 %</w:t>
            </w:r>
          </w:p>
        </w:tc>
      </w:tr>
      <w:tr w:rsidR="00A75B47" w:rsidRPr="003A22B9" w14:paraId="1BF67922" w14:textId="77777777" w:rsidTr="00C444FC">
        <w:trPr>
          <w:trHeight w:val="20"/>
          <w:tblHeader/>
          <w:jc w:val="center"/>
        </w:trPr>
        <w:tc>
          <w:tcPr>
            <w:tcW w:w="8046" w:type="dxa"/>
            <w:gridSpan w:val="2"/>
          </w:tcPr>
          <w:p w14:paraId="298C5CC0" w14:textId="7D983ADC" w:rsidR="000932A1" w:rsidRDefault="00C444FC" w:rsidP="00A75B47">
            <w:pPr>
              <w:keepNext/>
              <w:spacing w:after="0" w:line="240" w:lineRule="auto"/>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vertAlign w:val="superscript"/>
                <w:lang w:val="sr-Latn-ME" w:eastAsia="ja-JP"/>
              </w:rPr>
              <w:t xml:space="preserve">1 </w:t>
            </w:r>
            <w:r w:rsidRPr="003A22B9">
              <w:rPr>
                <w:rFonts w:ascii="Times New Roman" w:eastAsia="Times New Roman" w:hAnsi="Times New Roman" w:cs="Times New Roman"/>
                <w:lang w:val="sr-Latn-ME" w:eastAsia="ja-JP"/>
              </w:rPr>
              <w:t>Prim</w:t>
            </w:r>
            <w:r w:rsidR="00BF7E0A">
              <w:rPr>
                <w:rFonts w:ascii="Times New Roman" w:eastAsia="Times New Roman" w:hAnsi="Times New Roman" w:cs="Times New Roman"/>
                <w:lang w:val="sr-Latn-ME" w:eastAsia="ja-JP"/>
              </w:rPr>
              <w:t>ij</w:t>
            </w:r>
            <w:r w:rsidRPr="003A22B9">
              <w:rPr>
                <w:rFonts w:ascii="Times New Roman" w:eastAsia="Times New Roman" w:hAnsi="Times New Roman" w:cs="Times New Roman"/>
                <w:lang w:val="sr-Latn-ME" w:eastAsia="ja-JP"/>
              </w:rPr>
              <w:t xml:space="preserve">ećeno tokom postmarketinškog praćenja. </w:t>
            </w:r>
          </w:p>
          <w:p w14:paraId="0A63884B" w14:textId="6CFA1B31" w:rsidR="00C444FC" w:rsidRPr="003A22B9" w:rsidRDefault="000932A1" w:rsidP="00A75B47">
            <w:pPr>
              <w:keepNext/>
              <w:spacing w:after="0" w:line="240" w:lineRule="auto"/>
              <w:jc w:val="both"/>
              <w:rPr>
                <w:rFonts w:ascii="Times New Roman" w:eastAsia="Times New Roman" w:hAnsi="Times New Roman" w:cs="Times New Roman"/>
                <w:vertAlign w:val="superscript"/>
                <w:lang w:val="sr-Latn-ME" w:eastAsia="ja-JP"/>
              </w:rPr>
            </w:pPr>
            <w:r>
              <w:rPr>
                <w:rFonts w:ascii="Times New Roman" w:eastAsia="Times New Roman" w:hAnsi="Times New Roman" w:cs="Times New Roman"/>
                <w:vertAlign w:val="superscript"/>
                <w:lang w:val="sr-Latn-ME" w:eastAsia="ja-JP"/>
              </w:rPr>
              <w:t xml:space="preserve">2 </w:t>
            </w:r>
            <w:r w:rsidR="00C444FC" w:rsidRPr="003A22B9">
              <w:rPr>
                <w:rFonts w:ascii="Times New Roman" w:eastAsia="Times New Roman" w:hAnsi="Times New Roman" w:cs="Times New Roman"/>
                <w:lang w:val="sr-Latn-ME" w:eastAsia="ja-JP"/>
              </w:rPr>
              <w:t>Vid</w:t>
            </w:r>
            <w:r w:rsidR="00BF7E0A">
              <w:rPr>
                <w:rFonts w:ascii="Times New Roman" w:eastAsia="Times New Roman" w:hAnsi="Times New Roman" w:cs="Times New Roman"/>
                <w:lang w:val="sr-Latn-ME" w:eastAsia="ja-JP"/>
              </w:rPr>
              <w:t>j</w:t>
            </w:r>
            <w:r w:rsidR="00C444FC" w:rsidRPr="003A22B9">
              <w:rPr>
                <w:rFonts w:ascii="Times New Roman" w:eastAsia="Times New Roman" w:hAnsi="Times New Roman" w:cs="Times New Roman"/>
                <w:lang w:val="sr-Latn-ME" w:eastAsia="ja-JP"/>
              </w:rPr>
              <w:t xml:space="preserve">eti </w:t>
            </w:r>
            <w:r w:rsidR="00BF7E0A">
              <w:rPr>
                <w:rFonts w:ascii="Times New Roman" w:eastAsia="Times New Roman" w:hAnsi="Times New Roman" w:cs="Times New Roman"/>
                <w:lang w:val="sr-Latn-ME" w:eastAsia="ja-JP"/>
              </w:rPr>
              <w:t>i dio</w:t>
            </w:r>
            <w:r w:rsidR="00C444FC" w:rsidRPr="003A22B9">
              <w:rPr>
                <w:rFonts w:ascii="Times New Roman" w:eastAsia="Times New Roman" w:hAnsi="Times New Roman" w:cs="Times New Roman"/>
                <w:lang w:val="sr-Latn-ME" w:eastAsia="ja-JP"/>
              </w:rPr>
              <w:t xml:space="preserve"> o infekcijama ispod.</w:t>
            </w:r>
          </w:p>
          <w:p w14:paraId="7B23801B" w14:textId="50DC7AFC" w:rsidR="00A75B47" w:rsidRPr="003A22B9" w:rsidRDefault="000932A1" w:rsidP="00A75B47">
            <w:pPr>
              <w:keepNext/>
              <w:spacing w:after="0" w:line="240" w:lineRule="auto"/>
              <w:jc w:val="both"/>
              <w:rPr>
                <w:rFonts w:ascii="Times New Roman" w:eastAsia="Times New Roman" w:hAnsi="Times New Roman" w:cs="Times New Roman"/>
                <w:lang w:val="sr-Latn-ME" w:eastAsia="ja-JP"/>
              </w:rPr>
            </w:pPr>
            <w:r>
              <w:rPr>
                <w:rFonts w:ascii="Times New Roman" w:eastAsia="Times New Roman" w:hAnsi="Times New Roman" w:cs="Times New Roman"/>
                <w:vertAlign w:val="superscript"/>
                <w:lang w:val="sr-Latn-ME" w:eastAsia="ja-JP"/>
              </w:rPr>
              <w:t xml:space="preserve">3 </w:t>
            </w:r>
            <w:r w:rsidRPr="003A22B9">
              <w:rPr>
                <w:rFonts w:ascii="Times New Roman" w:eastAsia="Times New Roman" w:hAnsi="Times New Roman" w:cs="Times New Roman"/>
                <w:lang w:val="sr-Latn-ME" w:eastAsia="ja-JP"/>
              </w:rPr>
              <w:t xml:space="preserve">Pojedinosti </w:t>
            </w:r>
            <w:r w:rsidR="00A75B47" w:rsidRPr="003A22B9">
              <w:rPr>
                <w:rFonts w:ascii="Times New Roman" w:eastAsia="Times New Roman" w:hAnsi="Times New Roman" w:cs="Times New Roman"/>
                <w:lang w:val="sr-Latn-ME" w:eastAsia="ja-JP"/>
              </w:rPr>
              <w:t>o reakcijama povezanima sa infuzijom navedene su u dijelu „Opis odabranih neželjenih reakcija“.</w:t>
            </w:r>
          </w:p>
        </w:tc>
      </w:tr>
    </w:tbl>
    <w:p w14:paraId="5991C16D" w14:textId="77777777" w:rsidR="00A75B47" w:rsidRPr="003A22B9" w:rsidRDefault="00A75B47" w:rsidP="00A75B47">
      <w:pPr>
        <w:spacing w:after="0" w:line="240" w:lineRule="auto"/>
        <w:jc w:val="both"/>
        <w:rPr>
          <w:rFonts w:ascii="Times New Roman" w:eastAsia="Times New Roman" w:hAnsi="Times New Roman" w:cs="Times New Roman"/>
          <w:u w:color="000000"/>
          <w:lang w:val="sr-Latn-ME"/>
        </w:rPr>
      </w:pPr>
    </w:p>
    <w:p w14:paraId="47B655A7" w14:textId="77777777" w:rsidR="00A75B47" w:rsidRPr="003A22B9" w:rsidRDefault="00A75B47" w:rsidP="00A75B47">
      <w:pPr>
        <w:spacing w:after="0" w:line="240" w:lineRule="auto"/>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 xml:space="preserve">Ukupan bezbjednosni profil bio je u skladu s dobro poznatim bezbjednosnim profilom rituksimaba u odobrenim indikacijama za liječenje autoimunih bolesti, uključujući GPA/MPA. Ukupno je 4 % </w:t>
      </w:r>
      <w:r w:rsidRPr="003A22B9">
        <w:rPr>
          <w:rFonts w:ascii="Times New Roman" w:eastAsia="Times New Roman" w:hAnsi="Times New Roman" w:cs="Times New Roman"/>
          <w:lang w:val="sr-Latn-ME" w:eastAsia="ja-JP"/>
        </w:rPr>
        <w:lastRenderedPageBreak/>
        <w:t>pacijenata u grupi liječenoj rituksimabom imalo neželjene događaje koji su doveli do prekida liječenja. Većina neželjenih događaja u grupi pacijenata liječenih rituksimabom bila je blagog ili umjerenog intenziteta. Ni kod jednog pacijenta u grupi koja je primala rituksimab nije zabilježen neželjeni događaj sa smrtnim ishodom.</w:t>
      </w:r>
    </w:p>
    <w:p w14:paraId="3900C674" w14:textId="77777777" w:rsidR="00A75B47" w:rsidRPr="003A22B9" w:rsidRDefault="00A75B47" w:rsidP="00A75B47">
      <w:pPr>
        <w:spacing w:after="0" w:line="240" w:lineRule="auto"/>
        <w:jc w:val="both"/>
        <w:rPr>
          <w:rFonts w:ascii="Times New Roman" w:eastAsia="Times New Roman" w:hAnsi="Times New Roman" w:cs="Times New Roman"/>
          <w:lang w:val="sr-Latn-ME" w:eastAsia="ja-JP"/>
        </w:rPr>
      </w:pPr>
    </w:p>
    <w:p w14:paraId="6DCA215C" w14:textId="77777777" w:rsidR="00A75B47" w:rsidRPr="003A22B9" w:rsidRDefault="00A75B47" w:rsidP="00A75B47">
      <w:pPr>
        <w:spacing w:after="0" w:line="240" w:lineRule="auto"/>
        <w:jc w:val="both"/>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 xml:space="preserve">Najčešće prijavljeni događaji koji su se smatrali neželjenim dejstvima lijeka bile su reakcije povezane s infuzijom i infekcije.  </w:t>
      </w:r>
    </w:p>
    <w:p w14:paraId="7E6EC2B9" w14:textId="5B96F1A1" w:rsidR="00A75B47" w:rsidRPr="003A22B9" w:rsidRDefault="00A75B47" w:rsidP="00A75B47">
      <w:pPr>
        <w:spacing w:after="0" w:line="240" w:lineRule="auto"/>
        <w:jc w:val="both"/>
        <w:rPr>
          <w:rFonts w:ascii="Times New Roman" w:eastAsia="Times New Roman" w:hAnsi="Times New Roman" w:cs="Times New Roman"/>
          <w:lang w:val="sr-Latn-ME" w:eastAsia="ja-JP"/>
        </w:rPr>
      </w:pPr>
    </w:p>
    <w:p w14:paraId="48C09FD4" w14:textId="67E8AFEF" w:rsidR="002D3E73" w:rsidRPr="003A22B9" w:rsidRDefault="002D3E73" w:rsidP="009242E7">
      <w:pPr>
        <w:spacing w:after="0" w:line="240" w:lineRule="auto"/>
        <w:rPr>
          <w:rFonts w:ascii="Times New Roman" w:eastAsia="Calibri" w:hAnsi="Times New Roman" w:cs="Times New Roman"/>
          <w:i/>
          <w:lang w:val="it-IT" w:eastAsia="ja-JP"/>
        </w:rPr>
      </w:pPr>
      <w:r w:rsidRPr="003A22B9">
        <w:rPr>
          <w:rFonts w:ascii="Times New Roman" w:eastAsia="Calibri" w:hAnsi="Times New Roman" w:cs="Times New Roman"/>
          <w:i/>
          <w:lang w:val="it-IT"/>
        </w:rPr>
        <w:t>Dugoročno praćenje (GPA/MPA Studija 3)</w:t>
      </w:r>
    </w:p>
    <w:p w14:paraId="7A314098" w14:textId="51F05467" w:rsidR="00A75B47" w:rsidRPr="003A22B9" w:rsidRDefault="00A75B47" w:rsidP="00A75B47">
      <w:pPr>
        <w:tabs>
          <w:tab w:val="left" w:pos="6804"/>
        </w:tabs>
        <w:spacing w:after="0" w:line="240" w:lineRule="auto"/>
        <w:jc w:val="both"/>
        <w:outlineLvl w:val="0"/>
        <w:rPr>
          <w:rFonts w:ascii="Times New Roman" w:eastAsia="Times New Roman" w:hAnsi="Times New Roman" w:cs="Times New Roman"/>
          <w:lang w:val="sr-Latn-ME" w:eastAsia="ja-JP"/>
        </w:rPr>
      </w:pPr>
      <w:r w:rsidRPr="003A22B9">
        <w:rPr>
          <w:rFonts w:ascii="Times New Roman" w:eastAsia="Times New Roman" w:hAnsi="Times New Roman" w:cs="Times New Roman"/>
          <w:lang w:val="sr-Latn-ME" w:eastAsia="ja-JP"/>
        </w:rPr>
        <w:t>U dugoročnom opservacionom ispitivanju bezbjednosti 97 pacijenata sa GPA/MPA primalo je rituksimab (srednja vrijednost broja infuzija: 8 [raspon: 1 - 28]) tokom razdoblja do 4 godine, prema standardnoj praksi i odluci njihovih ljekara. Ukupan bezbjednosni profil podudarao se sa dobro poznatim bezbjednosnim profilom rituksimaba kod RA i GPA/MPA i nije prijavljen</w:t>
      </w:r>
      <w:r w:rsidR="00DE572A" w:rsidRPr="003A22B9">
        <w:rPr>
          <w:rFonts w:ascii="Times New Roman" w:eastAsia="Times New Roman" w:hAnsi="Times New Roman" w:cs="Times New Roman"/>
          <w:lang w:val="sr-Latn-ME" w:eastAsia="ja-JP"/>
        </w:rPr>
        <w:t>a</w:t>
      </w:r>
      <w:r w:rsidRPr="003A22B9">
        <w:rPr>
          <w:rFonts w:ascii="Times New Roman" w:eastAsia="Times New Roman" w:hAnsi="Times New Roman" w:cs="Times New Roman"/>
          <w:lang w:val="sr-Latn-ME" w:eastAsia="ja-JP"/>
        </w:rPr>
        <w:t xml:space="preserve"> nijedn</w:t>
      </w:r>
      <w:r w:rsidR="00DE572A" w:rsidRPr="003A22B9">
        <w:rPr>
          <w:rFonts w:ascii="Times New Roman" w:eastAsia="Times New Roman" w:hAnsi="Times New Roman" w:cs="Times New Roman"/>
          <w:lang w:val="sr-Latn-ME" w:eastAsia="ja-JP"/>
        </w:rPr>
        <w:t>a</w:t>
      </w:r>
      <w:r w:rsidRPr="003A22B9">
        <w:rPr>
          <w:rFonts w:ascii="Times New Roman" w:eastAsia="Times New Roman" w:hAnsi="Times New Roman" w:cs="Times New Roman"/>
          <w:lang w:val="sr-Latn-ME" w:eastAsia="ja-JP"/>
        </w:rPr>
        <w:t xml:space="preserve"> nov</w:t>
      </w:r>
      <w:r w:rsidR="00DE572A" w:rsidRPr="003A22B9">
        <w:rPr>
          <w:rFonts w:ascii="Times New Roman" w:eastAsia="Times New Roman" w:hAnsi="Times New Roman" w:cs="Times New Roman"/>
          <w:lang w:val="sr-Latn-ME" w:eastAsia="ja-JP"/>
        </w:rPr>
        <w:t>a</w:t>
      </w:r>
      <w:r w:rsidRPr="003A22B9">
        <w:rPr>
          <w:rFonts w:ascii="Times New Roman" w:eastAsia="Times New Roman" w:hAnsi="Times New Roman" w:cs="Times New Roman"/>
          <w:lang w:val="sr-Latn-ME" w:eastAsia="ja-JP"/>
        </w:rPr>
        <w:t xml:space="preserve"> neželjen</w:t>
      </w:r>
      <w:r w:rsidR="00167384" w:rsidRPr="003A22B9">
        <w:rPr>
          <w:rFonts w:ascii="Times New Roman" w:eastAsia="Times New Roman" w:hAnsi="Times New Roman" w:cs="Times New Roman"/>
          <w:lang w:val="sr-Latn-ME" w:eastAsia="ja-JP"/>
        </w:rPr>
        <w:t>a</w:t>
      </w:r>
      <w:r w:rsidRPr="003A22B9">
        <w:rPr>
          <w:rFonts w:ascii="Times New Roman" w:eastAsia="Times New Roman" w:hAnsi="Times New Roman" w:cs="Times New Roman"/>
          <w:lang w:val="sr-Latn-ME" w:eastAsia="ja-JP"/>
        </w:rPr>
        <w:t xml:space="preserve"> </w:t>
      </w:r>
      <w:r w:rsidR="00167384" w:rsidRPr="003A22B9">
        <w:rPr>
          <w:rFonts w:ascii="Times New Roman" w:eastAsia="Times New Roman" w:hAnsi="Times New Roman" w:cs="Times New Roman"/>
          <w:lang w:val="sr-Latn-ME" w:eastAsia="ja-JP"/>
        </w:rPr>
        <w:t>reakcija</w:t>
      </w:r>
      <w:r w:rsidR="00503160" w:rsidRPr="003A22B9">
        <w:rPr>
          <w:rFonts w:ascii="Times New Roman" w:eastAsia="Times New Roman" w:hAnsi="Times New Roman" w:cs="Times New Roman"/>
          <w:lang w:val="sr-Latn-ME" w:eastAsia="ja-JP"/>
        </w:rPr>
        <w:t xml:space="preserve"> na </w:t>
      </w:r>
      <w:r w:rsidRPr="003A22B9">
        <w:rPr>
          <w:rFonts w:ascii="Times New Roman" w:eastAsia="Times New Roman" w:hAnsi="Times New Roman" w:cs="Times New Roman"/>
          <w:lang w:val="sr-Latn-ME" w:eastAsia="ja-JP"/>
        </w:rPr>
        <w:t>lijek. </w:t>
      </w:r>
    </w:p>
    <w:p w14:paraId="4E87FE21" w14:textId="7ECF560F" w:rsidR="00A75B47" w:rsidRPr="003A22B9" w:rsidRDefault="00A75B47" w:rsidP="00A75B47">
      <w:pPr>
        <w:spacing w:after="0" w:line="240" w:lineRule="auto"/>
        <w:jc w:val="both"/>
        <w:rPr>
          <w:rFonts w:ascii="Times New Roman" w:eastAsia="Times New Roman" w:hAnsi="Times New Roman" w:cs="Times New Roman"/>
          <w:lang w:val="sr-Latn-ME"/>
        </w:rPr>
      </w:pPr>
    </w:p>
    <w:p w14:paraId="019712BB" w14:textId="77777777" w:rsidR="00F238C4" w:rsidRPr="003A22B9" w:rsidRDefault="00F238C4" w:rsidP="00F238C4">
      <w:pPr>
        <w:spacing w:after="0" w:line="240" w:lineRule="auto"/>
        <w:jc w:val="both"/>
        <w:rPr>
          <w:rFonts w:ascii="Times New Roman" w:eastAsia="Times New Roman" w:hAnsi="Times New Roman" w:cs="Times New Roman"/>
          <w:i/>
          <w:lang w:val="it-IT"/>
        </w:rPr>
      </w:pPr>
      <w:r w:rsidRPr="003A22B9">
        <w:rPr>
          <w:rFonts w:ascii="Times New Roman" w:eastAsia="Times New Roman" w:hAnsi="Times New Roman" w:cs="Times New Roman"/>
          <w:i/>
          <w:lang w:val="it-IT"/>
        </w:rPr>
        <w:t xml:space="preserve">Pedijatrijska populacija </w:t>
      </w:r>
    </w:p>
    <w:p w14:paraId="396A6EA6" w14:textId="7A030CD2" w:rsidR="00F238C4" w:rsidRPr="003A22B9" w:rsidRDefault="00F238C4" w:rsidP="00F238C4">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Sprovedena je otvorena jednostruka</w:t>
      </w:r>
      <w:r w:rsidR="00977A0E">
        <w:rPr>
          <w:rFonts w:ascii="Times New Roman" w:eastAsia="Times New Roman" w:hAnsi="Times New Roman" w:cs="Times New Roman"/>
          <w:lang w:val="it-IT"/>
        </w:rPr>
        <w:t xml:space="preserve"> studija</w:t>
      </w:r>
      <w:r w:rsidRPr="003A22B9">
        <w:rPr>
          <w:rFonts w:ascii="Times New Roman" w:eastAsia="Times New Roman" w:hAnsi="Times New Roman" w:cs="Times New Roman"/>
          <w:lang w:val="it-IT"/>
        </w:rPr>
        <w:t xml:space="preserve"> koja je obuhvatila 25 pedijatrijskih pacijenata sa teškim aktivnim GPA-om ili MPA-om. Ukupan period trajanja studije sastojao se od 6-m</w:t>
      </w:r>
      <w:r w:rsidR="002E599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esečne faze indukcije remisije uz minimalno 18 m</w:t>
      </w:r>
      <w:r w:rsidR="002E599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eseci praćenja i ukupno je trajalo do 4,5 godine. Tokom faze praćenja rituksimab se prim</w:t>
      </w:r>
      <w:r w:rsidR="002E599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enjivao prema odluci ispitivača (17 od 25 pacijenata primilo je dodatnu terapiju rituksimaba). Pacijenti su mogli da istovremeno primaju i drugu imunosupresivnu terapiju (vid</w:t>
      </w:r>
      <w:r w:rsidR="002E599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eti </w:t>
      </w:r>
      <w:r w:rsidR="00EA6A05" w:rsidRPr="003A22B9">
        <w:rPr>
          <w:rFonts w:ascii="Times New Roman" w:eastAsia="Times New Roman" w:hAnsi="Times New Roman" w:cs="Times New Roman"/>
          <w:lang w:val="it-IT"/>
        </w:rPr>
        <w:t>dio</w:t>
      </w:r>
      <w:r w:rsidRPr="003A22B9">
        <w:rPr>
          <w:rFonts w:ascii="Times New Roman" w:eastAsia="Times New Roman" w:hAnsi="Times New Roman" w:cs="Times New Roman"/>
          <w:lang w:val="it-IT"/>
        </w:rPr>
        <w:t xml:space="preserve"> 5.1). </w:t>
      </w:r>
    </w:p>
    <w:p w14:paraId="2B80EFD9" w14:textId="77777777" w:rsidR="00BA39E5" w:rsidRPr="003A22B9" w:rsidRDefault="00BA39E5" w:rsidP="00F238C4">
      <w:pPr>
        <w:spacing w:after="0" w:line="240" w:lineRule="auto"/>
        <w:jc w:val="both"/>
        <w:rPr>
          <w:rFonts w:ascii="Times New Roman" w:eastAsia="Times New Roman" w:hAnsi="Times New Roman" w:cs="Times New Roman"/>
          <w:lang w:val="it-IT"/>
        </w:rPr>
      </w:pPr>
    </w:p>
    <w:p w14:paraId="43239B20" w14:textId="5F2034DD" w:rsidR="00F238C4" w:rsidRPr="003A22B9" w:rsidRDefault="00F238C4" w:rsidP="00F238C4">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Neželjenim reakcijama su se smatrali neželjeni događaji čija je incidenca bila ≥ 10%. To je uključivalo: infekcije (17 pacijenata [68%] u fazi indukcije remisije; 23 pacijenta [92%] tokom c</w:t>
      </w:r>
      <w:r w:rsidR="0007449A"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elokupnog perioda ispitivanja), reakcije na infuziju (15 pacijenata [60%] u fazi indukcije remisije; 17 pacijenata [68%] tokom c</w:t>
      </w:r>
      <w:r w:rsidR="0007449A"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elokupnog perioda ispitivanja) i mučnina (4 pacijenta [16%] u fazi indukcije remisije; 5 pacijenata [20%] tokom c</w:t>
      </w:r>
      <w:r w:rsidR="00166188"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elokupnog perioda ispitivanja). </w:t>
      </w:r>
    </w:p>
    <w:p w14:paraId="4803016D" w14:textId="77777777" w:rsidR="00F238C4" w:rsidRPr="003A22B9" w:rsidRDefault="00F238C4" w:rsidP="00F238C4">
      <w:pPr>
        <w:spacing w:after="0" w:line="240" w:lineRule="auto"/>
        <w:jc w:val="both"/>
        <w:rPr>
          <w:rFonts w:ascii="Times New Roman" w:eastAsia="Times New Roman" w:hAnsi="Times New Roman" w:cs="Times New Roman"/>
          <w:lang w:val="it-IT"/>
        </w:rPr>
      </w:pPr>
    </w:p>
    <w:p w14:paraId="365A9488" w14:textId="1963AD66" w:rsidR="00F238C4" w:rsidRPr="003A22B9" w:rsidRDefault="00F238C4" w:rsidP="00F238C4">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Bezb</w:t>
      </w:r>
      <w:r w:rsidR="009B2113"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ednosni profil rituksimaba tokom c</w:t>
      </w:r>
      <w:r w:rsidR="009B2113"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elokupnog perioda ispitivanja bio je u skladu sa onim prijavljenim tokom faze indukcije remisije.</w:t>
      </w:r>
    </w:p>
    <w:p w14:paraId="4C00E864" w14:textId="77777777" w:rsidR="00F238C4" w:rsidRPr="003A22B9" w:rsidRDefault="00F238C4" w:rsidP="00F238C4">
      <w:pPr>
        <w:spacing w:after="0" w:line="240" w:lineRule="auto"/>
        <w:jc w:val="both"/>
        <w:rPr>
          <w:rFonts w:ascii="Times New Roman" w:eastAsia="Times New Roman" w:hAnsi="Times New Roman" w:cs="Times New Roman"/>
          <w:lang w:val="it-IT"/>
        </w:rPr>
      </w:pPr>
    </w:p>
    <w:p w14:paraId="59E02D00" w14:textId="7FE4C388" w:rsidR="00F238C4" w:rsidRPr="003A22B9" w:rsidRDefault="00F238C4" w:rsidP="00F238C4">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Bezb</w:t>
      </w:r>
      <w:r w:rsidR="00812269"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ednosni profil rituksimaba kod pedijatrijskih pacijenata sa GPA-om ili MPA-om odgovarao je vrstom, prirodom i težinom neželjenih reakcija poznatom bezb</w:t>
      </w:r>
      <w:r w:rsidR="000335C3"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ednosnom profilu kod odraslih pacijenata utvrđenom u odobrenim indikacijama za l</w:t>
      </w:r>
      <w:r w:rsidR="000335C3"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ečenje autoimunih bolesti, uključujući GPA ili MPA kod odraslih.</w:t>
      </w:r>
    </w:p>
    <w:p w14:paraId="7325861E" w14:textId="77777777" w:rsidR="00F238C4" w:rsidRPr="003A22B9" w:rsidRDefault="00F238C4" w:rsidP="00A75B47">
      <w:pPr>
        <w:spacing w:after="0" w:line="240" w:lineRule="auto"/>
        <w:jc w:val="both"/>
        <w:rPr>
          <w:rFonts w:ascii="Times New Roman" w:eastAsia="Times New Roman" w:hAnsi="Times New Roman" w:cs="Times New Roman"/>
          <w:lang w:val="it-IT"/>
        </w:rPr>
      </w:pPr>
    </w:p>
    <w:p w14:paraId="522D1C04"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Opis odabranih neželjenih reakcija</w:t>
      </w:r>
    </w:p>
    <w:p w14:paraId="2798B21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7F55175"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Reakcije vezane za infuziju </w:t>
      </w:r>
    </w:p>
    <w:p w14:paraId="0942D052" w14:textId="360419D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850AAA" w:rsidRPr="003A22B9">
        <w:rPr>
          <w:rFonts w:ascii="Times New Roman" w:eastAsia="Times New Roman" w:hAnsi="Times New Roman" w:cs="Times New Roman"/>
          <w:lang w:val="sr-Latn-ME"/>
        </w:rPr>
        <w:t xml:space="preserve">Studiji 1 </w:t>
      </w:r>
      <w:r w:rsidR="00DB07F6" w:rsidRPr="003A22B9">
        <w:rPr>
          <w:rFonts w:ascii="Times New Roman" w:eastAsia="Times New Roman" w:hAnsi="Times New Roman" w:cs="Times New Roman"/>
          <w:lang w:val="sr-Latn-ME"/>
        </w:rPr>
        <w:t xml:space="preserve">GPA/MPA </w:t>
      </w:r>
      <w:r w:rsidR="00877836" w:rsidRPr="003A22B9">
        <w:rPr>
          <w:rFonts w:ascii="Times New Roman" w:eastAsia="Times New Roman" w:hAnsi="Times New Roman" w:cs="Times New Roman"/>
          <w:lang w:val="it-IT"/>
        </w:rPr>
        <w:t xml:space="preserve">(studija </w:t>
      </w:r>
      <w:r w:rsidRPr="003A22B9">
        <w:rPr>
          <w:rFonts w:ascii="Times New Roman" w:eastAsia="Times New Roman" w:hAnsi="Times New Roman" w:cs="Times New Roman"/>
          <w:lang w:val="sr-Latn-ME"/>
        </w:rPr>
        <w:t xml:space="preserve">indukcije remisije kod </w:t>
      </w:r>
      <w:r w:rsidR="00877836" w:rsidRPr="003A22B9">
        <w:rPr>
          <w:rFonts w:ascii="Times New Roman" w:eastAsia="Times New Roman" w:hAnsi="Times New Roman" w:cs="Times New Roman"/>
          <w:lang w:val="sr-Latn-ME"/>
        </w:rPr>
        <w:t xml:space="preserve">odraslih) </w:t>
      </w:r>
      <w:r w:rsidRPr="003A22B9">
        <w:rPr>
          <w:rFonts w:ascii="Times New Roman" w:eastAsia="Times New Roman" w:hAnsi="Times New Roman" w:cs="Times New Roman"/>
          <w:lang w:val="sr-Latn-ME"/>
        </w:rPr>
        <w:t xml:space="preserve">reakcije vezane za infuziju definisane su kao bilo koji neželjeni događaj koji se javi u roku od 24 sata nakon infuzije, a koju je istraživač populacije u ispitivanju bezbjednosti lijeka smatrao da je povezan sa infuzijom. Od </w:t>
      </w:r>
      <w:r w:rsidR="003B4ACC" w:rsidRPr="003A22B9">
        <w:rPr>
          <w:rFonts w:ascii="Times New Roman" w:eastAsia="Times New Roman" w:hAnsi="Times New Roman" w:cs="Times New Roman"/>
          <w:lang w:val="sr-Latn-ME"/>
        </w:rPr>
        <w:t xml:space="preserve">99 </w:t>
      </w:r>
      <w:r w:rsidRPr="003A22B9">
        <w:rPr>
          <w:rFonts w:ascii="Times New Roman" w:eastAsia="Times New Roman" w:hAnsi="Times New Roman" w:cs="Times New Roman"/>
          <w:lang w:val="sr-Latn-ME"/>
        </w:rPr>
        <w:t>pacijenata liječenih rituksimabom kod 12% se javila bar jedna reakcija vezana za infuziju. Sve ove reakcije su bile CTC gradusa 1 ili 2. Najčešće su se javljali sindrom oslobađanja citokina, crvenilo praćeno osjećajem vrućine, iritacija grla i tremor. Rituksimab je davan u kombinaciji sa intravenskim glukokortikoidima koji mogu da umanje incidencu i težinu ovih reakcija.</w:t>
      </w:r>
    </w:p>
    <w:p w14:paraId="633E92F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298B18B" w14:textId="25D0CF11" w:rsidR="00A75B47" w:rsidRPr="003A22B9" w:rsidRDefault="006C51B8" w:rsidP="00A75B47">
      <w:pPr>
        <w:autoSpaceDE w:val="0"/>
        <w:autoSpaceDN w:val="0"/>
        <w:adjustRightInd w:val="0"/>
        <w:spacing w:after="0" w:line="240" w:lineRule="auto"/>
        <w:jc w:val="both"/>
        <w:outlineLvl w:val="0"/>
        <w:rPr>
          <w:rFonts w:ascii="Times New Roman" w:eastAsia="Times New Roman" w:hAnsi="Times New Roman" w:cs="Times New Roman"/>
          <w:lang w:val="sr-Latn-ME"/>
        </w:rPr>
      </w:pPr>
      <w:r w:rsidRPr="003A22B9">
        <w:rPr>
          <w:rFonts w:ascii="Times New Roman" w:eastAsia="Times New Roman" w:hAnsi="Times New Roman" w:cs="Times New Roman"/>
          <w:lang w:val="it-IT"/>
        </w:rPr>
        <w:t xml:space="preserve">U Studiji 2 GPA/MPA </w:t>
      </w:r>
      <w:r w:rsidR="00D3212E" w:rsidRPr="003A22B9">
        <w:rPr>
          <w:rFonts w:ascii="Times New Roman" w:eastAsia="Times New Roman" w:hAnsi="Times New Roman" w:cs="Times New Roman"/>
          <w:lang w:val="sr-Latn-ME"/>
        </w:rPr>
        <w:t xml:space="preserve">(studija </w:t>
      </w:r>
      <w:r w:rsidR="00A75B47" w:rsidRPr="003A22B9">
        <w:rPr>
          <w:rFonts w:ascii="Times New Roman" w:eastAsia="Times New Roman" w:hAnsi="Times New Roman" w:cs="Times New Roman"/>
          <w:lang w:val="sr-Latn-ME"/>
        </w:rPr>
        <w:t xml:space="preserve">terapije održavanja </w:t>
      </w:r>
      <w:r w:rsidR="00D3212E" w:rsidRPr="003A22B9">
        <w:rPr>
          <w:rFonts w:ascii="Times New Roman" w:eastAsia="Times New Roman" w:hAnsi="Times New Roman" w:cs="Times New Roman"/>
          <w:lang w:val="sr-Latn-ME"/>
        </w:rPr>
        <w:t xml:space="preserve">kod odraslih) </w:t>
      </w:r>
      <w:r w:rsidR="00A75B47" w:rsidRPr="003A22B9">
        <w:rPr>
          <w:rFonts w:ascii="Times New Roman" w:eastAsia="Times New Roman" w:hAnsi="Times New Roman" w:cs="Times New Roman"/>
          <w:lang w:val="sr-Latn-ME"/>
        </w:rPr>
        <w:t>7/57 (12%) pacijenata u grupi liječenoj rituksimabom imalo je najmanje jednu reakciju povezanu sa infuzijom. Incidenca simptoma reakcija povezanih sa infuzijom bila je najveća tokom ili nakon prve infuzije (9%), da bi se sa sljedećim infuzijama smanjivala (&lt; 4%). Svi simptomi reakcija povezanih sa infuzijom bili su blage ili umjerene težine i uglavnom se radilo o respiratornim, torakalnim i medijastinalnim poremećajima i poremećajima kože i potkožnog tkiva.</w:t>
      </w:r>
    </w:p>
    <w:p w14:paraId="5FE83FF3" w14:textId="6BEA3E6B" w:rsidR="00F64761" w:rsidRPr="003A22B9" w:rsidRDefault="00F64761" w:rsidP="00A75B47">
      <w:pPr>
        <w:autoSpaceDE w:val="0"/>
        <w:autoSpaceDN w:val="0"/>
        <w:adjustRightInd w:val="0"/>
        <w:spacing w:after="0" w:line="240" w:lineRule="auto"/>
        <w:jc w:val="both"/>
        <w:outlineLvl w:val="0"/>
        <w:rPr>
          <w:rFonts w:ascii="Times New Roman" w:eastAsia="Times New Roman" w:hAnsi="Times New Roman" w:cs="Times New Roman"/>
          <w:lang w:val="sr-Latn-ME"/>
        </w:rPr>
      </w:pPr>
    </w:p>
    <w:p w14:paraId="2C7B0D80" w14:textId="36569203" w:rsidR="00F64761" w:rsidRPr="003A22B9" w:rsidRDefault="00F64761" w:rsidP="00F64761">
      <w:pPr>
        <w:autoSpaceDE w:val="0"/>
        <w:autoSpaceDN w:val="0"/>
        <w:adjustRightInd w:val="0"/>
        <w:spacing w:after="0" w:line="240" w:lineRule="auto"/>
        <w:jc w:val="both"/>
        <w:outlineLvl w:val="0"/>
        <w:rPr>
          <w:rFonts w:ascii="Times New Roman" w:eastAsia="Times New Roman" w:hAnsi="Times New Roman" w:cs="Times New Roman"/>
          <w:lang w:val="it-IT"/>
        </w:rPr>
      </w:pPr>
      <w:r w:rsidRPr="003A22B9">
        <w:rPr>
          <w:rFonts w:ascii="Times New Roman" w:eastAsia="Times New Roman" w:hAnsi="Times New Roman" w:cs="Times New Roman"/>
          <w:lang w:val="it-IT"/>
        </w:rPr>
        <w:lastRenderedPageBreak/>
        <w:t>U kliničkom ispitivanju sprovedenom kod pedijatrijskih pacijenata sa GPA-om ili MPA-om reakcije na infuziju prvenstveno su zab</w:t>
      </w:r>
      <w:r w:rsidR="00510D6F" w:rsidRPr="003A22B9">
        <w:rPr>
          <w:rFonts w:ascii="Times New Roman" w:eastAsia="Times New Roman" w:hAnsi="Times New Roman" w:cs="Times New Roman"/>
          <w:lang w:val="it-IT"/>
        </w:rPr>
        <w:t>i</w:t>
      </w:r>
      <w:r w:rsidRPr="003A22B9">
        <w:rPr>
          <w:rFonts w:ascii="Times New Roman" w:eastAsia="Times New Roman" w:hAnsi="Times New Roman" w:cs="Times New Roman"/>
          <w:lang w:val="it-IT"/>
        </w:rPr>
        <w:t>l</w:t>
      </w:r>
      <w:r w:rsidR="00510D6F"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ežene kod prve infuzije (8 pacijenata [32%]), da bi se sa sl</w:t>
      </w:r>
      <w:r w:rsidR="00510D6F"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edećim infuzijama rituksimaba njihova učestalost smanjivala (20% kod druge infuzije, 12% kod treće infuzije i 8% kod četvrte infuzije). Najčešći simptomi reakcija na infuziju prijavljeni tokom faze </w:t>
      </w:r>
      <w:r w:rsidR="001811D3" w:rsidRPr="003A22B9">
        <w:rPr>
          <w:rFonts w:ascii="Times New Roman" w:eastAsia="Times New Roman" w:hAnsi="Times New Roman" w:cs="Times New Roman"/>
          <w:lang w:val="it-IT"/>
        </w:rPr>
        <w:t>indukcije</w:t>
      </w:r>
      <w:r w:rsidRPr="003A22B9">
        <w:rPr>
          <w:rFonts w:ascii="Times New Roman" w:eastAsia="Times New Roman" w:hAnsi="Times New Roman" w:cs="Times New Roman"/>
          <w:lang w:val="it-IT"/>
        </w:rPr>
        <w:t xml:space="preserve"> remisije bili su: glavobolja, osip, rinoreja i pireksija (8% za svaki simptom). Uočeni simptomi reakcija na infuziju bili su slični poznatim simptomima kod odraslih pacijenata sa GPA-om ili MPA-om l</w:t>
      </w:r>
      <w:r w:rsidR="0070657E"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ečenih rituksimabom. Većina reakcija na infuziju bila je 1. i 2. stepena težine, a prijavljene su i dv</w:t>
      </w:r>
      <w:r w:rsidR="009774EA"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 reakcije na infuziju 3. stepena koje ni</w:t>
      </w:r>
      <w:r w:rsidR="001E618F">
        <w:rPr>
          <w:rFonts w:ascii="Times New Roman" w:eastAsia="Times New Roman" w:hAnsi="Times New Roman" w:cs="Times New Roman"/>
          <w:lang w:val="it-IT"/>
        </w:rPr>
        <w:t>je</w:t>
      </w:r>
      <w:r w:rsidRPr="003A22B9">
        <w:rPr>
          <w:rFonts w:ascii="Times New Roman" w:eastAsia="Times New Roman" w:hAnsi="Times New Roman" w:cs="Times New Roman"/>
          <w:lang w:val="it-IT"/>
        </w:rPr>
        <w:t>su bile ozbiljne. Nije zab</w:t>
      </w:r>
      <w:r w:rsidR="009774EA" w:rsidRPr="003A22B9">
        <w:rPr>
          <w:rFonts w:ascii="Times New Roman" w:eastAsia="Times New Roman" w:hAnsi="Times New Roman" w:cs="Times New Roman"/>
          <w:lang w:val="it-IT"/>
        </w:rPr>
        <w:t>i</w:t>
      </w:r>
      <w:r w:rsidRPr="003A22B9">
        <w:rPr>
          <w:rFonts w:ascii="Times New Roman" w:eastAsia="Times New Roman" w:hAnsi="Times New Roman" w:cs="Times New Roman"/>
          <w:lang w:val="it-IT"/>
        </w:rPr>
        <w:t>l</w:t>
      </w:r>
      <w:r w:rsidR="009774EA"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ežena nijedna reakcija na infuziju 4. ili 5. stepena. Kod jednog pacijenta je prijavljena jedna ozbiljna reakcija na infuziju 2. stepena težine (generalizovani edem koji se povukao uz terapiju) (vid</w:t>
      </w:r>
      <w:r w:rsidR="001A3C6F"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eti </w:t>
      </w:r>
      <w:r w:rsidR="00EA6A05" w:rsidRPr="003A22B9">
        <w:rPr>
          <w:rFonts w:ascii="Times New Roman" w:eastAsia="Times New Roman" w:hAnsi="Times New Roman" w:cs="Times New Roman"/>
          <w:lang w:val="it-IT"/>
        </w:rPr>
        <w:t>dio</w:t>
      </w:r>
      <w:r w:rsidRPr="003A22B9">
        <w:rPr>
          <w:rFonts w:ascii="Times New Roman" w:eastAsia="Times New Roman" w:hAnsi="Times New Roman" w:cs="Times New Roman"/>
          <w:lang w:val="it-IT"/>
        </w:rPr>
        <w:t xml:space="preserve"> 4.4).</w:t>
      </w:r>
    </w:p>
    <w:p w14:paraId="1469735A" w14:textId="77777777" w:rsidR="00F64761" w:rsidRPr="003A22B9" w:rsidRDefault="00F64761" w:rsidP="00A75B47">
      <w:pPr>
        <w:autoSpaceDE w:val="0"/>
        <w:autoSpaceDN w:val="0"/>
        <w:adjustRightInd w:val="0"/>
        <w:spacing w:after="0" w:line="240" w:lineRule="auto"/>
        <w:jc w:val="both"/>
        <w:outlineLvl w:val="0"/>
        <w:rPr>
          <w:rFonts w:ascii="Times New Roman" w:eastAsia="Times New Roman" w:hAnsi="Times New Roman" w:cs="Times New Roman"/>
          <w:lang w:val="it-IT"/>
        </w:rPr>
      </w:pPr>
    </w:p>
    <w:p w14:paraId="3E76ED6A"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Infekcije </w:t>
      </w:r>
    </w:p>
    <w:p w14:paraId="737ECF20" w14:textId="5F6725E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22298C" w:rsidRPr="003A22B9">
        <w:rPr>
          <w:rFonts w:ascii="Times New Roman" w:eastAsia="Times New Roman" w:hAnsi="Times New Roman" w:cs="Times New Roman"/>
          <w:lang w:val="sr-Latn-ME"/>
        </w:rPr>
        <w:t xml:space="preserve">GPA/MPA Studiji 1 </w:t>
      </w:r>
      <w:r w:rsidRPr="003A22B9">
        <w:rPr>
          <w:rFonts w:ascii="Times New Roman" w:eastAsia="Times New Roman" w:hAnsi="Times New Roman" w:cs="Times New Roman"/>
          <w:lang w:val="sr-Latn-ME"/>
        </w:rPr>
        <w:t>ukupna stopa infekcija iznosila je 237 na 100 pacijent - godina (95% CI 197 – 285), u trenutku primar</w:t>
      </w:r>
      <w:r w:rsidR="00BA39E5" w:rsidRPr="003A22B9">
        <w:rPr>
          <w:rFonts w:ascii="Times New Roman" w:eastAsia="Times New Roman" w:hAnsi="Times New Roman" w:cs="Times New Roman"/>
          <w:lang w:val="sr-Latn-ME"/>
        </w:rPr>
        <w:t>nog parametra praćenja</w:t>
      </w:r>
      <w:r w:rsidRPr="003A22B9">
        <w:rPr>
          <w:rFonts w:ascii="Times New Roman" w:eastAsia="Times New Roman" w:hAnsi="Times New Roman" w:cs="Times New Roman"/>
          <w:lang w:val="sr-Latn-ME"/>
        </w:rPr>
        <w:t xml:space="preserve"> nakon 6 mjeseci. Infekcije su uglavnom bile blage do umjerene i uključivale su uglavnom infekcije gornjeg respiratornog trakta, herpes zoster i infekcije urinarnog trakta. Stopa ozbiljnih infekcija je iznosila 25 na 100 pacijent - godina. Najčešće prijavljivane ozbiljne infekcije u grupi pacijenata koja je primala rituksimab bila je pneumonija, sa stopom od 4%. </w:t>
      </w:r>
    </w:p>
    <w:p w14:paraId="44BFE1BA" w14:textId="77777777" w:rsidR="005A1B16" w:rsidRPr="003A22B9" w:rsidRDefault="005A1B16" w:rsidP="00A75B47">
      <w:pPr>
        <w:spacing w:after="0" w:line="240" w:lineRule="auto"/>
        <w:jc w:val="both"/>
        <w:rPr>
          <w:rFonts w:ascii="Times New Roman" w:eastAsia="Times New Roman" w:hAnsi="Times New Roman" w:cs="Times New Roman"/>
          <w:lang w:val="sr-Latn-ME"/>
        </w:rPr>
      </w:pPr>
    </w:p>
    <w:p w14:paraId="62DCF3BC" w14:textId="01C8D49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5704C2" w:rsidRPr="003A22B9">
        <w:rPr>
          <w:rFonts w:ascii="Times New Roman" w:eastAsia="Times New Roman" w:hAnsi="Times New Roman" w:cs="Times New Roman"/>
          <w:lang w:val="sr-Latn-ME"/>
        </w:rPr>
        <w:t>GPA/MPA studiji 2</w:t>
      </w:r>
      <w:r w:rsidR="00BA39E5"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30/57 (53%) pacijenata liječenih rituksimabom</w:t>
      </w:r>
      <w:r w:rsidR="00BA39E5" w:rsidRPr="003A22B9">
        <w:rPr>
          <w:rFonts w:ascii="Times New Roman" w:eastAsia="Times New Roman" w:hAnsi="Times New Roman" w:cs="Times New Roman"/>
          <w:lang w:val="sr-Latn-ME"/>
        </w:rPr>
        <w:t xml:space="preserve"> imali su infekcije</w:t>
      </w:r>
      <w:r w:rsidRPr="003A22B9">
        <w:rPr>
          <w:rFonts w:ascii="Times New Roman" w:eastAsia="Times New Roman" w:hAnsi="Times New Roman" w:cs="Times New Roman"/>
          <w:lang w:val="sr-Latn-ME"/>
        </w:rPr>
        <w:t>. Incidenca infekcija svih stepena težine bila je slična u ob</w:t>
      </w:r>
      <w:r w:rsidR="001E618F">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je liječene grupe. Infekcije su pretežno bile blage do umjerene težine. Najčešće infekcije u grupi liječenoj rituksimabom uključivale su infekcije gornjih disajnih puteva, gastroenteritis, infekcije mokraćnih puteva i herpes zoster. Incidenca ozbiljnih infekcija bila je slična u ob</w:t>
      </w:r>
      <w:r w:rsidR="001E618F">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je liječene grupe (približno 12%). Najčešće prijavljena ozbiljna infekcija u grupi liječenoj rituksimabom bila je blagi ili umjereni bronhitis.</w:t>
      </w:r>
    </w:p>
    <w:p w14:paraId="517F6FE7" w14:textId="6FECF469" w:rsidR="00A75B47" w:rsidRPr="003A22B9" w:rsidRDefault="00A75B47" w:rsidP="00A75B47">
      <w:pPr>
        <w:spacing w:after="0" w:line="240" w:lineRule="auto"/>
        <w:jc w:val="both"/>
        <w:rPr>
          <w:rFonts w:ascii="Times New Roman" w:eastAsia="Times New Roman" w:hAnsi="Times New Roman" w:cs="Times New Roman"/>
          <w:i/>
          <w:lang w:val="sr-Latn-ME"/>
        </w:rPr>
      </w:pPr>
    </w:p>
    <w:p w14:paraId="243B122F" w14:textId="37336CE3" w:rsidR="00473D46" w:rsidRPr="003A22B9" w:rsidRDefault="00473D46" w:rsidP="00473D46">
      <w:pPr>
        <w:spacing w:after="0" w:line="240" w:lineRule="auto"/>
        <w:jc w:val="both"/>
        <w:rPr>
          <w:rFonts w:ascii="Times New Roman" w:eastAsia="Times New Roman" w:hAnsi="Times New Roman" w:cs="Times New Roman"/>
          <w:iCs/>
          <w:lang w:val="it-IT"/>
        </w:rPr>
      </w:pPr>
      <w:r w:rsidRPr="003A22B9">
        <w:rPr>
          <w:rFonts w:ascii="Times New Roman" w:eastAsia="Times New Roman" w:hAnsi="Times New Roman" w:cs="Times New Roman"/>
          <w:iCs/>
          <w:lang w:val="it-IT"/>
        </w:rPr>
        <w:t>U kliničkom ispitivanju koje je obuhvatilo pedijatrijske pacijente sa teškim aktivnim GPA-om i MPA-om, 91% prijavljenih infekcija nije bilo ozbiljno, a njih 90% bilo je blage do um</w:t>
      </w:r>
      <w:r w:rsidR="00A1640E" w:rsidRPr="003A22B9">
        <w:rPr>
          <w:rFonts w:ascii="Times New Roman" w:eastAsia="Times New Roman" w:hAnsi="Times New Roman" w:cs="Times New Roman"/>
          <w:iCs/>
          <w:lang w:val="it-IT"/>
        </w:rPr>
        <w:t>j</w:t>
      </w:r>
      <w:r w:rsidRPr="003A22B9">
        <w:rPr>
          <w:rFonts w:ascii="Times New Roman" w:eastAsia="Times New Roman" w:hAnsi="Times New Roman" w:cs="Times New Roman"/>
          <w:iCs/>
          <w:lang w:val="it-IT"/>
        </w:rPr>
        <w:t>erene težine. Najčešće infekcije tokom c</w:t>
      </w:r>
      <w:r w:rsidR="00A1640E" w:rsidRPr="003A22B9">
        <w:rPr>
          <w:rFonts w:ascii="Times New Roman" w:eastAsia="Times New Roman" w:hAnsi="Times New Roman" w:cs="Times New Roman"/>
          <w:iCs/>
          <w:lang w:val="it-IT"/>
        </w:rPr>
        <w:t>ij</w:t>
      </w:r>
      <w:r w:rsidRPr="003A22B9">
        <w:rPr>
          <w:rFonts w:ascii="Times New Roman" w:eastAsia="Times New Roman" w:hAnsi="Times New Roman" w:cs="Times New Roman"/>
          <w:iCs/>
          <w:lang w:val="it-IT"/>
        </w:rPr>
        <w:t>elog perioda ispitivanja bile su: infekcije gornjih disajnih puteva (48%), grip (24%), konjunktivitis (20%), nazofaringitis (20%), infekcije donjih disajnih puteva (16%), sinusitis (16%), virusne infekcije gornjih disajnih puteva (16%), infekcija uha (12%), gastroenteritis (12%), faringitis (12%) i infekcija mokraćnih puteva (12%). Ozbiljne infekcije prijavljene su kod 7 pacijenata (28%), a uključivale su: grip (2 pacijenta [8%]) i infekciju donjih disajnih puteva (2 pacijenta [8%]), kao najčešće prijavljene događaje.</w:t>
      </w:r>
    </w:p>
    <w:p w14:paraId="5D616E94" w14:textId="77777777" w:rsidR="00C444FC" w:rsidRPr="003A22B9" w:rsidRDefault="00C444FC" w:rsidP="00473D46">
      <w:pPr>
        <w:spacing w:after="0" w:line="240" w:lineRule="auto"/>
        <w:jc w:val="both"/>
        <w:rPr>
          <w:rFonts w:ascii="Times New Roman" w:eastAsia="Times New Roman" w:hAnsi="Times New Roman" w:cs="Times New Roman"/>
          <w:iCs/>
          <w:lang w:val="it-IT"/>
        </w:rPr>
      </w:pPr>
    </w:p>
    <w:p w14:paraId="00874A30" w14:textId="4FC6EE70" w:rsidR="00C444FC" w:rsidRPr="003A22B9" w:rsidRDefault="00C444FC" w:rsidP="00473D46">
      <w:pPr>
        <w:spacing w:after="0" w:line="240" w:lineRule="auto"/>
        <w:jc w:val="both"/>
        <w:rPr>
          <w:rFonts w:ascii="Times New Roman" w:eastAsia="Times New Roman" w:hAnsi="Times New Roman" w:cs="Times New Roman"/>
          <w:iCs/>
          <w:lang w:val="it-IT"/>
        </w:rPr>
      </w:pPr>
      <w:r w:rsidRPr="003A22B9">
        <w:rPr>
          <w:rFonts w:ascii="Times New Roman" w:eastAsia="Times New Roman" w:hAnsi="Times New Roman" w:cs="Times New Roman"/>
          <w:iCs/>
          <w:lang w:val="it-IT"/>
        </w:rPr>
        <w:t>U postmarketinškom periodu, prijavljene su ozbiljne virusne infekcije kod pacijenata sa GPA/MPA l</w:t>
      </w:r>
      <w:r w:rsidR="00360D41">
        <w:rPr>
          <w:rFonts w:ascii="Times New Roman" w:eastAsia="Times New Roman" w:hAnsi="Times New Roman" w:cs="Times New Roman"/>
          <w:iCs/>
          <w:lang w:val="it-IT"/>
        </w:rPr>
        <w:t>ij</w:t>
      </w:r>
      <w:r w:rsidRPr="003A22B9">
        <w:rPr>
          <w:rFonts w:ascii="Times New Roman" w:eastAsia="Times New Roman" w:hAnsi="Times New Roman" w:cs="Times New Roman"/>
          <w:iCs/>
          <w:lang w:val="it-IT"/>
        </w:rPr>
        <w:t>ečenih rituksimabom.</w:t>
      </w:r>
    </w:p>
    <w:p w14:paraId="706952DB" w14:textId="77777777" w:rsidR="00473D46" w:rsidRPr="003A22B9" w:rsidRDefault="00473D46" w:rsidP="00A75B47">
      <w:pPr>
        <w:spacing w:after="0" w:line="240" w:lineRule="auto"/>
        <w:jc w:val="both"/>
        <w:rPr>
          <w:rFonts w:ascii="Times New Roman" w:eastAsia="Times New Roman" w:hAnsi="Times New Roman" w:cs="Times New Roman"/>
          <w:i/>
          <w:lang w:val="it-IT"/>
        </w:rPr>
      </w:pPr>
    </w:p>
    <w:p w14:paraId="20F4CD62"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Maligniteti </w:t>
      </w:r>
    </w:p>
    <w:p w14:paraId="6A77E19F" w14:textId="5CAE2DC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D31C08" w:rsidRPr="003A22B9">
        <w:rPr>
          <w:rFonts w:ascii="Times New Roman" w:eastAsia="Times New Roman" w:hAnsi="Times New Roman" w:cs="Times New Roman"/>
          <w:lang w:val="sr-Latn-ME"/>
        </w:rPr>
        <w:t xml:space="preserve">GPA/MPA </w:t>
      </w:r>
      <w:r w:rsidR="00A53C8F" w:rsidRPr="003A22B9">
        <w:rPr>
          <w:rFonts w:ascii="Times New Roman" w:eastAsia="Times New Roman" w:hAnsi="Times New Roman" w:cs="Times New Roman"/>
          <w:lang w:val="sr-Latn-ME"/>
        </w:rPr>
        <w:t xml:space="preserve">Studiji 1 </w:t>
      </w:r>
      <w:r w:rsidRPr="003A22B9">
        <w:rPr>
          <w:rFonts w:ascii="Times New Roman" w:eastAsia="Times New Roman" w:hAnsi="Times New Roman" w:cs="Times New Roman"/>
          <w:lang w:val="sr-Latn-ME"/>
        </w:rPr>
        <w:t xml:space="preserve">incidenca maligniteta kod pacijenata sa </w:t>
      </w:r>
      <w:r w:rsidR="00C81B8E" w:rsidRPr="003A22B9">
        <w:rPr>
          <w:rFonts w:ascii="Times New Roman" w:eastAsia="Times New Roman" w:hAnsi="Times New Roman" w:cs="Times New Roman"/>
          <w:lang w:val="sr-Latn-ME"/>
        </w:rPr>
        <w:t xml:space="preserve">GPA i MPA </w:t>
      </w:r>
      <w:r w:rsidRPr="003A22B9">
        <w:rPr>
          <w:rFonts w:ascii="Times New Roman" w:eastAsia="Times New Roman" w:hAnsi="Times New Roman" w:cs="Times New Roman"/>
          <w:lang w:val="sr-Latn-ME"/>
        </w:rPr>
        <w:t>liječenih rituksimabom u kliničkim studijama iznosila je 2,00 na 100 pacijent - godina prilikom završetka studije (kada je period praćenja istekao za posljednjeg pacijenta). Na osnovu standardizovanog odnosa incidenca, incidenca maligniteta je slična onoj koja je ranije prijavljivana kod pacijenata oboljelih od ANCA-povezan</w:t>
      </w:r>
      <w:r w:rsidR="00E87D37" w:rsidRPr="003A22B9">
        <w:rPr>
          <w:rFonts w:ascii="Times New Roman" w:eastAsia="Times New Roman" w:hAnsi="Times New Roman" w:cs="Times New Roman"/>
          <w:lang w:val="sr-Latn-ME"/>
        </w:rPr>
        <w:t>og</w:t>
      </w:r>
      <w:r w:rsidRPr="003A22B9">
        <w:rPr>
          <w:rFonts w:ascii="Times New Roman" w:eastAsia="Times New Roman" w:hAnsi="Times New Roman" w:cs="Times New Roman"/>
          <w:lang w:val="sr-Latn-ME"/>
        </w:rPr>
        <w:t xml:space="preserve"> vaskulitisa. </w:t>
      </w:r>
    </w:p>
    <w:p w14:paraId="08C11094" w14:textId="71A5A999" w:rsidR="00720CA8" w:rsidRPr="003A22B9" w:rsidRDefault="00720CA8" w:rsidP="00A75B47">
      <w:pPr>
        <w:spacing w:after="0" w:line="240" w:lineRule="auto"/>
        <w:jc w:val="both"/>
        <w:rPr>
          <w:rFonts w:ascii="Times New Roman" w:eastAsia="Times New Roman" w:hAnsi="Times New Roman" w:cs="Times New Roman"/>
          <w:lang w:val="sr-Latn-ME"/>
        </w:rPr>
      </w:pPr>
    </w:p>
    <w:p w14:paraId="67FB4BB4" w14:textId="108F4A4B" w:rsidR="00720CA8" w:rsidRPr="003A22B9" w:rsidRDefault="00720CA8" w:rsidP="00720CA8">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 xml:space="preserve">U kliničkom ispitivanju sprovedenom kod pedijatrijskih pacjenata, koje je uključivalo </w:t>
      </w:r>
      <w:r w:rsidR="00E87D37" w:rsidRPr="003A22B9">
        <w:rPr>
          <w:rFonts w:ascii="Times New Roman" w:eastAsia="Times New Roman" w:hAnsi="Times New Roman" w:cs="Times New Roman"/>
          <w:lang w:val="it-IT"/>
        </w:rPr>
        <w:t>perio</w:t>
      </w:r>
      <w:r w:rsidR="00360D41">
        <w:rPr>
          <w:rFonts w:ascii="Times New Roman" w:eastAsia="Times New Roman" w:hAnsi="Times New Roman" w:cs="Times New Roman"/>
          <w:lang w:val="it-IT"/>
        </w:rPr>
        <w:t>d</w:t>
      </w:r>
      <w:r w:rsidRPr="003A22B9">
        <w:rPr>
          <w:rFonts w:ascii="Times New Roman" w:eastAsia="Times New Roman" w:hAnsi="Times New Roman" w:cs="Times New Roman"/>
          <w:lang w:val="it-IT"/>
        </w:rPr>
        <w:t xml:space="preserve"> praćenja u trajanju do 54 m</w:t>
      </w:r>
      <w:r w:rsidR="00C47D8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eseca, nije prijavljen nijedan slučaj maligne bolesti.</w:t>
      </w:r>
    </w:p>
    <w:p w14:paraId="7B683662" w14:textId="77777777" w:rsidR="00720CA8" w:rsidRPr="003A22B9" w:rsidRDefault="00720CA8" w:rsidP="00A75B47">
      <w:pPr>
        <w:spacing w:after="0" w:line="240" w:lineRule="auto"/>
        <w:jc w:val="both"/>
        <w:rPr>
          <w:rFonts w:ascii="Times New Roman" w:eastAsia="Times New Roman" w:hAnsi="Times New Roman" w:cs="Times New Roman"/>
          <w:lang w:val="it-IT"/>
        </w:rPr>
      </w:pPr>
    </w:p>
    <w:p w14:paraId="62B1B87C"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Kardiovaskularne neželjene reakcije </w:t>
      </w:r>
    </w:p>
    <w:p w14:paraId="56FF56FF" w14:textId="4281481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6509E2" w:rsidRPr="003A22B9">
        <w:rPr>
          <w:rFonts w:ascii="Times New Roman" w:eastAsia="Times New Roman" w:hAnsi="Times New Roman" w:cs="Times New Roman"/>
          <w:lang w:val="sr-Latn-ME"/>
        </w:rPr>
        <w:t xml:space="preserve">GPA/MPA Studiji </w:t>
      </w:r>
      <w:r w:rsidR="00D10364" w:rsidRPr="003A22B9">
        <w:rPr>
          <w:rFonts w:ascii="Times New Roman" w:eastAsia="Times New Roman" w:hAnsi="Times New Roman" w:cs="Times New Roman"/>
          <w:lang w:val="sr-Latn-ME"/>
        </w:rPr>
        <w:t xml:space="preserve">1 </w:t>
      </w:r>
      <w:r w:rsidRPr="003A22B9">
        <w:rPr>
          <w:rFonts w:ascii="Times New Roman" w:eastAsia="Times New Roman" w:hAnsi="Times New Roman" w:cs="Times New Roman"/>
          <w:lang w:val="sr-Latn-ME"/>
        </w:rPr>
        <w:t xml:space="preserve">kardiološki događaji javljali su se sa učestalošću od približno 273 na 100 pacijent - godina (95% CI 149-470), u trenutku primarne mjere ishoda nakon 6 mjeseci. Stopa ozbiljnih kardioloških neželjenih događaja je iznosila 2,1 na 100 pacijent - godina (95% CI 3 -15). Najčešći prijavljivani neželjeni događaji su bili tahikardija (4%) i atrijalna fibrilacija (3%)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4.4.). </w:t>
      </w:r>
    </w:p>
    <w:p w14:paraId="1CB9485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B18BA9A"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Neurološki događaji </w:t>
      </w:r>
    </w:p>
    <w:p w14:paraId="4EBB51A1" w14:textId="72D4D87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Prijavljeni su slučajevi sindroma reverzibilne posteriorne encefalopatije (engl. </w:t>
      </w:r>
      <w:r w:rsidRPr="003A22B9">
        <w:rPr>
          <w:rFonts w:ascii="Times New Roman" w:eastAsia="Times New Roman" w:hAnsi="Times New Roman" w:cs="Times New Roman"/>
          <w:i/>
          <w:lang w:val="sr-Latn-ME"/>
        </w:rPr>
        <w:t>posterior reversible encephalopathy syndrome -</w:t>
      </w:r>
      <w:r w:rsidRPr="003A22B9">
        <w:rPr>
          <w:rFonts w:ascii="Times New Roman" w:eastAsia="Times New Roman" w:hAnsi="Times New Roman" w:cs="Times New Roman"/>
          <w:lang w:val="sr-Latn-ME"/>
        </w:rPr>
        <w:t xml:space="preserve"> PRES) odnosno sindroma reverzibilne posteriorne leukoencefalopatije </w:t>
      </w:r>
      <w:r w:rsidRPr="003A22B9">
        <w:rPr>
          <w:rFonts w:ascii="Times New Roman" w:eastAsia="Times New Roman" w:hAnsi="Times New Roman" w:cs="Times New Roman"/>
          <w:lang w:val="sr-Latn-ME"/>
        </w:rPr>
        <w:lastRenderedPageBreak/>
        <w:t xml:space="preserve">(engl. </w:t>
      </w:r>
      <w:r w:rsidRPr="003A22B9">
        <w:rPr>
          <w:rFonts w:ascii="Times New Roman" w:eastAsia="Times New Roman" w:hAnsi="Times New Roman" w:cs="Times New Roman"/>
          <w:i/>
          <w:lang w:val="sr-Latn-ME"/>
        </w:rPr>
        <w:t>reversible posterior leukoencephalopathy syndrome -</w:t>
      </w:r>
      <w:r w:rsidRPr="003A22B9">
        <w:rPr>
          <w:rFonts w:ascii="Times New Roman" w:eastAsia="Times New Roman" w:hAnsi="Times New Roman" w:cs="Times New Roman"/>
          <w:lang w:val="sr-Latn-ME"/>
        </w:rPr>
        <w:t xml:space="preserve"> RPLS) u autoimunim stanjima. Znaci i simptomi obuhvatali su smetnje vida, glavobolju, epileptične napad</w:t>
      </w:r>
      <w:r w:rsidR="00E87D37"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xml:space="preserve"> i promijenjeno mentalno stanje, uz pridruženu hipertenziju ili bez nje. Dijagnozu PRES/RPLS treba potvrditi snimanjem mozga. U prijavljenim slučajevima postojali su faktori rizika za PRES/RPLS, uključujući osnovnu bolest pacijenta, hipertenziju, terapiju imunosupresivima i/ili hem</w:t>
      </w:r>
      <w:r w:rsidR="00360D41">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oterapiju.</w:t>
      </w:r>
    </w:p>
    <w:p w14:paraId="0337635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EEB7A0A"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Reaktivacija hepatitisa B </w:t>
      </w:r>
    </w:p>
    <w:p w14:paraId="2AB5C5A0" w14:textId="6421D8A4" w:rsidR="00A75B47" w:rsidRPr="003A22B9" w:rsidRDefault="00A75B47" w:rsidP="00A75B47">
      <w:pPr>
        <w:spacing w:after="0" w:line="240" w:lineRule="auto"/>
        <w:jc w:val="both"/>
        <w:rPr>
          <w:rFonts w:ascii="Times New Roman" w:eastAsia="Times New Roman" w:hAnsi="Times New Roman" w:cs="Times New Roman"/>
          <w:lang w:val="sr-Latn-ME"/>
        </w:rPr>
      </w:pPr>
      <w:r w:rsidRPr="00977A0E">
        <w:rPr>
          <w:rFonts w:ascii="Times New Roman" w:eastAsia="Times New Roman" w:hAnsi="Times New Roman" w:cs="Times New Roman"/>
          <w:lang w:val="sr-Latn-ME"/>
        </w:rPr>
        <w:t>Mali broj slučajeva reaktivacije hepatitisa B, od kojih neki sa fatalnim ishodom, prijavljen je kod pacijenata sa granulomatozom sa poliang</w:t>
      </w:r>
      <w:r w:rsidRPr="00E3082A">
        <w:rPr>
          <w:rFonts w:ascii="Times New Roman" w:eastAsia="Times New Roman" w:hAnsi="Times New Roman" w:cs="Times New Roman"/>
          <w:lang w:val="sr-Latn-ME"/>
        </w:rPr>
        <w:t>itisom i mikroskopskim poliangiitisom liječenih rituksimabom u postmarketinškom praćenju.</w:t>
      </w:r>
      <w:r w:rsidRPr="003A22B9">
        <w:rPr>
          <w:rFonts w:ascii="Times New Roman" w:eastAsia="Times New Roman" w:hAnsi="Times New Roman" w:cs="Times New Roman"/>
          <w:lang w:val="sr-Latn-ME"/>
        </w:rPr>
        <w:t xml:space="preserve"> </w:t>
      </w:r>
    </w:p>
    <w:p w14:paraId="1A6B5C9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3CB37E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Hipogamaglobulinemija</w:t>
      </w:r>
      <w:r w:rsidRPr="003A22B9">
        <w:rPr>
          <w:rFonts w:ascii="Times New Roman" w:eastAsia="Times New Roman" w:hAnsi="Times New Roman" w:cs="Times New Roman"/>
          <w:lang w:val="sr-Latn-ME"/>
        </w:rPr>
        <w:t xml:space="preserve"> </w:t>
      </w:r>
    </w:p>
    <w:p w14:paraId="462BDA0E" w14:textId="16010F1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Hipogamaglobulinemija (IgA, IgG ili IgM ispod donje granice normale) prijavljivana je kod </w:t>
      </w:r>
      <w:r w:rsidR="007D6DD7" w:rsidRPr="003A22B9">
        <w:rPr>
          <w:rFonts w:ascii="Times New Roman" w:eastAsia="Times New Roman" w:hAnsi="Times New Roman" w:cs="Times New Roman"/>
          <w:lang w:val="sr-Latn-ME"/>
        </w:rPr>
        <w:t xml:space="preserve">odraslih </w:t>
      </w:r>
      <w:r w:rsidR="002E219E" w:rsidRPr="003A22B9">
        <w:rPr>
          <w:rFonts w:ascii="Times New Roman" w:eastAsia="Times New Roman" w:hAnsi="Times New Roman" w:cs="Times New Roman"/>
          <w:lang w:val="sr-Latn-ME"/>
        </w:rPr>
        <w:t xml:space="preserve">i pedijatrijskih </w:t>
      </w:r>
      <w:r w:rsidRPr="003A22B9">
        <w:rPr>
          <w:rFonts w:ascii="Times New Roman" w:eastAsia="Times New Roman" w:hAnsi="Times New Roman" w:cs="Times New Roman"/>
          <w:lang w:val="sr-Latn-ME"/>
        </w:rPr>
        <w:t xml:space="preserve">pacijenata sa </w:t>
      </w:r>
      <w:r w:rsidR="006B6DA6" w:rsidRPr="003A22B9">
        <w:rPr>
          <w:rFonts w:ascii="Times New Roman" w:eastAsia="Times New Roman" w:hAnsi="Times New Roman" w:cs="Times New Roman"/>
          <w:lang w:val="sr-Latn-ME"/>
        </w:rPr>
        <w:t xml:space="preserve">GPA </w:t>
      </w:r>
      <w:r w:rsidR="00723356" w:rsidRPr="003A22B9">
        <w:rPr>
          <w:rFonts w:ascii="Times New Roman" w:eastAsia="Times New Roman" w:hAnsi="Times New Roman" w:cs="Times New Roman"/>
          <w:lang w:val="sr-Latn-ME"/>
        </w:rPr>
        <w:t>i</w:t>
      </w:r>
      <w:r w:rsidR="006B6DA6" w:rsidRPr="003A22B9">
        <w:rPr>
          <w:rFonts w:ascii="Times New Roman" w:eastAsia="Times New Roman" w:hAnsi="Times New Roman" w:cs="Times New Roman"/>
          <w:lang w:val="sr-Latn-ME"/>
        </w:rPr>
        <w:t xml:space="preserve"> MPA </w:t>
      </w:r>
      <w:r w:rsidR="008F2301" w:rsidRPr="003A22B9">
        <w:rPr>
          <w:rFonts w:ascii="Times New Roman" w:eastAsia="Times New Roman" w:hAnsi="Times New Roman" w:cs="Times New Roman"/>
          <w:lang w:val="sr-Latn-ME"/>
        </w:rPr>
        <w:t>liječenih rituksimabom</w:t>
      </w:r>
      <w:r w:rsidRPr="003A22B9">
        <w:rPr>
          <w:rFonts w:ascii="Times New Roman" w:eastAsia="Times New Roman" w:hAnsi="Times New Roman" w:cs="Times New Roman"/>
          <w:lang w:val="sr-Latn-ME"/>
        </w:rPr>
        <w:t xml:space="preserve">. </w:t>
      </w:r>
    </w:p>
    <w:p w14:paraId="1B5915B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3A2E406" w14:textId="1E74541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8C596D" w:rsidRPr="003A22B9">
        <w:rPr>
          <w:rFonts w:ascii="Times New Roman" w:eastAsia="Times New Roman" w:hAnsi="Times New Roman" w:cs="Times New Roman"/>
          <w:lang w:val="sr-Latn-ME"/>
        </w:rPr>
        <w:t xml:space="preserve">GPA/MPA </w:t>
      </w:r>
      <w:r w:rsidR="00FF35CA" w:rsidRPr="003A22B9">
        <w:rPr>
          <w:rFonts w:ascii="Times New Roman" w:eastAsia="Times New Roman" w:hAnsi="Times New Roman" w:cs="Times New Roman"/>
          <w:lang w:val="sr-Latn-ME"/>
        </w:rPr>
        <w:t xml:space="preserve">Studiji 1 </w:t>
      </w:r>
      <w:r w:rsidRPr="003A22B9">
        <w:rPr>
          <w:rFonts w:ascii="Times New Roman" w:eastAsia="Times New Roman" w:hAnsi="Times New Roman" w:cs="Times New Roman"/>
          <w:lang w:val="sr-Latn-ME"/>
        </w:rPr>
        <w:t xml:space="preserve">nakon 6 mjeseci, u grupi pacijenata liječenih rituksimabom 27%, 58% i 51% pacijenata koji su imali normalan nivo imunoglobulina na početku, imali su nizak nivo IgA, IgG i IgM, u poređenju sa 25%, 50% i 46% u grupi sa ciklofosfamidom. </w:t>
      </w:r>
      <w:r w:rsidR="008734F8" w:rsidRPr="003A22B9">
        <w:rPr>
          <w:rFonts w:ascii="Times New Roman" w:eastAsia="Times New Roman" w:hAnsi="Times New Roman" w:cs="Times New Roman"/>
          <w:lang w:val="sr-Latn-ME"/>
        </w:rPr>
        <w:t>Stopa svih infekcija i ozbiljnih infekcija nije se povećala nakon pojave niskih vrijednosti IgA, IgG ili IgM.</w:t>
      </w:r>
    </w:p>
    <w:p w14:paraId="5B128C2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C8C0747" w14:textId="018101A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PMingLiU" w:hAnsi="Times New Roman" w:cs="Times New Roman"/>
          <w:lang w:val="sr-Latn-ME" w:eastAsia="zh-TW"/>
        </w:rPr>
        <w:t xml:space="preserve">U </w:t>
      </w:r>
      <w:r w:rsidR="003C4FAC" w:rsidRPr="003A22B9">
        <w:rPr>
          <w:rFonts w:ascii="Times New Roman" w:eastAsia="PMingLiU" w:hAnsi="Times New Roman" w:cs="Times New Roman"/>
          <w:lang w:val="sr-Latn-ME" w:eastAsia="zh-TW"/>
        </w:rPr>
        <w:t xml:space="preserve">GPA/MPA Studiji 2 </w:t>
      </w:r>
      <w:r w:rsidRPr="003A22B9">
        <w:rPr>
          <w:rFonts w:ascii="Times New Roman" w:eastAsia="PMingLiU" w:hAnsi="Times New Roman" w:cs="Times New Roman"/>
          <w:lang w:val="sr-Latn-ME" w:eastAsia="zh-TW"/>
        </w:rPr>
        <w:t>ni u jednom trenutku ni</w:t>
      </w:r>
      <w:r w:rsidR="00E87D37" w:rsidRPr="003A22B9">
        <w:rPr>
          <w:rFonts w:ascii="Times New Roman" w:eastAsia="PMingLiU" w:hAnsi="Times New Roman" w:cs="Times New Roman"/>
          <w:lang w:val="sr-Latn-ME" w:eastAsia="zh-TW"/>
        </w:rPr>
        <w:t>je</w:t>
      </w:r>
      <w:r w:rsidRPr="003A22B9">
        <w:rPr>
          <w:rFonts w:ascii="Times New Roman" w:eastAsia="PMingLiU" w:hAnsi="Times New Roman" w:cs="Times New Roman"/>
          <w:lang w:val="sr-Latn-ME" w:eastAsia="zh-TW"/>
        </w:rPr>
        <w:t>su zapažene klinički značajne razlike između dvij</w:t>
      </w:r>
      <w:r w:rsidR="00E87D37" w:rsidRPr="003A22B9">
        <w:rPr>
          <w:rFonts w:ascii="Times New Roman" w:eastAsia="PMingLiU" w:hAnsi="Times New Roman" w:cs="Times New Roman"/>
          <w:lang w:val="sr-Latn-ME" w:eastAsia="zh-TW"/>
        </w:rPr>
        <w:t>e</w:t>
      </w:r>
      <w:r w:rsidRPr="003A22B9">
        <w:rPr>
          <w:rFonts w:ascii="Times New Roman" w:eastAsia="PMingLiU" w:hAnsi="Times New Roman" w:cs="Times New Roman"/>
          <w:lang w:val="sr-Latn-ME" w:eastAsia="zh-TW"/>
        </w:rPr>
        <w:t xml:space="preserve"> liječen</w:t>
      </w:r>
      <w:r w:rsidR="00E87D37" w:rsidRPr="003A22B9">
        <w:rPr>
          <w:rFonts w:ascii="Times New Roman" w:eastAsia="PMingLiU" w:hAnsi="Times New Roman" w:cs="Times New Roman"/>
          <w:lang w:val="sr-Latn-ME" w:eastAsia="zh-TW"/>
        </w:rPr>
        <w:t>e</w:t>
      </w:r>
      <w:r w:rsidRPr="003A22B9">
        <w:rPr>
          <w:rFonts w:ascii="Times New Roman" w:eastAsia="PMingLiU" w:hAnsi="Times New Roman" w:cs="Times New Roman"/>
          <w:lang w:val="sr-Latn-ME" w:eastAsia="zh-TW"/>
        </w:rPr>
        <w:t xml:space="preserve"> grup</w:t>
      </w:r>
      <w:r w:rsidR="00E87D37" w:rsidRPr="003A22B9">
        <w:rPr>
          <w:rFonts w:ascii="Times New Roman" w:eastAsia="PMingLiU" w:hAnsi="Times New Roman" w:cs="Times New Roman"/>
          <w:lang w:val="sr-Latn-ME" w:eastAsia="zh-TW"/>
        </w:rPr>
        <w:t>e</w:t>
      </w:r>
      <w:r w:rsidRPr="003A22B9">
        <w:rPr>
          <w:rFonts w:ascii="Times New Roman" w:eastAsia="PMingLiU" w:hAnsi="Times New Roman" w:cs="Times New Roman"/>
          <w:lang w:val="sr-Latn-ME" w:eastAsia="zh-TW"/>
        </w:rPr>
        <w:t xml:space="preserve"> kao ni sniženja vrijednosti ukupnog imunoglobulina, IgG, IgM ni IgA.</w:t>
      </w:r>
    </w:p>
    <w:p w14:paraId="6966F85F" w14:textId="0AD9EF52" w:rsidR="00C36D48" w:rsidRPr="003A22B9" w:rsidRDefault="00C36D48" w:rsidP="00C36D48">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U kliničkom ispitivanju sprovedenom kod pedijatrijskih pacijenata tokom c</w:t>
      </w:r>
      <w:r w:rsidR="006871D0"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elokupnog perioda ispitivanja 3/25 (12%) pacijenata prijavilo je hipogamaglobulinemiju, a 18 pacijenata (72%) imalo je dugotrajno (što se definisalo kao nivoi Ig-a ispod donje granice normale tokom najmanje 4 m</w:t>
      </w:r>
      <w:r w:rsidR="006871D0"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eseca) niske nivoe IgG-a (među njima je 15 pacijenata imalo i dugotrajno niske nivoe IgM-a). Tri pacijenta su primila intravensku terapiju imunoglobulinima (i.v. – IG). Na osnovu ograničenih podataka ne mogu se don</w:t>
      </w:r>
      <w:r w:rsidR="00E87D37"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eti čvrsti zaključci o tome da li su dugotrajno niski nivoi IgG-a i IgM-a i doveli do povećanog rizika od ozbiljne infekcije kod tih pacijenata. Ni</w:t>
      </w:r>
      <w:r w:rsidR="00B65E28" w:rsidRPr="003A22B9">
        <w:rPr>
          <w:rFonts w:ascii="Times New Roman" w:eastAsia="Times New Roman" w:hAnsi="Times New Roman" w:cs="Times New Roman"/>
          <w:lang w:val="it-IT"/>
        </w:rPr>
        <w:t>je</w:t>
      </w:r>
      <w:r w:rsidRPr="003A22B9">
        <w:rPr>
          <w:rFonts w:ascii="Times New Roman" w:eastAsia="Times New Roman" w:hAnsi="Times New Roman" w:cs="Times New Roman"/>
          <w:lang w:val="it-IT"/>
        </w:rPr>
        <w:t>su poznate posl</w:t>
      </w:r>
      <w:r w:rsidR="00B65E28"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edice dugotrajne deplecije B-</w:t>
      </w:r>
      <w:r w:rsidRPr="003A22B9">
        <w:rPr>
          <w:rFonts w:ascii="Times New Roman" w:eastAsia="Times New Roman" w:hAnsi="Times New Roman" w:cs="Times New Roman"/>
          <w:lang w:val="sr-Latn-RS"/>
        </w:rPr>
        <w:t>ćelija</w:t>
      </w:r>
      <w:r w:rsidRPr="003A22B9">
        <w:rPr>
          <w:rFonts w:ascii="Times New Roman" w:eastAsia="Times New Roman" w:hAnsi="Times New Roman" w:cs="Times New Roman"/>
          <w:lang w:val="it-IT"/>
        </w:rPr>
        <w:t xml:space="preserve"> kod pedijatrijskih pacijenata.</w:t>
      </w:r>
    </w:p>
    <w:p w14:paraId="24DDBB4B" w14:textId="77777777" w:rsidR="00C36D48" w:rsidRPr="003A22B9" w:rsidRDefault="00C36D48" w:rsidP="00A75B47">
      <w:pPr>
        <w:spacing w:after="0" w:line="240" w:lineRule="auto"/>
        <w:jc w:val="both"/>
        <w:rPr>
          <w:rFonts w:ascii="Times New Roman" w:eastAsia="Times New Roman" w:hAnsi="Times New Roman" w:cs="Times New Roman"/>
          <w:lang w:val="it-IT"/>
        </w:rPr>
      </w:pPr>
    </w:p>
    <w:p w14:paraId="03002269"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Neutropenija </w:t>
      </w:r>
    </w:p>
    <w:p w14:paraId="3734D409" w14:textId="4344D22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w:t>
      </w:r>
      <w:r w:rsidR="00116CF5" w:rsidRPr="003A22B9">
        <w:rPr>
          <w:rFonts w:ascii="Times New Roman" w:eastAsia="Times New Roman" w:hAnsi="Times New Roman" w:cs="Times New Roman"/>
          <w:lang w:val="sr-Latn-ME"/>
        </w:rPr>
        <w:t xml:space="preserve">GPA/MPA </w:t>
      </w:r>
      <w:r w:rsidR="00BE23B6" w:rsidRPr="003A22B9">
        <w:rPr>
          <w:rFonts w:ascii="Times New Roman" w:eastAsia="Times New Roman" w:hAnsi="Times New Roman" w:cs="Times New Roman"/>
          <w:lang w:val="sr-Latn-ME"/>
        </w:rPr>
        <w:t xml:space="preserve">Studiji 1 </w:t>
      </w:r>
      <w:r w:rsidRPr="003A22B9">
        <w:rPr>
          <w:rFonts w:ascii="Times New Roman" w:eastAsia="Times New Roman" w:hAnsi="Times New Roman" w:cs="Times New Roman"/>
          <w:lang w:val="sr-Latn-ME"/>
        </w:rPr>
        <w:t>24% pacijenata u grupi koja je primala rituksimab (jedan ciklus) i 23% pacijenata u grupi koja je primala ciklofosfamid, razvili su neutropeniju gradusa 3 ili više. Neutropenija nije bila povezana sa primjetnim povećanjem ozbiljnih infekcija kod pacijenata lije</w:t>
      </w:r>
      <w:r w:rsidR="00BD335F" w:rsidRPr="003A22B9">
        <w:rPr>
          <w:rFonts w:ascii="Times New Roman" w:eastAsia="Times New Roman" w:hAnsi="Times New Roman" w:cs="Times New Roman"/>
          <w:lang w:val="sr-Latn-ME"/>
        </w:rPr>
        <w:t xml:space="preserve">čenih rituksimabom. </w:t>
      </w:r>
    </w:p>
    <w:p w14:paraId="423F1782" w14:textId="77777777" w:rsidR="00E87D37" w:rsidRPr="003A22B9" w:rsidRDefault="00E87D37" w:rsidP="00A75B47">
      <w:pPr>
        <w:spacing w:after="0" w:line="240" w:lineRule="auto"/>
        <w:jc w:val="both"/>
        <w:rPr>
          <w:rFonts w:ascii="Times New Roman" w:eastAsia="Times New Roman" w:hAnsi="Times New Roman" w:cs="Times New Roman"/>
          <w:lang w:val="sr-Latn-ME"/>
        </w:rPr>
      </w:pPr>
    </w:p>
    <w:p w14:paraId="00B73877" w14:textId="54EF9DA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MS Mincho" w:hAnsi="Times New Roman" w:cs="Times New Roman"/>
          <w:lang w:val="sr-Latn-ME"/>
        </w:rPr>
        <w:t xml:space="preserve">U </w:t>
      </w:r>
      <w:r w:rsidR="00896311" w:rsidRPr="003A22B9">
        <w:rPr>
          <w:rFonts w:ascii="Times New Roman" w:eastAsia="MS Mincho" w:hAnsi="Times New Roman" w:cs="Times New Roman"/>
          <w:lang w:val="sr-Latn-ME"/>
        </w:rPr>
        <w:t xml:space="preserve">GPA/MPA </w:t>
      </w:r>
      <w:r w:rsidR="00C8283B" w:rsidRPr="003A22B9">
        <w:rPr>
          <w:rFonts w:ascii="Times New Roman" w:eastAsia="MS Mincho" w:hAnsi="Times New Roman" w:cs="Times New Roman"/>
          <w:lang w:val="sr-Latn-ME"/>
        </w:rPr>
        <w:t xml:space="preserve">Studiji 2 </w:t>
      </w:r>
      <w:r w:rsidRPr="003A22B9">
        <w:rPr>
          <w:rFonts w:ascii="Times New Roman" w:eastAsia="MS Mincho" w:hAnsi="Times New Roman" w:cs="Times New Roman"/>
          <w:lang w:val="sr-Latn-ME"/>
        </w:rPr>
        <w:t>incidenca neutropenije svih stepena iznosila je 0% kod pacijenata liječenih rituksimabom i 5% kod pacijenata liječenih azatioprinom.</w:t>
      </w:r>
    </w:p>
    <w:p w14:paraId="0FFDD38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7A86831"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Poremećaji kože i potkožnog tkiva </w:t>
      </w:r>
    </w:p>
    <w:p w14:paraId="32B1DABC" w14:textId="66529E6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Veoma rijetko su prijavljivani toksična epidermalana nekroliza (Lielov sidnrom) i Stevens-</w:t>
      </w:r>
      <w:r w:rsidR="00324821">
        <w:rPr>
          <w:rFonts w:ascii="Times New Roman" w:eastAsia="Times New Roman" w:hAnsi="Times New Roman" w:cs="Times New Roman"/>
          <w:lang w:val="sr-Latn-ME"/>
        </w:rPr>
        <w:t>Johnsono</w:t>
      </w:r>
      <w:r w:rsidRPr="003A22B9">
        <w:rPr>
          <w:rFonts w:ascii="Times New Roman" w:eastAsia="Times New Roman" w:hAnsi="Times New Roman" w:cs="Times New Roman"/>
          <w:lang w:val="sr-Latn-ME"/>
        </w:rPr>
        <w:t>v sindrom, od kojih neki slučajevi sa fatalnim posljedicama.</w:t>
      </w:r>
    </w:p>
    <w:p w14:paraId="6C211F9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DC602BE" w14:textId="6435FC17" w:rsidR="00A75B47" w:rsidRPr="003A22B9" w:rsidRDefault="00A75B47" w:rsidP="00A75B47">
      <w:pPr>
        <w:keepNext/>
        <w:keepLines/>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Iskustva sa primjenom u slučaju običnog pemfigusa (</w:t>
      </w:r>
      <w:r w:rsidRPr="003A22B9">
        <w:rPr>
          <w:rFonts w:ascii="Times New Roman" w:eastAsia="Times New Roman" w:hAnsi="Times New Roman" w:cs="Times New Roman"/>
          <w:i/>
          <w:u w:val="single"/>
          <w:lang w:val="sr-Latn-ME"/>
        </w:rPr>
        <w:t>pemphigus vulgaris</w:t>
      </w:r>
      <w:r w:rsidRPr="003A22B9">
        <w:rPr>
          <w:rFonts w:ascii="Times New Roman" w:eastAsia="Times New Roman" w:hAnsi="Times New Roman" w:cs="Times New Roman"/>
          <w:u w:val="single"/>
          <w:lang w:val="sr-Latn-ME"/>
        </w:rPr>
        <w:t>)</w:t>
      </w:r>
      <w:r w:rsidR="00324821">
        <w:rPr>
          <w:rFonts w:ascii="Times New Roman" w:eastAsia="Times New Roman" w:hAnsi="Times New Roman" w:cs="Times New Roman"/>
          <w:u w:val="single"/>
          <w:lang w:val="sr-Latn-ME"/>
        </w:rPr>
        <w:t xml:space="preserve"> </w:t>
      </w:r>
      <w:r w:rsidR="00324821" w:rsidRPr="003A22B9">
        <w:rPr>
          <w:rFonts w:ascii="Times New Roman" w:eastAsia="Times New Roman" w:hAnsi="Times New Roman" w:cs="Times New Roman"/>
          <w:i/>
          <w:u w:val="single"/>
          <w:lang w:val="hr-HR" w:eastAsia="ja-JP"/>
        </w:rPr>
        <w:t xml:space="preserve">u Studiji </w:t>
      </w:r>
      <w:r w:rsidR="00324821" w:rsidRPr="003A22B9">
        <w:rPr>
          <w:rFonts w:ascii="Times New Roman" w:eastAsia="Times New Roman" w:hAnsi="Times New Roman" w:cs="Times New Roman"/>
          <w:i/>
          <w:u w:val="single"/>
          <w:lang w:val="it-IT" w:eastAsia="ja-JP"/>
        </w:rPr>
        <w:t>1 kod PV-a (ML22196) i Studiji 2 kod PV-a (WA29330)</w:t>
      </w:r>
    </w:p>
    <w:p w14:paraId="40640046" w14:textId="77777777" w:rsidR="00A75B47" w:rsidRPr="003A22B9" w:rsidRDefault="00A75B47" w:rsidP="00A75B47">
      <w:pPr>
        <w:keepNext/>
        <w:keepLines/>
        <w:spacing w:after="0" w:line="240" w:lineRule="auto"/>
        <w:jc w:val="both"/>
        <w:rPr>
          <w:rFonts w:ascii="Times New Roman" w:eastAsia="Times New Roman" w:hAnsi="Times New Roman" w:cs="Times New Roman"/>
          <w:u w:val="single"/>
          <w:lang w:val="sr-Latn-ME"/>
        </w:rPr>
      </w:pPr>
    </w:p>
    <w:p w14:paraId="576B61AF" w14:textId="7ECCBB2E" w:rsidR="00A75B47" w:rsidRPr="003A22B9" w:rsidRDefault="00A75B47" w:rsidP="00A75B47">
      <w:pPr>
        <w:keepNext/>
        <w:spacing w:after="0" w:line="240" w:lineRule="auto"/>
        <w:jc w:val="both"/>
        <w:rPr>
          <w:rFonts w:ascii="Times New Roman" w:eastAsia="Times New Roman" w:hAnsi="Times New Roman" w:cs="Times New Roman"/>
          <w:i/>
          <w:u w:val="single"/>
          <w:lang w:val="sr-Latn-ME" w:eastAsia="ja-JP"/>
        </w:rPr>
      </w:pPr>
      <w:r w:rsidRPr="003A22B9">
        <w:rPr>
          <w:rFonts w:ascii="Times New Roman" w:eastAsia="Times New Roman" w:hAnsi="Times New Roman" w:cs="Times New Roman"/>
          <w:i/>
          <w:u w:val="single"/>
          <w:lang w:val="sr-Latn-ME" w:eastAsia="ja-JP"/>
        </w:rPr>
        <w:t>Sažetak bezbjednosnog profila</w:t>
      </w:r>
      <w:r w:rsidR="00CC6165" w:rsidRPr="003A22B9">
        <w:rPr>
          <w:rFonts w:ascii="Times New Roman" w:hAnsi="Times New Roman" w:cs="Times New Roman"/>
          <w:i/>
          <w:u w:val="single"/>
          <w:lang w:val="hr-HR"/>
        </w:rPr>
        <w:t xml:space="preserve"> </w:t>
      </w:r>
    </w:p>
    <w:p w14:paraId="4D8F51C3" w14:textId="77777777" w:rsidR="00A75B47" w:rsidRPr="003A22B9" w:rsidRDefault="00A75B47" w:rsidP="00A75B47">
      <w:pPr>
        <w:keepNext/>
        <w:spacing w:after="0" w:line="240" w:lineRule="auto"/>
        <w:ind w:right="1"/>
        <w:jc w:val="both"/>
        <w:rPr>
          <w:rFonts w:ascii="Times New Roman" w:eastAsia="Times New Roman" w:hAnsi="Times New Roman" w:cs="Times New Roman"/>
          <w:lang w:val="sr-Latn-ME"/>
        </w:rPr>
      </w:pPr>
    </w:p>
    <w:p w14:paraId="0E4081DB" w14:textId="33C9DB4E" w:rsidR="00A75B47" w:rsidRPr="003A22B9" w:rsidRDefault="00A75B47" w:rsidP="00A75B47">
      <w:pPr>
        <w:spacing w:after="0" w:line="240" w:lineRule="auto"/>
        <w:ind w:right="1"/>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Bezbjednosni profil rituksimaba u kombinaciji sa kratkoročnom terapijom, niskom dozom glukokortikoida u liječenju pacijenata sa običnim pemfigusom ispitivao se u randomizovanom, kontrolisanom, multicentričnom, otvorenom ispitivanju faze 3 među pacijentima sa pemfigusom, u kojem je 38 pacijenata sa običnim pemfigusom (PV) bilo randomizovano u grupu liječenu rituksimabom</w:t>
      </w:r>
      <w:r w:rsidR="004F682C" w:rsidRPr="003A22B9">
        <w:rPr>
          <w:rFonts w:ascii="Times New Roman" w:eastAsia="Times New Roman" w:hAnsi="Times New Roman" w:cs="Times New Roman"/>
          <w:lang w:val="sr-Latn-ME"/>
        </w:rPr>
        <w:t xml:space="preserve"> (PV studija 1)</w:t>
      </w:r>
      <w:r w:rsidRPr="003A22B9">
        <w:rPr>
          <w:rFonts w:ascii="Times New Roman" w:eastAsia="Times New Roman" w:hAnsi="Times New Roman" w:cs="Times New Roman"/>
          <w:lang w:val="sr-Latn-ME"/>
        </w:rPr>
        <w:t xml:space="preserve">. Pacijenti randomizovani u grupu liječenu rituksimabom primili su početnu dozu od 1000 mg i.v. na 1. dan ispitivanja i drugu dozu od 1000 mg i.v. na 15. dan ispitivanja. Doza održavanja od 500 mg i.v. primijenjena je u 12. i 18. mjesecu. Pacijenti su mogli da prime dozu od 1000 mg i.v. u trenutku relapsa </w:t>
      </w:r>
      <w:r w:rsidRPr="003A22B9">
        <w:rPr>
          <w:rFonts w:ascii="Times New Roman" w:eastAsia="Calibri" w:hAnsi="Times New Roman" w:cs="Times New Roman"/>
          <w:lang w:val="sr-Latn-ME"/>
        </w:rPr>
        <w:t xml:space="preserve">(vidjeti </w:t>
      </w:r>
      <w:r w:rsidR="00EA6A05" w:rsidRPr="003A22B9">
        <w:rPr>
          <w:rFonts w:ascii="Times New Roman" w:eastAsia="Calibri" w:hAnsi="Times New Roman" w:cs="Times New Roman"/>
          <w:lang w:val="sr-Latn-ME"/>
        </w:rPr>
        <w:t>dio</w:t>
      </w:r>
      <w:r w:rsidRPr="003A22B9">
        <w:rPr>
          <w:rFonts w:ascii="Times New Roman" w:eastAsia="Calibri" w:hAnsi="Times New Roman" w:cs="Times New Roman"/>
          <w:lang w:val="sr-Latn-ME"/>
        </w:rPr>
        <w:t> 5.1)</w:t>
      </w:r>
      <w:r w:rsidRPr="003A22B9">
        <w:rPr>
          <w:rFonts w:ascii="Times New Roman" w:eastAsia="Times New Roman" w:hAnsi="Times New Roman" w:cs="Times New Roman"/>
          <w:lang w:val="sr-Latn-ME"/>
        </w:rPr>
        <w:t>.</w:t>
      </w:r>
    </w:p>
    <w:p w14:paraId="5BC26422" w14:textId="250B5890" w:rsidR="00A75B47" w:rsidRPr="003A22B9" w:rsidRDefault="00A75B47" w:rsidP="00A75B47">
      <w:pPr>
        <w:spacing w:after="0" w:line="240" w:lineRule="auto"/>
        <w:ind w:right="1"/>
        <w:jc w:val="both"/>
        <w:rPr>
          <w:rFonts w:ascii="Times New Roman" w:eastAsia="Times New Roman" w:hAnsi="Times New Roman" w:cs="Times New Roman"/>
          <w:lang w:val="sr-Latn-ME"/>
        </w:rPr>
      </w:pPr>
    </w:p>
    <w:p w14:paraId="2B1A3948" w14:textId="0C82F0C2" w:rsidR="009B0AB2" w:rsidRPr="003A22B9" w:rsidRDefault="009B0AB2" w:rsidP="009B0AB2">
      <w:pPr>
        <w:spacing w:after="0" w:line="240" w:lineRule="auto"/>
        <w:ind w:right="1"/>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U Studiji 2 kod PV-a, koja je bilo randomizovana, dvostruko sl</w:t>
      </w:r>
      <w:r w:rsidR="000A0478"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epa, dvostruko maskirana, multicentrična studija kontrolisana aktivnim komparatorom, u kojoj su se oc</w:t>
      </w:r>
      <w:r w:rsidR="00324821">
        <w:rPr>
          <w:rFonts w:ascii="Times New Roman" w:eastAsia="Times New Roman" w:hAnsi="Times New Roman" w:cs="Times New Roman"/>
          <w:lang w:val="it-IT"/>
        </w:rPr>
        <w:t>j</w:t>
      </w:r>
      <w:r w:rsidRPr="003A22B9">
        <w:rPr>
          <w:rFonts w:ascii="Times New Roman" w:eastAsia="Times New Roman" w:hAnsi="Times New Roman" w:cs="Times New Roman"/>
          <w:lang w:val="it-IT"/>
        </w:rPr>
        <w:t>enjivale bezb</w:t>
      </w:r>
      <w:r w:rsidR="000A0478"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ednost i efikasnost rituksimaba u odnosu na mofetilmikofenolat (MMF) kod pacijenata sa um</w:t>
      </w:r>
      <w:r w:rsidR="0086527E"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erenim do teškim PV-om kojima je bilo potrebno peroralno l</w:t>
      </w:r>
      <w:r w:rsidR="0086527E"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ečenje kortikosteroidima, 67 pacijenata sa PV-om bilo je l</w:t>
      </w:r>
      <w:r w:rsidR="0086527E"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ečeno rituksimabom (početna doza od 1000 mg i.v. na 1. dan ispitivanja i druga doza od 1000 mg i.v. na 15. dan ispitivanja, koja je ponovno prim</w:t>
      </w:r>
      <w:r w:rsidR="00F607AC">
        <w:rPr>
          <w:rFonts w:ascii="Times New Roman" w:eastAsia="Times New Roman" w:hAnsi="Times New Roman" w:cs="Times New Roman"/>
          <w:lang w:val="it-IT"/>
        </w:rPr>
        <w:t>i</w:t>
      </w:r>
      <w:r w:rsidR="00031CA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enjena u 24. i 26. ned</w:t>
      </w:r>
      <w:r w:rsidR="00031CA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elji) do 52 ned</w:t>
      </w:r>
      <w:r w:rsidR="00031CA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elje (vid</w:t>
      </w:r>
      <w:r w:rsidR="00031CA4"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eti </w:t>
      </w:r>
      <w:r w:rsidR="00EA6A05" w:rsidRPr="003A22B9">
        <w:rPr>
          <w:rFonts w:ascii="Times New Roman" w:eastAsia="Times New Roman" w:hAnsi="Times New Roman" w:cs="Times New Roman"/>
          <w:lang w:val="it-IT"/>
        </w:rPr>
        <w:t>dio</w:t>
      </w:r>
      <w:r w:rsidRPr="003A22B9">
        <w:rPr>
          <w:rFonts w:ascii="Times New Roman" w:eastAsia="Times New Roman" w:hAnsi="Times New Roman" w:cs="Times New Roman"/>
          <w:lang w:val="it-IT"/>
        </w:rPr>
        <w:t xml:space="preserve"> 5.1).</w:t>
      </w:r>
    </w:p>
    <w:p w14:paraId="3F51403D" w14:textId="77777777" w:rsidR="009B0AB2" w:rsidRPr="003A22B9" w:rsidRDefault="009B0AB2" w:rsidP="00A75B47">
      <w:pPr>
        <w:spacing w:after="0" w:line="240" w:lineRule="auto"/>
        <w:ind w:right="1"/>
        <w:jc w:val="both"/>
        <w:rPr>
          <w:rFonts w:ascii="Times New Roman" w:eastAsia="Times New Roman" w:hAnsi="Times New Roman" w:cs="Times New Roman"/>
          <w:lang w:val="it-IT"/>
        </w:rPr>
      </w:pPr>
    </w:p>
    <w:p w14:paraId="453EBFE1" w14:textId="7494B759" w:rsidR="00A75B47" w:rsidRDefault="00A75B47" w:rsidP="00043DF7">
      <w:pPr>
        <w:spacing w:after="0" w:line="240" w:lineRule="auto"/>
        <w:jc w:val="both"/>
        <w:rPr>
          <w:rFonts w:ascii="Times New Roman" w:eastAsia="Times New Roman" w:hAnsi="Times New Roman" w:cs="Times New Roman"/>
          <w:lang w:val="hr-HR" w:eastAsia="ja-JP"/>
        </w:rPr>
      </w:pPr>
      <w:r w:rsidRPr="003A22B9">
        <w:rPr>
          <w:rFonts w:ascii="Times New Roman" w:eastAsia="Times New Roman" w:hAnsi="Times New Roman" w:cs="Times New Roman"/>
          <w:lang w:val="sr-Latn-ME" w:eastAsia="ja-JP"/>
        </w:rPr>
        <w:t>Bezbjednosni profil rituksimaba kod PV-</w:t>
      </w:r>
      <w:r w:rsidR="00CC1F89" w:rsidRPr="003A22B9">
        <w:rPr>
          <w:rFonts w:ascii="Times New Roman" w:eastAsia="Times New Roman" w:hAnsi="Times New Roman" w:cs="Times New Roman"/>
          <w:lang w:val="sr-Latn-ME" w:eastAsia="ja-JP"/>
        </w:rPr>
        <w:t>a</w:t>
      </w:r>
      <w:r w:rsidRPr="003A22B9">
        <w:rPr>
          <w:rFonts w:ascii="Times New Roman" w:eastAsia="Times New Roman" w:hAnsi="Times New Roman" w:cs="Times New Roman"/>
          <w:lang w:val="sr-Latn-ME" w:eastAsia="ja-JP"/>
        </w:rPr>
        <w:t xml:space="preserve"> podudarao se sa </w:t>
      </w:r>
      <w:r w:rsidR="00A94124" w:rsidRPr="003A22B9">
        <w:rPr>
          <w:rFonts w:ascii="Times New Roman" w:eastAsia="Times New Roman" w:hAnsi="Times New Roman" w:cs="Times New Roman"/>
          <w:lang w:val="sr-Latn-ME" w:eastAsia="ja-JP"/>
        </w:rPr>
        <w:t>be</w:t>
      </w:r>
      <w:r w:rsidR="00010B3E" w:rsidRPr="003A22B9">
        <w:rPr>
          <w:rFonts w:ascii="Times New Roman" w:eastAsia="Times New Roman" w:hAnsi="Times New Roman" w:cs="Times New Roman"/>
          <w:lang w:val="sr-Latn-ME" w:eastAsia="ja-JP"/>
        </w:rPr>
        <w:t>z</w:t>
      </w:r>
      <w:r w:rsidR="00A94124" w:rsidRPr="003A22B9">
        <w:rPr>
          <w:rFonts w:ascii="Times New Roman" w:eastAsia="Times New Roman" w:hAnsi="Times New Roman" w:cs="Times New Roman"/>
          <w:lang w:val="sr-Latn-ME" w:eastAsia="ja-JP"/>
        </w:rPr>
        <w:t xml:space="preserve">bjednosnim </w:t>
      </w:r>
      <w:r w:rsidRPr="003A22B9">
        <w:rPr>
          <w:rFonts w:ascii="Times New Roman" w:eastAsia="Times New Roman" w:hAnsi="Times New Roman" w:cs="Times New Roman"/>
          <w:lang w:val="sr-Latn-ME" w:eastAsia="ja-JP"/>
        </w:rPr>
        <w:t xml:space="preserve">profilom </w:t>
      </w:r>
      <w:r w:rsidR="000062A4" w:rsidRPr="003A22B9">
        <w:rPr>
          <w:rFonts w:ascii="Times New Roman" w:eastAsia="Times New Roman" w:hAnsi="Times New Roman" w:cs="Times New Roman"/>
          <w:lang w:val="it-IT" w:eastAsia="ja-JP"/>
        </w:rPr>
        <w:t>utvrđenim u drugim odobrenim indikacijama za liječenje autoimunih bolesti</w:t>
      </w:r>
      <w:r w:rsidR="000062A4" w:rsidRPr="003A22B9">
        <w:rPr>
          <w:rFonts w:ascii="Times New Roman" w:eastAsia="Times New Roman" w:hAnsi="Times New Roman" w:cs="Times New Roman"/>
          <w:lang w:val="hr-HR" w:eastAsia="ja-JP"/>
        </w:rPr>
        <w:t xml:space="preserve">. </w:t>
      </w:r>
    </w:p>
    <w:p w14:paraId="084ABB22" w14:textId="77777777" w:rsidR="00F607AC" w:rsidRPr="003A22B9" w:rsidRDefault="00F607AC" w:rsidP="00043DF7">
      <w:pPr>
        <w:spacing w:after="0" w:line="240" w:lineRule="auto"/>
        <w:jc w:val="both"/>
        <w:rPr>
          <w:rFonts w:ascii="Times New Roman" w:eastAsia="Times New Roman" w:hAnsi="Times New Roman" w:cs="Times New Roman"/>
          <w:i/>
          <w:u w:val="single"/>
          <w:lang w:val="sr-Latn-ME"/>
        </w:rPr>
      </w:pPr>
    </w:p>
    <w:p w14:paraId="1353F375" w14:textId="037B12AD" w:rsidR="00A75B47" w:rsidRPr="003A22B9" w:rsidRDefault="00A75B47" w:rsidP="00A75B47">
      <w:pPr>
        <w:keepNext/>
        <w:keepLines/>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Tabelarni prikaz neželjenih reakcija</w:t>
      </w:r>
      <w:r w:rsidR="000A1C4E" w:rsidRPr="003A22B9">
        <w:rPr>
          <w:rFonts w:ascii="Times New Roman" w:hAnsi="Times New Roman" w:cs="Times New Roman"/>
          <w:i/>
          <w:u w:val="single"/>
          <w:lang w:val="hr-HR"/>
        </w:rPr>
        <w:t xml:space="preserve"> </w:t>
      </w:r>
      <w:r w:rsidR="000A1C4E" w:rsidRPr="003A22B9">
        <w:rPr>
          <w:rFonts w:ascii="Times New Roman" w:eastAsia="Times New Roman" w:hAnsi="Times New Roman" w:cs="Times New Roman"/>
          <w:i/>
          <w:u w:val="single"/>
          <w:lang w:val="hr-HR"/>
        </w:rPr>
        <w:t>za PV Studije 1 i 2</w:t>
      </w:r>
    </w:p>
    <w:p w14:paraId="16AF8561" w14:textId="77777777" w:rsidR="00A75B47" w:rsidRPr="003A22B9" w:rsidRDefault="00A75B47" w:rsidP="00A75B47">
      <w:pPr>
        <w:keepNext/>
        <w:keepLines/>
        <w:spacing w:after="0" w:line="240" w:lineRule="auto"/>
        <w:jc w:val="both"/>
        <w:rPr>
          <w:rFonts w:ascii="Times New Roman" w:eastAsia="Times New Roman" w:hAnsi="Times New Roman" w:cs="Times New Roman"/>
          <w:i/>
          <w:u w:val="single"/>
          <w:lang w:val="sr-Latn-ME"/>
        </w:rPr>
      </w:pPr>
    </w:p>
    <w:p w14:paraId="10A464C7" w14:textId="0F35D8C9" w:rsidR="00D024FD" w:rsidRPr="003A22B9" w:rsidRDefault="00A75B47" w:rsidP="00D024FD">
      <w:pPr>
        <w:spacing w:after="0" w:line="240" w:lineRule="auto"/>
        <w:ind w:right="1"/>
        <w:jc w:val="both"/>
        <w:rPr>
          <w:rFonts w:ascii="Times New Roman" w:eastAsia="Times New Roman" w:hAnsi="Times New Roman" w:cs="Times New Roman"/>
          <w:lang w:val="hr-HR"/>
        </w:rPr>
      </w:pPr>
      <w:r w:rsidRPr="003A22B9">
        <w:rPr>
          <w:rFonts w:ascii="Times New Roman" w:eastAsia="Times New Roman" w:hAnsi="Times New Roman" w:cs="Times New Roman"/>
          <w:lang w:val="sr-Latn-ME"/>
        </w:rPr>
        <w:t xml:space="preserve">Neželjene reakcije </w:t>
      </w:r>
      <w:r w:rsidR="00DE5F8D" w:rsidRPr="003A22B9">
        <w:rPr>
          <w:rFonts w:ascii="Times New Roman" w:eastAsia="Times New Roman" w:hAnsi="Times New Roman" w:cs="Times New Roman"/>
          <w:lang w:val="hr-HR"/>
        </w:rPr>
        <w:t xml:space="preserve">iz PV Studija 1 i 2 </w:t>
      </w:r>
      <w:r w:rsidRPr="003A22B9">
        <w:rPr>
          <w:rFonts w:ascii="Times New Roman" w:eastAsia="Times New Roman" w:hAnsi="Times New Roman" w:cs="Times New Roman"/>
          <w:lang w:val="sr-Latn-ME"/>
        </w:rPr>
        <w:t xml:space="preserve">navedene u Tabeli </w:t>
      </w:r>
      <w:r w:rsidR="00EA2F0F" w:rsidRPr="003A22B9">
        <w:rPr>
          <w:rFonts w:ascii="Times New Roman" w:eastAsia="Times New Roman" w:hAnsi="Times New Roman" w:cs="Times New Roman"/>
          <w:lang w:val="sr-Latn-ME"/>
        </w:rPr>
        <w:t>7</w:t>
      </w:r>
      <w:r w:rsidR="00E87D37" w:rsidRPr="003A22B9">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w:t>
      </w:r>
      <w:r w:rsidR="00B725E5" w:rsidRPr="003A22B9">
        <w:rPr>
          <w:rFonts w:ascii="Times New Roman" w:eastAsia="Times New Roman" w:hAnsi="Times New Roman" w:cs="Times New Roman"/>
          <w:lang w:val="hr-HR"/>
        </w:rPr>
        <w:t>U PV Studiji 1, neželjene reakcije su definisane kao</w:t>
      </w:r>
      <w:r w:rsidR="00B725E5"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neželjen</w:t>
      </w:r>
      <w:r w:rsidR="000809CD" w:rsidRPr="003A22B9">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 xml:space="preserve"> događaj</w:t>
      </w:r>
      <w:r w:rsidR="000809CD" w:rsidRPr="003A22B9">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 xml:space="preserve"> čija je stopa među pacijentima sa PV-om liječenim rituksimabom iznosila </w:t>
      </w:r>
      <w:r w:rsidRPr="003A22B9">
        <w:rPr>
          <w:rFonts w:ascii="Times New Roman" w:eastAsia="Times New Roman" w:hAnsi="Times New Roman" w:cs="Times New Roman"/>
          <w:lang w:val="sr-Latn-ME"/>
        </w:rPr>
        <w:sym w:font="Symbol" w:char="F0B3"/>
      </w:r>
      <w:r w:rsidRPr="003A22B9">
        <w:rPr>
          <w:rFonts w:ascii="Times New Roman" w:eastAsia="Times New Roman" w:hAnsi="Times New Roman" w:cs="Times New Roman"/>
          <w:lang w:val="sr-Latn-ME"/>
        </w:rPr>
        <w:t xml:space="preserve"> 5% i za koje je apsolutna razlika u incidenci između grupe liječene rituksimabom i grupe liječene standardnom dozom prednizona iznosila </w:t>
      </w:r>
      <w:r w:rsidRPr="003A22B9">
        <w:rPr>
          <w:rFonts w:ascii="Times New Roman" w:eastAsia="Times New Roman" w:hAnsi="Times New Roman" w:cs="Times New Roman"/>
          <w:lang w:val="sr-Latn-ME"/>
        </w:rPr>
        <w:sym w:font="Symbol" w:char="F0B3"/>
      </w:r>
      <w:r w:rsidRPr="003A22B9">
        <w:rPr>
          <w:rFonts w:ascii="Times New Roman" w:eastAsia="Times New Roman" w:hAnsi="Times New Roman" w:cs="Times New Roman"/>
          <w:lang w:val="sr-Latn-ME"/>
        </w:rPr>
        <w:t> 2 % do 24. mjeseca. Nijedan pacijent nije prekinuo liječenje zbog neželjenih reakcija</w:t>
      </w:r>
      <w:r w:rsidR="00D024FD" w:rsidRPr="003A22B9">
        <w:rPr>
          <w:rFonts w:ascii="Times New Roman" w:hAnsi="Times New Roman" w:cs="Times New Roman"/>
          <w:lang w:val="hr-HR"/>
        </w:rPr>
        <w:t xml:space="preserve"> </w:t>
      </w:r>
      <w:r w:rsidR="00D024FD" w:rsidRPr="003A22B9">
        <w:rPr>
          <w:rFonts w:ascii="Times New Roman" w:eastAsia="Times New Roman" w:hAnsi="Times New Roman" w:cs="Times New Roman"/>
          <w:lang w:val="hr-HR"/>
        </w:rPr>
        <w:t>u Studiji 1. U PV Studiji 2 neželjene reakcije su se definisale kao neželjeni događaji koji su se javili kod ≥ 5% pacijenata u grupi l</w:t>
      </w:r>
      <w:r w:rsidR="00F607AC">
        <w:rPr>
          <w:rFonts w:ascii="Times New Roman" w:eastAsia="Times New Roman" w:hAnsi="Times New Roman" w:cs="Times New Roman"/>
          <w:lang w:val="hr-HR"/>
        </w:rPr>
        <w:t>ij</w:t>
      </w:r>
      <w:r w:rsidR="00D024FD" w:rsidRPr="003A22B9">
        <w:rPr>
          <w:rFonts w:ascii="Times New Roman" w:eastAsia="Times New Roman" w:hAnsi="Times New Roman" w:cs="Times New Roman"/>
          <w:lang w:val="hr-HR"/>
        </w:rPr>
        <w:t>ečenoj rituksimabom za koje je oc</w:t>
      </w:r>
      <w:r w:rsidR="006D176C" w:rsidRPr="003A22B9">
        <w:rPr>
          <w:rFonts w:ascii="Times New Roman" w:eastAsia="Times New Roman" w:hAnsi="Times New Roman" w:cs="Times New Roman"/>
          <w:lang w:val="hr-HR"/>
        </w:rPr>
        <w:t>ij</w:t>
      </w:r>
      <w:r w:rsidR="00D024FD" w:rsidRPr="003A22B9">
        <w:rPr>
          <w:rFonts w:ascii="Times New Roman" w:eastAsia="Times New Roman" w:hAnsi="Times New Roman" w:cs="Times New Roman"/>
          <w:lang w:val="hr-HR"/>
        </w:rPr>
        <w:t>enjeno da su povezani sa terapijom.</w:t>
      </w:r>
    </w:p>
    <w:p w14:paraId="2267EF74" w14:textId="77777777" w:rsidR="008F2301" w:rsidRPr="003A22B9" w:rsidRDefault="008F2301" w:rsidP="008F2301">
      <w:pPr>
        <w:spacing w:after="0" w:line="240" w:lineRule="auto"/>
        <w:ind w:right="1"/>
        <w:jc w:val="both"/>
        <w:rPr>
          <w:rFonts w:ascii="Times New Roman" w:eastAsia="Times New Roman" w:hAnsi="Times New Roman" w:cs="Times New Roman"/>
          <w:lang w:val="sr-Latn-ME"/>
        </w:rPr>
      </w:pPr>
    </w:p>
    <w:p w14:paraId="0859E8FF" w14:textId="07D38F46" w:rsidR="00A75B47" w:rsidRPr="003A22B9" w:rsidRDefault="00A75B47" w:rsidP="008F2301">
      <w:pPr>
        <w:spacing w:after="0" w:line="240" w:lineRule="auto"/>
        <w:ind w:right="1"/>
        <w:jc w:val="both"/>
        <w:rPr>
          <w:rFonts w:ascii="Times New Roman" w:eastAsia="Calibri" w:hAnsi="Times New Roman" w:cs="Times New Roman"/>
          <w:b/>
          <w:bCs/>
          <w:lang w:val="sr-Latn-ME"/>
        </w:rPr>
      </w:pPr>
      <w:r w:rsidRPr="003A22B9">
        <w:rPr>
          <w:rFonts w:ascii="Times New Roman" w:eastAsia="Calibri" w:hAnsi="Times New Roman" w:cs="Times New Roman"/>
          <w:b/>
          <w:bCs/>
          <w:lang w:val="sr-Latn-ME"/>
        </w:rPr>
        <w:t xml:space="preserve">Tabela </w:t>
      </w:r>
      <w:r w:rsidR="001D1139" w:rsidRPr="003A22B9">
        <w:rPr>
          <w:rFonts w:ascii="Times New Roman" w:eastAsia="Calibri" w:hAnsi="Times New Roman" w:cs="Times New Roman"/>
          <w:b/>
          <w:bCs/>
          <w:lang w:val="sr-Latn-ME"/>
        </w:rPr>
        <w:t>7</w:t>
      </w:r>
      <w:r w:rsidRPr="003A22B9">
        <w:rPr>
          <w:rFonts w:ascii="Times New Roman" w:eastAsia="Times New Roman" w:hAnsi="Times New Roman" w:cs="Times New Roman"/>
          <w:b/>
          <w:lang w:val="sr-Latn-ME"/>
        </w:rPr>
        <w:tab/>
      </w:r>
      <w:r w:rsidRPr="003A22B9">
        <w:rPr>
          <w:rFonts w:ascii="Times New Roman" w:eastAsia="Calibri" w:hAnsi="Times New Roman" w:cs="Times New Roman"/>
          <w:b/>
          <w:bCs/>
          <w:lang w:val="sr-Latn-ME"/>
        </w:rPr>
        <w:t xml:space="preserve">Neželjene reakcije zabilježene kod pacijenata sa običnim pemfigusom liječenih rituksimabom u </w:t>
      </w:r>
      <w:r w:rsidR="00F43248" w:rsidRPr="003A22B9">
        <w:rPr>
          <w:rFonts w:ascii="Times New Roman" w:eastAsia="Calibri" w:hAnsi="Times New Roman" w:cs="Times New Roman"/>
          <w:b/>
          <w:bCs/>
          <w:lang w:val="sr-Latn-ME"/>
        </w:rPr>
        <w:t xml:space="preserve">PV studiji 1 </w:t>
      </w:r>
      <w:r w:rsidR="00E87D37" w:rsidRPr="003A22B9">
        <w:rPr>
          <w:rFonts w:ascii="Times New Roman" w:eastAsia="Calibri" w:hAnsi="Times New Roman" w:cs="Times New Roman"/>
          <w:b/>
          <w:bCs/>
          <w:lang w:val="sr-Latn-ME"/>
        </w:rPr>
        <w:t>(</w:t>
      </w:r>
      <w:r w:rsidRPr="003A22B9">
        <w:rPr>
          <w:rFonts w:ascii="Times New Roman" w:eastAsia="Calibri" w:hAnsi="Times New Roman" w:cs="Times New Roman"/>
          <w:b/>
          <w:bCs/>
          <w:lang w:val="sr-Latn-ME"/>
        </w:rPr>
        <w:t>do 24. mjeseca</w:t>
      </w:r>
      <w:r w:rsidR="00E87D37" w:rsidRPr="003A22B9">
        <w:rPr>
          <w:rFonts w:ascii="Times New Roman" w:eastAsia="Calibri" w:hAnsi="Times New Roman" w:cs="Times New Roman"/>
          <w:b/>
          <w:bCs/>
          <w:lang w:val="sr-Latn-ME"/>
        </w:rPr>
        <w:t>)</w:t>
      </w:r>
      <w:r w:rsidR="007A1819" w:rsidRPr="003A22B9">
        <w:rPr>
          <w:rFonts w:ascii="Times New Roman" w:eastAsia="Calibri" w:hAnsi="Times New Roman" w:cs="Times New Roman"/>
          <w:b/>
          <w:bCs/>
          <w:lang w:val="sr-Latn-ME"/>
        </w:rPr>
        <w:t xml:space="preserve"> i u PV studiji 2 </w:t>
      </w:r>
      <w:r w:rsidR="00C20A62" w:rsidRPr="003A22B9">
        <w:rPr>
          <w:rFonts w:ascii="Times New Roman" w:eastAsia="Calibri" w:hAnsi="Times New Roman" w:cs="Times New Roman"/>
          <w:b/>
          <w:bCs/>
          <w:lang w:val="sr-Latn-ME"/>
        </w:rPr>
        <w:t>(do 52. nedjelje)</w:t>
      </w:r>
      <w:r w:rsidR="006164B1" w:rsidRPr="003A22B9">
        <w:rPr>
          <w:rFonts w:ascii="Times New Roman" w:eastAsia="Calibri" w:hAnsi="Times New Roman" w:cs="Times New Roman"/>
          <w:b/>
          <w:bCs/>
          <w:lang w:val="sr-Latn-ME"/>
        </w:rPr>
        <w:t xml:space="preserve"> ili tokom postmarketinškog praćenja</w:t>
      </w:r>
    </w:p>
    <w:p w14:paraId="7C4C266C" w14:textId="79F0BBA7" w:rsidR="00BD335F" w:rsidRPr="003A22B9" w:rsidRDefault="00BD335F" w:rsidP="008F2301">
      <w:pPr>
        <w:spacing w:after="0" w:line="240" w:lineRule="auto"/>
        <w:ind w:right="1"/>
        <w:jc w:val="both"/>
        <w:rPr>
          <w:rFonts w:ascii="Times New Roman" w:eastAsia="Calibri" w:hAnsi="Times New Roman" w:cs="Times New Roman"/>
          <w:b/>
          <w:bCs/>
          <w:lang w:val="sr-Latn-ME"/>
        </w:rPr>
      </w:pPr>
    </w:p>
    <w:tbl>
      <w:tblPr>
        <w:tblStyle w:val="TableGrid"/>
        <w:tblW w:w="5000" w:type="pct"/>
        <w:tblLook w:val="04A0" w:firstRow="1" w:lastRow="0" w:firstColumn="1" w:lastColumn="0" w:noHBand="0" w:noVBand="1"/>
      </w:tblPr>
      <w:tblGrid>
        <w:gridCol w:w="2770"/>
        <w:gridCol w:w="2089"/>
        <w:gridCol w:w="2102"/>
        <w:gridCol w:w="2100"/>
      </w:tblGrid>
      <w:tr w:rsidR="00C444FC" w:rsidRPr="003A22B9" w14:paraId="5934B567" w14:textId="5DE137C8" w:rsidTr="003A22B9">
        <w:tc>
          <w:tcPr>
            <w:tcW w:w="1528" w:type="pct"/>
          </w:tcPr>
          <w:p w14:paraId="1AF6F21F" w14:textId="77777777" w:rsidR="00C444FC" w:rsidRPr="003A22B9" w:rsidRDefault="00C444FC" w:rsidP="00081B53">
            <w:pPr>
              <w:ind w:right="1"/>
              <w:jc w:val="both"/>
              <w:rPr>
                <w:rFonts w:ascii="Times New Roman" w:eastAsia="Calibri" w:hAnsi="Times New Roman" w:cs="Times New Roman"/>
                <w:b/>
                <w:bCs/>
                <w:lang w:val="hr-HR"/>
              </w:rPr>
            </w:pPr>
            <w:r w:rsidRPr="003A22B9">
              <w:rPr>
                <w:rFonts w:ascii="Times New Roman" w:eastAsia="Calibri" w:hAnsi="Times New Roman" w:cs="Times New Roman"/>
                <w:b/>
                <w:bCs/>
                <w:lang w:val="hr-HR"/>
              </w:rPr>
              <w:t xml:space="preserve">MedDRA klasifikacija sistema </w:t>
            </w:r>
          </w:p>
          <w:p w14:paraId="0EB355FF" w14:textId="77777777" w:rsidR="00C444FC" w:rsidRPr="003A22B9" w:rsidRDefault="00C444FC" w:rsidP="00081B53">
            <w:pPr>
              <w:ind w:right="1"/>
              <w:jc w:val="both"/>
              <w:rPr>
                <w:rFonts w:ascii="Times New Roman" w:eastAsia="Calibri" w:hAnsi="Times New Roman" w:cs="Times New Roman"/>
                <w:b/>
                <w:bCs/>
                <w:lang w:val="hr-HR"/>
              </w:rPr>
            </w:pPr>
            <w:r w:rsidRPr="003A22B9">
              <w:rPr>
                <w:rFonts w:ascii="Times New Roman" w:eastAsia="Calibri" w:hAnsi="Times New Roman" w:cs="Times New Roman"/>
                <w:b/>
                <w:bCs/>
                <w:lang w:val="hr-HR"/>
              </w:rPr>
              <w:t>organa</w:t>
            </w:r>
          </w:p>
        </w:tc>
        <w:tc>
          <w:tcPr>
            <w:tcW w:w="1153" w:type="pct"/>
          </w:tcPr>
          <w:p w14:paraId="10F6DD19" w14:textId="77777777" w:rsidR="00C444FC" w:rsidRPr="003A22B9" w:rsidRDefault="00C444FC" w:rsidP="00081B53">
            <w:pPr>
              <w:ind w:right="1"/>
              <w:jc w:val="both"/>
              <w:rPr>
                <w:rFonts w:ascii="Times New Roman" w:eastAsia="Calibri" w:hAnsi="Times New Roman" w:cs="Times New Roman"/>
                <w:b/>
                <w:bCs/>
                <w:lang w:val="sr-Latn-RS"/>
              </w:rPr>
            </w:pPr>
            <w:r w:rsidRPr="003A22B9">
              <w:rPr>
                <w:rFonts w:ascii="Times New Roman" w:eastAsia="Calibri" w:hAnsi="Times New Roman" w:cs="Times New Roman"/>
                <w:b/>
                <w:bCs/>
                <w:lang w:val="hr-HR"/>
              </w:rPr>
              <w:t xml:space="preserve">Veoma </w:t>
            </w:r>
            <w:r w:rsidRPr="003A22B9">
              <w:rPr>
                <w:rFonts w:ascii="Times New Roman" w:eastAsia="Calibri" w:hAnsi="Times New Roman" w:cs="Times New Roman"/>
                <w:b/>
                <w:bCs/>
                <w:lang w:val="sr-Latn-RS"/>
              </w:rPr>
              <w:t>često</w:t>
            </w:r>
          </w:p>
        </w:tc>
        <w:tc>
          <w:tcPr>
            <w:tcW w:w="1160" w:type="pct"/>
          </w:tcPr>
          <w:p w14:paraId="698CCA2B" w14:textId="77777777" w:rsidR="00C444FC" w:rsidRPr="003A22B9" w:rsidRDefault="00C444FC" w:rsidP="00081B53">
            <w:pPr>
              <w:ind w:right="1"/>
              <w:jc w:val="both"/>
              <w:rPr>
                <w:rFonts w:ascii="Times New Roman" w:eastAsia="Calibri" w:hAnsi="Times New Roman" w:cs="Times New Roman"/>
                <w:b/>
                <w:bCs/>
                <w:lang w:val="hr-HR"/>
              </w:rPr>
            </w:pPr>
            <w:r w:rsidRPr="003A22B9">
              <w:rPr>
                <w:rFonts w:ascii="Times New Roman" w:eastAsia="Calibri" w:hAnsi="Times New Roman" w:cs="Times New Roman"/>
                <w:b/>
                <w:bCs/>
                <w:lang w:val="hr-HR"/>
              </w:rPr>
              <w:t>Često</w:t>
            </w:r>
          </w:p>
        </w:tc>
        <w:tc>
          <w:tcPr>
            <w:tcW w:w="1159" w:type="pct"/>
          </w:tcPr>
          <w:p w14:paraId="2425E8EC" w14:textId="27A2E1EC" w:rsidR="00C444FC" w:rsidRPr="003A22B9" w:rsidRDefault="00C444FC" w:rsidP="00081B53">
            <w:pPr>
              <w:ind w:right="1"/>
              <w:jc w:val="both"/>
              <w:rPr>
                <w:rFonts w:ascii="Times New Roman" w:eastAsia="Calibri" w:hAnsi="Times New Roman" w:cs="Times New Roman"/>
                <w:b/>
                <w:bCs/>
                <w:lang w:val="hr-HR"/>
              </w:rPr>
            </w:pPr>
            <w:r w:rsidRPr="003A22B9">
              <w:rPr>
                <w:rFonts w:ascii="Times New Roman" w:eastAsia="Calibri" w:hAnsi="Times New Roman" w:cs="Times New Roman"/>
                <w:b/>
                <w:bCs/>
                <w:lang w:val="hr-HR"/>
              </w:rPr>
              <w:t>Nepoznato</w:t>
            </w:r>
          </w:p>
        </w:tc>
      </w:tr>
      <w:tr w:rsidR="00C444FC" w:rsidRPr="003A22B9" w14:paraId="0A849D18" w14:textId="5D656379" w:rsidTr="003A22B9">
        <w:tc>
          <w:tcPr>
            <w:tcW w:w="1528" w:type="pct"/>
          </w:tcPr>
          <w:p w14:paraId="56200BD4"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Infekcije i infestacije</w:t>
            </w:r>
          </w:p>
        </w:tc>
        <w:tc>
          <w:tcPr>
            <w:tcW w:w="1153" w:type="pct"/>
          </w:tcPr>
          <w:p w14:paraId="2672B4EF"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infekcija gornjih disajnih puteva</w:t>
            </w:r>
          </w:p>
        </w:tc>
        <w:tc>
          <w:tcPr>
            <w:tcW w:w="1160" w:type="pct"/>
          </w:tcPr>
          <w:p w14:paraId="19940467"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infekcija virusom herpesa</w:t>
            </w:r>
          </w:p>
          <w:p w14:paraId="5E799325"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herpes zoster</w:t>
            </w:r>
          </w:p>
          <w:p w14:paraId="790EE754"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oralni herpes</w:t>
            </w:r>
          </w:p>
          <w:p w14:paraId="4BCD6924"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konjunktivitis</w:t>
            </w:r>
          </w:p>
          <w:p w14:paraId="22476C03"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nazofaringitis</w:t>
            </w:r>
          </w:p>
          <w:p w14:paraId="29077214"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oralna kandidijaza</w:t>
            </w:r>
          </w:p>
          <w:p w14:paraId="1DB02B94"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infekcija mokraćnih puteva</w:t>
            </w:r>
          </w:p>
        </w:tc>
        <w:tc>
          <w:tcPr>
            <w:tcW w:w="1159" w:type="pct"/>
          </w:tcPr>
          <w:p w14:paraId="15A60C93" w14:textId="1FCA614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ozbiljna virusna infekcija</w:t>
            </w:r>
            <w:r w:rsidR="000932A1">
              <w:rPr>
                <w:rFonts w:ascii="Times New Roman" w:eastAsia="Calibri" w:hAnsi="Times New Roman" w:cs="Times New Roman"/>
                <w:vertAlign w:val="superscript"/>
                <w:lang w:val="hr-HR"/>
              </w:rPr>
              <w:t xml:space="preserve">2    </w:t>
            </w:r>
            <w:r w:rsidR="00F607AC">
              <w:rPr>
                <w:rFonts w:ascii="Times New Roman" w:eastAsia="Calibri" w:hAnsi="Times New Roman" w:cs="Times New Roman"/>
                <w:lang w:val="hr-HR"/>
              </w:rPr>
              <w:t>e</w:t>
            </w:r>
            <w:r w:rsidR="000932A1" w:rsidRPr="00B7374A">
              <w:rPr>
                <w:rFonts w:ascii="Times New Roman" w:eastAsia="Calibri" w:hAnsi="Times New Roman" w:cs="Times New Roman"/>
                <w:lang w:val="hr-HR"/>
              </w:rPr>
              <w:t>nterovirusni meningoencefalitis</w:t>
            </w:r>
            <w:r w:rsidR="000932A1" w:rsidRPr="000932A1">
              <w:rPr>
                <w:rFonts w:ascii="Times New Roman" w:eastAsia="Calibri" w:hAnsi="Times New Roman" w:cs="Times New Roman"/>
                <w:vertAlign w:val="superscript"/>
                <w:lang w:val="hr-HR"/>
              </w:rPr>
              <w:t>1</w:t>
            </w:r>
          </w:p>
        </w:tc>
      </w:tr>
      <w:tr w:rsidR="00C444FC" w:rsidRPr="003A22B9" w14:paraId="74BDD860" w14:textId="1E3D214C" w:rsidTr="003A22B9">
        <w:tc>
          <w:tcPr>
            <w:tcW w:w="1528" w:type="pct"/>
          </w:tcPr>
          <w:p w14:paraId="1C8B4A68"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it-IT"/>
              </w:rPr>
              <w:t>Neoplazme – benigne, maligne i neodređene (uključujući ciste i polipe)</w:t>
            </w:r>
          </w:p>
        </w:tc>
        <w:tc>
          <w:tcPr>
            <w:tcW w:w="1153" w:type="pct"/>
          </w:tcPr>
          <w:p w14:paraId="26B24376" w14:textId="77777777" w:rsidR="00C444FC" w:rsidRPr="003A22B9" w:rsidRDefault="00C444FC" w:rsidP="00081B53">
            <w:pPr>
              <w:ind w:right="1"/>
              <w:jc w:val="both"/>
              <w:rPr>
                <w:rFonts w:ascii="Times New Roman" w:eastAsia="Calibri" w:hAnsi="Times New Roman" w:cs="Times New Roman"/>
                <w:lang w:val="hr-HR"/>
              </w:rPr>
            </w:pPr>
          </w:p>
        </w:tc>
        <w:tc>
          <w:tcPr>
            <w:tcW w:w="1160" w:type="pct"/>
          </w:tcPr>
          <w:p w14:paraId="1FD2CAE1"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kožni papilom</w:t>
            </w:r>
          </w:p>
        </w:tc>
        <w:tc>
          <w:tcPr>
            <w:tcW w:w="1159" w:type="pct"/>
          </w:tcPr>
          <w:p w14:paraId="2A33156F" w14:textId="77777777" w:rsidR="00C444FC" w:rsidRPr="003A22B9" w:rsidRDefault="00C444FC" w:rsidP="00081B53">
            <w:pPr>
              <w:ind w:right="1"/>
              <w:jc w:val="both"/>
              <w:rPr>
                <w:rFonts w:ascii="Times New Roman" w:eastAsia="Calibri" w:hAnsi="Times New Roman" w:cs="Times New Roman"/>
              </w:rPr>
            </w:pPr>
          </w:p>
        </w:tc>
      </w:tr>
      <w:tr w:rsidR="00C444FC" w:rsidRPr="003A22B9" w14:paraId="6D0055ED" w14:textId="04CA1F57" w:rsidTr="003A22B9">
        <w:tc>
          <w:tcPr>
            <w:tcW w:w="1528" w:type="pct"/>
          </w:tcPr>
          <w:p w14:paraId="3222D562"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Psihijatrijski poremećaji</w:t>
            </w:r>
          </w:p>
        </w:tc>
        <w:tc>
          <w:tcPr>
            <w:tcW w:w="1153" w:type="pct"/>
          </w:tcPr>
          <w:p w14:paraId="7D60E9D6" w14:textId="5C78EE48"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perzistentni depresivni poremećaj</w:t>
            </w:r>
          </w:p>
        </w:tc>
        <w:tc>
          <w:tcPr>
            <w:tcW w:w="1160" w:type="pct"/>
          </w:tcPr>
          <w:p w14:paraId="09F7C3C3" w14:textId="77777777" w:rsidR="00C444FC" w:rsidRPr="003A22B9" w:rsidRDefault="00C444FC" w:rsidP="00081B53">
            <w:pPr>
              <w:ind w:right="1"/>
              <w:jc w:val="both"/>
              <w:rPr>
                <w:rFonts w:ascii="Times New Roman" w:eastAsia="Calibri" w:hAnsi="Times New Roman" w:cs="Times New Roman"/>
              </w:rPr>
            </w:pPr>
            <w:r w:rsidRPr="003A22B9">
              <w:rPr>
                <w:rFonts w:ascii="Times New Roman" w:eastAsia="Calibri" w:hAnsi="Times New Roman" w:cs="Times New Roman"/>
              </w:rPr>
              <w:t>velika depresija</w:t>
            </w:r>
          </w:p>
          <w:p w14:paraId="011DBDA0"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razdražljivost</w:t>
            </w:r>
          </w:p>
        </w:tc>
        <w:tc>
          <w:tcPr>
            <w:tcW w:w="1159" w:type="pct"/>
          </w:tcPr>
          <w:p w14:paraId="5921022E" w14:textId="77777777" w:rsidR="00C444FC" w:rsidRPr="003A22B9" w:rsidRDefault="00C444FC" w:rsidP="00081B53">
            <w:pPr>
              <w:ind w:right="1"/>
              <w:jc w:val="both"/>
              <w:rPr>
                <w:rFonts w:ascii="Times New Roman" w:eastAsia="Calibri" w:hAnsi="Times New Roman" w:cs="Times New Roman"/>
              </w:rPr>
            </w:pPr>
          </w:p>
        </w:tc>
      </w:tr>
      <w:tr w:rsidR="00C444FC" w:rsidRPr="003A22B9" w14:paraId="59AD8328" w14:textId="625D73AE" w:rsidTr="003A22B9">
        <w:tc>
          <w:tcPr>
            <w:tcW w:w="1528" w:type="pct"/>
          </w:tcPr>
          <w:p w14:paraId="40ED44C8"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Poremećaji nervnog sistema</w:t>
            </w:r>
          </w:p>
        </w:tc>
        <w:tc>
          <w:tcPr>
            <w:tcW w:w="1153" w:type="pct"/>
          </w:tcPr>
          <w:p w14:paraId="69749062"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glavobolja</w:t>
            </w:r>
          </w:p>
        </w:tc>
        <w:tc>
          <w:tcPr>
            <w:tcW w:w="1160" w:type="pct"/>
          </w:tcPr>
          <w:p w14:paraId="37D3F6BD" w14:textId="265A149A"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vrtoglavica</w:t>
            </w:r>
          </w:p>
        </w:tc>
        <w:tc>
          <w:tcPr>
            <w:tcW w:w="1159" w:type="pct"/>
          </w:tcPr>
          <w:p w14:paraId="362BB34D" w14:textId="77777777" w:rsidR="00C444FC" w:rsidRPr="003A22B9" w:rsidRDefault="00C444FC" w:rsidP="00081B53">
            <w:pPr>
              <w:ind w:right="1"/>
              <w:jc w:val="both"/>
              <w:rPr>
                <w:rFonts w:ascii="Times New Roman" w:eastAsia="Calibri" w:hAnsi="Times New Roman" w:cs="Times New Roman"/>
                <w:lang w:val="hr-HR"/>
              </w:rPr>
            </w:pPr>
          </w:p>
        </w:tc>
      </w:tr>
      <w:tr w:rsidR="00C444FC" w:rsidRPr="003A22B9" w14:paraId="302C4EFC" w14:textId="458A69B0" w:rsidTr="003A22B9">
        <w:tc>
          <w:tcPr>
            <w:tcW w:w="1528" w:type="pct"/>
          </w:tcPr>
          <w:p w14:paraId="708D6ED8"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Kardiološki poremećaji</w:t>
            </w:r>
          </w:p>
        </w:tc>
        <w:tc>
          <w:tcPr>
            <w:tcW w:w="1153" w:type="pct"/>
          </w:tcPr>
          <w:p w14:paraId="7CE24216" w14:textId="77777777" w:rsidR="00C444FC" w:rsidRPr="003A22B9" w:rsidRDefault="00C444FC" w:rsidP="00081B53">
            <w:pPr>
              <w:ind w:right="1"/>
              <w:jc w:val="both"/>
              <w:rPr>
                <w:rFonts w:ascii="Times New Roman" w:eastAsia="Calibri" w:hAnsi="Times New Roman" w:cs="Times New Roman"/>
                <w:lang w:val="hr-HR"/>
              </w:rPr>
            </w:pPr>
          </w:p>
        </w:tc>
        <w:tc>
          <w:tcPr>
            <w:tcW w:w="1160" w:type="pct"/>
          </w:tcPr>
          <w:p w14:paraId="0F0E3C4F"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tahikardija</w:t>
            </w:r>
          </w:p>
        </w:tc>
        <w:tc>
          <w:tcPr>
            <w:tcW w:w="1159" w:type="pct"/>
          </w:tcPr>
          <w:p w14:paraId="6A05612C" w14:textId="77777777" w:rsidR="00C444FC" w:rsidRPr="003A22B9" w:rsidRDefault="00C444FC" w:rsidP="00081B53">
            <w:pPr>
              <w:ind w:right="1"/>
              <w:jc w:val="both"/>
              <w:rPr>
                <w:rFonts w:ascii="Times New Roman" w:eastAsia="Calibri" w:hAnsi="Times New Roman" w:cs="Times New Roman"/>
              </w:rPr>
            </w:pPr>
          </w:p>
        </w:tc>
      </w:tr>
      <w:tr w:rsidR="00C444FC" w:rsidRPr="003A22B9" w14:paraId="63020103" w14:textId="6B6DC5D3" w:rsidTr="003A22B9">
        <w:tc>
          <w:tcPr>
            <w:tcW w:w="1528" w:type="pct"/>
          </w:tcPr>
          <w:p w14:paraId="2EDEDA70"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Gastrointestinalni poremećaji</w:t>
            </w:r>
          </w:p>
        </w:tc>
        <w:tc>
          <w:tcPr>
            <w:tcW w:w="1153" w:type="pct"/>
          </w:tcPr>
          <w:p w14:paraId="366EB9B4" w14:textId="77777777" w:rsidR="00C444FC" w:rsidRPr="003A22B9" w:rsidRDefault="00C444FC" w:rsidP="00081B53">
            <w:pPr>
              <w:ind w:right="1"/>
              <w:jc w:val="both"/>
              <w:rPr>
                <w:rFonts w:ascii="Times New Roman" w:eastAsia="Calibri" w:hAnsi="Times New Roman" w:cs="Times New Roman"/>
                <w:lang w:val="hr-HR"/>
              </w:rPr>
            </w:pPr>
          </w:p>
        </w:tc>
        <w:tc>
          <w:tcPr>
            <w:tcW w:w="1160" w:type="pct"/>
          </w:tcPr>
          <w:p w14:paraId="50D6FF03" w14:textId="17CA8FE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it-IT"/>
              </w:rPr>
              <w:t>bol u gornjem dijelu abdomena</w:t>
            </w:r>
          </w:p>
        </w:tc>
        <w:tc>
          <w:tcPr>
            <w:tcW w:w="1159" w:type="pct"/>
          </w:tcPr>
          <w:p w14:paraId="6D4B1E9E" w14:textId="77777777" w:rsidR="00C444FC" w:rsidRPr="003A22B9" w:rsidRDefault="00C444FC" w:rsidP="00081B53">
            <w:pPr>
              <w:ind w:right="1"/>
              <w:jc w:val="both"/>
              <w:rPr>
                <w:rFonts w:ascii="Times New Roman" w:eastAsia="Calibri" w:hAnsi="Times New Roman" w:cs="Times New Roman"/>
                <w:lang w:val="it-IT"/>
              </w:rPr>
            </w:pPr>
          </w:p>
        </w:tc>
      </w:tr>
      <w:tr w:rsidR="00C444FC" w:rsidRPr="003A22B9" w14:paraId="5715F9B4" w14:textId="75E2940C" w:rsidTr="003A22B9">
        <w:tc>
          <w:tcPr>
            <w:tcW w:w="1528" w:type="pct"/>
          </w:tcPr>
          <w:p w14:paraId="5EEDB1A5"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it-IT"/>
              </w:rPr>
              <w:t>Poremećaji kože i potkožnog tkiva</w:t>
            </w:r>
          </w:p>
        </w:tc>
        <w:tc>
          <w:tcPr>
            <w:tcW w:w="1153" w:type="pct"/>
          </w:tcPr>
          <w:p w14:paraId="5FC4F3D0"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alopecija</w:t>
            </w:r>
          </w:p>
        </w:tc>
        <w:tc>
          <w:tcPr>
            <w:tcW w:w="1160" w:type="pct"/>
          </w:tcPr>
          <w:p w14:paraId="21CA497B" w14:textId="77777777" w:rsidR="00C444FC" w:rsidRPr="003A22B9" w:rsidRDefault="00C444FC" w:rsidP="00081B53">
            <w:pPr>
              <w:ind w:right="1"/>
              <w:jc w:val="both"/>
              <w:rPr>
                <w:rFonts w:ascii="Times New Roman" w:eastAsia="Calibri" w:hAnsi="Times New Roman" w:cs="Times New Roman"/>
              </w:rPr>
            </w:pPr>
            <w:r w:rsidRPr="003A22B9">
              <w:rPr>
                <w:rFonts w:ascii="Times New Roman" w:eastAsia="Calibri" w:hAnsi="Times New Roman" w:cs="Times New Roman"/>
              </w:rPr>
              <w:t>svrab</w:t>
            </w:r>
          </w:p>
          <w:p w14:paraId="6871C222" w14:textId="77777777" w:rsidR="00C444FC" w:rsidRPr="003A22B9" w:rsidRDefault="00C444FC" w:rsidP="00081B53">
            <w:pPr>
              <w:ind w:right="1"/>
              <w:jc w:val="both"/>
              <w:rPr>
                <w:rFonts w:ascii="Times New Roman" w:eastAsia="Calibri" w:hAnsi="Times New Roman" w:cs="Times New Roman"/>
              </w:rPr>
            </w:pPr>
            <w:r w:rsidRPr="003A22B9">
              <w:rPr>
                <w:rFonts w:ascii="Times New Roman" w:eastAsia="Calibri" w:hAnsi="Times New Roman" w:cs="Times New Roman"/>
              </w:rPr>
              <w:t>urtikarija</w:t>
            </w:r>
          </w:p>
          <w:p w14:paraId="6F317302" w14:textId="77777777" w:rsidR="00C444FC" w:rsidRPr="003A22B9" w:rsidRDefault="00C444FC" w:rsidP="00081B53">
            <w:pPr>
              <w:ind w:right="1"/>
              <w:jc w:val="both"/>
              <w:rPr>
                <w:rFonts w:ascii="Times New Roman" w:eastAsia="Calibri" w:hAnsi="Times New Roman" w:cs="Times New Roman"/>
              </w:rPr>
            </w:pPr>
            <w:r w:rsidRPr="003A22B9">
              <w:rPr>
                <w:rFonts w:ascii="Times New Roman" w:eastAsia="Calibri" w:hAnsi="Times New Roman" w:cs="Times New Roman"/>
              </w:rPr>
              <w:t>poremećaj kože</w:t>
            </w:r>
          </w:p>
        </w:tc>
        <w:tc>
          <w:tcPr>
            <w:tcW w:w="1159" w:type="pct"/>
          </w:tcPr>
          <w:p w14:paraId="10568BEB" w14:textId="77777777" w:rsidR="00C444FC" w:rsidRPr="003A22B9" w:rsidRDefault="00C444FC" w:rsidP="00081B53">
            <w:pPr>
              <w:ind w:right="1"/>
              <w:jc w:val="both"/>
              <w:rPr>
                <w:rFonts w:ascii="Times New Roman" w:eastAsia="Calibri" w:hAnsi="Times New Roman" w:cs="Times New Roman"/>
              </w:rPr>
            </w:pPr>
          </w:p>
        </w:tc>
      </w:tr>
      <w:tr w:rsidR="00C444FC" w:rsidRPr="003A22B9" w14:paraId="09EF309C" w14:textId="63427E13" w:rsidTr="003A22B9">
        <w:tc>
          <w:tcPr>
            <w:tcW w:w="1528" w:type="pct"/>
          </w:tcPr>
          <w:p w14:paraId="0119507A"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hr-HR"/>
              </w:rPr>
              <w:t>Poremećaji mišićno-koštanog sistema i vezivnog tkiva</w:t>
            </w:r>
          </w:p>
        </w:tc>
        <w:tc>
          <w:tcPr>
            <w:tcW w:w="1153" w:type="pct"/>
          </w:tcPr>
          <w:p w14:paraId="433102E1" w14:textId="77777777" w:rsidR="00C444FC" w:rsidRPr="003A22B9" w:rsidRDefault="00C444FC" w:rsidP="00081B53">
            <w:pPr>
              <w:ind w:right="1"/>
              <w:jc w:val="both"/>
              <w:rPr>
                <w:rFonts w:ascii="Times New Roman" w:eastAsia="Calibri" w:hAnsi="Times New Roman" w:cs="Times New Roman"/>
                <w:lang w:val="hr-HR"/>
              </w:rPr>
            </w:pPr>
          </w:p>
        </w:tc>
        <w:tc>
          <w:tcPr>
            <w:tcW w:w="1160" w:type="pct"/>
          </w:tcPr>
          <w:p w14:paraId="4A48522C" w14:textId="77777777" w:rsidR="00C444FC" w:rsidRPr="003A22B9" w:rsidRDefault="00C444FC" w:rsidP="00081B53">
            <w:pPr>
              <w:ind w:right="1"/>
              <w:jc w:val="both"/>
              <w:rPr>
                <w:rFonts w:ascii="Times New Roman" w:eastAsia="Calibri" w:hAnsi="Times New Roman" w:cs="Times New Roman"/>
                <w:lang w:val="it-IT"/>
              </w:rPr>
            </w:pPr>
            <w:r w:rsidRPr="003A22B9">
              <w:rPr>
                <w:rFonts w:ascii="Times New Roman" w:eastAsia="Calibri" w:hAnsi="Times New Roman" w:cs="Times New Roman"/>
                <w:lang w:val="it-IT"/>
              </w:rPr>
              <w:t>bol u kostima i mišićima</w:t>
            </w:r>
          </w:p>
          <w:p w14:paraId="53853E85" w14:textId="77777777" w:rsidR="00C444FC" w:rsidRPr="003A22B9" w:rsidRDefault="00C444FC" w:rsidP="00081B53">
            <w:pPr>
              <w:ind w:right="1"/>
              <w:jc w:val="both"/>
              <w:rPr>
                <w:rFonts w:ascii="Times New Roman" w:eastAsia="Calibri" w:hAnsi="Times New Roman" w:cs="Times New Roman"/>
                <w:lang w:val="it-IT"/>
              </w:rPr>
            </w:pPr>
            <w:r w:rsidRPr="003A22B9">
              <w:rPr>
                <w:rFonts w:ascii="Times New Roman" w:eastAsia="Calibri" w:hAnsi="Times New Roman" w:cs="Times New Roman"/>
                <w:lang w:val="it-IT"/>
              </w:rPr>
              <w:t>artralgija</w:t>
            </w:r>
          </w:p>
          <w:p w14:paraId="39BC5AAB"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it-IT"/>
              </w:rPr>
              <w:t>bol u leđima</w:t>
            </w:r>
          </w:p>
        </w:tc>
        <w:tc>
          <w:tcPr>
            <w:tcW w:w="1159" w:type="pct"/>
          </w:tcPr>
          <w:p w14:paraId="08EB9897" w14:textId="77777777" w:rsidR="00C444FC" w:rsidRPr="003A22B9" w:rsidRDefault="00C444FC" w:rsidP="00081B53">
            <w:pPr>
              <w:ind w:right="1"/>
              <w:jc w:val="both"/>
              <w:rPr>
                <w:rFonts w:ascii="Times New Roman" w:eastAsia="Calibri" w:hAnsi="Times New Roman" w:cs="Times New Roman"/>
                <w:lang w:val="it-IT"/>
              </w:rPr>
            </w:pPr>
          </w:p>
        </w:tc>
      </w:tr>
      <w:tr w:rsidR="00C444FC" w:rsidRPr="003A22B9" w14:paraId="25BD9CB8" w14:textId="51498BBB" w:rsidTr="003A22B9">
        <w:tc>
          <w:tcPr>
            <w:tcW w:w="1528" w:type="pct"/>
          </w:tcPr>
          <w:p w14:paraId="38288606" w14:textId="50E51503"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it-IT"/>
              </w:rPr>
              <w:t>Opšti poremećaji i reakcije na mjestu primjene</w:t>
            </w:r>
          </w:p>
        </w:tc>
        <w:tc>
          <w:tcPr>
            <w:tcW w:w="1153" w:type="pct"/>
          </w:tcPr>
          <w:p w14:paraId="05AA543F" w14:textId="77777777" w:rsidR="00C444FC" w:rsidRPr="003A22B9" w:rsidRDefault="00C444FC" w:rsidP="00081B53">
            <w:pPr>
              <w:ind w:right="1"/>
              <w:jc w:val="both"/>
              <w:rPr>
                <w:rFonts w:ascii="Times New Roman" w:eastAsia="Calibri" w:hAnsi="Times New Roman" w:cs="Times New Roman"/>
                <w:lang w:val="hr-HR"/>
              </w:rPr>
            </w:pPr>
          </w:p>
        </w:tc>
        <w:tc>
          <w:tcPr>
            <w:tcW w:w="1160" w:type="pct"/>
          </w:tcPr>
          <w:p w14:paraId="726EB3F9" w14:textId="77777777" w:rsidR="00C444FC" w:rsidRPr="003A22B9" w:rsidRDefault="00C444FC" w:rsidP="00081B53">
            <w:pPr>
              <w:ind w:right="1"/>
              <w:jc w:val="both"/>
              <w:rPr>
                <w:rFonts w:ascii="Times New Roman" w:eastAsia="Calibri" w:hAnsi="Times New Roman" w:cs="Times New Roman"/>
              </w:rPr>
            </w:pPr>
            <w:r w:rsidRPr="003A22B9">
              <w:rPr>
                <w:rFonts w:ascii="Times New Roman" w:eastAsia="Calibri" w:hAnsi="Times New Roman" w:cs="Times New Roman"/>
              </w:rPr>
              <w:t>umor</w:t>
            </w:r>
          </w:p>
          <w:p w14:paraId="1BFB556A" w14:textId="77777777" w:rsidR="00C444FC" w:rsidRPr="003A22B9" w:rsidRDefault="00C444FC" w:rsidP="00081B53">
            <w:pPr>
              <w:ind w:right="1"/>
              <w:jc w:val="both"/>
              <w:rPr>
                <w:rFonts w:ascii="Times New Roman" w:eastAsia="Calibri" w:hAnsi="Times New Roman" w:cs="Times New Roman"/>
              </w:rPr>
            </w:pPr>
            <w:r w:rsidRPr="003A22B9">
              <w:rPr>
                <w:rFonts w:ascii="Times New Roman" w:eastAsia="Calibri" w:hAnsi="Times New Roman" w:cs="Times New Roman"/>
              </w:rPr>
              <w:t>astenija</w:t>
            </w:r>
          </w:p>
          <w:p w14:paraId="14088406"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lastRenderedPageBreak/>
              <w:t>povišena temeratura</w:t>
            </w:r>
          </w:p>
        </w:tc>
        <w:tc>
          <w:tcPr>
            <w:tcW w:w="1159" w:type="pct"/>
          </w:tcPr>
          <w:p w14:paraId="0D826B97" w14:textId="77777777" w:rsidR="00C444FC" w:rsidRPr="003A22B9" w:rsidRDefault="00C444FC" w:rsidP="00081B53">
            <w:pPr>
              <w:ind w:right="1"/>
              <w:jc w:val="both"/>
              <w:rPr>
                <w:rFonts w:ascii="Times New Roman" w:eastAsia="Calibri" w:hAnsi="Times New Roman" w:cs="Times New Roman"/>
              </w:rPr>
            </w:pPr>
          </w:p>
        </w:tc>
      </w:tr>
      <w:tr w:rsidR="00C444FC" w:rsidRPr="003A22B9" w14:paraId="316265D7" w14:textId="5F662D7C" w:rsidTr="003A22B9">
        <w:tc>
          <w:tcPr>
            <w:tcW w:w="1528" w:type="pct"/>
          </w:tcPr>
          <w:p w14:paraId="7631FDB5" w14:textId="77777777"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lang w:val="it-IT"/>
              </w:rPr>
              <w:lastRenderedPageBreak/>
              <w:t>Povrede, trovanja i proceduralne komplikacije</w:t>
            </w:r>
          </w:p>
        </w:tc>
        <w:tc>
          <w:tcPr>
            <w:tcW w:w="1153" w:type="pct"/>
          </w:tcPr>
          <w:p w14:paraId="76DEF1CD" w14:textId="0ACFB226" w:rsidR="00C444FC" w:rsidRPr="003A22B9"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rPr>
              <w:t xml:space="preserve">reakcije povezane sa </w:t>
            </w:r>
            <w:r w:rsidR="000932A1" w:rsidRPr="003A22B9">
              <w:rPr>
                <w:rFonts w:ascii="Times New Roman" w:eastAsia="Calibri" w:hAnsi="Times New Roman" w:cs="Times New Roman"/>
              </w:rPr>
              <w:t>infuzijom</w:t>
            </w:r>
            <w:r w:rsidR="000932A1">
              <w:rPr>
                <w:rFonts w:ascii="Times New Roman" w:eastAsia="Calibri" w:hAnsi="Times New Roman" w:cs="Times New Roman"/>
                <w:vertAlign w:val="superscript"/>
              </w:rPr>
              <w:t>3</w:t>
            </w:r>
            <w:r w:rsidRPr="003A22B9">
              <w:rPr>
                <w:rFonts w:ascii="Times New Roman" w:eastAsia="Calibri" w:hAnsi="Times New Roman" w:cs="Times New Roman"/>
              </w:rPr>
              <w:t>*</w:t>
            </w:r>
          </w:p>
        </w:tc>
        <w:tc>
          <w:tcPr>
            <w:tcW w:w="1160" w:type="pct"/>
          </w:tcPr>
          <w:p w14:paraId="61EF38C9" w14:textId="77777777" w:rsidR="00C444FC" w:rsidRPr="003A22B9" w:rsidRDefault="00C444FC" w:rsidP="00081B53">
            <w:pPr>
              <w:ind w:right="1"/>
              <w:jc w:val="both"/>
              <w:rPr>
                <w:rFonts w:ascii="Times New Roman" w:eastAsia="Calibri" w:hAnsi="Times New Roman" w:cs="Times New Roman"/>
                <w:lang w:val="hr-HR"/>
              </w:rPr>
            </w:pPr>
          </w:p>
        </w:tc>
        <w:tc>
          <w:tcPr>
            <w:tcW w:w="1159" w:type="pct"/>
          </w:tcPr>
          <w:p w14:paraId="6DEBDFA3" w14:textId="77777777" w:rsidR="00C444FC" w:rsidRPr="003A22B9" w:rsidRDefault="00C444FC" w:rsidP="00081B53">
            <w:pPr>
              <w:ind w:right="1"/>
              <w:jc w:val="both"/>
              <w:rPr>
                <w:rFonts w:ascii="Times New Roman" w:eastAsia="Calibri" w:hAnsi="Times New Roman" w:cs="Times New Roman"/>
                <w:lang w:val="hr-HR"/>
              </w:rPr>
            </w:pPr>
          </w:p>
        </w:tc>
      </w:tr>
      <w:tr w:rsidR="00C444FC" w:rsidRPr="003A22B9" w14:paraId="698C65A0" w14:textId="0CEF5825" w:rsidTr="003A22B9">
        <w:tc>
          <w:tcPr>
            <w:tcW w:w="3841" w:type="pct"/>
            <w:gridSpan w:val="3"/>
          </w:tcPr>
          <w:p w14:paraId="6850254C" w14:textId="77777777" w:rsidR="00C444FC" w:rsidRPr="003A22B9" w:rsidRDefault="00C444FC" w:rsidP="00081B53">
            <w:pPr>
              <w:ind w:right="1"/>
              <w:jc w:val="both"/>
              <w:rPr>
                <w:rFonts w:ascii="Times New Roman" w:eastAsia="Calibri" w:hAnsi="Times New Roman" w:cs="Times New Roman"/>
                <w:b/>
                <w:bCs/>
                <w:lang w:val="hr-HR"/>
              </w:rPr>
            </w:pPr>
          </w:p>
          <w:p w14:paraId="7291EBBD" w14:textId="391630E3" w:rsidR="000932A1" w:rsidRDefault="00C444FC" w:rsidP="00081B53">
            <w:pPr>
              <w:ind w:right="1"/>
              <w:jc w:val="both"/>
              <w:rPr>
                <w:rFonts w:ascii="Times New Roman" w:eastAsia="Calibri" w:hAnsi="Times New Roman" w:cs="Times New Roman"/>
                <w:lang w:val="hr-HR"/>
              </w:rPr>
            </w:pPr>
            <w:r w:rsidRPr="003A22B9">
              <w:rPr>
                <w:rFonts w:ascii="Times New Roman" w:eastAsia="Calibri" w:hAnsi="Times New Roman" w:cs="Times New Roman"/>
                <w:vertAlign w:val="superscript"/>
                <w:lang w:val="hr-HR"/>
              </w:rPr>
              <w:t>1</w:t>
            </w:r>
            <w:r w:rsidRPr="003A22B9">
              <w:rPr>
                <w:rFonts w:ascii="Times New Roman" w:eastAsia="Calibri" w:hAnsi="Times New Roman" w:cs="Times New Roman"/>
                <w:lang w:val="hr-HR"/>
              </w:rPr>
              <w:t>Prim</w:t>
            </w:r>
            <w:r w:rsidR="00F607AC">
              <w:rPr>
                <w:rFonts w:ascii="Times New Roman" w:eastAsia="Calibri" w:hAnsi="Times New Roman" w:cs="Times New Roman"/>
                <w:lang w:val="hr-HR"/>
              </w:rPr>
              <w:t>ij</w:t>
            </w:r>
            <w:r w:rsidRPr="003A22B9">
              <w:rPr>
                <w:rFonts w:ascii="Times New Roman" w:eastAsia="Calibri" w:hAnsi="Times New Roman" w:cs="Times New Roman"/>
                <w:lang w:val="hr-HR"/>
              </w:rPr>
              <w:t xml:space="preserve">ećeno tokom postmarketinškog praćenja. </w:t>
            </w:r>
          </w:p>
          <w:p w14:paraId="796CABFE" w14:textId="3202947F" w:rsidR="00C444FC" w:rsidRPr="003A22B9" w:rsidRDefault="000932A1" w:rsidP="00081B53">
            <w:pPr>
              <w:ind w:right="1"/>
              <w:jc w:val="both"/>
              <w:rPr>
                <w:rFonts w:ascii="Times New Roman" w:eastAsia="Calibri" w:hAnsi="Times New Roman" w:cs="Times New Roman"/>
                <w:lang w:val="hr-HR"/>
              </w:rPr>
            </w:pPr>
            <w:r>
              <w:rPr>
                <w:rFonts w:ascii="Times New Roman" w:eastAsia="Calibri" w:hAnsi="Times New Roman" w:cs="Times New Roman"/>
                <w:vertAlign w:val="superscript"/>
                <w:lang w:val="hr-HR"/>
              </w:rPr>
              <w:t xml:space="preserve">2 </w:t>
            </w:r>
            <w:r w:rsidR="00C444FC" w:rsidRPr="003A22B9">
              <w:rPr>
                <w:rFonts w:ascii="Times New Roman" w:eastAsia="Calibri" w:hAnsi="Times New Roman" w:cs="Times New Roman"/>
                <w:lang w:val="hr-HR"/>
              </w:rPr>
              <w:t>Vid</w:t>
            </w:r>
            <w:r w:rsidR="00F607AC">
              <w:rPr>
                <w:rFonts w:ascii="Times New Roman" w:eastAsia="Calibri" w:hAnsi="Times New Roman" w:cs="Times New Roman"/>
                <w:lang w:val="hr-HR"/>
              </w:rPr>
              <w:t>j</w:t>
            </w:r>
            <w:r w:rsidR="00C444FC" w:rsidRPr="003A22B9">
              <w:rPr>
                <w:rFonts w:ascii="Times New Roman" w:eastAsia="Calibri" w:hAnsi="Times New Roman" w:cs="Times New Roman"/>
                <w:lang w:val="hr-HR"/>
              </w:rPr>
              <w:t xml:space="preserve">eti </w:t>
            </w:r>
            <w:r w:rsidR="00F607AC">
              <w:rPr>
                <w:rFonts w:ascii="Times New Roman" w:eastAsia="Calibri" w:hAnsi="Times New Roman" w:cs="Times New Roman"/>
                <w:lang w:val="hr-HR"/>
              </w:rPr>
              <w:t>dio</w:t>
            </w:r>
            <w:r w:rsidR="00C444FC" w:rsidRPr="003A22B9">
              <w:rPr>
                <w:rFonts w:ascii="Times New Roman" w:eastAsia="Calibri" w:hAnsi="Times New Roman" w:cs="Times New Roman"/>
                <w:lang w:val="hr-HR"/>
              </w:rPr>
              <w:t xml:space="preserve"> o infekcijama ispod.</w:t>
            </w:r>
          </w:p>
          <w:p w14:paraId="26E9B562" w14:textId="5CF2119A" w:rsidR="00C444FC" w:rsidRPr="003A22B9" w:rsidRDefault="000932A1" w:rsidP="00081B53">
            <w:pPr>
              <w:ind w:right="1"/>
              <w:jc w:val="both"/>
              <w:rPr>
                <w:rFonts w:ascii="Times New Roman" w:eastAsia="Calibri" w:hAnsi="Times New Roman" w:cs="Times New Roman"/>
                <w:lang w:val="hr-HR"/>
              </w:rPr>
            </w:pPr>
            <w:r>
              <w:rPr>
                <w:rFonts w:ascii="Times New Roman" w:eastAsia="Calibri" w:hAnsi="Times New Roman" w:cs="Times New Roman"/>
                <w:b/>
                <w:bCs/>
                <w:vertAlign w:val="superscript"/>
                <w:lang w:val="hr-HR"/>
              </w:rPr>
              <w:t>3</w:t>
            </w:r>
            <w:r w:rsidR="00C444FC" w:rsidRPr="003A22B9">
              <w:rPr>
                <w:rFonts w:ascii="Times New Roman" w:eastAsia="Calibri" w:hAnsi="Times New Roman" w:cs="Times New Roman"/>
                <w:b/>
                <w:bCs/>
                <w:lang w:val="hr-HR"/>
              </w:rPr>
              <w:t xml:space="preserve">*  </w:t>
            </w:r>
            <w:r w:rsidR="00C444FC" w:rsidRPr="003A22B9">
              <w:rPr>
                <w:rFonts w:ascii="Times New Roman" w:eastAsia="Calibri" w:hAnsi="Times New Roman" w:cs="Times New Roman"/>
                <w:lang w:val="hr-HR"/>
              </w:rPr>
              <w:t>Reakcije povezane sa infuzijom u PV Studiji 1 uključivale su simptome prijavljene pri sljedećoj planiranoj posjeti nakon svake infuzije, kao i neželjena dejstva koja su se pojavila na dan primjene infuzije ili jedan dan nakon njene primjene. Najčešći simptomi reakcija povezanih sa infuzijom/preporučeni pojmovi u PV Studiji 1 uključivali su glavobolju, jezu, visok krvni pritisak, mučninu, asteniju i bol.</w:t>
            </w:r>
          </w:p>
          <w:p w14:paraId="6EE046FE" w14:textId="77777777" w:rsidR="00C444FC" w:rsidRPr="003A22B9" w:rsidRDefault="00C444FC" w:rsidP="00081B53">
            <w:pPr>
              <w:ind w:right="1"/>
              <w:jc w:val="both"/>
              <w:rPr>
                <w:rFonts w:ascii="Times New Roman" w:eastAsia="Calibri" w:hAnsi="Times New Roman" w:cs="Times New Roman"/>
                <w:lang w:val="hr-HR"/>
              </w:rPr>
            </w:pPr>
          </w:p>
          <w:p w14:paraId="2D1068AC" w14:textId="77777777" w:rsidR="00C444FC" w:rsidRPr="003A22B9" w:rsidRDefault="00C444FC" w:rsidP="00081B53">
            <w:pPr>
              <w:ind w:right="1"/>
              <w:jc w:val="both"/>
              <w:rPr>
                <w:rFonts w:ascii="Times New Roman" w:eastAsia="Calibri" w:hAnsi="Times New Roman" w:cs="Times New Roman"/>
                <w:b/>
                <w:bCs/>
                <w:lang w:val="hr-HR"/>
              </w:rPr>
            </w:pPr>
            <w:r w:rsidRPr="003A22B9">
              <w:rPr>
                <w:rFonts w:ascii="Times New Roman" w:eastAsia="Calibri" w:hAnsi="Times New Roman" w:cs="Times New Roman"/>
                <w:lang w:val="hr-HR"/>
              </w:rPr>
              <w:t>Najčešći simptomi reakcija povezanih sa infuzijom/preporučeni pojmovi u PV Studiji 2 bili su dispneja, eritem, hiperhidroza, navale crvenila/navale vrućine, hipotenzija/nizak krvni pritisak i osip/pruritički osip.</w:t>
            </w:r>
          </w:p>
        </w:tc>
        <w:tc>
          <w:tcPr>
            <w:tcW w:w="1159" w:type="pct"/>
          </w:tcPr>
          <w:p w14:paraId="55153485" w14:textId="77777777" w:rsidR="00C444FC" w:rsidRPr="003A22B9" w:rsidRDefault="00C444FC" w:rsidP="00081B53">
            <w:pPr>
              <w:ind w:right="1"/>
              <w:jc w:val="both"/>
              <w:rPr>
                <w:rFonts w:ascii="Times New Roman" w:eastAsia="Calibri" w:hAnsi="Times New Roman" w:cs="Times New Roman"/>
                <w:b/>
                <w:bCs/>
                <w:lang w:val="hr-HR"/>
              </w:rPr>
            </w:pPr>
          </w:p>
        </w:tc>
      </w:tr>
    </w:tbl>
    <w:p w14:paraId="3E2AF4EC" w14:textId="77777777" w:rsidR="00A75B47" w:rsidRPr="003A22B9" w:rsidRDefault="00A75B47" w:rsidP="00A75B47">
      <w:pPr>
        <w:keepNext/>
        <w:keepLines/>
        <w:spacing w:after="0" w:line="240" w:lineRule="auto"/>
        <w:contextualSpacing/>
        <w:jc w:val="both"/>
        <w:rPr>
          <w:rFonts w:ascii="Times New Roman" w:eastAsia="Times New Roman" w:hAnsi="Times New Roman" w:cs="Times New Roman"/>
          <w:i/>
          <w:color w:val="000000"/>
          <w:u w:val="single"/>
          <w:lang w:val="sr-Latn-ME"/>
        </w:rPr>
      </w:pPr>
    </w:p>
    <w:p w14:paraId="1102CFD0" w14:textId="77777777" w:rsidR="00A75B47" w:rsidRPr="003A22B9" w:rsidRDefault="00A75B47" w:rsidP="00A75B47">
      <w:pPr>
        <w:keepNext/>
        <w:keepLines/>
        <w:spacing w:after="0" w:line="240" w:lineRule="auto"/>
        <w:contextualSpacing/>
        <w:jc w:val="both"/>
        <w:rPr>
          <w:rFonts w:ascii="Times New Roman" w:eastAsia="Times New Roman" w:hAnsi="Times New Roman" w:cs="Times New Roman"/>
          <w:i/>
          <w:color w:val="000000"/>
          <w:u w:val="single"/>
          <w:lang w:val="sr-Latn-ME"/>
        </w:rPr>
      </w:pPr>
      <w:r w:rsidRPr="003A22B9">
        <w:rPr>
          <w:rFonts w:ascii="Times New Roman" w:eastAsia="Times New Roman" w:hAnsi="Times New Roman" w:cs="Times New Roman"/>
          <w:i/>
          <w:color w:val="000000"/>
          <w:u w:val="single"/>
          <w:lang w:val="sr-Latn-ME"/>
        </w:rPr>
        <w:t>Opis odabranih neželjenih reakcija</w:t>
      </w:r>
    </w:p>
    <w:p w14:paraId="33EB1C61" w14:textId="77777777" w:rsidR="00A75B47" w:rsidRPr="003A22B9" w:rsidRDefault="00A75B47" w:rsidP="00A75B47">
      <w:pPr>
        <w:keepNext/>
        <w:spacing w:after="0" w:line="240" w:lineRule="auto"/>
        <w:ind w:right="-448"/>
        <w:contextualSpacing/>
        <w:jc w:val="both"/>
        <w:rPr>
          <w:rFonts w:ascii="Times New Roman" w:eastAsia="Times New Roman" w:hAnsi="Times New Roman" w:cs="Times New Roman"/>
          <w:i/>
          <w:lang w:val="sr-Latn-ME"/>
        </w:rPr>
      </w:pPr>
    </w:p>
    <w:p w14:paraId="5DAC8975" w14:textId="77777777" w:rsidR="00A75B47" w:rsidRPr="003A22B9" w:rsidRDefault="00A75B47" w:rsidP="00A75B47">
      <w:pPr>
        <w:keepNext/>
        <w:spacing w:after="0" w:line="240" w:lineRule="auto"/>
        <w:ind w:right="-448"/>
        <w:contextualSpacing/>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Reakcije povezane sa infuzijom</w:t>
      </w:r>
    </w:p>
    <w:p w14:paraId="3F222DA3" w14:textId="33BAAD9B" w:rsidR="00A75B47" w:rsidRPr="003A22B9" w:rsidRDefault="007B7D2B" w:rsidP="00A75B47">
      <w:pPr>
        <w:spacing w:after="0" w:line="240" w:lineRule="auto"/>
        <w:ind w:right="1"/>
        <w:contextualSpacing/>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PV Studiji 1 </w:t>
      </w:r>
      <w:r w:rsidR="00A65E77" w:rsidRPr="003A22B9">
        <w:rPr>
          <w:rFonts w:ascii="Times New Roman" w:eastAsia="Times New Roman" w:hAnsi="Times New Roman" w:cs="Times New Roman"/>
          <w:lang w:val="sr-Latn-ME"/>
        </w:rPr>
        <w:t>r</w:t>
      </w:r>
      <w:r w:rsidR="00A75B47" w:rsidRPr="003A22B9">
        <w:rPr>
          <w:rFonts w:ascii="Times New Roman" w:eastAsia="Times New Roman" w:hAnsi="Times New Roman" w:cs="Times New Roman"/>
          <w:lang w:val="sr-Latn-ME"/>
        </w:rPr>
        <w:t>eakcije povezane sa infuzijom bile su česte (58%)</w:t>
      </w:r>
      <w:r w:rsidR="00345D7F" w:rsidRPr="003A22B9">
        <w:rPr>
          <w:rFonts w:ascii="Times New Roman" w:eastAsia="Times New Roman" w:hAnsi="Times New Roman" w:cs="Times New Roman"/>
          <w:lang w:val="sr-Latn-ME"/>
        </w:rPr>
        <w:t>.</w:t>
      </w:r>
      <w:r w:rsidR="00A75B47" w:rsidRPr="003A22B9">
        <w:rPr>
          <w:rFonts w:ascii="Times New Roman" w:eastAsia="Times New Roman" w:hAnsi="Times New Roman" w:cs="Times New Roman"/>
          <w:lang w:val="sr-Latn-ME"/>
        </w:rPr>
        <w:t xml:space="preserve"> Gotovo sve reakcije povezane sa infuzijom bile su blage do umjerene težine. Udio pacijenata koji su imali reakciju povezanu sa infuzijom iznosio je 29% (11 pacijenata) prilikom prve infuzije, 40% (15 pacijenata) prilikom druge, 13% (5 pacijenata) prilikom treće i 10% (4 pacijenta) prilikom četvrte infuzije. Nijedan pacijent nije prekinuo liječenje zbog reakcija povezanih sa infuzijom. Vrsta i težina simptoma reakcija povezanih sa infuzijom bile su slične kao i kod pacijenata sa reumatoidnim artritisom i GPA/MPA.</w:t>
      </w:r>
    </w:p>
    <w:p w14:paraId="1D3DA1C8" w14:textId="0A32D1DB" w:rsidR="00A75B47" w:rsidRPr="003A22B9" w:rsidRDefault="00A75B47" w:rsidP="00A75B47">
      <w:pPr>
        <w:spacing w:after="0" w:line="240" w:lineRule="auto"/>
        <w:contextualSpacing/>
        <w:jc w:val="both"/>
        <w:rPr>
          <w:rFonts w:ascii="Times New Roman" w:eastAsia="Times New Roman" w:hAnsi="Times New Roman" w:cs="Times New Roman"/>
          <w:i/>
          <w:lang w:val="sr-Latn-ME"/>
        </w:rPr>
      </w:pPr>
    </w:p>
    <w:p w14:paraId="30916011" w14:textId="131D723A" w:rsidR="003C42A2" w:rsidRPr="003A22B9" w:rsidRDefault="003C42A2" w:rsidP="003C42A2">
      <w:pPr>
        <w:spacing w:after="0" w:line="240" w:lineRule="auto"/>
        <w:contextualSpacing/>
        <w:jc w:val="both"/>
        <w:rPr>
          <w:rFonts w:ascii="Times New Roman" w:eastAsia="Times New Roman" w:hAnsi="Times New Roman" w:cs="Times New Roman"/>
          <w:iCs/>
          <w:lang w:val="it-IT"/>
        </w:rPr>
      </w:pPr>
      <w:r w:rsidRPr="003A22B9">
        <w:rPr>
          <w:rFonts w:ascii="Times New Roman" w:eastAsia="Times New Roman" w:hAnsi="Times New Roman" w:cs="Times New Roman"/>
          <w:iCs/>
          <w:lang w:val="it-IT"/>
        </w:rPr>
        <w:t xml:space="preserve">U PV Studiji 2 reakcije povezane sa infuzijom prvenstveno su se javljale kod prve infuzije i njihova se učestalost smanjivala sa </w:t>
      </w:r>
      <w:r w:rsidR="00073650" w:rsidRPr="003A22B9">
        <w:rPr>
          <w:rFonts w:ascii="Times New Roman" w:eastAsia="Times New Roman" w:hAnsi="Times New Roman" w:cs="Times New Roman"/>
          <w:iCs/>
          <w:lang w:val="it-IT"/>
        </w:rPr>
        <w:t>sljedećim</w:t>
      </w:r>
      <w:r w:rsidRPr="003A22B9">
        <w:rPr>
          <w:rFonts w:ascii="Times New Roman" w:eastAsia="Times New Roman" w:hAnsi="Times New Roman" w:cs="Times New Roman"/>
          <w:iCs/>
          <w:lang w:val="it-IT"/>
        </w:rPr>
        <w:t xml:space="preserve"> infuzijama: ud</w:t>
      </w:r>
      <w:r w:rsidR="00073650" w:rsidRPr="003A22B9">
        <w:rPr>
          <w:rFonts w:ascii="Times New Roman" w:eastAsia="Times New Roman" w:hAnsi="Times New Roman" w:cs="Times New Roman"/>
          <w:iCs/>
          <w:lang w:val="it-IT"/>
        </w:rPr>
        <w:t>i</w:t>
      </w:r>
      <w:r w:rsidRPr="003A22B9">
        <w:rPr>
          <w:rFonts w:ascii="Times New Roman" w:eastAsia="Times New Roman" w:hAnsi="Times New Roman" w:cs="Times New Roman"/>
          <w:iCs/>
          <w:lang w:val="it-IT"/>
        </w:rPr>
        <w:t xml:space="preserve">o pacijenata koji su imali reakciju povezanu sa infuzijom iznosio je 17,9% kod prve infuzije, 4,5% kod druge, 3% kod treće te 3% kod četvrte infuzije. </w:t>
      </w:r>
      <w:r w:rsidR="00073650" w:rsidRPr="003A22B9">
        <w:rPr>
          <w:rFonts w:ascii="Times New Roman" w:eastAsia="Times New Roman" w:hAnsi="Times New Roman" w:cs="Times New Roman"/>
          <w:iCs/>
          <w:lang w:val="it-IT"/>
        </w:rPr>
        <w:t>Kod</w:t>
      </w:r>
      <w:r w:rsidRPr="003A22B9">
        <w:rPr>
          <w:rFonts w:ascii="Times New Roman" w:eastAsia="Times New Roman" w:hAnsi="Times New Roman" w:cs="Times New Roman"/>
          <w:iCs/>
          <w:lang w:val="it-IT"/>
        </w:rPr>
        <w:t xml:space="preserve"> 11/15 pacijenata koji su doživ</w:t>
      </w:r>
      <w:r w:rsidR="0015620A">
        <w:rPr>
          <w:rFonts w:ascii="Times New Roman" w:eastAsia="Times New Roman" w:hAnsi="Times New Roman" w:cs="Times New Roman"/>
          <w:iCs/>
          <w:lang w:val="it-IT"/>
        </w:rPr>
        <w:t>j</w:t>
      </w:r>
      <w:r w:rsidRPr="003A22B9">
        <w:rPr>
          <w:rFonts w:ascii="Times New Roman" w:eastAsia="Times New Roman" w:hAnsi="Times New Roman" w:cs="Times New Roman"/>
          <w:iCs/>
          <w:lang w:val="it-IT"/>
        </w:rPr>
        <w:t xml:space="preserve">eli najmanje jednu reakciju povezanu sa infuzijom te su reakcije bile 1. ili 2. stepena težine. </w:t>
      </w:r>
      <w:r w:rsidR="00546687" w:rsidRPr="003A22B9">
        <w:rPr>
          <w:rFonts w:ascii="Times New Roman" w:eastAsia="Times New Roman" w:hAnsi="Times New Roman" w:cs="Times New Roman"/>
          <w:iCs/>
          <w:lang w:val="it-IT"/>
        </w:rPr>
        <w:t>Kod</w:t>
      </w:r>
      <w:r w:rsidRPr="003A22B9">
        <w:rPr>
          <w:rFonts w:ascii="Times New Roman" w:eastAsia="Times New Roman" w:hAnsi="Times New Roman" w:cs="Times New Roman"/>
          <w:iCs/>
          <w:lang w:val="it-IT"/>
        </w:rPr>
        <w:t xml:space="preserve"> 4/15 pacijenata prijavljene su reakcije na infuziju ≥ 3. stepena, koje su dovele do prekida terapije rituksimabom, a u tri od ta četiri pacijenta reakcije na infuziju bile su ozbiljne (opasne po život). Ozbiljne reakcije na infuziju javile su se pri prvoj (2 pacijenta) ili drugoj (1 pacijent) infuziji i povukle su se uz simptomatsku terapiju.</w:t>
      </w:r>
    </w:p>
    <w:p w14:paraId="541F2858" w14:textId="77777777" w:rsidR="003C42A2" w:rsidRPr="003A22B9" w:rsidRDefault="003C42A2" w:rsidP="003C42A2">
      <w:pPr>
        <w:spacing w:after="0" w:line="240" w:lineRule="auto"/>
        <w:contextualSpacing/>
        <w:jc w:val="both"/>
        <w:rPr>
          <w:rFonts w:ascii="Times New Roman" w:eastAsia="Times New Roman" w:hAnsi="Times New Roman" w:cs="Times New Roman"/>
          <w:i/>
          <w:lang w:val="it-IT"/>
        </w:rPr>
      </w:pPr>
    </w:p>
    <w:p w14:paraId="607427C8" w14:textId="77777777" w:rsidR="00A75B47" w:rsidRPr="003A22B9" w:rsidRDefault="00A75B47" w:rsidP="00A75B47">
      <w:pPr>
        <w:keepNext/>
        <w:spacing w:after="0" w:line="240" w:lineRule="auto"/>
        <w:contextualSpacing/>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Infekcije</w:t>
      </w:r>
    </w:p>
    <w:p w14:paraId="63271159" w14:textId="7CB417CA" w:rsidR="00A75B47" w:rsidRPr="003A22B9" w:rsidRDefault="00CF4C02"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PV studiji 1 i</w:t>
      </w:r>
      <w:r w:rsidR="00A75B47" w:rsidRPr="003A22B9">
        <w:rPr>
          <w:rFonts w:ascii="Times New Roman" w:eastAsia="Times New Roman" w:hAnsi="Times New Roman" w:cs="Times New Roman"/>
          <w:lang w:val="sr-Latn-ME"/>
        </w:rPr>
        <w:t xml:space="preserve">nfekcije povezane sa liječenjem zabilježene su kod 14 pacijenata (37%) u grupi liječenoj rituksimabom i 15 pacijenata (42%) u grupi liječenoj standardnom dozom prednizona. Najčešće infekcije u grupi koja je primala rituksimab bile su herpes simplex i herpes zoster, bronhitis, infekcije mokraćnih puteva, gljivične infekcije i konjunktivitis. Kod 3 pacijenta (8%) iz grupe liječene rituksimabom zabilježeno je ukupno 5 ozbiljnih infekcija (pneumonija koju je prouzrokovao </w:t>
      </w:r>
      <w:r w:rsidR="00A75B47" w:rsidRPr="003A22B9">
        <w:rPr>
          <w:rFonts w:ascii="Times New Roman" w:eastAsia="Times New Roman" w:hAnsi="Times New Roman" w:cs="Times New Roman"/>
          <w:i/>
          <w:lang w:val="sr-Latn-ME"/>
        </w:rPr>
        <w:t>Pneumocystis jirovecii</w:t>
      </w:r>
      <w:r w:rsidR="00A75B47" w:rsidRPr="003A22B9">
        <w:rPr>
          <w:rFonts w:ascii="Times New Roman" w:eastAsia="Times New Roman" w:hAnsi="Times New Roman" w:cs="Times New Roman"/>
          <w:lang w:val="sr-Latn-ME"/>
        </w:rPr>
        <w:t xml:space="preserve">, infektivna tromboza, infekcija intervertebralnog diska, plućna infekcija, stafilokokna sepsa), dok je u grupi liječenoj standardnom dozom prednizona ozbiljnu infekciju (pneumoniju koju je prouzrokovao </w:t>
      </w:r>
      <w:r w:rsidR="00A75B47" w:rsidRPr="003A22B9">
        <w:rPr>
          <w:rFonts w:ascii="Times New Roman" w:eastAsia="Times New Roman" w:hAnsi="Times New Roman" w:cs="Times New Roman"/>
          <w:i/>
          <w:lang w:val="sr-Latn-ME"/>
        </w:rPr>
        <w:t>Pneumocystis jirovecii</w:t>
      </w:r>
      <w:r w:rsidR="00A75B47" w:rsidRPr="003A22B9">
        <w:rPr>
          <w:rFonts w:ascii="Times New Roman" w:eastAsia="Times New Roman" w:hAnsi="Times New Roman" w:cs="Times New Roman"/>
          <w:lang w:val="sr-Latn-ME"/>
        </w:rPr>
        <w:t>) imao jedan pacijent (3%).</w:t>
      </w:r>
    </w:p>
    <w:p w14:paraId="6CD18089" w14:textId="31B314A9" w:rsidR="00A75B47" w:rsidRPr="003A22B9" w:rsidRDefault="00A75B47" w:rsidP="00A75B47">
      <w:pPr>
        <w:spacing w:after="0" w:line="240" w:lineRule="auto"/>
        <w:jc w:val="both"/>
        <w:rPr>
          <w:rFonts w:ascii="Times New Roman" w:eastAsia="Times New Roman" w:hAnsi="Times New Roman" w:cs="Times New Roman"/>
          <w:lang w:val="sr-Latn-ME"/>
        </w:rPr>
      </w:pPr>
    </w:p>
    <w:p w14:paraId="3ADE1AA8" w14:textId="2401A528" w:rsidR="00C444FC" w:rsidRPr="003A22B9" w:rsidRDefault="004406C7" w:rsidP="004406C7">
      <w:pPr>
        <w:widowControl w:val="0"/>
        <w:spacing w:before="7" w:after="0" w:line="250" w:lineRule="exact"/>
        <w:ind w:right="112"/>
        <w:jc w:val="both"/>
        <w:rPr>
          <w:rFonts w:ascii="Times New Roman" w:eastAsia="Calibri" w:hAnsi="Times New Roman" w:cs="Times New Roman"/>
          <w:lang w:val="it-IT"/>
        </w:rPr>
      </w:pPr>
      <w:r w:rsidRPr="003A22B9">
        <w:rPr>
          <w:rFonts w:ascii="Times New Roman" w:eastAsia="Calibri" w:hAnsi="Times New Roman" w:cs="Times New Roman"/>
          <w:lang w:val="it-IT"/>
        </w:rPr>
        <w:t>U PV Studiji 2, infekcije su se javile kod 42 pacijenta (62,7%) l</w:t>
      </w:r>
      <w:r w:rsidR="00757466"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ečenih rituksimabom. Najčešće infekcije u grupi l</w:t>
      </w:r>
      <w:r w:rsidR="00757466"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ečenoj rituksimabom bile su infekcije gornjih disajnih puteva, nazofaringitis, oralna kandidijaza i infekcija mokraćnih puteva. Šest pacijenata (9%) u grupi l</w:t>
      </w:r>
      <w:r w:rsidR="00B94EF4"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ečenoj rituksimabom imalo je ozbiljne infekcije.</w:t>
      </w:r>
    </w:p>
    <w:p w14:paraId="219B0CD9" w14:textId="77777777" w:rsidR="00C444FC" w:rsidRPr="003A22B9" w:rsidRDefault="00C444FC" w:rsidP="00C444FC">
      <w:pPr>
        <w:widowControl w:val="0"/>
        <w:spacing w:before="7" w:after="0" w:line="250" w:lineRule="exact"/>
        <w:ind w:right="112"/>
        <w:jc w:val="both"/>
        <w:rPr>
          <w:rFonts w:ascii="Times New Roman" w:eastAsia="Times New Roman" w:hAnsi="Times New Roman" w:cs="Times New Roman"/>
          <w:lang w:val="it-IT"/>
        </w:rPr>
      </w:pPr>
    </w:p>
    <w:p w14:paraId="3116C6BB" w14:textId="7CDB9E89" w:rsidR="00C444FC" w:rsidRPr="003A22B9" w:rsidRDefault="00C444FC" w:rsidP="00C444FC">
      <w:pPr>
        <w:widowControl w:val="0"/>
        <w:spacing w:before="7" w:after="0" w:line="250" w:lineRule="exact"/>
        <w:ind w:right="112"/>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U postmarketinškom periodu, prijavljene su ozbiljne virusne infekcije kod PV pacijenata l</w:t>
      </w:r>
      <w:r w:rsidR="0015620A">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ečenim rituksimabom</w:t>
      </w:r>
    </w:p>
    <w:p w14:paraId="5EEB15E8" w14:textId="77777777" w:rsidR="004406C7" w:rsidRPr="003A22B9" w:rsidRDefault="004406C7" w:rsidP="004406C7">
      <w:pPr>
        <w:widowControl w:val="0"/>
        <w:spacing w:after="0" w:line="240" w:lineRule="auto"/>
        <w:jc w:val="both"/>
        <w:rPr>
          <w:rFonts w:ascii="Times New Roman" w:eastAsia="Times New Roman" w:hAnsi="Times New Roman" w:cs="Times New Roman"/>
          <w:lang w:val="it-IT"/>
        </w:rPr>
      </w:pPr>
    </w:p>
    <w:p w14:paraId="7BB45299" w14:textId="77777777" w:rsidR="004406C7" w:rsidRPr="003A22B9" w:rsidRDefault="004406C7" w:rsidP="004406C7">
      <w:pPr>
        <w:widowControl w:val="0"/>
        <w:spacing w:after="0" w:line="240" w:lineRule="auto"/>
        <w:jc w:val="both"/>
        <w:rPr>
          <w:rFonts w:ascii="Times New Roman" w:eastAsia="Calibri" w:hAnsi="Times New Roman" w:cs="Times New Roman"/>
          <w:i/>
          <w:lang w:val="it-IT"/>
        </w:rPr>
      </w:pPr>
      <w:r w:rsidRPr="003A22B9">
        <w:rPr>
          <w:rFonts w:ascii="Times New Roman" w:eastAsia="Calibri" w:hAnsi="Times New Roman" w:cs="Times New Roman"/>
          <w:i/>
          <w:lang w:val="it-IT"/>
        </w:rPr>
        <w:t>Odstupanja laboratorijskih nalaza</w:t>
      </w:r>
    </w:p>
    <w:p w14:paraId="312C27C2" w14:textId="77777777" w:rsidR="0015620A" w:rsidRDefault="004406C7" w:rsidP="004406C7">
      <w:pPr>
        <w:widowControl w:val="0"/>
        <w:spacing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U PV Studiji 2, u grupi l</w:t>
      </w:r>
      <w:r w:rsidR="00B94EF4"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ečenoj rituksimabom nakon infuzije vrlo često je </w:t>
      </w:r>
      <w:r w:rsidR="00073650" w:rsidRPr="003A22B9">
        <w:rPr>
          <w:rFonts w:ascii="Times New Roman" w:eastAsia="Calibri" w:hAnsi="Times New Roman" w:cs="Times New Roman"/>
          <w:lang w:val="it-IT"/>
        </w:rPr>
        <w:t>primijećen</w:t>
      </w:r>
      <w:r w:rsidRPr="003A22B9">
        <w:rPr>
          <w:rFonts w:ascii="Times New Roman" w:eastAsia="Calibri" w:hAnsi="Times New Roman" w:cs="Times New Roman"/>
          <w:lang w:val="it-IT"/>
        </w:rPr>
        <w:t xml:space="preserve">o prolazno </w:t>
      </w:r>
      <w:r w:rsidRPr="003A22B9">
        <w:rPr>
          <w:rFonts w:ascii="Times New Roman" w:eastAsia="Calibri" w:hAnsi="Times New Roman" w:cs="Times New Roman"/>
          <w:lang w:val="it-IT"/>
        </w:rPr>
        <w:lastRenderedPageBreak/>
        <w:t xml:space="preserve">smanjenje broja limfocita, izazvano smanjenjem populacija perifernih T-ćelija, kao i prolazno smanjenje </w:t>
      </w:r>
      <w:r w:rsidR="00396346" w:rsidRPr="003A22B9">
        <w:rPr>
          <w:rFonts w:ascii="Times New Roman" w:eastAsia="Calibri" w:hAnsi="Times New Roman" w:cs="Times New Roman"/>
          <w:lang w:val="it-IT"/>
        </w:rPr>
        <w:t xml:space="preserve">nivoa </w:t>
      </w:r>
      <w:r w:rsidRPr="003A22B9">
        <w:rPr>
          <w:rFonts w:ascii="Times New Roman" w:eastAsia="Calibri" w:hAnsi="Times New Roman" w:cs="Times New Roman"/>
          <w:lang w:val="it-IT"/>
        </w:rPr>
        <w:t xml:space="preserve">fosfora. Smatra se da su ta smanjenja bila uzrokovana i.v. infuzijom metilprednizolona kao premedikacije. </w:t>
      </w:r>
    </w:p>
    <w:p w14:paraId="1ACE6BFB" w14:textId="77777777" w:rsidR="0015620A" w:rsidRDefault="0015620A" w:rsidP="004406C7">
      <w:pPr>
        <w:widowControl w:val="0"/>
        <w:spacing w:after="0" w:line="240" w:lineRule="auto"/>
        <w:jc w:val="both"/>
        <w:rPr>
          <w:rFonts w:ascii="Times New Roman" w:eastAsia="Calibri" w:hAnsi="Times New Roman" w:cs="Times New Roman"/>
          <w:lang w:val="it-IT"/>
        </w:rPr>
      </w:pPr>
    </w:p>
    <w:p w14:paraId="4FD1B84F" w14:textId="0E241F38" w:rsidR="004406C7" w:rsidRPr="003A22B9" w:rsidRDefault="004406C7" w:rsidP="004406C7">
      <w:pPr>
        <w:widowControl w:val="0"/>
        <w:spacing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U PV Studiji 2 često su uočen</w:t>
      </w:r>
      <w:r w:rsidR="00EE3921" w:rsidRPr="003A22B9">
        <w:rPr>
          <w:rFonts w:ascii="Times New Roman" w:eastAsia="Calibri" w:hAnsi="Times New Roman" w:cs="Times New Roman"/>
          <w:lang w:val="it-IT"/>
        </w:rPr>
        <w:t>e</w:t>
      </w:r>
      <w:r w:rsidRPr="003A22B9">
        <w:rPr>
          <w:rFonts w:ascii="Times New Roman" w:eastAsia="Calibri" w:hAnsi="Times New Roman" w:cs="Times New Roman"/>
          <w:lang w:val="it-IT"/>
        </w:rPr>
        <w:t xml:space="preserve"> nisk</w:t>
      </w:r>
      <w:r w:rsidR="00EE3921" w:rsidRPr="003A22B9">
        <w:rPr>
          <w:rFonts w:ascii="Times New Roman" w:eastAsia="Calibri" w:hAnsi="Times New Roman" w:cs="Times New Roman"/>
          <w:lang w:val="it-IT"/>
        </w:rPr>
        <w:t xml:space="preserve">e vrijednosti </w:t>
      </w:r>
      <w:r w:rsidRPr="003A22B9">
        <w:rPr>
          <w:rFonts w:ascii="Times New Roman" w:eastAsia="Calibri" w:hAnsi="Times New Roman" w:cs="Times New Roman"/>
          <w:lang w:val="it-IT"/>
        </w:rPr>
        <w:t>IgG-a, a vrlo su često zab</w:t>
      </w:r>
      <w:r w:rsidR="00E4498E" w:rsidRPr="003A22B9">
        <w:rPr>
          <w:rFonts w:ascii="Times New Roman" w:eastAsia="Calibri" w:hAnsi="Times New Roman" w:cs="Times New Roman"/>
          <w:lang w:val="it-IT"/>
        </w:rPr>
        <w:t>i</w:t>
      </w:r>
      <w:r w:rsidRPr="003A22B9">
        <w:rPr>
          <w:rFonts w:ascii="Times New Roman" w:eastAsia="Calibri" w:hAnsi="Times New Roman" w:cs="Times New Roman"/>
          <w:lang w:val="it-IT"/>
        </w:rPr>
        <w:t>l</w:t>
      </w:r>
      <w:r w:rsidR="00E4498E" w:rsidRPr="003A22B9">
        <w:rPr>
          <w:rFonts w:ascii="Times New Roman" w:eastAsia="Calibri" w:hAnsi="Times New Roman" w:cs="Times New Roman"/>
          <w:lang w:val="it-IT"/>
        </w:rPr>
        <w:t>j</w:t>
      </w:r>
      <w:r w:rsidRPr="003A22B9">
        <w:rPr>
          <w:rFonts w:ascii="Times New Roman" w:eastAsia="Calibri" w:hAnsi="Times New Roman" w:cs="Times New Roman"/>
          <w:lang w:val="it-IT"/>
        </w:rPr>
        <w:t>eženi i nisk</w:t>
      </w:r>
      <w:r w:rsidR="003D549B" w:rsidRPr="003A22B9">
        <w:rPr>
          <w:rFonts w:ascii="Times New Roman" w:eastAsia="Calibri" w:hAnsi="Times New Roman" w:cs="Times New Roman"/>
          <w:lang w:val="it-IT"/>
        </w:rPr>
        <w:t>e vrijednosti</w:t>
      </w:r>
      <w:r w:rsidRPr="003A22B9">
        <w:rPr>
          <w:rFonts w:ascii="Times New Roman" w:eastAsia="Calibri" w:hAnsi="Times New Roman" w:cs="Times New Roman"/>
          <w:lang w:val="it-IT"/>
        </w:rPr>
        <w:t xml:space="preserve"> IgM-a; međutim, nije bilo dokaza povećanog rizika od ozbiljnih infekcija nakon razvoja nisk</w:t>
      </w:r>
      <w:r w:rsidR="00895291" w:rsidRPr="003A22B9">
        <w:rPr>
          <w:rFonts w:ascii="Times New Roman" w:eastAsia="Calibri" w:hAnsi="Times New Roman" w:cs="Times New Roman"/>
          <w:lang w:val="it-IT"/>
        </w:rPr>
        <w:t xml:space="preserve">ih vrijednosti </w:t>
      </w:r>
      <w:r w:rsidRPr="003A22B9">
        <w:rPr>
          <w:rFonts w:ascii="Times New Roman" w:eastAsia="Calibri" w:hAnsi="Times New Roman" w:cs="Times New Roman"/>
          <w:lang w:val="it-IT"/>
        </w:rPr>
        <w:t>IgG-a ili IgM-a.</w:t>
      </w:r>
    </w:p>
    <w:p w14:paraId="3E2C7774" w14:textId="77777777" w:rsidR="004406C7" w:rsidRPr="003A22B9" w:rsidRDefault="004406C7" w:rsidP="00A75B47">
      <w:pPr>
        <w:spacing w:after="0" w:line="240" w:lineRule="auto"/>
        <w:jc w:val="both"/>
        <w:rPr>
          <w:rFonts w:ascii="Times New Roman" w:eastAsia="Times New Roman" w:hAnsi="Times New Roman" w:cs="Times New Roman"/>
          <w:lang w:val="it-IT"/>
        </w:rPr>
      </w:pPr>
    </w:p>
    <w:p w14:paraId="3C3CF59D" w14:textId="41AAF4DC" w:rsidR="00A75B47" w:rsidRPr="003A22B9" w:rsidRDefault="00A75B47" w:rsidP="00A75B47">
      <w:pPr>
        <w:spacing w:after="200" w:line="240" w:lineRule="auto"/>
        <w:jc w:val="both"/>
        <w:rPr>
          <w:rFonts w:ascii="Times New Roman" w:eastAsia="Calibri" w:hAnsi="Times New Roman" w:cs="Times New Roman"/>
          <w:u w:val="single"/>
          <w:lang w:val="sr-Latn-ME"/>
        </w:rPr>
      </w:pPr>
      <w:r w:rsidRPr="003A22B9">
        <w:rPr>
          <w:rFonts w:ascii="Times New Roman" w:eastAsia="Calibri" w:hAnsi="Times New Roman" w:cs="Times New Roman"/>
          <w:u w:val="single"/>
          <w:lang w:val="sr-Latn-ME"/>
        </w:rPr>
        <w:t>Prijavljivanje sumnji na neželjena dejstva</w:t>
      </w:r>
    </w:p>
    <w:p w14:paraId="7DD80D98" w14:textId="77777777" w:rsidR="00E92DF2" w:rsidRPr="003A22B9" w:rsidRDefault="00E92DF2" w:rsidP="00E92DF2">
      <w:pPr>
        <w:spacing w:after="20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48E6F30" w14:textId="77777777" w:rsidR="00E92DF2" w:rsidRPr="003A22B9" w:rsidRDefault="00E92DF2" w:rsidP="00E92DF2">
      <w:pPr>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 xml:space="preserve">Institut za ljekove i medicinska sredstva </w:t>
      </w:r>
    </w:p>
    <w:p w14:paraId="474C5EBA" w14:textId="77777777" w:rsidR="00E92DF2" w:rsidRPr="003A22B9" w:rsidRDefault="00E92DF2" w:rsidP="00E92DF2">
      <w:pPr>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Odjeljenje za farmakovigilancu</w:t>
      </w:r>
    </w:p>
    <w:p w14:paraId="57DADAB0" w14:textId="77777777" w:rsidR="00E92DF2" w:rsidRPr="003A22B9" w:rsidRDefault="00E92DF2" w:rsidP="00E92DF2">
      <w:pPr>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Bulevar Ivana Crnojevića 64a, 81000 Podgorica</w:t>
      </w:r>
    </w:p>
    <w:p w14:paraId="020478F8" w14:textId="77777777" w:rsidR="00E92DF2" w:rsidRPr="003A22B9" w:rsidRDefault="00E92DF2" w:rsidP="00E92DF2">
      <w:pPr>
        <w:spacing w:after="0" w:line="240" w:lineRule="auto"/>
        <w:rPr>
          <w:rFonts w:ascii="Times New Roman" w:eastAsia="Calibri" w:hAnsi="Times New Roman" w:cs="Times New Roman"/>
          <w:lang w:val="sr-Latn-RS"/>
        </w:rPr>
      </w:pPr>
    </w:p>
    <w:p w14:paraId="00A16C35" w14:textId="77777777" w:rsidR="00E92DF2" w:rsidRPr="003A22B9" w:rsidRDefault="00E92DF2" w:rsidP="00E92DF2">
      <w:pPr>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tel: +382 (0) 20 310 280</w:t>
      </w:r>
    </w:p>
    <w:p w14:paraId="4BC0E3E1" w14:textId="77777777" w:rsidR="00E92DF2" w:rsidRPr="003A22B9" w:rsidRDefault="00E92DF2" w:rsidP="00E92DF2">
      <w:pPr>
        <w:tabs>
          <w:tab w:val="left" w:pos="6720"/>
        </w:tabs>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fax: +382 (0) 20 310 581</w:t>
      </w:r>
      <w:r w:rsidRPr="003A22B9">
        <w:rPr>
          <w:rFonts w:ascii="Times New Roman" w:eastAsia="Calibri" w:hAnsi="Times New Roman" w:cs="Times New Roman"/>
          <w:lang w:val="sr-Latn-RS"/>
        </w:rPr>
        <w:tab/>
      </w:r>
    </w:p>
    <w:p w14:paraId="41F3092C" w14:textId="77777777" w:rsidR="00E92DF2" w:rsidRPr="003A22B9" w:rsidRDefault="003C60A2" w:rsidP="00E92DF2">
      <w:pPr>
        <w:spacing w:after="0" w:line="240" w:lineRule="auto"/>
        <w:jc w:val="both"/>
        <w:rPr>
          <w:rFonts w:ascii="Times New Roman" w:eastAsia="Calibri" w:hAnsi="Times New Roman" w:cs="Times New Roman"/>
          <w:lang w:val="sr-Latn-RS"/>
        </w:rPr>
      </w:pPr>
      <w:hyperlink r:id="rId8" w:history="1">
        <w:r w:rsidR="00E92DF2" w:rsidRPr="003A22B9">
          <w:rPr>
            <w:rFonts w:ascii="Times New Roman" w:eastAsia="Calibri" w:hAnsi="Times New Roman" w:cs="Times New Roman"/>
            <w:color w:val="0563C1" w:themeColor="hyperlink"/>
            <w:u w:val="single"/>
            <w:lang w:val="sr-Latn-RS"/>
          </w:rPr>
          <w:t>www.cinmed.me</w:t>
        </w:r>
      </w:hyperlink>
    </w:p>
    <w:p w14:paraId="23B3ACEF" w14:textId="77777777" w:rsidR="00E92DF2" w:rsidRPr="003A22B9" w:rsidRDefault="003C60A2" w:rsidP="00E92DF2">
      <w:pPr>
        <w:spacing w:after="0" w:line="240" w:lineRule="auto"/>
        <w:jc w:val="both"/>
        <w:rPr>
          <w:rFonts w:ascii="Times New Roman" w:eastAsia="Calibri" w:hAnsi="Times New Roman" w:cs="Times New Roman"/>
          <w:color w:val="0000FF"/>
          <w:u w:val="single"/>
          <w:lang w:val="sr-Latn-RS"/>
        </w:rPr>
      </w:pPr>
      <w:hyperlink r:id="rId9" w:history="1">
        <w:r w:rsidR="00E92DF2" w:rsidRPr="003A22B9">
          <w:rPr>
            <w:rFonts w:ascii="Times New Roman" w:eastAsia="Calibri" w:hAnsi="Times New Roman" w:cs="Times New Roman"/>
            <w:color w:val="0563C1" w:themeColor="hyperlink"/>
            <w:u w:val="single"/>
            <w:lang w:val="sr-Latn-RS"/>
          </w:rPr>
          <w:t>nezeljenadejstva@cinmed.me</w:t>
        </w:r>
      </w:hyperlink>
    </w:p>
    <w:p w14:paraId="3EFE1F65" w14:textId="77777777" w:rsidR="00E92DF2" w:rsidRPr="003A22B9" w:rsidRDefault="00E92DF2" w:rsidP="00E92DF2">
      <w:pPr>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putem IS zdravstvene zaštite</w:t>
      </w:r>
    </w:p>
    <w:p w14:paraId="360745FA" w14:textId="77777777" w:rsidR="00E92DF2" w:rsidRPr="003A22B9" w:rsidRDefault="00E92DF2" w:rsidP="00E92DF2">
      <w:pPr>
        <w:spacing w:after="0" w:line="240" w:lineRule="auto"/>
        <w:jc w:val="both"/>
        <w:rPr>
          <w:rFonts w:ascii="Times New Roman" w:eastAsia="Calibri" w:hAnsi="Times New Roman" w:cs="Times New Roman"/>
          <w:lang w:val="sr-Latn-RS"/>
        </w:rPr>
      </w:pPr>
      <w:r w:rsidRPr="003A22B9">
        <w:rPr>
          <w:rFonts w:ascii="Times New Roman" w:eastAsia="Calibri" w:hAnsi="Times New Roman" w:cs="Times New Roman"/>
          <w:lang w:val="sr-Latn-RS"/>
        </w:rPr>
        <w:t>QR kod za online prijavu sumnje na neželjeno dejstvo lijeka:</w:t>
      </w:r>
    </w:p>
    <w:p w14:paraId="50144AF5" w14:textId="77777777" w:rsidR="00E92DF2" w:rsidRPr="003A22B9" w:rsidRDefault="00E92DF2" w:rsidP="00E92DF2">
      <w:pPr>
        <w:spacing w:after="0" w:line="240" w:lineRule="auto"/>
        <w:jc w:val="both"/>
        <w:rPr>
          <w:rFonts w:ascii="Times New Roman" w:eastAsia="Calibri" w:hAnsi="Times New Roman" w:cs="Times New Roman"/>
          <w:lang w:val="sr-Latn-RS"/>
        </w:rPr>
      </w:pPr>
    </w:p>
    <w:p w14:paraId="358C6941" w14:textId="3DAA8D19" w:rsidR="00E92DF2" w:rsidRPr="003A22B9" w:rsidRDefault="0015620A" w:rsidP="00E92DF2">
      <w:pPr>
        <w:spacing w:after="0" w:line="240" w:lineRule="auto"/>
        <w:rPr>
          <w:rFonts w:ascii="Times New Roman" w:eastAsia="Calibri" w:hAnsi="Times New Roman" w:cs="Times New Roman"/>
          <w:lang w:val="sr-Latn-RS"/>
        </w:rPr>
      </w:pPr>
      <w:r w:rsidRPr="007F661E">
        <w:rPr>
          <w:b/>
          <w:bCs/>
          <w:noProof/>
        </w:rPr>
        <w:drawing>
          <wp:inline distT="0" distB="0" distL="0" distR="0" wp14:anchorId="05DF82DF" wp14:editId="4750CDD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F1318B" w14:textId="1F7B6EC2" w:rsidR="00A75B47"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5D54DAAC" w14:textId="77777777" w:rsidR="00110C02" w:rsidRPr="003A22B9" w:rsidRDefault="00110C02"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710681A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4.9. </w:t>
      </w:r>
      <w:r w:rsidRPr="003A22B9">
        <w:rPr>
          <w:rFonts w:ascii="Times New Roman" w:eastAsia="Times New Roman" w:hAnsi="Times New Roman" w:cs="Times New Roman"/>
          <w:b/>
          <w:bCs/>
          <w:lang w:val="sr-Latn-ME"/>
        </w:rPr>
        <w:tab/>
        <w:t xml:space="preserve">Predoziranje </w:t>
      </w:r>
    </w:p>
    <w:p w14:paraId="21A7D90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3F3EA05D" w14:textId="6353B60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Dostupno je ograničeno iskustvo sa primjenom većih doza intravenske formulacije rituksimaba od odobrenih u kliničkim ispitivanjima na ljudima. Najviša do sada ispitivana intravenska doza rituksimaba kod ljudi iznosi 5.000 mg (2.250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a testirana je u sklopu ispitivanja postupnog povećanja doze kod pacijenata sa HLL-om. Nijesu uočeni dodatni bezbjednosni signali. </w:t>
      </w:r>
    </w:p>
    <w:p w14:paraId="609AE50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15218B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Kod pacijenata kod kojih dođe do predoziranja treba odmah prekinuti infuziju i pažljivo ih nadzirati. </w:t>
      </w:r>
    </w:p>
    <w:p w14:paraId="3589E02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569AF5C" w14:textId="66C91E6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postmarketinškom praćenju prijavljeno je pet slučajeva predoziranja rituksimabom. U tri slučaja nije bilo prijavljenih neželjenih reakcija. Dvije neželjene reakcije koje su prijavljene bile su simptomi slični grip</w:t>
      </w:r>
      <w:r w:rsidR="00E92DF2" w:rsidRPr="003A22B9">
        <w:rPr>
          <w:rFonts w:ascii="Times New Roman" w:eastAsia="Times New Roman" w:hAnsi="Times New Roman" w:cs="Times New Roman"/>
          <w:lang w:val="sr-Latn-ME"/>
        </w:rPr>
        <w:t>u</w:t>
      </w:r>
      <w:r w:rsidRPr="003A22B9">
        <w:rPr>
          <w:rFonts w:ascii="Times New Roman" w:eastAsia="Times New Roman" w:hAnsi="Times New Roman" w:cs="Times New Roman"/>
          <w:lang w:val="sr-Latn-ME"/>
        </w:rPr>
        <w:t xml:space="preserve"> pri dozi od 1,8 g rituksimaba i respiratorna insuficijencija sa smrtnim ishodom pri dozi od 2 g rituksimaba.</w:t>
      </w:r>
    </w:p>
    <w:p w14:paraId="427918D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3AB9CCD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04F40F74"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5. </w:t>
      </w:r>
      <w:r w:rsidRPr="003A22B9">
        <w:rPr>
          <w:rFonts w:ascii="Times New Roman" w:eastAsia="Times New Roman" w:hAnsi="Times New Roman" w:cs="Times New Roman"/>
          <w:b/>
          <w:bCs/>
          <w:lang w:val="sr-Latn-ME"/>
        </w:rPr>
        <w:tab/>
        <w:t>FARMAKOLOŠKI PODACI</w:t>
      </w:r>
    </w:p>
    <w:p w14:paraId="22018339"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2F13F062"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5.1. </w:t>
      </w:r>
      <w:r w:rsidRPr="003A22B9">
        <w:rPr>
          <w:rFonts w:ascii="Times New Roman" w:eastAsia="Times New Roman" w:hAnsi="Times New Roman" w:cs="Times New Roman"/>
          <w:b/>
          <w:bCs/>
          <w:lang w:val="sr-Latn-ME"/>
        </w:rPr>
        <w:tab/>
        <w:t xml:space="preserve">Farmakodinamski podaci </w:t>
      </w:r>
    </w:p>
    <w:p w14:paraId="2AF9AEC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47B3C81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Farmakoterapijska grupa: Antineoplastici,</w:t>
      </w:r>
      <w:r w:rsidRPr="003A22B9">
        <w:rPr>
          <w:rFonts w:ascii="Times New Roman" w:eastAsia="Times New Roman" w:hAnsi="Times New Roman" w:cs="Times New Roman"/>
          <w:b/>
          <w:bCs/>
          <w:lang w:val="sr-Latn-ME"/>
        </w:rPr>
        <w:t xml:space="preserve"> </w:t>
      </w:r>
      <w:r w:rsidRPr="003A22B9">
        <w:rPr>
          <w:rFonts w:ascii="Times New Roman" w:eastAsia="Times New Roman" w:hAnsi="Times New Roman" w:cs="Times New Roman"/>
          <w:lang w:val="sr-Latn-ME"/>
        </w:rPr>
        <w:t>monoklonska antitijela</w:t>
      </w:r>
    </w:p>
    <w:p w14:paraId="570FD71F"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5BCA604" w14:textId="4D9A2AD2"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 xml:space="preserve">ATC kod: </w:t>
      </w:r>
      <w:r w:rsidR="002F75E5" w:rsidRPr="00B7374A">
        <w:rPr>
          <w:rFonts w:ascii="Times New Roman" w:eastAsia="Times New Roman" w:hAnsi="Times New Roman" w:cs="Times New Roman"/>
          <w:spacing w:val="-1"/>
          <w:lang w:val="sr-Latn-ME"/>
        </w:rPr>
        <w:t>L01FA01</w:t>
      </w:r>
    </w:p>
    <w:p w14:paraId="0139B48F"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1DD081E8" w14:textId="77777777" w:rsidR="00A75B47" w:rsidRPr="003A22B9" w:rsidRDefault="00A75B47" w:rsidP="00A75B47">
      <w:pPr>
        <w:spacing w:after="0" w:line="240" w:lineRule="auto"/>
        <w:jc w:val="both"/>
        <w:rPr>
          <w:rFonts w:ascii="Times New Roman" w:eastAsia="Times New Roman" w:hAnsi="Times New Roman" w:cs="Times New Roman"/>
          <w:spacing w:val="-1"/>
          <w:u w:val="single" w:color="000000"/>
          <w:lang w:val="sr-Latn-ME"/>
        </w:rPr>
      </w:pPr>
      <w:r w:rsidRPr="003A22B9">
        <w:rPr>
          <w:rFonts w:ascii="Times New Roman" w:eastAsia="Times New Roman" w:hAnsi="Times New Roman" w:cs="Times New Roman"/>
          <w:spacing w:val="-1"/>
          <w:u w:val="single" w:color="000000"/>
          <w:lang w:val="sr-Latn-ME"/>
        </w:rPr>
        <w:t>Mehanizam dejstva</w:t>
      </w:r>
    </w:p>
    <w:p w14:paraId="63145E59" w14:textId="77777777" w:rsidR="00BD335F" w:rsidRPr="003A22B9" w:rsidRDefault="00BD335F" w:rsidP="00A75B47">
      <w:pPr>
        <w:spacing w:after="0" w:line="240" w:lineRule="auto"/>
        <w:jc w:val="both"/>
        <w:rPr>
          <w:rFonts w:ascii="Times New Roman" w:eastAsia="Times New Roman" w:hAnsi="Times New Roman" w:cs="Times New Roman"/>
          <w:lang w:val="sr-Latn-ME"/>
        </w:rPr>
      </w:pPr>
    </w:p>
    <w:p w14:paraId="1F74631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Lijek Rixathon je biološki sličan lijek. Detaljne informacije su dostupne na internet stranici Evropske agencije za ljekove: </w:t>
      </w:r>
      <w:hyperlink r:id="rId12" w:history="1">
        <w:r w:rsidRPr="003A22B9">
          <w:rPr>
            <w:rFonts w:ascii="Times New Roman" w:eastAsia="Times New Roman" w:hAnsi="Times New Roman" w:cs="Times New Roman"/>
            <w:color w:val="0000FF"/>
            <w:u w:val="single"/>
            <w:lang w:val="sr-Latn-ME"/>
          </w:rPr>
          <w:t>http://www.ema.europa.eu</w:t>
        </w:r>
      </w:hyperlink>
      <w:r w:rsidRPr="003A22B9">
        <w:rPr>
          <w:rFonts w:ascii="Times New Roman" w:eastAsia="Times New Roman" w:hAnsi="Times New Roman" w:cs="Times New Roman"/>
          <w:lang w:val="sr-Latn-ME"/>
        </w:rPr>
        <w:t xml:space="preserve">. </w:t>
      </w:r>
    </w:p>
    <w:p w14:paraId="610F9BA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ED2207E" w14:textId="1118C1A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Rituksimab se veže isključivo za transmembranski antigen, CD20, neglikolizilovani fosfoprotein lociran na pre-B i zrelim B limfocitima. Ovaj antigen je izražen na &gt;</w:t>
      </w:r>
      <w:r w:rsidR="00591C6C">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95% svih B ćelijskih non-Hodgkinovih limfoma. </w:t>
      </w:r>
    </w:p>
    <w:p w14:paraId="4E3553A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ED7B56A" w14:textId="04CF9DE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CD20 se može pronaći i na normalnim i na malignim B-ćelijama, ali ne </w:t>
      </w:r>
      <w:r w:rsidR="00591C6C">
        <w:rPr>
          <w:rFonts w:ascii="Times New Roman" w:eastAsia="Times New Roman" w:hAnsi="Times New Roman" w:cs="Times New Roman"/>
          <w:lang w:val="sr-Latn-ME"/>
        </w:rPr>
        <w:t xml:space="preserve">i </w:t>
      </w:r>
      <w:r w:rsidRPr="003A22B9">
        <w:rPr>
          <w:rFonts w:ascii="Times New Roman" w:eastAsia="Times New Roman" w:hAnsi="Times New Roman" w:cs="Times New Roman"/>
          <w:lang w:val="sr-Latn-ME"/>
        </w:rPr>
        <w:t xml:space="preserve">na hematopoetskim matičnim ćelijama, pro-B ćelijama, normalnim ćelijama plazme ili drugom normalnom tkivu. Ovaj antigen se ne internalizuje po vezivanju antitijela i ne odvaja se sa ćelijske površine. CD20 ne cirkuliše u plazmi kao slobodni antigen i na taj način nije u kompeticiji za vezivanje antitijela. </w:t>
      </w:r>
    </w:p>
    <w:p w14:paraId="64578BB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D987840" w14:textId="4CA13AC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Domen Fab rituksimaba se vezuje za CD20 antigen na B-limfocitima, a Fc domen može da pokrene funkcije imunog efektora na posredovanje lize B-ćelija. Mogući mehanizmi efektorski posredovane ćelijske lize uključuju citotoksičnost zavisnu od komplementa (CDC) koja proističe iz vezivanja C1q, i ćelijsk</w:t>
      </w:r>
      <w:r w:rsidR="00E92DF2" w:rsidRPr="003A22B9">
        <w:rPr>
          <w:rFonts w:ascii="Times New Roman" w:eastAsia="Times New Roman" w:hAnsi="Times New Roman" w:cs="Times New Roman"/>
          <w:lang w:val="sr-Latn-ME"/>
        </w:rPr>
        <w:t>u</w:t>
      </w:r>
      <w:r w:rsidRPr="003A22B9">
        <w:rPr>
          <w:rFonts w:ascii="Times New Roman" w:eastAsia="Times New Roman" w:hAnsi="Times New Roman" w:cs="Times New Roman"/>
          <w:lang w:val="sr-Latn-ME"/>
        </w:rPr>
        <w:t xml:space="preserve"> citotoksičnost zavisnu od antitijela (ADCC), posredovanu jednim ili više Fcγ receptora na površini granulocita, makrofaga i NK ćelija. Takođe se pokazalo da vezivanje rituksimaba za CD20 antigen na B-limfocitima može indukovati ćelijsku smrt apoptozom. </w:t>
      </w:r>
    </w:p>
    <w:p w14:paraId="2D49F7A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9ADC72A" w14:textId="3DF49F6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Broj perifernih B-ćelija nakon primjene prve doze rituksimaba smanjio se ispod granice normale. Kod pacijenata koji su liječeni od hematoloških maligniteta, oporavak B-ćelija započinje unutar 6 mjeseci od liječenja i uglavnom su se vratile na normalne nivoe unutar 12 mjeseci nakon završetka terapije, iako kod nekih pacijenata ovaj proces može trajati duže (do medijan</w:t>
      </w:r>
      <w:r w:rsidR="00E92DF2"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xml:space="preserve"> vremena obnove od 23 mjeseca nakon indukcione terapije). Kod oboljelih od reumatoidnog artritisa uočena je trenutna deplecija B-ćelija u perifernoj krvi nakon dvije infuzije od 1.000 mg rituksimaba koje se daju u razmaku od 14 dana. Broj B ćelija u perifernoj krvi počinje da se povećava od 24. nedjelje, a kod većine pacijenata dokazi o repopulaciji se registruju do 40. nedjelje, bilo da se rituksimab daje kao monoterapija ili u kombinaciji sa metotreksatom. Mali broj pacijenata je imao prolongiranu depleciju perifernih B-ćelija tokom 2 godine ili više nakon posljednje doze rituksimaba. Kod pacijenata sa </w:t>
      </w:r>
      <w:r w:rsidR="00497AF8" w:rsidRPr="003A22B9">
        <w:rPr>
          <w:rFonts w:ascii="Times New Roman" w:eastAsia="Times New Roman" w:hAnsi="Times New Roman" w:cs="Times New Roman"/>
          <w:lang w:val="sr-Latn-ME"/>
        </w:rPr>
        <w:t xml:space="preserve">GPA </w:t>
      </w:r>
      <w:r w:rsidRPr="003A22B9">
        <w:rPr>
          <w:rFonts w:ascii="Times New Roman" w:eastAsia="Times New Roman" w:hAnsi="Times New Roman" w:cs="Times New Roman"/>
          <w:lang w:val="sr-Latn-ME"/>
        </w:rPr>
        <w:t>i</w:t>
      </w:r>
      <w:r w:rsidR="00EC09E7">
        <w:rPr>
          <w:rFonts w:ascii="Times New Roman" w:eastAsia="Times New Roman" w:hAnsi="Times New Roman" w:cs="Times New Roman"/>
          <w:lang w:val="sr-Latn-ME"/>
        </w:rPr>
        <w:t xml:space="preserve"> </w:t>
      </w:r>
      <w:r w:rsidR="00497AF8" w:rsidRPr="003A22B9">
        <w:rPr>
          <w:rFonts w:ascii="Times New Roman" w:eastAsia="Times New Roman" w:hAnsi="Times New Roman" w:cs="Times New Roman"/>
          <w:lang w:val="sr-Latn-ME"/>
        </w:rPr>
        <w:t>MPA</w:t>
      </w:r>
      <w:r w:rsidRPr="003A22B9">
        <w:rPr>
          <w:rFonts w:ascii="Times New Roman" w:eastAsia="Times New Roman" w:hAnsi="Times New Roman" w:cs="Times New Roman"/>
          <w:lang w:val="sr-Latn-ME"/>
        </w:rPr>
        <w:t>, broj B ćelija u perifernoj krvi smanjen je na &lt; 10 ćelija/μl nakon dvonedjeljne infuzije rituksimaba u dozi od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i održao na tom nivou kod većine pacijenata do trenutka </w:t>
      </w:r>
      <w:r w:rsidR="00E92DF2" w:rsidRPr="003A22B9">
        <w:rPr>
          <w:rFonts w:ascii="Times New Roman" w:eastAsia="Times New Roman" w:hAnsi="Times New Roman" w:cs="Times New Roman"/>
          <w:lang w:val="sr-Latn-ME"/>
        </w:rPr>
        <w:t xml:space="preserve">parametra praćenja </w:t>
      </w:r>
      <w:r w:rsidRPr="003A22B9">
        <w:rPr>
          <w:rFonts w:ascii="Times New Roman" w:eastAsia="Times New Roman" w:hAnsi="Times New Roman" w:cs="Times New Roman"/>
          <w:lang w:val="sr-Latn-ME"/>
        </w:rPr>
        <w:t>nakon 6 mjeseci. Većina pacijenata (81%) je pokazala znake povratka B-ćelija, uz vrijednosti od &gt; 10 ćelija/µl do 12. mjeseca, što se povećalo na 87% pacijenata do 18. mjeseca.</w:t>
      </w:r>
    </w:p>
    <w:p w14:paraId="6ABE4A6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13961CF"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Kliničko iskustvo sa non-Hodgkinovim limfomom i hroničnom limfocitnom leukemijom </w:t>
      </w:r>
    </w:p>
    <w:p w14:paraId="3169F68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9225E19"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Folikularni limfom</w:t>
      </w:r>
    </w:p>
    <w:p w14:paraId="4680B78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30CA235"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Monoterapija </w:t>
      </w:r>
    </w:p>
    <w:p w14:paraId="26B7BCFF" w14:textId="77777777" w:rsidR="00BD335F" w:rsidRPr="003A22B9" w:rsidRDefault="00BD335F" w:rsidP="00A75B47">
      <w:pPr>
        <w:spacing w:after="0" w:line="240" w:lineRule="auto"/>
        <w:jc w:val="both"/>
        <w:rPr>
          <w:rFonts w:ascii="Times New Roman" w:eastAsia="Times New Roman" w:hAnsi="Times New Roman" w:cs="Times New Roman"/>
          <w:i/>
          <w:lang w:val="sr-Latn-ME"/>
        </w:rPr>
      </w:pPr>
    </w:p>
    <w:p w14:paraId="71DA522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Inicijalna terapija, jednom nedjeljno tokom 4 nedjelje </w:t>
      </w:r>
    </w:p>
    <w:p w14:paraId="5F8DD7D6" w14:textId="0542E36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pivotalnoj studiji, 166 pacijenata sa recidivirajućim ili hemorezistentnim nisko malignim ili folikularnim B-ćelijskim NHL primali su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rituksimaba u obliku intravenske infuzije jednom nedjeljno, tokom četiri nedjelje. Stopa ukupnog odgovora na liječenje (engl. </w:t>
      </w:r>
      <w:r w:rsidRPr="003A22B9">
        <w:rPr>
          <w:rFonts w:ascii="Times New Roman" w:eastAsia="Times New Roman" w:hAnsi="Times New Roman" w:cs="Times New Roman"/>
          <w:i/>
          <w:lang w:val="sr-Latn-ME"/>
        </w:rPr>
        <w:t>overall response rate</w:t>
      </w:r>
      <w:r w:rsidRPr="003A22B9">
        <w:rPr>
          <w:rFonts w:ascii="Times New Roman" w:eastAsia="Times New Roman" w:hAnsi="Times New Roman" w:cs="Times New Roman"/>
          <w:lang w:val="sr-Latn-ME"/>
        </w:rPr>
        <w:t xml:space="preserve"> - ORR) u populaciji svih randomizovanih pacijenata (engl. </w:t>
      </w:r>
      <w:r w:rsidRPr="003A22B9">
        <w:rPr>
          <w:rFonts w:ascii="Times New Roman" w:eastAsia="Times New Roman" w:hAnsi="Times New Roman" w:cs="Times New Roman"/>
          <w:i/>
          <w:lang w:val="sr-Latn-ME"/>
        </w:rPr>
        <w:t>intent-to-treat -</w:t>
      </w:r>
      <w:r w:rsidRPr="003A22B9">
        <w:rPr>
          <w:rFonts w:ascii="Times New Roman" w:eastAsia="Times New Roman" w:hAnsi="Times New Roman" w:cs="Times New Roman"/>
          <w:lang w:val="sr-Latn-ME"/>
        </w:rPr>
        <w:t xml:space="preserve"> ITT) iznosila je 48% (CI</w:t>
      </w:r>
      <w:r w:rsidRPr="003A22B9">
        <w:rPr>
          <w:rFonts w:ascii="Times New Roman" w:eastAsia="Times New Roman" w:hAnsi="Times New Roman" w:cs="Times New Roman"/>
          <w:vertAlign w:val="subscript"/>
          <w:lang w:val="sr-Latn-ME"/>
        </w:rPr>
        <w:t>95</w:t>
      </w:r>
      <w:r w:rsidRPr="003A22B9">
        <w:rPr>
          <w:rFonts w:ascii="Times New Roman" w:eastAsia="Times New Roman" w:hAnsi="Times New Roman" w:cs="Times New Roman"/>
          <w:lang w:val="sr-Latn-ME"/>
        </w:rPr>
        <w:t xml:space="preserve">% 41% - 56%), od čega 6% otpada na potpun odgovor (engl. </w:t>
      </w:r>
      <w:r w:rsidRPr="003A22B9">
        <w:rPr>
          <w:rFonts w:ascii="Times New Roman" w:eastAsia="Times New Roman" w:hAnsi="Times New Roman" w:cs="Times New Roman"/>
          <w:i/>
          <w:lang w:val="sr-Latn-ME"/>
        </w:rPr>
        <w:t>complete response</w:t>
      </w:r>
      <w:r w:rsidRPr="003A22B9">
        <w:rPr>
          <w:rFonts w:ascii="Times New Roman" w:eastAsia="Times New Roman" w:hAnsi="Times New Roman" w:cs="Times New Roman"/>
          <w:lang w:val="sr-Latn-ME"/>
        </w:rPr>
        <w:t xml:space="preserve"> - CR) i 42% na djelimičan odgovor (engl. </w:t>
      </w:r>
      <w:r w:rsidRPr="003A22B9">
        <w:rPr>
          <w:rFonts w:ascii="Times New Roman" w:eastAsia="Times New Roman" w:hAnsi="Times New Roman" w:cs="Times New Roman"/>
          <w:i/>
          <w:lang w:val="sr-Latn-ME"/>
        </w:rPr>
        <w:t>partial response -</w:t>
      </w:r>
      <w:r w:rsidRPr="003A22B9">
        <w:rPr>
          <w:rFonts w:ascii="Times New Roman" w:eastAsia="Times New Roman" w:hAnsi="Times New Roman" w:cs="Times New Roman"/>
          <w:lang w:val="sr-Latn-ME"/>
        </w:rPr>
        <w:t xml:space="preserve"> PR). Procijenjen</w:t>
      </w:r>
      <w:r w:rsidR="00894CA1"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medijan</w:t>
      </w:r>
      <w:r w:rsidR="00894CA1"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vremena do progresije bolesti (engl. </w:t>
      </w:r>
      <w:r w:rsidRPr="003A22B9">
        <w:rPr>
          <w:rFonts w:ascii="Times New Roman" w:eastAsia="Times New Roman" w:hAnsi="Times New Roman" w:cs="Times New Roman"/>
          <w:i/>
          <w:lang w:val="sr-Latn-ME"/>
        </w:rPr>
        <w:t>time to progression -</w:t>
      </w:r>
      <w:r w:rsidRPr="003A22B9">
        <w:rPr>
          <w:rFonts w:ascii="Times New Roman" w:eastAsia="Times New Roman" w:hAnsi="Times New Roman" w:cs="Times New Roman"/>
          <w:lang w:val="sr-Latn-ME"/>
        </w:rPr>
        <w:t xml:space="preserve"> TTP) za pacijente koji su odgovorili na liječenje iznosil</w:t>
      </w:r>
      <w:r w:rsidR="00894CA1"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je 13,0 mjeseci. Analizom podgrupa pokazalo se da je ORR bio veći kod pacijenata sa histološkim podtipovima IWF B, C i D u odnosu na podtip IWF A (58% u odnosu na 12%), veći kod pacijenata kod kojih je najduži promjer najvećih lezija bio &lt; 5 cm u odnosu na &gt; 7 cm (53% u odnosu na 38%) i veći kod pacijenata u relapsu koji su odgovorili na hemoterapiju u odnosu na hemorezistentne pacijente (definisane trajanjem odgovora &lt; 3 mjeseca) u relapsu (50% u odnosu na 22%). ORR kod pacijenata prethodno liječenih autolognom transplantacijom kostne srži (eng. </w:t>
      </w:r>
      <w:r w:rsidRPr="003A22B9">
        <w:rPr>
          <w:rFonts w:ascii="Times New Roman" w:eastAsia="Times New Roman" w:hAnsi="Times New Roman" w:cs="Times New Roman"/>
          <w:i/>
          <w:lang w:val="sr-Latn-ME"/>
        </w:rPr>
        <w:t>autologous bone marrow transplant</w:t>
      </w:r>
      <w:r w:rsidRPr="003A22B9">
        <w:rPr>
          <w:rFonts w:ascii="Times New Roman" w:eastAsia="Times New Roman" w:hAnsi="Times New Roman" w:cs="Times New Roman"/>
          <w:lang w:val="sr-Latn-ME"/>
        </w:rPr>
        <w:t xml:space="preserve"> -</w:t>
      </w:r>
      <w:r w:rsidR="00894CA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ABMT) iznosio je 78% u odnosu na 43% kod pacijenata koji nijesu bili podvrgnuti tom postupku. Uzrast, pol, stepen </w:t>
      </w:r>
      <w:r w:rsidRPr="003A22B9">
        <w:rPr>
          <w:rFonts w:ascii="Times New Roman" w:eastAsia="Times New Roman" w:hAnsi="Times New Roman" w:cs="Times New Roman"/>
          <w:lang w:val="sr-Latn-ME"/>
        </w:rPr>
        <w:lastRenderedPageBreak/>
        <w:t>zloćudnosti limfoma, početna dijagnoza, prisu</w:t>
      </w:r>
      <w:r w:rsidR="00894CA1" w:rsidRPr="003A22B9">
        <w:rPr>
          <w:rFonts w:ascii="Times New Roman" w:eastAsia="Times New Roman" w:hAnsi="Times New Roman" w:cs="Times New Roman"/>
          <w:lang w:val="sr-Latn-ME"/>
        </w:rPr>
        <w:t>stvo</w:t>
      </w:r>
      <w:r w:rsidRPr="003A22B9">
        <w:rPr>
          <w:rFonts w:ascii="Times New Roman" w:eastAsia="Times New Roman" w:hAnsi="Times New Roman" w:cs="Times New Roman"/>
          <w:lang w:val="sr-Latn-ME"/>
        </w:rPr>
        <w:t xml:space="preserve"> ili odsu</w:t>
      </w:r>
      <w:r w:rsidR="00894CA1" w:rsidRPr="003A22B9">
        <w:rPr>
          <w:rFonts w:ascii="Times New Roman" w:eastAsia="Times New Roman" w:hAnsi="Times New Roman" w:cs="Times New Roman"/>
          <w:lang w:val="sr-Latn-ME"/>
        </w:rPr>
        <w:t>stvo</w:t>
      </w:r>
      <w:r w:rsidRPr="003A22B9">
        <w:rPr>
          <w:rFonts w:ascii="Times New Roman" w:eastAsia="Times New Roman" w:hAnsi="Times New Roman" w:cs="Times New Roman"/>
          <w:lang w:val="sr-Latn-ME"/>
        </w:rPr>
        <w:t xml:space="preserve"> proširenosti tumora, normalan ili povišen LDH i ekstranodalna bolest nijesu (prema Fisherovom testu tačne vjerovatnoće) statistički značajno uticali na odgovor na liječenje rituksimabom. Statistički značajna korelacija primijećena je između stopa odgovora i zahvaćenosti kostne srži. Odgovor je bio prisutan kod 40% pacijenata sa zahvaćenošću kostne srži, u odnosu na 59% pacijenata kod kojih nije bila zahvaćena kostna srž (p = 0,0186). Ovaj nalaz nije potvrđen postepenom logističkom regresionom analizom u kojoj su sljedeći faktori identifikovani kao prognostički: histološki tip, pozitivnost na bcl-2 na početku liječenja, rezistencija na posljednju hemoterapiju i proširenost tumora.</w:t>
      </w:r>
    </w:p>
    <w:p w14:paraId="5F9E25C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11B1E0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Inicijalna terapija, jednom nedjeljno, tokom 8 nedjelja, </w:t>
      </w:r>
      <w:r w:rsidRPr="00977A0E">
        <w:rPr>
          <w:rFonts w:ascii="Times New Roman" w:eastAsia="Times New Roman" w:hAnsi="Times New Roman" w:cs="Times New Roman"/>
          <w:lang w:val="sr-Latn-ME"/>
        </w:rPr>
        <w:t>ukupno osam doza</w:t>
      </w:r>
      <w:r w:rsidRPr="003A22B9">
        <w:rPr>
          <w:rFonts w:ascii="Times New Roman" w:eastAsia="Times New Roman" w:hAnsi="Times New Roman" w:cs="Times New Roman"/>
          <w:lang w:val="sr-Latn-ME"/>
        </w:rPr>
        <w:t xml:space="preserve"> </w:t>
      </w:r>
    </w:p>
    <w:p w14:paraId="185ACB6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multicentričnoj, nekomparativnoj studiji 37 pacijenata sa recidivirajućim ili hemiorezistentnim, niskogradiranim ili folikularnim B-ćelijskim NHL primalo je po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rituksimaba putem intravenske infuzije jednom nedjeljno, ukupno osam doza. ORR je iznosio 57% (95% interval pouzdanosti (CI); 41% - 73%; CR 14%, PR 43%), a procijenjena medijana TTP –a kod pacijenata koji su odgovorili na liječenje bila je 19,4 mjeseci (raspon od 5,3 do 38,9 mjeseci). </w:t>
      </w:r>
    </w:p>
    <w:p w14:paraId="6E3918D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F7B9AD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Inicijalna terapija, prošireni tumor, jednom nedjeljno, tokom 4 nedjelje, </w:t>
      </w:r>
      <w:r w:rsidRPr="00977A0E">
        <w:rPr>
          <w:rFonts w:ascii="Times New Roman" w:eastAsia="Times New Roman" w:hAnsi="Times New Roman" w:cs="Times New Roman"/>
          <w:lang w:val="sr-Latn-ME"/>
        </w:rPr>
        <w:t>ukupno četiri doze</w:t>
      </w:r>
      <w:r w:rsidRPr="003A22B9">
        <w:rPr>
          <w:rFonts w:ascii="Times New Roman" w:eastAsia="Times New Roman" w:hAnsi="Times New Roman" w:cs="Times New Roman"/>
          <w:lang w:val="sr-Latn-ME"/>
        </w:rPr>
        <w:t xml:space="preserve"> </w:t>
      </w:r>
    </w:p>
    <w:p w14:paraId="63F03219" w14:textId="7219A70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objedinjenim podacima iz tri ispitivanja 39 pacijenata sa recidivirajućim ili hemorezistentnim tumorom (promjer jedne lezije ≥ 10 cm), niskog stepena malignosti ili folikularnim B-ćelijskim NHL primilo je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rituksimaba u vidu intravenske infuzije jednom nedjeljno u 4 doze. ORR je iznosio 36% (CI</w:t>
      </w:r>
      <w:r w:rsidRPr="003A22B9">
        <w:rPr>
          <w:rFonts w:ascii="Times New Roman" w:eastAsia="Times New Roman" w:hAnsi="Times New Roman" w:cs="Times New Roman"/>
          <w:vertAlign w:val="subscript"/>
          <w:lang w:val="sr-Latn-ME"/>
        </w:rPr>
        <w:t>95</w:t>
      </w:r>
      <w:r w:rsidRPr="003A22B9">
        <w:rPr>
          <w:rFonts w:ascii="Times New Roman" w:eastAsia="Times New Roman" w:hAnsi="Times New Roman" w:cs="Times New Roman"/>
          <w:lang w:val="sr-Latn-ME"/>
        </w:rPr>
        <w:t xml:space="preserve">% 21% - 51%; CR 3%, PR 33%), a medijana TTP kod pacijenata koji su odgovorili na liječenje 9,6 mjeseci (raspon 4,5 do 26,8 mjeseci). </w:t>
      </w:r>
    </w:p>
    <w:p w14:paraId="10BEDCE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52E1C8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Ponovna terapija, jednom nedjeljno, ukupno </w:t>
      </w:r>
      <w:r w:rsidRPr="00977A0E">
        <w:rPr>
          <w:rFonts w:ascii="Times New Roman" w:eastAsia="Times New Roman" w:hAnsi="Times New Roman" w:cs="Times New Roman"/>
          <w:lang w:val="sr-Latn-ME"/>
        </w:rPr>
        <w:t>četiri doze</w:t>
      </w:r>
      <w:r w:rsidRPr="003A22B9">
        <w:rPr>
          <w:rFonts w:ascii="Times New Roman" w:eastAsia="Times New Roman" w:hAnsi="Times New Roman" w:cs="Times New Roman"/>
          <w:lang w:val="sr-Latn-ME"/>
        </w:rPr>
        <w:t xml:space="preserve"> </w:t>
      </w:r>
    </w:p>
    <w:p w14:paraId="55095C3B" w14:textId="048686F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multicentričnoj nekomparativnoj studiji je 58 pacijenata sa recidivirajućim ili hemiorezistentnim, B-ćelijskim ne-Hodgkinovim limfomom ili limfomom niskog stepena malignosti kod kojih je postignut  objektivni klinički odgovor na prethodno liječenje rituksimabom, ponovo liječeno rituksimabom u dozi od</w:t>
      </w:r>
      <w:r w:rsidRPr="003A22B9" w:rsidDel="00535723">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putem intravenske infuzije jednom nedjeljno, tokom 4 nedjelje, ukupno četiri doze. Tri pacijenata su već primila dva ciklusa liječenja rituksimabom prije uključivanja u studiju, pa su tokom studije bili podvrgnuti trećem ciklusu liječenja. Dva pacijenta su u ispitivanju dva puta primila ponovljeno liječenje. U 60 ponovljenih liječenja u ispitivanju ORR je iznosio 38% (CI</w:t>
      </w:r>
      <w:r w:rsidRPr="003A22B9">
        <w:rPr>
          <w:rFonts w:ascii="Times New Roman" w:eastAsia="Times New Roman" w:hAnsi="Times New Roman" w:cs="Times New Roman"/>
          <w:vertAlign w:val="subscript"/>
          <w:lang w:val="sr-Latn-ME"/>
        </w:rPr>
        <w:t>95</w:t>
      </w:r>
      <w:r w:rsidRPr="003A22B9">
        <w:rPr>
          <w:rFonts w:ascii="Times New Roman" w:eastAsia="Times New Roman" w:hAnsi="Times New Roman" w:cs="Times New Roman"/>
          <w:lang w:val="sr-Latn-ME"/>
        </w:rPr>
        <w:t xml:space="preserve">% 26% - 51%; CR 10%, PR 28%), a procijenjena medijana TTP-a za pacijente koji su odgovorili na liječenje 17,8 mjeseci (raspon </w:t>
      </w:r>
      <w:r w:rsidR="00CC34CE">
        <w:rPr>
          <w:rFonts w:ascii="Times New Roman" w:eastAsia="Times New Roman" w:hAnsi="Times New Roman" w:cs="Times New Roman"/>
          <w:lang w:val="sr-Latn-ME"/>
        </w:rPr>
        <w:t xml:space="preserve">od </w:t>
      </w:r>
      <w:r w:rsidRPr="003A22B9">
        <w:rPr>
          <w:rFonts w:ascii="Times New Roman" w:eastAsia="Times New Roman" w:hAnsi="Times New Roman" w:cs="Times New Roman"/>
          <w:lang w:val="sr-Latn-ME"/>
        </w:rPr>
        <w:t xml:space="preserve">5,4 do 26,6 mjeseci). Ovo je povoljnije u odnosu na TTP postignut nakon prethodnog ciklusa liječenja rituksimabom (12,4 mjeseci). </w:t>
      </w:r>
    </w:p>
    <w:p w14:paraId="6324209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C025268"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Inicijalno liječenje u kombinaciji sa hemioterapijom </w:t>
      </w:r>
    </w:p>
    <w:p w14:paraId="00206A0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69046F6" w14:textId="2B8BA3C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otvorenom randomizovanom ispitivanju ukupno 322 prethodno neliječenih pacijenata oboljelih od folikularnog limfoma bilo je randomizovano za primanje CVP hemioterapije (ciklofosfamid 750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vinkristin 1,4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do maksimalno 2 mg dnevno prvog dana i prednizolon 40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/dan od prvog do petog dana) svake tri nedjelje u 8 ciklusa liječenja, ili rituksimab u dozi od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kombinaciji sa CVP hemioterapijom (R-CVP). Rituksimab je</w:t>
      </w:r>
      <w:r w:rsidR="00894CA1"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primjenjivan prvog dana svakog terapijskog ciklusa. Ukupno 321 pacijent (162 R-CVP, 159 CVP) je primao terapiju i analizirana je efikasnost. Medijana praćenja pacijenata iznosila je 53 mjeseca. R-CVP se u odnosu na CVP pokazao </w:t>
      </w:r>
      <w:r w:rsidR="0060737E" w:rsidRPr="003A22B9">
        <w:rPr>
          <w:rFonts w:ascii="Times New Roman" w:eastAsia="Times New Roman" w:hAnsi="Times New Roman" w:cs="Times New Roman"/>
          <w:lang w:val="sr-Latn-ME"/>
        </w:rPr>
        <w:t>značajno</w:t>
      </w:r>
      <w:r w:rsidRPr="003A22B9">
        <w:rPr>
          <w:rFonts w:ascii="Times New Roman" w:eastAsia="Times New Roman" w:hAnsi="Times New Roman" w:cs="Times New Roman"/>
          <w:lang w:val="sr-Latn-ME"/>
        </w:rPr>
        <w:t xml:space="preserve"> boljim u postizanju primarnog </w:t>
      </w:r>
      <w:r w:rsidR="0060737E" w:rsidRPr="003A22B9">
        <w:rPr>
          <w:rFonts w:ascii="Times New Roman" w:eastAsia="Times New Roman" w:hAnsi="Times New Roman" w:cs="Times New Roman"/>
          <w:lang w:val="sr-Latn-ME"/>
        </w:rPr>
        <w:t>parametra praćenja</w:t>
      </w:r>
      <w:r w:rsidRPr="003A22B9">
        <w:rPr>
          <w:rFonts w:ascii="Times New Roman" w:eastAsia="Times New Roman" w:hAnsi="Times New Roman" w:cs="Times New Roman"/>
          <w:lang w:val="sr-Latn-ME"/>
        </w:rPr>
        <w:t xml:space="preserve"> studije, vremena do prestanka efekta liječenja (27 mjeseci u poređenju sa 6,6 mjeseci, p &lt; 0,0001, log-rank test). Procenat pacijenata kod kojih je došlo do odgovora tumora na terapiju (CR, Cru (nepotvrđen potpuni odgovor, engl. </w:t>
      </w:r>
      <w:r w:rsidRPr="003A22B9">
        <w:rPr>
          <w:rFonts w:ascii="Times New Roman" w:eastAsia="Times New Roman" w:hAnsi="Times New Roman" w:cs="Times New Roman"/>
          <w:i/>
          <w:lang w:val="sr-Latn-ME"/>
        </w:rPr>
        <w:t>complete response/unconfirmed</w:t>
      </w:r>
      <w:r w:rsidRPr="003A22B9">
        <w:rPr>
          <w:rFonts w:ascii="Times New Roman" w:eastAsia="Times New Roman" w:hAnsi="Times New Roman" w:cs="Times New Roman"/>
          <w:lang w:val="sr-Latn-ME"/>
        </w:rPr>
        <w:t>) ili PR) bio je značajno veći (p &lt; 0.0001, hi-kvadrat test) u R-CVP grupi (80,9%) u poređenju sa CVP grupom (57,2%). Liječenje R-CVP-om značajno je produžilo vrijeme do progresije bolesti ili smrti u poređenju sa CVP-om, 33,6 mjeseci u poređenju sa 14,7 mjeseci (p &lt; 0,0001, log-rank test). Medijana trajanja odgovora bila je 37,7 mjeseci u R-CVP grupi, u poređenju sa 13,5 mjeseci u CVP grupi (p &lt; 0,0001, log-rank test).</w:t>
      </w:r>
    </w:p>
    <w:p w14:paraId="17FF42F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6B86EF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Razlika među liječenim grupama u odnosu na ukupno preživljavanje bila je klinički značajna (p = 0,029, log-rank test stratifikovan po centrima): stope preživljavanja nakon 53 mjeseca bile su 80,9% u R-CVP grupi u poređenju sa 71,1% za pacijenate u CVP grupi. </w:t>
      </w:r>
    </w:p>
    <w:p w14:paraId="5C86024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C112925" w14:textId="3DC0069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Rezultati u tri druge randomizovane studije u kojima je rituksimab primjenjivan u kombinaciji sa hemioterapijskim režimom koji nije bio CVP (CHOP, MCP, CHVP/interferon-α) takođe su pokazali značajno poboljšanje u stopi odgovora, vremenski zavisnih parametara kao i ukupnom preživljavanju. Ključni rezultati sve četiri studije prikazani su u tabeli </w:t>
      </w:r>
      <w:r w:rsidR="004D43C6" w:rsidRPr="003A22B9">
        <w:rPr>
          <w:rFonts w:ascii="Times New Roman" w:eastAsia="Times New Roman" w:hAnsi="Times New Roman" w:cs="Times New Roman"/>
          <w:lang w:val="sr-Latn-ME"/>
        </w:rPr>
        <w:t>8</w:t>
      </w:r>
      <w:r w:rsidRPr="003A22B9">
        <w:rPr>
          <w:rFonts w:ascii="Times New Roman" w:eastAsia="Times New Roman" w:hAnsi="Times New Roman" w:cs="Times New Roman"/>
          <w:lang w:val="sr-Latn-ME"/>
        </w:rPr>
        <w:t>.</w:t>
      </w:r>
    </w:p>
    <w:p w14:paraId="59642663" w14:textId="77777777"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p>
    <w:p w14:paraId="72219BC6" w14:textId="0ACA5495"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4D43C6" w:rsidRPr="003A22B9">
        <w:rPr>
          <w:rFonts w:ascii="Times New Roman" w:eastAsia="Times New Roman" w:hAnsi="Times New Roman" w:cs="Times New Roman"/>
          <w:b/>
          <w:lang w:val="sr-Latn-ME"/>
        </w:rPr>
        <w:t>8</w:t>
      </w:r>
      <w:r w:rsidRPr="003A22B9">
        <w:rPr>
          <w:rFonts w:ascii="Times New Roman" w:eastAsia="Times New Roman" w:hAnsi="Times New Roman" w:cs="Times New Roman"/>
          <w:b/>
          <w:lang w:val="sr-Latn-ME"/>
        </w:rPr>
        <w:t>.</w:t>
      </w:r>
      <w:r w:rsidRPr="003A22B9">
        <w:rPr>
          <w:rFonts w:ascii="Times New Roman" w:eastAsia="Times New Roman" w:hAnsi="Times New Roman" w:cs="Times New Roman"/>
          <w:b/>
          <w:lang w:val="sr-Latn-ME"/>
        </w:rPr>
        <w:tab/>
        <w:t>Sažetak ključnih rezultata četiri randomizovane studije faze III koje su procjenjivale korist primjene rituksimaba u kombinaciji sa različitim hemioterapijskim režimima kod folikularnog limfoma</w:t>
      </w:r>
    </w:p>
    <w:p w14:paraId="0E61E5C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1530"/>
        <w:gridCol w:w="1385"/>
        <w:gridCol w:w="1364"/>
        <w:gridCol w:w="1354"/>
        <w:gridCol w:w="1741"/>
        <w:gridCol w:w="1418"/>
      </w:tblGrid>
      <w:tr w:rsidR="00A75B47" w:rsidRPr="003A22B9" w14:paraId="38D0FF13" w14:textId="77777777" w:rsidTr="00D64A2E">
        <w:tc>
          <w:tcPr>
            <w:tcW w:w="1239" w:type="dxa"/>
            <w:shd w:val="clear" w:color="auto" w:fill="auto"/>
          </w:tcPr>
          <w:p w14:paraId="5CB8DE0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Studija</w:t>
            </w:r>
          </w:p>
        </w:tc>
        <w:tc>
          <w:tcPr>
            <w:tcW w:w="1530" w:type="dxa"/>
            <w:shd w:val="clear" w:color="auto" w:fill="auto"/>
          </w:tcPr>
          <w:p w14:paraId="3B2AB17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Terapija</w:t>
            </w:r>
          </w:p>
          <w:p w14:paraId="6FE73D4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w:t>
            </w:r>
          </w:p>
        </w:tc>
        <w:tc>
          <w:tcPr>
            <w:tcW w:w="1385" w:type="dxa"/>
            <w:shd w:val="clear" w:color="auto" w:fill="auto"/>
          </w:tcPr>
          <w:p w14:paraId="1525DFB3"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Medijana praćenja, mjeseci</w:t>
            </w:r>
          </w:p>
        </w:tc>
        <w:tc>
          <w:tcPr>
            <w:tcW w:w="1364" w:type="dxa"/>
            <w:shd w:val="clear" w:color="auto" w:fill="auto"/>
          </w:tcPr>
          <w:p w14:paraId="69039DE2"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ORR,</w:t>
            </w:r>
          </w:p>
          <w:p w14:paraId="4ACCC85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w:t>
            </w:r>
          </w:p>
        </w:tc>
        <w:tc>
          <w:tcPr>
            <w:tcW w:w="1354" w:type="dxa"/>
            <w:shd w:val="clear" w:color="auto" w:fill="auto"/>
          </w:tcPr>
          <w:p w14:paraId="2D2F426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CR,</w:t>
            </w:r>
          </w:p>
          <w:p w14:paraId="0913EA4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w:t>
            </w:r>
          </w:p>
        </w:tc>
        <w:tc>
          <w:tcPr>
            <w:tcW w:w="1741" w:type="dxa"/>
            <w:shd w:val="clear" w:color="auto" w:fill="auto"/>
          </w:tcPr>
          <w:p w14:paraId="5C0F4C6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Medijana TTF/PFS/EFS, mjeseci</w:t>
            </w:r>
          </w:p>
        </w:tc>
        <w:tc>
          <w:tcPr>
            <w:tcW w:w="1418" w:type="dxa"/>
            <w:shd w:val="clear" w:color="auto" w:fill="auto"/>
          </w:tcPr>
          <w:p w14:paraId="51F213FB"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Stope</w:t>
            </w:r>
          </w:p>
          <w:p w14:paraId="4EF56FDB"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OS, %</w:t>
            </w:r>
          </w:p>
        </w:tc>
      </w:tr>
      <w:tr w:rsidR="00A75B47" w:rsidRPr="003A22B9" w14:paraId="20A86C3F" w14:textId="77777777" w:rsidTr="00D64A2E">
        <w:tc>
          <w:tcPr>
            <w:tcW w:w="1239" w:type="dxa"/>
            <w:shd w:val="clear" w:color="auto" w:fill="auto"/>
            <w:vAlign w:val="center"/>
          </w:tcPr>
          <w:p w14:paraId="44D63F90"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M39021</w:t>
            </w:r>
          </w:p>
        </w:tc>
        <w:tc>
          <w:tcPr>
            <w:tcW w:w="1530" w:type="dxa"/>
            <w:shd w:val="clear" w:color="auto" w:fill="auto"/>
            <w:vAlign w:val="center"/>
          </w:tcPr>
          <w:p w14:paraId="6A5151F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CVP: 159</w:t>
            </w:r>
          </w:p>
          <w:p w14:paraId="4CC2B56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R-CVP, 162</w:t>
            </w:r>
          </w:p>
        </w:tc>
        <w:tc>
          <w:tcPr>
            <w:tcW w:w="1385" w:type="dxa"/>
            <w:shd w:val="clear" w:color="auto" w:fill="auto"/>
            <w:vAlign w:val="center"/>
          </w:tcPr>
          <w:p w14:paraId="64B69C4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53</w:t>
            </w:r>
          </w:p>
        </w:tc>
        <w:tc>
          <w:tcPr>
            <w:tcW w:w="1364" w:type="dxa"/>
            <w:shd w:val="clear" w:color="auto" w:fill="auto"/>
            <w:vAlign w:val="center"/>
          </w:tcPr>
          <w:p w14:paraId="4C96BB98"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57</w:t>
            </w:r>
          </w:p>
          <w:p w14:paraId="4DA78199"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81</w:t>
            </w:r>
          </w:p>
        </w:tc>
        <w:tc>
          <w:tcPr>
            <w:tcW w:w="1354" w:type="dxa"/>
            <w:shd w:val="clear" w:color="auto" w:fill="auto"/>
            <w:vAlign w:val="center"/>
          </w:tcPr>
          <w:p w14:paraId="2E239A15"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w:t>
            </w:r>
          </w:p>
          <w:p w14:paraId="26DAE6C1"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41</w:t>
            </w:r>
          </w:p>
        </w:tc>
        <w:tc>
          <w:tcPr>
            <w:tcW w:w="1741" w:type="dxa"/>
            <w:shd w:val="clear" w:color="auto" w:fill="auto"/>
            <w:vAlign w:val="center"/>
          </w:tcPr>
          <w:p w14:paraId="36D34CC3" w14:textId="6174D24D"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Medijan</w:t>
            </w:r>
            <w:r w:rsidR="003E4B17"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TTP: 14,7</w:t>
            </w:r>
          </w:p>
          <w:p w14:paraId="633495B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33,6</w:t>
            </w:r>
          </w:p>
          <w:p w14:paraId="7360E5F2"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&lt; 0,0001</w:t>
            </w:r>
          </w:p>
        </w:tc>
        <w:tc>
          <w:tcPr>
            <w:tcW w:w="1418" w:type="dxa"/>
            <w:shd w:val="clear" w:color="auto" w:fill="auto"/>
            <w:vAlign w:val="center"/>
          </w:tcPr>
          <w:p w14:paraId="67626BE6"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53 mjeseca 71,1</w:t>
            </w:r>
          </w:p>
          <w:p w14:paraId="45D2417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80,9</w:t>
            </w:r>
          </w:p>
          <w:p w14:paraId="2E26C6E1"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 0,029</w:t>
            </w:r>
          </w:p>
        </w:tc>
      </w:tr>
      <w:tr w:rsidR="00A75B47" w:rsidRPr="003A22B9" w14:paraId="5BE9206D" w14:textId="77777777" w:rsidTr="00D64A2E">
        <w:tc>
          <w:tcPr>
            <w:tcW w:w="1239" w:type="dxa"/>
            <w:shd w:val="clear" w:color="auto" w:fill="auto"/>
            <w:vAlign w:val="center"/>
          </w:tcPr>
          <w:p w14:paraId="784D83C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GLSG’00</w:t>
            </w:r>
          </w:p>
        </w:tc>
        <w:tc>
          <w:tcPr>
            <w:tcW w:w="1530" w:type="dxa"/>
            <w:shd w:val="clear" w:color="auto" w:fill="auto"/>
            <w:vAlign w:val="center"/>
          </w:tcPr>
          <w:p w14:paraId="50C6444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CHOP: 205 </w:t>
            </w:r>
          </w:p>
          <w:p w14:paraId="6136854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R-CHOP: 223</w:t>
            </w:r>
          </w:p>
        </w:tc>
        <w:tc>
          <w:tcPr>
            <w:tcW w:w="1385" w:type="dxa"/>
            <w:shd w:val="clear" w:color="auto" w:fill="auto"/>
            <w:vAlign w:val="center"/>
          </w:tcPr>
          <w:p w14:paraId="03A2D533"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18</w:t>
            </w:r>
          </w:p>
        </w:tc>
        <w:tc>
          <w:tcPr>
            <w:tcW w:w="1364" w:type="dxa"/>
            <w:shd w:val="clear" w:color="auto" w:fill="auto"/>
            <w:vAlign w:val="center"/>
          </w:tcPr>
          <w:p w14:paraId="18D9BD0D"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90</w:t>
            </w:r>
          </w:p>
          <w:p w14:paraId="7436660C"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96</w:t>
            </w:r>
          </w:p>
        </w:tc>
        <w:tc>
          <w:tcPr>
            <w:tcW w:w="1354" w:type="dxa"/>
            <w:shd w:val="clear" w:color="auto" w:fill="auto"/>
            <w:vAlign w:val="center"/>
          </w:tcPr>
          <w:p w14:paraId="65F5E1C1"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17</w:t>
            </w:r>
          </w:p>
          <w:p w14:paraId="24E28BA5"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20</w:t>
            </w:r>
          </w:p>
        </w:tc>
        <w:tc>
          <w:tcPr>
            <w:tcW w:w="1741" w:type="dxa"/>
            <w:shd w:val="clear" w:color="auto" w:fill="auto"/>
            <w:vAlign w:val="center"/>
          </w:tcPr>
          <w:p w14:paraId="22140D50" w14:textId="791C53F2"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Medijan</w:t>
            </w:r>
            <w:r w:rsidR="003E4B17"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TTF: 2,6 godina</w:t>
            </w:r>
          </w:p>
          <w:p w14:paraId="764F7DC4"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Nije dostignuto</w:t>
            </w:r>
          </w:p>
          <w:p w14:paraId="6298C1E3"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&lt; 0,001</w:t>
            </w:r>
          </w:p>
        </w:tc>
        <w:tc>
          <w:tcPr>
            <w:tcW w:w="1418" w:type="dxa"/>
            <w:shd w:val="clear" w:color="auto" w:fill="auto"/>
            <w:vAlign w:val="center"/>
          </w:tcPr>
          <w:p w14:paraId="1952FAB5"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18 mjeseci</w:t>
            </w:r>
          </w:p>
          <w:p w14:paraId="1F68B20B"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90</w:t>
            </w:r>
          </w:p>
          <w:p w14:paraId="0E8323FE"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95</w:t>
            </w:r>
          </w:p>
          <w:p w14:paraId="58089280"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 0,016</w:t>
            </w:r>
          </w:p>
        </w:tc>
      </w:tr>
      <w:tr w:rsidR="00A75B47" w:rsidRPr="003A22B9" w14:paraId="28136175" w14:textId="77777777" w:rsidTr="00D64A2E">
        <w:tc>
          <w:tcPr>
            <w:tcW w:w="1239" w:type="dxa"/>
            <w:shd w:val="clear" w:color="auto" w:fill="auto"/>
            <w:vAlign w:val="center"/>
          </w:tcPr>
          <w:p w14:paraId="198DCCF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OSHO-39</w:t>
            </w:r>
          </w:p>
        </w:tc>
        <w:tc>
          <w:tcPr>
            <w:tcW w:w="1530" w:type="dxa"/>
            <w:shd w:val="clear" w:color="auto" w:fill="auto"/>
            <w:vAlign w:val="center"/>
          </w:tcPr>
          <w:p w14:paraId="6FFCF1A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MCP: 96 </w:t>
            </w:r>
          </w:p>
          <w:p w14:paraId="55CE756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R-MCP: 105</w:t>
            </w:r>
          </w:p>
        </w:tc>
        <w:tc>
          <w:tcPr>
            <w:tcW w:w="1385" w:type="dxa"/>
            <w:shd w:val="clear" w:color="auto" w:fill="auto"/>
            <w:vAlign w:val="center"/>
          </w:tcPr>
          <w:p w14:paraId="6C7B7218"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47</w:t>
            </w:r>
          </w:p>
        </w:tc>
        <w:tc>
          <w:tcPr>
            <w:tcW w:w="1364" w:type="dxa"/>
            <w:shd w:val="clear" w:color="auto" w:fill="auto"/>
            <w:vAlign w:val="center"/>
          </w:tcPr>
          <w:p w14:paraId="56D4F5F5"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75</w:t>
            </w:r>
          </w:p>
          <w:p w14:paraId="42EC9FEE"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92</w:t>
            </w:r>
          </w:p>
        </w:tc>
        <w:tc>
          <w:tcPr>
            <w:tcW w:w="1354" w:type="dxa"/>
            <w:shd w:val="clear" w:color="auto" w:fill="auto"/>
            <w:vAlign w:val="center"/>
          </w:tcPr>
          <w:p w14:paraId="0AC044D5"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25</w:t>
            </w:r>
          </w:p>
          <w:p w14:paraId="0D1D4AE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50</w:t>
            </w:r>
          </w:p>
        </w:tc>
        <w:tc>
          <w:tcPr>
            <w:tcW w:w="1741" w:type="dxa"/>
            <w:shd w:val="clear" w:color="auto" w:fill="auto"/>
            <w:vAlign w:val="center"/>
          </w:tcPr>
          <w:p w14:paraId="37CFBAF1" w14:textId="59770179"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Medijan</w:t>
            </w:r>
            <w:r w:rsidR="003E4B17"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PFS: 28,8</w:t>
            </w:r>
          </w:p>
          <w:p w14:paraId="3743716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Nije dostignuto</w:t>
            </w:r>
          </w:p>
          <w:p w14:paraId="3162BC63"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&lt; 0,0001</w:t>
            </w:r>
          </w:p>
        </w:tc>
        <w:tc>
          <w:tcPr>
            <w:tcW w:w="1418" w:type="dxa"/>
            <w:shd w:val="clear" w:color="auto" w:fill="auto"/>
            <w:vAlign w:val="center"/>
          </w:tcPr>
          <w:p w14:paraId="33E1E361"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48 mjeseci</w:t>
            </w:r>
          </w:p>
          <w:p w14:paraId="7BDCC9A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74</w:t>
            </w:r>
          </w:p>
          <w:p w14:paraId="60317F42"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87</w:t>
            </w:r>
          </w:p>
          <w:p w14:paraId="65EBF498"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 0,0096</w:t>
            </w:r>
          </w:p>
        </w:tc>
      </w:tr>
      <w:tr w:rsidR="00A75B47" w:rsidRPr="003A22B9" w14:paraId="31589B98" w14:textId="77777777" w:rsidTr="00D64A2E">
        <w:tc>
          <w:tcPr>
            <w:tcW w:w="1239" w:type="dxa"/>
            <w:shd w:val="clear" w:color="auto" w:fill="auto"/>
            <w:vAlign w:val="center"/>
          </w:tcPr>
          <w:p w14:paraId="0A8E911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FL2000</w:t>
            </w:r>
          </w:p>
        </w:tc>
        <w:tc>
          <w:tcPr>
            <w:tcW w:w="1530" w:type="dxa"/>
            <w:shd w:val="clear" w:color="auto" w:fill="auto"/>
            <w:vAlign w:val="center"/>
          </w:tcPr>
          <w:p w14:paraId="1A619D3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CHVP-IFN: 183 </w:t>
            </w:r>
          </w:p>
          <w:p w14:paraId="2DD909B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R-CHVP-IFN: 175</w:t>
            </w:r>
          </w:p>
        </w:tc>
        <w:tc>
          <w:tcPr>
            <w:tcW w:w="1385" w:type="dxa"/>
            <w:shd w:val="clear" w:color="auto" w:fill="auto"/>
            <w:vAlign w:val="center"/>
          </w:tcPr>
          <w:p w14:paraId="7A5791CA"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w:t>
            </w:r>
          </w:p>
        </w:tc>
        <w:tc>
          <w:tcPr>
            <w:tcW w:w="1364" w:type="dxa"/>
            <w:shd w:val="clear" w:color="auto" w:fill="auto"/>
            <w:vAlign w:val="center"/>
          </w:tcPr>
          <w:p w14:paraId="0C80F570"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85</w:t>
            </w:r>
          </w:p>
          <w:p w14:paraId="4A547153"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94</w:t>
            </w:r>
          </w:p>
        </w:tc>
        <w:tc>
          <w:tcPr>
            <w:tcW w:w="1354" w:type="dxa"/>
            <w:shd w:val="clear" w:color="auto" w:fill="auto"/>
            <w:vAlign w:val="center"/>
          </w:tcPr>
          <w:p w14:paraId="248C5A5D"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49</w:t>
            </w:r>
          </w:p>
          <w:p w14:paraId="37737A20"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76</w:t>
            </w:r>
          </w:p>
        </w:tc>
        <w:tc>
          <w:tcPr>
            <w:tcW w:w="1741" w:type="dxa"/>
            <w:shd w:val="clear" w:color="auto" w:fill="auto"/>
            <w:vAlign w:val="center"/>
          </w:tcPr>
          <w:p w14:paraId="6420FD62" w14:textId="02866543"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Medijan</w:t>
            </w:r>
            <w:r w:rsidR="003E4B17"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EFS: 36</w:t>
            </w:r>
          </w:p>
          <w:p w14:paraId="60A577AF"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Nije dostignuto</w:t>
            </w:r>
          </w:p>
          <w:p w14:paraId="46ED61AB"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&lt; 0,0001</w:t>
            </w:r>
          </w:p>
        </w:tc>
        <w:tc>
          <w:tcPr>
            <w:tcW w:w="1418" w:type="dxa"/>
            <w:shd w:val="clear" w:color="auto" w:fill="auto"/>
            <w:vAlign w:val="center"/>
          </w:tcPr>
          <w:p w14:paraId="1BC8C8F2"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 mjeseca</w:t>
            </w:r>
          </w:p>
          <w:p w14:paraId="00D1AE01"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84</w:t>
            </w:r>
          </w:p>
          <w:p w14:paraId="070D17C9"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91</w:t>
            </w:r>
          </w:p>
          <w:p w14:paraId="1C562F13" w14:textId="77777777" w:rsidR="00A75B47" w:rsidRPr="003A22B9" w:rsidRDefault="00A75B47" w:rsidP="00287E1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p = 0,029</w:t>
            </w:r>
          </w:p>
        </w:tc>
      </w:tr>
    </w:tbl>
    <w:p w14:paraId="2F55F471"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EFS – Preživljavanje bez događaja (engl. </w:t>
      </w:r>
      <w:r w:rsidRPr="001C3C2B">
        <w:rPr>
          <w:rFonts w:ascii="Times New Roman" w:eastAsia="Times New Roman" w:hAnsi="Times New Roman" w:cs="Times New Roman"/>
          <w:i/>
          <w:sz w:val="20"/>
          <w:szCs w:val="20"/>
          <w:lang w:val="sr-Latn-ME"/>
        </w:rPr>
        <w:t>Event Free Survival</w:t>
      </w:r>
      <w:r w:rsidRPr="001C3C2B">
        <w:rPr>
          <w:rFonts w:ascii="Times New Roman" w:eastAsia="Times New Roman" w:hAnsi="Times New Roman" w:cs="Times New Roman"/>
          <w:sz w:val="20"/>
          <w:szCs w:val="20"/>
          <w:lang w:val="sr-Latn-ME"/>
        </w:rPr>
        <w:t>)</w:t>
      </w:r>
    </w:p>
    <w:p w14:paraId="0F8F698F"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TTP– Vrijeme do progresije bolesti ili smrti (engl. </w:t>
      </w:r>
      <w:r w:rsidRPr="001C3C2B">
        <w:rPr>
          <w:rFonts w:ascii="Times New Roman" w:eastAsia="Times New Roman" w:hAnsi="Times New Roman" w:cs="Times New Roman"/>
          <w:i/>
          <w:sz w:val="20"/>
          <w:szCs w:val="20"/>
          <w:lang w:val="sr-Latn-ME"/>
        </w:rPr>
        <w:t>Time to progression or death</w:t>
      </w:r>
      <w:r w:rsidRPr="001C3C2B">
        <w:rPr>
          <w:rFonts w:ascii="Times New Roman" w:eastAsia="Times New Roman" w:hAnsi="Times New Roman" w:cs="Times New Roman"/>
          <w:sz w:val="20"/>
          <w:szCs w:val="20"/>
          <w:lang w:val="sr-Latn-ME"/>
        </w:rPr>
        <w:t>)</w:t>
      </w:r>
    </w:p>
    <w:p w14:paraId="0BD14E42"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PFS– Preživljavanje bez progresije bolesti (engl. </w:t>
      </w:r>
      <w:r w:rsidRPr="001C3C2B">
        <w:rPr>
          <w:rFonts w:ascii="Times New Roman" w:eastAsia="Times New Roman" w:hAnsi="Times New Roman" w:cs="Times New Roman"/>
          <w:i/>
          <w:sz w:val="20"/>
          <w:szCs w:val="20"/>
          <w:lang w:val="sr-Latn-ME"/>
        </w:rPr>
        <w:t>Progression Free Survival</w:t>
      </w:r>
      <w:r w:rsidRPr="001C3C2B">
        <w:rPr>
          <w:rFonts w:ascii="Times New Roman" w:eastAsia="Times New Roman" w:hAnsi="Times New Roman" w:cs="Times New Roman"/>
          <w:sz w:val="20"/>
          <w:szCs w:val="20"/>
          <w:lang w:val="sr-Latn-ME"/>
        </w:rPr>
        <w:t>)</w:t>
      </w:r>
    </w:p>
    <w:p w14:paraId="77B3F7C0"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TTF– Vrijeme do prestanka efekta terapije (engl. </w:t>
      </w:r>
      <w:r w:rsidRPr="001C3C2B">
        <w:rPr>
          <w:rFonts w:ascii="Times New Roman" w:eastAsia="Times New Roman" w:hAnsi="Times New Roman" w:cs="Times New Roman"/>
          <w:i/>
          <w:sz w:val="20"/>
          <w:szCs w:val="20"/>
          <w:lang w:val="sr-Latn-ME"/>
        </w:rPr>
        <w:t>Time to Treatment Failure</w:t>
      </w:r>
      <w:r w:rsidRPr="001C3C2B">
        <w:rPr>
          <w:rFonts w:ascii="Times New Roman" w:eastAsia="Times New Roman" w:hAnsi="Times New Roman" w:cs="Times New Roman"/>
          <w:sz w:val="20"/>
          <w:szCs w:val="20"/>
          <w:lang w:val="sr-Latn-ME"/>
        </w:rPr>
        <w:t>)</w:t>
      </w:r>
    </w:p>
    <w:p w14:paraId="4E348B08"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stope OS – Stope preživljavanja u vrijeme analize rezultata (engl. </w:t>
      </w:r>
      <w:r w:rsidRPr="001C3C2B">
        <w:rPr>
          <w:rFonts w:ascii="Times New Roman" w:eastAsia="Times New Roman" w:hAnsi="Times New Roman" w:cs="Times New Roman"/>
          <w:i/>
          <w:sz w:val="20"/>
          <w:szCs w:val="20"/>
          <w:lang w:val="sr-Latn-ME"/>
        </w:rPr>
        <w:t>Overall Survival rates</w:t>
      </w:r>
      <w:r w:rsidRPr="001C3C2B">
        <w:rPr>
          <w:rFonts w:ascii="Times New Roman" w:eastAsia="Times New Roman" w:hAnsi="Times New Roman" w:cs="Times New Roman"/>
          <w:sz w:val="20"/>
          <w:szCs w:val="20"/>
          <w:lang w:val="sr-Latn-ME"/>
        </w:rPr>
        <w:t>)</w:t>
      </w:r>
    </w:p>
    <w:p w14:paraId="50C680F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A4E02AE"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Terapija održavanja </w:t>
      </w:r>
    </w:p>
    <w:p w14:paraId="6C8C900D" w14:textId="77777777" w:rsidR="003D0215" w:rsidRPr="003A22B9" w:rsidRDefault="003D0215" w:rsidP="00A75B47">
      <w:pPr>
        <w:spacing w:after="0" w:line="240" w:lineRule="auto"/>
        <w:jc w:val="both"/>
        <w:rPr>
          <w:rFonts w:ascii="Times New Roman" w:eastAsia="Times New Roman" w:hAnsi="Times New Roman" w:cs="Times New Roman"/>
          <w:i/>
          <w:lang w:val="sr-Latn-ME"/>
        </w:rPr>
      </w:pPr>
    </w:p>
    <w:p w14:paraId="798D197E" w14:textId="158A0FC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Prethodno neliječeni folikularni limfom </w:t>
      </w:r>
    </w:p>
    <w:p w14:paraId="3517F64D" w14:textId="79EB644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prospektivnoj, otvorenoj, međunarodnoj, multicentričnoj studiji faze III 1193 pacijenata sa prethodno neliječenim, uznapredovalim folikularnim limfomom primalo je indukcionu terapiju R-CHOP-om (n=881), R-CVP-om (n=268) ili R-FCM-om (n=44), prema izboru ispitivača. Ukupno 1078 pacijenata je odgovorilo na indukcionu terapiju, od kojih je 1018 randomizacijom podijeljeno u dvije grupe: grupa koja je primala terapiju održavanja rituksimabom (n=505) ili grupa na opservaciji (n=513). Dvije terapijske grupe su bile usklađene u pogledu osnovnih karakteristika i stanja bolesti. Terapija održavanja rituksimabom se sastojala od jedne infuzije rituksimaba u dozi od 375</w:t>
      </w:r>
      <w:r w:rsidR="00CC34CE">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tjelesne površine svaka dva mjeseca do progresije bolesti ili najviše dvije godine. </w:t>
      </w:r>
    </w:p>
    <w:p w14:paraId="7350C7C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D0E0FE3" w14:textId="2716E4A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Unaprijed utvrđena primarna analiza sprovedena je nakon medijane opservacije od 25 mjeseci od randomizacije terapija održavanja rituksimabom u pacijenata sa prethodno neliječenim folikularnim limfomom dovela je do klinički relevantnog i statistički značajnog poboljšanja u postizanju primarnog </w:t>
      </w:r>
      <w:r w:rsidR="00A02090" w:rsidRPr="003A22B9">
        <w:rPr>
          <w:rFonts w:ascii="Times New Roman" w:eastAsia="Times New Roman" w:hAnsi="Times New Roman" w:cs="Times New Roman"/>
          <w:lang w:val="sr-Latn-ME"/>
        </w:rPr>
        <w:t>parametra praćenja</w:t>
      </w:r>
      <w:r w:rsidRPr="003A22B9">
        <w:rPr>
          <w:rFonts w:ascii="Times New Roman" w:eastAsia="Times New Roman" w:hAnsi="Times New Roman" w:cs="Times New Roman"/>
          <w:lang w:val="sr-Latn-ME"/>
        </w:rPr>
        <w:t xml:space="preserve"> studije, preživljavanje bez progresije bolesti (PFS) procijenjeno od strane istraživača u poređenju sa grupom na opservaciji (Tabela </w:t>
      </w:r>
      <w:r w:rsidR="001B45A6" w:rsidRPr="003A22B9">
        <w:rPr>
          <w:rFonts w:ascii="Times New Roman" w:eastAsia="Times New Roman" w:hAnsi="Times New Roman" w:cs="Times New Roman"/>
          <w:lang w:val="sr-Latn-ME"/>
        </w:rPr>
        <w:t>9</w:t>
      </w:r>
      <w:r w:rsidRPr="003A22B9">
        <w:rPr>
          <w:rFonts w:ascii="Times New Roman" w:eastAsia="Times New Roman" w:hAnsi="Times New Roman" w:cs="Times New Roman"/>
          <w:lang w:val="sr-Latn-ME"/>
        </w:rPr>
        <w:t xml:space="preserve">). </w:t>
      </w:r>
    </w:p>
    <w:p w14:paraId="1F84609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4103AAE" w14:textId="5673D6A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primarnoj analizi uočena je značajna korist od terapije održavanja rituksimabom u postizanju sekundarnih </w:t>
      </w:r>
      <w:r w:rsidR="00A02090" w:rsidRPr="003A22B9">
        <w:rPr>
          <w:rFonts w:ascii="Times New Roman" w:eastAsia="Times New Roman" w:hAnsi="Times New Roman" w:cs="Times New Roman"/>
          <w:lang w:val="sr-Latn-ME"/>
        </w:rPr>
        <w:t>parametara praćenja</w:t>
      </w:r>
      <w:r w:rsidRPr="003A22B9">
        <w:rPr>
          <w:rFonts w:ascii="Times New Roman" w:eastAsia="Times New Roman" w:hAnsi="Times New Roman" w:cs="Times New Roman"/>
          <w:lang w:val="sr-Latn-ME"/>
        </w:rPr>
        <w:t xml:space="preserve"> studije: preživljavanje bez pojave događaja (EFS), vremena do </w:t>
      </w:r>
      <w:r w:rsidRPr="003A22B9">
        <w:rPr>
          <w:rFonts w:ascii="Times New Roman" w:eastAsia="Times New Roman" w:hAnsi="Times New Roman" w:cs="Times New Roman"/>
          <w:lang w:val="sr-Latn-ME"/>
        </w:rPr>
        <w:lastRenderedPageBreak/>
        <w:t xml:space="preserve">sljedećeg liječenja limfoma (eng. </w:t>
      </w:r>
      <w:r w:rsidRPr="003A22B9">
        <w:rPr>
          <w:rFonts w:ascii="Times New Roman" w:eastAsia="Times New Roman" w:hAnsi="Times New Roman" w:cs="Times New Roman"/>
          <w:i/>
          <w:lang w:val="sr-Latn-ME"/>
        </w:rPr>
        <w:t>time to next anti-lymphoma treatment</w:t>
      </w:r>
      <w:r w:rsidRPr="003A22B9">
        <w:rPr>
          <w:rFonts w:ascii="Times New Roman" w:eastAsia="Times New Roman" w:hAnsi="Times New Roman" w:cs="Times New Roman"/>
          <w:lang w:val="sr-Latn-ME"/>
        </w:rPr>
        <w:t xml:space="preserve"> - TNLT), vremena do sljedeće hemioterapije (eng. </w:t>
      </w:r>
      <w:r w:rsidRPr="003A22B9">
        <w:rPr>
          <w:rFonts w:ascii="Times New Roman" w:eastAsia="Times New Roman" w:hAnsi="Times New Roman" w:cs="Times New Roman"/>
          <w:i/>
          <w:lang w:val="sr-Latn-ME"/>
        </w:rPr>
        <w:t>time to next chemotherapy</w:t>
      </w:r>
      <w:r w:rsidRPr="003A22B9">
        <w:rPr>
          <w:rFonts w:ascii="Times New Roman" w:eastAsia="Times New Roman" w:hAnsi="Times New Roman" w:cs="Times New Roman"/>
          <w:lang w:val="sr-Latn-ME"/>
        </w:rPr>
        <w:t xml:space="preserve"> - TNCT) i stopa ukupnog odgovora (ORR) (Tabela </w:t>
      </w:r>
      <w:r w:rsidR="001B45A6" w:rsidRPr="003A22B9">
        <w:rPr>
          <w:rFonts w:ascii="Times New Roman" w:eastAsia="Times New Roman" w:hAnsi="Times New Roman" w:cs="Times New Roman"/>
          <w:lang w:val="sr-Latn-ME"/>
        </w:rPr>
        <w:t>9</w:t>
      </w:r>
      <w:r w:rsidRPr="003A22B9">
        <w:rPr>
          <w:rFonts w:ascii="Times New Roman" w:eastAsia="Times New Roman" w:hAnsi="Times New Roman" w:cs="Times New Roman"/>
          <w:lang w:val="sr-Latn-ME"/>
        </w:rPr>
        <w:t xml:space="preserve">). </w:t>
      </w:r>
    </w:p>
    <w:p w14:paraId="0DA81562" w14:textId="0875483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Podaci prikupljeni tokom produženog praćenja pacijenata u ispitivanju (medijana praćenja 9 godina) potvrdili su dugoročnu korist terapije održavanja rituksimabom s obzirom na PFS, EFS, TNLT i TNCT (Tabela </w:t>
      </w:r>
      <w:r w:rsidR="007C30B7" w:rsidRPr="003A22B9">
        <w:rPr>
          <w:rFonts w:ascii="Times New Roman" w:eastAsia="Times New Roman" w:hAnsi="Times New Roman" w:cs="Times New Roman"/>
          <w:lang w:val="sr-Latn-ME"/>
        </w:rPr>
        <w:t>9</w:t>
      </w:r>
      <w:r w:rsidRPr="003A22B9">
        <w:rPr>
          <w:rFonts w:ascii="Times New Roman" w:eastAsia="Times New Roman" w:hAnsi="Times New Roman" w:cs="Times New Roman"/>
          <w:lang w:val="sr-Latn-ME"/>
        </w:rPr>
        <w:t>).</w:t>
      </w:r>
    </w:p>
    <w:p w14:paraId="044900D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7FB2AA7F" w14:textId="16608E7F"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371C31" w:rsidRPr="003A22B9">
        <w:rPr>
          <w:rFonts w:ascii="Times New Roman" w:eastAsia="Times New Roman" w:hAnsi="Times New Roman" w:cs="Times New Roman"/>
          <w:b/>
          <w:lang w:val="sr-Latn-ME"/>
        </w:rPr>
        <w:t>9</w:t>
      </w:r>
      <w:r w:rsidRPr="003A22B9">
        <w:rPr>
          <w:rFonts w:ascii="Times New Roman" w:eastAsia="Times New Roman" w:hAnsi="Times New Roman" w:cs="Times New Roman"/>
          <w:b/>
          <w:lang w:val="sr-Latn-ME"/>
        </w:rPr>
        <w:t>.</w:t>
      </w:r>
      <w:r w:rsidRPr="003A22B9" w:rsidDel="00F94401">
        <w:rPr>
          <w:rFonts w:ascii="Times New Roman" w:eastAsia="Times New Roman" w:hAnsi="Times New Roman" w:cs="Times New Roman"/>
          <w:b/>
          <w:lang w:val="sr-Latn-ME"/>
        </w:rPr>
        <w:t xml:space="preserve"> </w:t>
      </w:r>
      <w:r w:rsidRPr="003A22B9">
        <w:rPr>
          <w:rFonts w:ascii="Times New Roman" w:eastAsia="Times New Roman" w:hAnsi="Times New Roman" w:cs="Times New Roman"/>
          <w:b/>
          <w:lang w:val="sr-Latn-ME"/>
        </w:rPr>
        <w:t xml:space="preserve">Pregled rezultata efikasnosti terapije održavanja rituksimabom u poređenju sa opservacionim pristupom </w:t>
      </w:r>
      <w:r w:rsidRPr="003A22B9">
        <w:rPr>
          <w:rFonts w:ascii="Times New Roman" w:eastAsia="Times New Roman" w:hAnsi="Times New Roman" w:cs="Times New Roman"/>
          <w:b/>
          <w:bCs/>
          <w:lang w:val="sr-Latn-ME"/>
        </w:rPr>
        <w:t>u primarnoj analizi prema planu ispitivanja i nakon medijana od 9 godina praćenja (završna analiza)</w:t>
      </w:r>
    </w:p>
    <w:p w14:paraId="0443BB4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bl>
      <w:tblPr>
        <w:tblW w:w="95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9"/>
        <w:gridCol w:w="3045"/>
        <w:gridCol w:w="3095"/>
      </w:tblGrid>
      <w:tr w:rsidR="00A75B47" w:rsidRPr="003A22B9" w14:paraId="0DEC82C4" w14:textId="77777777" w:rsidTr="00D64A2E">
        <w:trPr>
          <w:cantSplit/>
          <w:tblHeader/>
        </w:trPr>
        <w:tc>
          <w:tcPr>
            <w:tcW w:w="3652" w:type="dxa"/>
            <w:tcBorders>
              <w:top w:val="single" w:sz="4" w:space="0" w:color="auto"/>
              <w:left w:val="single" w:sz="4" w:space="0" w:color="auto"/>
              <w:bottom w:val="nil"/>
              <w:right w:val="single" w:sz="4" w:space="0" w:color="auto"/>
            </w:tcBorders>
          </w:tcPr>
          <w:p w14:paraId="3574776C"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p>
        </w:tc>
        <w:tc>
          <w:tcPr>
            <w:tcW w:w="2837"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607"/>
              <w:gridCol w:w="222"/>
            </w:tblGrid>
            <w:tr w:rsidR="00A75B47" w:rsidRPr="003A22B9" w14:paraId="52C507F6" w14:textId="77777777" w:rsidTr="00D64A2E">
              <w:trPr>
                <w:trHeight w:val="277"/>
              </w:trPr>
              <w:tc>
                <w:tcPr>
                  <w:tcW w:w="0" w:type="auto"/>
                  <w:tcBorders>
                    <w:top w:val="nil"/>
                    <w:left w:val="nil"/>
                    <w:bottom w:val="nil"/>
                    <w:right w:val="nil"/>
                  </w:tcBorders>
                </w:tcPr>
                <w:p w14:paraId="501641E6"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Primarna analiza (medijana praćenja: 25 mjeseci)</w:t>
                  </w:r>
                </w:p>
              </w:tc>
              <w:tc>
                <w:tcPr>
                  <w:tcW w:w="0" w:type="auto"/>
                  <w:tcBorders>
                    <w:top w:val="nil"/>
                    <w:left w:val="nil"/>
                    <w:bottom w:val="nil"/>
                    <w:right w:val="nil"/>
                  </w:tcBorders>
                </w:tcPr>
                <w:p w14:paraId="00EB0254"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p>
              </w:tc>
            </w:tr>
          </w:tbl>
          <w:p w14:paraId="6BCF5217" w14:textId="77777777" w:rsidR="00A75B47" w:rsidRPr="003A22B9" w:rsidRDefault="00A75B47" w:rsidP="001C3C2B">
            <w:pPr>
              <w:keepNext/>
              <w:spacing w:after="0" w:line="240" w:lineRule="auto"/>
              <w:jc w:val="center"/>
              <w:rPr>
                <w:rFonts w:ascii="Times New Roman" w:eastAsia="Times New Roman" w:hAnsi="Times New Roman" w:cs="Times New Roman"/>
                <w:lang w:val="sr-Latn-ME"/>
              </w:rPr>
            </w:pPr>
          </w:p>
        </w:tc>
        <w:tc>
          <w:tcPr>
            <w:tcW w:w="3100" w:type="dxa"/>
            <w:tcBorders>
              <w:top w:val="single" w:sz="4" w:space="0" w:color="auto"/>
              <w:left w:val="single" w:sz="4" w:space="0" w:color="auto"/>
              <w:bottom w:val="single" w:sz="4" w:space="0" w:color="auto"/>
              <w:right w:val="single" w:sz="4" w:space="0" w:color="auto"/>
            </w:tcBorders>
          </w:tcPr>
          <w:p w14:paraId="0B8D2CFA"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 xml:space="preserve">Završna analiza </w:t>
            </w:r>
            <w:r w:rsidRPr="003A22B9">
              <w:rPr>
                <w:rFonts w:ascii="Times New Roman" w:eastAsia="Times New Roman" w:hAnsi="Times New Roman" w:cs="Times New Roman"/>
                <w:b/>
                <w:bCs/>
                <w:lang w:val="sr-Latn-ME"/>
              </w:rPr>
              <w:br/>
              <w:t>(medijana praćenja: 9,0 godina)</w:t>
            </w:r>
          </w:p>
          <w:p w14:paraId="42032699" w14:textId="77777777" w:rsidR="00A75B47" w:rsidRPr="003A22B9" w:rsidRDefault="00A75B47" w:rsidP="001C3C2B">
            <w:pPr>
              <w:keepNext/>
              <w:spacing w:after="0" w:line="240" w:lineRule="auto"/>
              <w:jc w:val="center"/>
              <w:rPr>
                <w:rFonts w:ascii="Times New Roman" w:eastAsia="Times New Roman" w:hAnsi="Times New Roman" w:cs="Times New Roman"/>
                <w:lang w:val="sr-Latn-ME"/>
              </w:rPr>
            </w:pPr>
          </w:p>
        </w:tc>
      </w:tr>
      <w:tr w:rsidR="00A75B47" w:rsidRPr="003A22B9" w14:paraId="582BD845" w14:textId="77777777" w:rsidTr="00D64A2E">
        <w:trPr>
          <w:cantSplit/>
          <w:tblHeader/>
        </w:trPr>
        <w:tc>
          <w:tcPr>
            <w:tcW w:w="3652" w:type="dxa"/>
            <w:tcBorders>
              <w:top w:val="nil"/>
              <w:left w:val="single" w:sz="4" w:space="0" w:color="auto"/>
              <w:bottom w:val="single" w:sz="4" w:space="0" w:color="auto"/>
              <w:right w:val="single" w:sz="4" w:space="0" w:color="auto"/>
            </w:tcBorders>
          </w:tcPr>
          <w:p w14:paraId="4561621C"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p>
        </w:tc>
        <w:tc>
          <w:tcPr>
            <w:tcW w:w="2837"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512"/>
              <w:gridCol w:w="1317"/>
            </w:tblGrid>
            <w:tr w:rsidR="00A75B47" w:rsidRPr="003A22B9" w14:paraId="3FA744FD" w14:textId="77777777" w:rsidTr="00D64A2E">
              <w:trPr>
                <w:trHeight w:val="277"/>
              </w:trPr>
              <w:tc>
                <w:tcPr>
                  <w:tcW w:w="0" w:type="auto"/>
                  <w:tcBorders>
                    <w:top w:val="nil"/>
                    <w:left w:val="nil"/>
                    <w:bottom w:val="nil"/>
                    <w:right w:val="nil"/>
                  </w:tcBorders>
                </w:tcPr>
                <w:p w14:paraId="43FD9BE5"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Opservaciona grupa N = 513</w:t>
                  </w:r>
                </w:p>
              </w:tc>
              <w:tc>
                <w:tcPr>
                  <w:tcW w:w="0" w:type="auto"/>
                  <w:tcBorders>
                    <w:top w:val="nil"/>
                    <w:left w:val="nil"/>
                    <w:bottom w:val="nil"/>
                    <w:right w:val="nil"/>
                  </w:tcBorders>
                </w:tcPr>
                <w:p w14:paraId="73528438"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Rituksimab N = 505</w:t>
                  </w:r>
                </w:p>
              </w:tc>
            </w:tr>
          </w:tbl>
          <w:p w14:paraId="0F0E8670" w14:textId="77777777" w:rsidR="00A75B47" w:rsidRPr="003A22B9" w:rsidRDefault="00A75B47" w:rsidP="001C3C2B">
            <w:pPr>
              <w:keepNext/>
              <w:spacing w:after="0" w:line="240" w:lineRule="auto"/>
              <w:jc w:val="center"/>
              <w:rPr>
                <w:rFonts w:ascii="Times New Roman" w:eastAsia="Times New Roman" w:hAnsi="Times New Roman" w:cs="Times New Roman"/>
                <w:lang w:val="sr-Latn-ME"/>
              </w:rPr>
            </w:pPr>
          </w:p>
        </w:tc>
        <w:tc>
          <w:tcPr>
            <w:tcW w:w="3100"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534"/>
              <w:gridCol w:w="1345"/>
            </w:tblGrid>
            <w:tr w:rsidR="00A75B47" w:rsidRPr="003A22B9" w14:paraId="287736C6" w14:textId="77777777" w:rsidTr="00D64A2E">
              <w:trPr>
                <w:trHeight w:val="277"/>
              </w:trPr>
              <w:tc>
                <w:tcPr>
                  <w:tcW w:w="0" w:type="auto"/>
                  <w:tcBorders>
                    <w:top w:val="nil"/>
                    <w:left w:val="nil"/>
                    <w:bottom w:val="nil"/>
                    <w:right w:val="nil"/>
                  </w:tcBorders>
                </w:tcPr>
                <w:p w14:paraId="3B483913"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Opservaciona grupa</w:t>
                  </w:r>
                </w:p>
                <w:p w14:paraId="5CC26531"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N = 513</w:t>
                  </w:r>
                </w:p>
              </w:tc>
              <w:tc>
                <w:tcPr>
                  <w:tcW w:w="0" w:type="auto"/>
                  <w:tcBorders>
                    <w:top w:val="nil"/>
                    <w:left w:val="nil"/>
                    <w:bottom w:val="nil"/>
                    <w:right w:val="nil"/>
                  </w:tcBorders>
                </w:tcPr>
                <w:p w14:paraId="28B0FA18" w14:textId="77777777" w:rsidR="00A75B47" w:rsidRPr="003A22B9" w:rsidRDefault="00A75B47" w:rsidP="001C3C2B">
                  <w:pPr>
                    <w:autoSpaceDE w:val="0"/>
                    <w:autoSpaceDN w:val="0"/>
                    <w:adjustRightInd w:val="0"/>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Rituksimab N = 505</w:t>
                  </w:r>
                </w:p>
              </w:tc>
            </w:tr>
          </w:tbl>
          <w:p w14:paraId="007D0B6C" w14:textId="77777777" w:rsidR="00A75B47" w:rsidRPr="003A22B9" w:rsidRDefault="00A75B47" w:rsidP="001C3C2B">
            <w:pPr>
              <w:keepNext/>
              <w:spacing w:after="0" w:line="240" w:lineRule="auto"/>
              <w:jc w:val="center"/>
              <w:rPr>
                <w:rFonts w:ascii="Times New Roman" w:eastAsia="Times New Roman" w:hAnsi="Times New Roman" w:cs="Times New Roman"/>
                <w:lang w:val="sr-Latn-ME"/>
              </w:rPr>
            </w:pPr>
          </w:p>
        </w:tc>
      </w:tr>
      <w:tr w:rsidR="00A75B47" w:rsidRPr="003A22B9" w14:paraId="45AA1AD6"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233"/>
            </w:tblGrid>
            <w:tr w:rsidR="00A75B47" w:rsidRPr="003A22B9" w14:paraId="240E1004" w14:textId="77777777" w:rsidTr="00D64A2E">
              <w:trPr>
                <w:trHeight w:val="149"/>
              </w:trPr>
              <w:tc>
                <w:tcPr>
                  <w:tcW w:w="0" w:type="auto"/>
                  <w:tcBorders>
                    <w:top w:val="nil"/>
                    <w:left w:val="nil"/>
                    <w:bottom w:val="nil"/>
                    <w:right w:val="nil"/>
                  </w:tcBorders>
                </w:tcPr>
                <w:p w14:paraId="2514A516" w14:textId="2A5B4262"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 xml:space="preserve">Primarna </w:t>
                  </w:r>
                  <w:r w:rsidR="00DE0786" w:rsidRPr="003A22B9">
                    <w:rPr>
                      <w:rFonts w:ascii="Times New Roman" w:eastAsia="Times New Roman" w:hAnsi="Times New Roman" w:cs="Times New Roman"/>
                      <w:b/>
                      <w:bCs/>
                      <w:lang w:val="sr-Latn-ME"/>
                    </w:rPr>
                    <w:t>efikasnost</w:t>
                  </w:r>
                </w:p>
              </w:tc>
            </w:tr>
            <w:tr w:rsidR="00A75B47" w:rsidRPr="003A22B9" w14:paraId="0AA31711" w14:textId="77777777" w:rsidTr="00D64A2E">
              <w:trPr>
                <w:trHeight w:val="147"/>
              </w:trPr>
              <w:tc>
                <w:tcPr>
                  <w:tcW w:w="0" w:type="auto"/>
                  <w:tcBorders>
                    <w:top w:val="nil"/>
                    <w:left w:val="nil"/>
                    <w:bottom w:val="nil"/>
                    <w:right w:val="nil"/>
                  </w:tcBorders>
                </w:tcPr>
                <w:p w14:paraId="4A8926D2" w14:textId="2B4821A6"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Preživljavanje bez progresije bolesti (medijan</w:t>
                  </w:r>
                  <w:r w:rsidR="00DE0786"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w:t>
                  </w:r>
                </w:p>
              </w:tc>
            </w:tr>
            <w:tr w:rsidR="00A75B47" w:rsidRPr="003A22B9" w14:paraId="7C0904FD" w14:textId="77777777" w:rsidTr="00D64A2E">
              <w:trPr>
                <w:trHeight w:val="147"/>
              </w:trPr>
              <w:tc>
                <w:tcPr>
                  <w:tcW w:w="0" w:type="auto"/>
                  <w:tcBorders>
                    <w:top w:val="nil"/>
                    <w:left w:val="nil"/>
                    <w:bottom w:val="nil"/>
                    <w:right w:val="nil"/>
                  </w:tcBorders>
                </w:tcPr>
                <w:p w14:paraId="2DB8934F" w14:textId="77777777"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log-rang p-vrijednost </w:t>
                  </w:r>
                </w:p>
                <w:p w14:paraId="1CF81704" w14:textId="77777777"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odnos rizika (95 % CI) </w:t>
                  </w:r>
                </w:p>
                <w:p w14:paraId="7497BBB5" w14:textId="77777777"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smanjenje rizika</w:t>
                  </w:r>
                </w:p>
              </w:tc>
            </w:tr>
          </w:tbl>
          <w:p w14:paraId="01115008"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p>
        </w:tc>
        <w:tc>
          <w:tcPr>
            <w:tcW w:w="2837" w:type="dxa"/>
            <w:tcBorders>
              <w:top w:val="single" w:sz="4" w:space="0" w:color="auto"/>
              <w:left w:val="single" w:sz="4" w:space="0" w:color="auto"/>
              <w:bottom w:val="single" w:sz="4" w:space="0" w:color="auto"/>
              <w:right w:val="single" w:sz="4" w:space="0" w:color="auto"/>
            </w:tcBorders>
          </w:tcPr>
          <w:p w14:paraId="1037E899"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4BE2F712"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5D2D4970"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                    ND</w:t>
            </w:r>
          </w:p>
          <w:p w14:paraId="2D673265"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6B0504F6"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0,50 (0,39; 0,64)</w:t>
            </w:r>
          </w:p>
          <w:p w14:paraId="3A9C3B04" w14:textId="34FFC30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50%</w:t>
            </w:r>
          </w:p>
        </w:tc>
        <w:tc>
          <w:tcPr>
            <w:tcW w:w="3100" w:type="dxa"/>
            <w:tcBorders>
              <w:top w:val="single" w:sz="4" w:space="0" w:color="auto"/>
              <w:left w:val="single" w:sz="4" w:space="0" w:color="auto"/>
              <w:bottom w:val="single" w:sz="4" w:space="0" w:color="auto"/>
              <w:right w:val="single" w:sz="4" w:space="0" w:color="auto"/>
            </w:tcBorders>
          </w:tcPr>
          <w:p w14:paraId="1690E6CA"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4FF2A128"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2A1D6A34"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4,06 godina           10,49 godina</w:t>
            </w:r>
          </w:p>
          <w:p w14:paraId="45800B3B"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5C3BB511"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0,61 (0,52; 0,73)</w:t>
            </w:r>
          </w:p>
          <w:p w14:paraId="799E36D2" w14:textId="52E9BA02"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39%</w:t>
            </w:r>
          </w:p>
        </w:tc>
      </w:tr>
      <w:tr w:rsidR="00A75B47" w:rsidRPr="003A22B9" w14:paraId="75EA96AB"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233"/>
            </w:tblGrid>
            <w:tr w:rsidR="00A75B47" w:rsidRPr="003A22B9" w14:paraId="54F41955" w14:textId="77777777" w:rsidTr="00D64A2E">
              <w:trPr>
                <w:trHeight w:val="149"/>
              </w:trPr>
              <w:tc>
                <w:tcPr>
                  <w:tcW w:w="0" w:type="auto"/>
                  <w:tcBorders>
                    <w:top w:val="nil"/>
                    <w:left w:val="nil"/>
                    <w:bottom w:val="nil"/>
                    <w:right w:val="nil"/>
                  </w:tcBorders>
                </w:tcPr>
                <w:p w14:paraId="29D46A05" w14:textId="0A0E7F53"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b/>
                      <w:bCs/>
                      <w:lang w:val="sr-Latn-ME"/>
                    </w:rPr>
                    <w:t xml:space="preserve">Sekundarna </w:t>
                  </w:r>
                  <w:r w:rsidR="00DE0786" w:rsidRPr="003A22B9">
                    <w:rPr>
                      <w:rFonts w:ascii="Times New Roman" w:eastAsia="Times New Roman" w:hAnsi="Times New Roman" w:cs="Times New Roman"/>
                      <w:b/>
                      <w:bCs/>
                      <w:lang w:val="sr-Latn-ME"/>
                    </w:rPr>
                    <w:t>efikasnost</w:t>
                  </w:r>
                  <w:r w:rsidRPr="003A22B9">
                    <w:rPr>
                      <w:rFonts w:ascii="Times New Roman" w:eastAsia="Times New Roman" w:hAnsi="Times New Roman" w:cs="Times New Roman"/>
                      <w:b/>
                      <w:bCs/>
                      <w:lang w:val="sr-Latn-ME"/>
                    </w:rPr>
                    <w:t xml:space="preserve"> </w:t>
                  </w:r>
                </w:p>
              </w:tc>
            </w:tr>
            <w:tr w:rsidR="00A75B47" w:rsidRPr="003A22B9" w14:paraId="51BA792B" w14:textId="77777777" w:rsidTr="00D64A2E">
              <w:trPr>
                <w:trHeight w:val="147"/>
              </w:trPr>
              <w:tc>
                <w:tcPr>
                  <w:tcW w:w="0" w:type="auto"/>
                  <w:tcBorders>
                    <w:top w:val="nil"/>
                    <w:left w:val="nil"/>
                    <w:bottom w:val="nil"/>
                    <w:right w:val="nil"/>
                  </w:tcBorders>
                </w:tcPr>
                <w:p w14:paraId="337CB1B7" w14:textId="69373ED5"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Ukupno </w:t>
                  </w:r>
                  <w:r w:rsidR="00DE0786" w:rsidRPr="003A22B9">
                    <w:rPr>
                      <w:rFonts w:ascii="Times New Roman" w:eastAsia="Times New Roman" w:hAnsi="Times New Roman" w:cs="Times New Roman"/>
                      <w:lang w:val="sr-Latn-ME"/>
                    </w:rPr>
                    <w:t>preživljavanje</w:t>
                  </w:r>
                  <w:r w:rsidRPr="003A22B9">
                    <w:rPr>
                      <w:rFonts w:ascii="Times New Roman" w:eastAsia="Times New Roman" w:hAnsi="Times New Roman" w:cs="Times New Roman"/>
                      <w:lang w:val="sr-Latn-ME"/>
                    </w:rPr>
                    <w:t xml:space="preserve"> (medijan</w:t>
                  </w:r>
                  <w:r w:rsidR="00DE0786"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w:t>
                  </w:r>
                </w:p>
              </w:tc>
            </w:tr>
            <w:tr w:rsidR="00A75B47" w:rsidRPr="003A22B9" w14:paraId="24E6F6F1" w14:textId="77777777" w:rsidTr="00D64A2E">
              <w:trPr>
                <w:trHeight w:val="147"/>
              </w:trPr>
              <w:tc>
                <w:tcPr>
                  <w:tcW w:w="0" w:type="auto"/>
                  <w:tcBorders>
                    <w:top w:val="nil"/>
                    <w:left w:val="nil"/>
                    <w:bottom w:val="nil"/>
                    <w:right w:val="nil"/>
                  </w:tcBorders>
                </w:tcPr>
                <w:p w14:paraId="79C74F98" w14:textId="77777777"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log-rang p-vrijednost</w:t>
                  </w:r>
                </w:p>
                <w:p w14:paraId="6E45666A" w14:textId="77777777"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odnos rizika (95 % CI)</w:t>
                  </w:r>
                </w:p>
                <w:p w14:paraId="7776D56F" w14:textId="77777777" w:rsidR="00A75B47" w:rsidRPr="003A22B9" w:rsidRDefault="00A75B47" w:rsidP="00A75B47">
                  <w:pPr>
                    <w:autoSpaceDE w:val="0"/>
                    <w:autoSpaceDN w:val="0"/>
                    <w:adjustRightInd w:val="0"/>
                    <w:spacing w:after="0" w:line="240" w:lineRule="auto"/>
                    <w:ind w:left="-105"/>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smanjenje rizika</w:t>
                  </w:r>
                </w:p>
              </w:tc>
            </w:tr>
          </w:tbl>
          <w:p w14:paraId="4B9C3984"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p>
        </w:tc>
        <w:tc>
          <w:tcPr>
            <w:tcW w:w="2837" w:type="dxa"/>
            <w:tcBorders>
              <w:top w:val="single" w:sz="4" w:space="0" w:color="auto"/>
              <w:left w:val="single" w:sz="4" w:space="0" w:color="auto"/>
              <w:bottom w:val="single" w:sz="4" w:space="0" w:color="auto"/>
              <w:right w:val="single" w:sz="4" w:space="0" w:color="auto"/>
            </w:tcBorders>
          </w:tcPr>
          <w:p w14:paraId="43575F1C"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09E88D11"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                    ND</w:t>
            </w:r>
          </w:p>
          <w:p w14:paraId="39787B20"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0,7246</w:t>
            </w:r>
          </w:p>
          <w:p w14:paraId="5E184C12"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0,89 (0,45; 1,74)</w:t>
            </w:r>
          </w:p>
          <w:p w14:paraId="652B3963" w14:textId="6B91D01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11%</w:t>
            </w:r>
          </w:p>
        </w:tc>
        <w:tc>
          <w:tcPr>
            <w:tcW w:w="3100" w:type="dxa"/>
            <w:tcBorders>
              <w:top w:val="single" w:sz="4" w:space="0" w:color="auto"/>
              <w:left w:val="single" w:sz="4" w:space="0" w:color="auto"/>
              <w:bottom w:val="single" w:sz="4" w:space="0" w:color="auto"/>
              <w:right w:val="single" w:sz="4" w:space="0" w:color="auto"/>
            </w:tcBorders>
          </w:tcPr>
          <w:p w14:paraId="4645658E"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6F55C336"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                    ND</w:t>
            </w:r>
          </w:p>
          <w:p w14:paraId="482EEB86"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0,7948</w:t>
            </w:r>
          </w:p>
          <w:p w14:paraId="4B0E45BA"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1,04 (0,77; 1,40)</w:t>
            </w:r>
          </w:p>
          <w:p w14:paraId="7D95C66F" w14:textId="53E8FBBD"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w:t>
            </w:r>
          </w:p>
        </w:tc>
      </w:tr>
      <w:tr w:rsidR="00A75B47" w:rsidRPr="003A22B9" w14:paraId="00312066"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p w14:paraId="43A3122F" w14:textId="07726D9D" w:rsidR="00A75B47" w:rsidRPr="003A22B9" w:rsidRDefault="00DE0786"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Preživljavanje</w:t>
            </w:r>
            <w:r w:rsidR="00A75B47" w:rsidRPr="003A22B9">
              <w:rPr>
                <w:rFonts w:ascii="Times New Roman" w:eastAsia="Times New Roman" w:hAnsi="Times New Roman" w:cs="Times New Roman"/>
                <w:lang w:val="sr-Latn-ME"/>
              </w:rPr>
              <w:t xml:space="preserve"> bez pojave događaja (medijana)</w:t>
            </w:r>
          </w:p>
          <w:p w14:paraId="61FD7CD9"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log-rang p-vrijednost</w:t>
            </w:r>
          </w:p>
          <w:p w14:paraId="54AB80A0"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color w:val="000000"/>
                <w:lang w:val="sr-Latn-ME"/>
              </w:rPr>
              <w:t xml:space="preserve">odnos rizika </w:t>
            </w:r>
            <w:r w:rsidRPr="003A22B9">
              <w:rPr>
                <w:rFonts w:ascii="Times New Roman" w:eastAsia="Times New Roman" w:hAnsi="Times New Roman" w:cs="Times New Roman"/>
                <w:lang w:val="sr-Latn-ME"/>
              </w:rPr>
              <w:t>(95 % CI)</w:t>
            </w:r>
          </w:p>
          <w:p w14:paraId="52725443"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smanjenje rizika</w:t>
            </w:r>
          </w:p>
        </w:tc>
        <w:tc>
          <w:tcPr>
            <w:tcW w:w="2837" w:type="dxa"/>
            <w:tcBorders>
              <w:top w:val="single" w:sz="4" w:space="0" w:color="auto"/>
              <w:left w:val="single" w:sz="4" w:space="0" w:color="auto"/>
              <w:bottom w:val="single" w:sz="4" w:space="0" w:color="auto"/>
              <w:right w:val="single" w:sz="4" w:space="0" w:color="auto"/>
            </w:tcBorders>
          </w:tcPr>
          <w:p w14:paraId="07177BE4"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2AF87C5F"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38 mjeseci           ND</w:t>
            </w:r>
          </w:p>
          <w:p w14:paraId="19C8183D"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2C5699D4"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0,54 (0,43; 0,69)</w:t>
            </w:r>
          </w:p>
          <w:p w14:paraId="1158204D" w14:textId="2C0E6564"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46%</w:t>
            </w:r>
          </w:p>
        </w:tc>
        <w:tc>
          <w:tcPr>
            <w:tcW w:w="3100" w:type="dxa"/>
            <w:tcBorders>
              <w:top w:val="single" w:sz="4" w:space="0" w:color="auto"/>
              <w:left w:val="single" w:sz="4" w:space="0" w:color="auto"/>
              <w:bottom w:val="single" w:sz="4" w:space="0" w:color="auto"/>
              <w:right w:val="single" w:sz="4" w:space="0" w:color="auto"/>
            </w:tcBorders>
          </w:tcPr>
          <w:p w14:paraId="7CDBEBFB"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p>
          <w:p w14:paraId="1BF8FD5D"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4,04 godine           9,25 godina</w:t>
            </w:r>
          </w:p>
          <w:p w14:paraId="3A1C91F5"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75182E2E"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0,64 (0,54; 0,76)</w:t>
            </w:r>
          </w:p>
          <w:p w14:paraId="3BB0942C" w14:textId="3F547E1A"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36%</w:t>
            </w:r>
          </w:p>
        </w:tc>
      </w:tr>
      <w:tr w:rsidR="00A75B47" w:rsidRPr="003A22B9" w14:paraId="1274E4F8"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p w14:paraId="77B4964F"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TNLT (medijana)</w:t>
            </w:r>
          </w:p>
          <w:p w14:paraId="65F749D0"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log-rang p-vrijednost</w:t>
            </w:r>
          </w:p>
          <w:p w14:paraId="5AD79531"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color w:val="000000"/>
                <w:lang w:val="sr-Latn-ME"/>
              </w:rPr>
              <w:t xml:space="preserve">odnos rizika </w:t>
            </w:r>
            <w:r w:rsidRPr="003A22B9">
              <w:rPr>
                <w:rFonts w:ascii="Times New Roman" w:eastAsia="Times New Roman" w:hAnsi="Times New Roman" w:cs="Times New Roman"/>
                <w:lang w:val="sr-Latn-ME"/>
              </w:rPr>
              <w:t xml:space="preserve">(95 % CI) </w:t>
            </w:r>
          </w:p>
          <w:p w14:paraId="1B835078"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smanjenje rizika</w:t>
            </w:r>
          </w:p>
        </w:tc>
        <w:tc>
          <w:tcPr>
            <w:tcW w:w="2837" w:type="dxa"/>
            <w:tcBorders>
              <w:top w:val="single" w:sz="4" w:space="0" w:color="auto"/>
              <w:left w:val="single" w:sz="4" w:space="0" w:color="auto"/>
              <w:bottom w:val="single" w:sz="4" w:space="0" w:color="auto"/>
              <w:right w:val="single" w:sz="4" w:space="0" w:color="auto"/>
            </w:tcBorders>
          </w:tcPr>
          <w:p w14:paraId="17B2D301"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                    ND</w:t>
            </w:r>
          </w:p>
          <w:p w14:paraId="425584CF"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0,0003</w:t>
            </w:r>
          </w:p>
          <w:p w14:paraId="65D4E2EC"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0,61 (0,46; 0,80)</w:t>
            </w:r>
          </w:p>
          <w:p w14:paraId="33125CE4" w14:textId="27767DF1"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39%</w:t>
            </w:r>
          </w:p>
        </w:tc>
        <w:tc>
          <w:tcPr>
            <w:tcW w:w="3100" w:type="dxa"/>
            <w:tcBorders>
              <w:top w:val="single" w:sz="4" w:space="0" w:color="auto"/>
              <w:left w:val="single" w:sz="4" w:space="0" w:color="auto"/>
              <w:bottom w:val="single" w:sz="4" w:space="0" w:color="auto"/>
              <w:right w:val="single" w:sz="4" w:space="0" w:color="auto"/>
            </w:tcBorders>
          </w:tcPr>
          <w:p w14:paraId="6282528B"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6,11 godina           ND</w:t>
            </w:r>
          </w:p>
          <w:p w14:paraId="3CA595C8"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376FFA17"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0,66 (0,55; 0,78)</w:t>
            </w:r>
          </w:p>
          <w:p w14:paraId="5DDA156D" w14:textId="07CA5FDE"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34%</w:t>
            </w:r>
          </w:p>
        </w:tc>
      </w:tr>
      <w:tr w:rsidR="00A75B47" w:rsidRPr="003A22B9" w14:paraId="554030C6"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p w14:paraId="2980C6ED"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TNCT (medijana)</w:t>
            </w:r>
          </w:p>
          <w:p w14:paraId="4C5C3ADA"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log-rang p-vrijednost</w:t>
            </w:r>
          </w:p>
          <w:p w14:paraId="094AA559"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color w:val="000000"/>
                <w:lang w:val="sr-Latn-ME"/>
              </w:rPr>
              <w:t xml:space="preserve">odnos rizika </w:t>
            </w:r>
            <w:r w:rsidRPr="003A22B9">
              <w:rPr>
                <w:rFonts w:ascii="Times New Roman" w:eastAsia="Times New Roman" w:hAnsi="Times New Roman" w:cs="Times New Roman"/>
                <w:lang w:val="sr-Latn-ME"/>
              </w:rPr>
              <w:t xml:space="preserve">(95 % CI) </w:t>
            </w:r>
          </w:p>
          <w:p w14:paraId="0FB60D3E"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smanjenje rizika</w:t>
            </w:r>
          </w:p>
        </w:tc>
        <w:tc>
          <w:tcPr>
            <w:tcW w:w="2837" w:type="dxa"/>
            <w:tcBorders>
              <w:top w:val="single" w:sz="4" w:space="0" w:color="auto"/>
              <w:left w:val="single" w:sz="4" w:space="0" w:color="auto"/>
              <w:bottom w:val="single" w:sz="4" w:space="0" w:color="auto"/>
              <w:right w:val="single" w:sz="4" w:space="0" w:color="auto"/>
            </w:tcBorders>
          </w:tcPr>
          <w:p w14:paraId="5626C90E"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                    ND</w:t>
            </w:r>
          </w:p>
          <w:p w14:paraId="28FC0D82"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0,0011</w:t>
            </w:r>
          </w:p>
          <w:p w14:paraId="689EEB86"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0,60 (0,44; 0,82)</w:t>
            </w:r>
          </w:p>
          <w:p w14:paraId="33BE4F78" w14:textId="79CC8EE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40%</w:t>
            </w:r>
          </w:p>
        </w:tc>
        <w:tc>
          <w:tcPr>
            <w:tcW w:w="3100" w:type="dxa"/>
            <w:tcBorders>
              <w:top w:val="single" w:sz="4" w:space="0" w:color="auto"/>
              <w:left w:val="single" w:sz="4" w:space="0" w:color="auto"/>
              <w:bottom w:val="single" w:sz="4" w:space="0" w:color="auto"/>
              <w:right w:val="single" w:sz="4" w:space="0" w:color="auto"/>
            </w:tcBorders>
          </w:tcPr>
          <w:p w14:paraId="26FB75A1"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9,32 godine           ND</w:t>
            </w:r>
          </w:p>
          <w:p w14:paraId="17DC5C76"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0,0004</w:t>
            </w:r>
          </w:p>
          <w:p w14:paraId="7BD3CC77"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0,71 (0,59; 0,86)</w:t>
            </w:r>
          </w:p>
          <w:p w14:paraId="0757FAE1" w14:textId="37932A28"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39%</w:t>
            </w:r>
          </w:p>
        </w:tc>
      </w:tr>
      <w:tr w:rsidR="00A75B47" w:rsidRPr="003A22B9" w14:paraId="02A044A2"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p w14:paraId="1A9C0E1F"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Stopa ukupnog odgovora*</w:t>
            </w:r>
          </w:p>
          <w:p w14:paraId="6FD68E34"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p-vrijednost iz hi-kvadrat testa</w:t>
            </w:r>
          </w:p>
          <w:p w14:paraId="151A6405" w14:textId="4BE3D9A8" w:rsidR="00A75B47" w:rsidRPr="003A22B9" w:rsidRDefault="00DE0786"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odds ratio</w:t>
            </w:r>
            <w:r w:rsidR="00A75B47" w:rsidRPr="003A22B9">
              <w:rPr>
                <w:rFonts w:ascii="Times New Roman" w:eastAsia="Times New Roman" w:hAnsi="Times New Roman" w:cs="Times New Roman"/>
                <w:lang w:val="sr-Latn-ME"/>
              </w:rPr>
              <w:t xml:space="preserve"> (95 % CI)</w:t>
            </w:r>
          </w:p>
        </w:tc>
        <w:tc>
          <w:tcPr>
            <w:tcW w:w="2837" w:type="dxa"/>
            <w:tcBorders>
              <w:top w:val="single" w:sz="4" w:space="0" w:color="auto"/>
              <w:left w:val="single" w:sz="4" w:space="0" w:color="auto"/>
              <w:bottom w:val="single" w:sz="4" w:space="0" w:color="auto"/>
              <w:right w:val="single" w:sz="4" w:space="0" w:color="auto"/>
            </w:tcBorders>
          </w:tcPr>
          <w:p w14:paraId="307BC27F" w14:textId="5975187F"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55%                    74%</w:t>
            </w:r>
          </w:p>
          <w:p w14:paraId="16E16233"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5F80ECC2"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2,33 (1,73; 3,15)</w:t>
            </w:r>
          </w:p>
        </w:tc>
        <w:tc>
          <w:tcPr>
            <w:tcW w:w="3100" w:type="dxa"/>
            <w:tcBorders>
              <w:top w:val="single" w:sz="4" w:space="0" w:color="auto"/>
              <w:left w:val="single" w:sz="4" w:space="0" w:color="auto"/>
              <w:bottom w:val="single" w:sz="4" w:space="0" w:color="auto"/>
              <w:right w:val="single" w:sz="4" w:space="0" w:color="auto"/>
            </w:tcBorders>
          </w:tcPr>
          <w:p w14:paraId="7007AB16" w14:textId="49E31156"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61%                    79%</w:t>
            </w:r>
          </w:p>
          <w:p w14:paraId="713B584F"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0CB7CF81"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2,43 (1,84; 3,22)</w:t>
            </w:r>
          </w:p>
        </w:tc>
      </w:tr>
      <w:tr w:rsidR="00A75B47" w:rsidRPr="003A22B9" w14:paraId="7608726A" w14:textId="77777777" w:rsidTr="00D64A2E">
        <w:trPr>
          <w:cantSplit/>
        </w:trPr>
        <w:tc>
          <w:tcPr>
            <w:tcW w:w="3652" w:type="dxa"/>
            <w:tcBorders>
              <w:top w:val="single" w:sz="4" w:space="0" w:color="auto"/>
              <w:left w:val="single" w:sz="4" w:space="0" w:color="auto"/>
              <w:bottom w:val="single" w:sz="4" w:space="0" w:color="auto"/>
              <w:right w:val="single" w:sz="4" w:space="0" w:color="auto"/>
            </w:tcBorders>
          </w:tcPr>
          <w:p w14:paraId="5975BA3D"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Stopa potpunog odgovora (CR/CRu)*</w:t>
            </w:r>
          </w:p>
          <w:p w14:paraId="1476A9A1"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p-vrijednost iz hi-kvadrat testa</w:t>
            </w:r>
          </w:p>
          <w:p w14:paraId="27564C72" w14:textId="7F21CFA7" w:rsidR="00A75B47" w:rsidRPr="003A22B9" w:rsidRDefault="00DE0786" w:rsidP="00A75B47">
            <w:pPr>
              <w:keepNext/>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odds ratio</w:t>
            </w:r>
            <w:r w:rsidR="00A75B47" w:rsidRPr="003A22B9">
              <w:rPr>
                <w:rFonts w:ascii="Times New Roman" w:eastAsia="Times New Roman" w:hAnsi="Times New Roman" w:cs="Times New Roman"/>
                <w:lang w:val="sr-Latn-ME"/>
              </w:rPr>
              <w:t xml:space="preserve"> (95 % CI)</w:t>
            </w:r>
          </w:p>
        </w:tc>
        <w:tc>
          <w:tcPr>
            <w:tcW w:w="2837" w:type="dxa"/>
            <w:tcBorders>
              <w:top w:val="single" w:sz="4" w:space="0" w:color="auto"/>
              <w:left w:val="single" w:sz="4" w:space="0" w:color="auto"/>
              <w:bottom w:val="single" w:sz="4" w:space="0" w:color="auto"/>
              <w:right w:val="single" w:sz="4" w:space="0" w:color="auto"/>
            </w:tcBorders>
          </w:tcPr>
          <w:p w14:paraId="34BF8BC7" w14:textId="1AAC008C"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48%                    67%</w:t>
            </w:r>
          </w:p>
          <w:p w14:paraId="33622D62"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5873C524"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2,21 (1,65; 2,94)</w:t>
            </w:r>
          </w:p>
        </w:tc>
        <w:tc>
          <w:tcPr>
            <w:tcW w:w="3100" w:type="dxa"/>
            <w:tcBorders>
              <w:top w:val="single" w:sz="4" w:space="0" w:color="auto"/>
              <w:left w:val="single" w:sz="4" w:space="0" w:color="auto"/>
              <w:bottom w:val="single" w:sz="4" w:space="0" w:color="auto"/>
              <w:right w:val="single" w:sz="4" w:space="0" w:color="auto"/>
            </w:tcBorders>
          </w:tcPr>
          <w:p w14:paraId="6C5EED49" w14:textId="633BAAA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53%                    67%</w:t>
            </w:r>
          </w:p>
          <w:p w14:paraId="10C2095A"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7EED70AC" w14:textId="77777777" w:rsidR="00A75B47" w:rsidRPr="003A22B9" w:rsidRDefault="00A75B47" w:rsidP="0041528C">
            <w:pPr>
              <w:keepNext/>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2,34 (1,80; 3,03)</w:t>
            </w:r>
          </w:p>
        </w:tc>
      </w:tr>
    </w:tbl>
    <w:p w14:paraId="3D1A3722" w14:textId="77777777" w:rsidR="00BD335F" w:rsidRPr="001C3C2B" w:rsidRDefault="00BD335F" w:rsidP="00A75B47">
      <w:pPr>
        <w:autoSpaceDE w:val="0"/>
        <w:autoSpaceDN w:val="0"/>
        <w:adjustRightInd w:val="0"/>
        <w:spacing w:after="0" w:line="240" w:lineRule="auto"/>
        <w:jc w:val="both"/>
        <w:rPr>
          <w:rFonts w:ascii="Times New Roman" w:eastAsia="Times New Roman" w:hAnsi="Times New Roman" w:cs="Times New Roman"/>
          <w:sz w:val="20"/>
          <w:szCs w:val="20"/>
          <w:lang w:val="sr-Latn-ME"/>
        </w:rPr>
      </w:pPr>
    </w:p>
    <w:p w14:paraId="31C1D91C" w14:textId="77777777" w:rsidR="00A75B47" w:rsidRPr="001C3C2B" w:rsidRDefault="00A75B47" w:rsidP="00A75B47">
      <w:pPr>
        <w:autoSpaceDE w:val="0"/>
        <w:autoSpaceDN w:val="0"/>
        <w:adjustRightInd w:val="0"/>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*Na kraju održavanja/opservacije; rezultati završne analize zasnovani su na medijani praćenja od 73 mjeseca. </w:t>
      </w:r>
    </w:p>
    <w:p w14:paraId="74B2E521" w14:textId="4F2840C3"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ND: nije </w:t>
      </w:r>
      <w:r w:rsidR="00DE0786" w:rsidRPr="001C3C2B">
        <w:rPr>
          <w:rFonts w:ascii="Times New Roman" w:eastAsia="Times New Roman" w:hAnsi="Times New Roman" w:cs="Times New Roman"/>
          <w:sz w:val="20"/>
          <w:szCs w:val="20"/>
          <w:lang w:val="sr-Latn-ME"/>
        </w:rPr>
        <w:t>postignuto</w:t>
      </w:r>
      <w:r w:rsidRPr="001C3C2B">
        <w:rPr>
          <w:rFonts w:ascii="Times New Roman" w:eastAsia="Times New Roman" w:hAnsi="Times New Roman" w:cs="Times New Roman"/>
          <w:sz w:val="20"/>
          <w:szCs w:val="20"/>
          <w:lang w:val="sr-Latn-ME"/>
        </w:rPr>
        <w:t xml:space="preserve"> u trenutku prekida kliničkog posmatranja; TNCT: vrijeme do sljedeće hemoterapije; TNLT: vrijeme do sljedećeg liječenja limfoma.</w:t>
      </w:r>
    </w:p>
    <w:p w14:paraId="0E0D1AA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C5713AF" w14:textId="779E1F6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Terapija održavanja rituksimabom donijela je jednaku korist svim prethodno definisanim podgrupama koje su testirane: obzirom na pol (muški, ženski), godine (&lt; 60 godina, </w:t>
      </w:r>
      <w:r w:rsidR="00CE2AB7">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60 godina), FLIPI indeks (</w:t>
      </w:r>
      <w:r w:rsidR="00CE2AB7">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1,2 ili </w:t>
      </w:r>
      <w:r w:rsidR="00CE2AB7">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3), indukcionu terapiju (R-CHOP, R-CVP ili R-FCM) i nezavisno od kvaliteta odgovora na </w:t>
      </w:r>
      <w:r w:rsidRPr="003A22B9">
        <w:rPr>
          <w:rFonts w:ascii="Times New Roman" w:eastAsia="Times New Roman" w:hAnsi="Times New Roman" w:cs="Times New Roman"/>
          <w:lang w:val="sr-Latn-ME"/>
        </w:rPr>
        <w:lastRenderedPageBreak/>
        <w:t>indukcionu terapiju (CR, Cru ili PR). Eksplora</w:t>
      </w:r>
      <w:r w:rsidR="00DE0786" w:rsidRPr="003A22B9">
        <w:rPr>
          <w:rFonts w:ascii="Times New Roman" w:eastAsia="Times New Roman" w:hAnsi="Times New Roman" w:cs="Times New Roman"/>
          <w:lang w:val="sr-Latn-ME"/>
        </w:rPr>
        <w:t>torne</w:t>
      </w:r>
      <w:r w:rsidRPr="003A22B9">
        <w:rPr>
          <w:rFonts w:ascii="Times New Roman" w:eastAsia="Times New Roman" w:hAnsi="Times New Roman" w:cs="Times New Roman"/>
          <w:lang w:val="sr-Latn-ME"/>
        </w:rPr>
        <w:t xml:space="preserve"> analize koristi od terapije održavanja pokazale su manje izražen efekat kod starijih pacijenata (&gt;</w:t>
      </w:r>
      <w:r w:rsidR="00CE2AB7">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70 godina starosti), ipak, veličine uzoraka su bile male. </w:t>
      </w:r>
    </w:p>
    <w:p w14:paraId="239AE656" w14:textId="28790E7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Relaps</w:t>
      </w:r>
      <w:r w:rsidR="00F52D0D" w:rsidRPr="003A22B9">
        <w:rPr>
          <w:rFonts w:ascii="Times New Roman" w:eastAsia="Times New Roman" w:hAnsi="Times New Roman" w:cs="Times New Roman"/>
          <w:lang w:val="sr-Latn-ME"/>
        </w:rPr>
        <w:t>ni</w:t>
      </w:r>
      <w:r w:rsidRPr="003A22B9">
        <w:rPr>
          <w:rFonts w:ascii="Times New Roman" w:eastAsia="Times New Roman" w:hAnsi="Times New Roman" w:cs="Times New Roman"/>
          <w:lang w:val="sr-Latn-ME"/>
        </w:rPr>
        <w:t xml:space="preserve">/refraktorni folikularni limfom </w:t>
      </w:r>
    </w:p>
    <w:p w14:paraId="088328D8" w14:textId="58D58DC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prospektivnoj otvorenoj, međunarodnoj multicentričnoj studiji faze III, 465 pacijenata sa relap</w:t>
      </w:r>
      <w:r w:rsidR="00F52D0D" w:rsidRPr="003A22B9">
        <w:rPr>
          <w:rFonts w:ascii="Times New Roman" w:eastAsia="Times New Roman" w:hAnsi="Times New Roman" w:cs="Times New Roman"/>
          <w:lang w:val="sr-Latn-ME"/>
        </w:rPr>
        <w:t>snim</w:t>
      </w:r>
      <w:r w:rsidRPr="003A22B9">
        <w:rPr>
          <w:rFonts w:ascii="Times New Roman" w:eastAsia="Times New Roman" w:hAnsi="Times New Roman" w:cs="Times New Roman"/>
          <w:lang w:val="sr-Latn-ME"/>
        </w:rPr>
        <w:t xml:space="preserve">/refraktortnim folikularnim limfomom randomizovano je u prvom koraku u grupu koja je primala indukcionu terapiju bilo CHOP-om (ciklofosfamid, doksorubicin, vinkristin, prednizolon; n=231) ili rituksimab u kombinaciji sa CHOP- om (R-CHOP, n=234). Ove dvije terapijske grupe su bile usklađene u pogledu statusa bolesti i karakteristika </w:t>
      </w:r>
      <w:r w:rsidRPr="00977A0E">
        <w:rPr>
          <w:rFonts w:ascii="Times New Roman" w:eastAsia="Times New Roman" w:hAnsi="Times New Roman" w:cs="Times New Roman"/>
          <w:lang w:val="sr-Latn-ME"/>
        </w:rPr>
        <w:t>prije uvođenja terapije</w:t>
      </w:r>
      <w:r w:rsidRPr="003A22B9">
        <w:rPr>
          <w:rFonts w:ascii="Times New Roman" w:eastAsia="Times New Roman" w:hAnsi="Times New Roman" w:cs="Times New Roman"/>
          <w:lang w:val="sr-Latn-ME"/>
        </w:rPr>
        <w:t>. Ukupno je 334 pacijenata kod kojih je došlo do kompletne ili djelimične remisije po indukcionoj terapiji u drugom koraku randomizovano u  grupu koja je primala terapiju održavanja rituksimabom (n=167) ili u opservacionu grupu (n=167). Terapija održavanja rituksimabom sastojala se od pojedinačne infuzije rituksimaba u dozi od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površine tijela svaka 3 mjeseca do progresije bolesti ili najduže dvije godine.</w:t>
      </w:r>
    </w:p>
    <w:p w14:paraId="2AC2916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550F955" w14:textId="465585E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Konačna analiza efikasnosti obuhvatila je sve pacijente koji su randomizovani u oba dijela ove studije. Nakon medijane vremena opservacije od 31 mjeseca za pacijente koji su randomizovani u fazi indukcije, terapija R-CHOP je značajano popravila ishod za pacijente sa relaps</w:t>
      </w:r>
      <w:r w:rsidR="00F52D0D" w:rsidRPr="003A22B9">
        <w:rPr>
          <w:rFonts w:ascii="Times New Roman" w:eastAsia="Times New Roman" w:hAnsi="Times New Roman" w:cs="Times New Roman"/>
          <w:lang w:val="sr-Latn-ME"/>
        </w:rPr>
        <w:t>nim</w:t>
      </w:r>
      <w:r w:rsidRPr="003A22B9">
        <w:rPr>
          <w:rFonts w:ascii="Times New Roman" w:eastAsia="Times New Roman" w:hAnsi="Times New Roman" w:cs="Times New Roman"/>
          <w:lang w:val="sr-Latn-ME"/>
        </w:rPr>
        <w:t xml:space="preserve">/refraktornim limfomom u poređenju sa terapijom CHOP (vidjeti Tabelu </w:t>
      </w:r>
      <w:r w:rsidR="008803D6" w:rsidRPr="003A22B9">
        <w:rPr>
          <w:rFonts w:ascii="Times New Roman" w:eastAsia="Times New Roman" w:hAnsi="Times New Roman" w:cs="Times New Roman"/>
          <w:lang w:val="sr-Latn-ME"/>
        </w:rPr>
        <w:t>10</w:t>
      </w:r>
      <w:r w:rsidRPr="003A22B9">
        <w:rPr>
          <w:rFonts w:ascii="Times New Roman" w:eastAsia="Times New Roman" w:hAnsi="Times New Roman" w:cs="Times New Roman"/>
          <w:lang w:val="sr-Latn-ME"/>
        </w:rPr>
        <w:t>):</w:t>
      </w:r>
    </w:p>
    <w:p w14:paraId="0E79EE5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6B99635" w14:textId="7B0103F3"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51636E" w:rsidRPr="003A22B9">
        <w:rPr>
          <w:rFonts w:ascii="Times New Roman" w:eastAsia="Times New Roman" w:hAnsi="Times New Roman" w:cs="Times New Roman"/>
          <w:b/>
          <w:lang w:val="sr-Latn-ME"/>
        </w:rPr>
        <w:t>10</w:t>
      </w:r>
      <w:r w:rsidRPr="003A22B9">
        <w:rPr>
          <w:rFonts w:ascii="Times New Roman" w:eastAsia="Times New Roman" w:hAnsi="Times New Roman" w:cs="Times New Roman"/>
          <w:b/>
          <w:lang w:val="sr-Latn-ME"/>
        </w:rPr>
        <w:tab/>
        <w:t>Indukciona faza: pregled rezultata efikasnosti za CHOP u poređenju sa R-CHOP (medijana vremena opservacije je 31 mjesec)</w:t>
      </w:r>
    </w:p>
    <w:p w14:paraId="48C47334" w14:textId="77777777"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1761"/>
        <w:gridCol w:w="1760"/>
        <w:gridCol w:w="1760"/>
        <w:gridCol w:w="1760"/>
      </w:tblGrid>
      <w:tr w:rsidR="00A75B47" w:rsidRPr="003A22B9" w14:paraId="46142F31" w14:textId="77777777" w:rsidTr="00043DF7">
        <w:tc>
          <w:tcPr>
            <w:tcW w:w="1114" w:type="pct"/>
            <w:shd w:val="clear" w:color="auto" w:fill="auto"/>
          </w:tcPr>
          <w:p w14:paraId="338466C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c>
        <w:tc>
          <w:tcPr>
            <w:tcW w:w="971" w:type="pct"/>
            <w:shd w:val="clear" w:color="auto" w:fill="auto"/>
          </w:tcPr>
          <w:p w14:paraId="7967FF23"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b/>
                <w:bCs/>
                <w:color w:val="000000"/>
                <w:lang w:val="sr-Latn-ME"/>
              </w:rPr>
              <w:t>CHOP</w:t>
            </w:r>
          </w:p>
        </w:tc>
        <w:tc>
          <w:tcPr>
            <w:tcW w:w="971" w:type="pct"/>
            <w:shd w:val="clear" w:color="auto" w:fill="auto"/>
          </w:tcPr>
          <w:p w14:paraId="25B3E4EB"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b/>
                <w:bCs/>
                <w:color w:val="000000"/>
                <w:lang w:val="sr-Latn-ME"/>
              </w:rPr>
              <w:t>R-CHOP</w:t>
            </w:r>
          </w:p>
        </w:tc>
        <w:tc>
          <w:tcPr>
            <w:tcW w:w="971" w:type="pct"/>
            <w:shd w:val="clear" w:color="auto" w:fill="auto"/>
          </w:tcPr>
          <w:p w14:paraId="0161C0F3"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b/>
                <w:bCs/>
                <w:color w:val="000000"/>
                <w:lang w:val="sr-Latn-ME"/>
              </w:rPr>
              <w:t>p-vrijednost</w:t>
            </w:r>
          </w:p>
        </w:tc>
        <w:tc>
          <w:tcPr>
            <w:tcW w:w="971" w:type="pct"/>
            <w:shd w:val="clear" w:color="auto" w:fill="auto"/>
          </w:tcPr>
          <w:p w14:paraId="1E33D8E3"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b/>
                <w:bCs/>
                <w:color w:val="000000"/>
                <w:lang w:val="sr-Latn-ME"/>
              </w:rPr>
              <w:t>Smanjenje rizika</w:t>
            </w:r>
            <w:r w:rsidRPr="003A22B9">
              <w:rPr>
                <w:rFonts w:ascii="Times New Roman" w:eastAsia="Times New Roman" w:hAnsi="Times New Roman" w:cs="Times New Roman"/>
                <w:b/>
                <w:bCs/>
                <w:color w:val="000000"/>
                <w:vertAlign w:val="superscript"/>
                <w:lang w:val="sr-Latn-ME"/>
              </w:rPr>
              <w:t>1)</w:t>
            </w:r>
          </w:p>
        </w:tc>
      </w:tr>
      <w:tr w:rsidR="00A75B47" w:rsidRPr="003A22B9" w14:paraId="2F24D057" w14:textId="77777777" w:rsidTr="00043DF7">
        <w:tc>
          <w:tcPr>
            <w:tcW w:w="1114" w:type="pct"/>
            <w:shd w:val="clear" w:color="auto" w:fill="auto"/>
          </w:tcPr>
          <w:p w14:paraId="0F634F05" w14:textId="77777777" w:rsidR="00A75B47" w:rsidRPr="003A22B9" w:rsidRDefault="00A75B47" w:rsidP="001C3C2B">
            <w:pPr>
              <w:spacing w:after="0" w:line="240" w:lineRule="auto"/>
              <w:ind w:left="72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Primarna efikasnost</w:t>
            </w:r>
          </w:p>
          <w:p w14:paraId="6FDB374C" w14:textId="77777777" w:rsidR="00A75B47" w:rsidRPr="003A22B9" w:rsidRDefault="00A75B47" w:rsidP="009A77B4">
            <w:pPr>
              <w:spacing w:after="0" w:line="240" w:lineRule="auto"/>
              <w:jc w:val="right"/>
              <w:rPr>
                <w:rFonts w:ascii="Times New Roman" w:eastAsia="Times New Roman" w:hAnsi="Times New Roman" w:cs="Times New Roman"/>
                <w:lang w:val="sr-Latn-ME"/>
              </w:rPr>
            </w:pPr>
            <w:r w:rsidRPr="003A22B9">
              <w:rPr>
                <w:rFonts w:ascii="Times New Roman" w:eastAsia="Times New Roman" w:hAnsi="Times New Roman" w:cs="Times New Roman"/>
                <w:lang w:val="sr-Latn-ME"/>
              </w:rPr>
              <w:t>ORR</w:t>
            </w:r>
            <w:r w:rsidRPr="003A22B9">
              <w:rPr>
                <w:rFonts w:ascii="Times New Roman" w:eastAsia="Times New Roman" w:hAnsi="Times New Roman" w:cs="Times New Roman"/>
                <w:vertAlign w:val="superscript"/>
                <w:lang w:val="sr-Latn-ME"/>
              </w:rPr>
              <w:t>2)</w:t>
            </w:r>
          </w:p>
          <w:p w14:paraId="47E55F90" w14:textId="77777777" w:rsidR="00A75B47" w:rsidRPr="003A22B9" w:rsidRDefault="00A75B47" w:rsidP="009A77B4">
            <w:pPr>
              <w:spacing w:after="0" w:line="240" w:lineRule="auto"/>
              <w:jc w:val="right"/>
              <w:rPr>
                <w:rFonts w:ascii="Times New Roman" w:eastAsia="Times New Roman" w:hAnsi="Times New Roman" w:cs="Times New Roman"/>
                <w:lang w:val="sr-Latn-ME"/>
              </w:rPr>
            </w:pPr>
            <w:r w:rsidRPr="003A22B9">
              <w:rPr>
                <w:rFonts w:ascii="Times New Roman" w:eastAsia="Times New Roman" w:hAnsi="Times New Roman" w:cs="Times New Roman"/>
                <w:lang w:val="sr-Latn-ME"/>
              </w:rPr>
              <w:t>CR</w:t>
            </w:r>
            <w:r w:rsidRPr="003A22B9">
              <w:rPr>
                <w:rFonts w:ascii="Times New Roman" w:eastAsia="Times New Roman" w:hAnsi="Times New Roman" w:cs="Times New Roman"/>
                <w:vertAlign w:val="superscript"/>
                <w:lang w:val="sr-Latn-ME"/>
              </w:rPr>
              <w:t>2)</w:t>
            </w:r>
          </w:p>
          <w:p w14:paraId="458FE204" w14:textId="77777777" w:rsidR="00A75B47" w:rsidRPr="003A22B9" w:rsidRDefault="00A75B47" w:rsidP="009A77B4">
            <w:pPr>
              <w:spacing w:after="0" w:line="240" w:lineRule="auto"/>
              <w:jc w:val="right"/>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PR</w:t>
            </w:r>
            <w:r w:rsidRPr="003A22B9">
              <w:rPr>
                <w:rFonts w:ascii="Times New Roman" w:eastAsia="Times New Roman" w:hAnsi="Times New Roman" w:cs="Times New Roman"/>
                <w:vertAlign w:val="superscript"/>
                <w:lang w:val="sr-Latn-ME"/>
              </w:rPr>
              <w:t>2)</w:t>
            </w:r>
          </w:p>
        </w:tc>
        <w:tc>
          <w:tcPr>
            <w:tcW w:w="971" w:type="pct"/>
            <w:shd w:val="clear" w:color="auto" w:fill="auto"/>
          </w:tcPr>
          <w:p w14:paraId="3BDE90F7" w14:textId="77777777" w:rsidR="00A75B47" w:rsidRPr="003A22B9" w:rsidRDefault="00A75B47" w:rsidP="009A77B4">
            <w:pPr>
              <w:spacing w:after="0" w:line="240" w:lineRule="auto"/>
              <w:jc w:val="center"/>
              <w:rPr>
                <w:rFonts w:ascii="Times New Roman" w:eastAsia="Times New Roman" w:hAnsi="Times New Roman" w:cs="Times New Roman"/>
                <w:lang w:val="sr-Latn-ME"/>
              </w:rPr>
            </w:pPr>
          </w:p>
          <w:p w14:paraId="7F9CA10C" w14:textId="77777777" w:rsidR="00F52D0D" w:rsidRPr="003A22B9" w:rsidRDefault="00F52D0D"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646C2194" w14:textId="21C78DEE"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74%</w:t>
            </w:r>
          </w:p>
          <w:p w14:paraId="23512068" w14:textId="77777777"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16%</w:t>
            </w:r>
          </w:p>
          <w:p w14:paraId="7A54EFFF" w14:textId="77777777" w:rsidR="00A75B47" w:rsidRPr="003A22B9" w:rsidRDefault="00A75B47" w:rsidP="009A77B4">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58%</w:t>
            </w:r>
          </w:p>
        </w:tc>
        <w:tc>
          <w:tcPr>
            <w:tcW w:w="971" w:type="pct"/>
            <w:shd w:val="clear" w:color="auto" w:fill="auto"/>
          </w:tcPr>
          <w:p w14:paraId="27880F03" w14:textId="77777777" w:rsidR="00A75B47" w:rsidRPr="003A22B9" w:rsidRDefault="00A75B47" w:rsidP="009A77B4">
            <w:pPr>
              <w:spacing w:after="0" w:line="240" w:lineRule="auto"/>
              <w:jc w:val="center"/>
              <w:rPr>
                <w:rFonts w:ascii="Times New Roman" w:eastAsia="Times New Roman" w:hAnsi="Times New Roman" w:cs="Times New Roman"/>
                <w:lang w:val="sr-Latn-ME"/>
              </w:rPr>
            </w:pPr>
          </w:p>
          <w:p w14:paraId="7D9BF29A" w14:textId="77777777" w:rsidR="00F52D0D" w:rsidRPr="003A22B9" w:rsidRDefault="00F52D0D"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29B4A5DB" w14:textId="10D60574"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87%</w:t>
            </w:r>
          </w:p>
          <w:p w14:paraId="124B8C24" w14:textId="77777777"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29%</w:t>
            </w:r>
          </w:p>
          <w:p w14:paraId="774C02CA" w14:textId="77777777" w:rsidR="00A75B47" w:rsidRPr="003A22B9" w:rsidRDefault="00A75B47" w:rsidP="009A77B4">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58%</w:t>
            </w:r>
          </w:p>
        </w:tc>
        <w:tc>
          <w:tcPr>
            <w:tcW w:w="971" w:type="pct"/>
            <w:shd w:val="clear" w:color="auto" w:fill="auto"/>
          </w:tcPr>
          <w:p w14:paraId="3A13E4B0" w14:textId="77777777" w:rsidR="00A75B47" w:rsidRPr="003A22B9" w:rsidRDefault="00A75B47" w:rsidP="009A77B4">
            <w:pPr>
              <w:spacing w:after="0" w:line="240" w:lineRule="auto"/>
              <w:jc w:val="center"/>
              <w:rPr>
                <w:rFonts w:ascii="Times New Roman" w:eastAsia="Times New Roman" w:hAnsi="Times New Roman" w:cs="Times New Roman"/>
                <w:lang w:val="sr-Latn-ME"/>
              </w:rPr>
            </w:pPr>
          </w:p>
          <w:p w14:paraId="5062813E" w14:textId="77777777" w:rsidR="00F52D0D" w:rsidRPr="003A22B9" w:rsidRDefault="00F52D0D"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2838FD98" w14:textId="2A27B549"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0,0003</w:t>
            </w:r>
          </w:p>
          <w:p w14:paraId="2D6578E7" w14:textId="77777777"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0,0005</w:t>
            </w:r>
          </w:p>
          <w:p w14:paraId="28DBF0BD" w14:textId="77777777" w:rsidR="00A75B47" w:rsidRPr="003A22B9" w:rsidRDefault="00A75B47" w:rsidP="009A77B4">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0,9449</w:t>
            </w:r>
          </w:p>
        </w:tc>
        <w:tc>
          <w:tcPr>
            <w:tcW w:w="971" w:type="pct"/>
            <w:shd w:val="clear" w:color="auto" w:fill="auto"/>
          </w:tcPr>
          <w:p w14:paraId="18AF4CB1" w14:textId="77777777"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6EF2F5BE" w14:textId="77777777" w:rsidR="00F52D0D" w:rsidRPr="003A22B9" w:rsidRDefault="00F52D0D"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181DE776" w14:textId="2EC5A25F"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NP</w:t>
            </w:r>
          </w:p>
          <w:p w14:paraId="4E456671" w14:textId="77777777" w:rsidR="00A75B47" w:rsidRPr="003A22B9" w:rsidRDefault="00A75B47" w:rsidP="009A77B4">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NP</w:t>
            </w:r>
          </w:p>
          <w:p w14:paraId="5777EF51" w14:textId="77777777" w:rsidR="00A75B47" w:rsidRPr="003A22B9" w:rsidRDefault="00A75B47" w:rsidP="009A77B4">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NP</w:t>
            </w:r>
          </w:p>
        </w:tc>
      </w:tr>
    </w:tbl>
    <w:p w14:paraId="3259723F"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vertAlign w:val="superscript"/>
          <w:lang w:val="sr-Latn-ME"/>
        </w:rPr>
        <w:t>1)</w:t>
      </w:r>
      <w:r w:rsidRPr="001C3C2B">
        <w:rPr>
          <w:rFonts w:ascii="Times New Roman" w:eastAsia="Times New Roman" w:hAnsi="Times New Roman" w:cs="Times New Roman"/>
          <w:sz w:val="20"/>
          <w:szCs w:val="20"/>
          <w:lang w:val="sr-Latn-ME"/>
        </w:rPr>
        <w:t xml:space="preserve"> Procjene su izračunavane na osnovu indeksa rizika </w:t>
      </w:r>
    </w:p>
    <w:p w14:paraId="2C80B028"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vertAlign w:val="superscript"/>
          <w:lang w:val="sr-Latn-ME"/>
        </w:rPr>
        <w:t>2)</w:t>
      </w:r>
      <w:r w:rsidRPr="001C3C2B">
        <w:rPr>
          <w:rFonts w:ascii="Times New Roman" w:eastAsia="Times New Roman" w:hAnsi="Times New Roman" w:cs="Times New Roman"/>
          <w:sz w:val="20"/>
          <w:szCs w:val="20"/>
          <w:lang w:val="sr-Latn-ME"/>
        </w:rPr>
        <w:t xml:space="preserve"> Posljednji odgovor na tumor koji je procjenjivao ispitivač. „Primarni“ statistički test za „odgovor“ bio je test trenda za CR u poređenju sa PR prema odsustvu odgovora (p &lt; 0,0001).</w:t>
      </w:r>
    </w:p>
    <w:p w14:paraId="5FF2BD21"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Skraćenice: NP: nema podataka, ORR: stopa ukupnog odgovora na liječenje, CR: potpun odgovor, PR: djelimičan odgovor</w:t>
      </w:r>
    </w:p>
    <w:p w14:paraId="7E4E899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600F6DE" w14:textId="41992D1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Za pacijente randomizovane u fazu održavanja u ovoj studiji, medijana vremena opservacije iznosila je 28 mjeseci od randomizacije u tu fazu. Terapija održavanja rituksimabom je dovela do klinički relevantnog i statistički značajnog poboljšanja u postizanju primarnog </w:t>
      </w:r>
      <w:r w:rsidR="00F52D0D" w:rsidRPr="003A22B9">
        <w:rPr>
          <w:rFonts w:ascii="Times New Roman" w:eastAsia="Times New Roman" w:hAnsi="Times New Roman" w:cs="Times New Roman"/>
          <w:lang w:val="sr-Latn-ME"/>
        </w:rPr>
        <w:t>parametra praćenja</w:t>
      </w:r>
      <w:r w:rsidRPr="003A22B9">
        <w:rPr>
          <w:rFonts w:ascii="Times New Roman" w:eastAsia="Times New Roman" w:hAnsi="Times New Roman" w:cs="Times New Roman"/>
          <w:lang w:val="sr-Latn-ME"/>
        </w:rPr>
        <w:t xml:space="preserve"> studije, PFS (vrijeme od randomizacije na terapiju održavanja do relapsa, progresije bolesti ili smrti) u poređenju sa opservacionom grupom (p &lt; 0,001, log-rank test). Medijana PFS-a iznosila je 42,2 mjeseca u grupi koja je primala terapiju održavanja sa lijekom rituksimab, u poređenju sa 14,3 mjeseci u opservacionoj grupi. Coxova regresione analize pokazala je da je rizik od progresije bolesti ili smrti smanjen je za 61% terapijom održavanja rituksimabom u poređenju sa opservacionim pristupom (95%; CI 45%-72%). Stope preživljavanja bez progresije bolesti, proc</w:t>
      </w:r>
      <w:r w:rsidR="006C2F74">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 xml:space="preserve">jenjene po Kaplan-Majeru nakon 12 mjeseci, iznosile su 78% u grupi koja je primala terapiju održavanja rituksimabom, u poređenju sa 57% u </w:t>
      </w:r>
      <w:r w:rsidR="00F52D0D" w:rsidRPr="003A22B9">
        <w:rPr>
          <w:rFonts w:ascii="Times New Roman" w:eastAsia="Times New Roman" w:hAnsi="Times New Roman" w:cs="Times New Roman"/>
          <w:lang w:val="sr-Latn-ME"/>
        </w:rPr>
        <w:t xml:space="preserve">opservacionoj </w:t>
      </w:r>
      <w:r w:rsidRPr="003A22B9">
        <w:rPr>
          <w:rFonts w:ascii="Times New Roman" w:eastAsia="Times New Roman" w:hAnsi="Times New Roman" w:cs="Times New Roman"/>
          <w:lang w:val="sr-Latn-ME"/>
        </w:rPr>
        <w:t>grupi. Analiza ukupnog preživljavanja potvrdila je značajnu korist od terapije održavanja rituksimabom u poređenju sa opservacionim pristupom (p = 0,0039, log-rank test). Terapija održavanja rituksimabom smanjila je rizik od smrti za 56% (95% CI 22% - 75%).</w:t>
      </w:r>
    </w:p>
    <w:p w14:paraId="0E0B5F1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54CCBC7" w14:textId="71017F9B"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5C1A60" w:rsidRPr="003A22B9">
        <w:rPr>
          <w:rFonts w:ascii="Times New Roman" w:eastAsia="Times New Roman" w:hAnsi="Times New Roman" w:cs="Times New Roman"/>
          <w:b/>
          <w:lang w:val="sr-Latn-ME"/>
        </w:rPr>
        <w:t>11</w:t>
      </w:r>
      <w:r w:rsidRPr="003A22B9">
        <w:rPr>
          <w:rFonts w:ascii="Times New Roman" w:eastAsia="Times New Roman" w:hAnsi="Times New Roman" w:cs="Times New Roman"/>
          <w:b/>
          <w:lang w:val="sr-Latn-ME"/>
        </w:rPr>
        <w:t>:</w:t>
      </w:r>
      <w:r w:rsidRPr="003A22B9">
        <w:rPr>
          <w:rFonts w:ascii="Times New Roman" w:eastAsia="Times New Roman" w:hAnsi="Times New Roman" w:cs="Times New Roman"/>
          <w:b/>
          <w:lang w:val="sr-Latn-ME"/>
        </w:rPr>
        <w:tab/>
        <w:t>Faza održavanja: pregled rezultata efikasnosti rituksimaba u odnosu na opservacionu grupu (medijana vremena posmatranja je 28 mjeseci)</w:t>
      </w:r>
    </w:p>
    <w:p w14:paraId="4E326EE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4"/>
        <w:gridCol w:w="1825"/>
        <w:gridCol w:w="1810"/>
        <w:gridCol w:w="1801"/>
        <w:gridCol w:w="1801"/>
      </w:tblGrid>
      <w:tr w:rsidR="00A75B47" w:rsidRPr="003A22B9" w14:paraId="13CEF67F" w14:textId="77777777" w:rsidTr="00043DF7">
        <w:tc>
          <w:tcPr>
            <w:tcW w:w="1006" w:type="pct"/>
            <w:vMerge w:val="restart"/>
            <w:shd w:val="clear" w:color="auto" w:fill="auto"/>
          </w:tcPr>
          <w:p w14:paraId="7FD4828E"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Parametar efikasnosti</w:t>
            </w:r>
          </w:p>
        </w:tc>
        <w:tc>
          <w:tcPr>
            <w:tcW w:w="2999" w:type="pct"/>
            <w:gridSpan w:val="3"/>
            <w:shd w:val="clear" w:color="auto" w:fill="auto"/>
          </w:tcPr>
          <w:p w14:paraId="16A1731B" w14:textId="038897C1"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Procjena medijane vremena do pojave događaja po</w:t>
            </w:r>
          </w:p>
          <w:p w14:paraId="4AC98D7A"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Kaplan - Majeru (u mjesecima)</w:t>
            </w:r>
          </w:p>
        </w:tc>
        <w:tc>
          <w:tcPr>
            <w:tcW w:w="995" w:type="pct"/>
            <w:vMerge w:val="restart"/>
            <w:shd w:val="clear" w:color="auto" w:fill="auto"/>
          </w:tcPr>
          <w:p w14:paraId="314563C7"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Smanjenje</w:t>
            </w:r>
          </w:p>
          <w:p w14:paraId="4E1196B2"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rizika</w:t>
            </w:r>
          </w:p>
        </w:tc>
      </w:tr>
      <w:tr w:rsidR="00A75B47" w:rsidRPr="003A22B9" w14:paraId="5E9CC2C3" w14:textId="77777777" w:rsidTr="00043DF7">
        <w:tc>
          <w:tcPr>
            <w:tcW w:w="1006" w:type="pct"/>
            <w:vMerge/>
            <w:shd w:val="clear" w:color="auto" w:fill="auto"/>
          </w:tcPr>
          <w:p w14:paraId="05D312B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1007" w:type="pct"/>
            <w:shd w:val="clear" w:color="auto" w:fill="auto"/>
          </w:tcPr>
          <w:p w14:paraId="0D81F99C" w14:textId="2A3271C0"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Opservaciona grupa</w:t>
            </w:r>
          </w:p>
          <w:p w14:paraId="4E518434"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 = 167)</w:t>
            </w:r>
          </w:p>
        </w:tc>
        <w:tc>
          <w:tcPr>
            <w:tcW w:w="999" w:type="pct"/>
            <w:shd w:val="clear" w:color="auto" w:fill="auto"/>
          </w:tcPr>
          <w:p w14:paraId="28499104"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Rituksimab</w:t>
            </w:r>
          </w:p>
          <w:p w14:paraId="294CFCED"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 = 167)</w:t>
            </w:r>
          </w:p>
        </w:tc>
        <w:tc>
          <w:tcPr>
            <w:tcW w:w="994" w:type="pct"/>
            <w:shd w:val="clear" w:color="auto" w:fill="auto"/>
          </w:tcPr>
          <w:p w14:paraId="098FEBF7" w14:textId="0828E741"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Log-ran</w:t>
            </w:r>
            <w:r w:rsidR="006C2F74">
              <w:rPr>
                <w:rFonts w:ascii="Times New Roman" w:eastAsia="Times New Roman" w:hAnsi="Times New Roman" w:cs="Times New Roman"/>
                <w:b/>
                <w:lang w:val="sr-Latn-ME"/>
              </w:rPr>
              <w:t>k</w:t>
            </w:r>
          </w:p>
          <w:p w14:paraId="715C0A5D"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p-vrijednost</w:t>
            </w:r>
          </w:p>
        </w:tc>
        <w:tc>
          <w:tcPr>
            <w:tcW w:w="995" w:type="pct"/>
            <w:vMerge/>
            <w:shd w:val="clear" w:color="auto" w:fill="auto"/>
          </w:tcPr>
          <w:p w14:paraId="7306955B"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r>
      <w:tr w:rsidR="00A75B47" w:rsidRPr="003A22B9" w14:paraId="7B0481CB" w14:textId="77777777" w:rsidTr="00043DF7">
        <w:tc>
          <w:tcPr>
            <w:tcW w:w="1006" w:type="pct"/>
            <w:shd w:val="clear" w:color="auto" w:fill="auto"/>
          </w:tcPr>
          <w:p w14:paraId="3EE892A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lastRenderedPageBreak/>
              <w:t>Preživljavanje bez progresije bolesti (PFS)</w:t>
            </w:r>
          </w:p>
        </w:tc>
        <w:tc>
          <w:tcPr>
            <w:tcW w:w="1007" w:type="pct"/>
            <w:shd w:val="clear" w:color="auto" w:fill="auto"/>
          </w:tcPr>
          <w:p w14:paraId="7B4FB689"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14,3</w:t>
            </w:r>
          </w:p>
        </w:tc>
        <w:tc>
          <w:tcPr>
            <w:tcW w:w="999" w:type="pct"/>
            <w:shd w:val="clear" w:color="auto" w:fill="auto"/>
          </w:tcPr>
          <w:p w14:paraId="3C1A8EBF"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42,2</w:t>
            </w:r>
          </w:p>
        </w:tc>
        <w:tc>
          <w:tcPr>
            <w:tcW w:w="994" w:type="pct"/>
            <w:shd w:val="clear" w:color="auto" w:fill="auto"/>
          </w:tcPr>
          <w:p w14:paraId="61E2FB4B"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&lt;0,0001</w:t>
            </w:r>
          </w:p>
          <w:p w14:paraId="5BCF5824"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tc>
        <w:tc>
          <w:tcPr>
            <w:tcW w:w="995" w:type="pct"/>
            <w:shd w:val="clear" w:color="auto" w:fill="auto"/>
          </w:tcPr>
          <w:p w14:paraId="3C754C7F"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61%</w:t>
            </w:r>
          </w:p>
        </w:tc>
      </w:tr>
      <w:tr w:rsidR="00A75B47" w:rsidRPr="003A22B9" w14:paraId="1E553645" w14:textId="77777777" w:rsidTr="00043DF7">
        <w:tc>
          <w:tcPr>
            <w:tcW w:w="1006" w:type="pct"/>
            <w:shd w:val="clear" w:color="auto" w:fill="auto"/>
          </w:tcPr>
          <w:p w14:paraId="76F44AE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Ukupno preživljavanje</w:t>
            </w:r>
          </w:p>
        </w:tc>
        <w:tc>
          <w:tcPr>
            <w:tcW w:w="1007" w:type="pct"/>
            <w:shd w:val="clear" w:color="auto" w:fill="auto"/>
          </w:tcPr>
          <w:p w14:paraId="14EA20AA"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tc>
        <w:tc>
          <w:tcPr>
            <w:tcW w:w="999" w:type="pct"/>
            <w:shd w:val="clear" w:color="auto" w:fill="auto"/>
          </w:tcPr>
          <w:p w14:paraId="74F3DBC4"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tc>
        <w:tc>
          <w:tcPr>
            <w:tcW w:w="994" w:type="pct"/>
            <w:shd w:val="clear" w:color="auto" w:fill="auto"/>
          </w:tcPr>
          <w:p w14:paraId="4A42EF61" w14:textId="300C2F3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0,0039</w:t>
            </w:r>
          </w:p>
          <w:p w14:paraId="04E63BC7"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tc>
        <w:tc>
          <w:tcPr>
            <w:tcW w:w="995" w:type="pct"/>
            <w:shd w:val="clear" w:color="auto" w:fill="auto"/>
          </w:tcPr>
          <w:p w14:paraId="0F8FE51D"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56%</w:t>
            </w:r>
          </w:p>
        </w:tc>
      </w:tr>
      <w:tr w:rsidR="00A75B47" w:rsidRPr="003A22B9" w14:paraId="64927388" w14:textId="77777777" w:rsidTr="00043DF7">
        <w:tc>
          <w:tcPr>
            <w:tcW w:w="1006" w:type="pct"/>
            <w:shd w:val="clear" w:color="auto" w:fill="auto"/>
          </w:tcPr>
          <w:p w14:paraId="460FB96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Vrijeme do nove terapije limfoma </w:t>
            </w:r>
          </w:p>
          <w:p w14:paraId="6448711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A26926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Preživljavanje bez bolesti</w:t>
            </w:r>
            <w:r w:rsidRPr="003A22B9">
              <w:rPr>
                <w:rFonts w:ascii="Times New Roman" w:eastAsia="Times New Roman" w:hAnsi="Times New Roman" w:cs="Times New Roman"/>
                <w:vertAlign w:val="superscript"/>
                <w:lang w:val="sr-Latn-ME"/>
              </w:rPr>
              <w:t>a</w:t>
            </w:r>
          </w:p>
        </w:tc>
        <w:tc>
          <w:tcPr>
            <w:tcW w:w="1007" w:type="pct"/>
            <w:shd w:val="clear" w:color="auto" w:fill="auto"/>
          </w:tcPr>
          <w:p w14:paraId="44CB9BF0"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20,1</w:t>
            </w:r>
          </w:p>
          <w:p w14:paraId="522A1F34"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34FBDFA3"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3DBF5093"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16,5</w:t>
            </w:r>
          </w:p>
        </w:tc>
        <w:tc>
          <w:tcPr>
            <w:tcW w:w="999" w:type="pct"/>
            <w:shd w:val="clear" w:color="auto" w:fill="auto"/>
          </w:tcPr>
          <w:p w14:paraId="6F82E181"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38,8</w:t>
            </w:r>
          </w:p>
          <w:p w14:paraId="0B12045B"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4D3DDF84"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59B4973B"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53,7</w:t>
            </w:r>
          </w:p>
        </w:tc>
        <w:tc>
          <w:tcPr>
            <w:tcW w:w="994" w:type="pct"/>
            <w:shd w:val="clear" w:color="auto" w:fill="auto"/>
          </w:tcPr>
          <w:p w14:paraId="001A88D5"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&lt;0,0001</w:t>
            </w:r>
          </w:p>
          <w:p w14:paraId="14FFF10E"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39CF56DE"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62444E01"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0,0003</w:t>
            </w:r>
          </w:p>
          <w:p w14:paraId="71717A17"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tc>
        <w:tc>
          <w:tcPr>
            <w:tcW w:w="995" w:type="pct"/>
            <w:shd w:val="clear" w:color="auto" w:fill="auto"/>
          </w:tcPr>
          <w:p w14:paraId="2965BC9E"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50%</w:t>
            </w:r>
          </w:p>
          <w:p w14:paraId="3F01C168"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41657B9D"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6D43FECA"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67%</w:t>
            </w:r>
          </w:p>
        </w:tc>
      </w:tr>
      <w:tr w:rsidR="00A75B47" w:rsidRPr="003A22B9" w14:paraId="1D9C3E19" w14:textId="77777777" w:rsidTr="00043DF7">
        <w:tc>
          <w:tcPr>
            <w:tcW w:w="1006" w:type="pct"/>
            <w:shd w:val="clear" w:color="auto" w:fill="auto"/>
          </w:tcPr>
          <w:p w14:paraId="616714D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Analiza podgrupa PFS</w:t>
            </w:r>
          </w:p>
          <w:p w14:paraId="4A96DC7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CHOP </w:t>
            </w:r>
          </w:p>
          <w:p w14:paraId="1895683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R-CHOP </w:t>
            </w:r>
          </w:p>
          <w:p w14:paraId="36CC311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CR </w:t>
            </w:r>
          </w:p>
          <w:p w14:paraId="528520A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 </w:t>
            </w:r>
          </w:p>
          <w:p w14:paraId="58421E2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B8A96B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OS </w:t>
            </w:r>
          </w:p>
          <w:p w14:paraId="0EC4528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CHOP </w:t>
            </w:r>
          </w:p>
          <w:p w14:paraId="1C9DF3E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R-CHOP</w:t>
            </w:r>
          </w:p>
        </w:tc>
        <w:tc>
          <w:tcPr>
            <w:tcW w:w="1007" w:type="pct"/>
            <w:shd w:val="clear" w:color="auto" w:fill="auto"/>
          </w:tcPr>
          <w:p w14:paraId="72A2EB56"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6F2B3D32"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68D7AA36"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11,6</w:t>
            </w:r>
          </w:p>
          <w:p w14:paraId="34A9CDFB"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22,1</w:t>
            </w:r>
          </w:p>
          <w:p w14:paraId="714FF364"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14,3</w:t>
            </w:r>
          </w:p>
          <w:p w14:paraId="23394209"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14,3</w:t>
            </w:r>
          </w:p>
          <w:p w14:paraId="66A70CBD"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31A094B7"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7875F317"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p w14:paraId="5FFBA58D"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ND</w:t>
            </w:r>
          </w:p>
        </w:tc>
        <w:tc>
          <w:tcPr>
            <w:tcW w:w="999" w:type="pct"/>
            <w:shd w:val="clear" w:color="auto" w:fill="auto"/>
          </w:tcPr>
          <w:p w14:paraId="540AF726"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43B86058"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1354ED42"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37,5</w:t>
            </w:r>
          </w:p>
          <w:p w14:paraId="3C1EB5EC"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51,9</w:t>
            </w:r>
          </w:p>
          <w:p w14:paraId="0135FA60"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52,8</w:t>
            </w:r>
          </w:p>
          <w:p w14:paraId="0ED2EDF9"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37,8</w:t>
            </w:r>
          </w:p>
          <w:p w14:paraId="4D002CAB"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1ABE7ED7"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1914D0AE"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p w14:paraId="4E965D21"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ND</w:t>
            </w:r>
          </w:p>
        </w:tc>
        <w:tc>
          <w:tcPr>
            <w:tcW w:w="994" w:type="pct"/>
            <w:shd w:val="clear" w:color="auto" w:fill="auto"/>
          </w:tcPr>
          <w:p w14:paraId="797FA47C"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30D61FA9"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21895E8D"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&lt; 0,0001</w:t>
            </w:r>
          </w:p>
          <w:p w14:paraId="2DFD1DFE"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0.0071</w:t>
            </w:r>
          </w:p>
          <w:p w14:paraId="627459C9"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0.0008</w:t>
            </w:r>
          </w:p>
          <w:p w14:paraId="24A55CEC"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76EA8899"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1E873EA2"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457A99CE"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0,0348</w:t>
            </w:r>
          </w:p>
          <w:p w14:paraId="0B6B3C38"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0,0482</w:t>
            </w:r>
          </w:p>
        </w:tc>
        <w:tc>
          <w:tcPr>
            <w:tcW w:w="995" w:type="pct"/>
            <w:shd w:val="clear" w:color="auto" w:fill="auto"/>
          </w:tcPr>
          <w:p w14:paraId="2BF1F5A7"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7C69E22E"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p>
          <w:p w14:paraId="0516E8BD"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71%</w:t>
            </w:r>
          </w:p>
          <w:p w14:paraId="5AEB4F09"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46%</w:t>
            </w:r>
          </w:p>
          <w:p w14:paraId="1043E4D7"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64%</w:t>
            </w:r>
          </w:p>
          <w:p w14:paraId="17AEB40C" w14:textId="77777777" w:rsidR="00A75B47" w:rsidRPr="003A22B9" w:rsidRDefault="00A75B47" w:rsidP="00175832">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p w14:paraId="243DDCB8"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744946B2" w14:textId="77777777" w:rsidR="00A75B47" w:rsidRPr="003A22B9" w:rsidRDefault="00A75B47" w:rsidP="00175832">
            <w:pPr>
              <w:spacing w:after="0" w:line="240" w:lineRule="auto"/>
              <w:jc w:val="center"/>
              <w:rPr>
                <w:rFonts w:ascii="Times New Roman" w:eastAsia="Times New Roman" w:hAnsi="Times New Roman" w:cs="Times New Roman"/>
                <w:lang w:val="sr-Latn-ME"/>
              </w:rPr>
            </w:pPr>
          </w:p>
          <w:p w14:paraId="3A2A2249" w14:textId="77777777" w:rsidR="00A75B47" w:rsidRPr="003A22B9" w:rsidRDefault="00A75B47" w:rsidP="00175832">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55%</w:t>
            </w:r>
          </w:p>
          <w:p w14:paraId="7D721BAA" w14:textId="77777777" w:rsidR="00A75B47" w:rsidRPr="003A22B9" w:rsidRDefault="00A75B47" w:rsidP="00175832">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56%</w:t>
            </w:r>
          </w:p>
        </w:tc>
      </w:tr>
    </w:tbl>
    <w:p w14:paraId="0E0709F2" w14:textId="77777777" w:rsidR="00A75B47" w:rsidRPr="001C3C2B" w:rsidRDefault="00A75B47" w:rsidP="00A75B47">
      <w:pPr>
        <w:spacing w:after="0" w:line="240" w:lineRule="auto"/>
        <w:jc w:val="both"/>
        <w:rPr>
          <w:rFonts w:ascii="Times New Roman" w:eastAsia="Times New Roman" w:hAnsi="Times New Roman" w:cs="Times New Roman"/>
          <w:b/>
          <w:sz w:val="20"/>
          <w:szCs w:val="20"/>
          <w:lang w:val="sr-Latn-ME"/>
        </w:rPr>
      </w:pPr>
      <w:r w:rsidRPr="001C3C2B">
        <w:rPr>
          <w:rFonts w:ascii="Times New Roman" w:eastAsia="Times New Roman" w:hAnsi="Times New Roman" w:cs="Times New Roman"/>
          <w:sz w:val="20"/>
          <w:szCs w:val="20"/>
          <w:lang w:val="sr-Latn-ME"/>
        </w:rPr>
        <w:t>ND – nije dostignuto; a: primjenjuje se samo na pacijente koji dostignu CR</w:t>
      </w:r>
    </w:p>
    <w:p w14:paraId="3F15399E"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2C503EC9" w14:textId="5E7C302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Korist od terapije održavanja rituksimabom potvrđena je u svim analiziranim podgrupama, nezavisno od režima indukcije (CHOP ili R-CHOP) ili kvaliteta odgovora na indukcionu terapiju (CR ili PR) (Tabela </w:t>
      </w:r>
      <w:r w:rsidR="00F52D0D" w:rsidRPr="003A22B9">
        <w:rPr>
          <w:rFonts w:ascii="Times New Roman" w:eastAsia="Times New Roman" w:hAnsi="Times New Roman" w:cs="Times New Roman"/>
          <w:lang w:val="sr-Latn-ME"/>
        </w:rPr>
        <w:t>11</w:t>
      </w:r>
      <w:r w:rsidRPr="003A22B9">
        <w:rPr>
          <w:rFonts w:ascii="Times New Roman" w:eastAsia="Times New Roman" w:hAnsi="Times New Roman" w:cs="Times New Roman"/>
          <w:lang w:val="sr-Latn-ME"/>
        </w:rPr>
        <w:t>). Terapija održavanja rituksimabom značajno produžava medijanu PFS-a kod pacijenata koji reaguju na indukcionu terapiju CHOP (medijana PFS-a 37,5 mjeseci u odnosu na 11,6 mjeseci, p &lt; 0,0001) kao i kod onih koji reaguju na indukciju R-CHOP-om (medijana PFS-a 51,9 mjeseci u odnosu na  22,1 mjeseci, p = 0,0071). Iako su podgrupe bile male, terapija održavanja rituksimabom je donosila značajnu korist u smislu ukupnog preživljavanja i za pacijente koji reaguju na CHOP i za pacijente koji reaguju na R-CHOP, iako je za potvrdu ovog zapažanja potrebno duže vrijeme praćenja.</w:t>
      </w:r>
    </w:p>
    <w:p w14:paraId="1D857D7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529F20E" w14:textId="2A853E66" w:rsidR="00A75B47" w:rsidRPr="003A22B9" w:rsidRDefault="00A75B47" w:rsidP="00A75B47">
      <w:pPr>
        <w:spacing w:after="0" w:line="240" w:lineRule="auto"/>
        <w:jc w:val="both"/>
        <w:rPr>
          <w:rFonts w:ascii="Times New Roman" w:eastAsia="Times New Roman" w:hAnsi="Times New Roman" w:cs="Times New Roman"/>
          <w:bCs/>
          <w:i/>
          <w:u w:val="single"/>
          <w:shd w:val="clear" w:color="auto" w:fill="FFFFFF"/>
          <w:lang w:val="sr-Latn-ME"/>
        </w:rPr>
      </w:pPr>
      <w:r w:rsidRPr="003A22B9">
        <w:rPr>
          <w:rFonts w:ascii="Times New Roman" w:eastAsia="Times New Roman" w:hAnsi="Times New Roman" w:cs="Times New Roman"/>
          <w:i/>
          <w:iCs/>
          <w:u w:val="single"/>
          <w:shd w:val="clear" w:color="auto" w:fill="FFFFFF"/>
          <w:lang w:val="sr-Latn-ME"/>
        </w:rPr>
        <w:t>Difuzni non</w:t>
      </w:r>
      <w:r w:rsidRPr="003A22B9">
        <w:rPr>
          <w:rFonts w:ascii="Times New Roman" w:eastAsia="Times New Roman" w:hAnsi="Times New Roman" w:cs="Times New Roman"/>
          <w:u w:val="single"/>
          <w:shd w:val="clear" w:color="auto" w:fill="FFFFFF"/>
          <w:lang w:val="sr-Latn-ME"/>
        </w:rPr>
        <w:t>-</w:t>
      </w:r>
      <w:r w:rsidRPr="003A22B9">
        <w:rPr>
          <w:rFonts w:ascii="Times New Roman" w:eastAsia="Times New Roman" w:hAnsi="Times New Roman" w:cs="Times New Roman"/>
          <w:i/>
          <w:iCs/>
          <w:u w:val="single"/>
          <w:shd w:val="clear" w:color="auto" w:fill="FFFFFF"/>
          <w:lang w:val="sr-Latn-ME"/>
        </w:rPr>
        <w:t xml:space="preserve">Hodgkinov limfom </w:t>
      </w:r>
      <w:r w:rsidRPr="003A22B9">
        <w:rPr>
          <w:rFonts w:ascii="Times New Roman" w:eastAsia="Times New Roman" w:hAnsi="Times New Roman" w:cs="Times New Roman"/>
          <w:i/>
          <w:u w:val="single"/>
          <w:shd w:val="clear" w:color="auto" w:fill="FFFFFF"/>
          <w:lang w:val="sr-Latn-ME"/>
        </w:rPr>
        <w:t>krupnih</w:t>
      </w:r>
      <w:r w:rsidRPr="003A22B9">
        <w:rPr>
          <w:rFonts w:ascii="Times New Roman" w:eastAsia="Times New Roman" w:hAnsi="Times New Roman" w:cs="Times New Roman"/>
          <w:u w:val="single"/>
          <w:shd w:val="clear" w:color="auto" w:fill="FFFFFF"/>
          <w:lang w:val="sr-Latn-ME"/>
        </w:rPr>
        <w:t xml:space="preserve"> </w:t>
      </w:r>
      <w:r w:rsidRPr="003A22B9">
        <w:rPr>
          <w:rFonts w:ascii="Times New Roman" w:eastAsia="Times New Roman" w:hAnsi="Times New Roman" w:cs="Times New Roman"/>
          <w:i/>
          <w:iCs/>
          <w:u w:val="single"/>
          <w:shd w:val="clear" w:color="auto" w:fill="FFFFFF"/>
          <w:lang w:val="sr-Latn-ME"/>
        </w:rPr>
        <w:t>B ćelija</w:t>
      </w:r>
      <w:r w:rsidR="00476FE5" w:rsidRPr="003A22B9">
        <w:rPr>
          <w:rFonts w:ascii="Times New Roman" w:eastAsia="Times New Roman" w:hAnsi="Times New Roman" w:cs="Times New Roman"/>
          <w:i/>
          <w:iCs/>
          <w:u w:val="single"/>
          <w:shd w:val="clear" w:color="auto" w:fill="FFFFFF"/>
          <w:lang w:val="sr-Latn-ME"/>
        </w:rPr>
        <w:t xml:space="preserve"> kod odraslih</w:t>
      </w:r>
    </w:p>
    <w:p w14:paraId="5537B7A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58EA20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otvorenom randomizovanom ispitivanju, ukupno 399 prethodno neliječenih starijih pacijenata (starosti 60 do 80 godina) oboljelih od difuznog limfoma krupnih B-ćelija primalo je standardnu CHOP hemioterapiju (ciklofosfamid 750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doksorubicin 50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vinkristin 1,4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do maksimalno 2 mg dnevno prvog dana i prednizolon 40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prvog do petog dana) svake tri nedjelje tokom trajanja </w:t>
      </w:r>
    </w:p>
    <w:p w14:paraId="5BEB684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8 ciklusa ili rituksimab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kombinaciji sa CHOP (R-CHOP)hemioterapijom. Rituksimab je primjenjivan prvog dana svakog terapijskog ciklusa.</w:t>
      </w:r>
    </w:p>
    <w:p w14:paraId="710CFF7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AB0E8CC" w14:textId="243C5AE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Završna analiza efikasnosti uključila je sve randomizovane pacijente (197 CHOP, 202 R-CHOP) koji su imali medijanu praćenja od približno 31 mjesec. Dvije terapijske grupe bile su dobro uravnotežene u pogledu početnih karakteristika i stanju bolesti. Završna analiza je potvrdila da je terapija R-CHOP-om povezana sa klinički relevantnim i statistički značajnim poboljšanjem trajanja preživljavanja bez pojave događaja (primarni parametar efikasnosti; ovdje se pod događajima podrazum</w:t>
      </w:r>
      <w:r w:rsidR="006C2F74">
        <w:rPr>
          <w:rFonts w:ascii="Times New Roman" w:eastAsia="Times New Roman" w:hAnsi="Times New Roman" w:cs="Times New Roman"/>
          <w:lang w:val="sr-Latn-ME"/>
        </w:rPr>
        <w:t>ij</w:t>
      </w:r>
      <w:r w:rsidRPr="003A22B9">
        <w:rPr>
          <w:rFonts w:ascii="Times New Roman" w:eastAsia="Times New Roman" w:hAnsi="Times New Roman" w:cs="Times New Roman"/>
          <w:lang w:val="sr-Latn-ME"/>
        </w:rPr>
        <w:t>evaju smrt, recidiv ili progresija limfoma ili uvođenje nove terapije protiv limfoma) (p = 0,0001). Prema Kaplan-Majerovoj analizi medijana preživljavanja bez događaja iznosila je 35 mjeseci u grupi R-CHOP u poređenju sa 13 mjeseci u grupi CHOP, što predstavlja smanjenje rizika od 41%. Nakon 24 mjeseca, procjena ukupnog preživljavanja iznosila je 68,2% u grupi R-CHOP u poređenju sa 57,4% u grupi CHOP. Naknadna analiza trajanja ukupnog preživljavanja sprovedena nakon medijane praćenja od 60 mjeseci, potvrdila je korist od liječenja RCHOP-om u odnosu na liječenje CHOP-om (p = 0,0071), što predstavlja smanjenje rizika od 32%.</w:t>
      </w:r>
    </w:p>
    <w:p w14:paraId="0FDFA41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1A5DE5F" w14:textId="1CF837AF"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Analiza svih sekundarnih parametara (stope odgovora, preživljavanja bez progresije, preživljavanje bez bolesti, trajanje odgovora) potvrdila je pozitivan efekat liječenja R-CHOP-om u odnosu na liječenje CHOP-om. Stopa ukupnog odgovora nakon 8 ciklusa iznosila je 76,2% u grupi R-CHOP i 62,4% u grupi </w:t>
      </w:r>
      <w:r w:rsidRPr="003A22B9">
        <w:rPr>
          <w:rFonts w:ascii="Times New Roman" w:eastAsia="Times New Roman" w:hAnsi="Times New Roman" w:cs="Times New Roman"/>
          <w:lang w:val="sr-Latn-ME"/>
        </w:rPr>
        <w:lastRenderedPageBreak/>
        <w:t xml:space="preserve">CHOP (p = 0,0028). Rizik od progresije bolesti smanjen je za 46%, a rizik od recidiva za 51%. U svim podgrupama pacijenata (s obzirom na pol, godine starosti, međunarodni prognostički indeks podešen za godine starosti (engl. </w:t>
      </w:r>
      <w:r w:rsidRPr="003A22B9">
        <w:rPr>
          <w:rFonts w:ascii="Times New Roman" w:eastAsia="Times New Roman" w:hAnsi="Times New Roman" w:cs="Times New Roman"/>
          <w:i/>
          <w:lang w:val="sr-Latn-ME"/>
        </w:rPr>
        <w:t>International Prognostic Index -</w:t>
      </w:r>
      <w:r w:rsidRPr="003A22B9">
        <w:rPr>
          <w:rFonts w:ascii="Times New Roman" w:eastAsia="Times New Roman" w:hAnsi="Times New Roman" w:cs="Times New Roman"/>
          <w:lang w:val="sr-Latn-ME"/>
        </w:rPr>
        <w:t xml:space="preserve"> IPI), stadijum An Arbor, ECOG (engl. </w:t>
      </w:r>
      <w:r w:rsidRPr="003A22B9">
        <w:rPr>
          <w:rFonts w:ascii="Times New Roman" w:eastAsia="Times New Roman" w:hAnsi="Times New Roman" w:cs="Times New Roman"/>
          <w:i/>
          <w:lang w:val="sr-Latn-ME"/>
        </w:rPr>
        <w:t>Eastern Cooperative Oncology Group</w:t>
      </w:r>
      <w:r w:rsidRPr="003A22B9">
        <w:rPr>
          <w:rFonts w:ascii="Times New Roman" w:eastAsia="Times New Roman" w:hAnsi="Times New Roman" w:cs="Times New Roman"/>
          <w:lang w:val="sr-Latn-ME"/>
        </w:rPr>
        <w:t xml:space="preserve">), koncentraciju β2 -mikroglobulina, koncentraciju LDH, koncentraciju albumina, B simptome, proširenost tumora, ekstranodalne lokacije, zahvaćenost kostne srži) koeficijenti rizika za preživljavanje bez događaja i ukupno preživljavanje (R-CHOP u poređenju sa grupom CHOP) bili su manji od 0,83 odnosno 0,95. Liječenje R-CHOP-om dovelo je do poboljšanja ishoda i za pacijente visokog i niskog rizika prema dobro prilagođenom </w:t>
      </w:r>
      <w:r w:rsidR="00977A0E">
        <w:rPr>
          <w:rFonts w:ascii="Times New Roman" w:eastAsia="Times New Roman" w:hAnsi="Times New Roman" w:cs="Times New Roman"/>
          <w:lang w:val="sr-Latn-ME"/>
        </w:rPr>
        <w:t xml:space="preserve">međunarodnom </w:t>
      </w:r>
      <w:r w:rsidRPr="003A22B9">
        <w:rPr>
          <w:rFonts w:ascii="Times New Roman" w:eastAsia="Times New Roman" w:hAnsi="Times New Roman" w:cs="Times New Roman"/>
          <w:lang w:val="sr-Latn-ME"/>
        </w:rPr>
        <w:t>prognostičkom indeksu</w:t>
      </w:r>
      <w:r w:rsidR="00110C02">
        <w:rPr>
          <w:rFonts w:ascii="Times New Roman" w:eastAsia="Times New Roman" w:hAnsi="Times New Roman" w:cs="Times New Roman"/>
          <w:lang w:val="sr-Latn-ME"/>
        </w:rPr>
        <w:t xml:space="preserve"> (</w:t>
      </w:r>
      <w:r w:rsidR="00110C02" w:rsidRPr="001C3C2B">
        <w:rPr>
          <w:rFonts w:ascii="Times New Roman" w:eastAsia="Times New Roman" w:hAnsi="Times New Roman" w:cs="Times New Roman"/>
          <w:i/>
          <w:lang w:val="sr-Latn-ME"/>
        </w:rPr>
        <w:t>The International Prognostic Index</w:t>
      </w:r>
      <w:r w:rsidR="00110C02">
        <w:rPr>
          <w:rFonts w:ascii="Times New Roman" w:eastAsia="Times New Roman" w:hAnsi="Times New Roman" w:cs="Times New Roman"/>
          <w:lang w:val="sr-Latn-ME"/>
        </w:rPr>
        <w:t xml:space="preserve"> – </w:t>
      </w:r>
      <w:r w:rsidRPr="00110C02">
        <w:rPr>
          <w:rFonts w:ascii="Times New Roman" w:eastAsia="Times New Roman" w:hAnsi="Times New Roman" w:cs="Times New Roman"/>
          <w:lang w:val="sr-Latn-ME"/>
        </w:rPr>
        <w:t>IPI</w:t>
      </w:r>
      <w:r w:rsidR="00110C02" w:rsidRPr="001C3C2B">
        <w:rPr>
          <w:rFonts w:ascii="Times New Roman" w:eastAsia="Times New Roman" w:hAnsi="Times New Roman" w:cs="Times New Roman"/>
          <w:lang w:val="sr-Latn-ME"/>
        </w:rPr>
        <w:t>)</w:t>
      </w:r>
      <w:r w:rsidRPr="00110C02">
        <w:rPr>
          <w:rFonts w:ascii="Times New Roman" w:eastAsia="Times New Roman" w:hAnsi="Times New Roman" w:cs="Times New Roman"/>
          <w:lang w:val="sr-Latn-ME"/>
        </w:rPr>
        <w:t>.</w:t>
      </w:r>
      <w:r w:rsidR="00977A0E" w:rsidRPr="00110C02">
        <w:rPr>
          <w:rFonts w:ascii="Times New Roman" w:eastAsia="Times New Roman" w:hAnsi="Times New Roman" w:cs="Times New Roman"/>
          <w:lang w:val="sr-Latn-ME"/>
        </w:rPr>
        <w:t xml:space="preserve"> </w:t>
      </w:r>
    </w:p>
    <w:p w14:paraId="23508CD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4382C5C"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Klinički laboratorijski nalazi </w:t>
      </w:r>
    </w:p>
    <w:p w14:paraId="5A0AA2D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51698CD" w14:textId="5D4FA2C7" w:rsidR="00A75B47" w:rsidRPr="003A22B9" w:rsidRDefault="00F52D0D"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Kod</w:t>
      </w:r>
      <w:r w:rsidR="00A75B47" w:rsidRPr="003A22B9">
        <w:rPr>
          <w:rFonts w:ascii="Times New Roman" w:eastAsia="Times New Roman" w:hAnsi="Times New Roman" w:cs="Times New Roman"/>
          <w:lang w:val="sr-Latn-ME"/>
        </w:rPr>
        <w:t xml:space="preserve"> 67 pacijenata ispitivanih na prisustvo humanog antimišjeg antitijela (HAMA) nije prijavljena ni jedna reakcija. Od 356 pacijenata ispitanih na antitijela na lijek, pozitivno je bilo njih 1,1% (4 pacijenta).</w:t>
      </w:r>
    </w:p>
    <w:p w14:paraId="2EF0EA3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B56B9A4"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Hronična limfocitna leukemija </w:t>
      </w:r>
    </w:p>
    <w:p w14:paraId="791CAB1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BDD259D" w14:textId="39EBCC8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dvije otvorene randomizovane studije, ukupno 817 prethodno neliječenih pacijenata i 552 pacijenta sa relapsirajućim/refraktarnom HLL randomizovani su tako da dobijaju ili FC hemioterapiju (fludarabin 25</w:t>
      </w:r>
      <w:r w:rsidR="00C85074">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ciklofosfamid 250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prva tri dana) svake 4 nedjelje tokom 6 ciklusa, ili rituksimab u kombinaciji sa FC hemioterapijom (R-FC). Rituksimab je primjenjivan u dozi od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prvom ciklusu jedan dan prije hemioterapije i u dozi od 500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prvog dana svakog sljedećeg ciklusa. Pacijenti su isključeni iz studije relapsirajućeg/refraktarnoj HLL ako su ranije liječeni monoklonskim antitijelima, ili ako nijesu odgovorili (definisano kao nemogućnost postizanja parcijalne remisije tokom najmanje 6 mjeseci) na fludarabin ili bilo koji analog nukleozida. Ukupno 810 pacijenata (403 R-FC, 407 FC) u ispitivanju prve linije liječenja (Tabela 1</w:t>
      </w:r>
      <w:r w:rsidR="00AC0904" w:rsidRPr="003A22B9">
        <w:rPr>
          <w:rFonts w:ascii="Times New Roman" w:eastAsia="Times New Roman" w:hAnsi="Times New Roman" w:cs="Times New Roman"/>
          <w:lang w:val="sr-Latn-ME"/>
        </w:rPr>
        <w:t>2</w:t>
      </w:r>
      <w:r w:rsidRPr="003A22B9">
        <w:rPr>
          <w:rFonts w:ascii="Times New Roman" w:eastAsia="Times New Roman" w:hAnsi="Times New Roman" w:cs="Times New Roman"/>
          <w:lang w:val="sr-Latn-ME"/>
        </w:rPr>
        <w:t>a i Tabela 1</w:t>
      </w:r>
      <w:r w:rsidR="00AC0904" w:rsidRPr="003A22B9">
        <w:rPr>
          <w:rFonts w:ascii="Times New Roman" w:eastAsia="Times New Roman" w:hAnsi="Times New Roman" w:cs="Times New Roman"/>
          <w:lang w:val="sr-Latn-ME"/>
        </w:rPr>
        <w:t>2</w:t>
      </w:r>
      <w:r w:rsidRPr="003A22B9">
        <w:rPr>
          <w:rFonts w:ascii="Times New Roman" w:eastAsia="Times New Roman" w:hAnsi="Times New Roman" w:cs="Times New Roman"/>
          <w:lang w:val="sr-Latn-ME"/>
        </w:rPr>
        <w:t>b) i 552 pacijenta (276 R-FC, 276 FC) u ispitivanju relapsirajuće/refraktarne HLL (Tabela 1</w:t>
      </w:r>
      <w:r w:rsidR="00812206" w:rsidRPr="003A22B9">
        <w:rPr>
          <w:rFonts w:ascii="Times New Roman" w:eastAsia="Times New Roman" w:hAnsi="Times New Roman" w:cs="Times New Roman"/>
          <w:lang w:val="sr-Latn-ME"/>
        </w:rPr>
        <w:t>3</w:t>
      </w:r>
      <w:r w:rsidRPr="003A22B9">
        <w:rPr>
          <w:rFonts w:ascii="Times New Roman" w:eastAsia="Times New Roman" w:hAnsi="Times New Roman" w:cs="Times New Roman"/>
          <w:lang w:val="sr-Latn-ME"/>
        </w:rPr>
        <w:t xml:space="preserve">) analizirano je pri procjeni efikasnosti terapije. </w:t>
      </w:r>
    </w:p>
    <w:p w14:paraId="4DF8ED2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1AEA0F8" w14:textId="52029E2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studiji prve linije terapije, nakon medijane posmatranja od 48,1 mjeseci, medijana preživljanja bez progresije bolesti (PFS) bila je 55 mjeseci u R-FC grupi i 33 mjeseca u FC grupi (p &lt; 0.0001, log rank test). Analiza ukupnog preživljavanja pokazala je značajnu korist R-FC terapije u odnosu na primjenu samo FC hemoterapije (p = 0,0319, log rank test) (Tabela 1</w:t>
      </w:r>
      <w:r w:rsidR="00CC72FD" w:rsidRPr="003A22B9">
        <w:rPr>
          <w:rFonts w:ascii="Times New Roman" w:eastAsia="Times New Roman" w:hAnsi="Times New Roman" w:cs="Times New Roman"/>
          <w:lang w:val="sr-Latn-ME"/>
        </w:rPr>
        <w:t>2</w:t>
      </w:r>
      <w:r w:rsidRPr="003A22B9">
        <w:rPr>
          <w:rFonts w:ascii="Times New Roman" w:eastAsia="Times New Roman" w:hAnsi="Times New Roman" w:cs="Times New Roman"/>
          <w:lang w:val="sr-Latn-ME"/>
        </w:rPr>
        <w:t>a). Korist u smislu PFS konzistentno je primijećena u većini subpopulacija pacijenata koje su analizirane na osnovu početnog rizika bolesti (tj. Binet stadijumi A-C) (Tabela 1</w:t>
      </w:r>
      <w:r w:rsidR="00696A98" w:rsidRPr="003A22B9">
        <w:rPr>
          <w:rFonts w:ascii="Times New Roman" w:eastAsia="Times New Roman" w:hAnsi="Times New Roman" w:cs="Times New Roman"/>
          <w:lang w:val="sr-Latn-ME"/>
        </w:rPr>
        <w:t>2</w:t>
      </w:r>
      <w:r w:rsidRPr="003A22B9">
        <w:rPr>
          <w:rFonts w:ascii="Times New Roman" w:eastAsia="Times New Roman" w:hAnsi="Times New Roman" w:cs="Times New Roman"/>
          <w:lang w:val="sr-Latn-ME"/>
        </w:rPr>
        <w:t>b).</w:t>
      </w:r>
    </w:p>
    <w:p w14:paraId="036245F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C225EC8" w14:textId="497A3694"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961357" w:rsidRPr="003A22B9">
        <w:rPr>
          <w:rFonts w:ascii="Times New Roman" w:eastAsia="Times New Roman" w:hAnsi="Times New Roman" w:cs="Times New Roman"/>
          <w:b/>
          <w:lang w:val="sr-Latn-ME"/>
        </w:rPr>
        <w:t>2</w:t>
      </w:r>
      <w:r w:rsidRPr="003A22B9">
        <w:rPr>
          <w:rFonts w:ascii="Times New Roman" w:eastAsia="Times New Roman" w:hAnsi="Times New Roman" w:cs="Times New Roman"/>
          <w:b/>
          <w:lang w:val="sr-Latn-ME"/>
        </w:rPr>
        <w:t>a.</w:t>
      </w:r>
      <w:r w:rsidRPr="003A22B9">
        <w:rPr>
          <w:rFonts w:ascii="Times New Roman" w:eastAsia="Times New Roman" w:hAnsi="Times New Roman" w:cs="Times New Roman"/>
          <w:b/>
          <w:lang w:val="sr-Latn-ME"/>
        </w:rPr>
        <w:tab/>
        <w:t>Prva linija terapije hronične limfocitne leukemije</w:t>
      </w:r>
    </w:p>
    <w:p w14:paraId="00B0AE8E" w14:textId="22E5512B" w:rsidR="00BD335F" w:rsidRPr="003A22B9" w:rsidRDefault="00A75B47" w:rsidP="004771B6">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ab/>
        <w:t>Pregled rezultata efikasnosti primjene rituksimaba u kombinaciji sa FC u odnosu na samo FC (medijana vremena praćenja 48,1 mjeseci)</w:t>
      </w:r>
    </w:p>
    <w:p w14:paraId="15253AF5" w14:textId="77777777" w:rsidR="00BD335F" w:rsidRPr="003A22B9" w:rsidRDefault="00BD335F" w:rsidP="00A75B47">
      <w:pPr>
        <w:spacing w:after="0" w:line="240" w:lineRule="auto"/>
        <w:jc w:val="both"/>
        <w:rPr>
          <w:rFonts w:ascii="Times New Roman" w:eastAsia="Times New Roman" w:hAnsi="Times New Roman" w:cs="Times New Roman"/>
          <w:b/>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2"/>
        <w:gridCol w:w="1180"/>
        <w:gridCol w:w="1011"/>
        <w:gridCol w:w="1540"/>
        <w:gridCol w:w="1142"/>
      </w:tblGrid>
      <w:tr w:rsidR="00A75B47" w:rsidRPr="003A22B9" w14:paraId="636C3270" w14:textId="77777777" w:rsidTr="00BD335F">
        <w:trPr>
          <w:jc w:val="center"/>
        </w:trPr>
        <w:tc>
          <w:tcPr>
            <w:tcW w:w="4202" w:type="dxa"/>
            <w:vMerge w:val="restart"/>
            <w:shd w:val="clear" w:color="auto" w:fill="auto"/>
          </w:tcPr>
          <w:p w14:paraId="5053736A"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Parametar efikasnosti</w:t>
            </w:r>
          </w:p>
        </w:tc>
        <w:tc>
          <w:tcPr>
            <w:tcW w:w="3731" w:type="dxa"/>
            <w:gridSpan w:val="3"/>
            <w:shd w:val="clear" w:color="auto" w:fill="auto"/>
          </w:tcPr>
          <w:p w14:paraId="2C7F8782"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Procjena medijane</w:t>
            </w:r>
          </w:p>
          <w:p w14:paraId="337E47D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vremena do pojave događaja po Kaplan-Majeru (mjeseci)</w:t>
            </w:r>
          </w:p>
        </w:tc>
        <w:tc>
          <w:tcPr>
            <w:tcW w:w="1142" w:type="dxa"/>
            <w:vMerge w:val="restart"/>
            <w:shd w:val="clear" w:color="auto" w:fill="auto"/>
          </w:tcPr>
          <w:p w14:paraId="0E97C7A0"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Smanjenje</w:t>
            </w:r>
          </w:p>
          <w:p w14:paraId="6FD1EC8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rizika</w:t>
            </w:r>
          </w:p>
        </w:tc>
      </w:tr>
      <w:tr w:rsidR="00A75B47" w:rsidRPr="003A22B9" w14:paraId="38800A8C" w14:textId="77777777" w:rsidTr="00BD335F">
        <w:trPr>
          <w:jc w:val="center"/>
        </w:trPr>
        <w:tc>
          <w:tcPr>
            <w:tcW w:w="4202" w:type="dxa"/>
            <w:vMerge/>
            <w:shd w:val="clear" w:color="auto" w:fill="auto"/>
          </w:tcPr>
          <w:p w14:paraId="48D7D77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1180" w:type="dxa"/>
            <w:shd w:val="clear" w:color="auto" w:fill="auto"/>
          </w:tcPr>
          <w:p w14:paraId="1B71D5D6"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FC</w:t>
            </w:r>
          </w:p>
          <w:p w14:paraId="792531E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 = 409)</w:t>
            </w:r>
          </w:p>
        </w:tc>
        <w:tc>
          <w:tcPr>
            <w:tcW w:w="1011" w:type="dxa"/>
            <w:shd w:val="clear" w:color="auto" w:fill="auto"/>
          </w:tcPr>
          <w:p w14:paraId="22F86FD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R-FC</w:t>
            </w:r>
          </w:p>
          <w:p w14:paraId="2FE76DF0"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(N=408)</w:t>
            </w:r>
          </w:p>
        </w:tc>
        <w:tc>
          <w:tcPr>
            <w:tcW w:w="1540" w:type="dxa"/>
            <w:shd w:val="clear" w:color="auto" w:fill="auto"/>
          </w:tcPr>
          <w:p w14:paraId="5C715A1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Log-Rank</w:t>
            </w:r>
          </w:p>
          <w:p w14:paraId="03991BC4"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 vrijednost</w:t>
            </w:r>
          </w:p>
        </w:tc>
        <w:tc>
          <w:tcPr>
            <w:tcW w:w="1142" w:type="dxa"/>
            <w:vMerge/>
            <w:shd w:val="clear" w:color="auto" w:fill="auto"/>
          </w:tcPr>
          <w:p w14:paraId="23CADCA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r>
      <w:tr w:rsidR="00A75B47" w:rsidRPr="003A22B9" w14:paraId="751F20D4" w14:textId="77777777" w:rsidTr="00BD335F">
        <w:trPr>
          <w:jc w:val="center"/>
        </w:trPr>
        <w:tc>
          <w:tcPr>
            <w:tcW w:w="4202" w:type="dxa"/>
            <w:shd w:val="clear" w:color="auto" w:fill="auto"/>
          </w:tcPr>
          <w:p w14:paraId="23217DD2"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Preživljavanje bez progresije bolesti (PFS)</w:t>
            </w:r>
          </w:p>
        </w:tc>
        <w:tc>
          <w:tcPr>
            <w:tcW w:w="1180" w:type="dxa"/>
            <w:shd w:val="clear" w:color="auto" w:fill="auto"/>
          </w:tcPr>
          <w:p w14:paraId="56E4966A"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32,8</w:t>
            </w:r>
          </w:p>
        </w:tc>
        <w:tc>
          <w:tcPr>
            <w:tcW w:w="1011" w:type="dxa"/>
            <w:shd w:val="clear" w:color="auto" w:fill="auto"/>
          </w:tcPr>
          <w:p w14:paraId="1A6B3208"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55,3</w:t>
            </w:r>
          </w:p>
        </w:tc>
        <w:tc>
          <w:tcPr>
            <w:tcW w:w="1540" w:type="dxa"/>
            <w:shd w:val="clear" w:color="auto" w:fill="auto"/>
          </w:tcPr>
          <w:p w14:paraId="1D6B285D"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&lt; 0,0001</w:t>
            </w:r>
          </w:p>
        </w:tc>
        <w:tc>
          <w:tcPr>
            <w:tcW w:w="1142" w:type="dxa"/>
            <w:shd w:val="clear" w:color="auto" w:fill="auto"/>
          </w:tcPr>
          <w:p w14:paraId="32F827E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45%</w:t>
            </w:r>
          </w:p>
        </w:tc>
      </w:tr>
      <w:tr w:rsidR="00A75B47" w:rsidRPr="003A22B9" w14:paraId="24F0D54C" w14:textId="77777777" w:rsidTr="00BD335F">
        <w:trPr>
          <w:jc w:val="center"/>
        </w:trPr>
        <w:tc>
          <w:tcPr>
            <w:tcW w:w="4202" w:type="dxa"/>
            <w:shd w:val="clear" w:color="auto" w:fill="auto"/>
          </w:tcPr>
          <w:p w14:paraId="463B5E66"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Ukupno preživljavanje</w:t>
            </w:r>
          </w:p>
        </w:tc>
        <w:tc>
          <w:tcPr>
            <w:tcW w:w="1180" w:type="dxa"/>
            <w:shd w:val="clear" w:color="auto" w:fill="auto"/>
          </w:tcPr>
          <w:p w14:paraId="6EA152C8"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tc>
        <w:tc>
          <w:tcPr>
            <w:tcW w:w="1011" w:type="dxa"/>
            <w:shd w:val="clear" w:color="auto" w:fill="auto"/>
          </w:tcPr>
          <w:p w14:paraId="3DF1B9CB"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tc>
        <w:tc>
          <w:tcPr>
            <w:tcW w:w="1540" w:type="dxa"/>
            <w:shd w:val="clear" w:color="auto" w:fill="auto"/>
          </w:tcPr>
          <w:p w14:paraId="7D717363"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0,0319</w:t>
            </w:r>
          </w:p>
        </w:tc>
        <w:tc>
          <w:tcPr>
            <w:tcW w:w="1142" w:type="dxa"/>
            <w:shd w:val="clear" w:color="auto" w:fill="auto"/>
          </w:tcPr>
          <w:p w14:paraId="0464AA95"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27%</w:t>
            </w:r>
          </w:p>
        </w:tc>
      </w:tr>
      <w:tr w:rsidR="00A75B47" w:rsidRPr="003A22B9" w14:paraId="2D50C07B" w14:textId="77777777" w:rsidTr="00BD335F">
        <w:trPr>
          <w:jc w:val="center"/>
        </w:trPr>
        <w:tc>
          <w:tcPr>
            <w:tcW w:w="4202" w:type="dxa"/>
            <w:shd w:val="clear" w:color="auto" w:fill="auto"/>
          </w:tcPr>
          <w:p w14:paraId="46337CCE"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Preživljavanje bez događaja</w:t>
            </w:r>
          </w:p>
        </w:tc>
        <w:tc>
          <w:tcPr>
            <w:tcW w:w="1180" w:type="dxa"/>
            <w:shd w:val="clear" w:color="auto" w:fill="auto"/>
          </w:tcPr>
          <w:p w14:paraId="4047CD8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31,3</w:t>
            </w:r>
          </w:p>
        </w:tc>
        <w:tc>
          <w:tcPr>
            <w:tcW w:w="1011" w:type="dxa"/>
            <w:shd w:val="clear" w:color="auto" w:fill="auto"/>
          </w:tcPr>
          <w:p w14:paraId="1DA42343"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51,8</w:t>
            </w:r>
          </w:p>
        </w:tc>
        <w:tc>
          <w:tcPr>
            <w:tcW w:w="1540" w:type="dxa"/>
            <w:shd w:val="clear" w:color="auto" w:fill="auto"/>
          </w:tcPr>
          <w:p w14:paraId="3CE980CE"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&lt; 0,0001</w:t>
            </w:r>
          </w:p>
        </w:tc>
        <w:tc>
          <w:tcPr>
            <w:tcW w:w="1142" w:type="dxa"/>
            <w:shd w:val="clear" w:color="auto" w:fill="auto"/>
          </w:tcPr>
          <w:p w14:paraId="64FF32E7"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44%</w:t>
            </w:r>
          </w:p>
        </w:tc>
      </w:tr>
      <w:tr w:rsidR="00A75B47" w:rsidRPr="003A22B9" w14:paraId="7DC63677" w14:textId="77777777" w:rsidTr="00BD335F">
        <w:trPr>
          <w:trHeight w:val="451"/>
          <w:jc w:val="center"/>
        </w:trPr>
        <w:tc>
          <w:tcPr>
            <w:tcW w:w="4202" w:type="dxa"/>
            <w:tcBorders>
              <w:bottom w:val="single" w:sz="4" w:space="0" w:color="auto"/>
            </w:tcBorders>
            <w:shd w:val="clear" w:color="auto" w:fill="auto"/>
          </w:tcPr>
          <w:p w14:paraId="0DF4EC2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Stopa odgovora na terapiju (CR, nPR, ili PR) </w:t>
            </w:r>
          </w:p>
          <w:p w14:paraId="08135F5F"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CR stopa</w:t>
            </w:r>
          </w:p>
        </w:tc>
        <w:tc>
          <w:tcPr>
            <w:tcW w:w="1180" w:type="dxa"/>
            <w:tcBorders>
              <w:bottom w:val="single" w:sz="4" w:space="0" w:color="auto"/>
            </w:tcBorders>
            <w:shd w:val="clear" w:color="auto" w:fill="auto"/>
          </w:tcPr>
          <w:p w14:paraId="6A3E6785"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72,6%</w:t>
            </w:r>
          </w:p>
          <w:p w14:paraId="7716595E"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16,9%</w:t>
            </w:r>
          </w:p>
        </w:tc>
        <w:tc>
          <w:tcPr>
            <w:tcW w:w="1011" w:type="dxa"/>
            <w:tcBorders>
              <w:bottom w:val="single" w:sz="4" w:space="0" w:color="auto"/>
            </w:tcBorders>
            <w:shd w:val="clear" w:color="auto" w:fill="auto"/>
          </w:tcPr>
          <w:p w14:paraId="2F6F5540"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85,8%</w:t>
            </w:r>
          </w:p>
          <w:p w14:paraId="5D26338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36,0%</w:t>
            </w:r>
          </w:p>
        </w:tc>
        <w:tc>
          <w:tcPr>
            <w:tcW w:w="1540" w:type="dxa"/>
            <w:tcBorders>
              <w:bottom w:val="single" w:sz="4" w:space="0" w:color="auto"/>
            </w:tcBorders>
            <w:shd w:val="clear" w:color="auto" w:fill="auto"/>
          </w:tcPr>
          <w:p w14:paraId="1D9342CB"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p w14:paraId="3576388B"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tc>
        <w:tc>
          <w:tcPr>
            <w:tcW w:w="1142" w:type="dxa"/>
            <w:tcBorders>
              <w:bottom w:val="single" w:sz="4" w:space="0" w:color="auto"/>
            </w:tcBorders>
            <w:shd w:val="clear" w:color="auto" w:fill="auto"/>
          </w:tcPr>
          <w:p w14:paraId="1363FB53"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n.p.</w:t>
            </w:r>
          </w:p>
          <w:p w14:paraId="7DAD55EC"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n.p.</w:t>
            </w:r>
          </w:p>
        </w:tc>
      </w:tr>
      <w:tr w:rsidR="00A75B47" w:rsidRPr="003A22B9" w14:paraId="19D38D58" w14:textId="77777777" w:rsidTr="00BD335F">
        <w:trPr>
          <w:trHeight w:val="302"/>
          <w:jc w:val="center"/>
        </w:trPr>
        <w:tc>
          <w:tcPr>
            <w:tcW w:w="4202" w:type="dxa"/>
            <w:tcBorders>
              <w:top w:val="single" w:sz="4" w:space="0" w:color="auto"/>
              <w:bottom w:val="single" w:sz="4" w:space="0" w:color="auto"/>
            </w:tcBorders>
            <w:shd w:val="clear" w:color="auto" w:fill="auto"/>
          </w:tcPr>
          <w:p w14:paraId="38247DA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Trajanje odgovora*</w:t>
            </w:r>
          </w:p>
        </w:tc>
        <w:tc>
          <w:tcPr>
            <w:tcW w:w="1180" w:type="dxa"/>
            <w:tcBorders>
              <w:top w:val="single" w:sz="4" w:space="0" w:color="auto"/>
              <w:bottom w:val="single" w:sz="4" w:space="0" w:color="auto"/>
            </w:tcBorders>
            <w:shd w:val="clear" w:color="auto" w:fill="auto"/>
          </w:tcPr>
          <w:p w14:paraId="6AF4297B"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36,2</w:t>
            </w:r>
          </w:p>
        </w:tc>
        <w:tc>
          <w:tcPr>
            <w:tcW w:w="1011" w:type="dxa"/>
            <w:tcBorders>
              <w:top w:val="single" w:sz="4" w:space="0" w:color="auto"/>
              <w:bottom w:val="single" w:sz="4" w:space="0" w:color="auto"/>
            </w:tcBorders>
            <w:shd w:val="clear" w:color="auto" w:fill="auto"/>
          </w:tcPr>
          <w:p w14:paraId="33E84307"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57,3</w:t>
            </w:r>
          </w:p>
        </w:tc>
        <w:tc>
          <w:tcPr>
            <w:tcW w:w="1540" w:type="dxa"/>
            <w:tcBorders>
              <w:top w:val="single" w:sz="4" w:space="0" w:color="auto"/>
              <w:bottom w:val="single" w:sz="4" w:space="0" w:color="auto"/>
            </w:tcBorders>
            <w:shd w:val="clear" w:color="auto" w:fill="auto"/>
          </w:tcPr>
          <w:p w14:paraId="70603A6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tc>
        <w:tc>
          <w:tcPr>
            <w:tcW w:w="1142" w:type="dxa"/>
            <w:tcBorders>
              <w:top w:val="single" w:sz="4" w:space="0" w:color="auto"/>
              <w:bottom w:val="single" w:sz="4" w:space="0" w:color="auto"/>
            </w:tcBorders>
            <w:shd w:val="clear" w:color="auto" w:fill="auto"/>
          </w:tcPr>
          <w:p w14:paraId="36ACAF73"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44%</w:t>
            </w:r>
          </w:p>
        </w:tc>
      </w:tr>
      <w:tr w:rsidR="00A75B47" w:rsidRPr="003A22B9" w14:paraId="2B13A774" w14:textId="77777777" w:rsidTr="00BD335F">
        <w:trPr>
          <w:trHeight w:val="194"/>
          <w:jc w:val="center"/>
        </w:trPr>
        <w:tc>
          <w:tcPr>
            <w:tcW w:w="4202" w:type="dxa"/>
            <w:tcBorders>
              <w:top w:val="single" w:sz="4" w:space="0" w:color="auto"/>
              <w:bottom w:val="single" w:sz="4" w:space="0" w:color="auto"/>
            </w:tcBorders>
            <w:shd w:val="clear" w:color="auto" w:fill="auto"/>
          </w:tcPr>
          <w:p w14:paraId="63E2362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Preživljavanje bez bolesti (PFS)**</w:t>
            </w:r>
          </w:p>
        </w:tc>
        <w:tc>
          <w:tcPr>
            <w:tcW w:w="1180" w:type="dxa"/>
            <w:tcBorders>
              <w:top w:val="single" w:sz="4" w:space="0" w:color="auto"/>
              <w:bottom w:val="single" w:sz="4" w:space="0" w:color="auto"/>
            </w:tcBorders>
            <w:shd w:val="clear" w:color="auto" w:fill="auto"/>
          </w:tcPr>
          <w:p w14:paraId="784406B9"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48,9</w:t>
            </w:r>
          </w:p>
        </w:tc>
        <w:tc>
          <w:tcPr>
            <w:tcW w:w="1011" w:type="dxa"/>
            <w:tcBorders>
              <w:top w:val="single" w:sz="4" w:space="0" w:color="auto"/>
              <w:bottom w:val="single" w:sz="4" w:space="0" w:color="auto"/>
            </w:tcBorders>
            <w:shd w:val="clear" w:color="auto" w:fill="auto"/>
          </w:tcPr>
          <w:p w14:paraId="64C2ECE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60,3</w:t>
            </w:r>
          </w:p>
        </w:tc>
        <w:tc>
          <w:tcPr>
            <w:tcW w:w="1540" w:type="dxa"/>
            <w:tcBorders>
              <w:top w:val="single" w:sz="4" w:space="0" w:color="auto"/>
              <w:bottom w:val="single" w:sz="4" w:space="0" w:color="auto"/>
            </w:tcBorders>
            <w:shd w:val="clear" w:color="auto" w:fill="auto"/>
          </w:tcPr>
          <w:p w14:paraId="25064F6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0,0520</w:t>
            </w:r>
          </w:p>
        </w:tc>
        <w:tc>
          <w:tcPr>
            <w:tcW w:w="1142" w:type="dxa"/>
            <w:tcBorders>
              <w:top w:val="single" w:sz="4" w:space="0" w:color="auto"/>
              <w:bottom w:val="single" w:sz="4" w:space="0" w:color="auto"/>
            </w:tcBorders>
            <w:shd w:val="clear" w:color="auto" w:fill="auto"/>
          </w:tcPr>
          <w:p w14:paraId="7E1FF555"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31%</w:t>
            </w:r>
          </w:p>
        </w:tc>
      </w:tr>
      <w:tr w:rsidR="00A75B47" w:rsidRPr="003A22B9" w14:paraId="7E063C8E" w14:textId="77777777" w:rsidTr="00BD335F">
        <w:trPr>
          <w:trHeight w:val="337"/>
          <w:jc w:val="center"/>
        </w:trPr>
        <w:tc>
          <w:tcPr>
            <w:tcW w:w="4202" w:type="dxa"/>
            <w:tcBorders>
              <w:top w:val="single" w:sz="4" w:space="0" w:color="auto"/>
            </w:tcBorders>
            <w:shd w:val="clear" w:color="auto" w:fill="auto"/>
          </w:tcPr>
          <w:p w14:paraId="2C0BE46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Vrijeme do nove terapije</w:t>
            </w:r>
          </w:p>
        </w:tc>
        <w:tc>
          <w:tcPr>
            <w:tcW w:w="1180" w:type="dxa"/>
            <w:tcBorders>
              <w:top w:val="single" w:sz="4" w:space="0" w:color="auto"/>
            </w:tcBorders>
            <w:shd w:val="clear" w:color="auto" w:fill="auto"/>
          </w:tcPr>
          <w:p w14:paraId="5F474140"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47,2</w:t>
            </w:r>
          </w:p>
        </w:tc>
        <w:tc>
          <w:tcPr>
            <w:tcW w:w="1011" w:type="dxa"/>
            <w:tcBorders>
              <w:top w:val="single" w:sz="4" w:space="0" w:color="auto"/>
            </w:tcBorders>
            <w:shd w:val="clear" w:color="auto" w:fill="auto"/>
          </w:tcPr>
          <w:p w14:paraId="4B9F26AA"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69,7</w:t>
            </w:r>
          </w:p>
        </w:tc>
        <w:tc>
          <w:tcPr>
            <w:tcW w:w="1540" w:type="dxa"/>
            <w:tcBorders>
              <w:top w:val="single" w:sz="4" w:space="0" w:color="auto"/>
            </w:tcBorders>
            <w:shd w:val="clear" w:color="auto" w:fill="auto"/>
          </w:tcPr>
          <w:p w14:paraId="339B2F9C"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tc>
        <w:tc>
          <w:tcPr>
            <w:tcW w:w="1142" w:type="dxa"/>
            <w:tcBorders>
              <w:top w:val="single" w:sz="4" w:space="0" w:color="auto"/>
            </w:tcBorders>
            <w:shd w:val="clear" w:color="auto" w:fill="auto"/>
          </w:tcPr>
          <w:p w14:paraId="637E441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w:t>
            </w:r>
          </w:p>
        </w:tc>
      </w:tr>
    </w:tbl>
    <w:p w14:paraId="504E0181"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Stopa odgovora na terapiju i stopa CR analizirane primjenom Hi -kvadrat testa. ND: nije dostignuto n.p. nije primjenljivo </w:t>
      </w:r>
    </w:p>
    <w:p w14:paraId="5B9C9DAF"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 odnosi se samo na pacijente koji su postigli CR, nPR, PR </w:t>
      </w:r>
    </w:p>
    <w:p w14:paraId="375DC339" w14:textId="797CFCCD" w:rsidR="00C85074" w:rsidRPr="001C3C2B" w:rsidRDefault="00A75B47" w:rsidP="00A75B47">
      <w:pPr>
        <w:spacing w:after="0" w:line="240" w:lineRule="auto"/>
        <w:jc w:val="both"/>
        <w:rPr>
          <w:rFonts w:ascii="Times New Roman" w:eastAsia="Times New Roman" w:hAnsi="Times New Roman" w:cs="Times New Roman"/>
          <w:b/>
          <w:sz w:val="20"/>
          <w:szCs w:val="20"/>
          <w:lang w:val="sr-Latn-ME"/>
        </w:rPr>
      </w:pPr>
      <w:r w:rsidRPr="001C3C2B">
        <w:rPr>
          <w:rFonts w:ascii="Times New Roman" w:eastAsia="Times New Roman" w:hAnsi="Times New Roman" w:cs="Times New Roman"/>
          <w:sz w:val="20"/>
          <w:szCs w:val="20"/>
          <w:lang w:val="sr-Latn-ME"/>
        </w:rPr>
        <w:t>**: primjenljivo samo na pacijente koji su postigli CR</w:t>
      </w:r>
    </w:p>
    <w:p w14:paraId="783166F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1A47C6C8" w14:textId="708CA1A1"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8E1136" w:rsidRPr="003A22B9">
        <w:rPr>
          <w:rFonts w:ascii="Times New Roman" w:eastAsia="Times New Roman" w:hAnsi="Times New Roman" w:cs="Times New Roman"/>
          <w:b/>
          <w:lang w:val="sr-Latn-ME"/>
        </w:rPr>
        <w:t>2</w:t>
      </w:r>
      <w:r w:rsidRPr="003A22B9">
        <w:rPr>
          <w:rFonts w:ascii="Times New Roman" w:eastAsia="Times New Roman" w:hAnsi="Times New Roman" w:cs="Times New Roman"/>
          <w:b/>
          <w:lang w:val="sr-Latn-ME"/>
        </w:rPr>
        <w:t>b</w:t>
      </w:r>
      <w:r w:rsidRPr="003A22B9">
        <w:rPr>
          <w:rFonts w:ascii="Times New Roman" w:eastAsia="Times New Roman" w:hAnsi="Times New Roman" w:cs="Times New Roman"/>
          <w:b/>
          <w:lang w:val="sr-Latn-ME"/>
        </w:rPr>
        <w:tab/>
        <w:t xml:space="preserve">Prva linija liječenja hronične limfocitne leukemije </w:t>
      </w:r>
    </w:p>
    <w:p w14:paraId="4EA1B136" w14:textId="77777777" w:rsidR="00A75B47" w:rsidRPr="003A22B9" w:rsidRDefault="00A75B47" w:rsidP="00A75B47">
      <w:pPr>
        <w:spacing w:after="0" w:line="240" w:lineRule="auto"/>
        <w:ind w:left="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Indeksi rizika za preživljavanje bez progresije bolesti prema Binetovim stadijumima (ITT populacija) – medijana vremena praćenja je 48,1 mjesec </w:t>
      </w:r>
    </w:p>
    <w:p w14:paraId="2C18343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1045"/>
        <w:gridCol w:w="1159"/>
        <w:gridCol w:w="1794"/>
        <w:gridCol w:w="2468"/>
      </w:tblGrid>
      <w:tr w:rsidR="00A75B47" w:rsidRPr="003A22B9" w14:paraId="7D9E5C82" w14:textId="77777777" w:rsidTr="00043DF7">
        <w:trPr>
          <w:jc w:val="center"/>
        </w:trPr>
        <w:tc>
          <w:tcPr>
            <w:tcW w:w="2599" w:type="dxa"/>
            <w:vMerge w:val="restart"/>
            <w:shd w:val="clear" w:color="auto" w:fill="auto"/>
          </w:tcPr>
          <w:p w14:paraId="379711E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Preživljavanje bez progresije bolesti (PFS)</w:t>
            </w:r>
          </w:p>
        </w:tc>
        <w:tc>
          <w:tcPr>
            <w:tcW w:w="2208" w:type="dxa"/>
            <w:gridSpan w:val="2"/>
            <w:shd w:val="clear" w:color="auto" w:fill="auto"/>
          </w:tcPr>
          <w:p w14:paraId="39964CB8"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Broj pacijenata</w:t>
            </w:r>
          </w:p>
        </w:tc>
        <w:tc>
          <w:tcPr>
            <w:tcW w:w="1797" w:type="dxa"/>
            <w:vMerge w:val="restart"/>
            <w:shd w:val="clear" w:color="auto" w:fill="auto"/>
          </w:tcPr>
          <w:p w14:paraId="5609F01B"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Indeks rizika (95% CI)</w:t>
            </w:r>
          </w:p>
        </w:tc>
        <w:tc>
          <w:tcPr>
            <w:tcW w:w="2471" w:type="dxa"/>
            <w:vMerge w:val="restart"/>
            <w:shd w:val="clear" w:color="auto" w:fill="auto"/>
          </w:tcPr>
          <w:p w14:paraId="564D1DAA" w14:textId="2311BCA1"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p-vrijednost</w:t>
            </w:r>
          </w:p>
          <w:p w14:paraId="6777E523"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(Wald test, neprilagođen)</w:t>
            </w:r>
          </w:p>
        </w:tc>
      </w:tr>
      <w:tr w:rsidR="00A75B47" w:rsidRPr="003A22B9" w14:paraId="71840935" w14:textId="77777777" w:rsidTr="00043DF7">
        <w:trPr>
          <w:jc w:val="center"/>
        </w:trPr>
        <w:tc>
          <w:tcPr>
            <w:tcW w:w="2599" w:type="dxa"/>
            <w:vMerge/>
            <w:shd w:val="clear" w:color="auto" w:fill="auto"/>
          </w:tcPr>
          <w:p w14:paraId="3F4FDD8A"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1047" w:type="dxa"/>
            <w:shd w:val="clear" w:color="auto" w:fill="auto"/>
          </w:tcPr>
          <w:p w14:paraId="75F2C9C7"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FC</w:t>
            </w:r>
          </w:p>
        </w:tc>
        <w:tc>
          <w:tcPr>
            <w:tcW w:w="1161" w:type="dxa"/>
            <w:shd w:val="clear" w:color="auto" w:fill="auto"/>
          </w:tcPr>
          <w:p w14:paraId="7E33BE8A"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R-FC</w:t>
            </w:r>
          </w:p>
        </w:tc>
        <w:tc>
          <w:tcPr>
            <w:tcW w:w="1797" w:type="dxa"/>
            <w:vMerge/>
            <w:shd w:val="clear" w:color="auto" w:fill="auto"/>
          </w:tcPr>
          <w:p w14:paraId="2221C007"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p>
        </w:tc>
        <w:tc>
          <w:tcPr>
            <w:tcW w:w="2471" w:type="dxa"/>
            <w:vMerge/>
            <w:shd w:val="clear" w:color="auto" w:fill="auto"/>
          </w:tcPr>
          <w:p w14:paraId="03D084D1"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p>
        </w:tc>
      </w:tr>
      <w:tr w:rsidR="00A75B47" w:rsidRPr="003A22B9" w14:paraId="1EE49B78" w14:textId="77777777" w:rsidTr="00043DF7">
        <w:trPr>
          <w:jc w:val="center"/>
        </w:trPr>
        <w:tc>
          <w:tcPr>
            <w:tcW w:w="2599" w:type="dxa"/>
            <w:shd w:val="clear" w:color="auto" w:fill="auto"/>
          </w:tcPr>
          <w:p w14:paraId="71623AC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Binet stadijum A</w:t>
            </w:r>
          </w:p>
        </w:tc>
        <w:tc>
          <w:tcPr>
            <w:tcW w:w="1047" w:type="dxa"/>
            <w:shd w:val="clear" w:color="auto" w:fill="auto"/>
          </w:tcPr>
          <w:p w14:paraId="6076B0C0"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22</w:t>
            </w:r>
          </w:p>
        </w:tc>
        <w:tc>
          <w:tcPr>
            <w:tcW w:w="1161" w:type="dxa"/>
            <w:shd w:val="clear" w:color="auto" w:fill="auto"/>
          </w:tcPr>
          <w:p w14:paraId="44678D57" w14:textId="77777777" w:rsidR="00A75B47" w:rsidRPr="003A22B9" w:rsidRDefault="00A75B47" w:rsidP="000B1F1D">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18</w:t>
            </w:r>
          </w:p>
        </w:tc>
        <w:tc>
          <w:tcPr>
            <w:tcW w:w="1797" w:type="dxa"/>
            <w:shd w:val="clear" w:color="auto" w:fill="auto"/>
          </w:tcPr>
          <w:p w14:paraId="53A62968"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0,39 (0,15; 0,98)</w:t>
            </w:r>
          </w:p>
        </w:tc>
        <w:tc>
          <w:tcPr>
            <w:tcW w:w="2471" w:type="dxa"/>
            <w:shd w:val="clear" w:color="auto" w:fill="auto"/>
          </w:tcPr>
          <w:p w14:paraId="288F5CB7"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0,0442</w:t>
            </w:r>
          </w:p>
        </w:tc>
      </w:tr>
      <w:tr w:rsidR="00A75B47" w:rsidRPr="003A22B9" w14:paraId="59F1E2E2" w14:textId="77777777" w:rsidTr="00043DF7">
        <w:trPr>
          <w:jc w:val="center"/>
        </w:trPr>
        <w:tc>
          <w:tcPr>
            <w:tcW w:w="2599" w:type="dxa"/>
            <w:shd w:val="clear" w:color="auto" w:fill="auto"/>
          </w:tcPr>
          <w:p w14:paraId="432D0CE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Binet stadijum B</w:t>
            </w:r>
          </w:p>
        </w:tc>
        <w:tc>
          <w:tcPr>
            <w:tcW w:w="1047" w:type="dxa"/>
            <w:shd w:val="clear" w:color="auto" w:fill="auto"/>
          </w:tcPr>
          <w:p w14:paraId="3254F09B"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259</w:t>
            </w:r>
          </w:p>
        </w:tc>
        <w:tc>
          <w:tcPr>
            <w:tcW w:w="1161" w:type="dxa"/>
            <w:shd w:val="clear" w:color="auto" w:fill="auto"/>
          </w:tcPr>
          <w:p w14:paraId="7F9F395B" w14:textId="77777777" w:rsidR="00A75B47" w:rsidRPr="003A22B9" w:rsidRDefault="00A75B47" w:rsidP="000B1F1D">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263</w:t>
            </w:r>
          </w:p>
        </w:tc>
        <w:tc>
          <w:tcPr>
            <w:tcW w:w="1797" w:type="dxa"/>
            <w:shd w:val="clear" w:color="auto" w:fill="auto"/>
          </w:tcPr>
          <w:p w14:paraId="1A684A1A"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0,52 (0,41; 0,66)</w:t>
            </w:r>
          </w:p>
        </w:tc>
        <w:tc>
          <w:tcPr>
            <w:tcW w:w="2471" w:type="dxa"/>
            <w:shd w:val="clear" w:color="auto" w:fill="auto"/>
          </w:tcPr>
          <w:p w14:paraId="2DEF8C9B"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&lt; 0,0001</w:t>
            </w:r>
          </w:p>
        </w:tc>
      </w:tr>
      <w:tr w:rsidR="00A75B47" w:rsidRPr="003A22B9" w14:paraId="79F780B0" w14:textId="77777777" w:rsidTr="00043DF7">
        <w:trPr>
          <w:jc w:val="center"/>
        </w:trPr>
        <w:tc>
          <w:tcPr>
            <w:tcW w:w="2599" w:type="dxa"/>
            <w:shd w:val="clear" w:color="auto" w:fill="auto"/>
          </w:tcPr>
          <w:p w14:paraId="2F99EA5E"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Binet stadijum C</w:t>
            </w:r>
          </w:p>
        </w:tc>
        <w:tc>
          <w:tcPr>
            <w:tcW w:w="1047" w:type="dxa"/>
            <w:shd w:val="clear" w:color="auto" w:fill="auto"/>
          </w:tcPr>
          <w:p w14:paraId="3EC0F210"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126</w:t>
            </w:r>
          </w:p>
        </w:tc>
        <w:tc>
          <w:tcPr>
            <w:tcW w:w="1161" w:type="dxa"/>
            <w:shd w:val="clear" w:color="auto" w:fill="auto"/>
          </w:tcPr>
          <w:p w14:paraId="0B132875" w14:textId="77777777" w:rsidR="00A75B47" w:rsidRPr="003A22B9" w:rsidRDefault="00A75B47" w:rsidP="000B1F1D">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126</w:t>
            </w:r>
          </w:p>
        </w:tc>
        <w:tc>
          <w:tcPr>
            <w:tcW w:w="1797" w:type="dxa"/>
            <w:shd w:val="clear" w:color="auto" w:fill="auto"/>
          </w:tcPr>
          <w:p w14:paraId="7903BF68"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0,68 (0,49; 0,95)</w:t>
            </w:r>
          </w:p>
        </w:tc>
        <w:tc>
          <w:tcPr>
            <w:tcW w:w="2471" w:type="dxa"/>
            <w:shd w:val="clear" w:color="auto" w:fill="auto"/>
          </w:tcPr>
          <w:p w14:paraId="1FD2EDBF"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0,0224</w:t>
            </w:r>
          </w:p>
        </w:tc>
      </w:tr>
    </w:tbl>
    <w:p w14:paraId="2710EB02"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CI: Interval pouzdanosti </w:t>
      </w:r>
    </w:p>
    <w:p w14:paraId="4F1463F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C4D1749" w14:textId="02C97D59"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 studiji sa relapsirajuć</w:t>
      </w:r>
      <w:r w:rsidR="00F52D0D" w:rsidRPr="003A22B9">
        <w:rPr>
          <w:rFonts w:ascii="Times New Roman" w:eastAsia="Times New Roman" w:hAnsi="Times New Roman" w:cs="Times New Roman"/>
          <w:lang w:val="sr-Latn-ME"/>
        </w:rPr>
        <w:t>o</w:t>
      </w:r>
      <w:r w:rsidRPr="003A22B9">
        <w:rPr>
          <w:rFonts w:ascii="Times New Roman" w:eastAsia="Times New Roman" w:hAnsi="Times New Roman" w:cs="Times New Roman"/>
          <w:lang w:val="sr-Latn-ME"/>
        </w:rPr>
        <w:t xml:space="preserve">m/refraktarnom HLL medijana preživljavanja bez progresije bolesti (primarni </w:t>
      </w:r>
      <w:r w:rsidR="00F52D0D" w:rsidRPr="003A22B9">
        <w:rPr>
          <w:rFonts w:ascii="Times New Roman" w:eastAsia="Times New Roman" w:hAnsi="Times New Roman" w:cs="Times New Roman"/>
          <w:lang w:val="sr-Latn-ME"/>
        </w:rPr>
        <w:t>parametar praćenja</w:t>
      </w:r>
      <w:r w:rsidRPr="003A22B9">
        <w:rPr>
          <w:rFonts w:ascii="Times New Roman" w:eastAsia="Times New Roman" w:hAnsi="Times New Roman" w:cs="Times New Roman"/>
          <w:lang w:val="sr-Latn-ME"/>
        </w:rPr>
        <w:t>) bila je 30,6 mjeseci u R-FC grupi i 20,6 mjeseci u FC grupi (p = 0,0002, log-rank test). Korist u smislu PFS-a zabilježena je kod skoro svih podgrupa pacijenata analiziranih prema početnom riziku bolesti. Prijavljeno je blago, ali ne značajno poboljšanje ukupnog preživljavanja u grupi R-FC u poređenju sa FC grupom.</w:t>
      </w:r>
    </w:p>
    <w:p w14:paraId="148329B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06E3C499" w14:textId="5E21A3D5"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D3177E" w:rsidRPr="003A22B9">
        <w:rPr>
          <w:rFonts w:ascii="Times New Roman" w:eastAsia="Times New Roman" w:hAnsi="Times New Roman" w:cs="Times New Roman"/>
          <w:b/>
          <w:lang w:val="sr-Latn-ME"/>
        </w:rPr>
        <w:t>3</w:t>
      </w:r>
      <w:r w:rsidRPr="003A22B9">
        <w:rPr>
          <w:rFonts w:ascii="Times New Roman" w:eastAsia="Times New Roman" w:hAnsi="Times New Roman" w:cs="Times New Roman"/>
          <w:b/>
          <w:lang w:val="sr-Latn-ME"/>
        </w:rPr>
        <w:tab/>
        <w:t>Liječenje relapsirajuće/refraktorne hronične limfocitne leukemije – pregled rezultata efikasnosti rituksimaba + FC u poređenju sa samo FC (medijana vremena praćenja 25,3 mjeseca)</w:t>
      </w:r>
    </w:p>
    <w:p w14:paraId="6AF9CBC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92"/>
        <w:gridCol w:w="1148"/>
        <w:gridCol w:w="1449"/>
        <w:gridCol w:w="1238"/>
      </w:tblGrid>
      <w:tr w:rsidR="00A75B47" w:rsidRPr="003A22B9" w14:paraId="2F54A24C" w14:textId="77777777" w:rsidTr="00D64A2E">
        <w:tc>
          <w:tcPr>
            <w:tcW w:w="4248" w:type="dxa"/>
            <w:vMerge w:val="restart"/>
            <w:shd w:val="clear" w:color="auto" w:fill="auto"/>
          </w:tcPr>
          <w:p w14:paraId="0C0B022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Parametar efikasnosti</w:t>
            </w:r>
          </w:p>
        </w:tc>
        <w:tc>
          <w:tcPr>
            <w:tcW w:w="3589" w:type="dxa"/>
            <w:gridSpan w:val="3"/>
            <w:shd w:val="clear" w:color="auto" w:fill="auto"/>
          </w:tcPr>
          <w:p w14:paraId="1D5E9E5C" w14:textId="06DA5FC8"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Procjena medijan</w:t>
            </w:r>
            <w:r w:rsidR="00F52D0D" w:rsidRPr="003A22B9">
              <w:rPr>
                <w:rFonts w:ascii="Times New Roman" w:eastAsia="Times New Roman" w:hAnsi="Times New Roman" w:cs="Times New Roman"/>
                <w:b/>
                <w:lang w:val="sr-Latn-ME"/>
              </w:rPr>
              <w:t>e</w:t>
            </w:r>
          </w:p>
          <w:p w14:paraId="51EE037E"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vremena do događaja po Kaplan-Majeru (mjeseci)</w:t>
            </w:r>
          </w:p>
        </w:tc>
        <w:tc>
          <w:tcPr>
            <w:tcW w:w="1238" w:type="dxa"/>
            <w:vMerge w:val="restart"/>
            <w:shd w:val="clear" w:color="auto" w:fill="auto"/>
          </w:tcPr>
          <w:p w14:paraId="3308CAF9"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Smanjenje</w:t>
            </w:r>
          </w:p>
          <w:p w14:paraId="735F6FE5"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rizika</w:t>
            </w:r>
          </w:p>
        </w:tc>
      </w:tr>
      <w:tr w:rsidR="00A75B47" w:rsidRPr="003A22B9" w14:paraId="11781A7B" w14:textId="77777777" w:rsidTr="00BD335F">
        <w:trPr>
          <w:trHeight w:val="927"/>
        </w:trPr>
        <w:tc>
          <w:tcPr>
            <w:tcW w:w="4248" w:type="dxa"/>
            <w:vMerge/>
            <w:shd w:val="clear" w:color="auto" w:fill="auto"/>
          </w:tcPr>
          <w:p w14:paraId="5CE30C0F"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992" w:type="dxa"/>
            <w:shd w:val="clear" w:color="auto" w:fill="auto"/>
          </w:tcPr>
          <w:p w14:paraId="0D527C1C"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FC</w:t>
            </w:r>
          </w:p>
          <w:p w14:paraId="306FFDCA"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 = 276)</w:t>
            </w:r>
          </w:p>
        </w:tc>
        <w:tc>
          <w:tcPr>
            <w:tcW w:w="1148" w:type="dxa"/>
            <w:shd w:val="clear" w:color="auto" w:fill="auto"/>
          </w:tcPr>
          <w:p w14:paraId="5367EA06"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R-FC</w:t>
            </w:r>
          </w:p>
          <w:p w14:paraId="5489D87F"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(N=276)</w:t>
            </w:r>
          </w:p>
        </w:tc>
        <w:tc>
          <w:tcPr>
            <w:tcW w:w="1449" w:type="dxa"/>
            <w:shd w:val="clear" w:color="auto" w:fill="auto"/>
          </w:tcPr>
          <w:p w14:paraId="474364B1"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log-rank</w:t>
            </w:r>
          </w:p>
          <w:p w14:paraId="7F7AAAFF"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p-vrijednost</w:t>
            </w:r>
          </w:p>
        </w:tc>
        <w:tc>
          <w:tcPr>
            <w:tcW w:w="1238" w:type="dxa"/>
            <w:vMerge/>
            <w:shd w:val="clear" w:color="auto" w:fill="auto"/>
          </w:tcPr>
          <w:p w14:paraId="1FFEEA88"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p>
        </w:tc>
      </w:tr>
      <w:tr w:rsidR="00A75B47" w:rsidRPr="003A22B9" w14:paraId="0272EBE2" w14:textId="77777777" w:rsidTr="00D64A2E">
        <w:tc>
          <w:tcPr>
            <w:tcW w:w="4248" w:type="dxa"/>
            <w:shd w:val="clear" w:color="auto" w:fill="auto"/>
          </w:tcPr>
          <w:p w14:paraId="479CA79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Preživljavanje bez progresije bolesti (PFS)</w:t>
            </w:r>
          </w:p>
        </w:tc>
        <w:tc>
          <w:tcPr>
            <w:tcW w:w="992" w:type="dxa"/>
            <w:shd w:val="clear" w:color="auto" w:fill="auto"/>
          </w:tcPr>
          <w:p w14:paraId="5FD53912"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20,6</w:t>
            </w:r>
          </w:p>
        </w:tc>
        <w:tc>
          <w:tcPr>
            <w:tcW w:w="1148" w:type="dxa"/>
            <w:shd w:val="clear" w:color="auto" w:fill="auto"/>
          </w:tcPr>
          <w:p w14:paraId="11FB47C0" w14:textId="77777777" w:rsidR="00A75B47" w:rsidRPr="003A22B9" w:rsidRDefault="00A75B47" w:rsidP="000B1F1D">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30,6</w:t>
            </w:r>
          </w:p>
        </w:tc>
        <w:tc>
          <w:tcPr>
            <w:tcW w:w="1449" w:type="dxa"/>
            <w:shd w:val="clear" w:color="auto" w:fill="auto"/>
          </w:tcPr>
          <w:p w14:paraId="6FFC4CEA"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0,0002</w:t>
            </w:r>
          </w:p>
        </w:tc>
        <w:tc>
          <w:tcPr>
            <w:tcW w:w="1238" w:type="dxa"/>
            <w:shd w:val="clear" w:color="auto" w:fill="auto"/>
          </w:tcPr>
          <w:p w14:paraId="3D1FA7BE"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35%</w:t>
            </w:r>
          </w:p>
        </w:tc>
      </w:tr>
      <w:tr w:rsidR="00A75B47" w:rsidRPr="003A22B9" w14:paraId="5678D5E6" w14:textId="77777777" w:rsidTr="00D64A2E">
        <w:tc>
          <w:tcPr>
            <w:tcW w:w="4248" w:type="dxa"/>
            <w:shd w:val="clear" w:color="auto" w:fill="auto"/>
          </w:tcPr>
          <w:p w14:paraId="0DCFF800"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Ukupno preživljavanje</w:t>
            </w:r>
          </w:p>
        </w:tc>
        <w:tc>
          <w:tcPr>
            <w:tcW w:w="992" w:type="dxa"/>
            <w:shd w:val="clear" w:color="auto" w:fill="auto"/>
          </w:tcPr>
          <w:p w14:paraId="7E69C2A2"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51,9</w:t>
            </w:r>
          </w:p>
        </w:tc>
        <w:tc>
          <w:tcPr>
            <w:tcW w:w="1148" w:type="dxa"/>
            <w:shd w:val="clear" w:color="auto" w:fill="auto"/>
          </w:tcPr>
          <w:p w14:paraId="3A5CBF42" w14:textId="77777777" w:rsidR="00A75B47" w:rsidRPr="003A22B9" w:rsidRDefault="00A75B47" w:rsidP="000B1F1D">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tc>
        <w:tc>
          <w:tcPr>
            <w:tcW w:w="1449" w:type="dxa"/>
            <w:shd w:val="clear" w:color="auto" w:fill="auto"/>
          </w:tcPr>
          <w:p w14:paraId="13220AF1"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0,2874</w:t>
            </w:r>
          </w:p>
        </w:tc>
        <w:tc>
          <w:tcPr>
            <w:tcW w:w="1238" w:type="dxa"/>
            <w:shd w:val="clear" w:color="auto" w:fill="auto"/>
          </w:tcPr>
          <w:p w14:paraId="1C0A695D"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17%</w:t>
            </w:r>
          </w:p>
        </w:tc>
      </w:tr>
      <w:tr w:rsidR="00A75B47" w:rsidRPr="003A22B9" w14:paraId="3336B2EB" w14:textId="77777777" w:rsidTr="00D64A2E">
        <w:tc>
          <w:tcPr>
            <w:tcW w:w="4248" w:type="dxa"/>
            <w:shd w:val="clear" w:color="auto" w:fill="auto"/>
          </w:tcPr>
          <w:p w14:paraId="74B2AC79"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Preživljavanje bez događaja</w:t>
            </w:r>
          </w:p>
        </w:tc>
        <w:tc>
          <w:tcPr>
            <w:tcW w:w="992" w:type="dxa"/>
            <w:shd w:val="clear" w:color="auto" w:fill="auto"/>
          </w:tcPr>
          <w:p w14:paraId="058F8895"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19,3</w:t>
            </w:r>
          </w:p>
        </w:tc>
        <w:tc>
          <w:tcPr>
            <w:tcW w:w="1148" w:type="dxa"/>
            <w:shd w:val="clear" w:color="auto" w:fill="auto"/>
          </w:tcPr>
          <w:p w14:paraId="6E7781E2" w14:textId="77777777" w:rsidR="00A75B47" w:rsidRPr="003A22B9" w:rsidRDefault="00A75B47" w:rsidP="000B1F1D">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28,7</w:t>
            </w:r>
          </w:p>
        </w:tc>
        <w:tc>
          <w:tcPr>
            <w:tcW w:w="1449" w:type="dxa"/>
            <w:shd w:val="clear" w:color="auto" w:fill="auto"/>
          </w:tcPr>
          <w:p w14:paraId="79BEBF6C" w14:textId="77777777" w:rsidR="00A75B47" w:rsidRPr="003A22B9" w:rsidRDefault="00A75B47">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0,0002</w:t>
            </w:r>
          </w:p>
        </w:tc>
        <w:tc>
          <w:tcPr>
            <w:tcW w:w="1238" w:type="dxa"/>
            <w:shd w:val="clear" w:color="auto" w:fill="auto"/>
          </w:tcPr>
          <w:p w14:paraId="25C28A0C"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36%</w:t>
            </w:r>
          </w:p>
        </w:tc>
      </w:tr>
      <w:tr w:rsidR="00A75B47" w:rsidRPr="003A22B9" w14:paraId="05C532F1" w14:textId="77777777" w:rsidTr="00D64A2E">
        <w:trPr>
          <w:trHeight w:val="1587"/>
        </w:trPr>
        <w:tc>
          <w:tcPr>
            <w:tcW w:w="4248" w:type="dxa"/>
            <w:shd w:val="clear" w:color="auto" w:fill="auto"/>
          </w:tcPr>
          <w:p w14:paraId="547AC2E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Stopa odgovora (CR, nPR, ili PR) </w:t>
            </w:r>
          </w:p>
          <w:p w14:paraId="0494EAF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007030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CR stope</w:t>
            </w:r>
          </w:p>
          <w:p w14:paraId="080B588B"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365086C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Trajanje odgovora*</w:t>
            </w:r>
          </w:p>
          <w:p w14:paraId="4A4FD95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Preživljavanje bez bolesti (PFS)**</w:t>
            </w:r>
          </w:p>
          <w:p w14:paraId="7452806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Vrijeme do novog liječenja HLL-a</w:t>
            </w:r>
          </w:p>
        </w:tc>
        <w:tc>
          <w:tcPr>
            <w:tcW w:w="992" w:type="dxa"/>
            <w:shd w:val="clear" w:color="auto" w:fill="auto"/>
          </w:tcPr>
          <w:p w14:paraId="1C15C5EB" w14:textId="77777777" w:rsidR="00A75B47" w:rsidRPr="003A22B9" w:rsidRDefault="00A75B47" w:rsidP="00977A0E">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58,0%</w:t>
            </w:r>
          </w:p>
          <w:p w14:paraId="0A5686A4" w14:textId="77777777" w:rsidR="00A75B47" w:rsidRPr="003A22B9" w:rsidRDefault="00A75B47" w:rsidP="000B1F1D">
            <w:pPr>
              <w:spacing w:after="0" w:line="240" w:lineRule="auto"/>
              <w:jc w:val="center"/>
              <w:rPr>
                <w:rFonts w:ascii="Times New Roman" w:eastAsia="Times New Roman" w:hAnsi="Times New Roman" w:cs="Times New Roman"/>
                <w:lang w:val="sr-Latn-ME"/>
              </w:rPr>
            </w:pPr>
          </w:p>
          <w:p w14:paraId="3477F2E2"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13,0%</w:t>
            </w:r>
          </w:p>
          <w:p w14:paraId="78AD8F81" w14:textId="77777777" w:rsidR="00A75B47" w:rsidRPr="003A22B9" w:rsidRDefault="00A75B47">
            <w:pPr>
              <w:spacing w:after="0" w:line="240" w:lineRule="auto"/>
              <w:jc w:val="center"/>
              <w:rPr>
                <w:rFonts w:ascii="Times New Roman" w:eastAsia="Times New Roman" w:hAnsi="Times New Roman" w:cs="Times New Roman"/>
                <w:lang w:val="sr-Latn-ME"/>
              </w:rPr>
            </w:pPr>
          </w:p>
          <w:p w14:paraId="35674C0A"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27,6</w:t>
            </w:r>
          </w:p>
          <w:p w14:paraId="56DCDEFE"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42,2</w:t>
            </w:r>
          </w:p>
          <w:p w14:paraId="72639B6D"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34,2</w:t>
            </w:r>
          </w:p>
        </w:tc>
        <w:tc>
          <w:tcPr>
            <w:tcW w:w="1148" w:type="dxa"/>
            <w:shd w:val="clear" w:color="auto" w:fill="auto"/>
          </w:tcPr>
          <w:p w14:paraId="724E86AD"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69,9%</w:t>
            </w:r>
          </w:p>
          <w:p w14:paraId="49919235" w14:textId="77777777" w:rsidR="00A75B47" w:rsidRPr="003A22B9" w:rsidRDefault="00A75B47">
            <w:pPr>
              <w:spacing w:after="0" w:line="240" w:lineRule="auto"/>
              <w:jc w:val="center"/>
              <w:rPr>
                <w:rFonts w:ascii="Times New Roman" w:eastAsia="Times New Roman" w:hAnsi="Times New Roman" w:cs="Times New Roman"/>
                <w:lang w:val="sr-Latn-ME"/>
              </w:rPr>
            </w:pPr>
          </w:p>
          <w:p w14:paraId="70A2E2BA"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24,3%</w:t>
            </w:r>
          </w:p>
          <w:p w14:paraId="33E0F3DB" w14:textId="77777777" w:rsidR="00A75B47" w:rsidRPr="003A22B9" w:rsidRDefault="00A75B47">
            <w:pPr>
              <w:spacing w:after="0" w:line="240" w:lineRule="auto"/>
              <w:jc w:val="center"/>
              <w:rPr>
                <w:rFonts w:ascii="Times New Roman" w:eastAsia="Times New Roman" w:hAnsi="Times New Roman" w:cs="Times New Roman"/>
                <w:lang w:val="sr-Latn-ME"/>
              </w:rPr>
            </w:pPr>
          </w:p>
          <w:p w14:paraId="57F7DCD1"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39,6</w:t>
            </w:r>
          </w:p>
          <w:p w14:paraId="5ADF29F9"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39,6</w:t>
            </w:r>
          </w:p>
          <w:p w14:paraId="3E5A0C73"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ND</w:t>
            </w:r>
          </w:p>
        </w:tc>
        <w:tc>
          <w:tcPr>
            <w:tcW w:w="1449" w:type="dxa"/>
            <w:shd w:val="clear" w:color="auto" w:fill="auto"/>
          </w:tcPr>
          <w:p w14:paraId="1F9C6D33"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0,0034</w:t>
            </w:r>
          </w:p>
          <w:p w14:paraId="4F15F3B3" w14:textId="77777777" w:rsidR="00A75B47" w:rsidRPr="003A22B9" w:rsidRDefault="00A75B47">
            <w:pPr>
              <w:spacing w:after="0" w:line="240" w:lineRule="auto"/>
              <w:jc w:val="center"/>
              <w:rPr>
                <w:rFonts w:ascii="Times New Roman" w:eastAsia="Times New Roman" w:hAnsi="Times New Roman" w:cs="Times New Roman"/>
                <w:lang w:val="sr-Latn-ME"/>
              </w:rPr>
            </w:pPr>
          </w:p>
          <w:p w14:paraId="18330062"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0,0007</w:t>
            </w:r>
          </w:p>
          <w:p w14:paraId="77A267B8" w14:textId="77777777" w:rsidR="00A75B47" w:rsidRPr="003A22B9" w:rsidRDefault="00A75B47">
            <w:pPr>
              <w:spacing w:after="0" w:line="240" w:lineRule="auto"/>
              <w:jc w:val="center"/>
              <w:rPr>
                <w:rFonts w:ascii="Times New Roman" w:eastAsia="Times New Roman" w:hAnsi="Times New Roman" w:cs="Times New Roman"/>
                <w:lang w:val="sr-Latn-ME"/>
              </w:rPr>
            </w:pPr>
          </w:p>
          <w:p w14:paraId="2C71FFEC"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0,0252</w:t>
            </w:r>
          </w:p>
          <w:p w14:paraId="2C73C0CD"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0,8842</w:t>
            </w:r>
          </w:p>
          <w:p w14:paraId="6FB8378F"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0,0024</w:t>
            </w:r>
          </w:p>
        </w:tc>
        <w:tc>
          <w:tcPr>
            <w:tcW w:w="1238" w:type="dxa"/>
            <w:shd w:val="clear" w:color="auto" w:fill="auto"/>
          </w:tcPr>
          <w:p w14:paraId="093866E8"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n.p.</w:t>
            </w:r>
          </w:p>
          <w:p w14:paraId="53D092CB" w14:textId="77777777" w:rsidR="00A75B47" w:rsidRPr="003A22B9" w:rsidRDefault="00A75B47">
            <w:pPr>
              <w:spacing w:after="0" w:line="240" w:lineRule="auto"/>
              <w:jc w:val="center"/>
              <w:rPr>
                <w:rFonts w:ascii="Times New Roman" w:eastAsia="Times New Roman" w:hAnsi="Times New Roman" w:cs="Times New Roman"/>
                <w:lang w:val="sr-Latn-ME"/>
              </w:rPr>
            </w:pPr>
          </w:p>
          <w:p w14:paraId="039C5EA6"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n.p.</w:t>
            </w:r>
          </w:p>
          <w:p w14:paraId="20E7C52C" w14:textId="77777777" w:rsidR="00A75B47" w:rsidRPr="003A22B9" w:rsidRDefault="00A75B47">
            <w:pPr>
              <w:spacing w:after="0" w:line="240" w:lineRule="auto"/>
              <w:jc w:val="center"/>
              <w:rPr>
                <w:rFonts w:ascii="Times New Roman" w:eastAsia="Times New Roman" w:hAnsi="Times New Roman" w:cs="Times New Roman"/>
                <w:lang w:val="sr-Latn-ME"/>
              </w:rPr>
            </w:pPr>
          </w:p>
          <w:p w14:paraId="7683EBAB"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31%</w:t>
            </w:r>
          </w:p>
          <w:p w14:paraId="3DF4F249"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w:t>
            </w:r>
          </w:p>
          <w:p w14:paraId="78FFBB66" w14:textId="77777777" w:rsidR="00A75B47" w:rsidRPr="003A22B9" w:rsidRDefault="00A75B47">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35%</w:t>
            </w:r>
          </w:p>
        </w:tc>
      </w:tr>
    </w:tbl>
    <w:p w14:paraId="793FF6D4" w14:textId="77777777" w:rsidR="00A75B47" w:rsidRPr="001C3C2B" w:rsidRDefault="00A75B47" w:rsidP="00A75B47">
      <w:pPr>
        <w:spacing w:after="0" w:line="240" w:lineRule="auto"/>
        <w:jc w:val="both"/>
        <w:rPr>
          <w:rFonts w:ascii="Times New Roman" w:eastAsia="Times New Roman" w:hAnsi="Times New Roman" w:cs="Times New Roman"/>
          <w:i/>
          <w:sz w:val="20"/>
          <w:szCs w:val="20"/>
          <w:lang w:val="sr-Latn-ME"/>
        </w:rPr>
      </w:pPr>
      <w:r w:rsidRPr="001C3C2B">
        <w:rPr>
          <w:rFonts w:ascii="Times New Roman" w:eastAsia="Times New Roman" w:hAnsi="Times New Roman" w:cs="Times New Roman"/>
          <w:i/>
          <w:sz w:val="20"/>
          <w:szCs w:val="20"/>
          <w:lang w:val="sr-Latn-ME"/>
        </w:rPr>
        <w:t xml:space="preserve">Stopa odgovora i stopa CR analizirane korišćenjem Chi-kvadrat testa. </w:t>
      </w:r>
    </w:p>
    <w:p w14:paraId="25ED1476" w14:textId="3B3493E4"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jedino primjenjivo na pacijente koji postižu CR, nPR, PR;  ND: nije dostignuto</w:t>
      </w:r>
      <w:r w:rsidR="002F5399">
        <w:rPr>
          <w:rFonts w:ascii="Times New Roman" w:eastAsia="Times New Roman" w:hAnsi="Times New Roman" w:cs="Times New Roman"/>
          <w:sz w:val="20"/>
          <w:szCs w:val="20"/>
          <w:lang w:val="sr-Latn-ME"/>
        </w:rPr>
        <w:softHyphen/>
        <w:t>;</w:t>
      </w:r>
      <w:r w:rsidRPr="001C3C2B">
        <w:rPr>
          <w:rFonts w:ascii="Times New Roman" w:eastAsia="Times New Roman" w:hAnsi="Times New Roman" w:cs="Times New Roman"/>
          <w:sz w:val="20"/>
          <w:szCs w:val="20"/>
          <w:lang w:val="sr-Latn-ME"/>
        </w:rPr>
        <w:t xml:space="preserve"> n.p. nije primjenjivo </w:t>
      </w:r>
    </w:p>
    <w:p w14:paraId="1336A6A5"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jedino primjenjivo na pacijente koji postižu CR;</w:t>
      </w:r>
    </w:p>
    <w:p w14:paraId="32A3CF2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14DC78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Rezultati iz drugih studija primjene rituksimaba u kombinaciji sa drugim hemioterapijskim režimima (uključujući CHOP, FCM, PC, PCM, bendamustin i kladribin) u liječenju prethodno neliječenih pacijenata i/ili pacijenata sa relapsirajućim/refraktornom HLL-om takođe su pokazali visoke stope ukupnog odgovora i korist liječenja u smislu PFS stopa, mada sa nešto višom toksičnošću (posebno mijelotoksičnošću). Ove studije idu u prilog primjeni rituksimaba u kombinaciji sa bilo kojom hemioterapijom. </w:t>
      </w:r>
    </w:p>
    <w:p w14:paraId="2FEC7C2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Podaci o približno 180 pacijenata prethodno liječenih rituksimabom pokazali su kliničku korist liječenja (uključujući CR) i idu u prilog ponovnom liječenju rituksimabom. </w:t>
      </w:r>
    </w:p>
    <w:p w14:paraId="1E62E20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285A019" w14:textId="77777777" w:rsidR="00A75B47" w:rsidRPr="003A22B9" w:rsidRDefault="00A75B47" w:rsidP="00A75B47">
      <w:pPr>
        <w:spacing w:after="0" w:line="240" w:lineRule="auto"/>
        <w:jc w:val="both"/>
        <w:rPr>
          <w:rFonts w:ascii="Times New Roman" w:eastAsia="Times New Roman" w:hAnsi="Times New Roman" w:cs="Times New Roman"/>
          <w:i/>
          <w:u w:val="single"/>
          <w:lang w:val="sr-Latn-ME"/>
        </w:rPr>
      </w:pPr>
      <w:r w:rsidRPr="003A22B9">
        <w:rPr>
          <w:rFonts w:ascii="Times New Roman" w:eastAsia="Times New Roman" w:hAnsi="Times New Roman" w:cs="Times New Roman"/>
          <w:i/>
          <w:u w:val="single"/>
          <w:lang w:val="sr-Latn-ME"/>
        </w:rPr>
        <w:t xml:space="preserve">Pedijatrijska populacija </w:t>
      </w:r>
    </w:p>
    <w:p w14:paraId="6B5BC77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BC5FF26" w14:textId="185EBFC4"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Sprovedena je multicentrična, otvorena, randomizovana studija hemioterapije LMB (</w:t>
      </w:r>
      <w:r w:rsidRPr="003A22B9">
        <w:rPr>
          <w:rFonts w:ascii="Times New Roman" w:eastAsia="Times New Roman" w:hAnsi="Times New Roman" w:cs="Times New Roman"/>
          <w:i/>
          <w:lang w:val="it-IT"/>
        </w:rPr>
        <w:t xml:space="preserve">Lymphome </w:t>
      </w:r>
      <w:r w:rsidRPr="003A22B9">
        <w:rPr>
          <w:rFonts w:ascii="Times New Roman" w:eastAsia="Times New Roman" w:hAnsi="Times New Roman" w:cs="Times New Roman"/>
          <w:i/>
          <w:lang w:val="it-IT"/>
        </w:rPr>
        <w:lastRenderedPageBreak/>
        <w:t>Malin B</w:t>
      </w:r>
      <w:r w:rsidRPr="003A22B9">
        <w:rPr>
          <w:rFonts w:ascii="Times New Roman" w:eastAsia="Times New Roman" w:hAnsi="Times New Roman" w:cs="Times New Roman"/>
          <w:lang w:val="it-IT"/>
        </w:rPr>
        <w:t>) (kortikosteroidi, vinkristin, ciklofosfamid, visokodozni metotreksat, citarabin, doksorubicin, etopozid i trojna intratekalna terapija [metotreksat/citarabin/kortikosteroid]) prim</w:t>
      </w:r>
      <w:r w:rsidR="002F5399">
        <w:rPr>
          <w:rFonts w:ascii="Times New Roman" w:eastAsia="Times New Roman" w:hAnsi="Times New Roman" w:cs="Times New Roman"/>
          <w:lang w:val="it-IT"/>
        </w:rPr>
        <w:t>i</w:t>
      </w:r>
      <w:r w:rsidR="00740A8E"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enjene samostalno ili u kombinaciji sa rituksimabom kod pedijatrijskih pacijenata sa prethodno nel</w:t>
      </w:r>
      <w:r w:rsidR="00740A8E"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ečenim uznapredovalim CD20 pozitivnim DLBCL-om/BL-om/B-AL-om/BLL-om. Uznapredovala bolest definiše se kao bolest stadijuma III praćena pov</w:t>
      </w:r>
      <w:r w:rsidR="00974353" w:rsidRPr="003A22B9">
        <w:rPr>
          <w:rFonts w:ascii="Times New Roman" w:eastAsia="Times New Roman" w:hAnsi="Times New Roman" w:cs="Times New Roman"/>
          <w:lang w:val="it-IT"/>
        </w:rPr>
        <w:t>eća</w:t>
      </w:r>
      <w:r w:rsidRPr="003A22B9">
        <w:rPr>
          <w:rFonts w:ascii="Times New Roman" w:eastAsia="Times New Roman" w:hAnsi="Times New Roman" w:cs="Times New Roman"/>
          <w:lang w:val="it-IT"/>
        </w:rPr>
        <w:t>nim vr</w:t>
      </w:r>
      <w:r w:rsidR="00974353"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ednostima LDH (LDH &gt; 2 puta iznad gornje granice normale za odrasle osobe prema kriterijumima ustanove), bilo koja bolest stadijuma IV ili B-AL. Pacijenti su bili randomizovani za primanje hemioterapije LMB ili šest i.v. infuzija rituksimaba u dozi od 375 mg/m</w:t>
      </w:r>
      <w:r w:rsidRPr="003A22B9">
        <w:rPr>
          <w:rFonts w:ascii="Times New Roman" w:eastAsia="Times New Roman" w:hAnsi="Times New Roman" w:cs="Times New Roman"/>
          <w:vertAlign w:val="superscript"/>
          <w:lang w:val="it-IT"/>
        </w:rPr>
        <w:t>2</w:t>
      </w:r>
      <w:r w:rsidRPr="003A22B9">
        <w:rPr>
          <w:rFonts w:ascii="Times New Roman" w:eastAsia="Times New Roman" w:hAnsi="Times New Roman" w:cs="Times New Roman"/>
          <w:lang w:val="it-IT"/>
        </w:rPr>
        <w:t xml:space="preserve"> t</w:t>
      </w:r>
      <w:r w:rsidR="000012EC"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elesne površine u kombinaciji sa hemioterapijom LMB (po dv</w:t>
      </w:r>
      <w:r w:rsidR="00D528FA"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 xml:space="preserve">e tokom svakoga od dva ciklusa indukcione terapije i po jednu tokom svakog od dva ciklusa konsolidacione terapije protokolom LMB). Ukupno je u analize efikasnosti bilo uključeno 328 randomizovanih pacijenata, među kojima je jedan pacijent </w:t>
      </w:r>
      <w:r w:rsidR="00C72E8F" w:rsidRPr="003A22B9">
        <w:rPr>
          <w:rFonts w:ascii="Times New Roman" w:eastAsia="Times New Roman" w:hAnsi="Times New Roman" w:cs="Times New Roman"/>
          <w:lang w:val="it-IT"/>
        </w:rPr>
        <w:t>ml</w:t>
      </w:r>
      <w:r w:rsidRPr="003A22B9">
        <w:rPr>
          <w:rFonts w:ascii="Times New Roman" w:eastAsia="Times New Roman" w:hAnsi="Times New Roman" w:cs="Times New Roman"/>
          <w:lang w:val="it-IT"/>
        </w:rPr>
        <w:t>ađi od 3 godine primao rituksimab u kombinaciji sa hemioterapijom LMB.</w:t>
      </w:r>
    </w:p>
    <w:p w14:paraId="65DA28F2" w14:textId="77777777"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p>
    <w:p w14:paraId="7D61CB70" w14:textId="3FC99AF4"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Ob</w:t>
      </w:r>
      <w:r w:rsidR="00D26ACC"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 l</w:t>
      </w:r>
      <w:r w:rsidR="00D26ACC"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ečene grupe – LMB (hemioterapija LMB) i R-LMB (hemioterapija LMB u kombinaciji sa rituksimabom) – bile su dobro ujednačene s obzirom na početne karakteristike. Medijana uzrasta pacijenata iznosi</w:t>
      </w:r>
      <w:r w:rsidR="00F52D0D" w:rsidRPr="003A22B9">
        <w:rPr>
          <w:rFonts w:ascii="Times New Roman" w:eastAsia="Times New Roman" w:hAnsi="Times New Roman" w:cs="Times New Roman"/>
          <w:lang w:val="it-IT"/>
        </w:rPr>
        <w:t>la</w:t>
      </w:r>
      <w:r w:rsidRPr="003A22B9">
        <w:rPr>
          <w:rFonts w:ascii="Times New Roman" w:eastAsia="Times New Roman" w:hAnsi="Times New Roman" w:cs="Times New Roman"/>
          <w:lang w:val="it-IT"/>
        </w:rPr>
        <w:t xml:space="preserve"> je 7 godina u grupi koja je primala LMB i 8 godina u onoj koja je primala R-LMB. Približno polovina pacijenata pripadala je grupi B (50,6% onih iz grupe koja je primala LMB i 49,4% pacijenata iz grupe koja je primala R-LMB), 39,6% pacijenata iz ob</w:t>
      </w:r>
      <w:r w:rsidR="00C66AD9"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 xml:space="preserve">e grupe pripadalo je grupi C1, a 9,8% onih koji su primali LMB i 11,0% onih koji su primali R-LMB pripadalo je grupi C3. Prema Marfijevoj klasifikaciji za određivanje stadijuma bolesti, većina pacijenata imala je ili BL stadijuma III (45,7% u grupi koja je primala LMB i 43,4% onih u grupi koja je primala R-LMB) ili B-AL koji nije zahvatao CNS (21,3% u grupi koja je primala LMB i 24,4% onih u grupi koja je primala R-LMB). </w:t>
      </w:r>
      <w:r w:rsidR="00F52D0D" w:rsidRPr="003A22B9">
        <w:rPr>
          <w:rFonts w:ascii="Times New Roman" w:eastAsia="Times New Roman" w:hAnsi="Times New Roman" w:cs="Times New Roman"/>
          <w:lang w:val="it-IT"/>
        </w:rPr>
        <w:t>Kod</w:t>
      </w:r>
      <w:r w:rsidRPr="003A22B9">
        <w:rPr>
          <w:rFonts w:ascii="Times New Roman" w:eastAsia="Times New Roman" w:hAnsi="Times New Roman" w:cs="Times New Roman"/>
          <w:lang w:val="it-IT"/>
        </w:rPr>
        <w:t xml:space="preserve"> manje od polovine pacijenata (45,1% u ob</w:t>
      </w:r>
      <w:r w:rsidR="00F52D0D"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 grupe) bolest je zahvatala kostnu srž, a kod većine pacijenata (72,6% u grupi koja je primala LMB i 73,2% onih u grupi koja je primala R-LMB) nije zahvatala CNS. Primarn</w:t>
      </w:r>
      <w:r w:rsidR="00F52D0D" w:rsidRPr="003A22B9">
        <w:rPr>
          <w:rFonts w:ascii="Times New Roman" w:eastAsia="Times New Roman" w:hAnsi="Times New Roman" w:cs="Times New Roman"/>
          <w:lang w:val="it-IT"/>
        </w:rPr>
        <w:t>i parametar praćenja</w:t>
      </w:r>
      <w:r w:rsidRPr="003A22B9">
        <w:rPr>
          <w:rFonts w:ascii="Times New Roman" w:eastAsia="Times New Roman" w:hAnsi="Times New Roman" w:cs="Times New Roman"/>
          <w:lang w:val="it-IT"/>
        </w:rPr>
        <w:t xml:space="preserve"> za efikasnost bio je EFS, pri čemu se događaj definisao kao progresija bolesti, relaps, druga maligna bolest, smrt zbog bilo kojeg uzroka ili izostanak odgovora utvrđen pronalaženjem re</w:t>
      </w:r>
      <w:r w:rsidR="00F52D0D" w:rsidRPr="003A22B9">
        <w:rPr>
          <w:rFonts w:ascii="Times New Roman" w:eastAsia="Times New Roman" w:hAnsi="Times New Roman" w:cs="Times New Roman"/>
          <w:lang w:val="it-IT"/>
        </w:rPr>
        <w:t>z</w:t>
      </w:r>
      <w:r w:rsidRPr="003A22B9">
        <w:rPr>
          <w:rFonts w:ascii="Times New Roman" w:eastAsia="Times New Roman" w:hAnsi="Times New Roman" w:cs="Times New Roman"/>
          <w:lang w:val="it-IT"/>
        </w:rPr>
        <w:t>idualnih vijabilnih ćelija nakon drugog ciklusa protokola CYVE, u zavisnosti od toga šta je prvo nastupilo. Sekundarn</w:t>
      </w:r>
      <w:r w:rsidR="00F52D0D" w:rsidRPr="003A22B9">
        <w:rPr>
          <w:rFonts w:ascii="Times New Roman" w:eastAsia="Times New Roman" w:hAnsi="Times New Roman" w:cs="Times New Roman"/>
          <w:lang w:val="it-IT"/>
        </w:rPr>
        <w:t>i parametru praćenja</w:t>
      </w:r>
      <w:r w:rsidRPr="003A22B9">
        <w:rPr>
          <w:rFonts w:ascii="Times New Roman" w:eastAsia="Times New Roman" w:hAnsi="Times New Roman" w:cs="Times New Roman"/>
          <w:lang w:val="it-IT"/>
        </w:rPr>
        <w:t xml:space="preserve"> za efikasnost bil</w:t>
      </w:r>
      <w:r w:rsidR="00F52D0D" w:rsidRPr="003A22B9">
        <w:rPr>
          <w:rFonts w:ascii="Times New Roman" w:eastAsia="Times New Roman" w:hAnsi="Times New Roman" w:cs="Times New Roman"/>
          <w:lang w:val="it-IT"/>
        </w:rPr>
        <w:t>i</w:t>
      </w:r>
      <w:r w:rsidRPr="003A22B9">
        <w:rPr>
          <w:rFonts w:ascii="Times New Roman" w:eastAsia="Times New Roman" w:hAnsi="Times New Roman" w:cs="Times New Roman"/>
          <w:lang w:val="it-IT"/>
        </w:rPr>
        <w:t xml:space="preserve"> su OS i potpuna remisija.</w:t>
      </w:r>
    </w:p>
    <w:p w14:paraId="2BC68DBC" w14:textId="77777777" w:rsidR="008A466E" w:rsidRPr="003A22B9" w:rsidRDefault="008A466E" w:rsidP="001C3C2B">
      <w:pPr>
        <w:widowControl w:val="0"/>
        <w:spacing w:before="72" w:after="0" w:line="240" w:lineRule="auto"/>
        <w:ind w:right="232"/>
        <w:jc w:val="both"/>
        <w:rPr>
          <w:rFonts w:ascii="Times New Roman" w:eastAsia="Times New Roman" w:hAnsi="Times New Roman" w:cs="Times New Roman"/>
          <w:lang w:val="it-IT"/>
        </w:rPr>
      </w:pPr>
    </w:p>
    <w:p w14:paraId="7B383D7C" w14:textId="2F5C1463"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U trenutku sprovođenja unapr</w:t>
      </w:r>
      <w:r w:rsidR="00F52D0D"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ed određene interim analize nakon medijane praćenja od približno godinu dana zapaženo je klinički značajno poboljšanje EFS-a kao primarn</w:t>
      </w:r>
      <w:r w:rsidR="00F52D0D" w:rsidRPr="003A22B9">
        <w:rPr>
          <w:rFonts w:ascii="Times New Roman" w:eastAsia="Times New Roman" w:hAnsi="Times New Roman" w:cs="Times New Roman"/>
          <w:lang w:val="it-IT"/>
        </w:rPr>
        <w:t>og parametra praćenja</w:t>
      </w:r>
      <w:r w:rsidRPr="003A22B9">
        <w:rPr>
          <w:rFonts w:ascii="Times New Roman" w:eastAsia="Times New Roman" w:hAnsi="Times New Roman" w:cs="Times New Roman"/>
          <w:lang w:val="it-IT"/>
        </w:rPr>
        <w:t>, čija je proc</w:t>
      </w:r>
      <w:r w:rsidR="004B510C"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 xml:space="preserve">enjena 1-godišnja stopa iznosila 94,2% (95% CI: 88,5% - 97,2%) u grupi koja je primala R-LMB naspram 81,5% (95% CI: 73,0% - 87,8%) u onoj koja je primala LMB, uz prilagođeni Coxov odnos rizika od 0,33 (95% CI: 0,14 - 0,79). Nakon preporuke </w:t>
      </w:r>
      <w:r w:rsidRPr="003A22B9">
        <w:rPr>
          <w:rFonts w:ascii="Times New Roman" w:eastAsia="Times New Roman" w:hAnsi="Times New Roman" w:cs="Times New Roman"/>
          <w:shd w:val="clear" w:color="auto" w:fill="FFFFFF"/>
          <w:lang w:val="it-IT"/>
        </w:rPr>
        <w:t xml:space="preserve">nezavisnog komiteta za </w:t>
      </w:r>
      <w:r w:rsidRPr="003A22B9">
        <w:rPr>
          <w:rFonts w:ascii="Times New Roman" w:eastAsia="Times New Roman" w:hAnsi="Times New Roman" w:cs="Times New Roman"/>
          <w:bCs/>
          <w:shd w:val="clear" w:color="auto" w:fill="FFFFFF"/>
          <w:lang w:val="it-IT"/>
        </w:rPr>
        <w:t>monitoring podataka</w:t>
      </w:r>
      <w:r w:rsidRPr="003A22B9">
        <w:rPr>
          <w:rFonts w:ascii="Times New Roman" w:eastAsia="Times New Roman" w:hAnsi="Times New Roman" w:cs="Times New Roman"/>
          <w:lang w:val="it-IT"/>
        </w:rPr>
        <w:t xml:space="preserve"> </w:t>
      </w:r>
      <w:r w:rsidRPr="003A22B9">
        <w:rPr>
          <w:rFonts w:ascii="Times New Roman" w:eastAsia="Times New Roman" w:hAnsi="Times New Roman" w:cs="Times New Roman"/>
          <w:shd w:val="clear" w:color="auto" w:fill="FFFFFF"/>
          <w:lang w:val="it-IT"/>
        </w:rPr>
        <w:t>(</w:t>
      </w:r>
      <w:r w:rsidRPr="003A22B9">
        <w:rPr>
          <w:rFonts w:ascii="Times New Roman" w:eastAsia="Times New Roman" w:hAnsi="Times New Roman" w:cs="Times New Roman"/>
          <w:i/>
          <w:shd w:val="clear" w:color="auto" w:fill="FFFFFF"/>
          <w:lang w:val="it-IT"/>
        </w:rPr>
        <w:t>Independent Data-</w:t>
      </w:r>
      <w:r w:rsidRPr="003A22B9">
        <w:rPr>
          <w:rFonts w:ascii="Times New Roman" w:eastAsia="Times New Roman" w:hAnsi="Times New Roman" w:cs="Times New Roman"/>
          <w:bCs/>
          <w:i/>
          <w:shd w:val="clear" w:color="auto" w:fill="FFFFFF"/>
          <w:lang w:val="it-IT"/>
        </w:rPr>
        <w:t>Monitoring</w:t>
      </w:r>
      <w:r w:rsidRPr="003A22B9">
        <w:rPr>
          <w:rFonts w:ascii="Times New Roman" w:eastAsia="Times New Roman" w:hAnsi="Times New Roman" w:cs="Times New Roman"/>
          <w:i/>
          <w:shd w:val="clear" w:color="auto" w:fill="FFFFFF"/>
          <w:lang w:val="it-IT"/>
        </w:rPr>
        <w:t xml:space="preserve"> Committee</w:t>
      </w:r>
      <w:r w:rsidRPr="003A22B9">
        <w:rPr>
          <w:rFonts w:ascii="Times New Roman" w:eastAsia="Times New Roman" w:hAnsi="Times New Roman" w:cs="Times New Roman"/>
          <w:shd w:val="clear" w:color="auto" w:fill="FFFFFF"/>
          <w:lang w:val="it-IT"/>
        </w:rPr>
        <w:t xml:space="preserve">, </w:t>
      </w:r>
      <w:r w:rsidRPr="003A22B9">
        <w:rPr>
          <w:rFonts w:ascii="Times New Roman" w:eastAsia="Times New Roman" w:hAnsi="Times New Roman" w:cs="Times New Roman"/>
          <w:bCs/>
          <w:shd w:val="clear" w:color="auto" w:fill="FFFFFF"/>
          <w:lang w:val="it-IT"/>
        </w:rPr>
        <w:t>IDMC</w:t>
      </w:r>
      <w:r w:rsidRPr="003A22B9">
        <w:rPr>
          <w:rFonts w:ascii="Times New Roman" w:eastAsia="Times New Roman" w:hAnsi="Times New Roman" w:cs="Times New Roman"/>
          <w:shd w:val="clear" w:color="auto" w:fill="FFFFFF"/>
          <w:lang w:val="it-IT"/>
        </w:rPr>
        <w:t xml:space="preserve">) </w:t>
      </w:r>
      <w:r w:rsidRPr="003A22B9">
        <w:rPr>
          <w:rFonts w:ascii="Times New Roman" w:eastAsia="Times New Roman" w:hAnsi="Times New Roman" w:cs="Times New Roman"/>
          <w:lang w:val="it-IT"/>
        </w:rPr>
        <w:t>zasnovane na tom rezultatu, randomizacija je obustavljena i pacijentima koji su primali LMB dopušteno je da pređu u drugu grupu kako bi primali rituksimab.</w:t>
      </w:r>
    </w:p>
    <w:p w14:paraId="379BB63C" w14:textId="77777777"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p>
    <w:p w14:paraId="6BAADCC2" w14:textId="77777777"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Primarne analize podataka o efikasnosti sprovedene su kod 328 randomizovanih pacijenata nakon medijane praćenja od 3,1 godine. Rezultati su opisani u Tabeli 14.</w:t>
      </w:r>
    </w:p>
    <w:p w14:paraId="14E3EAD3" w14:textId="1C173D24" w:rsidR="008A466E" w:rsidRPr="003A22B9" w:rsidRDefault="008A466E" w:rsidP="008A466E">
      <w:pPr>
        <w:widowControl w:val="0"/>
        <w:spacing w:before="72" w:after="0" w:line="240" w:lineRule="auto"/>
        <w:ind w:right="232"/>
        <w:jc w:val="both"/>
        <w:rPr>
          <w:rFonts w:ascii="Times New Roman" w:eastAsia="Times New Roman" w:hAnsi="Times New Roman" w:cs="Times New Roman"/>
          <w:lang w:val="it-IT"/>
        </w:rPr>
      </w:pPr>
    </w:p>
    <w:p w14:paraId="5AD74762" w14:textId="6B1A6F69" w:rsidR="00F84232" w:rsidRPr="003A22B9" w:rsidRDefault="00F84232" w:rsidP="00F84232">
      <w:pPr>
        <w:widowControl w:val="0"/>
        <w:spacing w:before="72" w:after="0" w:line="240" w:lineRule="auto"/>
        <w:ind w:right="232"/>
        <w:jc w:val="both"/>
        <w:rPr>
          <w:rFonts w:ascii="Times New Roman" w:eastAsia="Times New Roman" w:hAnsi="Times New Roman" w:cs="Times New Roman"/>
          <w:b/>
          <w:lang w:val="it-IT"/>
        </w:rPr>
      </w:pPr>
      <w:r w:rsidRPr="003A22B9">
        <w:rPr>
          <w:rFonts w:ascii="Times New Roman" w:eastAsia="Times New Roman" w:hAnsi="Times New Roman" w:cs="Times New Roman"/>
          <w:b/>
          <w:lang w:val="it-IT"/>
        </w:rPr>
        <w:t>Tabela 14</w:t>
      </w:r>
      <w:r w:rsidRPr="003A22B9">
        <w:rPr>
          <w:rFonts w:ascii="Times New Roman" w:eastAsia="Times New Roman" w:hAnsi="Times New Roman" w:cs="Times New Roman"/>
          <w:b/>
          <w:lang w:val="it-IT"/>
        </w:rPr>
        <w:tab/>
        <w:t>Pregled rezultata primarne efikasnosti (populacija sa nam</w:t>
      </w:r>
      <w:r w:rsidR="00B90CDC" w:rsidRPr="003A22B9">
        <w:rPr>
          <w:rFonts w:ascii="Times New Roman" w:eastAsia="Times New Roman" w:hAnsi="Times New Roman" w:cs="Times New Roman"/>
          <w:b/>
          <w:lang w:val="it-IT"/>
        </w:rPr>
        <w:t>j</w:t>
      </w:r>
      <w:r w:rsidRPr="003A22B9">
        <w:rPr>
          <w:rFonts w:ascii="Times New Roman" w:eastAsia="Times New Roman" w:hAnsi="Times New Roman" w:cs="Times New Roman"/>
          <w:b/>
          <w:lang w:val="it-IT"/>
        </w:rPr>
        <w:t>erom l</w:t>
      </w:r>
      <w:r w:rsidR="00B90CDC" w:rsidRPr="003A22B9">
        <w:rPr>
          <w:rFonts w:ascii="Times New Roman" w:eastAsia="Times New Roman" w:hAnsi="Times New Roman" w:cs="Times New Roman"/>
          <w:b/>
          <w:lang w:val="it-IT"/>
        </w:rPr>
        <w:t>ij</w:t>
      </w:r>
      <w:r w:rsidRPr="003A22B9">
        <w:rPr>
          <w:rFonts w:ascii="Times New Roman" w:eastAsia="Times New Roman" w:hAnsi="Times New Roman" w:cs="Times New Roman"/>
          <w:b/>
          <w:lang w:val="it-IT"/>
        </w:rPr>
        <w:t xml:space="preserve">ečenja, [eng. </w:t>
      </w:r>
      <w:r w:rsidRPr="003A22B9">
        <w:rPr>
          <w:rFonts w:ascii="Times New Roman" w:eastAsia="Times New Roman" w:hAnsi="Times New Roman" w:cs="Times New Roman"/>
          <w:b/>
          <w:i/>
          <w:lang w:val="it-IT"/>
        </w:rPr>
        <w:t>Intent to treat,</w:t>
      </w:r>
      <w:r w:rsidRPr="003A22B9">
        <w:rPr>
          <w:rFonts w:ascii="Times New Roman" w:eastAsia="Times New Roman" w:hAnsi="Times New Roman" w:cs="Times New Roman"/>
          <w:b/>
          <w:lang w:val="it-IT"/>
        </w:rPr>
        <w:t xml:space="preserve"> ITT])</w:t>
      </w:r>
    </w:p>
    <w:p w14:paraId="0FDA6CCC" w14:textId="77777777" w:rsidR="00F84232" w:rsidRPr="003A22B9" w:rsidRDefault="00F84232" w:rsidP="00F84232">
      <w:pPr>
        <w:widowControl w:val="0"/>
        <w:spacing w:before="72" w:after="0" w:line="240" w:lineRule="auto"/>
        <w:ind w:right="232"/>
        <w:jc w:val="both"/>
        <w:rPr>
          <w:rFonts w:ascii="Times New Roman" w:eastAsia="Times New Roman" w:hAnsi="Times New Roman" w:cs="Times New Roman"/>
          <w:lang w:val="it-IT"/>
        </w:rPr>
      </w:pPr>
    </w:p>
    <w:tbl>
      <w:tblPr>
        <w:tblStyle w:val="TableGrid"/>
        <w:tblW w:w="5000" w:type="pct"/>
        <w:tblLook w:val="04A0" w:firstRow="1" w:lastRow="0" w:firstColumn="1" w:lastColumn="0" w:noHBand="0" w:noVBand="1"/>
      </w:tblPr>
      <w:tblGrid>
        <w:gridCol w:w="3039"/>
        <w:gridCol w:w="3012"/>
        <w:gridCol w:w="3010"/>
      </w:tblGrid>
      <w:tr w:rsidR="00F84232" w:rsidRPr="003A22B9" w14:paraId="60200E36" w14:textId="77777777" w:rsidTr="00043DF7">
        <w:tc>
          <w:tcPr>
            <w:tcW w:w="1677" w:type="pct"/>
          </w:tcPr>
          <w:p w14:paraId="498C7AB1" w14:textId="77777777" w:rsidR="00F84232" w:rsidRPr="003A22B9" w:rsidRDefault="00F84232" w:rsidP="00F84232">
            <w:pPr>
              <w:widowControl w:val="0"/>
              <w:spacing w:before="72"/>
              <w:ind w:right="232"/>
              <w:jc w:val="both"/>
              <w:rPr>
                <w:rFonts w:ascii="Times New Roman" w:eastAsia="Times New Roman" w:hAnsi="Times New Roman" w:cs="Times New Roman"/>
                <w:b/>
                <w:lang w:val="it-IT"/>
              </w:rPr>
            </w:pPr>
            <w:r w:rsidRPr="003A22B9">
              <w:rPr>
                <w:rFonts w:ascii="Times New Roman" w:eastAsia="Times New Roman" w:hAnsi="Times New Roman" w:cs="Times New Roman"/>
                <w:b/>
                <w:lang w:val="it-IT"/>
              </w:rPr>
              <w:t>Analizirani</w:t>
            </w:r>
          </w:p>
          <w:p w14:paraId="2D4BB510" w14:textId="77777777" w:rsidR="00F84232" w:rsidRPr="003A22B9" w:rsidRDefault="00F84232" w:rsidP="00F84232">
            <w:pPr>
              <w:widowControl w:val="0"/>
              <w:spacing w:before="72"/>
              <w:ind w:right="232"/>
              <w:jc w:val="both"/>
              <w:rPr>
                <w:rFonts w:ascii="Times New Roman" w:eastAsia="Times New Roman" w:hAnsi="Times New Roman" w:cs="Times New Roman"/>
                <w:b/>
                <w:lang w:val="it-IT"/>
              </w:rPr>
            </w:pPr>
            <w:r w:rsidRPr="003A22B9">
              <w:rPr>
                <w:rFonts w:ascii="Times New Roman" w:eastAsia="Times New Roman" w:hAnsi="Times New Roman" w:cs="Times New Roman"/>
                <w:b/>
                <w:lang w:val="it-IT"/>
              </w:rPr>
              <w:t>parametar</w:t>
            </w:r>
          </w:p>
        </w:tc>
        <w:tc>
          <w:tcPr>
            <w:tcW w:w="1662" w:type="pct"/>
          </w:tcPr>
          <w:p w14:paraId="4C6DFBB5" w14:textId="77777777" w:rsidR="00F84232" w:rsidRPr="003A22B9" w:rsidRDefault="00F84232" w:rsidP="001C3C2B">
            <w:pPr>
              <w:widowControl w:val="0"/>
              <w:spacing w:before="72"/>
              <w:ind w:right="232"/>
              <w:jc w:val="center"/>
              <w:rPr>
                <w:rFonts w:ascii="Times New Roman" w:eastAsia="Times New Roman" w:hAnsi="Times New Roman" w:cs="Times New Roman"/>
                <w:b/>
                <w:lang w:val="it-IT"/>
              </w:rPr>
            </w:pPr>
            <w:r w:rsidRPr="003A22B9">
              <w:rPr>
                <w:rFonts w:ascii="Times New Roman" w:eastAsia="Times New Roman" w:hAnsi="Times New Roman" w:cs="Times New Roman"/>
                <w:b/>
                <w:lang w:val="it-IT"/>
              </w:rPr>
              <w:t>LMB (N = 164)</w:t>
            </w:r>
          </w:p>
        </w:tc>
        <w:tc>
          <w:tcPr>
            <w:tcW w:w="1662" w:type="pct"/>
          </w:tcPr>
          <w:p w14:paraId="325E20E0" w14:textId="77777777" w:rsidR="00F84232" w:rsidRPr="003A22B9" w:rsidRDefault="00F84232" w:rsidP="001C3C2B">
            <w:pPr>
              <w:widowControl w:val="0"/>
              <w:spacing w:before="72"/>
              <w:ind w:right="232"/>
              <w:jc w:val="center"/>
              <w:rPr>
                <w:rFonts w:ascii="Times New Roman" w:eastAsia="Times New Roman" w:hAnsi="Times New Roman" w:cs="Times New Roman"/>
                <w:b/>
                <w:lang w:val="it-IT"/>
              </w:rPr>
            </w:pPr>
            <w:r w:rsidRPr="003A22B9">
              <w:rPr>
                <w:rFonts w:ascii="Times New Roman" w:eastAsia="Times New Roman" w:hAnsi="Times New Roman" w:cs="Times New Roman"/>
                <w:b/>
                <w:lang w:val="it-IT"/>
              </w:rPr>
              <w:t>R-LMB (N=164)</w:t>
            </w:r>
          </w:p>
        </w:tc>
      </w:tr>
      <w:tr w:rsidR="00F84232" w:rsidRPr="003A22B9" w14:paraId="32823E5C" w14:textId="77777777" w:rsidTr="00043DF7">
        <w:tc>
          <w:tcPr>
            <w:tcW w:w="1677" w:type="pct"/>
            <w:vMerge w:val="restart"/>
          </w:tcPr>
          <w:p w14:paraId="48CE097B" w14:textId="77777777" w:rsidR="00F84232" w:rsidRPr="003A22B9" w:rsidRDefault="00F84232" w:rsidP="001C3C2B">
            <w:pPr>
              <w:widowControl w:val="0"/>
              <w:spacing w:before="72"/>
              <w:ind w:right="232"/>
              <w:jc w:val="center"/>
              <w:rPr>
                <w:rFonts w:ascii="Times New Roman" w:eastAsia="Times New Roman" w:hAnsi="Times New Roman" w:cs="Times New Roman"/>
                <w:b/>
                <w:lang w:val="it-IT"/>
              </w:rPr>
            </w:pPr>
            <w:r w:rsidRPr="003A22B9">
              <w:rPr>
                <w:rFonts w:ascii="Times New Roman" w:eastAsia="Times New Roman" w:hAnsi="Times New Roman" w:cs="Times New Roman"/>
                <w:b/>
                <w:lang w:val="it-IT"/>
              </w:rPr>
              <w:t>EFS</w:t>
            </w:r>
          </w:p>
        </w:tc>
        <w:tc>
          <w:tcPr>
            <w:tcW w:w="1662" w:type="pct"/>
          </w:tcPr>
          <w:p w14:paraId="234E81B0"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lang w:val="it-IT"/>
              </w:rPr>
              <w:t>28 događaja</w:t>
            </w:r>
          </w:p>
        </w:tc>
        <w:tc>
          <w:tcPr>
            <w:tcW w:w="1662" w:type="pct"/>
          </w:tcPr>
          <w:p w14:paraId="15D1F3CA"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lang w:val="it-IT"/>
              </w:rPr>
              <w:t>10 događaja</w:t>
            </w:r>
          </w:p>
        </w:tc>
      </w:tr>
      <w:tr w:rsidR="00F84232" w:rsidRPr="003A22B9" w14:paraId="44FA16D7" w14:textId="77777777" w:rsidTr="00043DF7">
        <w:tc>
          <w:tcPr>
            <w:tcW w:w="1677" w:type="pct"/>
            <w:vMerge/>
          </w:tcPr>
          <w:p w14:paraId="499F2F2E"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p>
        </w:tc>
        <w:tc>
          <w:tcPr>
            <w:tcW w:w="3323" w:type="pct"/>
            <w:gridSpan w:val="2"/>
          </w:tcPr>
          <w:p w14:paraId="7AE1D6CB" w14:textId="2ABC60D5"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lang w:val="it-IT"/>
              </w:rPr>
              <w:t>Jednostrana p-vr</w:t>
            </w:r>
            <w:r w:rsidR="00C25968"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ednost prema log-rang testu: 0,0006</w:t>
            </w:r>
          </w:p>
        </w:tc>
      </w:tr>
      <w:tr w:rsidR="00F84232" w:rsidRPr="003A22B9" w14:paraId="4E1B01A4" w14:textId="77777777" w:rsidTr="00043DF7">
        <w:tc>
          <w:tcPr>
            <w:tcW w:w="1677" w:type="pct"/>
            <w:vMerge/>
          </w:tcPr>
          <w:p w14:paraId="494B21ED"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p>
        </w:tc>
        <w:tc>
          <w:tcPr>
            <w:tcW w:w="3323" w:type="pct"/>
            <w:gridSpan w:val="2"/>
          </w:tcPr>
          <w:p w14:paraId="6261698C"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lang w:val="it-IT"/>
              </w:rPr>
              <w:t>Prilagođeni Coxov odnos rizika (HR): 0,32 (90% CI: 0,17; 0,58)</w:t>
            </w:r>
          </w:p>
        </w:tc>
      </w:tr>
      <w:tr w:rsidR="00F84232" w:rsidRPr="003A22B9" w14:paraId="11602B18" w14:textId="77777777" w:rsidTr="00043DF7">
        <w:tc>
          <w:tcPr>
            <w:tcW w:w="1677" w:type="pct"/>
          </w:tcPr>
          <w:p w14:paraId="7D1ACBFD" w14:textId="77777777" w:rsidR="00F84232" w:rsidRPr="003A22B9" w:rsidRDefault="00F84232" w:rsidP="001C3C2B">
            <w:pPr>
              <w:widowControl w:val="0"/>
              <w:spacing w:before="72"/>
              <w:ind w:right="232"/>
              <w:jc w:val="center"/>
              <w:rPr>
                <w:rFonts w:ascii="Times New Roman" w:eastAsia="Times New Roman" w:hAnsi="Times New Roman" w:cs="Times New Roman"/>
                <w:b/>
              </w:rPr>
            </w:pPr>
            <w:r w:rsidRPr="003A22B9">
              <w:rPr>
                <w:rFonts w:ascii="Times New Roman" w:eastAsia="Times New Roman" w:hAnsi="Times New Roman" w:cs="Times New Roman"/>
                <w:b/>
              </w:rPr>
              <w:t>3-godišnje stope</w:t>
            </w:r>
          </w:p>
          <w:p w14:paraId="081099D5" w14:textId="77777777" w:rsidR="00F84232" w:rsidRPr="003A22B9" w:rsidRDefault="00F84232" w:rsidP="001C3C2B">
            <w:pPr>
              <w:widowControl w:val="0"/>
              <w:spacing w:before="72"/>
              <w:ind w:right="232"/>
              <w:jc w:val="center"/>
              <w:rPr>
                <w:rFonts w:ascii="Times New Roman" w:eastAsia="Times New Roman" w:hAnsi="Times New Roman" w:cs="Times New Roman"/>
                <w:b/>
                <w:lang w:val="it-IT"/>
              </w:rPr>
            </w:pPr>
            <w:r w:rsidRPr="003A22B9">
              <w:rPr>
                <w:rFonts w:ascii="Times New Roman" w:eastAsia="Times New Roman" w:hAnsi="Times New Roman" w:cs="Times New Roman"/>
                <w:b/>
              </w:rPr>
              <w:lastRenderedPageBreak/>
              <w:t>EFS-a</w:t>
            </w:r>
          </w:p>
        </w:tc>
        <w:tc>
          <w:tcPr>
            <w:tcW w:w="1662" w:type="pct"/>
          </w:tcPr>
          <w:p w14:paraId="7FEA29A9" w14:textId="77777777" w:rsidR="00F84232" w:rsidRPr="003A22B9" w:rsidRDefault="00F84232" w:rsidP="001C3C2B">
            <w:pPr>
              <w:widowControl w:val="0"/>
              <w:spacing w:before="72"/>
              <w:ind w:right="232"/>
              <w:jc w:val="center"/>
              <w:rPr>
                <w:rFonts w:ascii="Times New Roman" w:eastAsia="Times New Roman" w:hAnsi="Times New Roman" w:cs="Times New Roman"/>
              </w:rPr>
            </w:pPr>
            <w:r w:rsidRPr="003A22B9">
              <w:rPr>
                <w:rFonts w:ascii="Times New Roman" w:eastAsia="Times New Roman" w:hAnsi="Times New Roman" w:cs="Times New Roman"/>
              </w:rPr>
              <w:lastRenderedPageBreak/>
              <w:t>82,3%</w:t>
            </w:r>
          </w:p>
          <w:p w14:paraId="554D3BD1"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lastRenderedPageBreak/>
              <w:t>(95% CI: 75,7%; 87,5%)</w:t>
            </w:r>
          </w:p>
        </w:tc>
        <w:tc>
          <w:tcPr>
            <w:tcW w:w="1662" w:type="pct"/>
          </w:tcPr>
          <w:p w14:paraId="0EFCB1D9" w14:textId="77777777" w:rsidR="00F84232" w:rsidRPr="003A22B9" w:rsidRDefault="00F84232" w:rsidP="001C3C2B">
            <w:pPr>
              <w:widowControl w:val="0"/>
              <w:spacing w:before="72"/>
              <w:ind w:right="232"/>
              <w:jc w:val="center"/>
              <w:rPr>
                <w:rFonts w:ascii="Times New Roman" w:eastAsia="Times New Roman" w:hAnsi="Times New Roman" w:cs="Times New Roman"/>
              </w:rPr>
            </w:pPr>
            <w:r w:rsidRPr="003A22B9">
              <w:rPr>
                <w:rFonts w:ascii="Times New Roman" w:eastAsia="Times New Roman" w:hAnsi="Times New Roman" w:cs="Times New Roman"/>
              </w:rPr>
              <w:lastRenderedPageBreak/>
              <w:t>93,9%</w:t>
            </w:r>
          </w:p>
          <w:p w14:paraId="0F3F7B0C"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lastRenderedPageBreak/>
              <w:t>(95% CI: 89,1%; 96,7%)</w:t>
            </w:r>
          </w:p>
        </w:tc>
      </w:tr>
      <w:tr w:rsidR="00F84232" w:rsidRPr="003A22B9" w14:paraId="0D0894F6" w14:textId="77777777" w:rsidTr="00043DF7">
        <w:tc>
          <w:tcPr>
            <w:tcW w:w="1677" w:type="pct"/>
            <w:vMerge w:val="restart"/>
          </w:tcPr>
          <w:p w14:paraId="3161DFE2" w14:textId="77777777" w:rsidR="00F84232" w:rsidRPr="003A22B9" w:rsidRDefault="00F84232" w:rsidP="001C3C2B">
            <w:pPr>
              <w:widowControl w:val="0"/>
              <w:spacing w:before="72"/>
              <w:ind w:right="232"/>
              <w:jc w:val="center"/>
              <w:rPr>
                <w:rFonts w:ascii="Times New Roman" w:eastAsia="Times New Roman" w:hAnsi="Times New Roman" w:cs="Times New Roman"/>
                <w:b/>
                <w:lang w:val="it-IT"/>
              </w:rPr>
            </w:pPr>
            <w:r w:rsidRPr="003A22B9">
              <w:rPr>
                <w:rFonts w:ascii="Times New Roman" w:eastAsia="Times New Roman" w:hAnsi="Times New Roman" w:cs="Times New Roman"/>
                <w:b/>
                <w:lang w:val="it-IT"/>
              </w:rPr>
              <w:lastRenderedPageBreak/>
              <w:t>OS</w:t>
            </w:r>
          </w:p>
        </w:tc>
        <w:tc>
          <w:tcPr>
            <w:tcW w:w="1662" w:type="pct"/>
          </w:tcPr>
          <w:p w14:paraId="12D6A25E"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t>20 smrtnih slučajeva</w:t>
            </w:r>
          </w:p>
        </w:tc>
        <w:tc>
          <w:tcPr>
            <w:tcW w:w="1662" w:type="pct"/>
          </w:tcPr>
          <w:p w14:paraId="4F1FABA4"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t>8 smrtnih slučajeva</w:t>
            </w:r>
          </w:p>
        </w:tc>
      </w:tr>
      <w:tr w:rsidR="00F84232" w:rsidRPr="003A22B9" w14:paraId="7D3848CD" w14:textId="77777777" w:rsidTr="00043DF7">
        <w:tc>
          <w:tcPr>
            <w:tcW w:w="1677" w:type="pct"/>
            <w:vMerge/>
          </w:tcPr>
          <w:p w14:paraId="1D4767CD"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p>
        </w:tc>
        <w:tc>
          <w:tcPr>
            <w:tcW w:w="3323" w:type="pct"/>
            <w:gridSpan w:val="2"/>
          </w:tcPr>
          <w:p w14:paraId="5765F36C" w14:textId="44B50FE3"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lang w:val="it-IT"/>
              </w:rPr>
              <w:t>Jednostrana p-vr</w:t>
            </w:r>
            <w:r w:rsidR="00B83424"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ednost prema log-rang testu: 0.0061</w:t>
            </w:r>
          </w:p>
        </w:tc>
      </w:tr>
      <w:tr w:rsidR="00F84232" w:rsidRPr="003A22B9" w14:paraId="6A97203F" w14:textId="77777777" w:rsidTr="00043DF7">
        <w:tc>
          <w:tcPr>
            <w:tcW w:w="1677" w:type="pct"/>
            <w:vMerge/>
          </w:tcPr>
          <w:p w14:paraId="734DE71E"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p>
        </w:tc>
        <w:tc>
          <w:tcPr>
            <w:tcW w:w="3323" w:type="pct"/>
            <w:gridSpan w:val="2"/>
          </w:tcPr>
          <w:p w14:paraId="0EA8537A"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lang w:val="it-IT"/>
              </w:rPr>
              <w:t>Prilagođeni Coxov odnos rizika (HR): 0,36 (95% CI: 0,16; 0,81)</w:t>
            </w:r>
          </w:p>
        </w:tc>
      </w:tr>
      <w:tr w:rsidR="00F84232" w:rsidRPr="003A22B9" w14:paraId="55FE04C1" w14:textId="77777777" w:rsidTr="00043DF7">
        <w:tc>
          <w:tcPr>
            <w:tcW w:w="1677" w:type="pct"/>
          </w:tcPr>
          <w:p w14:paraId="42BD022E" w14:textId="77777777" w:rsidR="00F84232" w:rsidRPr="003A22B9" w:rsidRDefault="00F84232" w:rsidP="001C3C2B">
            <w:pPr>
              <w:widowControl w:val="0"/>
              <w:spacing w:before="72"/>
              <w:ind w:right="232"/>
              <w:jc w:val="center"/>
              <w:rPr>
                <w:rFonts w:ascii="Times New Roman" w:eastAsia="Times New Roman" w:hAnsi="Times New Roman" w:cs="Times New Roman"/>
                <w:b/>
              </w:rPr>
            </w:pPr>
            <w:r w:rsidRPr="003A22B9">
              <w:rPr>
                <w:rFonts w:ascii="Times New Roman" w:eastAsia="Times New Roman" w:hAnsi="Times New Roman" w:cs="Times New Roman"/>
                <w:b/>
              </w:rPr>
              <w:t>3-godišnje stope</w:t>
            </w:r>
          </w:p>
          <w:p w14:paraId="68096AC3"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b/>
              </w:rPr>
              <w:t>OS-a</w:t>
            </w:r>
          </w:p>
        </w:tc>
        <w:tc>
          <w:tcPr>
            <w:tcW w:w="1662" w:type="pct"/>
          </w:tcPr>
          <w:p w14:paraId="4C51A2B1" w14:textId="77777777" w:rsidR="00F84232" w:rsidRPr="003A22B9" w:rsidRDefault="00F84232" w:rsidP="001C3C2B">
            <w:pPr>
              <w:widowControl w:val="0"/>
              <w:spacing w:before="72"/>
              <w:ind w:right="232"/>
              <w:jc w:val="center"/>
              <w:rPr>
                <w:rFonts w:ascii="Times New Roman" w:eastAsia="Times New Roman" w:hAnsi="Times New Roman" w:cs="Times New Roman"/>
              </w:rPr>
            </w:pPr>
            <w:r w:rsidRPr="003A22B9">
              <w:rPr>
                <w:rFonts w:ascii="Times New Roman" w:eastAsia="Times New Roman" w:hAnsi="Times New Roman" w:cs="Times New Roman"/>
              </w:rPr>
              <w:t>87,3%</w:t>
            </w:r>
          </w:p>
          <w:p w14:paraId="72DB30B2"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t>(95% CI: 81,2%; 91,6%)</w:t>
            </w:r>
          </w:p>
        </w:tc>
        <w:tc>
          <w:tcPr>
            <w:tcW w:w="1662" w:type="pct"/>
          </w:tcPr>
          <w:p w14:paraId="5DE8190B" w14:textId="77777777" w:rsidR="00F84232" w:rsidRPr="003A22B9" w:rsidRDefault="00F84232" w:rsidP="001C3C2B">
            <w:pPr>
              <w:widowControl w:val="0"/>
              <w:spacing w:before="72"/>
              <w:ind w:right="232"/>
              <w:jc w:val="center"/>
              <w:rPr>
                <w:rFonts w:ascii="Times New Roman" w:eastAsia="Times New Roman" w:hAnsi="Times New Roman" w:cs="Times New Roman"/>
              </w:rPr>
            </w:pPr>
            <w:r w:rsidRPr="003A22B9">
              <w:rPr>
                <w:rFonts w:ascii="Times New Roman" w:eastAsia="Times New Roman" w:hAnsi="Times New Roman" w:cs="Times New Roman"/>
              </w:rPr>
              <w:t>95,1%</w:t>
            </w:r>
          </w:p>
          <w:p w14:paraId="2C15A8EB"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t>(95% CI: 90,5%; 97,5%)</w:t>
            </w:r>
          </w:p>
        </w:tc>
      </w:tr>
      <w:tr w:rsidR="00F84232" w:rsidRPr="003A22B9" w14:paraId="37C39A8A" w14:textId="77777777" w:rsidTr="001C3C2B">
        <w:trPr>
          <w:trHeight w:val="58"/>
        </w:trPr>
        <w:tc>
          <w:tcPr>
            <w:tcW w:w="1677" w:type="pct"/>
          </w:tcPr>
          <w:p w14:paraId="0D094199" w14:textId="76325DBB" w:rsidR="00F84232" w:rsidRPr="003A22B9" w:rsidRDefault="00F84232" w:rsidP="001C3C2B">
            <w:pPr>
              <w:widowControl w:val="0"/>
              <w:spacing w:before="72"/>
              <w:ind w:right="232"/>
              <w:jc w:val="center"/>
              <w:rPr>
                <w:rFonts w:ascii="Times New Roman" w:eastAsia="Times New Roman" w:hAnsi="Times New Roman" w:cs="Times New Roman"/>
                <w:b/>
              </w:rPr>
            </w:pPr>
            <w:r w:rsidRPr="003A22B9">
              <w:rPr>
                <w:rFonts w:ascii="Times New Roman" w:eastAsia="Times New Roman" w:hAnsi="Times New Roman" w:cs="Times New Roman"/>
                <w:b/>
              </w:rPr>
              <w:t>Stopa potpune</w:t>
            </w:r>
          </w:p>
          <w:p w14:paraId="37264A1F" w14:textId="77777777" w:rsidR="00F84232" w:rsidRPr="003A22B9" w:rsidRDefault="00F84232" w:rsidP="001C3C2B">
            <w:pPr>
              <w:widowControl w:val="0"/>
              <w:spacing w:before="72"/>
              <w:ind w:right="232"/>
              <w:jc w:val="center"/>
              <w:rPr>
                <w:rFonts w:ascii="Times New Roman" w:eastAsia="Times New Roman" w:hAnsi="Times New Roman" w:cs="Times New Roman"/>
                <w:b/>
                <w:lang w:val="it-IT"/>
              </w:rPr>
            </w:pPr>
            <w:r w:rsidRPr="003A22B9">
              <w:rPr>
                <w:rFonts w:ascii="Times New Roman" w:eastAsia="Times New Roman" w:hAnsi="Times New Roman" w:cs="Times New Roman"/>
                <w:b/>
              </w:rPr>
              <w:t>remisije</w:t>
            </w:r>
          </w:p>
        </w:tc>
        <w:tc>
          <w:tcPr>
            <w:tcW w:w="1662" w:type="pct"/>
          </w:tcPr>
          <w:p w14:paraId="52F6624C"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t>93,6% (95% CI: 88,2%; 97,0%)</w:t>
            </w:r>
          </w:p>
        </w:tc>
        <w:tc>
          <w:tcPr>
            <w:tcW w:w="1662" w:type="pct"/>
          </w:tcPr>
          <w:p w14:paraId="5125F20C" w14:textId="77777777" w:rsidR="00F84232" w:rsidRPr="003A22B9" w:rsidRDefault="00F84232" w:rsidP="001C3C2B">
            <w:pPr>
              <w:widowControl w:val="0"/>
              <w:spacing w:before="72"/>
              <w:ind w:right="232"/>
              <w:jc w:val="center"/>
              <w:rPr>
                <w:rFonts w:ascii="Times New Roman" w:eastAsia="Times New Roman" w:hAnsi="Times New Roman" w:cs="Times New Roman"/>
                <w:lang w:val="it-IT"/>
              </w:rPr>
            </w:pPr>
            <w:r w:rsidRPr="003A22B9">
              <w:rPr>
                <w:rFonts w:ascii="Times New Roman" w:eastAsia="Times New Roman" w:hAnsi="Times New Roman" w:cs="Times New Roman"/>
              </w:rPr>
              <w:t>94,0% (95% CI: 88,8%; 97,2%)</w:t>
            </w:r>
          </w:p>
        </w:tc>
      </w:tr>
    </w:tbl>
    <w:p w14:paraId="42914A2C" w14:textId="77777777" w:rsidR="00F84232" w:rsidRPr="003A22B9" w:rsidRDefault="00F84232" w:rsidP="008A466E">
      <w:pPr>
        <w:widowControl w:val="0"/>
        <w:spacing w:before="72" w:after="0" w:line="240" w:lineRule="auto"/>
        <w:ind w:right="232"/>
        <w:jc w:val="both"/>
        <w:rPr>
          <w:rFonts w:ascii="Times New Roman" w:eastAsia="Times New Roman" w:hAnsi="Times New Roman" w:cs="Times New Roman"/>
          <w:lang w:val="it-IT"/>
        </w:rPr>
      </w:pPr>
    </w:p>
    <w:p w14:paraId="73E03219" w14:textId="31EFCE6B" w:rsidR="00C82E92" w:rsidRPr="003A22B9" w:rsidRDefault="00C82E92" w:rsidP="00C82E92">
      <w:pPr>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Primarna analiza podataka o efikasnosti pokazala je korisno dejstvo na EFS kod dodavanja rituksimaba hemioterapijskom protokolu LMB u odnosu na prim</w:t>
      </w:r>
      <w:r w:rsidR="007C658D" w:rsidRPr="003A22B9">
        <w:rPr>
          <w:rFonts w:ascii="Times New Roman" w:eastAsia="Times New Roman" w:hAnsi="Times New Roman" w:cs="Times New Roman"/>
          <w:lang w:val="it-IT"/>
        </w:rPr>
        <w:t>j</w:t>
      </w:r>
      <w:r w:rsidRPr="003A22B9">
        <w:rPr>
          <w:rFonts w:ascii="Times New Roman" w:eastAsia="Times New Roman" w:hAnsi="Times New Roman" w:cs="Times New Roman"/>
          <w:lang w:val="it-IT"/>
        </w:rPr>
        <w:t>enu samo hemioterapije LMB, uz odnos rizika (HR) za EFS od 0,32 (90% CI: 0,17 - 0,58), utvrđen Coxovom regresionom analizom prilagođenom za nacionalnu pripadnost, histološke karakteristike i l</w:t>
      </w:r>
      <w:r w:rsidR="00B34F78"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ečenu grupu. Iako između dv</w:t>
      </w:r>
      <w:r w:rsidR="00BE378A"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 l</w:t>
      </w:r>
      <w:r w:rsidR="00BE378A" w:rsidRPr="003A22B9">
        <w:rPr>
          <w:rFonts w:ascii="Times New Roman" w:eastAsia="Times New Roman" w:hAnsi="Times New Roman" w:cs="Times New Roman"/>
          <w:lang w:val="it-IT"/>
        </w:rPr>
        <w:t>ij</w:t>
      </w:r>
      <w:r w:rsidRPr="003A22B9">
        <w:rPr>
          <w:rFonts w:ascii="Times New Roman" w:eastAsia="Times New Roman" w:hAnsi="Times New Roman" w:cs="Times New Roman"/>
          <w:lang w:val="it-IT"/>
        </w:rPr>
        <w:t>ečene grupe ni</w:t>
      </w:r>
      <w:r w:rsidR="00AE3C83" w:rsidRPr="003A22B9">
        <w:rPr>
          <w:rFonts w:ascii="Times New Roman" w:eastAsia="Times New Roman" w:hAnsi="Times New Roman" w:cs="Times New Roman"/>
          <w:lang w:val="it-IT"/>
        </w:rPr>
        <w:t>je</w:t>
      </w:r>
      <w:r w:rsidRPr="003A22B9">
        <w:rPr>
          <w:rFonts w:ascii="Times New Roman" w:eastAsia="Times New Roman" w:hAnsi="Times New Roman" w:cs="Times New Roman"/>
          <w:lang w:val="it-IT"/>
        </w:rPr>
        <w:t xml:space="preserve">su zapažene velike razlike u broju pacijenata koji su postigli potpunu remisiju, korisno dejstvo dodavanja rituksimaba hemioterapiji LMB </w:t>
      </w:r>
      <w:r w:rsidR="00073650" w:rsidRPr="003A22B9">
        <w:rPr>
          <w:rFonts w:ascii="Times New Roman" w:eastAsia="Times New Roman" w:hAnsi="Times New Roman" w:cs="Times New Roman"/>
          <w:lang w:val="it-IT"/>
        </w:rPr>
        <w:t>primijećen</w:t>
      </w:r>
      <w:r w:rsidRPr="003A22B9">
        <w:rPr>
          <w:rFonts w:ascii="Times New Roman" w:eastAsia="Times New Roman" w:hAnsi="Times New Roman" w:cs="Times New Roman"/>
          <w:lang w:val="it-IT"/>
        </w:rPr>
        <w:t xml:space="preserve"> je i za sekundarn</w:t>
      </w:r>
      <w:r w:rsidR="00F52D0D" w:rsidRPr="003A22B9">
        <w:rPr>
          <w:rFonts w:ascii="Times New Roman" w:eastAsia="Times New Roman" w:hAnsi="Times New Roman" w:cs="Times New Roman"/>
          <w:lang w:val="it-IT"/>
        </w:rPr>
        <w:t>i parametar praaćenja</w:t>
      </w:r>
      <w:r w:rsidR="007D51D6">
        <w:rPr>
          <w:rFonts w:ascii="Times New Roman" w:eastAsia="Times New Roman" w:hAnsi="Times New Roman" w:cs="Times New Roman"/>
          <w:lang w:val="it-IT"/>
        </w:rPr>
        <w:t xml:space="preserve"> </w:t>
      </w:r>
      <w:r w:rsidRPr="003A22B9">
        <w:rPr>
          <w:rFonts w:ascii="Times New Roman" w:eastAsia="Times New Roman" w:hAnsi="Times New Roman" w:cs="Times New Roman"/>
          <w:lang w:val="it-IT"/>
        </w:rPr>
        <w:t>– OS, uz HR za OS od 0,36 (95% CI: 0,16 - 0,81)</w:t>
      </w:r>
    </w:p>
    <w:p w14:paraId="308ECBC4" w14:textId="77777777" w:rsidR="00C82E92" w:rsidRPr="003A22B9" w:rsidRDefault="00C82E92" w:rsidP="00A75B47">
      <w:pPr>
        <w:spacing w:after="0" w:line="240" w:lineRule="auto"/>
        <w:jc w:val="both"/>
        <w:rPr>
          <w:rFonts w:ascii="Times New Roman" w:eastAsia="Times New Roman" w:hAnsi="Times New Roman" w:cs="Times New Roman"/>
          <w:lang w:val="it-IT"/>
        </w:rPr>
      </w:pPr>
    </w:p>
    <w:p w14:paraId="3AFFAE51" w14:textId="6E6822D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Evropska agencija za ljekove izuzela je obavezu podnošenja rezultata ispitivanja sa rituksimabom u svim podgrupama pedijatrijske populacije sa folikularnim limfomom i HLL-om</w:t>
      </w:r>
      <w:r w:rsidR="00B420B3" w:rsidRPr="003A22B9">
        <w:rPr>
          <w:rFonts w:ascii="Times New Roman" w:eastAsia="Times New Roman" w:hAnsi="Times New Roman" w:cs="Times New Roman"/>
          <w:lang w:val="sr-Latn-ME"/>
        </w:rPr>
        <w:t xml:space="preserve"> </w:t>
      </w:r>
      <w:r w:rsidR="00B420B3" w:rsidRPr="003A22B9">
        <w:rPr>
          <w:rFonts w:ascii="Times New Roman" w:eastAsia="Times New Roman" w:hAnsi="Times New Roman" w:cs="Times New Roman"/>
          <w:lang w:val="it-IT"/>
        </w:rPr>
        <w:t xml:space="preserve">i u pedijatrijskoj populaciji djece </w:t>
      </w:r>
      <w:r w:rsidR="00C72E8F" w:rsidRPr="003A22B9">
        <w:rPr>
          <w:rFonts w:ascii="Times New Roman" w:eastAsia="Times New Roman" w:hAnsi="Times New Roman" w:cs="Times New Roman"/>
          <w:lang w:val="it-IT"/>
        </w:rPr>
        <w:t>ml</w:t>
      </w:r>
      <w:r w:rsidR="00B420B3" w:rsidRPr="003A22B9">
        <w:rPr>
          <w:rFonts w:ascii="Times New Roman" w:eastAsia="Times New Roman" w:hAnsi="Times New Roman" w:cs="Times New Roman"/>
          <w:lang w:val="it-IT"/>
        </w:rPr>
        <w:t>ađe od 6 mjeseci s</w:t>
      </w:r>
      <w:r w:rsidR="00F52D0D" w:rsidRPr="003A22B9">
        <w:rPr>
          <w:rFonts w:ascii="Times New Roman" w:eastAsia="Times New Roman" w:hAnsi="Times New Roman" w:cs="Times New Roman"/>
          <w:lang w:val="it-IT"/>
        </w:rPr>
        <w:t>a</w:t>
      </w:r>
      <w:r w:rsidR="00B420B3" w:rsidRPr="003A22B9">
        <w:rPr>
          <w:rFonts w:ascii="Times New Roman" w:eastAsia="Times New Roman" w:hAnsi="Times New Roman" w:cs="Times New Roman"/>
          <w:lang w:val="it-IT"/>
        </w:rPr>
        <w:t xml:space="preserve"> CD20 pozitivnim difuznim B-krupnoćelijskim limfomom</w:t>
      </w:r>
      <w:r w:rsidRPr="003A22B9">
        <w:rPr>
          <w:rFonts w:ascii="Times New Roman" w:eastAsia="Times New Roman" w:hAnsi="Times New Roman" w:cs="Times New Roman"/>
          <w:lang w:val="sr-Latn-ME"/>
        </w:rPr>
        <w:t xml:space="preserve">.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4.2. za informacije o pedijatrijskoj primjeni.</w:t>
      </w:r>
    </w:p>
    <w:p w14:paraId="7DCF38F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1C8FF8D"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Kliničko iskustvo kod reumatoidnog artritisa </w:t>
      </w:r>
    </w:p>
    <w:p w14:paraId="6700711A"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6FFEB1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Efikasnost i bezbjednost rituksimaba za ublažavanje simptoma i znakova reumatoidnog artritisa kod pacijenata sa neadekvatnim odgovorom na liječenje TNF-inhibitorima dokazani su u pivotalnoj, randomizovanoj, kontrolisanoj, dvostruko-slijepoj, multicentričnoj kliničkoj studiji (Studija 1). </w:t>
      </w:r>
    </w:p>
    <w:p w14:paraId="72EA490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100D841" w14:textId="3A2FA17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Studija 1 je procjenjivala 517 pacijenata koji su imali ili neadekvatni odgovor ili nijesu podnosili jednu ili više terapija inhibitorima TNF. Uslove za uključivanje u studiju su ispunjavali pacijenti koji su imali aktivan reumatoidni artritis, dijagnostikovan prema kriterijumima Američkog društva za reumatologiju (engl. </w:t>
      </w:r>
      <w:r w:rsidRPr="003A22B9">
        <w:rPr>
          <w:rFonts w:ascii="Times New Roman" w:eastAsia="Times New Roman" w:hAnsi="Times New Roman" w:cs="Times New Roman"/>
          <w:i/>
          <w:lang w:val="sr-Latn-ME"/>
        </w:rPr>
        <w:t>American College of Rheumatology</w:t>
      </w:r>
      <w:r w:rsidRPr="003A22B9">
        <w:rPr>
          <w:rFonts w:ascii="Times New Roman" w:eastAsia="Times New Roman" w:hAnsi="Times New Roman" w:cs="Times New Roman"/>
          <w:lang w:val="sr-Latn-ME"/>
        </w:rPr>
        <w:t xml:space="preserve"> -ACR). Rituksimab je primjenjivan u obliku dvije zasebne i.v. infuzije u razmaku od 15 dana. Pacijenti su i.v infuzijom primili 2 x 1000 mg rituksimaba ili placeba u kombinaciji sa metotreksatom (MTX). Svi pacijenti su istovremeno peroralno primali prednizon u dozi od 60 mg od 2. do 7. dana i u dozi od 30 mg od 8. do 14. dana nakon prve infuzije. Primarni </w:t>
      </w:r>
      <w:r w:rsidR="00F52D0D" w:rsidRPr="003A22B9">
        <w:rPr>
          <w:rFonts w:ascii="Times New Roman" w:eastAsia="Times New Roman" w:hAnsi="Times New Roman" w:cs="Times New Roman"/>
          <w:lang w:val="sr-Latn-ME"/>
        </w:rPr>
        <w:t>parametar praćenja</w:t>
      </w:r>
      <w:r w:rsidRPr="003A22B9">
        <w:rPr>
          <w:rFonts w:ascii="Times New Roman" w:eastAsia="Times New Roman" w:hAnsi="Times New Roman" w:cs="Times New Roman"/>
          <w:lang w:val="sr-Latn-ME"/>
        </w:rPr>
        <w:t xml:space="preserve"> studije bio je utvrđivanje udijela pacijenata kod kojih je postignut ACR20 odgovor do 24. nedjelje. Pacijenti su praćeni duže od 24 nedjelje zbog utvrđivanja dugoročnih </w:t>
      </w:r>
      <w:r w:rsidR="00F52D0D" w:rsidRPr="003A22B9">
        <w:rPr>
          <w:rFonts w:ascii="Times New Roman" w:eastAsia="Times New Roman" w:hAnsi="Times New Roman" w:cs="Times New Roman"/>
          <w:lang w:val="sr-Latn-ME"/>
        </w:rPr>
        <w:t>parametara praćenja</w:t>
      </w:r>
      <w:r w:rsidRPr="003A22B9">
        <w:rPr>
          <w:rFonts w:ascii="Times New Roman" w:eastAsia="Times New Roman" w:hAnsi="Times New Roman" w:cs="Times New Roman"/>
          <w:lang w:val="sr-Latn-ME"/>
        </w:rPr>
        <w:t xml:space="preserve"> studije, uključujući i radiološku procjenu u 56. i 104. nedjelji. Tokom ovog perioda 81% pacijenata koji su u početku bili u grupi koja je primala placebo, dobili su rituksimab između 24. i 56. nedjelje, prema protokolu za otvoreno produženje studije. </w:t>
      </w:r>
    </w:p>
    <w:p w14:paraId="3875045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C3539F3" w14:textId="015FC210"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Studije sa rituksimabom kod pacijenata sa ranim artritisom (pacijenti koji nijesu liječeni metotreksatom i pacijenti sa neadekvatnim odgovorom na metotreksat, koji još nijesu primili TNF-alfa inhibitore) su dostigle svoje primarne </w:t>
      </w:r>
      <w:r w:rsidR="00F52D0D" w:rsidRPr="003A22B9">
        <w:rPr>
          <w:rFonts w:ascii="Times New Roman" w:eastAsia="Times New Roman" w:hAnsi="Times New Roman" w:cs="Times New Roman"/>
          <w:lang w:val="sr-Latn-ME"/>
        </w:rPr>
        <w:t>parametre praćenja</w:t>
      </w:r>
      <w:r w:rsidRPr="003A22B9">
        <w:rPr>
          <w:rFonts w:ascii="Times New Roman" w:eastAsia="Times New Roman" w:hAnsi="Times New Roman" w:cs="Times New Roman"/>
          <w:lang w:val="sr-Latn-ME"/>
        </w:rPr>
        <w:t>. Rituksimab nije indikovan za liječenje ovih pacijenata jer nema dovoljno podataka o bezbjednosti dugotrajnog liječenja rituksimabom, posebno u pogledu rizika od razvoja maligniteta i P</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-a. </w:t>
      </w:r>
    </w:p>
    <w:p w14:paraId="20FD1B2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906CAEF"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Ishodi u pogledu aktivnosti bolesti </w:t>
      </w:r>
    </w:p>
    <w:p w14:paraId="04A3F5AA" w14:textId="51A4A32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Rituksimab u kombinaciji sa metotreksatom je značajno povećao procenat pacijenata koji su postigli najmanje 20%-no poboljšanje ACR rezultata u poređenju sa onima koji su primali samo metotreksat (Tabela 1</w:t>
      </w:r>
      <w:r w:rsidR="004142C8" w:rsidRPr="003A22B9">
        <w:rPr>
          <w:rFonts w:ascii="Times New Roman" w:eastAsia="Times New Roman" w:hAnsi="Times New Roman" w:cs="Times New Roman"/>
          <w:lang w:val="sr-Latn-ME"/>
        </w:rPr>
        <w:t>5</w:t>
      </w:r>
      <w:r w:rsidRPr="003A22B9">
        <w:rPr>
          <w:rFonts w:ascii="Times New Roman" w:eastAsia="Times New Roman" w:hAnsi="Times New Roman" w:cs="Times New Roman"/>
          <w:lang w:val="sr-Latn-ME"/>
        </w:rPr>
        <w:t xml:space="preserve">). U svim razvojnim studijama korist od liječenja za pacijente bila je slična, nezavisno od godina starosti, pola, površine tijela, rase, broja prethodnih terapija ili stanja bolesti. </w:t>
      </w:r>
    </w:p>
    <w:p w14:paraId="21142F2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E6103E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Klinički i statistički značajno poboljšanje zabilježeno je i po svim pojedinačnim komponentama ACR odgovora (broj bolno osjetljivih i otečenih zglobova, opšta procjena stanja od strane ljekara i samog pacijenta, rezultati indeksa nesposobnosti (Upitnik za procjenu zdravlja, engl. </w:t>
      </w:r>
      <w:r w:rsidRPr="003A22B9">
        <w:rPr>
          <w:rFonts w:ascii="Times New Roman" w:eastAsia="Times New Roman" w:hAnsi="Times New Roman" w:cs="Times New Roman"/>
          <w:i/>
          <w:lang w:val="sr-Latn-ME"/>
        </w:rPr>
        <w:t>Health Assessment Questionnaire –</w:t>
      </w:r>
      <w:r w:rsidRPr="003A22B9">
        <w:rPr>
          <w:rFonts w:ascii="Times New Roman" w:eastAsia="Times New Roman" w:hAnsi="Times New Roman" w:cs="Times New Roman"/>
          <w:lang w:val="sr-Latn-ME"/>
        </w:rPr>
        <w:t xml:space="preserve"> HAQ), procjena bola i vrijednosti C-reaktivnog proteina (mg/dl).</w:t>
      </w:r>
    </w:p>
    <w:p w14:paraId="0AE01CA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2B8C534" w14:textId="3414B424"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7F6CE6" w:rsidRPr="003A22B9">
        <w:rPr>
          <w:rFonts w:ascii="Times New Roman" w:eastAsia="Times New Roman" w:hAnsi="Times New Roman" w:cs="Times New Roman"/>
          <w:b/>
          <w:lang w:val="sr-Latn-ME"/>
        </w:rPr>
        <w:t>5</w:t>
      </w:r>
      <w:r w:rsidRPr="003A22B9">
        <w:rPr>
          <w:rFonts w:ascii="Times New Roman" w:eastAsia="Times New Roman" w:hAnsi="Times New Roman" w:cs="Times New Roman"/>
          <w:b/>
          <w:lang w:val="sr-Latn-ME"/>
        </w:rPr>
        <w:tab/>
        <w:t xml:space="preserve">Ishodi kliničkih odgovora za primarni </w:t>
      </w:r>
      <w:r w:rsidR="00F52D0D" w:rsidRPr="003A22B9">
        <w:rPr>
          <w:rFonts w:ascii="Times New Roman" w:eastAsia="Times New Roman" w:hAnsi="Times New Roman" w:cs="Times New Roman"/>
          <w:b/>
          <w:lang w:val="sr-Latn-ME"/>
        </w:rPr>
        <w:t>parametar praćenja</w:t>
      </w:r>
      <w:r w:rsidRPr="003A22B9">
        <w:rPr>
          <w:rFonts w:ascii="Times New Roman" w:eastAsia="Times New Roman" w:hAnsi="Times New Roman" w:cs="Times New Roman"/>
          <w:b/>
          <w:lang w:val="sr-Latn-ME"/>
        </w:rPr>
        <w:t xml:space="preserve"> Studije 1 (ITT populacija)</w:t>
      </w:r>
    </w:p>
    <w:p w14:paraId="15724A1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279"/>
        <w:gridCol w:w="2301"/>
        <w:gridCol w:w="2386"/>
      </w:tblGrid>
      <w:tr w:rsidR="00A75B47" w:rsidRPr="003A22B9" w14:paraId="43D56185" w14:textId="77777777" w:rsidTr="00043DF7">
        <w:trPr>
          <w:trHeight w:val="626"/>
        </w:trPr>
        <w:tc>
          <w:tcPr>
            <w:tcW w:w="2463" w:type="dxa"/>
            <w:shd w:val="clear" w:color="auto" w:fill="auto"/>
          </w:tcPr>
          <w:p w14:paraId="5C91F56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2464" w:type="dxa"/>
            <w:shd w:val="clear" w:color="auto" w:fill="auto"/>
          </w:tcPr>
          <w:p w14:paraId="66814DF5"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Ishod†</w:t>
            </w:r>
          </w:p>
        </w:tc>
        <w:tc>
          <w:tcPr>
            <w:tcW w:w="2464" w:type="dxa"/>
            <w:shd w:val="clear" w:color="auto" w:fill="auto"/>
          </w:tcPr>
          <w:p w14:paraId="09989769"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Placebo  +  MTX</w:t>
            </w:r>
          </w:p>
        </w:tc>
        <w:tc>
          <w:tcPr>
            <w:tcW w:w="2464" w:type="dxa"/>
            <w:shd w:val="clear" w:color="auto" w:fill="auto"/>
          </w:tcPr>
          <w:p w14:paraId="3DF53DBC"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Rituksimab   +  MTX</w:t>
            </w:r>
          </w:p>
          <w:p w14:paraId="044E1DAE"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(2 x 1000 mg)</w:t>
            </w:r>
          </w:p>
        </w:tc>
      </w:tr>
      <w:tr w:rsidR="00A75B47" w:rsidRPr="003A22B9" w14:paraId="6757786F" w14:textId="77777777" w:rsidTr="00043DF7">
        <w:trPr>
          <w:trHeight w:val="550"/>
        </w:trPr>
        <w:tc>
          <w:tcPr>
            <w:tcW w:w="2463" w:type="dxa"/>
            <w:shd w:val="clear" w:color="auto" w:fill="auto"/>
          </w:tcPr>
          <w:p w14:paraId="6C0B05D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Studija 1</w:t>
            </w:r>
          </w:p>
        </w:tc>
        <w:tc>
          <w:tcPr>
            <w:tcW w:w="2464" w:type="dxa"/>
            <w:shd w:val="clear" w:color="auto" w:fill="auto"/>
          </w:tcPr>
          <w:p w14:paraId="7DEB8009"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p>
        </w:tc>
        <w:tc>
          <w:tcPr>
            <w:tcW w:w="2464" w:type="dxa"/>
            <w:shd w:val="clear" w:color="auto" w:fill="auto"/>
          </w:tcPr>
          <w:p w14:paraId="4E9BDA5F"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201</w:t>
            </w:r>
          </w:p>
        </w:tc>
        <w:tc>
          <w:tcPr>
            <w:tcW w:w="2464" w:type="dxa"/>
            <w:shd w:val="clear" w:color="auto" w:fill="auto"/>
          </w:tcPr>
          <w:p w14:paraId="4C154727"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298</w:t>
            </w:r>
          </w:p>
        </w:tc>
      </w:tr>
      <w:tr w:rsidR="00A75B47" w:rsidRPr="003A22B9" w14:paraId="4919BB71" w14:textId="77777777" w:rsidTr="00043DF7">
        <w:tc>
          <w:tcPr>
            <w:tcW w:w="2463" w:type="dxa"/>
            <w:shd w:val="clear" w:color="auto" w:fill="auto"/>
          </w:tcPr>
          <w:p w14:paraId="21B42F4A"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2464" w:type="dxa"/>
            <w:shd w:val="clear" w:color="auto" w:fill="auto"/>
          </w:tcPr>
          <w:p w14:paraId="1886F21E"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ACR20</w:t>
            </w:r>
          </w:p>
          <w:p w14:paraId="0C032046"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ACR50</w:t>
            </w:r>
          </w:p>
          <w:p w14:paraId="6EF9D9D2"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ACR70</w:t>
            </w:r>
          </w:p>
        </w:tc>
        <w:tc>
          <w:tcPr>
            <w:tcW w:w="2464" w:type="dxa"/>
            <w:shd w:val="clear" w:color="auto" w:fill="auto"/>
          </w:tcPr>
          <w:p w14:paraId="02263691"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36 (18%)</w:t>
            </w:r>
          </w:p>
          <w:p w14:paraId="0F081419"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11 (5%)</w:t>
            </w:r>
          </w:p>
          <w:p w14:paraId="43F7B822"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3 (1%)</w:t>
            </w:r>
          </w:p>
        </w:tc>
        <w:tc>
          <w:tcPr>
            <w:tcW w:w="2464" w:type="dxa"/>
            <w:shd w:val="clear" w:color="auto" w:fill="auto"/>
          </w:tcPr>
          <w:p w14:paraId="115FD1E9"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153 (51%)***</w:t>
            </w:r>
          </w:p>
          <w:p w14:paraId="24049E27"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80 (27%)***</w:t>
            </w:r>
          </w:p>
          <w:p w14:paraId="60341515"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37 (12%)***</w:t>
            </w:r>
          </w:p>
        </w:tc>
      </w:tr>
      <w:tr w:rsidR="00A75B47" w:rsidRPr="003A22B9" w14:paraId="4A3E42CE" w14:textId="77777777" w:rsidTr="00043DF7">
        <w:tc>
          <w:tcPr>
            <w:tcW w:w="2463" w:type="dxa"/>
            <w:shd w:val="clear" w:color="auto" w:fill="auto"/>
          </w:tcPr>
          <w:p w14:paraId="7B38BEB4"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2464" w:type="dxa"/>
            <w:shd w:val="clear" w:color="auto" w:fill="auto"/>
          </w:tcPr>
          <w:p w14:paraId="4AF90BBB"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EULAR odgovor (dobar/umjeren)</w:t>
            </w:r>
          </w:p>
        </w:tc>
        <w:tc>
          <w:tcPr>
            <w:tcW w:w="2464" w:type="dxa"/>
            <w:shd w:val="clear" w:color="auto" w:fill="auto"/>
          </w:tcPr>
          <w:p w14:paraId="4F43E704"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44 (22%)</w:t>
            </w:r>
          </w:p>
          <w:p w14:paraId="7B02555F"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p>
        </w:tc>
        <w:tc>
          <w:tcPr>
            <w:tcW w:w="2464" w:type="dxa"/>
            <w:shd w:val="clear" w:color="auto" w:fill="auto"/>
          </w:tcPr>
          <w:p w14:paraId="2392244F"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193 (65%)***</w:t>
            </w:r>
          </w:p>
          <w:p w14:paraId="3887BBD9"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p>
        </w:tc>
      </w:tr>
      <w:tr w:rsidR="00A75B47" w:rsidRPr="003A22B9" w14:paraId="4F1327AD" w14:textId="77777777" w:rsidTr="00043DF7">
        <w:tc>
          <w:tcPr>
            <w:tcW w:w="2463" w:type="dxa"/>
            <w:shd w:val="clear" w:color="auto" w:fill="auto"/>
          </w:tcPr>
          <w:p w14:paraId="5195C3E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2464" w:type="dxa"/>
            <w:shd w:val="clear" w:color="auto" w:fill="auto"/>
          </w:tcPr>
          <w:p w14:paraId="79898AC5"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Srednja vrijednost promjene rezultata aktivnosti bolesti (DAS)</w:t>
            </w:r>
          </w:p>
        </w:tc>
        <w:tc>
          <w:tcPr>
            <w:tcW w:w="2464" w:type="dxa"/>
            <w:shd w:val="clear" w:color="auto" w:fill="auto"/>
          </w:tcPr>
          <w:p w14:paraId="2C9DB28F"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-0,34</w:t>
            </w:r>
          </w:p>
        </w:tc>
        <w:tc>
          <w:tcPr>
            <w:tcW w:w="2464" w:type="dxa"/>
            <w:shd w:val="clear" w:color="auto" w:fill="auto"/>
          </w:tcPr>
          <w:p w14:paraId="38D7EFB1"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-1,83***</w:t>
            </w:r>
          </w:p>
        </w:tc>
      </w:tr>
    </w:tbl>
    <w:p w14:paraId="2CE5F18A" w14:textId="19AFFA7D"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Ishod nakon 24 ned</w:t>
      </w:r>
      <w:r w:rsidR="001A61D8">
        <w:rPr>
          <w:rFonts w:ascii="Times New Roman" w:eastAsia="Times New Roman" w:hAnsi="Times New Roman" w:cs="Times New Roman"/>
          <w:sz w:val="20"/>
          <w:szCs w:val="20"/>
          <w:lang w:val="sr-Latn-ME"/>
        </w:rPr>
        <w:t>j</w:t>
      </w:r>
      <w:r w:rsidRPr="001C3C2B">
        <w:rPr>
          <w:rFonts w:ascii="Times New Roman" w:eastAsia="Times New Roman" w:hAnsi="Times New Roman" w:cs="Times New Roman"/>
          <w:sz w:val="20"/>
          <w:szCs w:val="20"/>
          <w:lang w:val="sr-Latn-ME"/>
        </w:rPr>
        <w:t xml:space="preserve">elje </w:t>
      </w:r>
    </w:p>
    <w:p w14:paraId="0C6FFEDF"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Značajna razlika u odnosu na placebo+ MTX : *** p ≤ 0,0001</w:t>
      </w:r>
    </w:p>
    <w:p w14:paraId="3F916C4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8F3D3A2" w14:textId="49A98FB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Pacijenti koji su liječeni rituksimabom u kombinaciji sa metotreksatom imali su značajno veće smanjenje aktivnosti bolesti (DAS28, od engl. </w:t>
      </w:r>
      <w:r w:rsidRPr="003A22B9">
        <w:rPr>
          <w:rFonts w:ascii="Times New Roman" w:eastAsia="Times New Roman" w:hAnsi="Times New Roman" w:cs="Times New Roman"/>
          <w:i/>
          <w:lang w:val="sr-Latn-ME"/>
        </w:rPr>
        <w:t>Disease Activity Score</w:t>
      </w:r>
      <w:r w:rsidRPr="003A22B9">
        <w:rPr>
          <w:rFonts w:ascii="Times New Roman" w:eastAsia="Times New Roman" w:hAnsi="Times New Roman" w:cs="Times New Roman"/>
          <w:lang w:val="sr-Latn-ME"/>
        </w:rPr>
        <w:t>) od pacijenata koji su liječeni samo metotreksatom (Tabela 1</w:t>
      </w:r>
      <w:r w:rsidR="00AC2530" w:rsidRPr="003A22B9">
        <w:rPr>
          <w:rFonts w:ascii="Times New Roman" w:eastAsia="Times New Roman" w:hAnsi="Times New Roman" w:cs="Times New Roman"/>
          <w:lang w:val="sr-Latn-ME"/>
        </w:rPr>
        <w:t>5</w:t>
      </w:r>
      <w:r w:rsidRPr="003A22B9">
        <w:rPr>
          <w:rFonts w:ascii="Times New Roman" w:eastAsia="Times New Roman" w:hAnsi="Times New Roman" w:cs="Times New Roman"/>
          <w:lang w:val="sr-Latn-ME"/>
        </w:rPr>
        <w:t xml:space="preserve">). Slično, dobar do umjeren odgovor EULAR (engl. </w:t>
      </w:r>
      <w:r w:rsidRPr="003A22B9">
        <w:rPr>
          <w:rFonts w:ascii="Times New Roman" w:eastAsia="Times New Roman" w:hAnsi="Times New Roman" w:cs="Times New Roman"/>
          <w:i/>
          <w:lang w:val="sr-Latn-ME"/>
        </w:rPr>
        <w:t>European League Against Rheumatism</w:t>
      </w:r>
      <w:r w:rsidRPr="003A22B9">
        <w:rPr>
          <w:rFonts w:ascii="Times New Roman" w:eastAsia="Times New Roman" w:hAnsi="Times New Roman" w:cs="Times New Roman"/>
          <w:lang w:val="sr-Latn-ME"/>
        </w:rPr>
        <w:t>) postiglo je značajno više bolesnika liječenih rituksimabom nego onih koji su dobijali samo metotreksat (Tabela 1</w:t>
      </w:r>
      <w:r w:rsidR="00AC2530" w:rsidRPr="003A22B9">
        <w:rPr>
          <w:rFonts w:ascii="Times New Roman" w:eastAsia="Times New Roman" w:hAnsi="Times New Roman" w:cs="Times New Roman"/>
          <w:lang w:val="sr-Latn-ME"/>
        </w:rPr>
        <w:t>5</w:t>
      </w:r>
      <w:r w:rsidRPr="003A22B9">
        <w:rPr>
          <w:rFonts w:ascii="Times New Roman" w:eastAsia="Times New Roman" w:hAnsi="Times New Roman" w:cs="Times New Roman"/>
          <w:lang w:val="sr-Latn-ME"/>
        </w:rPr>
        <w:t>).</w:t>
      </w:r>
    </w:p>
    <w:p w14:paraId="4D0AC0A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08D6F21"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Radiološki odgovor</w:t>
      </w:r>
    </w:p>
    <w:p w14:paraId="3CED222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Strukturno oštećenje zglobova je procjenjivano radiološki i izražavano kao promjena u modifikovanom ukupnom Sharp-ovom skoru (engl. </w:t>
      </w:r>
      <w:r w:rsidRPr="003A22B9">
        <w:rPr>
          <w:rFonts w:ascii="Times New Roman" w:eastAsia="Times New Roman" w:hAnsi="Times New Roman" w:cs="Times New Roman"/>
          <w:i/>
          <w:lang w:val="sr-Latn-ME"/>
        </w:rPr>
        <w:t>Modified Total Sharp Score</w:t>
      </w:r>
      <w:r w:rsidRPr="003A22B9">
        <w:rPr>
          <w:rFonts w:ascii="Times New Roman" w:eastAsia="Times New Roman" w:hAnsi="Times New Roman" w:cs="Times New Roman"/>
          <w:lang w:val="sr-Latn-ME"/>
        </w:rPr>
        <w:t xml:space="preserve"> - mTSS) i njegovim komponentama, stepenu erozije i stepenu suženja zglobnog prostora. </w:t>
      </w:r>
    </w:p>
    <w:p w14:paraId="540A7884" w14:textId="77777777" w:rsidR="00BD335F" w:rsidRPr="003A22B9" w:rsidRDefault="00BD335F" w:rsidP="00A75B47">
      <w:pPr>
        <w:spacing w:after="0" w:line="240" w:lineRule="auto"/>
        <w:jc w:val="both"/>
        <w:rPr>
          <w:rFonts w:ascii="Times New Roman" w:eastAsia="Times New Roman" w:hAnsi="Times New Roman" w:cs="Times New Roman"/>
          <w:lang w:val="sr-Latn-ME"/>
        </w:rPr>
      </w:pPr>
    </w:p>
    <w:p w14:paraId="30BE3EBD" w14:textId="08FC1370"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 Studiji 1, u koju su bili uključeni pacijenti sa neadekvatnim odgovorom ili netolerancijom na terapiju sa jednim ili više inhibitora TNF, pacijenti koji su primali lijek rituksimab u kombinaciji sa metotreksatom imali su značajno manju radiološku progresiju bolesti u poređenju sa pacijentima koji su dobijali samo metotreksat nakon 56 nedjelja. Od pacijenata koji su prvo dobijali samo metotreksat, njih 81% je dobilo rituksimab ili kao „spasonosnu“ terapiju u periodu od 16. do 24. nedjelje, ili u produžetku studije, prije 56. nedjelje. Takođe, tokom tih 56 nedjelja erozija nije napredovala kod većine pacijenata koji su od početka dobijali kombinovanu terapiju rituksimab/metotreksat (Tabela 1</w:t>
      </w:r>
      <w:r w:rsidR="00A92E27" w:rsidRPr="003A22B9">
        <w:rPr>
          <w:rFonts w:ascii="Times New Roman" w:eastAsia="Times New Roman" w:hAnsi="Times New Roman" w:cs="Times New Roman"/>
          <w:lang w:val="sr-Latn-ME"/>
        </w:rPr>
        <w:t>6</w:t>
      </w:r>
      <w:r w:rsidRPr="003A22B9">
        <w:rPr>
          <w:rFonts w:ascii="Times New Roman" w:eastAsia="Times New Roman" w:hAnsi="Times New Roman" w:cs="Times New Roman"/>
          <w:lang w:val="sr-Latn-ME"/>
        </w:rPr>
        <w:t>).</w:t>
      </w:r>
    </w:p>
    <w:p w14:paraId="0D79A9E3"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0F77190C" w14:textId="498277FE"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A92E27" w:rsidRPr="003A22B9">
        <w:rPr>
          <w:rFonts w:ascii="Times New Roman" w:eastAsia="Times New Roman" w:hAnsi="Times New Roman" w:cs="Times New Roman"/>
          <w:b/>
          <w:lang w:val="sr-Latn-ME"/>
        </w:rPr>
        <w:t>6</w:t>
      </w:r>
      <w:r w:rsidRPr="003A22B9">
        <w:rPr>
          <w:rFonts w:ascii="Times New Roman" w:eastAsia="Times New Roman" w:hAnsi="Times New Roman" w:cs="Times New Roman"/>
          <w:b/>
          <w:lang w:val="sr-Latn-ME"/>
        </w:rPr>
        <w:tab/>
        <w:t>Radiološki ishodi nakon 1 godine (prilagođena ITT populacija)</w:t>
      </w:r>
    </w:p>
    <w:p w14:paraId="6708A1F2"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8"/>
        <w:gridCol w:w="2431"/>
        <w:gridCol w:w="2432"/>
      </w:tblGrid>
      <w:tr w:rsidR="00A75B47" w:rsidRPr="003A22B9" w14:paraId="0AF6A3C1" w14:textId="77777777" w:rsidTr="00043DF7">
        <w:tc>
          <w:tcPr>
            <w:tcW w:w="4644" w:type="dxa"/>
            <w:shd w:val="clear" w:color="auto" w:fill="auto"/>
          </w:tcPr>
          <w:p w14:paraId="5139B0C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2605" w:type="dxa"/>
            <w:shd w:val="clear" w:color="auto" w:fill="auto"/>
          </w:tcPr>
          <w:p w14:paraId="2D3FC9C4" w14:textId="77777777" w:rsidR="00A75B47" w:rsidRPr="001C3C2B" w:rsidRDefault="00A75B47" w:rsidP="003D78F5">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Placebo + metotreksat</w:t>
            </w:r>
          </w:p>
        </w:tc>
        <w:tc>
          <w:tcPr>
            <w:tcW w:w="2606" w:type="dxa"/>
            <w:shd w:val="clear" w:color="auto" w:fill="auto"/>
          </w:tcPr>
          <w:p w14:paraId="032C2745" w14:textId="77777777" w:rsidR="00A75B47" w:rsidRPr="001C3C2B" w:rsidRDefault="00A75B47" w:rsidP="003D78F5">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Rituksimab + metotreksat</w:t>
            </w:r>
          </w:p>
          <w:p w14:paraId="4FEB24FB" w14:textId="77777777" w:rsidR="00A75B47" w:rsidRPr="001C3C2B" w:rsidRDefault="00A75B47" w:rsidP="003D78F5">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2 x 1000 mg</w:t>
            </w:r>
          </w:p>
        </w:tc>
      </w:tr>
      <w:tr w:rsidR="00A75B47" w:rsidRPr="003A22B9" w14:paraId="392506B1" w14:textId="77777777" w:rsidTr="00043DF7">
        <w:tc>
          <w:tcPr>
            <w:tcW w:w="4644" w:type="dxa"/>
            <w:shd w:val="clear" w:color="auto" w:fill="auto"/>
          </w:tcPr>
          <w:p w14:paraId="32F4E32E"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Studija 1</w:t>
            </w:r>
          </w:p>
        </w:tc>
        <w:tc>
          <w:tcPr>
            <w:tcW w:w="2605" w:type="dxa"/>
            <w:shd w:val="clear" w:color="auto" w:fill="auto"/>
          </w:tcPr>
          <w:p w14:paraId="77BC1ACC"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184)</w:t>
            </w:r>
          </w:p>
        </w:tc>
        <w:tc>
          <w:tcPr>
            <w:tcW w:w="2606" w:type="dxa"/>
            <w:shd w:val="clear" w:color="auto" w:fill="auto"/>
          </w:tcPr>
          <w:p w14:paraId="065D021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273)</w:t>
            </w:r>
          </w:p>
        </w:tc>
      </w:tr>
      <w:tr w:rsidR="00A75B47" w:rsidRPr="003A22B9" w14:paraId="59A8B364" w14:textId="77777777" w:rsidTr="00043DF7">
        <w:tc>
          <w:tcPr>
            <w:tcW w:w="4644" w:type="dxa"/>
            <w:shd w:val="clear" w:color="auto" w:fill="auto"/>
          </w:tcPr>
          <w:p w14:paraId="5C7E76D6"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Srednja vrijednost promjene od početnih vrijednosti:</w:t>
            </w:r>
          </w:p>
        </w:tc>
        <w:tc>
          <w:tcPr>
            <w:tcW w:w="2605" w:type="dxa"/>
            <w:shd w:val="clear" w:color="auto" w:fill="auto"/>
          </w:tcPr>
          <w:p w14:paraId="7AA1D4F8"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tc>
        <w:tc>
          <w:tcPr>
            <w:tcW w:w="2606" w:type="dxa"/>
            <w:shd w:val="clear" w:color="auto" w:fill="auto"/>
          </w:tcPr>
          <w:p w14:paraId="2D741725"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tc>
      </w:tr>
      <w:tr w:rsidR="00A75B47" w:rsidRPr="003A22B9" w14:paraId="31658E03" w14:textId="77777777" w:rsidTr="00043DF7">
        <w:tc>
          <w:tcPr>
            <w:tcW w:w="4644" w:type="dxa"/>
            <w:shd w:val="clear" w:color="auto" w:fill="auto"/>
          </w:tcPr>
          <w:p w14:paraId="37F6F213" w14:textId="194F9043"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Modifikovan ukup</w:t>
            </w:r>
            <w:r w:rsidR="00F52D0D"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n rezultata na Sharp –ovoj ljestvici</w:t>
            </w:r>
          </w:p>
        </w:tc>
        <w:tc>
          <w:tcPr>
            <w:tcW w:w="2605" w:type="dxa"/>
            <w:shd w:val="clear" w:color="auto" w:fill="auto"/>
          </w:tcPr>
          <w:p w14:paraId="17B18837"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2,30</w:t>
            </w:r>
          </w:p>
        </w:tc>
        <w:tc>
          <w:tcPr>
            <w:tcW w:w="2606" w:type="dxa"/>
            <w:shd w:val="clear" w:color="auto" w:fill="auto"/>
          </w:tcPr>
          <w:p w14:paraId="10C35A2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1,01*</w:t>
            </w:r>
          </w:p>
        </w:tc>
      </w:tr>
      <w:tr w:rsidR="00A75B47" w:rsidRPr="003A22B9" w14:paraId="66060C7A" w14:textId="77777777" w:rsidTr="00043DF7">
        <w:tc>
          <w:tcPr>
            <w:tcW w:w="4644" w:type="dxa"/>
            <w:shd w:val="clear" w:color="auto" w:fill="auto"/>
          </w:tcPr>
          <w:p w14:paraId="2005E3C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Stepen erozije</w:t>
            </w:r>
          </w:p>
        </w:tc>
        <w:tc>
          <w:tcPr>
            <w:tcW w:w="2605" w:type="dxa"/>
            <w:shd w:val="clear" w:color="auto" w:fill="auto"/>
          </w:tcPr>
          <w:p w14:paraId="1CFF34B6"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1,32</w:t>
            </w:r>
          </w:p>
        </w:tc>
        <w:tc>
          <w:tcPr>
            <w:tcW w:w="2606" w:type="dxa"/>
            <w:shd w:val="clear" w:color="auto" w:fill="auto"/>
          </w:tcPr>
          <w:p w14:paraId="0595FC8B"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0,60*</w:t>
            </w:r>
          </w:p>
        </w:tc>
      </w:tr>
      <w:tr w:rsidR="00A75B47" w:rsidRPr="003A22B9" w14:paraId="1A1FAB16" w14:textId="77777777" w:rsidTr="00043DF7">
        <w:tc>
          <w:tcPr>
            <w:tcW w:w="4644" w:type="dxa"/>
            <w:shd w:val="clear" w:color="auto" w:fill="auto"/>
          </w:tcPr>
          <w:p w14:paraId="11199611"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lastRenderedPageBreak/>
              <w:t>Stepen suženja prostora zgloba</w:t>
            </w:r>
          </w:p>
        </w:tc>
        <w:tc>
          <w:tcPr>
            <w:tcW w:w="2605" w:type="dxa"/>
            <w:shd w:val="clear" w:color="auto" w:fill="auto"/>
          </w:tcPr>
          <w:p w14:paraId="1D9EB350"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0,98</w:t>
            </w:r>
          </w:p>
        </w:tc>
        <w:tc>
          <w:tcPr>
            <w:tcW w:w="2606" w:type="dxa"/>
            <w:shd w:val="clear" w:color="auto" w:fill="auto"/>
          </w:tcPr>
          <w:p w14:paraId="6C51D32F"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0,41**</w:t>
            </w:r>
          </w:p>
        </w:tc>
      </w:tr>
      <w:tr w:rsidR="00A75B47" w:rsidRPr="003A22B9" w14:paraId="504AF871" w14:textId="77777777" w:rsidTr="00043DF7">
        <w:tc>
          <w:tcPr>
            <w:tcW w:w="4644" w:type="dxa"/>
            <w:shd w:val="clear" w:color="auto" w:fill="auto"/>
          </w:tcPr>
          <w:p w14:paraId="4BF32BF4"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Udio pacijenata bez radiografskih promjena</w:t>
            </w:r>
          </w:p>
        </w:tc>
        <w:tc>
          <w:tcPr>
            <w:tcW w:w="2605" w:type="dxa"/>
            <w:shd w:val="clear" w:color="auto" w:fill="auto"/>
          </w:tcPr>
          <w:p w14:paraId="4AEA1BFD"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46%</w:t>
            </w:r>
          </w:p>
        </w:tc>
        <w:tc>
          <w:tcPr>
            <w:tcW w:w="2606" w:type="dxa"/>
            <w:shd w:val="clear" w:color="auto" w:fill="auto"/>
          </w:tcPr>
          <w:p w14:paraId="1240856A" w14:textId="3DBEAB1C"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53%</w:t>
            </w:r>
            <w:r w:rsidR="00E1230F">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NZ</w:t>
            </w:r>
          </w:p>
        </w:tc>
      </w:tr>
      <w:tr w:rsidR="00A75B47" w:rsidRPr="003A22B9" w14:paraId="564E4B68" w14:textId="77777777" w:rsidTr="00043DF7">
        <w:tc>
          <w:tcPr>
            <w:tcW w:w="4644" w:type="dxa"/>
            <w:shd w:val="clear" w:color="auto" w:fill="auto"/>
          </w:tcPr>
          <w:p w14:paraId="6729E51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Udio pacijenata bez erozivnih promjena</w:t>
            </w:r>
          </w:p>
        </w:tc>
        <w:tc>
          <w:tcPr>
            <w:tcW w:w="2605" w:type="dxa"/>
            <w:shd w:val="clear" w:color="auto" w:fill="auto"/>
          </w:tcPr>
          <w:p w14:paraId="4D46554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52%</w:t>
            </w:r>
          </w:p>
        </w:tc>
        <w:tc>
          <w:tcPr>
            <w:tcW w:w="2606" w:type="dxa"/>
            <w:shd w:val="clear" w:color="auto" w:fill="auto"/>
          </w:tcPr>
          <w:p w14:paraId="1E419DC5" w14:textId="3C9B7BA0"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60%</w:t>
            </w:r>
            <w:r w:rsidR="00E1230F">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NZ</w:t>
            </w:r>
          </w:p>
        </w:tc>
      </w:tr>
    </w:tbl>
    <w:p w14:paraId="14AFC181" w14:textId="3A751AD9"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150 pacijenata koji su na početku randomizovani u grupu koja je primala placebo  +  metotreksat u Studiji 1, primilo je bar jedan ciklus rituksimab + metotreksat tokom jedne godine. * p &lt; 0,05, **p &lt; 0,0</w:t>
      </w:r>
      <w:r w:rsidR="00E1230F">
        <w:rPr>
          <w:rFonts w:ascii="Times New Roman" w:eastAsia="Times New Roman" w:hAnsi="Times New Roman" w:cs="Times New Roman"/>
          <w:sz w:val="20"/>
          <w:szCs w:val="20"/>
          <w:lang w:val="sr-Latn-ME"/>
        </w:rPr>
        <w:t>0</w:t>
      </w:r>
      <w:r w:rsidRPr="001C3C2B">
        <w:rPr>
          <w:rFonts w:ascii="Times New Roman" w:eastAsia="Times New Roman" w:hAnsi="Times New Roman" w:cs="Times New Roman"/>
          <w:sz w:val="20"/>
          <w:szCs w:val="20"/>
          <w:lang w:val="sr-Latn-ME"/>
        </w:rPr>
        <w:t>1. Skraćenice: NZ, nije značajno</w:t>
      </w:r>
    </w:p>
    <w:p w14:paraId="359F3AD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8A1472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Posmatralo se i dugoročno usporavanje napredovanja oštećenja zglobova. Radiološka analiza nakon 2 godine u Studiji 1 pokazala je značajno smanjenje progresije strukturnog oštećenja zglobova kod pacijenata koji su primali rituksimab u kombinaciji sa metotreksatom u poređenju sa pacijentima koji su primali samo metotreksat, kao i značajno veći udio pacijenata bez progresije oštećenja zglobova tokom perioda od dvije godine.</w:t>
      </w:r>
    </w:p>
    <w:p w14:paraId="1E33CFC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4B7D87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Ishod u pogledu fizičke funkcije i kvaliteta života</w:t>
      </w:r>
      <w:r w:rsidRPr="003A22B9">
        <w:rPr>
          <w:rFonts w:ascii="Times New Roman" w:eastAsia="Times New Roman" w:hAnsi="Times New Roman" w:cs="Times New Roman"/>
          <w:lang w:val="sr-Latn-ME"/>
        </w:rPr>
        <w:t xml:space="preserve"> </w:t>
      </w:r>
    </w:p>
    <w:p w14:paraId="5BF93EA0" w14:textId="70310A5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Značajno smanjenje indeksa nesposobnosti (eng. </w:t>
      </w:r>
      <w:r w:rsidRPr="003A22B9">
        <w:rPr>
          <w:rFonts w:ascii="Times New Roman" w:eastAsia="Times New Roman" w:hAnsi="Times New Roman" w:cs="Times New Roman"/>
          <w:i/>
          <w:lang w:val="sr-Latn-ME"/>
        </w:rPr>
        <w:t>Health Assessment Questionnaire – Disability Index</w:t>
      </w:r>
      <w:r w:rsidRPr="003A22B9">
        <w:rPr>
          <w:rFonts w:ascii="Times New Roman" w:eastAsia="Times New Roman" w:hAnsi="Times New Roman" w:cs="Times New Roman"/>
          <w:lang w:val="sr-Latn-ME"/>
        </w:rPr>
        <w:t xml:space="preserve"> -HAQ-DI) i umora (engl. </w:t>
      </w:r>
      <w:r w:rsidRPr="003A22B9">
        <w:rPr>
          <w:rFonts w:ascii="Times New Roman" w:eastAsia="Times New Roman" w:hAnsi="Times New Roman" w:cs="Times New Roman"/>
          <w:i/>
          <w:lang w:val="sr-Latn-ME"/>
        </w:rPr>
        <w:t>Functional Assessment of Chronic Illness Therapy – Fatigue</w:t>
      </w:r>
      <w:r w:rsidRPr="003A22B9">
        <w:rPr>
          <w:rFonts w:ascii="Times New Roman" w:eastAsia="Times New Roman" w:hAnsi="Times New Roman" w:cs="Times New Roman"/>
          <w:lang w:val="sr-Latn-ME"/>
        </w:rPr>
        <w:t xml:space="preserve"> - FACIT-Fatigue) zabilježeni su kod pacijenata koji su liječeni rituksimabom u poređenju sa onima koji su dobijali samo metotreksat. Udio pacijenata liječenih rituksimabom koji su pokazali minimalnu klinički značajnu razliku (engl. </w:t>
      </w:r>
      <w:r w:rsidRPr="003A22B9">
        <w:rPr>
          <w:rFonts w:ascii="Times New Roman" w:eastAsia="Times New Roman" w:hAnsi="Times New Roman" w:cs="Times New Roman"/>
          <w:i/>
          <w:lang w:val="sr-Latn-ME"/>
        </w:rPr>
        <w:t>Minimal Clinically Important Difference</w:t>
      </w:r>
      <w:r w:rsidRPr="003A22B9">
        <w:rPr>
          <w:rFonts w:ascii="Times New Roman" w:eastAsia="Times New Roman" w:hAnsi="Times New Roman" w:cs="Times New Roman"/>
          <w:lang w:val="sr-Latn-ME"/>
        </w:rPr>
        <w:t xml:space="preserve"> - MCID) kod HAQ-DI skora (koja je definisana kao individualno smanjanje ukupnog skora za &gt; 0,22) je takođe bio značajno viši nego kod pacijenata koji su primali samo metotreksat (Tabela 1</w:t>
      </w:r>
      <w:r w:rsidR="00E54C0C" w:rsidRPr="003A22B9">
        <w:rPr>
          <w:rFonts w:ascii="Times New Roman" w:eastAsia="Times New Roman" w:hAnsi="Times New Roman" w:cs="Times New Roman"/>
          <w:lang w:val="sr-Latn-ME"/>
        </w:rPr>
        <w:t>7</w:t>
      </w:r>
      <w:r w:rsidRPr="003A22B9">
        <w:rPr>
          <w:rFonts w:ascii="Times New Roman" w:eastAsia="Times New Roman" w:hAnsi="Times New Roman" w:cs="Times New Roman"/>
          <w:lang w:val="sr-Latn-ME"/>
        </w:rPr>
        <w:t>)</w:t>
      </w:r>
      <w:r w:rsidR="00E1230F">
        <w:rPr>
          <w:rFonts w:ascii="Times New Roman" w:eastAsia="Times New Roman" w:hAnsi="Times New Roman" w:cs="Times New Roman"/>
          <w:lang w:val="sr-Latn-ME"/>
        </w:rPr>
        <w:t>.</w:t>
      </w:r>
    </w:p>
    <w:p w14:paraId="03E46CB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D2ACA12" w14:textId="246603A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Takođe je pokazano značajno poboljšanje kvaliteta života vezanog za zdravlje, sa značajnim poboljšanjem rezultata fizičkog (engl. </w:t>
      </w:r>
      <w:r w:rsidRPr="003A22B9">
        <w:rPr>
          <w:rFonts w:ascii="Times New Roman" w:eastAsia="Times New Roman" w:hAnsi="Times New Roman" w:cs="Times New Roman"/>
          <w:i/>
          <w:lang w:val="sr-Latn-ME"/>
        </w:rPr>
        <w:t>Physical Health Score</w:t>
      </w:r>
      <w:r w:rsidRPr="003A22B9">
        <w:rPr>
          <w:rFonts w:ascii="Times New Roman" w:eastAsia="Times New Roman" w:hAnsi="Times New Roman" w:cs="Times New Roman"/>
          <w:lang w:val="sr-Latn-ME"/>
        </w:rPr>
        <w:t xml:space="preserve"> - PHS) i mentalnog zdravlja (engl. </w:t>
      </w:r>
      <w:r w:rsidRPr="003A22B9">
        <w:rPr>
          <w:rFonts w:ascii="Times New Roman" w:eastAsia="Times New Roman" w:hAnsi="Times New Roman" w:cs="Times New Roman"/>
          <w:i/>
          <w:lang w:val="sr-Latn-ME"/>
        </w:rPr>
        <w:t>Mental Health Score</w:t>
      </w:r>
      <w:r w:rsidRPr="003A22B9">
        <w:rPr>
          <w:rFonts w:ascii="Times New Roman" w:eastAsia="Times New Roman" w:hAnsi="Times New Roman" w:cs="Times New Roman"/>
          <w:lang w:val="sr-Latn-ME"/>
        </w:rPr>
        <w:t xml:space="preserve"> - MHS) u SF-36. Dalje, značajno je veći udio pacijenata postigao MCID za ove rezultate (Tabela 1</w:t>
      </w:r>
      <w:r w:rsidR="00515C43" w:rsidRPr="003A22B9">
        <w:rPr>
          <w:rFonts w:ascii="Times New Roman" w:eastAsia="Times New Roman" w:hAnsi="Times New Roman" w:cs="Times New Roman"/>
          <w:lang w:val="sr-Latn-ME"/>
        </w:rPr>
        <w:t>7</w:t>
      </w:r>
      <w:r w:rsidRPr="003A22B9">
        <w:rPr>
          <w:rFonts w:ascii="Times New Roman" w:eastAsia="Times New Roman" w:hAnsi="Times New Roman" w:cs="Times New Roman"/>
          <w:lang w:val="sr-Latn-ME"/>
        </w:rPr>
        <w:t>).</w:t>
      </w:r>
    </w:p>
    <w:p w14:paraId="28DA632D" w14:textId="77777777" w:rsidR="00BD335F" w:rsidRPr="003A22B9" w:rsidRDefault="00BD335F" w:rsidP="00A75B47">
      <w:pPr>
        <w:spacing w:after="0" w:line="240" w:lineRule="auto"/>
        <w:jc w:val="both"/>
        <w:rPr>
          <w:rFonts w:ascii="Times New Roman" w:eastAsia="Times New Roman" w:hAnsi="Times New Roman" w:cs="Times New Roman"/>
          <w:lang w:val="sr-Latn-ME"/>
        </w:rPr>
      </w:pPr>
    </w:p>
    <w:p w14:paraId="5D1B782F" w14:textId="6BAF13CA"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4D7ABF" w:rsidRPr="003A22B9">
        <w:rPr>
          <w:rFonts w:ascii="Times New Roman" w:eastAsia="Times New Roman" w:hAnsi="Times New Roman" w:cs="Times New Roman"/>
          <w:b/>
          <w:lang w:val="sr-Latn-ME"/>
        </w:rPr>
        <w:t>7</w:t>
      </w:r>
      <w:r w:rsidRPr="003A22B9">
        <w:rPr>
          <w:rFonts w:ascii="Times New Roman" w:eastAsia="Times New Roman" w:hAnsi="Times New Roman" w:cs="Times New Roman"/>
          <w:b/>
          <w:lang w:val="sr-Latn-ME"/>
        </w:rPr>
        <w:tab/>
        <w:t>Ishod u pogledu fizičke funkcije i kvaliteta života u 24. nedjelji u Studiji 1</w:t>
      </w:r>
    </w:p>
    <w:p w14:paraId="01DE7DD1" w14:textId="77777777" w:rsidR="00A75B47" w:rsidRPr="003A22B9" w:rsidRDefault="00A75B47" w:rsidP="00BD335F">
      <w:pPr>
        <w:spacing w:after="0" w:line="240" w:lineRule="auto"/>
        <w:jc w:val="center"/>
        <w:rPr>
          <w:rFonts w:ascii="Times New Roman" w:eastAsia="Times New Roman" w:hAnsi="Times New Roman" w:cs="Times New Roman"/>
          <w:lang w:val="sr-Latn-M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2464"/>
        <w:gridCol w:w="2640"/>
      </w:tblGrid>
      <w:tr w:rsidR="00A75B47" w:rsidRPr="003A22B9" w14:paraId="705C70D1" w14:textId="77777777" w:rsidTr="00043DF7">
        <w:trPr>
          <w:jc w:val="center"/>
        </w:trPr>
        <w:tc>
          <w:tcPr>
            <w:tcW w:w="2183" w:type="pct"/>
            <w:shd w:val="clear" w:color="auto" w:fill="auto"/>
          </w:tcPr>
          <w:p w14:paraId="4F8D6D21" w14:textId="77777777" w:rsidR="00A75B47" w:rsidRPr="001C3C2B" w:rsidRDefault="00A75B47" w:rsidP="00A75B47">
            <w:pPr>
              <w:spacing w:after="0" w:line="240" w:lineRule="auto"/>
              <w:ind w:firstLine="720"/>
              <w:jc w:val="both"/>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Ishod†</w:t>
            </w:r>
          </w:p>
        </w:tc>
        <w:tc>
          <w:tcPr>
            <w:tcW w:w="1359" w:type="pct"/>
            <w:shd w:val="clear" w:color="auto" w:fill="auto"/>
          </w:tcPr>
          <w:p w14:paraId="7FA0594A" w14:textId="77777777" w:rsidR="00A75B47" w:rsidRPr="001C3C2B" w:rsidRDefault="00A75B47" w:rsidP="003D78F5">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Placebo + metotreksat</w:t>
            </w:r>
          </w:p>
        </w:tc>
        <w:tc>
          <w:tcPr>
            <w:tcW w:w="1457" w:type="pct"/>
            <w:shd w:val="clear" w:color="auto" w:fill="auto"/>
          </w:tcPr>
          <w:p w14:paraId="458E559B" w14:textId="77777777" w:rsidR="00A75B47" w:rsidRPr="001C3C2B" w:rsidRDefault="00A75B47" w:rsidP="003D78F5">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Rituksimab + metotreksat</w:t>
            </w:r>
          </w:p>
          <w:p w14:paraId="0077008A" w14:textId="77777777" w:rsidR="00A75B47" w:rsidRPr="001C3C2B" w:rsidRDefault="00A75B47" w:rsidP="003D78F5">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(2 x 1000 mg)</w:t>
            </w:r>
          </w:p>
        </w:tc>
      </w:tr>
      <w:tr w:rsidR="00A75B47" w:rsidRPr="003A22B9" w14:paraId="34F6586F" w14:textId="77777777" w:rsidTr="00043DF7">
        <w:trPr>
          <w:jc w:val="center"/>
        </w:trPr>
        <w:tc>
          <w:tcPr>
            <w:tcW w:w="2183" w:type="pct"/>
            <w:shd w:val="clear" w:color="auto" w:fill="auto"/>
            <w:vAlign w:val="bottom"/>
          </w:tcPr>
          <w:p w14:paraId="2560F51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Srednja vrijednost promjene HAQ-DI</w:t>
            </w:r>
          </w:p>
        </w:tc>
        <w:tc>
          <w:tcPr>
            <w:tcW w:w="1359" w:type="pct"/>
            <w:shd w:val="clear" w:color="auto" w:fill="auto"/>
          </w:tcPr>
          <w:p w14:paraId="13A75FC8"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201</w:t>
            </w:r>
          </w:p>
          <w:p w14:paraId="171228C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p w14:paraId="2EB2A80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0,1</w:t>
            </w:r>
          </w:p>
        </w:tc>
        <w:tc>
          <w:tcPr>
            <w:tcW w:w="1457" w:type="pct"/>
            <w:shd w:val="clear" w:color="auto" w:fill="auto"/>
          </w:tcPr>
          <w:p w14:paraId="16E47FDE"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298</w:t>
            </w:r>
          </w:p>
          <w:p w14:paraId="570A1607"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p w14:paraId="38FBF517"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-0,4</w:t>
            </w:r>
            <w:r w:rsidRPr="001C3C2B">
              <w:rPr>
                <w:rFonts w:ascii="Times New Roman" w:eastAsia="Times New Roman" w:hAnsi="Times New Roman" w:cs="Times New Roman"/>
                <w:vertAlign w:val="superscript"/>
                <w:lang w:val="sr-Latn-ME"/>
              </w:rPr>
              <w:t>***</w:t>
            </w:r>
          </w:p>
        </w:tc>
      </w:tr>
      <w:tr w:rsidR="00A75B47" w:rsidRPr="003A22B9" w14:paraId="47F6A404" w14:textId="77777777" w:rsidTr="00043DF7">
        <w:trPr>
          <w:jc w:val="center"/>
        </w:trPr>
        <w:tc>
          <w:tcPr>
            <w:tcW w:w="2183" w:type="pct"/>
            <w:shd w:val="clear" w:color="auto" w:fill="auto"/>
          </w:tcPr>
          <w:p w14:paraId="69AB756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pacijenata sa HAQ-DI MCID</w:t>
            </w:r>
          </w:p>
        </w:tc>
        <w:tc>
          <w:tcPr>
            <w:tcW w:w="1359" w:type="pct"/>
            <w:shd w:val="clear" w:color="auto" w:fill="auto"/>
          </w:tcPr>
          <w:p w14:paraId="71C51EBA"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20%</w:t>
            </w:r>
          </w:p>
        </w:tc>
        <w:tc>
          <w:tcPr>
            <w:tcW w:w="1457" w:type="pct"/>
            <w:shd w:val="clear" w:color="auto" w:fill="auto"/>
          </w:tcPr>
          <w:p w14:paraId="3238CBFE"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51%</w:t>
            </w:r>
          </w:p>
        </w:tc>
      </w:tr>
      <w:tr w:rsidR="00A75B47" w:rsidRPr="003A22B9" w14:paraId="4625D548" w14:textId="77777777" w:rsidTr="00043DF7">
        <w:trPr>
          <w:jc w:val="center"/>
        </w:trPr>
        <w:tc>
          <w:tcPr>
            <w:tcW w:w="2183" w:type="pct"/>
            <w:shd w:val="clear" w:color="auto" w:fill="auto"/>
          </w:tcPr>
          <w:p w14:paraId="5BFF180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Srednja vrijednost promjene FACIT-T</w:t>
            </w:r>
          </w:p>
        </w:tc>
        <w:tc>
          <w:tcPr>
            <w:tcW w:w="1359" w:type="pct"/>
            <w:shd w:val="clear" w:color="auto" w:fill="auto"/>
          </w:tcPr>
          <w:p w14:paraId="64489D1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-0,5%</w:t>
            </w:r>
          </w:p>
        </w:tc>
        <w:tc>
          <w:tcPr>
            <w:tcW w:w="1457" w:type="pct"/>
            <w:shd w:val="clear" w:color="auto" w:fill="auto"/>
          </w:tcPr>
          <w:p w14:paraId="50BEE36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-9,1</w:t>
            </w:r>
            <w:r w:rsidRPr="001C3C2B">
              <w:rPr>
                <w:rFonts w:ascii="Times New Roman" w:eastAsia="Times New Roman" w:hAnsi="Times New Roman" w:cs="Times New Roman"/>
                <w:vertAlign w:val="superscript"/>
                <w:lang w:val="sr-Latn-ME"/>
              </w:rPr>
              <w:t>***</w:t>
            </w:r>
          </w:p>
        </w:tc>
      </w:tr>
      <w:tr w:rsidR="00A75B47" w:rsidRPr="003A22B9" w14:paraId="0B3478A6" w14:textId="77777777" w:rsidTr="00043DF7">
        <w:trPr>
          <w:jc w:val="center"/>
        </w:trPr>
        <w:tc>
          <w:tcPr>
            <w:tcW w:w="2183" w:type="pct"/>
            <w:shd w:val="clear" w:color="auto" w:fill="auto"/>
          </w:tcPr>
          <w:p w14:paraId="34740B3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2DF119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2B2110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Srednja vrijednost promene SF-36 PHS</w:t>
            </w:r>
            <w:r w:rsidRPr="003A22B9" w:rsidDel="00943554">
              <w:rPr>
                <w:rFonts w:ascii="Times New Roman" w:eastAsia="Times New Roman" w:hAnsi="Times New Roman" w:cs="Times New Roman"/>
                <w:lang w:val="sr-Latn-ME"/>
              </w:rPr>
              <w:t xml:space="preserve"> </w:t>
            </w:r>
          </w:p>
        </w:tc>
        <w:tc>
          <w:tcPr>
            <w:tcW w:w="1359" w:type="pct"/>
            <w:shd w:val="clear" w:color="auto" w:fill="auto"/>
          </w:tcPr>
          <w:p w14:paraId="24438D6A"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n = 197</w:t>
            </w:r>
          </w:p>
          <w:p w14:paraId="4E94CF8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p w14:paraId="3DE98A50"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0,9</w:t>
            </w:r>
          </w:p>
        </w:tc>
        <w:tc>
          <w:tcPr>
            <w:tcW w:w="1457" w:type="pct"/>
            <w:shd w:val="clear" w:color="auto" w:fill="auto"/>
          </w:tcPr>
          <w:p w14:paraId="436C01F8" w14:textId="78A79826" w:rsidR="00A75B47" w:rsidRPr="003A22B9" w:rsidRDefault="00E1230F"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Pr>
                <w:rFonts w:ascii="Times New Roman" w:eastAsia="Times New Roman" w:hAnsi="Times New Roman" w:cs="Times New Roman"/>
                <w:color w:val="000000"/>
                <w:lang w:val="sr-Latn-ME"/>
              </w:rPr>
              <w:t xml:space="preserve">n </w:t>
            </w:r>
            <w:r w:rsidR="00A75B47" w:rsidRPr="003A22B9">
              <w:rPr>
                <w:rFonts w:ascii="Times New Roman" w:eastAsia="Times New Roman" w:hAnsi="Times New Roman" w:cs="Times New Roman"/>
                <w:color w:val="000000"/>
                <w:lang w:val="sr-Latn-ME"/>
              </w:rPr>
              <w:t>=</w:t>
            </w:r>
            <w:r>
              <w:rPr>
                <w:rFonts w:ascii="Times New Roman" w:eastAsia="Times New Roman" w:hAnsi="Times New Roman" w:cs="Times New Roman"/>
                <w:color w:val="000000"/>
                <w:lang w:val="sr-Latn-ME"/>
              </w:rPr>
              <w:t xml:space="preserve"> </w:t>
            </w:r>
            <w:r w:rsidR="00A75B47" w:rsidRPr="003A22B9">
              <w:rPr>
                <w:rFonts w:ascii="Times New Roman" w:eastAsia="Times New Roman" w:hAnsi="Times New Roman" w:cs="Times New Roman"/>
                <w:color w:val="000000"/>
                <w:lang w:val="sr-Latn-ME"/>
              </w:rPr>
              <w:t>294</w:t>
            </w:r>
          </w:p>
          <w:p w14:paraId="219457F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p w14:paraId="52FE920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5,8</w:t>
            </w:r>
            <w:r w:rsidRPr="001C3C2B">
              <w:rPr>
                <w:rFonts w:ascii="Times New Roman" w:eastAsia="Times New Roman" w:hAnsi="Times New Roman" w:cs="Times New Roman"/>
                <w:vertAlign w:val="superscript"/>
                <w:lang w:val="sr-Latn-ME"/>
              </w:rPr>
              <w:t>***</w:t>
            </w:r>
          </w:p>
        </w:tc>
      </w:tr>
      <w:tr w:rsidR="00A75B47" w:rsidRPr="003A22B9" w14:paraId="20867CEC" w14:textId="77777777" w:rsidTr="00043DF7">
        <w:trPr>
          <w:jc w:val="center"/>
        </w:trPr>
        <w:tc>
          <w:tcPr>
            <w:tcW w:w="2183" w:type="pct"/>
            <w:shd w:val="clear" w:color="auto" w:fill="auto"/>
          </w:tcPr>
          <w:p w14:paraId="77053FEF"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 xml:space="preserve">% pacijenata sa SF-36 PHS MCID </w:t>
            </w:r>
          </w:p>
        </w:tc>
        <w:tc>
          <w:tcPr>
            <w:tcW w:w="1359" w:type="pct"/>
            <w:shd w:val="clear" w:color="auto" w:fill="auto"/>
          </w:tcPr>
          <w:p w14:paraId="1F72A68B"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13%</w:t>
            </w:r>
          </w:p>
        </w:tc>
        <w:tc>
          <w:tcPr>
            <w:tcW w:w="1457" w:type="pct"/>
            <w:shd w:val="clear" w:color="auto" w:fill="auto"/>
          </w:tcPr>
          <w:p w14:paraId="0C6BD99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48%</w:t>
            </w:r>
            <w:r w:rsidRPr="001C3C2B">
              <w:rPr>
                <w:rFonts w:ascii="Times New Roman" w:eastAsia="Times New Roman" w:hAnsi="Times New Roman" w:cs="Times New Roman"/>
                <w:vertAlign w:val="superscript"/>
                <w:lang w:val="sr-Latn-ME"/>
              </w:rPr>
              <w:t>***</w:t>
            </w:r>
          </w:p>
        </w:tc>
      </w:tr>
      <w:tr w:rsidR="00A75B47" w:rsidRPr="003A22B9" w14:paraId="49BE741C" w14:textId="77777777" w:rsidTr="00043DF7">
        <w:trPr>
          <w:jc w:val="center"/>
        </w:trPr>
        <w:tc>
          <w:tcPr>
            <w:tcW w:w="2183" w:type="pct"/>
            <w:shd w:val="clear" w:color="auto" w:fill="auto"/>
          </w:tcPr>
          <w:p w14:paraId="62733D2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Srednja vrijednost promjene SF-36 MHS</w:t>
            </w:r>
          </w:p>
        </w:tc>
        <w:tc>
          <w:tcPr>
            <w:tcW w:w="1359" w:type="pct"/>
            <w:shd w:val="clear" w:color="auto" w:fill="auto"/>
          </w:tcPr>
          <w:p w14:paraId="79FCFB3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1,3</w:t>
            </w:r>
          </w:p>
        </w:tc>
        <w:tc>
          <w:tcPr>
            <w:tcW w:w="1457" w:type="pct"/>
            <w:shd w:val="clear" w:color="auto" w:fill="auto"/>
          </w:tcPr>
          <w:p w14:paraId="793D8FB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4,7</w:t>
            </w:r>
            <w:r w:rsidRPr="001C3C2B">
              <w:rPr>
                <w:rFonts w:ascii="Times New Roman" w:eastAsia="Times New Roman" w:hAnsi="Times New Roman" w:cs="Times New Roman"/>
                <w:vertAlign w:val="superscript"/>
                <w:lang w:val="sr-Latn-ME"/>
              </w:rPr>
              <w:t>**</w:t>
            </w:r>
          </w:p>
        </w:tc>
      </w:tr>
      <w:tr w:rsidR="00A75B47" w:rsidRPr="003A22B9" w14:paraId="266825A7" w14:textId="77777777" w:rsidTr="00043DF7">
        <w:trPr>
          <w:jc w:val="center"/>
        </w:trPr>
        <w:tc>
          <w:tcPr>
            <w:tcW w:w="2183" w:type="pct"/>
            <w:shd w:val="clear" w:color="auto" w:fill="auto"/>
          </w:tcPr>
          <w:p w14:paraId="2A7924E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pacijenata sa SF-36 MHS MCID</w:t>
            </w:r>
          </w:p>
        </w:tc>
        <w:tc>
          <w:tcPr>
            <w:tcW w:w="1359" w:type="pct"/>
            <w:shd w:val="clear" w:color="auto" w:fill="auto"/>
          </w:tcPr>
          <w:p w14:paraId="048A47E8"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20%</w:t>
            </w:r>
          </w:p>
        </w:tc>
        <w:tc>
          <w:tcPr>
            <w:tcW w:w="1457" w:type="pct"/>
            <w:shd w:val="clear" w:color="auto" w:fill="auto"/>
          </w:tcPr>
          <w:p w14:paraId="47F53E69" w14:textId="42729219"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38%</w:t>
            </w:r>
            <w:r w:rsidR="00E1230F" w:rsidRPr="001C3C2B">
              <w:rPr>
                <w:rFonts w:ascii="Times New Roman" w:eastAsia="Times New Roman" w:hAnsi="Times New Roman" w:cs="Times New Roman"/>
                <w:vertAlign w:val="superscript"/>
                <w:lang w:val="sr-Latn-ME"/>
              </w:rPr>
              <w:t>*</w:t>
            </w:r>
          </w:p>
        </w:tc>
      </w:tr>
    </w:tbl>
    <w:p w14:paraId="0479338A"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†Ishod u 24. nedjelji</w:t>
      </w:r>
    </w:p>
    <w:p w14:paraId="38BAEDA1" w14:textId="5084F2A0"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Značajna razlika u odnosu na placebo u vrijeme primarnog presjeka: </w:t>
      </w:r>
      <w:r w:rsidRPr="001C3C2B">
        <w:rPr>
          <w:rFonts w:ascii="Times New Roman" w:eastAsia="Times New Roman" w:hAnsi="Times New Roman" w:cs="Times New Roman"/>
          <w:sz w:val="20"/>
          <w:szCs w:val="20"/>
          <w:vertAlign w:val="superscript"/>
          <w:lang w:val="sr-Latn-ME"/>
        </w:rPr>
        <w:t>*</w:t>
      </w:r>
      <w:r w:rsidRPr="001C3C2B">
        <w:rPr>
          <w:rFonts w:ascii="Times New Roman" w:eastAsia="Times New Roman" w:hAnsi="Times New Roman" w:cs="Times New Roman"/>
          <w:sz w:val="20"/>
          <w:szCs w:val="20"/>
          <w:lang w:val="sr-Latn-ME"/>
        </w:rPr>
        <w:t xml:space="preserve">p &lt; 0,05, </w:t>
      </w:r>
      <w:r w:rsidRPr="001C3C2B">
        <w:rPr>
          <w:rFonts w:ascii="Times New Roman" w:eastAsia="Times New Roman" w:hAnsi="Times New Roman" w:cs="Times New Roman"/>
          <w:sz w:val="20"/>
          <w:szCs w:val="20"/>
          <w:vertAlign w:val="superscript"/>
          <w:lang w:val="sr-Latn-ME"/>
        </w:rPr>
        <w:t>**</w:t>
      </w:r>
      <w:r w:rsidRPr="001C3C2B">
        <w:rPr>
          <w:rFonts w:ascii="Times New Roman" w:eastAsia="Times New Roman" w:hAnsi="Times New Roman" w:cs="Times New Roman"/>
          <w:sz w:val="20"/>
          <w:szCs w:val="20"/>
          <w:lang w:val="sr-Latn-ME"/>
        </w:rPr>
        <w:t xml:space="preserve">p &lt; 0,001, </w:t>
      </w:r>
      <w:r w:rsidRPr="001C3C2B">
        <w:rPr>
          <w:rFonts w:ascii="Times New Roman" w:eastAsia="Times New Roman" w:hAnsi="Times New Roman" w:cs="Times New Roman"/>
          <w:sz w:val="20"/>
          <w:szCs w:val="20"/>
          <w:vertAlign w:val="superscript"/>
          <w:lang w:val="sr-Latn-ME"/>
        </w:rPr>
        <w:t>***</w:t>
      </w:r>
      <w:r w:rsidRPr="001C3C2B">
        <w:rPr>
          <w:rFonts w:ascii="Times New Roman" w:eastAsia="Times New Roman" w:hAnsi="Times New Roman" w:cs="Times New Roman"/>
          <w:sz w:val="20"/>
          <w:szCs w:val="20"/>
          <w:lang w:val="sr-Latn-ME"/>
        </w:rPr>
        <w:t>p &lt; 0,0001</w:t>
      </w:r>
    </w:p>
    <w:p w14:paraId="763B11A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1C3C2B">
        <w:rPr>
          <w:rFonts w:ascii="Times New Roman" w:eastAsia="Times New Roman" w:hAnsi="Times New Roman" w:cs="Times New Roman"/>
          <w:sz w:val="20"/>
          <w:szCs w:val="20"/>
          <w:lang w:val="sr-Latn-ME"/>
        </w:rPr>
        <w:t>MCID HAQ-DI ≥ 0,22, MCID SF-36 PHS &gt; 5,42, MCID SF-36 MHS &gt; 6,33</w:t>
      </w:r>
    </w:p>
    <w:p w14:paraId="5322120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5D1AA43B"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Efikasnost kod pacijenata seropozitivnih na antitijela (RF i/ili anti-CCP) </w:t>
      </w:r>
    </w:p>
    <w:p w14:paraId="621B57C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Pacijenti seropozitivni na reumatoidni faktor (RF) i/ili antitijela na ciklične citrulisane peptide (anti-CCP) koji su liječeni kombinacijom rituksimaba i metotreksata su pokazali bolji odgovor u poređenju sa pacijentima koji su bili negativni na oba antitijela. </w:t>
      </w:r>
    </w:p>
    <w:p w14:paraId="4E03602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28CC9D3" w14:textId="175CB1A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Efikasnost liječenja rituksimabom je bila analizirana u odnosu na status autoantitijela prije započinjanja liječenja. U 24. nedjelji, pacijenti koji su prije započinjanja terapije bili seropozitivni na RF i/ili anti-CCP imali su značajno veću vjerovatnoću postizanja ACR20 i ACR50 odgovora u poređenju sa seronegativnim pacijentima (p = 0,0312 i p = 0,0096) (Tabela 1</w:t>
      </w:r>
      <w:r w:rsidR="00F52D0D" w:rsidRPr="003A22B9">
        <w:rPr>
          <w:rFonts w:ascii="Times New Roman" w:eastAsia="Times New Roman" w:hAnsi="Times New Roman" w:cs="Times New Roman"/>
          <w:lang w:val="sr-Latn-ME"/>
        </w:rPr>
        <w:t>8</w:t>
      </w:r>
      <w:r w:rsidRPr="003A22B9">
        <w:rPr>
          <w:rFonts w:ascii="Times New Roman" w:eastAsia="Times New Roman" w:hAnsi="Times New Roman" w:cs="Times New Roman"/>
          <w:lang w:val="sr-Latn-ME"/>
        </w:rPr>
        <w:t xml:space="preserve">). Ovi nalazi su ponovljeni u 48. </w:t>
      </w:r>
      <w:r w:rsidRPr="003A22B9">
        <w:rPr>
          <w:rFonts w:ascii="Times New Roman" w:eastAsia="Times New Roman" w:hAnsi="Times New Roman" w:cs="Times New Roman"/>
          <w:lang w:val="sr-Latn-ME"/>
        </w:rPr>
        <w:lastRenderedPageBreak/>
        <w:t>nedjelji, gdje je seropozitivnost na autoantitijela takođe značajno povećavala šansu za postizanje ACR70 odgovora. U 48</w:t>
      </w:r>
      <w:r w:rsidR="00E1230F">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nedjelji seropozitivni pacijenti su imali 2-3 puta veću šansu za postizanje ACR odgovora u odnosu na seronegativne pacijente. Seropozitivni pacijenti su imali i značajno veće smanjenje indeksa DAS28-ESR u poređenju sa seronegativnim pacijentima (Slika 1).</w:t>
      </w:r>
    </w:p>
    <w:p w14:paraId="1E27A80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266D30F" w14:textId="36970A92"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C76EE5" w:rsidRPr="003A22B9">
        <w:rPr>
          <w:rFonts w:ascii="Times New Roman" w:eastAsia="Times New Roman" w:hAnsi="Times New Roman" w:cs="Times New Roman"/>
          <w:b/>
          <w:lang w:val="sr-Latn-ME"/>
        </w:rPr>
        <w:t>8</w:t>
      </w:r>
      <w:r w:rsidRPr="003A22B9">
        <w:rPr>
          <w:rFonts w:ascii="Times New Roman" w:eastAsia="Times New Roman" w:hAnsi="Times New Roman" w:cs="Times New Roman"/>
          <w:b/>
          <w:lang w:val="sr-Latn-ME"/>
        </w:rPr>
        <w:tab/>
        <w:t>Pregled efikasnosti u odnosu na status autoantitijela prije započinjanja terapije</w:t>
      </w:r>
    </w:p>
    <w:p w14:paraId="6DBBEC92" w14:textId="77777777" w:rsidR="00A75B47" w:rsidRPr="003A22B9" w:rsidRDefault="00A75B47" w:rsidP="00BD335F">
      <w:pPr>
        <w:spacing w:after="0" w:line="240" w:lineRule="auto"/>
        <w:jc w:val="center"/>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1463"/>
        <w:gridCol w:w="1794"/>
        <w:gridCol w:w="1780"/>
        <w:gridCol w:w="1794"/>
      </w:tblGrid>
      <w:tr w:rsidR="00A75B47" w:rsidRPr="003A22B9" w14:paraId="216A4E7D" w14:textId="77777777" w:rsidTr="00043DF7">
        <w:trPr>
          <w:jc w:val="center"/>
        </w:trPr>
        <w:tc>
          <w:tcPr>
            <w:tcW w:w="2238" w:type="dxa"/>
            <w:shd w:val="clear" w:color="auto" w:fill="auto"/>
          </w:tcPr>
          <w:p w14:paraId="5D6F7C4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3259" w:type="dxa"/>
            <w:gridSpan w:val="2"/>
            <w:shd w:val="clear" w:color="auto" w:fill="auto"/>
          </w:tcPr>
          <w:p w14:paraId="18FF5E2D"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24. nedjelja</w:t>
            </w:r>
          </w:p>
        </w:tc>
        <w:tc>
          <w:tcPr>
            <w:tcW w:w="3578" w:type="dxa"/>
            <w:gridSpan w:val="2"/>
            <w:shd w:val="clear" w:color="auto" w:fill="auto"/>
          </w:tcPr>
          <w:p w14:paraId="17CCA889"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48. nedjelja</w:t>
            </w:r>
          </w:p>
        </w:tc>
      </w:tr>
      <w:tr w:rsidR="00A75B47" w:rsidRPr="003A22B9" w14:paraId="07BA6092" w14:textId="77777777" w:rsidTr="00043DF7">
        <w:trPr>
          <w:jc w:val="center"/>
        </w:trPr>
        <w:tc>
          <w:tcPr>
            <w:tcW w:w="2238" w:type="dxa"/>
            <w:shd w:val="clear" w:color="auto" w:fill="auto"/>
          </w:tcPr>
          <w:p w14:paraId="0651C62A"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1463" w:type="dxa"/>
            <w:shd w:val="clear" w:color="auto" w:fill="auto"/>
          </w:tcPr>
          <w:p w14:paraId="0A2BE7F1"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Seropozitivni (n=514)</w:t>
            </w:r>
          </w:p>
        </w:tc>
        <w:tc>
          <w:tcPr>
            <w:tcW w:w="1796" w:type="dxa"/>
            <w:shd w:val="clear" w:color="auto" w:fill="auto"/>
          </w:tcPr>
          <w:p w14:paraId="516DC23F"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Seronegativni (n=106)</w:t>
            </w:r>
          </w:p>
        </w:tc>
        <w:tc>
          <w:tcPr>
            <w:tcW w:w="1782" w:type="dxa"/>
            <w:shd w:val="clear" w:color="auto" w:fill="auto"/>
          </w:tcPr>
          <w:p w14:paraId="7AC1BF7A"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Seropozitivni (n=506)</w:t>
            </w:r>
          </w:p>
        </w:tc>
        <w:tc>
          <w:tcPr>
            <w:tcW w:w="1796" w:type="dxa"/>
            <w:shd w:val="clear" w:color="auto" w:fill="auto"/>
          </w:tcPr>
          <w:p w14:paraId="75DBAE4B" w14:textId="77777777" w:rsidR="00A75B47" w:rsidRPr="003A22B9" w:rsidRDefault="00A75B47" w:rsidP="003D78F5">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Seronegativni (n=101)</w:t>
            </w:r>
          </w:p>
        </w:tc>
      </w:tr>
      <w:tr w:rsidR="00A75B47" w:rsidRPr="003A22B9" w14:paraId="298DDA76" w14:textId="77777777" w:rsidTr="00043DF7">
        <w:trPr>
          <w:jc w:val="center"/>
        </w:trPr>
        <w:tc>
          <w:tcPr>
            <w:tcW w:w="2238" w:type="dxa"/>
            <w:shd w:val="clear" w:color="auto" w:fill="auto"/>
          </w:tcPr>
          <w:p w14:paraId="1417751E"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 xml:space="preserve">ACR20 (%) </w:t>
            </w:r>
          </w:p>
        </w:tc>
        <w:tc>
          <w:tcPr>
            <w:tcW w:w="1463" w:type="dxa"/>
            <w:shd w:val="clear" w:color="auto" w:fill="auto"/>
          </w:tcPr>
          <w:p w14:paraId="62F4BC97"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62,3</w:t>
            </w:r>
            <w:r w:rsidRPr="001C3C2B">
              <w:rPr>
                <w:rFonts w:ascii="Times New Roman" w:eastAsia="Times New Roman" w:hAnsi="Times New Roman" w:cs="Times New Roman"/>
                <w:color w:val="000000"/>
                <w:vertAlign w:val="superscript"/>
                <w:lang w:val="sr-Latn-ME"/>
              </w:rPr>
              <w:t>*</w:t>
            </w:r>
          </w:p>
        </w:tc>
        <w:tc>
          <w:tcPr>
            <w:tcW w:w="1796" w:type="dxa"/>
            <w:shd w:val="clear" w:color="auto" w:fill="auto"/>
          </w:tcPr>
          <w:p w14:paraId="61F3CBA3"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50,0</w:t>
            </w:r>
          </w:p>
        </w:tc>
        <w:tc>
          <w:tcPr>
            <w:tcW w:w="1782" w:type="dxa"/>
            <w:shd w:val="clear" w:color="auto" w:fill="auto"/>
          </w:tcPr>
          <w:p w14:paraId="60D823CC"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71,1</w:t>
            </w:r>
            <w:r w:rsidRPr="001C3C2B">
              <w:rPr>
                <w:rFonts w:ascii="Times New Roman" w:eastAsia="Times New Roman" w:hAnsi="Times New Roman" w:cs="Times New Roman"/>
                <w:vertAlign w:val="superscript"/>
                <w:lang w:val="sr-Latn-ME"/>
              </w:rPr>
              <w:t>*</w:t>
            </w:r>
          </w:p>
        </w:tc>
        <w:tc>
          <w:tcPr>
            <w:tcW w:w="1796" w:type="dxa"/>
            <w:shd w:val="clear" w:color="auto" w:fill="auto"/>
          </w:tcPr>
          <w:p w14:paraId="5EE2456A"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51,5</w:t>
            </w:r>
          </w:p>
        </w:tc>
      </w:tr>
      <w:tr w:rsidR="00A75B47" w:rsidRPr="003A22B9" w14:paraId="1E372ADC" w14:textId="77777777" w:rsidTr="00043DF7">
        <w:trPr>
          <w:jc w:val="center"/>
        </w:trPr>
        <w:tc>
          <w:tcPr>
            <w:tcW w:w="2238" w:type="dxa"/>
            <w:shd w:val="clear" w:color="auto" w:fill="auto"/>
          </w:tcPr>
          <w:p w14:paraId="4202AA5F"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 xml:space="preserve">ACR50 (%) </w:t>
            </w:r>
          </w:p>
        </w:tc>
        <w:tc>
          <w:tcPr>
            <w:tcW w:w="1463" w:type="dxa"/>
            <w:shd w:val="clear" w:color="auto" w:fill="auto"/>
          </w:tcPr>
          <w:p w14:paraId="7B4EDF9E"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32,7</w:t>
            </w:r>
            <w:r w:rsidRPr="001C3C2B">
              <w:rPr>
                <w:rFonts w:ascii="Times New Roman" w:eastAsia="Times New Roman" w:hAnsi="Times New Roman" w:cs="Times New Roman"/>
                <w:vertAlign w:val="superscript"/>
                <w:lang w:val="sr-Latn-ME"/>
              </w:rPr>
              <w:t>*</w:t>
            </w:r>
          </w:p>
        </w:tc>
        <w:tc>
          <w:tcPr>
            <w:tcW w:w="1796" w:type="dxa"/>
            <w:shd w:val="clear" w:color="auto" w:fill="auto"/>
          </w:tcPr>
          <w:p w14:paraId="1BE599D3"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19,8</w:t>
            </w:r>
          </w:p>
        </w:tc>
        <w:tc>
          <w:tcPr>
            <w:tcW w:w="1782" w:type="dxa"/>
            <w:shd w:val="clear" w:color="auto" w:fill="auto"/>
          </w:tcPr>
          <w:p w14:paraId="524AFD0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44,9</w:t>
            </w:r>
            <w:r w:rsidRPr="001C3C2B">
              <w:rPr>
                <w:rFonts w:ascii="Times New Roman" w:eastAsia="Times New Roman" w:hAnsi="Times New Roman" w:cs="Times New Roman"/>
                <w:vertAlign w:val="superscript"/>
                <w:lang w:val="sr-Latn-ME"/>
              </w:rPr>
              <w:t>**</w:t>
            </w:r>
          </w:p>
        </w:tc>
        <w:tc>
          <w:tcPr>
            <w:tcW w:w="1796" w:type="dxa"/>
            <w:shd w:val="clear" w:color="auto" w:fill="auto"/>
          </w:tcPr>
          <w:p w14:paraId="21D908E6"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22,8</w:t>
            </w:r>
          </w:p>
        </w:tc>
      </w:tr>
      <w:tr w:rsidR="00A75B47" w:rsidRPr="003A22B9" w14:paraId="05991526" w14:textId="77777777" w:rsidTr="00043DF7">
        <w:trPr>
          <w:jc w:val="center"/>
        </w:trPr>
        <w:tc>
          <w:tcPr>
            <w:tcW w:w="2238" w:type="dxa"/>
            <w:shd w:val="clear" w:color="auto" w:fill="auto"/>
          </w:tcPr>
          <w:p w14:paraId="45740274"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 xml:space="preserve">ACR70 (%) </w:t>
            </w:r>
          </w:p>
        </w:tc>
        <w:tc>
          <w:tcPr>
            <w:tcW w:w="1463" w:type="dxa"/>
            <w:shd w:val="clear" w:color="auto" w:fill="auto"/>
          </w:tcPr>
          <w:p w14:paraId="0E8EEF6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12,1</w:t>
            </w:r>
          </w:p>
        </w:tc>
        <w:tc>
          <w:tcPr>
            <w:tcW w:w="1796" w:type="dxa"/>
            <w:shd w:val="clear" w:color="auto" w:fill="auto"/>
          </w:tcPr>
          <w:p w14:paraId="1C827B3D"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5,7</w:t>
            </w:r>
          </w:p>
        </w:tc>
        <w:tc>
          <w:tcPr>
            <w:tcW w:w="1782" w:type="dxa"/>
            <w:shd w:val="clear" w:color="auto" w:fill="auto"/>
          </w:tcPr>
          <w:p w14:paraId="54BE979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20,9</w:t>
            </w:r>
            <w:r w:rsidRPr="001C3C2B">
              <w:rPr>
                <w:rFonts w:ascii="Times New Roman" w:eastAsia="Times New Roman" w:hAnsi="Times New Roman" w:cs="Times New Roman"/>
                <w:vertAlign w:val="superscript"/>
                <w:lang w:val="sr-Latn-ME"/>
              </w:rPr>
              <w:t>*</w:t>
            </w:r>
          </w:p>
        </w:tc>
        <w:tc>
          <w:tcPr>
            <w:tcW w:w="1796" w:type="dxa"/>
            <w:shd w:val="clear" w:color="auto" w:fill="auto"/>
          </w:tcPr>
          <w:p w14:paraId="2EC98FA9"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6,9</w:t>
            </w:r>
          </w:p>
        </w:tc>
      </w:tr>
      <w:tr w:rsidR="00A75B47" w:rsidRPr="003A22B9" w14:paraId="0924D740" w14:textId="77777777" w:rsidTr="00043DF7">
        <w:trPr>
          <w:jc w:val="center"/>
        </w:trPr>
        <w:tc>
          <w:tcPr>
            <w:tcW w:w="2238" w:type="dxa"/>
            <w:shd w:val="clear" w:color="auto" w:fill="auto"/>
          </w:tcPr>
          <w:p w14:paraId="5CCD029C" w14:textId="77777777" w:rsidR="00A75B47" w:rsidRPr="003A22B9" w:rsidRDefault="00A75B47" w:rsidP="00A75B47">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 xml:space="preserve">EULAR odgovor (%) </w:t>
            </w:r>
          </w:p>
        </w:tc>
        <w:tc>
          <w:tcPr>
            <w:tcW w:w="1463" w:type="dxa"/>
            <w:shd w:val="clear" w:color="auto" w:fill="auto"/>
          </w:tcPr>
          <w:p w14:paraId="3FE9F02A"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74,8</w:t>
            </w:r>
            <w:r w:rsidRPr="001C3C2B">
              <w:rPr>
                <w:rFonts w:ascii="Times New Roman" w:eastAsia="Times New Roman" w:hAnsi="Times New Roman" w:cs="Times New Roman"/>
                <w:vertAlign w:val="superscript"/>
                <w:lang w:val="sr-Latn-ME"/>
              </w:rPr>
              <w:t>*</w:t>
            </w:r>
          </w:p>
        </w:tc>
        <w:tc>
          <w:tcPr>
            <w:tcW w:w="1796" w:type="dxa"/>
            <w:shd w:val="clear" w:color="auto" w:fill="auto"/>
          </w:tcPr>
          <w:p w14:paraId="0CAF5EC4"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62,9</w:t>
            </w:r>
          </w:p>
        </w:tc>
        <w:tc>
          <w:tcPr>
            <w:tcW w:w="1782" w:type="dxa"/>
            <w:shd w:val="clear" w:color="auto" w:fill="auto"/>
          </w:tcPr>
          <w:p w14:paraId="3ED34112"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84,3</w:t>
            </w:r>
            <w:r w:rsidRPr="001C3C2B">
              <w:rPr>
                <w:rFonts w:ascii="Times New Roman" w:eastAsia="Times New Roman" w:hAnsi="Times New Roman" w:cs="Times New Roman"/>
                <w:vertAlign w:val="superscript"/>
                <w:lang w:val="sr-Latn-ME"/>
              </w:rPr>
              <w:t>*</w:t>
            </w:r>
          </w:p>
        </w:tc>
        <w:tc>
          <w:tcPr>
            <w:tcW w:w="1796" w:type="dxa"/>
            <w:shd w:val="clear" w:color="auto" w:fill="auto"/>
          </w:tcPr>
          <w:p w14:paraId="49742E66"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72,3</w:t>
            </w:r>
          </w:p>
        </w:tc>
      </w:tr>
      <w:tr w:rsidR="00A75B47" w:rsidRPr="003A22B9" w14:paraId="17D6C337" w14:textId="77777777" w:rsidTr="00043DF7">
        <w:trPr>
          <w:jc w:val="center"/>
        </w:trPr>
        <w:tc>
          <w:tcPr>
            <w:tcW w:w="2238" w:type="dxa"/>
            <w:shd w:val="clear" w:color="auto" w:fill="auto"/>
          </w:tcPr>
          <w:p w14:paraId="65625DB5"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Srednja vrijednost promjene DAS28-ESR indeksa</w:t>
            </w:r>
            <w:r w:rsidRPr="003A22B9">
              <w:rPr>
                <w:rFonts w:ascii="Times New Roman" w:eastAsia="Times New Roman" w:hAnsi="Times New Roman" w:cs="Times New Roman"/>
                <w:b/>
                <w:lang w:val="sr-Latn-ME"/>
              </w:rPr>
              <w:t xml:space="preserve"> </w:t>
            </w:r>
          </w:p>
        </w:tc>
        <w:tc>
          <w:tcPr>
            <w:tcW w:w="1463" w:type="dxa"/>
            <w:shd w:val="clear" w:color="auto" w:fill="auto"/>
          </w:tcPr>
          <w:p w14:paraId="09B1D015"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-1,97</w:t>
            </w:r>
            <w:r w:rsidRPr="001C3C2B">
              <w:rPr>
                <w:rFonts w:ascii="Times New Roman" w:eastAsia="Times New Roman" w:hAnsi="Times New Roman" w:cs="Times New Roman"/>
                <w:vertAlign w:val="superscript"/>
                <w:lang w:val="sr-Latn-ME"/>
              </w:rPr>
              <w:t>**</w:t>
            </w:r>
          </w:p>
        </w:tc>
        <w:tc>
          <w:tcPr>
            <w:tcW w:w="1796" w:type="dxa"/>
            <w:shd w:val="clear" w:color="auto" w:fill="auto"/>
          </w:tcPr>
          <w:p w14:paraId="05887B9E"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-1,50</w:t>
            </w:r>
          </w:p>
        </w:tc>
        <w:tc>
          <w:tcPr>
            <w:tcW w:w="1782" w:type="dxa"/>
            <w:shd w:val="clear" w:color="auto" w:fill="auto"/>
          </w:tcPr>
          <w:p w14:paraId="5FFB0289"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-2,48</w:t>
            </w:r>
            <w:r w:rsidRPr="001C3C2B">
              <w:rPr>
                <w:rFonts w:ascii="Times New Roman" w:eastAsia="Times New Roman" w:hAnsi="Times New Roman" w:cs="Times New Roman"/>
                <w:vertAlign w:val="superscript"/>
                <w:lang w:val="sr-Latn-ME"/>
              </w:rPr>
              <w:t>***</w:t>
            </w:r>
          </w:p>
        </w:tc>
        <w:tc>
          <w:tcPr>
            <w:tcW w:w="1796" w:type="dxa"/>
            <w:shd w:val="clear" w:color="auto" w:fill="auto"/>
          </w:tcPr>
          <w:p w14:paraId="3B9D2D11"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-1,72</w:t>
            </w:r>
          </w:p>
        </w:tc>
      </w:tr>
    </w:tbl>
    <w:p w14:paraId="250BC6E2" w14:textId="2279FFB4"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 xml:space="preserve">Stepeni značajnosti su definisani kao: </w:t>
      </w:r>
      <w:r w:rsidRPr="001C3C2B">
        <w:rPr>
          <w:rFonts w:ascii="Times New Roman" w:eastAsia="Times New Roman" w:hAnsi="Times New Roman" w:cs="Times New Roman"/>
          <w:sz w:val="20"/>
          <w:szCs w:val="20"/>
          <w:vertAlign w:val="superscript"/>
          <w:lang w:val="sr-Latn-ME"/>
        </w:rPr>
        <w:t>*</w:t>
      </w:r>
      <w:r w:rsidRPr="001C3C2B">
        <w:rPr>
          <w:rFonts w:ascii="Times New Roman" w:eastAsia="Times New Roman" w:hAnsi="Times New Roman" w:cs="Times New Roman"/>
          <w:sz w:val="20"/>
          <w:szCs w:val="20"/>
          <w:lang w:val="sr-Latn-ME"/>
        </w:rPr>
        <w:t xml:space="preserve">p &lt; 0,05, </w:t>
      </w:r>
      <w:r w:rsidRPr="001C3C2B">
        <w:rPr>
          <w:rFonts w:ascii="Times New Roman" w:eastAsia="Times New Roman" w:hAnsi="Times New Roman" w:cs="Times New Roman"/>
          <w:sz w:val="20"/>
          <w:szCs w:val="20"/>
          <w:vertAlign w:val="superscript"/>
          <w:lang w:val="sr-Latn-ME"/>
        </w:rPr>
        <w:t>**</w:t>
      </w:r>
      <w:r w:rsidRPr="001C3C2B">
        <w:rPr>
          <w:rFonts w:ascii="Times New Roman" w:eastAsia="Times New Roman" w:hAnsi="Times New Roman" w:cs="Times New Roman"/>
          <w:sz w:val="20"/>
          <w:szCs w:val="20"/>
          <w:lang w:val="sr-Latn-ME"/>
        </w:rPr>
        <w:t xml:space="preserve">p &lt; 0,001, </w:t>
      </w:r>
      <w:r w:rsidRPr="001C3C2B">
        <w:rPr>
          <w:rFonts w:ascii="Times New Roman" w:eastAsia="Times New Roman" w:hAnsi="Times New Roman" w:cs="Times New Roman"/>
          <w:sz w:val="20"/>
          <w:szCs w:val="20"/>
          <w:vertAlign w:val="superscript"/>
          <w:lang w:val="sr-Latn-ME"/>
        </w:rPr>
        <w:t>***</w:t>
      </w:r>
      <w:r w:rsidRPr="001C3C2B">
        <w:rPr>
          <w:rFonts w:ascii="Times New Roman" w:eastAsia="Times New Roman" w:hAnsi="Times New Roman" w:cs="Times New Roman"/>
          <w:sz w:val="20"/>
          <w:szCs w:val="20"/>
          <w:lang w:val="sr-Latn-ME"/>
        </w:rPr>
        <w:t>p &lt; 0,0001.</w:t>
      </w:r>
    </w:p>
    <w:p w14:paraId="42F27C3C" w14:textId="77777777" w:rsidR="00666D75" w:rsidRPr="003A22B9" w:rsidRDefault="00666D75" w:rsidP="00A75B47">
      <w:pPr>
        <w:spacing w:after="0" w:line="240" w:lineRule="auto"/>
        <w:ind w:left="720" w:hanging="720"/>
        <w:jc w:val="both"/>
        <w:rPr>
          <w:rFonts w:ascii="Times New Roman" w:eastAsia="Times New Roman" w:hAnsi="Times New Roman" w:cs="Times New Roman"/>
          <w:b/>
          <w:lang w:val="sr-Latn-ME"/>
        </w:rPr>
      </w:pPr>
    </w:p>
    <w:p w14:paraId="4FD9A4E4" w14:textId="74E9A882" w:rsidR="00A75B47" w:rsidRPr="003A22B9" w:rsidRDefault="00A75B47" w:rsidP="00A75B47">
      <w:pPr>
        <w:spacing w:after="0" w:line="240" w:lineRule="auto"/>
        <w:ind w:left="720" w:hanging="720"/>
        <w:jc w:val="both"/>
        <w:rPr>
          <w:rFonts w:ascii="Times New Roman" w:eastAsia="Times New Roman" w:hAnsi="Times New Roman" w:cs="Times New Roman"/>
          <w:lang w:val="sr-Latn-ME"/>
        </w:rPr>
      </w:pPr>
      <w:r w:rsidRPr="003A22B9">
        <w:rPr>
          <w:rFonts w:ascii="Times New Roman" w:eastAsia="Times New Roman" w:hAnsi="Times New Roman" w:cs="Times New Roman"/>
          <w:b/>
          <w:lang w:val="sr-Latn-ME"/>
        </w:rPr>
        <w:t>Slika 1:</w:t>
      </w:r>
      <w:r w:rsidRPr="003A22B9">
        <w:rPr>
          <w:rFonts w:ascii="Times New Roman" w:eastAsia="Times New Roman" w:hAnsi="Times New Roman" w:cs="Times New Roman"/>
          <w:b/>
          <w:lang w:val="sr-Latn-ME"/>
        </w:rPr>
        <w:tab/>
        <w:t xml:space="preserve">Promjena DAS28-ESR skora u odnosu na početne vrijednosti i u odnosu na početni status autoantitijela </w:t>
      </w:r>
    </w:p>
    <w:p w14:paraId="6B97A208" w14:textId="2DB8A67E" w:rsidR="00A75B47"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noProof/>
        </w:rPr>
        <w:drawing>
          <wp:inline distT="0" distB="0" distL="0" distR="0" wp14:anchorId="4F81E933" wp14:editId="45DC1774">
            <wp:extent cx="5727567" cy="366491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2156" cy="3667851"/>
                    </a:xfrm>
                    <a:prstGeom prst="rect">
                      <a:avLst/>
                    </a:prstGeom>
                  </pic:spPr>
                </pic:pic>
              </a:graphicData>
            </a:graphic>
          </wp:inline>
        </w:drawing>
      </w:r>
    </w:p>
    <w:p w14:paraId="1FD801AC" w14:textId="77777777" w:rsidR="00742882" w:rsidRPr="003A22B9" w:rsidRDefault="00742882" w:rsidP="00A75B47">
      <w:pPr>
        <w:spacing w:after="0" w:line="240" w:lineRule="auto"/>
        <w:jc w:val="both"/>
        <w:rPr>
          <w:rFonts w:ascii="Times New Roman" w:eastAsia="Times New Roman" w:hAnsi="Times New Roman" w:cs="Times New Roman"/>
          <w:lang w:val="sr-Latn-ME"/>
        </w:rPr>
      </w:pPr>
    </w:p>
    <w:p w14:paraId="332FF9A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Dugoročna efikasnost primjenom ponovljenih ciklusa liječenja</w:t>
      </w:r>
      <w:r w:rsidRPr="003A22B9">
        <w:rPr>
          <w:rFonts w:ascii="Times New Roman" w:eastAsia="Times New Roman" w:hAnsi="Times New Roman" w:cs="Times New Roman"/>
          <w:lang w:val="sr-Latn-ME"/>
        </w:rPr>
        <w:t xml:space="preserve"> </w:t>
      </w:r>
    </w:p>
    <w:p w14:paraId="52885E8B" w14:textId="3D5362AD"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Liječenje rituksimabom u kombinaciji sa metotreksato</w:t>
      </w:r>
      <w:r w:rsidR="00F52D0D" w:rsidRPr="003A22B9">
        <w:rPr>
          <w:rFonts w:ascii="Times New Roman" w:eastAsia="Times New Roman" w:hAnsi="Times New Roman" w:cs="Times New Roman"/>
          <w:lang w:val="sr-Latn-ME"/>
        </w:rPr>
        <w:t>m</w:t>
      </w:r>
      <w:r w:rsidRPr="003A22B9">
        <w:rPr>
          <w:rFonts w:ascii="Times New Roman" w:eastAsia="Times New Roman" w:hAnsi="Times New Roman" w:cs="Times New Roman"/>
          <w:lang w:val="sr-Latn-ME"/>
        </w:rPr>
        <w:t xml:space="preserve"> u više ciklusa imalo je za rezultat održivo poboljšanje u kliničkim znacima i simptomima reumatoidnog artritisa, prikazano ACR, DAS28-ESR i EULAR odgovorima koje je bilo evidentno u svim proučavanim populacijama pacijenata (Slika 2.). Takođe je zapaženo i održivo poboljšanje fizičke funkcije, na šta upućuje HAQ-DI index i udio pacijenata koji su postigli MCID za HAQ-DI. </w:t>
      </w:r>
    </w:p>
    <w:p w14:paraId="549FD82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3345252" w14:textId="5A19139C" w:rsidR="00A75B47" w:rsidRPr="003A22B9" w:rsidRDefault="00A75B47" w:rsidP="00BD335F">
      <w:pPr>
        <w:spacing w:after="0" w:line="240" w:lineRule="auto"/>
        <w:ind w:left="1440" w:hanging="1440"/>
        <w:jc w:val="both"/>
        <w:rPr>
          <w:rFonts w:ascii="Times New Roman" w:eastAsia="Times New Roman" w:hAnsi="Times New Roman" w:cs="Times New Roman"/>
          <w:lang w:val="sr-Latn-ME"/>
        </w:rPr>
      </w:pPr>
      <w:r w:rsidRPr="003A22B9">
        <w:rPr>
          <w:rFonts w:ascii="Times New Roman" w:eastAsia="Times New Roman" w:hAnsi="Times New Roman" w:cs="Times New Roman"/>
          <w:b/>
          <w:lang w:val="sr-Latn-ME"/>
        </w:rPr>
        <w:t>Slika 2</w:t>
      </w:r>
      <w:r w:rsidRPr="003A22B9">
        <w:rPr>
          <w:rFonts w:ascii="Times New Roman" w:eastAsia="Times New Roman" w:hAnsi="Times New Roman" w:cs="Times New Roman"/>
          <w:b/>
          <w:lang w:val="sr-Latn-ME"/>
        </w:rPr>
        <w:tab/>
        <w:t>ACR odgovori u 4 ciklusa liječenja mjereni 24 nedjelje nakon svakog ciklusa (kod pacijenta, pri posjeti) kod pacijenata sa neadekvatnim odgovorom na TNF inhibitore (n=146)</w:t>
      </w:r>
    </w:p>
    <w:p w14:paraId="5946DAD2" w14:textId="77777777" w:rsidR="00A75B47" w:rsidRPr="003A22B9" w:rsidRDefault="00A75B47" w:rsidP="00BD335F">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noProof/>
        </w:rPr>
        <w:lastRenderedPageBreak/>
        <w:drawing>
          <wp:inline distT="0" distB="0" distL="0" distR="0" wp14:anchorId="277C9363" wp14:editId="712EF30F">
            <wp:extent cx="2630839" cy="1887322"/>
            <wp:effectExtent l="0" t="0" r="0" b="0"/>
            <wp:docPr id="3" name="Picture 3" descr="Sl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4541" cy="1976064"/>
                    </a:xfrm>
                    <a:prstGeom prst="rect">
                      <a:avLst/>
                    </a:prstGeom>
                    <a:noFill/>
                    <a:ln>
                      <a:noFill/>
                    </a:ln>
                  </pic:spPr>
                </pic:pic>
              </a:graphicData>
            </a:graphic>
          </wp:inline>
        </w:drawing>
      </w:r>
    </w:p>
    <w:p w14:paraId="0E458BA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u w:val="single"/>
          <w:lang w:val="sr-Latn-ME"/>
        </w:rPr>
        <w:t>Klinički laboratorijski nalazi</w:t>
      </w:r>
      <w:r w:rsidRPr="003A22B9">
        <w:rPr>
          <w:rFonts w:ascii="Times New Roman" w:eastAsia="Times New Roman" w:hAnsi="Times New Roman" w:cs="Times New Roman"/>
          <w:lang w:val="sr-Latn-ME"/>
        </w:rPr>
        <w:t xml:space="preserve"> </w:t>
      </w:r>
    </w:p>
    <w:p w14:paraId="1D0A2AB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A1604DA" w14:textId="5836B11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Ukupno 392/3095</w:t>
      </w:r>
      <w:r w:rsidR="00742882">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(12,7%) pacijenata sa reumatoidnim artritisom na testovima je bilo pozitivno na antitijela na lijek u kliničkim studijama nakon terapije rituksimabom. Pojava antitijela na lijek nije bila povezana sa kliničkim pogoršanjem ili povećanim rizikom od reakcija na naredne infuzije kod većine pacijenata. Prisustvo antitijela na lijek može da bude povezano sa pogoršanjem reakcija na infuziju ili alergijskih reakcija nakon druge infuzije u narednim terapijskim ciklusima. </w:t>
      </w:r>
    </w:p>
    <w:p w14:paraId="29C4EC8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2B2958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u w:val="single"/>
          <w:lang w:val="sr-Latn-ME"/>
        </w:rPr>
        <w:t>Pedijatrijska populacija</w:t>
      </w:r>
      <w:r w:rsidRPr="003A22B9">
        <w:rPr>
          <w:rFonts w:ascii="Times New Roman" w:eastAsia="Times New Roman" w:hAnsi="Times New Roman" w:cs="Times New Roman"/>
          <w:lang w:val="sr-Latn-ME"/>
        </w:rPr>
        <w:t xml:space="preserve"> </w:t>
      </w:r>
    </w:p>
    <w:p w14:paraId="181FA63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137CEEB" w14:textId="4917882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Evropska agencija za ljekove izuzela je obavezu podnošenja rezultata ispitivanja rituksimaba u svim podgrupama pedijatrijske populacije sa autoimunim artritiso</w:t>
      </w:r>
      <w:r w:rsidR="00742882">
        <w:rPr>
          <w:rFonts w:ascii="Times New Roman" w:eastAsia="Times New Roman" w:hAnsi="Times New Roman" w:cs="Times New Roman"/>
          <w:lang w:val="sr-Latn-ME"/>
        </w:rPr>
        <w:t>m (v</w:t>
      </w:r>
      <w:r w:rsidRPr="003A22B9">
        <w:rPr>
          <w:rFonts w:ascii="Times New Roman" w:eastAsia="Times New Roman" w:hAnsi="Times New Roman" w:cs="Times New Roman"/>
          <w:lang w:val="sr-Latn-ME"/>
        </w:rPr>
        <w:t xml:space="preserve">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4.2. za informacije o pedijatrijskoj primjeni</w:t>
      </w:r>
      <w:r w:rsidR="00742882">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w:t>
      </w:r>
    </w:p>
    <w:p w14:paraId="2509D66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573F143" w14:textId="4A848D3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Kliničko iskustvo u liječenju granulomatoze sa poliangitisom (</w:t>
      </w:r>
      <w:r w:rsidR="004414ED" w:rsidRPr="003A22B9">
        <w:rPr>
          <w:rFonts w:ascii="Times New Roman" w:eastAsia="Times New Roman" w:hAnsi="Times New Roman" w:cs="Times New Roman"/>
          <w:u w:val="single"/>
          <w:lang w:val="sr-Latn-ME"/>
        </w:rPr>
        <w:t>GPA</w:t>
      </w:r>
      <w:r w:rsidRPr="003A22B9">
        <w:rPr>
          <w:rFonts w:ascii="Times New Roman" w:eastAsia="Times New Roman" w:hAnsi="Times New Roman" w:cs="Times New Roman"/>
          <w:u w:val="single"/>
          <w:lang w:val="sr-Latn-ME"/>
        </w:rPr>
        <w:t xml:space="preserve">) i </w:t>
      </w:r>
      <w:r w:rsidR="00742882">
        <w:rPr>
          <w:rFonts w:ascii="Times New Roman" w:eastAsia="Times New Roman" w:hAnsi="Times New Roman" w:cs="Times New Roman"/>
          <w:u w:val="single"/>
          <w:lang w:val="sr-Latn-ME"/>
        </w:rPr>
        <w:t>mikroskopskog poliangitisa (</w:t>
      </w:r>
      <w:r w:rsidR="007920C4" w:rsidRPr="003A22B9">
        <w:rPr>
          <w:rFonts w:ascii="Times New Roman" w:eastAsia="Times New Roman" w:hAnsi="Times New Roman" w:cs="Times New Roman"/>
          <w:u w:val="single"/>
          <w:lang w:val="sr-Latn-ME"/>
        </w:rPr>
        <w:t>MPA</w:t>
      </w:r>
      <w:r w:rsidR="00742882">
        <w:rPr>
          <w:rFonts w:ascii="Times New Roman" w:eastAsia="Times New Roman" w:hAnsi="Times New Roman" w:cs="Times New Roman"/>
          <w:u w:val="single"/>
          <w:lang w:val="sr-Latn-ME"/>
        </w:rPr>
        <w:t>)</w:t>
      </w:r>
    </w:p>
    <w:p w14:paraId="4BFB4CC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2BCC23D" w14:textId="3949E5A5" w:rsidR="00A75B47" w:rsidRPr="001C3C2B" w:rsidRDefault="00A75B47" w:rsidP="00A75B47">
      <w:pPr>
        <w:spacing w:after="0" w:line="240" w:lineRule="auto"/>
        <w:jc w:val="both"/>
        <w:rPr>
          <w:rFonts w:ascii="Times New Roman" w:eastAsia="Times New Roman" w:hAnsi="Times New Roman" w:cs="Times New Roman"/>
          <w:i/>
          <w:lang w:val="sr-Latn-ME"/>
        </w:rPr>
      </w:pPr>
      <w:r w:rsidRPr="001C3C2B">
        <w:rPr>
          <w:rFonts w:ascii="Times New Roman" w:eastAsia="Times New Roman" w:hAnsi="Times New Roman" w:cs="Times New Roman"/>
          <w:i/>
          <w:lang w:val="sr-Latn-ME"/>
        </w:rPr>
        <w:t>Indukcija remisije</w:t>
      </w:r>
      <w:r w:rsidR="00DC4BE5" w:rsidRPr="001C3C2B">
        <w:rPr>
          <w:rFonts w:ascii="Times New Roman" w:eastAsia="Times New Roman" w:hAnsi="Times New Roman" w:cs="Times New Roman"/>
          <w:i/>
          <w:lang w:val="sr-Latn-ME"/>
        </w:rPr>
        <w:t xml:space="preserve"> kod odraslih</w:t>
      </w:r>
    </w:p>
    <w:p w14:paraId="62FBBA24" w14:textId="77777777" w:rsidR="00F52D0D" w:rsidRPr="003A22B9" w:rsidRDefault="00F52D0D" w:rsidP="00A75B47">
      <w:pPr>
        <w:spacing w:after="0" w:line="240" w:lineRule="auto"/>
        <w:jc w:val="both"/>
        <w:rPr>
          <w:rFonts w:ascii="Times New Roman" w:eastAsia="Times New Roman" w:hAnsi="Times New Roman" w:cs="Times New Roman"/>
          <w:lang w:val="sr-Latn-ME"/>
        </w:rPr>
      </w:pPr>
    </w:p>
    <w:p w14:paraId="1E745922" w14:textId="1FFAC093" w:rsidR="00A75B47" w:rsidRPr="003A22B9" w:rsidRDefault="00611129"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GPA/MPA Studiji 1 u</w:t>
      </w:r>
      <w:r w:rsidR="00A75B47" w:rsidRPr="003A22B9">
        <w:rPr>
          <w:rFonts w:ascii="Times New Roman" w:eastAsia="Times New Roman" w:hAnsi="Times New Roman" w:cs="Times New Roman"/>
          <w:lang w:val="sr-Latn-ME"/>
        </w:rPr>
        <w:t xml:space="preserve">kupno </w:t>
      </w:r>
      <w:r w:rsidR="001E426D" w:rsidRPr="003A22B9">
        <w:rPr>
          <w:rFonts w:ascii="Times New Roman" w:eastAsia="Times New Roman" w:hAnsi="Times New Roman" w:cs="Times New Roman"/>
          <w:lang w:val="sr-Latn-ME"/>
        </w:rPr>
        <w:t xml:space="preserve">je </w:t>
      </w:r>
      <w:r w:rsidR="00A75B47" w:rsidRPr="003A22B9">
        <w:rPr>
          <w:rFonts w:ascii="Times New Roman" w:eastAsia="Times New Roman" w:hAnsi="Times New Roman" w:cs="Times New Roman"/>
          <w:lang w:val="sr-Latn-ME"/>
        </w:rPr>
        <w:t xml:space="preserve">197 pacijenata starosti 15 godina i starijih sa teškom, </w:t>
      </w:r>
      <w:r w:rsidR="00440A4A" w:rsidRPr="003A22B9">
        <w:rPr>
          <w:rFonts w:ascii="Times New Roman" w:eastAsia="Times New Roman" w:hAnsi="Times New Roman" w:cs="Times New Roman"/>
          <w:lang w:val="sr-Latn-ME"/>
        </w:rPr>
        <w:t xml:space="preserve">GPA </w:t>
      </w:r>
      <w:r w:rsidR="00A75B47" w:rsidRPr="003A22B9">
        <w:rPr>
          <w:rFonts w:ascii="Times New Roman" w:eastAsia="Times New Roman" w:hAnsi="Times New Roman" w:cs="Times New Roman"/>
          <w:lang w:val="sr-Latn-ME"/>
        </w:rPr>
        <w:t xml:space="preserve">(75%) i </w:t>
      </w:r>
      <w:r w:rsidR="00440A4A" w:rsidRPr="003A22B9">
        <w:rPr>
          <w:rFonts w:ascii="Times New Roman" w:eastAsia="Times New Roman" w:hAnsi="Times New Roman" w:cs="Times New Roman"/>
          <w:lang w:val="sr-Latn-ME"/>
        </w:rPr>
        <w:t xml:space="preserve">MPA </w:t>
      </w:r>
      <w:r w:rsidR="00A75B47" w:rsidRPr="003A22B9">
        <w:rPr>
          <w:rFonts w:ascii="Times New Roman" w:eastAsia="Times New Roman" w:hAnsi="Times New Roman" w:cs="Times New Roman"/>
          <w:lang w:val="sr-Latn-ME"/>
        </w:rPr>
        <w:t xml:space="preserve">(24%), bilo je uključeno </w:t>
      </w:r>
      <w:r w:rsidR="004A21F8" w:rsidRPr="003A22B9">
        <w:rPr>
          <w:rFonts w:ascii="Times New Roman" w:eastAsia="Times New Roman" w:hAnsi="Times New Roman" w:cs="Times New Roman"/>
          <w:lang w:val="sr-Latn-ME"/>
        </w:rPr>
        <w:t xml:space="preserve">i liječeno </w:t>
      </w:r>
      <w:r w:rsidR="00A75B47" w:rsidRPr="003A22B9">
        <w:rPr>
          <w:rFonts w:ascii="Times New Roman" w:eastAsia="Times New Roman" w:hAnsi="Times New Roman" w:cs="Times New Roman"/>
          <w:lang w:val="sr-Latn-ME"/>
        </w:rPr>
        <w:t>u aktivn</w:t>
      </w:r>
      <w:r w:rsidR="004E1952" w:rsidRPr="003A22B9">
        <w:rPr>
          <w:rFonts w:ascii="Times New Roman" w:eastAsia="Times New Roman" w:hAnsi="Times New Roman" w:cs="Times New Roman"/>
          <w:lang w:val="sr-Latn-ME"/>
        </w:rPr>
        <w:t>oj</w:t>
      </w:r>
      <w:r w:rsidR="00A75B47" w:rsidRPr="003A22B9">
        <w:rPr>
          <w:rFonts w:ascii="Times New Roman" w:eastAsia="Times New Roman" w:hAnsi="Times New Roman" w:cs="Times New Roman"/>
          <w:lang w:val="sr-Latn-ME"/>
        </w:rPr>
        <w:t xml:space="preserve"> kontrolisan</w:t>
      </w:r>
      <w:r w:rsidR="004E1952" w:rsidRPr="003A22B9">
        <w:rPr>
          <w:rFonts w:ascii="Times New Roman" w:eastAsia="Times New Roman" w:hAnsi="Times New Roman" w:cs="Times New Roman"/>
          <w:lang w:val="sr-Latn-ME"/>
        </w:rPr>
        <w:t>oj</w:t>
      </w:r>
      <w:r w:rsidR="00A75B47" w:rsidRPr="003A22B9">
        <w:rPr>
          <w:rFonts w:ascii="Times New Roman" w:eastAsia="Times New Roman" w:hAnsi="Times New Roman" w:cs="Times New Roman"/>
          <w:lang w:val="sr-Latn-ME"/>
        </w:rPr>
        <w:t>, randomizovan</w:t>
      </w:r>
      <w:r w:rsidR="004E1952" w:rsidRPr="003A22B9">
        <w:rPr>
          <w:rFonts w:ascii="Times New Roman" w:eastAsia="Times New Roman" w:hAnsi="Times New Roman" w:cs="Times New Roman"/>
          <w:lang w:val="sr-Latn-ME"/>
        </w:rPr>
        <w:t>oj</w:t>
      </w:r>
      <w:r w:rsidR="00A75B47" w:rsidRPr="003A22B9">
        <w:rPr>
          <w:rFonts w:ascii="Times New Roman" w:eastAsia="Times New Roman" w:hAnsi="Times New Roman" w:cs="Times New Roman"/>
          <w:lang w:val="sr-Latn-ME"/>
        </w:rPr>
        <w:t>, dvostruko slijep</w:t>
      </w:r>
      <w:r w:rsidR="004E1952" w:rsidRPr="003A22B9">
        <w:rPr>
          <w:rFonts w:ascii="Times New Roman" w:eastAsia="Times New Roman" w:hAnsi="Times New Roman" w:cs="Times New Roman"/>
          <w:lang w:val="sr-Latn-ME"/>
        </w:rPr>
        <w:t>oj</w:t>
      </w:r>
      <w:r w:rsidR="00A75B47" w:rsidRPr="003A22B9">
        <w:rPr>
          <w:rFonts w:ascii="Times New Roman" w:eastAsia="Times New Roman" w:hAnsi="Times New Roman" w:cs="Times New Roman"/>
          <w:lang w:val="sr-Latn-ME"/>
        </w:rPr>
        <w:t>, multicentričn</w:t>
      </w:r>
      <w:r w:rsidR="004E1952" w:rsidRPr="003A22B9">
        <w:rPr>
          <w:rFonts w:ascii="Times New Roman" w:eastAsia="Times New Roman" w:hAnsi="Times New Roman" w:cs="Times New Roman"/>
          <w:lang w:val="sr-Latn-ME"/>
        </w:rPr>
        <w:t>oj</w:t>
      </w:r>
      <w:r w:rsidR="00A75B47" w:rsidRPr="003A22B9">
        <w:rPr>
          <w:rFonts w:ascii="Times New Roman" w:eastAsia="Times New Roman" w:hAnsi="Times New Roman" w:cs="Times New Roman"/>
          <w:lang w:val="sr-Latn-ME"/>
        </w:rPr>
        <w:t xml:space="preserve"> studij</w:t>
      </w:r>
      <w:r w:rsidR="004E1952" w:rsidRPr="003A22B9">
        <w:rPr>
          <w:rFonts w:ascii="Times New Roman" w:eastAsia="Times New Roman" w:hAnsi="Times New Roman" w:cs="Times New Roman"/>
          <w:lang w:val="sr-Latn-ME"/>
        </w:rPr>
        <w:t>i</w:t>
      </w:r>
      <w:r w:rsidR="00A75B47" w:rsidRPr="003A22B9">
        <w:rPr>
          <w:rFonts w:ascii="Times New Roman" w:eastAsia="Times New Roman" w:hAnsi="Times New Roman" w:cs="Times New Roman"/>
          <w:lang w:val="sr-Latn-ME"/>
        </w:rPr>
        <w:t xml:space="preserve"> neinferiornosti. </w:t>
      </w:r>
    </w:p>
    <w:p w14:paraId="708C1EF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A8C70EC" w14:textId="6744EC9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Pacijenti su randomizovani u odnosu 1:1 da primaju ili oralni ciklofosfamid svakoga dana (2 mg/kg/dan) tokom 3-6 mjeseci ili rituksimab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jednom nedjeljno tokom 4 nedjelje. Svi pacijenti u grupi sa ciklofosfamidom primali su azatioprin kao terapiju održavanja tokom perioda praćenja. Pacijenti u obje grupe su tokom 1 do 3 dana primali pulsnu intravensku (IV) terapiju metil prednizolonom u dozi od 1000 mg na dan (ili drugi glukokortikoid u ekvivalentnoj dozi), nakon čega su primali oralni prednizon (1</w:t>
      </w:r>
      <w:r w:rsidR="00742882">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mg/kg/dan, ne više od 80 mg/dan). Smanjenje doze prednizona trebalo je da se završi 6 mjeseci nakon otpočinjanja primjene ispitivanog lijeka. </w:t>
      </w:r>
    </w:p>
    <w:p w14:paraId="08D4F85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D48A71A" w14:textId="71BA7B5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Primarni cilj bio je postizanje kompletne remisije nakon 6 mjeseci, koja je definisana kao BVAS/WG indeks 0 (</w:t>
      </w:r>
      <w:r w:rsidRPr="003A22B9">
        <w:rPr>
          <w:rFonts w:ascii="Times New Roman" w:eastAsia="Times New Roman" w:hAnsi="Times New Roman" w:cs="Times New Roman"/>
          <w:i/>
          <w:lang w:val="sr-Latn-ME"/>
        </w:rPr>
        <w:t>Birmingham Vasculitis Activity Score</w:t>
      </w:r>
      <w:r w:rsidRPr="003A22B9">
        <w:rPr>
          <w:rFonts w:ascii="Times New Roman" w:eastAsia="Times New Roman" w:hAnsi="Times New Roman" w:cs="Times New Roman"/>
          <w:lang w:val="sr-Latn-ME"/>
        </w:rPr>
        <w:t xml:space="preserve"> za Wegenerovu granulomatozu) i bez terapije glukokortikoidima. Prethodno definisana granica ne-inferiornosti za razliku između terapija bila je 20%. Studija je pokazala ne-inferiornost rituksimaba u odnosu na ciklofosfamid za postizanje potpune remisije nakon 6 mjeseci (Tabela 1</w:t>
      </w:r>
      <w:r w:rsidR="00094BFF" w:rsidRPr="003A22B9">
        <w:rPr>
          <w:rFonts w:ascii="Times New Roman" w:eastAsia="Times New Roman" w:hAnsi="Times New Roman" w:cs="Times New Roman"/>
          <w:lang w:val="sr-Latn-ME"/>
        </w:rPr>
        <w:t>9</w:t>
      </w:r>
      <w:r w:rsidRPr="003A22B9">
        <w:rPr>
          <w:rFonts w:ascii="Times New Roman" w:eastAsia="Times New Roman" w:hAnsi="Times New Roman" w:cs="Times New Roman"/>
          <w:lang w:val="sr-Latn-ME"/>
        </w:rPr>
        <w:t xml:space="preserve">). </w:t>
      </w:r>
    </w:p>
    <w:p w14:paraId="173F8DC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C2FC6F6" w14:textId="1A1A1AA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Efikasnost je uočena i kod pacijenata koji su novodijagnostikovani i kod pacijenata sa relapsom bolesti (Tabela </w:t>
      </w:r>
      <w:r w:rsidR="00EE34B6" w:rsidRPr="003A22B9">
        <w:rPr>
          <w:rFonts w:ascii="Times New Roman" w:eastAsia="Times New Roman" w:hAnsi="Times New Roman" w:cs="Times New Roman"/>
          <w:lang w:val="sr-Latn-ME"/>
        </w:rPr>
        <w:t>20</w:t>
      </w:r>
      <w:r w:rsidRPr="003A22B9">
        <w:rPr>
          <w:rFonts w:ascii="Times New Roman" w:eastAsia="Times New Roman" w:hAnsi="Times New Roman" w:cs="Times New Roman"/>
          <w:lang w:val="sr-Latn-ME"/>
        </w:rPr>
        <w:t xml:space="preserve">). </w:t>
      </w:r>
    </w:p>
    <w:p w14:paraId="35691177" w14:textId="77777777" w:rsidR="005562E3" w:rsidRPr="003A22B9" w:rsidRDefault="005562E3" w:rsidP="00A75B47">
      <w:pPr>
        <w:spacing w:after="0" w:line="240" w:lineRule="auto"/>
        <w:jc w:val="both"/>
        <w:rPr>
          <w:rFonts w:ascii="Times New Roman" w:eastAsia="Times New Roman" w:hAnsi="Times New Roman" w:cs="Times New Roman"/>
          <w:lang w:val="sr-Latn-ME"/>
        </w:rPr>
      </w:pPr>
    </w:p>
    <w:p w14:paraId="1ACFC72B" w14:textId="767C9FE0" w:rsidR="00A75B47" w:rsidRPr="003A22B9" w:rsidRDefault="00A75B47" w:rsidP="00A75B47">
      <w:pPr>
        <w:spacing w:after="0" w:line="240" w:lineRule="auto"/>
        <w:ind w:left="1440" w:hanging="1440"/>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Tabela 1</w:t>
      </w:r>
      <w:r w:rsidR="00561572" w:rsidRPr="003A22B9">
        <w:rPr>
          <w:rFonts w:ascii="Times New Roman" w:eastAsia="Times New Roman" w:hAnsi="Times New Roman" w:cs="Times New Roman"/>
          <w:b/>
          <w:lang w:val="sr-Latn-ME"/>
        </w:rPr>
        <w:t>9</w:t>
      </w:r>
      <w:r w:rsidRPr="003A22B9">
        <w:rPr>
          <w:rFonts w:ascii="Times New Roman" w:eastAsia="Times New Roman" w:hAnsi="Times New Roman" w:cs="Times New Roman"/>
          <w:b/>
          <w:lang w:val="sr-Latn-ME"/>
        </w:rPr>
        <w:tab/>
        <w:t xml:space="preserve">Procenat </w:t>
      </w:r>
      <w:r w:rsidR="00EE34B6" w:rsidRPr="003A22B9">
        <w:rPr>
          <w:rFonts w:ascii="Times New Roman" w:eastAsia="Times New Roman" w:hAnsi="Times New Roman" w:cs="Times New Roman"/>
          <w:b/>
          <w:lang w:val="sr-Latn-ME"/>
        </w:rPr>
        <w:t xml:space="preserve">odraslih </w:t>
      </w:r>
      <w:r w:rsidRPr="003A22B9">
        <w:rPr>
          <w:rFonts w:ascii="Times New Roman" w:eastAsia="Times New Roman" w:hAnsi="Times New Roman" w:cs="Times New Roman"/>
          <w:b/>
          <w:lang w:val="sr-Latn-ME"/>
        </w:rPr>
        <w:t>pacijenata koji su postigli potpunu remisiju nakon 6 mjeseci (populacija sa namjerom liječenja [ITT] *)</w:t>
      </w:r>
    </w:p>
    <w:p w14:paraId="3018744B"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2268"/>
        <w:gridCol w:w="2308"/>
        <w:gridCol w:w="2320"/>
      </w:tblGrid>
      <w:tr w:rsidR="00A75B47" w:rsidRPr="003A22B9" w14:paraId="4F76EA26" w14:textId="77777777" w:rsidTr="00043DF7">
        <w:tc>
          <w:tcPr>
            <w:tcW w:w="2463" w:type="dxa"/>
            <w:shd w:val="clear" w:color="auto" w:fill="auto"/>
          </w:tcPr>
          <w:p w14:paraId="3532398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c>
        <w:tc>
          <w:tcPr>
            <w:tcW w:w="2464" w:type="dxa"/>
            <w:shd w:val="clear" w:color="auto" w:fill="auto"/>
          </w:tcPr>
          <w:p w14:paraId="62D52F61"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Rituksimab</w:t>
            </w:r>
          </w:p>
          <w:p w14:paraId="27877F72"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 = 99)</w:t>
            </w:r>
          </w:p>
        </w:tc>
        <w:tc>
          <w:tcPr>
            <w:tcW w:w="2464" w:type="dxa"/>
            <w:shd w:val="clear" w:color="auto" w:fill="auto"/>
          </w:tcPr>
          <w:p w14:paraId="1430FEC6"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Ciklofosfamid</w:t>
            </w:r>
          </w:p>
          <w:p w14:paraId="36AABAE9"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 = 98)</w:t>
            </w:r>
          </w:p>
        </w:tc>
        <w:tc>
          <w:tcPr>
            <w:tcW w:w="2464" w:type="dxa"/>
            <w:shd w:val="clear" w:color="auto" w:fill="auto"/>
          </w:tcPr>
          <w:p w14:paraId="4ED15356"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Razlika u terapiji Rituksimab –Ciklofosfamid)</w:t>
            </w:r>
          </w:p>
        </w:tc>
      </w:tr>
      <w:tr w:rsidR="00A75B47" w:rsidRPr="003A22B9" w14:paraId="39D5651B" w14:textId="77777777" w:rsidTr="00043DF7">
        <w:trPr>
          <w:trHeight w:val="890"/>
        </w:trPr>
        <w:tc>
          <w:tcPr>
            <w:tcW w:w="2463" w:type="dxa"/>
            <w:shd w:val="clear" w:color="auto" w:fill="auto"/>
            <w:vAlign w:val="center"/>
          </w:tcPr>
          <w:p w14:paraId="2001A0D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Stopa</w:t>
            </w:r>
          </w:p>
        </w:tc>
        <w:tc>
          <w:tcPr>
            <w:tcW w:w="2464" w:type="dxa"/>
            <w:shd w:val="clear" w:color="auto" w:fill="auto"/>
            <w:vAlign w:val="center"/>
          </w:tcPr>
          <w:p w14:paraId="7983A381"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63,6%</w:t>
            </w:r>
          </w:p>
        </w:tc>
        <w:tc>
          <w:tcPr>
            <w:tcW w:w="2464" w:type="dxa"/>
            <w:shd w:val="clear" w:color="auto" w:fill="auto"/>
            <w:vAlign w:val="center"/>
          </w:tcPr>
          <w:p w14:paraId="4A24786F"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53,1%</w:t>
            </w:r>
          </w:p>
          <w:p w14:paraId="742D1BCE" w14:textId="77777777" w:rsidR="00A75B47" w:rsidRPr="003A22B9" w:rsidRDefault="00A75B47" w:rsidP="003D78F5">
            <w:pPr>
              <w:spacing w:after="0" w:line="240" w:lineRule="auto"/>
              <w:jc w:val="center"/>
              <w:rPr>
                <w:rFonts w:ascii="Times New Roman" w:eastAsia="Times New Roman" w:hAnsi="Times New Roman" w:cs="Times New Roman"/>
                <w:lang w:val="sr-Latn-ME"/>
              </w:rPr>
            </w:pPr>
          </w:p>
        </w:tc>
        <w:tc>
          <w:tcPr>
            <w:tcW w:w="2464" w:type="dxa"/>
            <w:shd w:val="clear" w:color="auto" w:fill="auto"/>
            <w:vAlign w:val="center"/>
          </w:tcPr>
          <w:p w14:paraId="019093BE" w14:textId="77777777" w:rsidR="00A75B47" w:rsidRPr="003A22B9" w:rsidRDefault="00A75B47" w:rsidP="003D78F5">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10,6%</w:t>
            </w:r>
          </w:p>
          <w:p w14:paraId="228094B3" w14:textId="77777777" w:rsidR="00A75B47" w:rsidRPr="003A22B9" w:rsidRDefault="00A75B47" w:rsidP="003D78F5">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95,1%</w:t>
            </w:r>
            <w:r w:rsidRPr="001C3C2B">
              <w:rPr>
                <w:rFonts w:ascii="Times New Roman" w:eastAsia="Times New Roman" w:hAnsi="Times New Roman" w:cs="Times New Roman"/>
                <w:vertAlign w:val="superscript"/>
                <w:lang w:val="sr-Latn-ME"/>
              </w:rPr>
              <w:t>b</w:t>
            </w:r>
            <w:r w:rsidRPr="003A22B9">
              <w:rPr>
                <w:rFonts w:ascii="Times New Roman" w:eastAsia="Times New Roman" w:hAnsi="Times New Roman" w:cs="Times New Roman"/>
                <w:lang w:val="sr-Latn-ME"/>
              </w:rPr>
              <w:t xml:space="preserve"> CI (-3,2%, 24,3%)</w:t>
            </w:r>
            <w:r w:rsidRPr="003A22B9">
              <w:rPr>
                <w:rFonts w:ascii="Times New Roman" w:eastAsia="Times New Roman" w:hAnsi="Times New Roman" w:cs="Times New Roman"/>
                <w:vertAlign w:val="superscript"/>
                <w:lang w:val="sr-Latn-ME"/>
              </w:rPr>
              <w:t>a</w:t>
            </w:r>
          </w:p>
        </w:tc>
      </w:tr>
      <w:tr w:rsidR="00A75B47" w:rsidRPr="003A22B9" w14:paraId="101CBD76" w14:textId="77777777" w:rsidTr="00043DF7">
        <w:tc>
          <w:tcPr>
            <w:tcW w:w="9855" w:type="dxa"/>
            <w:gridSpan w:val="4"/>
            <w:shd w:val="clear" w:color="auto" w:fill="auto"/>
          </w:tcPr>
          <w:p w14:paraId="4A948620" w14:textId="77777777" w:rsidR="00A75B47" w:rsidRPr="001C3C2B" w:rsidRDefault="00A75B47" w:rsidP="00A75B47">
            <w:pPr>
              <w:numPr>
                <w:ilvl w:val="0"/>
                <w:numId w:val="19"/>
              </w:numPr>
              <w:tabs>
                <w:tab w:val="left" w:pos="284"/>
              </w:tabs>
              <w:spacing w:after="0" w:line="240" w:lineRule="auto"/>
              <w:contextualSpacing/>
              <w:jc w:val="both"/>
              <w:rPr>
                <w:rFonts w:ascii="Times New Roman" w:eastAsia="Calibri" w:hAnsi="Times New Roman" w:cs="Times New Roman"/>
                <w:sz w:val="20"/>
                <w:szCs w:val="20"/>
                <w:lang w:val="sr-Latn-ME"/>
              </w:rPr>
            </w:pPr>
            <w:r w:rsidRPr="001C3C2B">
              <w:rPr>
                <w:rFonts w:ascii="Times New Roman" w:eastAsia="Calibri" w:hAnsi="Times New Roman" w:cs="Times New Roman"/>
                <w:sz w:val="20"/>
                <w:szCs w:val="20"/>
                <w:lang w:val="sr-Latn-ME"/>
              </w:rPr>
              <w:t>CI = interval povjerenja</w:t>
            </w:r>
          </w:p>
          <w:p w14:paraId="3EEA5C88" w14:textId="77777777" w:rsidR="00A75B47" w:rsidRPr="001C3C2B" w:rsidRDefault="00A75B47" w:rsidP="00A75B47">
            <w:pPr>
              <w:numPr>
                <w:ilvl w:val="0"/>
                <w:numId w:val="19"/>
              </w:numPr>
              <w:tabs>
                <w:tab w:val="left" w:pos="284"/>
              </w:tabs>
              <w:spacing w:after="0" w:line="240" w:lineRule="auto"/>
              <w:contextualSpacing/>
              <w:jc w:val="both"/>
              <w:rPr>
                <w:rFonts w:ascii="Times New Roman" w:eastAsia="Calibri" w:hAnsi="Times New Roman" w:cs="Times New Roman"/>
                <w:sz w:val="20"/>
                <w:szCs w:val="20"/>
                <w:lang w:val="sr-Latn-ME"/>
              </w:rPr>
            </w:pPr>
            <w:r w:rsidRPr="001C3C2B">
              <w:rPr>
                <w:rFonts w:ascii="Times New Roman" w:eastAsia="Calibri" w:hAnsi="Times New Roman" w:cs="Times New Roman"/>
                <w:sz w:val="20"/>
                <w:szCs w:val="20"/>
                <w:lang w:val="sr-Latn-ME"/>
              </w:rPr>
              <w:t>*Pretpostavka najgoreg slučaja</w:t>
            </w:r>
          </w:p>
          <w:p w14:paraId="3FEC9E41" w14:textId="77777777" w:rsidR="00A75B47" w:rsidRPr="001C3C2B" w:rsidRDefault="00A75B47" w:rsidP="00A75B47">
            <w:pPr>
              <w:spacing w:after="0" w:line="240" w:lineRule="auto"/>
              <w:ind w:left="45"/>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vertAlign w:val="superscript"/>
                <w:lang w:val="sr-Latn-ME"/>
              </w:rPr>
              <w:t xml:space="preserve">a </w:t>
            </w:r>
            <w:r w:rsidRPr="001C3C2B">
              <w:rPr>
                <w:rFonts w:ascii="Times New Roman" w:eastAsia="Times New Roman" w:hAnsi="Times New Roman" w:cs="Times New Roman"/>
                <w:sz w:val="20"/>
                <w:szCs w:val="20"/>
                <w:lang w:val="sr-Latn-ME"/>
              </w:rPr>
              <w:t>ne-inferiornost je dokazana jer je donja granica (− 3,2%) veća od prethodne definisane granice ne-inferiornosti (− 20%)</w:t>
            </w:r>
          </w:p>
          <w:p w14:paraId="737FFD13" w14:textId="77777777" w:rsidR="00A75B47" w:rsidRPr="003A22B9" w:rsidRDefault="00A75B47" w:rsidP="00A75B47">
            <w:pPr>
              <w:spacing w:after="0" w:line="240" w:lineRule="auto"/>
              <w:ind w:left="45"/>
              <w:jc w:val="both"/>
              <w:rPr>
                <w:rFonts w:ascii="Times New Roman" w:eastAsia="Times New Roman" w:hAnsi="Times New Roman" w:cs="Times New Roman"/>
                <w:lang w:val="sr-Latn-ME"/>
              </w:rPr>
            </w:pPr>
            <w:r w:rsidRPr="001C3C2B">
              <w:rPr>
                <w:rFonts w:ascii="Times New Roman" w:eastAsia="Times New Roman" w:hAnsi="Times New Roman" w:cs="Times New Roman"/>
                <w:sz w:val="20"/>
                <w:szCs w:val="20"/>
                <w:vertAlign w:val="superscript"/>
                <w:lang w:val="sr-Latn-ME"/>
              </w:rPr>
              <w:t xml:space="preserve">b </w:t>
            </w:r>
            <w:r w:rsidRPr="001C3C2B">
              <w:rPr>
                <w:rFonts w:ascii="Times New Roman" w:eastAsia="Times New Roman" w:hAnsi="Times New Roman" w:cs="Times New Roman"/>
                <w:sz w:val="20"/>
                <w:szCs w:val="20"/>
                <w:lang w:val="sr-Latn-ME"/>
              </w:rPr>
              <w:t>Interval povjerenja od 95,1% odražava dodatni alfa od 0,001 koji uzima u obzir privremenu analizu efikasnosti.</w:t>
            </w:r>
          </w:p>
        </w:tc>
      </w:tr>
    </w:tbl>
    <w:p w14:paraId="399D1F9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BD11DB9" w14:textId="260E4B3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Tabela </w:t>
      </w:r>
      <w:r w:rsidR="00EE18F2" w:rsidRPr="003A22B9">
        <w:rPr>
          <w:rFonts w:ascii="Times New Roman" w:eastAsia="Times New Roman" w:hAnsi="Times New Roman" w:cs="Times New Roman"/>
          <w:b/>
          <w:lang w:val="sr-Latn-ME"/>
        </w:rPr>
        <w:t>20</w:t>
      </w:r>
      <w:r w:rsidRPr="003A22B9">
        <w:rPr>
          <w:rFonts w:ascii="Times New Roman" w:eastAsia="Times New Roman" w:hAnsi="Times New Roman" w:cs="Times New Roman"/>
          <w:b/>
          <w:lang w:val="sr-Latn-ME"/>
        </w:rPr>
        <w:t xml:space="preserve"> Potpuna remisija nakon 6 mjeseci prema statusu bolesti </w:t>
      </w:r>
    </w:p>
    <w:p w14:paraId="006E1B73"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1"/>
        <w:gridCol w:w="2216"/>
        <w:gridCol w:w="2266"/>
        <w:gridCol w:w="2158"/>
      </w:tblGrid>
      <w:tr w:rsidR="00A75B47" w:rsidRPr="003A22B9" w14:paraId="18132332" w14:textId="77777777" w:rsidTr="00043DF7">
        <w:tc>
          <w:tcPr>
            <w:tcW w:w="2463" w:type="dxa"/>
            <w:shd w:val="clear" w:color="auto" w:fill="auto"/>
          </w:tcPr>
          <w:p w14:paraId="1B1FCB12"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tc>
        <w:tc>
          <w:tcPr>
            <w:tcW w:w="2464" w:type="dxa"/>
            <w:shd w:val="clear" w:color="auto" w:fill="auto"/>
          </w:tcPr>
          <w:p w14:paraId="2DBE1F2C"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Rituksimab</w:t>
            </w:r>
          </w:p>
        </w:tc>
        <w:tc>
          <w:tcPr>
            <w:tcW w:w="2464" w:type="dxa"/>
            <w:shd w:val="clear" w:color="auto" w:fill="auto"/>
          </w:tcPr>
          <w:p w14:paraId="71BEB1B6"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Ciklofosfamid</w:t>
            </w:r>
          </w:p>
        </w:tc>
        <w:tc>
          <w:tcPr>
            <w:tcW w:w="2464" w:type="dxa"/>
            <w:shd w:val="clear" w:color="auto" w:fill="auto"/>
          </w:tcPr>
          <w:p w14:paraId="3BB489B1" w14:textId="77777777" w:rsidR="00A75B47" w:rsidRPr="003A22B9" w:rsidRDefault="00A75B47" w:rsidP="001C3C2B">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Razlika (CI95%)</w:t>
            </w:r>
          </w:p>
        </w:tc>
      </w:tr>
      <w:tr w:rsidR="00A75B47" w:rsidRPr="003A22B9" w14:paraId="7DE2F53D" w14:textId="77777777" w:rsidTr="00043DF7">
        <w:tc>
          <w:tcPr>
            <w:tcW w:w="2463" w:type="dxa"/>
            <w:shd w:val="clear" w:color="auto" w:fill="auto"/>
          </w:tcPr>
          <w:p w14:paraId="3139EB1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Svi pacijenti</w:t>
            </w:r>
          </w:p>
          <w:p w14:paraId="15FD88FC"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3A7CF008"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Novodijagnostikovani</w:t>
            </w:r>
          </w:p>
          <w:p w14:paraId="66113D7E"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p>
          <w:p w14:paraId="3E70FBC4"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Relaps</w:t>
            </w:r>
          </w:p>
        </w:tc>
        <w:tc>
          <w:tcPr>
            <w:tcW w:w="2464" w:type="dxa"/>
            <w:shd w:val="clear" w:color="auto" w:fill="auto"/>
          </w:tcPr>
          <w:p w14:paraId="0F7764C0"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n=99</w:t>
            </w:r>
          </w:p>
          <w:p w14:paraId="7260C55B"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05802953"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n=48</w:t>
            </w:r>
          </w:p>
          <w:p w14:paraId="20BE12F8"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36EA8850" w14:textId="77777777" w:rsidR="00A75B47" w:rsidRPr="003A22B9" w:rsidRDefault="00A75B47" w:rsidP="0050168C">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n=51</w:t>
            </w:r>
          </w:p>
        </w:tc>
        <w:tc>
          <w:tcPr>
            <w:tcW w:w="2464" w:type="dxa"/>
            <w:shd w:val="clear" w:color="auto" w:fill="auto"/>
          </w:tcPr>
          <w:p w14:paraId="5E7C4532"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n=98</w:t>
            </w:r>
          </w:p>
          <w:p w14:paraId="60776ABA"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60463A0F"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n=48</w:t>
            </w:r>
          </w:p>
          <w:p w14:paraId="012E3F26"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p>
          <w:p w14:paraId="66394548" w14:textId="77777777" w:rsidR="00A75B47" w:rsidRPr="003A22B9" w:rsidRDefault="00A75B47" w:rsidP="0050168C">
            <w:pPr>
              <w:spacing w:after="0" w:line="240" w:lineRule="auto"/>
              <w:jc w:val="center"/>
              <w:rPr>
                <w:rFonts w:ascii="Times New Roman" w:eastAsia="Times New Roman" w:hAnsi="Times New Roman" w:cs="Times New Roman"/>
                <w:b/>
                <w:lang w:val="sr-Latn-ME"/>
              </w:rPr>
            </w:pPr>
            <w:r w:rsidRPr="003A22B9">
              <w:rPr>
                <w:rFonts w:ascii="Times New Roman" w:eastAsia="Times New Roman" w:hAnsi="Times New Roman" w:cs="Times New Roman"/>
                <w:lang w:val="sr-Latn-ME"/>
              </w:rPr>
              <w:t>n=50</w:t>
            </w:r>
          </w:p>
        </w:tc>
        <w:tc>
          <w:tcPr>
            <w:tcW w:w="2464" w:type="dxa"/>
            <w:shd w:val="clear" w:color="auto" w:fill="auto"/>
          </w:tcPr>
          <w:p w14:paraId="3E23C901" w14:textId="77777777" w:rsidR="00A75B47" w:rsidRPr="003A22B9" w:rsidRDefault="00A75B47" w:rsidP="0050168C">
            <w:pPr>
              <w:spacing w:after="0" w:line="240" w:lineRule="auto"/>
              <w:jc w:val="center"/>
              <w:rPr>
                <w:rFonts w:ascii="Times New Roman" w:eastAsia="Times New Roman" w:hAnsi="Times New Roman" w:cs="Times New Roman"/>
                <w:b/>
                <w:lang w:val="sr-Latn-ME"/>
              </w:rPr>
            </w:pPr>
          </w:p>
        </w:tc>
      </w:tr>
      <w:tr w:rsidR="00A75B47" w:rsidRPr="003A22B9" w14:paraId="6D20EC10" w14:textId="77777777" w:rsidTr="00043DF7">
        <w:tc>
          <w:tcPr>
            <w:tcW w:w="9855" w:type="dxa"/>
            <w:gridSpan w:val="4"/>
            <w:shd w:val="clear" w:color="auto" w:fill="auto"/>
          </w:tcPr>
          <w:p w14:paraId="06E7291D" w14:textId="77777777" w:rsidR="00A75B47" w:rsidRPr="003A22B9" w:rsidRDefault="00A75B47" w:rsidP="001C3C2B">
            <w:pPr>
              <w:spacing w:after="0" w:line="240" w:lineRule="auto"/>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Potpuna remisija</w:t>
            </w:r>
          </w:p>
        </w:tc>
      </w:tr>
      <w:tr w:rsidR="00A75B47" w:rsidRPr="003A22B9" w14:paraId="7E8608F4" w14:textId="77777777" w:rsidTr="00043DF7">
        <w:trPr>
          <w:trHeight w:val="306"/>
        </w:trPr>
        <w:tc>
          <w:tcPr>
            <w:tcW w:w="2463" w:type="dxa"/>
            <w:shd w:val="clear" w:color="auto" w:fill="auto"/>
          </w:tcPr>
          <w:p w14:paraId="230D1A4D"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Svi pacijenti</w:t>
            </w:r>
          </w:p>
        </w:tc>
        <w:tc>
          <w:tcPr>
            <w:tcW w:w="2464" w:type="dxa"/>
            <w:shd w:val="clear" w:color="auto" w:fill="auto"/>
          </w:tcPr>
          <w:p w14:paraId="48B6B272"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63,6%</w:t>
            </w:r>
          </w:p>
        </w:tc>
        <w:tc>
          <w:tcPr>
            <w:tcW w:w="2464" w:type="dxa"/>
            <w:shd w:val="clear" w:color="auto" w:fill="auto"/>
          </w:tcPr>
          <w:p w14:paraId="23E89B47" w14:textId="77777777"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53,1%</w:t>
            </w:r>
          </w:p>
        </w:tc>
        <w:tc>
          <w:tcPr>
            <w:tcW w:w="2464" w:type="dxa"/>
            <w:shd w:val="clear" w:color="auto" w:fill="auto"/>
          </w:tcPr>
          <w:p w14:paraId="2D99C0CB" w14:textId="26CFCDD6"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10,6% (-3,2</w:t>
            </w:r>
            <w:r w:rsidR="00742882">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24,3)</w:t>
            </w:r>
          </w:p>
        </w:tc>
      </w:tr>
      <w:tr w:rsidR="00A75B47" w:rsidRPr="003A22B9" w14:paraId="7909C5C0" w14:textId="77777777" w:rsidTr="00043DF7">
        <w:trPr>
          <w:trHeight w:val="306"/>
        </w:trPr>
        <w:tc>
          <w:tcPr>
            <w:tcW w:w="2463" w:type="dxa"/>
            <w:shd w:val="clear" w:color="auto" w:fill="auto"/>
          </w:tcPr>
          <w:p w14:paraId="77127757"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Novodijagnostikovani</w:t>
            </w:r>
          </w:p>
        </w:tc>
        <w:tc>
          <w:tcPr>
            <w:tcW w:w="2464" w:type="dxa"/>
            <w:shd w:val="clear" w:color="auto" w:fill="auto"/>
          </w:tcPr>
          <w:p w14:paraId="1A794ACE" w14:textId="77777777"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60,4%</w:t>
            </w:r>
          </w:p>
        </w:tc>
        <w:tc>
          <w:tcPr>
            <w:tcW w:w="2464" w:type="dxa"/>
            <w:shd w:val="clear" w:color="auto" w:fill="auto"/>
          </w:tcPr>
          <w:p w14:paraId="3A37809A" w14:textId="77777777"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64,6%</w:t>
            </w:r>
          </w:p>
        </w:tc>
        <w:tc>
          <w:tcPr>
            <w:tcW w:w="2464" w:type="dxa"/>
            <w:shd w:val="clear" w:color="auto" w:fill="auto"/>
          </w:tcPr>
          <w:p w14:paraId="7E4D5D85" w14:textId="0D185A05"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-4,2% (-23,6</w:t>
            </w:r>
            <w:r w:rsidR="00742882">
              <w:rPr>
                <w:rFonts w:ascii="Times New Roman" w:eastAsia="Times New Roman" w:hAnsi="Times New Roman" w:cs="Times New Roman"/>
                <w:color w:val="000000"/>
                <w:lang w:val="sr-Latn-ME"/>
              </w:rPr>
              <w:t>;</w:t>
            </w:r>
            <w:r w:rsidRPr="003A22B9">
              <w:rPr>
                <w:rFonts w:ascii="Times New Roman" w:eastAsia="Times New Roman" w:hAnsi="Times New Roman" w:cs="Times New Roman"/>
                <w:color w:val="000000"/>
                <w:lang w:val="sr-Latn-ME"/>
              </w:rPr>
              <w:t xml:space="preserve"> 15,3)</w:t>
            </w:r>
          </w:p>
        </w:tc>
      </w:tr>
      <w:tr w:rsidR="00A75B47" w:rsidRPr="003A22B9" w14:paraId="555956EE" w14:textId="77777777" w:rsidTr="00043DF7">
        <w:trPr>
          <w:trHeight w:val="306"/>
        </w:trPr>
        <w:tc>
          <w:tcPr>
            <w:tcW w:w="2463" w:type="dxa"/>
            <w:shd w:val="clear" w:color="auto" w:fill="auto"/>
          </w:tcPr>
          <w:p w14:paraId="06F4627F" w14:textId="77777777" w:rsidR="00A75B47" w:rsidRPr="003A22B9" w:rsidRDefault="00A75B47" w:rsidP="00A75B47">
            <w:pPr>
              <w:spacing w:after="0" w:line="240" w:lineRule="auto"/>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Relaps</w:t>
            </w:r>
          </w:p>
        </w:tc>
        <w:tc>
          <w:tcPr>
            <w:tcW w:w="2464" w:type="dxa"/>
            <w:shd w:val="clear" w:color="auto" w:fill="auto"/>
          </w:tcPr>
          <w:p w14:paraId="68734C78" w14:textId="77777777"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66,7%</w:t>
            </w:r>
          </w:p>
        </w:tc>
        <w:tc>
          <w:tcPr>
            <w:tcW w:w="2464" w:type="dxa"/>
            <w:shd w:val="clear" w:color="auto" w:fill="auto"/>
          </w:tcPr>
          <w:p w14:paraId="2A49897D" w14:textId="77777777"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42,0%</w:t>
            </w:r>
          </w:p>
        </w:tc>
        <w:tc>
          <w:tcPr>
            <w:tcW w:w="2464" w:type="dxa"/>
            <w:shd w:val="clear" w:color="auto" w:fill="auto"/>
          </w:tcPr>
          <w:p w14:paraId="622C377B" w14:textId="7A422C08" w:rsidR="00A75B47" w:rsidRPr="003A22B9" w:rsidRDefault="00A75B47" w:rsidP="0050168C">
            <w:pPr>
              <w:autoSpaceDE w:val="0"/>
              <w:autoSpaceDN w:val="0"/>
              <w:adjustRightInd w:val="0"/>
              <w:spacing w:after="0" w:line="240" w:lineRule="auto"/>
              <w:jc w:val="center"/>
              <w:rPr>
                <w:rFonts w:ascii="Times New Roman" w:eastAsia="Times New Roman" w:hAnsi="Times New Roman" w:cs="Times New Roman"/>
                <w:color w:val="000000"/>
                <w:lang w:val="sr-Latn-ME"/>
              </w:rPr>
            </w:pPr>
            <w:r w:rsidRPr="003A22B9">
              <w:rPr>
                <w:rFonts w:ascii="Times New Roman" w:eastAsia="Times New Roman" w:hAnsi="Times New Roman" w:cs="Times New Roman"/>
                <w:color w:val="000000"/>
                <w:lang w:val="sr-Latn-ME"/>
              </w:rPr>
              <w:t>24,7% (5,8</w:t>
            </w:r>
            <w:r w:rsidR="00742882">
              <w:rPr>
                <w:rFonts w:ascii="Times New Roman" w:eastAsia="Times New Roman" w:hAnsi="Times New Roman" w:cs="Times New Roman"/>
                <w:color w:val="000000"/>
                <w:lang w:val="sr-Latn-ME"/>
              </w:rPr>
              <w:t>;</w:t>
            </w:r>
            <w:r w:rsidRPr="003A22B9">
              <w:rPr>
                <w:rFonts w:ascii="Times New Roman" w:eastAsia="Times New Roman" w:hAnsi="Times New Roman" w:cs="Times New Roman"/>
                <w:color w:val="000000"/>
                <w:lang w:val="sr-Latn-ME"/>
              </w:rPr>
              <w:t xml:space="preserve"> 43,6)</w:t>
            </w:r>
          </w:p>
        </w:tc>
      </w:tr>
    </w:tbl>
    <w:p w14:paraId="5F68BBDB" w14:textId="77777777" w:rsidR="00A75B47" w:rsidRPr="001C3C2B" w:rsidRDefault="00A75B47" w:rsidP="00A75B47">
      <w:pPr>
        <w:spacing w:after="0" w:line="240" w:lineRule="auto"/>
        <w:jc w:val="both"/>
        <w:rPr>
          <w:rFonts w:ascii="Times New Roman" w:eastAsia="Times New Roman" w:hAnsi="Times New Roman" w:cs="Times New Roman"/>
          <w:sz w:val="20"/>
          <w:szCs w:val="20"/>
          <w:lang w:val="sr-Latn-ME"/>
        </w:rPr>
      </w:pPr>
      <w:r w:rsidRPr="001C3C2B">
        <w:rPr>
          <w:rFonts w:ascii="Times New Roman" w:eastAsia="Times New Roman" w:hAnsi="Times New Roman" w:cs="Times New Roman"/>
          <w:sz w:val="20"/>
          <w:szCs w:val="20"/>
          <w:lang w:val="sr-Latn-ME"/>
        </w:rPr>
        <w:t>Za pacijente za koje nedostaju podaci primjenjuje se pretpostavka najgoreg slučaja</w:t>
      </w:r>
    </w:p>
    <w:p w14:paraId="4FFBA0C4"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35361BD"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Potpuna remisija nakon 12 i 18 mjeseci </w:t>
      </w:r>
    </w:p>
    <w:p w14:paraId="30D93DAB" w14:textId="16FFDDD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grupi pacijenata liječenih rituksimabom 48% pacijenata je postiglo potpunu remisiju nakon 12 mjeseci, a 39% pacijenata postiglo je potpunu remisiju nakon 18 mjeseci. Od pacijenata liječenih ciklofosfamidom (nakon čega su primali terapiju održavanja azatioprinom) njih je 39% postiglo potpunu remisiju nakon 12 mjeseci, a 33% pacijenata postiglo je potpuno remisiju nakon 18 mjeseci. Od 12. </w:t>
      </w:r>
      <w:r w:rsidR="00F52D0D" w:rsidRPr="003A22B9">
        <w:rPr>
          <w:rFonts w:ascii="Times New Roman" w:eastAsia="Times New Roman" w:hAnsi="Times New Roman" w:cs="Times New Roman"/>
          <w:lang w:val="sr-Latn-ME"/>
        </w:rPr>
        <w:t>d</w:t>
      </w:r>
      <w:r w:rsidRPr="003A22B9">
        <w:rPr>
          <w:rFonts w:ascii="Times New Roman" w:eastAsia="Times New Roman" w:hAnsi="Times New Roman" w:cs="Times New Roman"/>
          <w:lang w:val="sr-Latn-ME"/>
        </w:rPr>
        <w:t>o 18. mjesec</w:t>
      </w:r>
      <w:r w:rsidR="00F52D0D"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zabilježeno je je 8 relapsa u grupi pacijenata liječenih rituksimabom u poređenju sa 4 relapsa u grupi pacijenata liječenih ciklofosfamidom. </w:t>
      </w:r>
    </w:p>
    <w:p w14:paraId="191F90D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B03FF56" w14:textId="77777777" w:rsidR="00A75B47" w:rsidRPr="003A22B9" w:rsidRDefault="00A75B47" w:rsidP="00A75B47">
      <w:pPr>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 xml:space="preserve">Laboratorijski nalazi </w:t>
      </w:r>
    </w:p>
    <w:p w14:paraId="39903C19" w14:textId="77777777" w:rsidR="00CA5B40"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Ukupno je 23/99 (23%) pacijenata liječenih rituksimabom u studiji indukcije remisije do 18. mjeseca bilo je pozitivno na antitijela na lijek. Nijedan od 99 pacijenata u grupi sa rituksimabom nije bio pozitivan na antitijela na lijek pri randomizaciji. </w:t>
      </w:r>
    </w:p>
    <w:p w14:paraId="13677CC8" w14:textId="70EDFE8E"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Prisu</w:t>
      </w:r>
      <w:r w:rsidR="00F52D0D" w:rsidRPr="003A22B9">
        <w:rPr>
          <w:rFonts w:ascii="Times New Roman" w:eastAsia="Times New Roman" w:hAnsi="Times New Roman" w:cs="Times New Roman"/>
          <w:lang w:val="sr-Latn-ME"/>
        </w:rPr>
        <w:t>stvo</w:t>
      </w:r>
      <w:r w:rsidRPr="003A22B9">
        <w:rPr>
          <w:rFonts w:ascii="Times New Roman" w:eastAsia="Times New Roman" w:hAnsi="Times New Roman" w:cs="Times New Roman"/>
          <w:lang w:val="sr-Latn-ME"/>
        </w:rPr>
        <w:t xml:space="preserve"> antitijela na lijek nije imala primjet</w:t>
      </w:r>
      <w:r w:rsidR="00CA5B40" w:rsidRPr="003A22B9">
        <w:rPr>
          <w:rFonts w:ascii="Times New Roman" w:eastAsia="Times New Roman" w:hAnsi="Times New Roman" w:cs="Times New Roman"/>
          <w:lang w:val="sr-Latn-ME"/>
        </w:rPr>
        <w:t>an</w:t>
      </w:r>
      <w:r w:rsidRPr="003A22B9">
        <w:rPr>
          <w:rFonts w:ascii="Times New Roman" w:eastAsia="Times New Roman" w:hAnsi="Times New Roman" w:cs="Times New Roman"/>
          <w:lang w:val="sr-Latn-ME"/>
        </w:rPr>
        <w:t xml:space="preserve"> </w:t>
      </w:r>
      <w:r w:rsidR="00B67148" w:rsidRPr="003A22B9">
        <w:rPr>
          <w:rFonts w:ascii="Times New Roman" w:eastAsia="Times New Roman" w:hAnsi="Times New Roman" w:cs="Times New Roman"/>
          <w:lang w:val="sr-Latn-ME"/>
        </w:rPr>
        <w:t xml:space="preserve">trend ili </w:t>
      </w:r>
      <w:r w:rsidRPr="003A22B9">
        <w:rPr>
          <w:rFonts w:ascii="Times New Roman" w:eastAsia="Times New Roman" w:hAnsi="Times New Roman" w:cs="Times New Roman"/>
          <w:lang w:val="sr-Latn-ME"/>
        </w:rPr>
        <w:t>negativ</w:t>
      </w:r>
      <w:r w:rsidR="00CA5B40" w:rsidRPr="003A22B9">
        <w:rPr>
          <w:rFonts w:ascii="Times New Roman" w:eastAsia="Times New Roman" w:hAnsi="Times New Roman" w:cs="Times New Roman"/>
          <w:lang w:val="sr-Latn-ME"/>
        </w:rPr>
        <w:t>an</w:t>
      </w:r>
      <w:r w:rsidRPr="003A22B9">
        <w:rPr>
          <w:rFonts w:ascii="Times New Roman" w:eastAsia="Times New Roman" w:hAnsi="Times New Roman" w:cs="Times New Roman"/>
          <w:lang w:val="sr-Latn-ME"/>
        </w:rPr>
        <w:t xml:space="preserve"> ut</w:t>
      </w:r>
      <w:r w:rsidR="00B67148" w:rsidRPr="003A22B9">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caj</w:t>
      </w:r>
      <w:r w:rsidR="00B67148"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 xml:space="preserve">na bezbjednost i efikasnost u ispitivanju primjene lijeka za indukciju remisije. </w:t>
      </w:r>
    </w:p>
    <w:p w14:paraId="042AC5E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77F7AA39" w14:textId="79107B78" w:rsidR="00A75B47" w:rsidRPr="003A22B9" w:rsidRDefault="00A75B47" w:rsidP="00A75B47">
      <w:pPr>
        <w:keepNext/>
        <w:spacing w:after="0" w:line="240" w:lineRule="auto"/>
        <w:jc w:val="both"/>
        <w:rPr>
          <w:rFonts w:ascii="Times New Roman" w:eastAsia="Calibri" w:hAnsi="Times New Roman" w:cs="Times New Roman"/>
          <w:i/>
          <w:u w:val="single"/>
          <w:lang w:val="sr-Latn-ME"/>
        </w:rPr>
      </w:pPr>
      <w:r w:rsidRPr="003A22B9">
        <w:rPr>
          <w:rFonts w:ascii="Times New Roman" w:eastAsia="Calibri" w:hAnsi="Times New Roman" w:cs="Times New Roman"/>
          <w:i/>
          <w:u w:val="single"/>
          <w:lang w:val="sr-Latn-ME"/>
        </w:rPr>
        <w:t xml:space="preserve">Terapija održavanja </w:t>
      </w:r>
      <w:r w:rsidR="00050C6F" w:rsidRPr="003A22B9">
        <w:rPr>
          <w:rFonts w:ascii="Times New Roman" w:eastAsia="Calibri" w:hAnsi="Times New Roman" w:cs="Times New Roman"/>
          <w:i/>
          <w:u w:val="single"/>
          <w:lang w:val="sr-Latn-ME"/>
        </w:rPr>
        <w:t>kod odraslih</w:t>
      </w:r>
    </w:p>
    <w:p w14:paraId="734A5573" w14:textId="754B870B"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lang w:val="sr-Latn-ME"/>
        </w:rPr>
        <w:t>Ukupno 117 pacijenata (88 pacijenata sa GPA-om, 24 s MPA-om i 5 sa ANCA vaskulitisom ograničenim na bubrege) kod kojih je bolest bila u remisiji bilo je randomizovano za primanje azatioprina (59 pacijenata) ili rituksimaba (58 pacijenata) u prospektivnom, multicentričnom, kontrolisanom, otvorenom ispitivanju. Uključeni pacijenti bili su uzrasta od 21 do 75 godina i imali su novodijagnostikovanu ili relapsirajuću bolest koja je bila u potpunoj remisiji nakon liječenja glukokortikoidima u kombinaciji sa pulsnom terapijom ciklofosfamidom. Većina pacijenata</w:t>
      </w:r>
      <w:r w:rsidR="00F52D0D" w:rsidRPr="003A22B9">
        <w:rPr>
          <w:rFonts w:ascii="Times New Roman" w:eastAsia="Times New Roman" w:hAnsi="Times New Roman" w:cs="Times New Roman"/>
          <w:lang w:val="sr-Latn-ME"/>
        </w:rPr>
        <w:t xml:space="preserve"> je</w:t>
      </w:r>
      <w:r w:rsidRPr="003A22B9">
        <w:rPr>
          <w:rFonts w:ascii="Times New Roman" w:eastAsia="Times New Roman" w:hAnsi="Times New Roman" w:cs="Times New Roman"/>
          <w:lang w:val="sr-Latn-ME"/>
        </w:rPr>
        <w:t xml:space="preserve"> bila ANCA-pozitivna pri dijagnozi ili tokom bolesti i imala je histološki potvrđen nekrotizirajući vaskulitis malih krvnih sudova i klinički fenotip GPA</w:t>
      </w:r>
      <w:r w:rsidR="002262D0" w:rsidRPr="003A22B9">
        <w:rPr>
          <w:rFonts w:ascii="Times New Roman" w:eastAsia="Times New Roman" w:hAnsi="Times New Roman" w:cs="Times New Roman"/>
          <w:lang w:val="sr-Latn-ME"/>
        </w:rPr>
        <w:t xml:space="preserve"> ili </w:t>
      </w:r>
      <w:r w:rsidRPr="003A22B9">
        <w:rPr>
          <w:rFonts w:ascii="Times New Roman" w:eastAsia="Times New Roman" w:hAnsi="Times New Roman" w:cs="Times New Roman"/>
          <w:lang w:val="sr-Latn-ME"/>
        </w:rPr>
        <w:t>MPA, ANCA vaskulitis ograničen na bubrege ili oboje.</w:t>
      </w:r>
    </w:p>
    <w:p w14:paraId="05BD09A7"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4027FC4C" w14:textId="77777777" w:rsidR="00A75B47" w:rsidRPr="003A22B9" w:rsidRDefault="00A75B47" w:rsidP="00A75B47">
      <w:pPr>
        <w:tabs>
          <w:tab w:val="left" w:pos="0"/>
        </w:tabs>
        <w:spacing w:after="0" w:line="240" w:lineRule="auto"/>
        <w:ind w:firstLine="17"/>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Terapija za indukciju remisije uključivala je i.v. prednizon, koji se primjenjivao prema odluci ispitivača i kojem je kod nekih pacijenata prethodila pulsna terapija metilprednizolonom, kao i pulsnu terapiju ciklofosfamidom do postizanja remisije nakon 4 – 6 mjeseci. Nakon postizanja remisije, a najviše </w:t>
      </w:r>
      <w:r w:rsidRPr="003A22B9">
        <w:rPr>
          <w:rFonts w:ascii="Times New Roman" w:eastAsia="Times New Roman" w:hAnsi="Times New Roman" w:cs="Times New Roman"/>
          <w:lang w:val="sr-Latn-ME"/>
        </w:rPr>
        <w:lastRenderedPageBreak/>
        <w:t xml:space="preserve">mjesec dana od primjene posljednje pulsne doze ciklofosfamida, pacijenti su bili randomizovani za primanje rituksimaba (dvije i.v. infuzije od 500 mg u razmaku od dvije nedjelje [1. dana i 15. dana], a zatim 500 mg i.v. svakih 6 mjeseci tokom 18 mjeseci) ili azatioprina (primijenjenog peroralno u dozi od 2 mg/kg na dan tokom 12 mjeseci, zatim u dozi od 1,5 mg/kg na dan tokom 6 mjeseci i na kraju u dozi od 1 mg/kg na dan tokom 4 mjeseca [prekid liječenja nakon ta 22 mjeseca]). Doza prednizona postupno se smanjivala, a potom održavala na niskom nivou (približno 5 mg na dan) tokom najmanje 18 mjeseci nakon randomizacije. Odluke o postupnom smanjenju doze prednizona i prekidu njegove primjene nakon 18 mjeseci donosio je ispitivač. </w:t>
      </w:r>
    </w:p>
    <w:p w14:paraId="5906C507" w14:textId="77777777" w:rsidR="00A75B47" w:rsidRPr="003A22B9" w:rsidRDefault="00A75B47" w:rsidP="00A75B47">
      <w:pPr>
        <w:tabs>
          <w:tab w:val="left" w:pos="0"/>
        </w:tabs>
        <w:spacing w:after="0" w:line="240" w:lineRule="auto"/>
        <w:ind w:firstLine="17"/>
        <w:jc w:val="both"/>
        <w:rPr>
          <w:rFonts w:ascii="Times New Roman" w:eastAsia="Times New Roman" w:hAnsi="Times New Roman" w:cs="Times New Roman"/>
          <w:lang w:val="sr-Latn-ME"/>
        </w:rPr>
      </w:pPr>
    </w:p>
    <w:p w14:paraId="73C17A14" w14:textId="77777777" w:rsidR="00A75B47" w:rsidRPr="003A22B9" w:rsidRDefault="00A75B47" w:rsidP="00A75B47">
      <w:pPr>
        <w:tabs>
          <w:tab w:val="left" w:pos="0"/>
        </w:tabs>
        <w:spacing w:after="0" w:line="240" w:lineRule="auto"/>
        <w:ind w:firstLine="17"/>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Svi su pacijenti bili praćeni do 28. mjeseca (10 mjeseci nakon posljednje infuzije rituksimaba odnosno 6 mjeseci nakon posljednje doze azatioprina). Svi pacijenti kod kojih je broj CD4+ T-limfocita bio manji od 250/mm</w:t>
      </w:r>
      <w:r w:rsidRPr="003A22B9">
        <w:rPr>
          <w:rFonts w:ascii="Times New Roman" w:eastAsia="Times New Roman" w:hAnsi="Times New Roman" w:cs="Times New Roman"/>
          <w:vertAlign w:val="superscript"/>
          <w:lang w:val="sr-Latn-ME"/>
        </w:rPr>
        <w:t>3</w:t>
      </w:r>
      <w:r w:rsidRPr="003A22B9">
        <w:rPr>
          <w:rFonts w:ascii="Times New Roman" w:eastAsia="Times New Roman" w:hAnsi="Times New Roman" w:cs="Times New Roman"/>
          <w:lang w:val="sr-Latn-ME"/>
        </w:rPr>
        <w:t xml:space="preserve"> morali su da primaju profilaksu za pneumoniju koju uzrokuje </w:t>
      </w:r>
      <w:r w:rsidRPr="003A22B9">
        <w:rPr>
          <w:rFonts w:ascii="Times New Roman" w:eastAsia="Times New Roman" w:hAnsi="Times New Roman" w:cs="Times New Roman"/>
          <w:i/>
          <w:lang w:val="sr-Latn-ME"/>
        </w:rPr>
        <w:t>Pneumocystis jirovecii</w:t>
      </w:r>
      <w:r w:rsidRPr="003A22B9">
        <w:rPr>
          <w:rFonts w:ascii="Times New Roman" w:eastAsia="Times New Roman" w:hAnsi="Times New Roman" w:cs="Times New Roman"/>
          <w:lang w:val="sr-Latn-ME"/>
        </w:rPr>
        <w:t>.</w:t>
      </w:r>
    </w:p>
    <w:p w14:paraId="6075379E" w14:textId="77777777" w:rsidR="00A75B47" w:rsidRPr="003A22B9" w:rsidRDefault="00A75B47" w:rsidP="00A75B47">
      <w:pPr>
        <w:tabs>
          <w:tab w:val="left" w:pos="0"/>
        </w:tabs>
        <w:spacing w:after="0" w:line="240" w:lineRule="auto"/>
        <w:ind w:firstLine="17"/>
        <w:jc w:val="both"/>
        <w:rPr>
          <w:rFonts w:ascii="Times New Roman" w:eastAsia="Times New Roman" w:hAnsi="Times New Roman" w:cs="Times New Roman"/>
          <w:lang w:val="sr-Latn-ME"/>
        </w:rPr>
      </w:pPr>
    </w:p>
    <w:p w14:paraId="0BE38709" w14:textId="77777777" w:rsidR="00A75B47" w:rsidRPr="003A22B9" w:rsidRDefault="00A75B47" w:rsidP="00A75B47">
      <w:pPr>
        <w:keepNext/>
        <w:keepLines/>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Primarni cilj bio je stopa teškog relapsa u 28. mjesecu. </w:t>
      </w:r>
    </w:p>
    <w:p w14:paraId="32C0278E" w14:textId="77777777" w:rsidR="00A75B47" w:rsidRPr="003A22B9" w:rsidRDefault="00A75B47" w:rsidP="00A75B47">
      <w:pPr>
        <w:keepNext/>
        <w:keepLines/>
        <w:spacing w:after="0" w:line="240" w:lineRule="auto"/>
        <w:jc w:val="both"/>
        <w:rPr>
          <w:rFonts w:ascii="Times New Roman" w:eastAsia="Times New Roman" w:hAnsi="Times New Roman" w:cs="Times New Roman"/>
          <w:i/>
          <w:lang w:val="sr-Latn-ME"/>
        </w:rPr>
      </w:pPr>
    </w:p>
    <w:p w14:paraId="10BA50C6" w14:textId="77777777" w:rsidR="00A75B47" w:rsidRPr="003A22B9" w:rsidRDefault="00A75B47" w:rsidP="00A75B47">
      <w:pPr>
        <w:keepNext/>
        <w:keepLines/>
        <w:spacing w:after="0" w:line="240" w:lineRule="auto"/>
        <w:jc w:val="both"/>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Rezultati</w:t>
      </w:r>
    </w:p>
    <w:p w14:paraId="56B97BC4" w14:textId="38C1A523" w:rsidR="00A75B47" w:rsidRPr="003A22B9" w:rsidRDefault="00A75B47" w:rsidP="00A75B47">
      <w:pPr>
        <w:keepNext/>
        <w:keepLines/>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28. mjesecu teški je relaps (definisan kao ponovna pojava kliničkih i/ili laboratorijskih znakova aktivnosti vaskulitisa [BVAS &gt; 0] koji bi mogao dovesti do insuficijencije ili oštećenja organa odnosno ugroziti život) nastupio kod 3 pacijenta (5%) u grupi liječenoj rituksimabom i 17 pacijenata (29%) u grupi liječenoj azatioprinom (p = 0,0007). Blagi relapsi (koji nijesu bili opasni po život niti su doveli do većeg oštećenja organa) zabilježeni su kod 7 pacijenata u grupi liječenoj rituksimabom (12%) i 8 pacijenata u grupi liječenoj azatioprinom (14%). </w:t>
      </w:r>
    </w:p>
    <w:p w14:paraId="24CE051E"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EA70D7E" w14:textId="6D889BC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Kriv</w:t>
      </w:r>
      <w:r w:rsidR="00F52D0D"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xml:space="preserve"> kumulativne stope incidence pokazuju duže vrijeme do prvog teškog relapsa kod pacijenata liječenih rituksimabom. Taj trend je zapažen već u 2. mjesecu i održao se do 28. mjeseca (Slika 3). </w:t>
      </w:r>
    </w:p>
    <w:p w14:paraId="75B7AE99" w14:textId="77777777" w:rsidR="005562E3" w:rsidRPr="003A22B9" w:rsidRDefault="005562E3" w:rsidP="00A75B47">
      <w:pPr>
        <w:spacing w:after="0" w:line="240" w:lineRule="auto"/>
        <w:jc w:val="both"/>
        <w:rPr>
          <w:rFonts w:ascii="Times New Roman" w:eastAsia="Times New Roman" w:hAnsi="Times New Roman" w:cs="Times New Roman"/>
          <w:lang w:val="sr-Latn-ME"/>
        </w:rPr>
      </w:pPr>
    </w:p>
    <w:p w14:paraId="22B226EF" w14:textId="77777777" w:rsidR="00A75B47" w:rsidRPr="003A22B9" w:rsidRDefault="00A75B47" w:rsidP="00A75B47">
      <w:pPr>
        <w:keepNext/>
        <w:spacing w:after="0" w:line="240" w:lineRule="auto"/>
        <w:jc w:val="both"/>
        <w:rPr>
          <w:rFonts w:ascii="Times New Roman" w:eastAsia="Times New Roman" w:hAnsi="Times New Roman" w:cs="Times New Roman"/>
          <w:b/>
          <w:lang w:val="sr-Latn-ME" w:eastAsia="ja-JP"/>
        </w:rPr>
      </w:pPr>
      <w:r w:rsidRPr="003A22B9">
        <w:rPr>
          <w:rFonts w:ascii="Times New Roman" w:eastAsia="Times New Roman" w:hAnsi="Times New Roman" w:cs="Times New Roman"/>
          <w:b/>
          <w:lang w:val="sr-Latn-ME" w:eastAsia="ja-JP"/>
        </w:rPr>
        <w:t xml:space="preserve">Slika 3: </w:t>
      </w:r>
      <w:r w:rsidRPr="003A22B9">
        <w:rPr>
          <w:rFonts w:ascii="Times New Roman" w:eastAsia="Times New Roman" w:hAnsi="Times New Roman" w:cs="Times New Roman"/>
          <w:b/>
          <w:lang w:val="sr-Latn-ME" w:eastAsia="ja-JP"/>
        </w:rPr>
        <w:tab/>
        <w:t>Kumulativna incidencija prvog teškog relapsa kroz vrijeme</w:t>
      </w:r>
    </w:p>
    <w:p w14:paraId="278C625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FA549F8"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noProof/>
        </w:rPr>
        <mc:AlternateContent>
          <mc:Choice Requires="wps">
            <w:drawing>
              <wp:anchor distT="0" distB="0" distL="114300" distR="114300" simplePos="0" relativeHeight="251659264" behindDoc="0" locked="0" layoutInCell="1" allowOverlap="1" wp14:anchorId="312F8C33" wp14:editId="08223CD9">
                <wp:simplePos x="0" y="0"/>
                <wp:positionH relativeFrom="column">
                  <wp:posOffset>-1443752</wp:posOffset>
                </wp:positionH>
                <wp:positionV relativeFrom="paragraph">
                  <wp:posOffset>1409943</wp:posOffset>
                </wp:positionV>
                <wp:extent cx="2514160" cy="286385"/>
                <wp:effectExtent l="1037590" t="0" r="10382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1416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FC4103" w14:textId="0B44E91E" w:rsidR="00977A0E" w:rsidRPr="00025509" w:rsidRDefault="00977A0E" w:rsidP="00A75B47">
                            <w:pPr>
                              <w:jc w:val="center"/>
                            </w:pPr>
                            <w:r w:rsidRPr="00025509">
                              <w:rPr>
                                <w:sz w:val="16"/>
                                <w:szCs w:val="16"/>
                              </w:rPr>
                              <w:t>P</w:t>
                            </w:r>
                            <w:r>
                              <w:rPr>
                                <w:sz w:val="16"/>
                                <w:szCs w:val="16"/>
                              </w:rPr>
                              <w:t>rocenat pacijenat</w:t>
                            </w:r>
                            <w:r w:rsidRPr="00025509">
                              <w:rPr>
                                <w:sz w:val="16"/>
                                <w:szCs w:val="16"/>
                              </w:rPr>
                              <w:t>a s</w:t>
                            </w:r>
                            <w:r>
                              <w:rPr>
                                <w:sz w:val="16"/>
                                <w:szCs w:val="16"/>
                              </w:rPr>
                              <w:t>a</w:t>
                            </w:r>
                            <w:r w:rsidRPr="00025509">
                              <w:rPr>
                                <w:sz w:val="16"/>
                                <w:szCs w:val="16"/>
                              </w:rPr>
                              <w:t xml:space="preserve"> prvim teškim relapsom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2F8C33" id="_x0000_t202" coordsize="21600,21600" o:spt="202" path="m,l,21600r21600,l21600,xe">
                <v:stroke joinstyle="miter"/>
                <v:path gradientshapeok="t" o:connecttype="rect"/>
              </v:shapetype>
              <v:shape id="Text Box 7" o:spid="_x0000_s1026" type="#_x0000_t202" style="position:absolute;left:0;text-align:left;margin-left:-113.7pt;margin-top:111pt;width:197.95pt;height:22.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" filled="f" stroked="f" strokeweight=".5pt">
                <v:textbox style="layout-flow:vertical;mso-layout-flow-alt:bottom-to-top">
                  <w:txbxContent>
                    <w:p w14:paraId="72FC4103" w14:textId="0B44E91E" w:rsidR="00977A0E" w:rsidRPr="00025509" w:rsidRDefault="00977A0E" w:rsidP="00A75B47">
                      <w:pPr>
                        <w:jc w:val="center"/>
                      </w:pPr>
                      <w:r w:rsidRPr="00025509">
                        <w:rPr>
                          <w:sz w:val="16"/>
                          <w:szCs w:val="16"/>
                        </w:rPr>
                        <w:t>P</w:t>
                      </w:r>
                      <w:r>
                        <w:rPr>
                          <w:sz w:val="16"/>
                          <w:szCs w:val="16"/>
                        </w:rPr>
                        <w:t>rocenat pacijenat</w:t>
                      </w:r>
                      <w:r w:rsidRPr="00025509">
                        <w:rPr>
                          <w:sz w:val="16"/>
                          <w:szCs w:val="16"/>
                        </w:rPr>
                        <w:t>a s</w:t>
                      </w:r>
                      <w:r>
                        <w:rPr>
                          <w:sz w:val="16"/>
                          <w:szCs w:val="16"/>
                        </w:rPr>
                        <w:t>a</w:t>
                      </w:r>
                      <w:r w:rsidRPr="00025509">
                        <w:rPr>
                          <w:sz w:val="16"/>
                          <w:szCs w:val="16"/>
                        </w:rPr>
                        <w:t xml:space="preserve"> prvim teškim relapsom</w:t>
                      </w:r>
                    </w:p>
                  </w:txbxContent>
                </v:textbox>
              </v:shape>
            </w:pict>
          </mc:Fallback>
        </mc:AlternateContent>
      </w:r>
      <w:r w:rsidRPr="003A22B9">
        <w:rPr>
          <w:rFonts w:ascii="Times New Roman" w:eastAsia="Times New Roman" w:hAnsi="Times New Roman" w:cs="Times New Roman"/>
          <w:b/>
          <w:bCs/>
          <w:noProof/>
        </w:rPr>
        <w:drawing>
          <wp:inline distT="0" distB="0" distL="0" distR="0" wp14:anchorId="24850CC7" wp14:editId="1F47EDC2">
            <wp:extent cx="5528345" cy="315696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29373" cy="3157555"/>
                    </a:xfrm>
                    <a:prstGeom prst="rect">
                      <a:avLst/>
                    </a:prstGeom>
                  </pic:spPr>
                </pic:pic>
              </a:graphicData>
            </a:graphic>
          </wp:inline>
        </w:drawing>
      </w:r>
    </w:p>
    <w:p w14:paraId="131388F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6F790A7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2578FF8C" wp14:editId="2DF0700F">
                <wp:simplePos x="0" y="0"/>
                <wp:positionH relativeFrom="margin">
                  <wp:align>center</wp:align>
                </wp:positionH>
                <wp:positionV relativeFrom="paragraph">
                  <wp:posOffset>4252</wp:posOffset>
                </wp:positionV>
                <wp:extent cx="1833880" cy="2508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250825"/>
                        </a:xfrm>
                        <a:prstGeom prst="rect">
                          <a:avLst/>
                        </a:prstGeom>
                        <a:noFill/>
                        <a:ln w="6350">
                          <a:noFill/>
                        </a:ln>
                      </wps:spPr>
                      <wps:txbx>
                        <w:txbxContent>
                          <w:p w14:paraId="6F97B052" w14:textId="77777777" w:rsidR="00977A0E" w:rsidRDefault="00977A0E" w:rsidP="00A75B47">
                            <w:pPr>
                              <w:jc w:val="center"/>
                            </w:pPr>
                            <w:r>
                              <w:rPr>
                                <w:sz w:val="16"/>
                                <w:szCs w:val="16"/>
                              </w:rPr>
                              <w:t>Vrijeme preživljavanja (mjeseci)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78FF8C" id="Text Box 11" o:spid="_x0000_s1027" type="#_x0000_t202" style="position:absolute;left:0;text-align:left;margin-left:0;margin-top:.35pt;width:144.4pt;height:19.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" filled="f" stroked="f" strokeweight=".5pt">
                <v:textbox>
                  <w:txbxContent>
                    <w:p w14:paraId="6F97B052" w14:textId="77777777" w:rsidR="00977A0E" w:rsidRDefault="00977A0E" w:rsidP="00A75B47">
                      <w:pPr>
                        <w:jc w:val="center"/>
                      </w:pPr>
                      <w:r>
                        <w:rPr>
                          <w:sz w:val="16"/>
                          <w:szCs w:val="16"/>
                        </w:rPr>
                        <w:t>Vrijeme preživljavanja (mjeseci)</w:t>
                      </w:r>
                    </w:p>
                  </w:txbxContent>
                </v:textbox>
                <w10:wrap anchorx="margin"/>
              </v:shape>
            </w:pict>
          </mc:Fallback>
        </mc:AlternateContent>
      </w:r>
    </w:p>
    <w:p w14:paraId="11948388"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0986A059"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21"/>
        <w:gridCol w:w="522"/>
        <w:gridCol w:w="523"/>
        <w:gridCol w:w="522"/>
        <w:gridCol w:w="523"/>
        <w:gridCol w:w="523"/>
        <w:gridCol w:w="523"/>
        <w:gridCol w:w="523"/>
        <w:gridCol w:w="523"/>
        <w:gridCol w:w="523"/>
        <w:gridCol w:w="512"/>
        <w:gridCol w:w="537"/>
        <w:gridCol w:w="537"/>
        <w:gridCol w:w="509"/>
        <w:gridCol w:w="509"/>
      </w:tblGrid>
      <w:tr w:rsidR="00A75B47" w:rsidRPr="003A22B9" w14:paraId="0EB9A829" w14:textId="77777777" w:rsidTr="00043DF7">
        <w:tc>
          <w:tcPr>
            <w:tcW w:w="9061" w:type="dxa"/>
            <w:gridSpan w:val="16"/>
            <w:shd w:val="clear" w:color="auto" w:fill="auto"/>
          </w:tcPr>
          <w:p w14:paraId="0CC222B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Broj ispitanika sa teškim relapsom</w:t>
            </w:r>
          </w:p>
        </w:tc>
      </w:tr>
      <w:tr w:rsidR="007B3F68" w:rsidRPr="003A22B9" w14:paraId="2558C50F" w14:textId="77777777" w:rsidTr="00D64A2E">
        <w:tc>
          <w:tcPr>
            <w:tcW w:w="1052" w:type="dxa"/>
            <w:shd w:val="clear" w:color="auto" w:fill="auto"/>
          </w:tcPr>
          <w:p w14:paraId="0374E7C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Azatioprin</w:t>
            </w:r>
          </w:p>
        </w:tc>
        <w:tc>
          <w:tcPr>
            <w:tcW w:w="534" w:type="dxa"/>
            <w:shd w:val="clear" w:color="auto" w:fill="auto"/>
          </w:tcPr>
          <w:p w14:paraId="36ED016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c>
          <w:tcPr>
            <w:tcW w:w="534" w:type="dxa"/>
            <w:shd w:val="clear" w:color="auto" w:fill="auto"/>
          </w:tcPr>
          <w:p w14:paraId="3D5ACDA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c>
          <w:tcPr>
            <w:tcW w:w="535" w:type="dxa"/>
            <w:shd w:val="clear" w:color="auto" w:fill="auto"/>
          </w:tcPr>
          <w:p w14:paraId="5F8FD98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w:t>
            </w:r>
          </w:p>
        </w:tc>
        <w:tc>
          <w:tcPr>
            <w:tcW w:w="534" w:type="dxa"/>
            <w:shd w:val="clear" w:color="auto" w:fill="auto"/>
          </w:tcPr>
          <w:p w14:paraId="2C98FEC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w:t>
            </w:r>
          </w:p>
        </w:tc>
        <w:tc>
          <w:tcPr>
            <w:tcW w:w="535" w:type="dxa"/>
            <w:shd w:val="clear" w:color="auto" w:fill="auto"/>
          </w:tcPr>
          <w:p w14:paraId="047350B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c>
          <w:tcPr>
            <w:tcW w:w="535" w:type="dxa"/>
            <w:shd w:val="clear" w:color="auto" w:fill="auto"/>
          </w:tcPr>
          <w:p w14:paraId="56EB70D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w:t>
            </w:r>
          </w:p>
        </w:tc>
        <w:tc>
          <w:tcPr>
            <w:tcW w:w="535" w:type="dxa"/>
            <w:shd w:val="clear" w:color="auto" w:fill="auto"/>
          </w:tcPr>
          <w:p w14:paraId="2153C59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8</w:t>
            </w:r>
          </w:p>
        </w:tc>
        <w:tc>
          <w:tcPr>
            <w:tcW w:w="535" w:type="dxa"/>
            <w:shd w:val="clear" w:color="auto" w:fill="auto"/>
          </w:tcPr>
          <w:p w14:paraId="25CFE62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8</w:t>
            </w:r>
          </w:p>
        </w:tc>
        <w:tc>
          <w:tcPr>
            <w:tcW w:w="535" w:type="dxa"/>
            <w:shd w:val="clear" w:color="auto" w:fill="auto"/>
          </w:tcPr>
          <w:p w14:paraId="33BD5E2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9</w:t>
            </w:r>
          </w:p>
        </w:tc>
        <w:tc>
          <w:tcPr>
            <w:tcW w:w="535" w:type="dxa"/>
            <w:shd w:val="clear" w:color="auto" w:fill="auto"/>
          </w:tcPr>
          <w:p w14:paraId="02D0EA6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9</w:t>
            </w:r>
          </w:p>
        </w:tc>
        <w:tc>
          <w:tcPr>
            <w:tcW w:w="522" w:type="dxa"/>
            <w:shd w:val="clear" w:color="auto" w:fill="auto"/>
          </w:tcPr>
          <w:p w14:paraId="23BD907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9</w:t>
            </w:r>
          </w:p>
        </w:tc>
        <w:tc>
          <w:tcPr>
            <w:tcW w:w="551" w:type="dxa"/>
            <w:shd w:val="clear" w:color="auto" w:fill="auto"/>
          </w:tcPr>
          <w:p w14:paraId="3A5CFD2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w:t>
            </w:r>
          </w:p>
        </w:tc>
        <w:tc>
          <w:tcPr>
            <w:tcW w:w="551" w:type="dxa"/>
            <w:shd w:val="clear" w:color="auto" w:fill="auto"/>
          </w:tcPr>
          <w:p w14:paraId="1C68A7A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13</w:t>
            </w:r>
          </w:p>
        </w:tc>
        <w:tc>
          <w:tcPr>
            <w:tcW w:w="519" w:type="dxa"/>
            <w:shd w:val="clear" w:color="auto" w:fill="auto"/>
          </w:tcPr>
          <w:p w14:paraId="75F5378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15</w:t>
            </w:r>
          </w:p>
        </w:tc>
        <w:tc>
          <w:tcPr>
            <w:tcW w:w="519" w:type="dxa"/>
            <w:shd w:val="clear" w:color="auto" w:fill="auto"/>
          </w:tcPr>
          <w:p w14:paraId="5B60A2F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17</w:t>
            </w:r>
          </w:p>
        </w:tc>
      </w:tr>
      <w:tr w:rsidR="007B3F68" w:rsidRPr="003A22B9" w14:paraId="633059A4" w14:textId="77777777" w:rsidTr="00D64A2E">
        <w:tc>
          <w:tcPr>
            <w:tcW w:w="1052" w:type="dxa"/>
            <w:shd w:val="clear" w:color="auto" w:fill="auto"/>
          </w:tcPr>
          <w:p w14:paraId="598C966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Rituksimab</w:t>
            </w:r>
          </w:p>
        </w:tc>
        <w:tc>
          <w:tcPr>
            <w:tcW w:w="534" w:type="dxa"/>
            <w:shd w:val="clear" w:color="auto" w:fill="auto"/>
          </w:tcPr>
          <w:p w14:paraId="0173ECD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c>
          <w:tcPr>
            <w:tcW w:w="534" w:type="dxa"/>
            <w:shd w:val="clear" w:color="auto" w:fill="auto"/>
          </w:tcPr>
          <w:p w14:paraId="575145F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c>
          <w:tcPr>
            <w:tcW w:w="535" w:type="dxa"/>
            <w:shd w:val="clear" w:color="auto" w:fill="auto"/>
          </w:tcPr>
          <w:p w14:paraId="63F5595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c>
          <w:tcPr>
            <w:tcW w:w="534" w:type="dxa"/>
            <w:shd w:val="clear" w:color="auto" w:fill="auto"/>
          </w:tcPr>
          <w:p w14:paraId="567035C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c>
          <w:tcPr>
            <w:tcW w:w="535" w:type="dxa"/>
            <w:shd w:val="clear" w:color="auto" w:fill="auto"/>
          </w:tcPr>
          <w:p w14:paraId="29CC7D8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35" w:type="dxa"/>
            <w:shd w:val="clear" w:color="auto" w:fill="auto"/>
          </w:tcPr>
          <w:p w14:paraId="24F829D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35" w:type="dxa"/>
            <w:shd w:val="clear" w:color="auto" w:fill="auto"/>
          </w:tcPr>
          <w:p w14:paraId="5F68E9E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35" w:type="dxa"/>
            <w:shd w:val="clear" w:color="auto" w:fill="auto"/>
          </w:tcPr>
          <w:p w14:paraId="56E123F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35" w:type="dxa"/>
            <w:shd w:val="clear" w:color="auto" w:fill="auto"/>
          </w:tcPr>
          <w:p w14:paraId="162EBD8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35" w:type="dxa"/>
            <w:shd w:val="clear" w:color="auto" w:fill="auto"/>
          </w:tcPr>
          <w:p w14:paraId="1A29163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22" w:type="dxa"/>
            <w:shd w:val="clear" w:color="auto" w:fill="auto"/>
          </w:tcPr>
          <w:p w14:paraId="35453A3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51" w:type="dxa"/>
            <w:shd w:val="clear" w:color="auto" w:fill="auto"/>
          </w:tcPr>
          <w:p w14:paraId="3BD6C60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1</w:t>
            </w:r>
          </w:p>
        </w:tc>
        <w:tc>
          <w:tcPr>
            <w:tcW w:w="551" w:type="dxa"/>
            <w:shd w:val="clear" w:color="auto" w:fill="auto"/>
          </w:tcPr>
          <w:p w14:paraId="39775B3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w:t>
            </w:r>
          </w:p>
        </w:tc>
        <w:tc>
          <w:tcPr>
            <w:tcW w:w="519" w:type="dxa"/>
            <w:shd w:val="clear" w:color="auto" w:fill="auto"/>
          </w:tcPr>
          <w:p w14:paraId="32F3766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w:t>
            </w:r>
          </w:p>
        </w:tc>
        <w:tc>
          <w:tcPr>
            <w:tcW w:w="519" w:type="dxa"/>
            <w:shd w:val="clear" w:color="auto" w:fill="auto"/>
          </w:tcPr>
          <w:p w14:paraId="4111CE9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w:t>
            </w:r>
          </w:p>
        </w:tc>
      </w:tr>
      <w:tr w:rsidR="00A75B47" w:rsidRPr="003A22B9" w14:paraId="7FF2F003" w14:textId="77777777" w:rsidTr="00043DF7">
        <w:tc>
          <w:tcPr>
            <w:tcW w:w="9061" w:type="dxa"/>
            <w:gridSpan w:val="16"/>
            <w:shd w:val="clear" w:color="auto" w:fill="auto"/>
          </w:tcPr>
          <w:p w14:paraId="50EBC50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Broj ispitanika pod rizikom</w:t>
            </w:r>
          </w:p>
        </w:tc>
      </w:tr>
      <w:tr w:rsidR="007B3F68" w:rsidRPr="003A22B9" w14:paraId="42FA0E00" w14:textId="77777777" w:rsidTr="00D64A2E">
        <w:tc>
          <w:tcPr>
            <w:tcW w:w="1052" w:type="dxa"/>
            <w:shd w:val="clear" w:color="auto" w:fill="auto"/>
          </w:tcPr>
          <w:p w14:paraId="25EEAC1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Azatioprin</w:t>
            </w:r>
          </w:p>
        </w:tc>
        <w:tc>
          <w:tcPr>
            <w:tcW w:w="534" w:type="dxa"/>
            <w:shd w:val="clear" w:color="auto" w:fill="auto"/>
          </w:tcPr>
          <w:p w14:paraId="504B96C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59</w:t>
            </w:r>
          </w:p>
        </w:tc>
        <w:tc>
          <w:tcPr>
            <w:tcW w:w="534" w:type="dxa"/>
            <w:shd w:val="clear" w:color="auto" w:fill="auto"/>
          </w:tcPr>
          <w:p w14:paraId="7EE486F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56</w:t>
            </w:r>
          </w:p>
        </w:tc>
        <w:tc>
          <w:tcPr>
            <w:tcW w:w="535" w:type="dxa"/>
            <w:shd w:val="clear" w:color="auto" w:fill="auto"/>
          </w:tcPr>
          <w:p w14:paraId="201AABC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52</w:t>
            </w:r>
          </w:p>
        </w:tc>
        <w:tc>
          <w:tcPr>
            <w:tcW w:w="534" w:type="dxa"/>
            <w:shd w:val="clear" w:color="auto" w:fill="auto"/>
          </w:tcPr>
          <w:p w14:paraId="3A3D3A2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50</w:t>
            </w:r>
          </w:p>
        </w:tc>
        <w:tc>
          <w:tcPr>
            <w:tcW w:w="535" w:type="dxa"/>
            <w:shd w:val="clear" w:color="auto" w:fill="auto"/>
          </w:tcPr>
          <w:p w14:paraId="59EDA95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47</w:t>
            </w:r>
          </w:p>
        </w:tc>
        <w:tc>
          <w:tcPr>
            <w:tcW w:w="535" w:type="dxa"/>
            <w:shd w:val="clear" w:color="auto" w:fill="auto"/>
          </w:tcPr>
          <w:p w14:paraId="0D872689"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47</w:t>
            </w:r>
          </w:p>
        </w:tc>
        <w:tc>
          <w:tcPr>
            <w:tcW w:w="535" w:type="dxa"/>
            <w:shd w:val="clear" w:color="auto" w:fill="auto"/>
          </w:tcPr>
          <w:p w14:paraId="14DE0FC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44</w:t>
            </w:r>
          </w:p>
        </w:tc>
        <w:tc>
          <w:tcPr>
            <w:tcW w:w="535" w:type="dxa"/>
            <w:shd w:val="clear" w:color="auto" w:fill="auto"/>
          </w:tcPr>
          <w:p w14:paraId="260F9C4F"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44</w:t>
            </w:r>
          </w:p>
        </w:tc>
        <w:tc>
          <w:tcPr>
            <w:tcW w:w="535" w:type="dxa"/>
            <w:shd w:val="clear" w:color="auto" w:fill="auto"/>
          </w:tcPr>
          <w:p w14:paraId="3FEC4ED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42</w:t>
            </w:r>
          </w:p>
        </w:tc>
        <w:tc>
          <w:tcPr>
            <w:tcW w:w="535" w:type="dxa"/>
            <w:shd w:val="clear" w:color="auto" w:fill="auto"/>
          </w:tcPr>
          <w:p w14:paraId="6798E37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41</w:t>
            </w:r>
          </w:p>
        </w:tc>
        <w:tc>
          <w:tcPr>
            <w:tcW w:w="522" w:type="dxa"/>
            <w:shd w:val="clear" w:color="auto" w:fill="auto"/>
          </w:tcPr>
          <w:p w14:paraId="6F5B653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40</w:t>
            </w:r>
          </w:p>
        </w:tc>
        <w:tc>
          <w:tcPr>
            <w:tcW w:w="551" w:type="dxa"/>
            <w:shd w:val="clear" w:color="auto" w:fill="auto"/>
          </w:tcPr>
          <w:p w14:paraId="2047853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39</w:t>
            </w:r>
          </w:p>
        </w:tc>
        <w:tc>
          <w:tcPr>
            <w:tcW w:w="551" w:type="dxa"/>
            <w:shd w:val="clear" w:color="auto" w:fill="auto"/>
          </w:tcPr>
          <w:p w14:paraId="72CD6CE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36</w:t>
            </w:r>
          </w:p>
        </w:tc>
        <w:tc>
          <w:tcPr>
            <w:tcW w:w="519" w:type="dxa"/>
            <w:shd w:val="clear" w:color="auto" w:fill="auto"/>
          </w:tcPr>
          <w:p w14:paraId="4DD804C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34</w:t>
            </w:r>
          </w:p>
        </w:tc>
        <w:tc>
          <w:tcPr>
            <w:tcW w:w="519" w:type="dxa"/>
            <w:shd w:val="clear" w:color="auto" w:fill="auto"/>
          </w:tcPr>
          <w:p w14:paraId="733B3F5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r>
      <w:tr w:rsidR="007B3F68" w:rsidRPr="003A22B9" w14:paraId="40B07D86" w14:textId="77777777" w:rsidTr="00D64A2E">
        <w:tc>
          <w:tcPr>
            <w:tcW w:w="1052" w:type="dxa"/>
            <w:shd w:val="clear" w:color="auto" w:fill="auto"/>
          </w:tcPr>
          <w:p w14:paraId="0DF7F9B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Rituksimab</w:t>
            </w:r>
          </w:p>
        </w:tc>
        <w:tc>
          <w:tcPr>
            <w:tcW w:w="534" w:type="dxa"/>
            <w:shd w:val="clear" w:color="auto" w:fill="auto"/>
          </w:tcPr>
          <w:p w14:paraId="7D344BB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58</w:t>
            </w:r>
          </w:p>
        </w:tc>
        <w:tc>
          <w:tcPr>
            <w:tcW w:w="534" w:type="dxa"/>
            <w:shd w:val="clear" w:color="auto" w:fill="auto"/>
          </w:tcPr>
          <w:p w14:paraId="5A493140"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56</w:t>
            </w:r>
          </w:p>
        </w:tc>
        <w:tc>
          <w:tcPr>
            <w:tcW w:w="535" w:type="dxa"/>
            <w:shd w:val="clear" w:color="auto" w:fill="auto"/>
          </w:tcPr>
          <w:p w14:paraId="44F33DA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56</w:t>
            </w:r>
          </w:p>
        </w:tc>
        <w:tc>
          <w:tcPr>
            <w:tcW w:w="534" w:type="dxa"/>
            <w:shd w:val="clear" w:color="auto" w:fill="auto"/>
          </w:tcPr>
          <w:p w14:paraId="42908AC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56</w:t>
            </w:r>
          </w:p>
        </w:tc>
        <w:tc>
          <w:tcPr>
            <w:tcW w:w="535" w:type="dxa"/>
            <w:shd w:val="clear" w:color="auto" w:fill="auto"/>
          </w:tcPr>
          <w:p w14:paraId="3E29CC9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55</w:t>
            </w:r>
          </w:p>
        </w:tc>
        <w:tc>
          <w:tcPr>
            <w:tcW w:w="535" w:type="dxa"/>
            <w:shd w:val="clear" w:color="auto" w:fill="auto"/>
          </w:tcPr>
          <w:p w14:paraId="649A88D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35" w:type="dxa"/>
            <w:shd w:val="clear" w:color="auto" w:fill="auto"/>
          </w:tcPr>
          <w:p w14:paraId="1780344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35" w:type="dxa"/>
            <w:shd w:val="clear" w:color="auto" w:fill="auto"/>
          </w:tcPr>
          <w:p w14:paraId="2C61C2DC"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35" w:type="dxa"/>
            <w:shd w:val="clear" w:color="auto" w:fill="auto"/>
          </w:tcPr>
          <w:p w14:paraId="3D7D479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35" w:type="dxa"/>
            <w:shd w:val="clear" w:color="auto" w:fill="auto"/>
          </w:tcPr>
          <w:p w14:paraId="0A2F50C2"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22" w:type="dxa"/>
            <w:shd w:val="clear" w:color="auto" w:fill="auto"/>
          </w:tcPr>
          <w:p w14:paraId="5439D61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51" w:type="dxa"/>
            <w:shd w:val="clear" w:color="auto" w:fill="auto"/>
          </w:tcPr>
          <w:p w14:paraId="49D7830E"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54</w:t>
            </w:r>
          </w:p>
        </w:tc>
        <w:tc>
          <w:tcPr>
            <w:tcW w:w="551" w:type="dxa"/>
            <w:shd w:val="clear" w:color="auto" w:fill="auto"/>
          </w:tcPr>
          <w:p w14:paraId="6BCB813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52</w:t>
            </w:r>
          </w:p>
        </w:tc>
        <w:tc>
          <w:tcPr>
            <w:tcW w:w="519" w:type="dxa"/>
            <w:shd w:val="clear" w:color="auto" w:fill="auto"/>
          </w:tcPr>
          <w:p w14:paraId="7929A9C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50</w:t>
            </w:r>
          </w:p>
        </w:tc>
        <w:tc>
          <w:tcPr>
            <w:tcW w:w="519" w:type="dxa"/>
            <w:shd w:val="clear" w:color="auto" w:fill="auto"/>
          </w:tcPr>
          <w:p w14:paraId="4E62D5CA"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0</w:t>
            </w:r>
          </w:p>
        </w:tc>
      </w:tr>
    </w:tbl>
    <w:p w14:paraId="4DCC610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4B36A9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Napomena: ako kod pacijenta nije zabilježen nijedan događaj, bili su cenzurisani u 28. mjesecu. </w:t>
      </w:r>
    </w:p>
    <w:p w14:paraId="620BFD6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105A2F4" w14:textId="77777777" w:rsidR="00A75B47" w:rsidRPr="003A22B9" w:rsidRDefault="00A75B47" w:rsidP="00A75B47">
      <w:pPr>
        <w:keepNext/>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i/>
          <w:lang w:val="sr-Latn-ME"/>
        </w:rPr>
        <w:t>Laboratorijski nalazi</w:t>
      </w:r>
    </w:p>
    <w:p w14:paraId="2CA41B84" w14:textId="43D82A79" w:rsidR="002F5E8C" w:rsidRPr="003A22B9" w:rsidRDefault="00A75B47" w:rsidP="002F5E8C">
      <w:pPr>
        <w:spacing w:after="0" w:line="240" w:lineRule="auto"/>
        <w:jc w:val="both"/>
        <w:outlineLvl w:val="0"/>
        <w:rPr>
          <w:rFonts w:ascii="Times New Roman" w:eastAsia="Times New Roman" w:hAnsi="Times New Roman" w:cs="Times New Roman"/>
          <w:lang w:val="sr-Latn-ME"/>
        </w:rPr>
      </w:pPr>
      <w:r w:rsidRPr="003A22B9">
        <w:rPr>
          <w:rFonts w:ascii="Times New Roman" w:eastAsia="Times New Roman" w:hAnsi="Times New Roman" w:cs="Times New Roman"/>
          <w:color w:val="000000"/>
          <w:shd w:val="clear" w:color="auto" w:fill="FFFFFF"/>
          <w:lang w:val="sr-Latn-ME"/>
        </w:rPr>
        <w:t xml:space="preserve">Kod ukupno 6/34 (18%) pacijenata liječenih rituksimabom u sklopu kliničkog ispitivanja terapije održavanja razvila su se antitijela na lijek. </w:t>
      </w:r>
      <w:r w:rsidRPr="003A22B9">
        <w:rPr>
          <w:rFonts w:ascii="Times New Roman" w:eastAsia="Times New Roman" w:hAnsi="Times New Roman" w:cs="Times New Roman"/>
          <w:lang w:val="sr-Latn-ME"/>
        </w:rPr>
        <w:t>Prisu</w:t>
      </w:r>
      <w:r w:rsidR="00F52D0D" w:rsidRPr="003A22B9">
        <w:rPr>
          <w:rFonts w:ascii="Times New Roman" w:eastAsia="Times New Roman" w:hAnsi="Times New Roman" w:cs="Times New Roman"/>
          <w:lang w:val="sr-Latn-ME"/>
        </w:rPr>
        <w:t>stvo</w:t>
      </w:r>
      <w:r w:rsidRPr="003A22B9">
        <w:rPr>
          <w:rFonts w:ascii="Times New Roman" w:eastAsia="Times New Roman" w:hAnsi="Times New Roman" w:cs="Times New Roman"/>
          <w:lang w:val="sr-Latn-ME"/>
        </w:rPr>
        <w:t xml:space="preserve"> antitijela na lijek nije imal</w:t>
      </w:r>
      <w:r w:rsidR="00F52D0D" w:rsidRPr="003A22B9">
        <w:rPr>
          <w:rFonts w:ascii="Times New Roman" w:eastAsia="Times New Roman" w:hAnsi="Times New Roman" w:cs="Times New Roman"/>
          <w:lang w:val="sr-Latn-ME"/>
        </w:rPr>
        <w:t>o</w:t>
      </w:r>
      <w:r w:rsidRPr="003A22B9">
        <w:rPr>
          <w:rFonts w:ascii="Times New Roman" w:eastAsia="Times New Roman" w:hAnsi="Times New Roman" w:cs="Times New Roman"/>
          <w:lang w:val="sr-Latn-ME"/>
        </w:rPr>
        <w:t xml:space="preserve"> primjetnog negativnog uticaja na bezbjednost i efikasnost u kliničkom ispitivanju terapije održavanja</w:t>
      </w:r>
      <w:r w:rsidR="00AC44D4" w:rsidRPr="003A22B9">
        <w:rPr>
          <w:rFonts w:ascii="Times New Roman" w:eastAsia="Times New Roman" w:hAnsi="Times New Roman" w:cs="Times New Roman"/>
          <w:color w:val="000000"/>
          <w:shd w:val="clear" w:color="auto" w:fill="FFFFFF"/>
          <w:lang w:val="sr-Latn-ME"/>
        </w:rPr>
        <w:t>.</w:t>
      </w:r>
    </w:p>
    <w:p w14:paraId="487A7C23" w14:textId="77777777" w:rsidR="002F5E8C" w:rsidRPr="001C3C2B" w:rsidRDefault="002F5E8C" w:rsidP="002F5E8C">
      <w:pPr>
        <w:spacing w:after="0" w:line="240" w:lineRule="auto"/>
        <w:jc w:val="both"/>
        <w:outlineLvl w:val="0"/>
        <w:rPr>
          <w:rFonts w:ascii="Times New Roman" w:eastAsia="Times New Roman" w:hAnsi="Times New Roman" w:cs="Times New Roman"/>
          <w:u w:val="single"/>
          <w:lang w:val="sr-Latn-ME"/>
        </w:rPr>
      </w:pPr>
    </w:p>
    <w:p w14:paraId="382A3D96" w14:textId="77777777" w:rsidR="0039034A" w:rsidRPr="001C3C2B" w:rsidRDefault="00AD2999" w:rsidP="0039034A">
      <w:pPr>
        <w:spacing w:after="0" w:line="240" w:lineRule="auto"/>
        <w:jc w:val="both"/>
        <w:outlineLvl w:val="0"/>
        <w:rPr>
          <w:rFonts w:ascii="Times New Roman" w:eastAsia="Times New Roman" w:hAnsi="Times New Roman" w:cs="Times New Roman"/>
          <w:u w:val="single"/>
          <w:lang w:val="sr-Latn-ME"/>
        </w:rPr>
      </w:pPr>
      <w:r w:rsidRPr="001C3C2B">
        <w:rPr>
          <w:rFonts w:ascii="Times New Roman" w:eastAsia="Times" w:hAnsi="Times New Roman" w:cs="Times New Roman"/>
          <w:u w:val="single"/>
          <w:lang w:val="it-IT"/>
        </w:rPr>
        <w:t xml:space="preserve">Pedijatrijska populacija </w:t>
      </w:r>
    </w:p>
    <w:p w14:paraId="01F0082A" w14:textId="77777777" w:rsidR="0039034A" w:rsidRPr="003A22B9" w:rsidRDefault="0039034A" w:rsidP="0039034A">
      <w:pPr>
        <w:spacing w:after="0" w:line="240" w:lineRule="auto"/>
        <w:jc w:val="both"/>
        <w:outlineLvl w:val="0"/>
        <w:rPr>
          <w:rFonts w:ascii="Times New Roman" w:eastAsia="Times New Roman" w:hAnsi="Times New Roman" w:cs="Times New Roman"/>
          <w:lang w:val="sr-Latn-ME"/>
        </w:rPr>
      </w:pPr>
    </w:p>
    <w:p w14:paraId="2C57843C" w14:textId="6182467A" w:rsidR="0039034A" w:rsidRDefault="007B1711" w:rsidP="0039034A">
      <w:pPr>
        <w:spacing w:after="0" w:line="240" w:lineRule="auto"/>
        <w:jc w:val="both"/>
        <w:outlineLvl w:val="0"/>
        <w:rPr>
          <w:rFonts w:ascii="Times New Roman" w:eastAsia="Times" w:hAnsi="Times New Roman" w:cs="Times New Roman"/>
          <w:i/>
          <w:u w:val="single"/>
          <w:lang w:val="it-IT"/>
        </w:rPr>
      </w:pPr>
      <w:r w:rsidRPr="001C3C2B">
        <w:rPr>
          <w:rFonts w:ascii="Times New Roman" w:eastAsia="Times" w:hAnsi="Times New Roman" w:cs="Times New Roman"/>
          <w:i/>
          <w:u w:val="single"/>
          <w:lang w:val="it-IT"/>
        </w:rPr>
        <w:t>Granulomatoza sa poliangitisom (GPA) i mikroskopski poliangitis (MPA)</w:t>
      </w:r>
    </w:p>
    <w:p w14:paraId="5DD6AF1A" w14:textId="77777777" w:rsidR="009E7A56" w:rsidRPr="001C3C2B" w:rsidRDefault="009E7A56" w:rsidP="0039034A">
      <w:pPr>
        <w:spacing w:after="0" w:line="240" w:lineRule="auto"/>
        <w:jc w:val="both"/>
        <w:outlineLvl w:val="0"/>
        <w:rPr>
          <w:rFonts w:ascii="Times New Roman" w:eastAsia="Times New Roman" w:hAnsi="Times New Roman" w:cs="Times New Roman"/>
          <w:i/>
          <w:u w:val="single"/>
          <w:lang w:val="it-IT"/>
        </w:rPr>
      </w:pPr>
    </w:p>
    <w:p w14:paraId="0C737E5F" w14:textId="77777777" w:rsidR="00AC20AD" w:rsidRPr="003A22B9" w:rsidRDefault="007B1711" w:rsidP="00AC20AD">
      <w:pPr>
        <w:spacing w:after="0" w:line="240" w:lineRule="auto"/>
        <w:jc w:val="both"/>
        <w:outlineLvl w:val="0"/>
        <w:rPr>
          <w:rFonts w:ascii="Times New Roman" w:eastAsia="Times New Roman" w:hAnsi="Times New Roman" w:cs="Times New Roman"/>
          <w:lang w:val="it-IT"/>
        </w:rPr>
      </w:pPr>
      <w:r w:rsidRPr="003A22B9">
        <w:rPr>
          <w:rFonts w:ascii="Times New Roman" w:eastAsia="Times" w:hAnsi="Times New Roman" w:cs="Times New Roman"/>
          <w:lang w:val="it-IT"/>
        </w:rPr>
        <w:t>Studija WA25615 (PePRS) bila je multicentrična, otvorena, jednostruka, nekontrolisana studija koja je obuhvatila 25 pedijatrijskih pacijenata (uzrasta od ≥ 2 do &lt; 18 godina) sa teškim aktivnim GPA-om ili MPA-om. Medijana uzrasta pacijenata koji su učestvovali u studiji iznosila je: 14 godina (raspon: 6 - 17 godina), a većina pacijenata (20/25 [80%]) je bila ženskog pola. Na početku studije ukupno je 19 pacijenata (76%) imalo GPA, dok je njih 6 (24%) imalo MPA. Pri uključivanju u studiju 18 pacijenata (72%) imalo je novodijagnostikovanu bolest (13 pacijenata sa GPA-om i 5 pacijenata sa MPA-om), dok je 7 pacijenata imalo relapsirajuću bolest (6 pacijenata sa GPA-om i 1 pacijent sa MPA-om).</w:t>
      </w:r>
    </w:p>
    <w:p w14:paraId="7EC50C9D" w14:textId="77777777" w:rsidR="00AC20AD" w:rsidRPr="003A22B9" w:rsidRDefault="00AC20AD" w:rsidP="00AC20AD">
      <w:pPr>
        <w:spacing w:after="0" w:line="240" w:lineRule="auto"/>
        <w:jc w:val="both"/>
        <w:outlineLvl w:val="0"/>
        <w:rPr>
          <w:rFonts w:ascii="Times New Roman" w:eastAsia="Times New Roman" w:hAnsi="Times New Roman" w:cs="Times New Roman"/>
          <w:lang w:val="it-IT"/>
        </w:rPr>
      </w:pPr>
    </w:p>
    <w:p w14:paraId="61520F04" w14:textId="028BACEF" w:rsidR="00A8621B" w:rsidRPr="003A22B9" w:rsidRDefault="007B1711" w:rsidP="00A8621B">
      <w:pPr>
        <w:spacing w:after="0" w:line="240" w:lineRule="auto"/>
        <w:jc w:val="both"/>
        <w:outlineLvl w:val="0"/>
        <w:rPr>
          <w:rFonts w:ascii="Times New Roman" w:eastAsia="Times New Roman" w:hAnsi="Times New Roman" w:cs="Times New Roman"/>
          <w:lang w:val="it-IT"/>
        </w:rPr>
      </w:pPr>
      <w:r w:rsidRPr="003A22B9">
        <w:rPr>
          <w:rFonts w:ascii="Times New Roman" w:eastAsia="Times" w:hAnsi="Times New Roman" w:cs="Times New Roman"/>
          <w:lang w:val="it-IT"/>
        </w:rPr>
        <w:t xml:space="preserve">Dizajn studije se sastojao od početne 6-mjesečne faze </w:t>
      </w:r>
      <w:r w:rsidR="001811D3" w:rsidRPr="003A22B9">
        <w:rPr>
          <w:rFonts w:ascii="Times New Roman" w:eastAsia="Times" w:hAnsi="Times New Roman" w:cs="Times New Roman"/>
          <w:lang w:val="it-IT"/>
        </w:rPr>
        <w:t>indukcije</w:t>
      </w:r>
      <w:r w:rsidRPr="003A22B9">
        <w:rPr>
          <w:rFonts w:ascii="Times New Roman" w:eastAsia="Times" w:hAnsi="Times New Roman" w:cs="Times New Roman"/>
          <w:lang w:val="it-IT"/>
        </w:rPr>
        <w:t xml:space="preserve"> remisije uz minimalno 18 mjeseci praćenja i ukupno je trajala do 54 mjeseca (4,5 godina). Pacijenti su prije prve intravenske infuzije rituksimaba morali da prime minimalno 3 intravenske doze metilprednizolona (30 mg/kg na dan, ali ne više od 1 g na dan). Ako je to bilo klinički indikovano, mogle su da se intravenski prim</w:t>
      </w:r>
      <w:r w:rsidR="009E7A56">
        <w:rPr>
          <w:rFonts w:ascii="Times New Roman" w:eastAsia="Times" w:hAnsi="Times New Roman" w:cs="Times New Roman"/>
          <w:lang w:val="it-IT"/>
        </w:rPr>
        <w:t>i</w:t>
      </w:r>
      <w:r w:rsidRPr="003A22B9">
        <w:rPr>
          <w:rFonts w:ascii="Times New Roman" w:eastAsia="Times" w:hAnsi="Times New Roman" w:cs="Times New Roman"/>
          <w:lang w:val="it-IT"/>
        </w:rPr>
        <w:t xml:space="preserve">jene i dodatne (najviše tri) dnevne doze metilprednizolona. Režim za </w:t>
      </w:r>
      <w:r w:rsidR="001811D3" w:rsidRPr="003A22B9">
        <w:rPr>
          <w:rFonts w:ascii="Times New Roman" w:eastAsia="Times" w:hAnsi="Times New Roman" w:cs="Times New Roman"/>
          <w:lang w:val="it-IT"/>
        </w:rPr>
        <w:t>indukciju</w:t>
      </w:r>
      <w:r w:rsidRPr="003A22B9">
        <w:rPr>
          <w:rFonts w:ascii="Times New Roman" w:eastAsia="Times" w:hAnsi="Times New Roman" w:cs="Times New Roman"/>
          <w:lang w:val="it-IT"/>
        </w:rPr>
        <w:t xml:space="preserve"> remisije sastojao se od četiri intravenske infuzije rituksimaba u dozi od 375 mg/m</w:t>
      </w:r>
      <w:r w:rsidRPr="003A22B9">
        <w:rPr>
          <w:rFonts w:ascii="Times New Roman" w:eastAsia="Times" w:hAnsi="Times New Roman" w:cs="Times New Roman"/>
          <w:vertAlign w:val="superscript"/>
          <w:lang w:val="it-IT"/>
        </w:rPr>
        <w:t>2</w:t>
      </w:r>
      <w:r w:rsidRPr="003A22B9">
        <w:rPr>
          <w:rFonts w:ascii="Times New Roman" w:eastAsia="Times" w:hAnsi="Times New Roman" w:cs="Times New Roman"/>
          <w:lang w:val="it-IT"/>
        </w:rPr>
        <w:t xml:space="preserve"> tjelesne površine prim</w:t>
      </w:r>
      <w:r w:rsidR="0039287E">
        <w:rPr>
          <w:rFonts w:ascii="Times New Roman" w:eastAsia="Times" w:hAnsi="Times New Roman" w:cs="Times New Roman"/>
          <w:lang w:val="it-IT"/>
        </w:rPr>
        <w:t>ij</w:t>
      </w:r>
      <w:r w:rsidRPr="003A22B9">
        <w:rPr>
          <w:rFonts w:ascii="Times New Roman" w:eastAsia="Times" w:hAnsi="Times New Roman" w:cs="Times New Roman"/>
          <w:lang w:val="it-IT"/>
        </w:rPr>
        <w:t xml:space="preserve">enjene jednom nedjeljno, 1, 8, 15. i 22. dana ispitivanja, u kombinaciji sa prednizolonom ili prednizonom u peroralnoj dozi od 1 mg/kg na dan (maksimalno 60 mg na dan), koja se do 6. mjeseca postupno smanjivala do minimalne doze od 0,2 mg/kg na dan (maksimalno 10 mg na dan). Nakon faze </w:t>
      </w:r>
      <w:r w:rsidR="001811D3" w:rsidRPr="003A22B9">
        <w:rPr>
          <w:rFonts w:ascii="Times New Roman" w:eastAsia="Times" w:hAnsi="Times New Roman" w:cs="Times New Roman"/>
          <w:lang w:val="it-IT"/>
        </w:rPr>
        <w:t>indukcije</w:t>
      </w:r>
      <w:r w:rsidRPr="003A22B9">
        <w:rPr>
          <w:rFonts w:ascii="Times New Roman" w:eastAsia="Times" w:hAnsi="Times New Roman" w:cs="Times New Roman"/>
          <w:lang w:val="it-IT"/>
        </w:rPr>
        <w:t xml:space="preserve"> remisije pacijenti su u 6. m</w:t>
      </w:r>
      <w:r w:rsidR="0039287E">
        <w:rPr>
          <w:rFonts w:ascii="Times New Roman" w:eastAsia="Times" w:hAnsi="Times New Roman" w:cs="Times New Roman"/>
          <w:lang w:val="it-IT"/>
        </w:rPr>
        <w:t>j</w:t>
      </w:r>
      <w:r w:rsidRPr="003A22B9">
        <w:rPr>
          <w:rFonts w:ascii="Times New Roman" w:eastAsia="Times" w:hAnsi="Times New Roman" w:cs="Times New Roman"/>
          <w:lang w:val="it-IT"/>
        </w:rPr>
        <w:t xml:space="preserve">esecu ili nakon njega mogli prema odluci ispitivača da prime dodatne infuzije rituksimaba radi održavanja remisije prema PVAS rezultatu i kontrole aktivnosti bolesti (uključujući progresiju ili razbuktavanje bolesti) ili radi postizanja prve remisije. </w:t>
      </w:r>
    </w:p>
    <w:p w14:paraId="1D45C027" w14:textId="77777777" w:rsidR="00A8621B" w:rsidRPr="003A22B9" w:rsidRDefault="00A8621B" w:rsidP="00A8621B">
      <w:pPr>
        <w:spacing w:after="0" w:line="240" w:lineRule="auto"/>
        <w:jc w:val="both"/>
        <w:outlineLvl w:val="0"/>
        <w:rPr>
          <w:rFonts w:ascii="Times New Roman" w:eastAsia="Times New Roman" w:hAnsi="Times New Roman" w:cs="Times New Roman"/>
          <w:lang w:val="it-IT"/>
        </w:rPr>
      </w:pPr>
    </w:p>
    <w:p w14:paraId="1ED976B5" w14:textId="1F93B089" w:rsidR="00A8621B" w:rsidRPr="003A22B9" w:rsidRDefault="007B1711" w:rsidP="00A8621B">
      <w:pPr>
        <w:spacing w:after="0" w:line="240" w:lineRule="auto"/>
        <w:jc w:val="both"/>
        <w:outlineLvl w:val="0"/>
        <w:rPr>
          <w:rFonts w:ascii="Times New Roman" w:eastAsia="Times New Roman" w:hAnsi="Times New Roman" w:cs="Times New Roman"/>
          <w:lang w:val="it-IT"/>
        </w:rPr>
      </w:pPr>
      <w:r w:rsidRPr="003A22B9">
        <w:rPr>
          <w:rFonts w:ascii="Times New Roman" w:eastAsia="Times" w:hAnsi="Times New Roman" w:cs="Times New Roman"/>
          <w:lang w:val="it-IT"/>
        </w:rPr>
        <w:t xml:space="preserve">Svih 25 pacijenata primilo je sve četiri nedjeljne intravenske infuzije u sklopu 6-mjesečne faze </w:t>
      </w:r>
      <w:r w:rsidR="001811D3" w:rsidRPr="003A22B9">
        <w:rPr>
          <w:rFonts w:ascii="Times New Roman" w:eastAsia="Times" w:hAnsi="Times New Roman" w:cs="Times New Roman"/>
          <w:lang w:val="it-IT"/>
        </w:rPr>
        <w:t>indukcije</w:t>
      </w:r>
      <w:r w:rsidRPr="003A22B9">
        <w:rPr>
          <w:rFonts w:ascii="Times New Roman" w:eastAsia="Times" w:hAnsi="Times New Roman" w:cs="Times New Roman"/>
          <w:lang w:val="it-IT"/>
        </w:rPr>
        <w:t xml:space="preserve"> remisije. Ukupno 24 od 25 pacijenata dovršilo je najmanje 18 mjeseci praćenja.</w:t>
      </w:r>
    </w:p>
    <w:p w14:paraId="31227173" w14:textId="77777777" w:rsidR="00A8621B" w:rsidRPr="003A22B9" w:rsidRDefault="00A8621B" w:rsidP="00A8621B">
      <w:pPr>
        <w:spacing w:after="0" w:line="240" w:lineRule="auto"/>
        <w:jc w:val="both"/>
        <w:outlineLvl w:val="0"/>
        <w:rPr>
          <w:rFonts w:ascii="Times New Roman" w:eastAsia="Times New Roman" w:hAnsi="Times New Roman" w:cs="Times New Roman"/>
          <w:lang w:val="it-IT"/>
        </w:rPr>
      </w:pPr>
    </w:p>
    <w:p w14:paraId="18A1D6BF" w14:textId="77777777" w:rsidR="00D5412D" w:rsidRPr="003A22B9" w:rsidRDefault="007B1711" w:rsidP="00D5412D">
      <w:pPr>
        <w:spacing w:after="0" w:line="240" w:lineRule="auto"/>
        <w:jc w:val="both"/>
        <w:outlineLvl w:val="0"/>
        <w:rPr>
          <w:rFonts w:ascii="Times New Roman" w:eastAsia="Times New Roman" w:hAnsi="Times New Roman" w:cs="Times New Roman"/>
          <w:lang w:val="sr-Latn-ME"/>
        </w:rPr>
      </w:pPr>
      <w:r w:rsidRPr="003A22B9">
        <w:rPr>
          <w:rFonts w:ascii="Times New Roman" w:eastAsia="Times" w:hAnsi="Times New Roman" w:cs="Times New Roman"/>
          <w:lang w:val="it-IT"/>
        </w:rPr>
        <w:t xml:space="preserve">Ciljevi ove studije bili su ocjena bezbjednosti, farmakokinetičkih parametara i efikasnosti rituksimaba kod pedijatrijskih pacijenata sa GPA-om i MPA-om (u uzrastu od ≥ 2 do &lt; 18 godina). Ciljevi povezani sa efikasnošću bili su eksplorativni i prvenstveno su se ocjenjivali na osnovu indeksa aktivnosti vaskulitisa kod pedijatrijskih pacijenata (eng. </w:t>
      </w:r>
      <w:r w:rsidRPr="003A22B9">
        <w:rPr>
          <w:rFonts w:ascii="Times New Roman" w:eastAsia="Times" w:hAnsi="Times New Roman" w:cs="Times New Roman"/>
          <w:i/>
          <w:lang w:val="it-IT"/>
        </w:rPr>
        <w:t>Pediatric Vasculitis Activity Score</w:t>
      </w:r>
      <w:r w:rsidRPr="003A22B9">
        <w:rPr>
          <w:rFonts w:ascii="Times New Roman" w:eastAsia="Times" w:hAnsi="Times New Roman" w:cs="Times New Roman"/>
          <w:lang w:val="it-IT"/>
        </w:rPr>
        <w:t>, PVAS) (Tabela 21).</w:t>
      </w:r>
    </w:p>
    <w:p w14:paraId="1AF53739" w14:textId="77777777" w:rsidR="00D5412D" w:rsidRPr="003A22B9" w:rsidRDefault="00D5412D" w:rsidP="00D5412D">
      <w:pPr>
        <w:spacing w:after="0" w:line="240" w:lineRule="auto"/>
        <w:jc w:val="both"/>
        <w:outlineLvl w:val="0"/>
        <w:rPr>
          <w:rFonts w:ascii="Times New Roman" w:eastAsia="Times New Roman" w:hAnsi="Times New Roman" w:cs="Times New Roman"/>
          <w:lang w:val="sr-Latn-ME"/>
        </w:rPr>
      </w:pPr>
    </w:p>
    <w:p w14:paraId="74303121" w14:textId="77777777" w:rsidR="00D5412D" w:rsidRPr="003A22B9" w:rsidRDefault="007B1711" w:rsidP="00D5412D">
      <w:pPr>
        <w:spacing w:after="0" w:line="240" w:lineRule="auto"/>
        <w:jc w:val="both"/>
        <w:outlineLvl w:val="0"/>
        <w:rPr>
          <w:rFonts w:ascii="Times New Roman" w:eastAsia="Times" w:hAnsi="Times New Roman" w:cs="Times New Roman"/>
          <w:i/>
          <w:lang w:val="it-IT"/>
        </w:rPr>
      </w:pPr>
      <w:r w:rsidRPr="003A22B9">
        <w:rPr>
          <w:rFonts w:ascii="Times New Roman" w:eastAsia="Times" w:hAnsi="Times New Roman" w:cs="Times New Roman"/>
          <w:i/>
          <w:lang w:val="it-IT"/>
        </w:rPr>
        <w:t>Ukupna doza glukokortikoida (intravenska i peroralna) do 6. mjeseca:</w:t>
      </w:r>
    </w:p>
    <w:p w14:paraId="7507894F" w14:textId="77777777" w:rsidR="00D5412D" w:rsidRPr="003A22B9" w:rsidRDefault="00D5412D" w:rsidP="00D5412D">
      <w:pPr>
        <w:spacing w:after="0" w:line="240" w:lineRule="auto"/>
        <w:jc w:val="both"/>
        <w:outlineLvl w:val="0"/>
        <w:rPr>
          <w:rFonts w:ascii="Times New Roman" w:eastAsia="Times" w:hAnsi="Times New Roman" w:cs="Times New Roman"/>
          <w:i/>
          <w:lang w:val="it-IT"/>
        </w:rPr>
      </w:pPr>
    </w:p>
    <w:p w14:paraId="70A60ECD" w14:textId="77777777" w:rsidR="007D2FCB" w:rsidRPr="003A22B9" w:rsidRDefault="007B1711" w:rsidP="007D2FCB">
      <w:pPr>
        <w:spacing w:after="0" w:line="240" w:lineRule="auto"/>
        <w:jc w:val="both"/>
        <w:outlineLvl w:val="0"/>
        <w:rPr>
          <w:rFonts w:ascii="Times New Roman" w:eastAsia="Times New Roman" w:hAnsi="Times New Roman" w:cs="Times New Roman"/>
          <w:lang w:val="it-IT"/>
        </w:rPr>
      </w:pPr>
      <w:r w:rsidRPr="003A22B9">
        <w:rPr>
          <w:rFonts w:ascii="Times New Roman" w:eastAsia="Times" w:hAnsi="Times New Roman" w:cs="Times New Roman"/>
          <w:lang w:val="it-IT"/>
        </w:rPr>
        <w:t xml:space="preserve">Kod 24 od 25 pacijenata (96%) iz studije WA25615 peroralna doza glukokortikoida je u 6. mjesecu ili do njega smanjena na 0,2 mg/kg na dan (ili ≤ 10 mg na dan, šta god je bilo niže) u sklopu postupnog smanjivanja peroralne doze steroida definisanog planom ispitivanja. </w:t>
      </w:r>
    </w:p>
    <w:p w14:paraId="72690787" w14:textId="77777777" w:rsidR="007D2FCB" w:rsidRPr="003A22B9" w:rsidRDefault="007D2FCB" w:rsidP="007D2FCB">
      <w:pPr>
        <w:spacing w:after="0" w:line="240" w:lineRule="auto"/>
        <w:jc w:val="both"/>
        <w:outlineLvl w:val="0"/>
        <w:rPr>
          <w:rFonts w:ascii="Times New Roman" w:eastAsia="Times New Roman" w:hAnsi="Times New Roman" w:cs="Times New Roman"/>
          <w:lang w:val="it-IT"/>
        </w:rPr>
      </w:pPr>
    </w:p>
    <w:p w14:paraId="13AD09C0" w14:textId="2C93D24F" w:rsidR="005D1310" w:rsidRPr="003A22B9" w:rsidRDefault="007B1711" w:rsidP="005D1310">
      <w:pPr>
        <w:spacing w:after="0" w:line="240" w:lineRule="auto"/>
        <w:jc w:val="both"/>
        <w:outlineLvl w:val="0"/>
        <w:rPr>
          <w:rFonts w:ascii="Times New Roman" w:eastAsia="Times New Roman" w:hAnsi="Times New Roman" w:cs="Times New Roman"/>
          <w:lang w:val="sr-Latn-ME"/>
        </w:rPr>
      </w:pPr>
      <w:r w:rsidRPr="003A22B9">
        <w:rPr>
          <w:rFonts w:ascii="Times New Roman" w:eastAsia="Times" w:hAnsi="Times New Roman" w:cs="Times New Roman"/>
          <w:lang w:val="it-IT"/>
        </w:rPr>
        <w:t>Uočeno je smanjenje medijane ukupne peroralno prim</w:t>
      </w:r>
      <w:r w:rsidR="0039287E">
        <w:rPr>
          <w:rFonts w:ascii="Times New Roman" w:eastAsia="Times" w:hAnsi="Times New Roman" w:cs="Times New Roman"/>
          <w:lang w:val="it-IT"/>
        </w:rPr>
        <w:t>i</w:t>
      </w:r>
      <w:r w:rsidRPr="003A22B9">
        <w:rPr>
          <w:rFonts w:ascii="Times New Roman" w:eastAsia="Times" w:hAnsi="Times New Roman" w:cs="Times New Roman"/>
          <w:lang w:val="it-IT"/>
        </w:rPr>
        <w:t>jenjene doze glukokortikoida od 1. nedjelje (medijana = doza ekvivalentna 45 mg prednizona [interkvartilni raspon: 35 - 60]) do 6. m</w:t>
      </w:r>
      <w:r w:rsidR="0039287E">
        <w:rPr>
          <w:rFonts w:ascii="Times New Roman" w:eastAsia="Times" w:hAnsi="Times New Roman" w:cs="Times New Roman"/>
          <w:lang w:val="it-IT"/>
        </w:rPr>
        <w:t>j</w:t>
      </w:r>
      <w:r w:rsidRPr="003A22B9">
        <w:rPr>
          <w:rFonts w:ascii="Times New Roman" w:eastAsia="Times" w:hAnsi="Times New Roman" w:cs="Times New Roman"/>
          <w:lang w:val="it-IT"/>
        </w:rPr>
        <w:t xml:space="preserve">eseca (medijana = 7,5 mg [interkvartilni raspon: 4 - 10]), koje se potom održalo do 12. mjeseca (medijana = 5 mg [interkvartilni raspon: 2 - 10]) i 18. mjeseca (medijana = 5 mg [interkvartilni raspon: 1 - 5]). </w:t>
      </w:r>
    </w:p>
    <w:p w14:paraId="0E270002" w14:textId="77777777" w:rsidR="005D1310" w:rsidRPr="003A22B9" w:rsidRDefault="005D1310" w:rsidP="005D1310">
      <w:pPr>
        <w:spacing w:after="0" w:line="240" w:lineRule="auto"/>
        <w:jc w:val="both"/>
        <w:outlineLvl w:val="0"/>
        <w:rPr>
          <w:rFonts w:ascii="Times New Roman" w:eastAsia="Times New Roman" w:hAnsi="Times New Roman" w:cs="Times New Roman"/>
          <w:lang w:val="sr-Latn-ME"/>
        </w:rPr>
      </w:pPr>
    </w:p>
    <w:p w14:paraId="593973C4" w14:textId="7FE840AC" w:rsidR="00F52D0D" w:rsidRPr="003A22B9" w:rsidRDefault="007B1711" w:rsidP="00043DF7">
      <w:pPr>
        <w:spacing w:after="0" w:line="240" w:lineRule="auto"/>
        <w:jc w:val="both"/>
        <w:outlineLvl w:val="0"/>
        <w:rPr>
          <w:rFonts w:ascii="Times New Roman" w:eastAsia="Times" w:hAnsi="Times New Roman" w:cs="Times New Roman"/>
          <w:lang w:val="it-IT"/>
        </w:rPr>
      </w:pPr>
      <w:r w:rsidRPr="003A22B9">
        <w:rPr>
          <w:rFonts w:ascii="Times New Roman" w:eastAsia="Times" w:hAnsi="Times New Roman" w:cs="Times New Roman"/>
          <w:i/>
          <w:lang w:val="it-IT"/>
        </w:rPr>
        <w:t>Liječenje tokom perioda praćenja</w:t>
      </w:r>
    </w:p>
    <w:p w14:paraId="2E663BBF" w14:textId="77777777" w:rsidR="00F52D0D" w:rsidRPr="003A22B9" w:rsidRDefault="00F52D0D" w:rsidP="00043DF7">
      <w:pPr>
        <w:spacing w:after="0" w:line="240" w:lineRule="auto"/>
        <w:jc w:val="both"/>
        <w:outlineLvl w:val="0"/>
        <w:rPr>
          <w:rFonts w:ascii="Times New Roman" w:eastAsia="Times" w:hAnsi="Times New Roman" w:cs="Times New Roman"/>
          <w:lang w:val="it-IT"/>
        </w:rPr>
      </w:pPr>
    </w:p>
    <w:p w14:paraId="1F25B42E" w14:textId="0C05FC93" w:rsidR="001811D3" w:rsidRPr="003A22B9" w:rsidRDefault="007B1711" w:rsidP="00043DF7">
      <w:pPr>
        <w:spacing w:after="0" w:line="240" w:lineRule="auto"/>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lastRenderedPageBreak/>
        <w:t>Tokom cjelokupnog perioda studije pacijenti su primili između 4 i 28 infuzija rituksimaba (tokom perioda do 4,5 godine [53,8 mjeseci]). Pacijenti su primali do četiri doze rituksimaba od 375 mg/m</w:t>
      </w:r>
      <w:r w:rsidRPr="003A22B9">
        <w:rPr>
          <w:rFonts w:ascii="Times New Roman" w:eastAsia="Times" w:hAnsi="Times New Roman" w:cs="Times New Roman"/>
          <w:vertAlign w:val="superscript"/>
          <w:lang w:val="it-IT"/>
        </w:rPr>
        <w:t>2</w:t>
      </w:r>
      <w:r w:rsidRPr="003A22B9">
        <w:rPr>
          <w:rFonts w:ascii="Times New Roman" w:eastAsia="Times" w:hAnsi="Times New Roman" w:cs="Times New Roman"/>
          <w:lang w:val="it-IT"/>
        </w:rPr>
        <w:t xml:space="preserve"> približno svakih 6 mjeseci prema odluci ispitivača. Do fiksnog datuma završetka praćenja za sve pacijente (eng. </w:t>
      </w:r>
      <w:r w:rsidRPr="003A22B9">
        <w:rPr>
          <w:rFonts w:ascii="Times New Roman" w:eastAsia="Times" w:hAnsi="Times New Roman" w:cs="Times New Roman"/>
          <w:i/>
          <w:lang w:val="it-IT"/>
        </w:rPr>
        <w:t>common close</w:t>
      </w:r>
      <w:r w:rsidRPr="003A22B9">
        <w:rPr>
          <w:rFonts w:ascii="Times New Roman" w:eastAsia="Times" w:hAnsi="Times New Roman" w:cs="Times New Roman"/>
          <w:lang w:val="it-IT"/>
        </w:rPr>
        <w:t xml:space="preserve"> </w:t>
      </w:r>
      <w:r w:rsidRPr="003A22B9">
        <w:rPr>
          <w:rFonts w:ascii="Times New Roman" w:eastAsia="Times" w:hAnsi="Times New Roman" w:cs="Times New Roman"/>
          <w:i/>
          <w:lang w:val="it-IT"/>
        </w:rPr>
        <w:t>out</w:t>
      </w:r>
      <w:r w:rsidRPr="003A22B9">
        <w:rPr>
          <w:rFonts w:ascii="Times New Roman" w:eastAsia="Times" w:hAnsi="Times New Roman" w:cs="Times New Roman"/>
          <w:lang w:val="it-IT"/>
        </w:rPr>
        <w:t>) ukupno 17 od 25 (68%) pacijenata primilo je dodatnu terapiju rituksimabom u 6. mjesecu ili nakon njega, a 14 od tih 17 pacijenata primilo je dodatnu terapiju rituksimabom između 6. i 18. mjeseca.</w:t>
      </w:r>
    </w:p>
    <w:p w14:paraId="6B1CB165" w14:textId="77777777" w:rsidR="00AD2999" w:rsidRPr="003A22B9" w:rsidRDefault="00AD2999" w:rsidP="00043DF7">
      <w:pPr>
        <w:spacing w:after="0" w:line="240" w:lineRule="auto"/>
        <w:jc w:val="both"/>
        <w:outlineLvl w:val="0"/>
        <w:rPr>
          <w:rFonts w:ascii="Times New Roman" w:eastAsia="Times" w:hAnsi="Times New Roman" w:cs="Times New Roman"/>
          <w:lang w:val="it-IT"/>
        </w:rPr>
      </w:pPr>
    </w:p>
    <w:p w14:paraId="46CE71D7" w14:textId="08311607" w:rsidR="00AD2999" w:rsidRPr="003A22B9" w:rsidRDefault="00AD2999" w:rsidP="00AD2999">
      <w:pPr>
        <w:keepNext/>
        <w:keepLines/>
        <w:spacing w:after="0" w:line="240" w:lineRule="auto"/>
        <w:jc w:val="both"/>
        <w:outlineLvl w:val="0"/>
        <w:rPr>
          <w:rFonts w:ascii="Times New Roman" w:eastAsia="Times" w:hAnsi="Times New Roman" w:cs="Times New Roman"/>
          <w:b/>
          <w:lang w:val="it-IT"/>
        </w:rPr>
      </w:pPr>
      <w:r w:rsidRPr="003A22B9">
        <w:rPr>
          <w:rFonts w:ascii="Times New Roman" w:eastAsia="Times" w:hAnsi="Times New Roman" w:cs="Times New Roman"/>
          <w:b/>
          <w:lang w:val="it-IT"/>
        </w:rPr>
        <w:t>Tabela 21</w:t>
      </w:r>
      <w:r w:rsidRPr="003A22B9">
        <w:rPr>
          <w:rFonts w:ascii="Times New Roman" w:eastAsia="Times" w:hAnsi="Times New Roman" w:cs="Times New Roman"/>
          <w:b/>
          <w:lang w:val="it-IT"/>
        </w:rPr>
        <w:tab/>
        <w:t>Studija WA25615 (PePRS) – Remisija prema PVAS rezultatu u 1</w:t>
      </w:r>
      <w:r w:rsidR="0039287E">
        <w:rPr>
          <w:rFonts w:ascii="Times New Roman" w:eastAsia="Times" w:hAnsi="Times New Roman" w:cs="Times New Roman"/>
          <w:b/>
          <w:lang w:val="it-IT"/>
        </w:rPr>
        <w:t>.</w:t>
      </w:r>
      <w:r w:rsidRPr="003A22B9">
        <w:rPr>
          <w:rFonts w:ascii="Times New Roman" w:eastAsia="Times" w:hAnsi="Times New Roman" w:cs="Times New Roman"/>
          <w:b/>
          <w:lang w:val="it-IT"/>
        </w:rPr>
        <w:t>, 2</w:t>
      </w:r>
      <w:r w:rsidR="0039287E">
        <w:rPr>
          <w:rFonts w:ascii="Times New Roman" w:eastAsia="Times" w:hAnsi="Times New Roman" w:cs="Times New Roman"/>
          <w:b/>
          <w:lang w:val="it-IT"/>
        </w:rPr>
        <w:t>.</w:t>
      </w:r>
      <w:r w:rsidRPr="003A22B9">
        <w:rPr>
          <w:rFonts w:ascii="Times New Roman" w:eastAsia="Times" w:hAnsi="Times New Roman" w:cs="Times New Roman"/>
          <w:b/>
          <w:lang w:val="it-IT"/>
        </w:rPr>
        <w:t>, 4</w:t>
      </w:r>
      <w:r w:rsidR="0039287E">
        <w:rPr>
          <w:rFonts w:ascii="Times New Roman" w:eastAsia="Times" w:hAnsi="Times New Roman" w:cs="Times New Roman"/>
          <w:b/>
          <w:lang w:val="it-IT"/>
        </w:rPr>
        <w:t>.</w:t>
      </w:r>
      <w:r w:rsidRPr="003A22B9">
        <w:rPr>
          <w:rFonts w:ascii="Times New Roman" w:eastAsia="Times" w:hAnsi="Times New Roman" w:cs="Times New Roman"/>
          <w:b/>
          <w:lang w:val="it-IT"/>
        </w:rPr>
        <w:t>, 6</w:t>
      </w:r>
      <w:r w:rsidR="0039287E">
        <w:rPr>
          <w:rFonts w:ascii="Times New Roman" w:eastAsia="Times" w:hAnsi="Times New Roman" w:cs="Times New Roman"/>
          <w:b/>
          <w:lang w:val="it-IT"/>
        </w:rPr>
        <w:t>.</w:t>
      </w:r>
      <w:r w:rsidRPr="003A22B9">
        <w:rPr>
          <w:rFonts w:ascii="Times New Roman" w:eastAsia="Times" w:hAnsi="Times New Roman" w:cs="Times New Roman"/>
          <w:b/>
          <w:lang w:val="it-IT"/>
        </w:rPr>
        <w:t>, 12. i 18. m</w:t>
      </w:r>
      <w:r w:rsidR="000E54E9" w:rsidRPr="003A22B9">
        <w:rPr>
          <w:rFonts w:ascii="Times New Roman" w:eastAsia="Times" w:hAnsi="Times New Roman" w:cs="Times New Roman"/>
          <w:b/>
          <w:lang w:val="it-IT"/>
        </w:rPr>
        <w:t>j</w:t>
      </w:r>
      <w:r w:rsidRPr="003A22B9">
        <w:rPr>
          <w:rFonts w:ascii="Times New Roman" w:eastAsia="Times" w:hAnsi="Times New Roman" w:cs="Times New Roman"/>
          <w:b/>
          <w:lang w:val="it-IT"/>
        </w:rPr>
        <w:t>esecu</w:t>
      </w:r>
    </w:p>
    <w:p w14:paraId="78F23293" w14:textId="77777777"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p>
    <w:tbl>
      <w:tblPr>
        <w:tblStyle w:val="TableGrid"/>
        <w:tblW w:w="5000" w:type="pct"/>
        <w:tblLook w:val="04A0" w:firstRow="1" w:lastRow="0" w:firstColumn="1" w:lastColumn="0" w:noHBand="0" w:noVBand="1"/>
      </w:tblPr>
      <w:tblGrid>
        <w:gridCol w:w="1897"/>
        <w:gridCol w:w="4690"/>
        <w:gridCol w:w="2474"/>
      </w:tblGrid>
      <w:tr w:rsidR="00FB6D57" w:rsidRPr="003A22B9" w14:paraId="1ADFA68D" w14:textId="77777777" w:rsidTr="00043DF7">
        <w:trPr>
          <w:trHeight w:val="1207"/>
        </w:trPr>
        <w:tc>
          <w:tcPr>
            <w:tcW w:w="1047" w:type="pct"/>
          </w:tcPr>
          <w:p w14:paraId="7E8B19B3" w14:textId="2DA6B8FD" w:rsidR="00AD2999" w:rsidRPr="001C3C2B" w:rsidRDefault="00AD2999" w:rsidP="00AD2999">
            <w:pPr>
              <w:keepNext/>
              <w:keepLines/>
              <w:jc w:val="both"/>
              <w:outlineLvl w:val="0"/>
              <w:rPr>
                <w:rFonts w:ascii="Times New Roman" w:eastAsia="Times" w:hAnsi="Times New Roman" w:cs="Times New Roman"/>
                <w:b/>
                <w:lang w:val="it-IT"/>
              </w:rPr>
            </w:pPr>
            <w:r w:rsidRPr="001C3C2B">
              <w:rPr>
                <w:rFonts w:ascii="Times New Roman" w:eastAsia="Times" w:hAnsi="Times New Roman" w:cs="Times New Roman"/>
                <w:b/>
              </w:rPr>
              <w:t>Pos</w:t>
            </w:r>
            <w:r w:rsidR="00A1012F" w:rsidRPr="001C3C2B">
              <w:rPr>
                <w:rFonts w:ascii="Times New Roman" w:eastAsia="Times" w:hAnsi="Times New Roman" w:cs="Times New Roman"/>
                <w:b/>
              </w:rPr>
              <w:t>j</w:t>
            </w:r>
            <w:r w:rsidRPr="001C3C2B">
              <w:rPr>
                <w:rFonts w:ascii="Times New Roman" w:eastAsia="Times" w:hAnsi="Times New Roman" w:cs="Times New Roman"/>
                <w:b/>
              </w:rPr>
              <w:t>eta u sklopu studije</w:t>
            </w:r>
          </w:p>
        </w:tc>
        <w:tc>
          <w:tcPr>
            <w:tcW w:w="2588" w:type="pct"/>
          </w:tcPr>
          <w:p w14:paraId="3965E23C" w14:textId="77777777" w:rsidR="00AD2999" w:rsidRPr="001C3C2B" w:rsidRDefault="00AD2999" w:rsidP="00AD2999">
            <w:pPr>
              <w:keepNext/>
              <w:keepLines/>
              <w:jc w:val="both"/>
              <w:outlineLvl w:val="0"/>
              <w:rPr>
                <w:rFonts w:ascii="Times New Roman" w:eastAsia="Times" w:hAnsi="Times New Roman" w:cs="Times New Roman"/>
                <w:b/>
                <w:lang w:val="it-IT"/>
              </w:rPr>
            </w:pPr>
            <w:r w:rsidRPr="001C3C2B">
              <w:rPr>
                <w:rFonts w:ascii="Times New Roman" w:eastAsia="Times" w:hAnsi="Times New Roman" w:cs="Times New Roman"/>
                <w:b/>
                <w:lang w:val="it-IT"/>
              </w:rPr>
              <w:t>Broj pacijenata koji su postigli odgovor u smislu remisije prema PVAS rezultatu</w:t>
            </w:r>
            <w:r w:rsidRPr="001C3C2B">
              <w:rPr>
                <w:rFonts w:ascii="Times New Roman" w:eastAsia="Times" w:hAnsi="Times New Roman" w:cs="Times New Roman"/>
                <w:b/>
                <w:vertAlign w:val="superscript"/>
                <w:lang w:val="it-IT"/>
              </w:rPr>
              <w:t>*</w:t>
            </w:r>
            <w:r w:rsidRPr="001C3C2B">
              <w:rPr>
                <w:rFonts w:ascii="Times New Roman" w:eastAsia="Times" w:hAnsi="Times New Roman" w:cs="Times New Roman"/>
                <w:b/>
                <w:lang w:val="it-IT"/>
              </w:rPr>
              <w:t xml:space="preserve"> (stopa odgovora [%]) </w:t>
            </w:r>
          </w:p>
          <w:p w14:paraId="14A4FB88" w14:textId="77777777" w:rsidR="00AD2999" w:rsidRPr="001C3C2B" w:rsidRDefault="00AD2999" w:rsidP="00AD2999">
            <w:pPr>
              <w:keepNext/>
              <w:keepLines/>
              <w:jc w:val="both"/>
              <w:outlineLvl w:val="0"/>
              <w:rPr>
                <w:rFonts w:ascii="Times New Roman" w:eastAsia="Times" w:hAnsi="Times New Roman" w:cs="Times New Roman"/>
                <w:b/>
                <w:lang w:val="it-IT"/>
              </w:rPr>
            </w:pPr>
          </w:p>
          <w:p w14:paraId="18523AD2" w14:textId="77777777" w:rsidR="00AD2999" w:rsidRPr="001C3C2B" w:rsidRDefault="00AD2999" w:rsidP="00AD2999">
            <w:pPr>
              <w:keepNext/>
              <w:keepLines/>
              <w:jc w:val="both"/>
              <w:outlineLvl w:val="0"/>
              <w:rPr>
                <w:rFonts w:ascii="Times New Roman" w:eastAsia="Times" w:hAnsi="Times New Roman" w:cs="Times New Roman"/>
                <w:b/>
                <w:lang w:val="it-IT"/>
              </w:rPr>
            </w:pPr>
            <w:r w:rsidRPr="001C3C2B">
              <w:rPr>
                <w:rFonts w:ascii="Times New Roman" w:eastAsia="Times" w:hAnsi="Times New Roman" w:cs="Times New Roman"/>
                <w:b/>
                <w:lang w:val="it-IT"/>
              </w:rPr>
              <w:t>n=25</w:t>
            </w:r>
          </w:p>
        </w:tc>
        <w:tc>
          <w:tcPr>
            <w:tcW w:w="1365" w:type="pct"/>
          </w:tcPr>
          <w:p w14:paraId="25A7366C" w14:textId="77777777" w:rsidR="00AD2999" w:rsidRPr="001C3C2B" w:rsidRDefault="00AD2999" w:rsidP="00AD2999">
            <w:pPr>
              <w:keepNext/>
              <w:keepLines/>
              <w:jc w:val="both"/>
              <w:outlineLvl w:val="0"/>
              <w:rPr>
                <w:rFonts w:ascii="Times New Roman" w:eastAsia="Times" w:hAnsi="Times New Roman" w:cs="Times New Roman"/>
                <w:b/>
                <w:lang w:val="it-IT"/>
              </w:rPr>
            </w:pPr>
            <w:r w:rsidRPr="001C3C2B">
              <w:rPr>
                <w:rFonts w:ascii="Times New Roman" w:eastAsia="Times" w:hAnsi="Times New Roman" w:cs="Times New Roman"/>
                <w:b/>
              </w:rPr>
              <w:t>95% CI</w:t>
            </w:r>
            <w:r w:rsidRPr="001C3C2B">
              <w:rPr>
                <w:rFonts w:ascii="Times New Roman" w:eastAsia="Times" w:hAnsi="Times New Roman" w:cs="Times New Roman"/>
                <w:b/>
                <w:vertAlign w:val="superscript"/>
              </w:rPr>
              <w:t>α</w:t>
            </w:r>
          </w:p>
        </w:tc>
      </w:tr>
      <w:tr w:rsidR="00FB6D57" w:rsidRPr="003A22B9" w14:paraId="129E76A1" w14:textId="77777777" w:rsidTr="00043DF7">
        <w:trPr>
          <w:trHeight w:val="302"/>
        </w:trPr>
        <w:tc>
          <w:tcPr>
            <w:tcW w:w="1047" w:type="pct"/>
          </w:tcPr>
          <w:p w14:paraId="1105367C" w14:textId="7BCFEF6C"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1. m</w:t>
            </w:r>
            <w:r w:rsidR="00F8690A" w:rsidRPr="003A22B9">
              <w:rPr>
                <w:rFonts w:ascii="Times New Roman" w:eastAsia="Times" w:hAnsi="Times New Roman" w:cs="Times New Roman"/>
                <w:lang w:val="it-IT"/>
              </w:rPr>
              <w:t>j</w:t>
            </w:r>
            <w:r w:rsidRPr="003A22B9">
              <w:rPr>
                <w:rFonts w:ascii="Times New Roman" w:eastAsia="Times" w:hAnsi="Times New Roman" w:cs="Times New Roman"/>
                <w:lang w:val="it-IT"/>
              </w:rPr>
              <w:t>esec</w:t>
            </w:r>
          </w:p>
        </w:tc>
        <w:tc>
          <w:tcPr>
            <w:tcW w:w="2588" w:type="pct"/>
          </w:tcPr>
          <w:p w14:paraId="1007DC8F"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0</w:t>
            </w:r>
          </w:p>
        </w:tc>
        <w:tc>
          <w:tcPr>
            <w:tcW w:w="1365" w:type="pct"/>
          </w:tcPr>
          <w:p w14:paraId="18A5258E"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0,0%; 13,7%</w:t>
            </w:r>
          </w:p>
        </w:tc>
      </w:tr>
      <w:tr w:rsidR="00FB6D57" w:rsidRPr="003A22B9" w14:paraId="41BB96CA" w14:textId="77777777" w:rsidTr="00043DF7">
        <w:trPr>
          <w:trHeight w:val="302"/>
        </w:trPr>
        <w:tc>
          <w:tcPr>
            <w:tcW w:w="1047" w:type="pct"/>
          </w:tcPr>
          <w:p w14:paraId="6439C13F" w14:textId="7320FD5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2. m</w:t>
            </w:r>
            <w:r w:rsidR="00F8690A" w:rsidRPr="003A22B9">
              <w:rPr>
                <w:rFonts w:ascii="Times New Roman" w:eastAsia="Times" w:hAnsi="Times New Roman" w:cs="Times New Roman"/>
                <w:lang w:val="it-IT"/>
              </w:rPr>
              <w:t>j</w:t>
            </w:r>
            <w:r w:rsidRPr="003A22B9">
              <w:rPr>
                <w:rFonts w:ascii="Times New Roman" w:eastAsia="Times" w:hAnsi="Times New Roman" w:cs="Times New Roman"/>
                <w:lang w:val="it-IT"/>
              </w:rPr>
              <w:t>esec</w:t>
            </w:r>
          </w:p>
        </w:tc>
        <w:tc>
          <w:tcPr>
            <w:tcW w:w="2588" w:type="pct"/>
          </w:tcPr>
          <w:p w14:paraId="16B78806"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1 (4,0%)</w:t>
            </w:r>
          </w:p>
        </w:tc>
        <w:tc>
          <w:tcPr>
            <w:tcW w:w="1365" w:type="pct"/>
          </w:tcPr>
          <w:p w14:paraId="19EA0481"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0,1%; 20,4%</w:t>
            </w:r>
          </w:p>
        </w:tc>
      </w:tr>
      <w:tr w:rsidR="00FB6D57" w:rsidRPr="003A22B9" w14:paraId="3B94CBFB" w14:textId="77777777" w:rsidTr="00043DF7">
        <w:trPr>
          <w:trHeight w:val="302"/>
        </w:trPr>
        <w:tc>
          <w:tcPr>
            <w:tcW w:w="1047" w:type="pct"/>
          </w:tcPr>
          <w:p w14:paraId="549499A0" w14:textId="53A3DD3A"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4. m</w:t>
            </w:r>
            <w:r w:rsidR="00F8690A" w:rsidRPr="003A22B9">
              <w:rPr>
                <w:rFonts w:ascii="Times New Roman" w:eastAsia="Times" w:hAnsi="Times New Roman" w:cs="Times New Roman"/>
                <w:lang w:val="it-IT"/>
              </w:rPr>
              <w:t>j</w:t>
            </w:r>
            <w:r w:rsidRPr="003A22B9">
              <w:rPr>
                <w:rFonts w:ascii="Times New Roman" w:eastAsia="Times" w:hAnsi="Times New Roman" w:cs="Times New Roman"/>
                <w:lang w:val="it-IT"/>
              </w:rPr>
              <w:t>esec</w:t>
            </w:r>
          </w:p>
        </w:tc>
        <w:tc>
          <w:tcPr>
            <w:tcW w:w="2588" w:type="pct"/>
          </w:tcPr>
          <w:p w14:paraId="63D66B96"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5 (20,0%)</w:t>
            </w:r>
          </w:p>
        </w:tc>
        <w:tc>
          <w:tcPr>
            <w:tcW w:w="1365" w:type="pct"/>
          </w:tcPr>
          <w:p w14:paraId="33EA38E1"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6,8%; 40,7%</w:t>
            </w:r>
          </w:p>
        </w:tc>
      </w:tr>
      <w:tr w:rsidR="00FB6D57" w:rsidRPr="003A22B9" w14:paraId="51353DC6" w14:textId="77777777" w:rsidTr="00043DF7">
        <w:trPr>
          <w:trHeight w:val="302"/>
        </w:trPr>
        <w:tc>
          <w:tcPr>
            <w:tcW w:w="1047" w:type="pct"/>
          </w:tcPr>
          <w:p w14:paraId="56623785" w14:textId="506AE631"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6. m</w:t>
            </w:r>
            <w:r w:rsidR="00F8690A" w:rsidRPr="003A22B9">
              <w:rPr>
                <w:rFonts w:ascii="Times New Roman" w:eastAsia="Times" w:hAnsi="Times New Roman" w:cs="Times New Roman"/>
                <w:lang w:val="it-IT"/>
              </w:rPr>
              <w:t>j</w:t>
            </w:r>
            <w:r w:rsidRPr="003A22B9">
              <w:rPr>
                <w:rFonts w:ascii="Times New Roman" w:eastAsia="Times" w:hAnsi="Times New Roman" w:cs="Times New Roman"/>
                <w:lang w:val="it-IT"/>
              </w:rPr>
              <w:t>esec</w:t>
            </w:r>
          </w:p>
        </w:tc>
        <w:tc>
          <w:tcPr>
            <w:tcW w:w="2588" w:type="pct"/>
          </w:tcPr>
          <w:p w14:paraId="10F8D345"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13 (52,0%)</w:t>
            </w:r>
          </w:p>
        </w:tc>
        <w:tc>
          <w:tcPr>
            <w:tcW w:w="1365" w:type="pct"/>
          </w:tcPr>
          <w:p w14:paraId="34CDAB66"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31,3%; 72,2%</w:t>
            </w:r>
          </w:p>
        </w:tc>
      </w:tr>
      <w:tr w:rsidR="00FB6D57" w:rsidRPr="003A22B9" w14:paraId="14E40F5E" w14:textId="77777777" w:rsidTr="00043DF7">
        <w:trPr>
          <w:trHeight w:val="302"/>
        </w:trPr>
        <w:tc>
          <w:tcPr>
            <w:tcW w:w="1047" w:type="pct"/>
          </w:tcPr>
          <w:p w14:paraId="028FA6FB" w14:textId="173887D0"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12. m</w:t>
            </w:r>
            <w:r w:rsidR="00A1012F" w:rsidRPr="003A22B9">
              <w:rPr>
                <w:rFonts w:ascii="Times New Roman" w:eastAsia="Times" w:hAnsi="Times New Roman" w:cs="Times New Roman"/>
                <w:lang w:val="it-IT"/>
              </w:rPr>
              <w:t>j</w:t>
            </w:r>
            <w:r w:rsidRPr="003A22B9">
              <w:rPr>
                <w:rFonts w:ascii="Times New Roman" w:eastAsia="Times" w:hAnsi="Times New Roman" w:cs="Times New Roman"/>
                <w:lang w:val="it-IT"/>
              </w:rPr>
              <w:t>esec</w:t>
            </w:r>
          </w:p>
        </w:tc>
        <w:tc>
          <w:tcPr>
            <w:tcW w:w="2588" w:type="pct"/>
          </w:tcPr>
          <w:p w14:paraId="5C059AB0"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18 (72,0%)</w:t>
            </w:r>
          </w:p>
        </w:tc>
        <w:tc>
          <w:tcPr>
            <w:tcW w:w="1365" w:type="pct"/>
          </w:tcPr>
          <w:p w14:paraId="5E0C31EC"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50,6%; 87,9%</w:t>
            </w:r>
          </w:p>
        </w:tc>
      </w:tr>
      <w:tr w:rsidR="00AD2999" w:rsidRPr="003A22B9" w14:paraId="4AAC54D8" w14:textId="77777777" w:rsidTr="00043DF7">
        <w:trPr>
          <w:trHeight w:val="302"/>
        </w:trPr>
        <w:tc>
          <w:tcPr>
            <w:tcW w:w="1047" w:type="pct"/>
          </w:tcPr>
          <w:p w14:paraId="0C2E3A74" w14:textId="6EBEED69"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18. m</w:t>
            </w:r>
            <w:r w:rsidR="00A1012F" w:rsidRPr="003A22B9">
              <w:rPr>
                <w:rFonts w:ascii="Times New Roman" w:eastAsia="Times" w:hAnsi="Times New Roman" w:cs="Times New Roman"/>
                <w:lang w:val="it-IT"/>
              </w:rPr>
              <w:t>j</w:t>
            </w:r>
            <w:r w:rsidRPr="003A22B9">
              <w:rPr>
                <w:rFonts w:ascii="Times New Roman" w:eastAsia="Times" w:hAnsi="Times New Roman" w:cs="Times New Roman"/>
                <w:lang w:val="it-IT"/>
              </w:rPr>
              <w:t>esec</w:t>
            </w:r>
          </w:p>
        </w:tc>
        <w:tc>
          <w:tcPr>
            <w:tcW w:w="2588" w:type="pct"/>
          </w:tcPr>
          <w:p w14:paraId="64853B8C"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18 (72,0%)</w:t>
            </w:r>
          </w:p>
        </w:tc>
        <w:tc>
          <w:tcPr>
            <w:tcW w:w="1365" w:type="pct"/>
          </w:tcPr>
          <w:p w14:paraId="664A47AB" w14:textId="77777777" w:rsidR="00AD2999" w:rsidRPr="003A22B9" w:rsidRDefault="00AD2999" w:rsidP="00AD2999">
            <w:pPr>
              <w:keepNext/>
              <w:keepLines/>
              <w:jc w:val="both"/>
              <w:outlineLvl w:val="0"/>
              <w:rPr>
                <w:rFonts w:ascii="Times New Roman" w:eastAsia="Times" w:hAnsi="Times New Roman" w:cs="Times New Roman"/>
                <w:lang w:val="it-IT"/>
              </w:rPr>
            </w:pPr>
            <w:r w:rsidRPr="003A22B9">
              <w:rPr>
                <w:rFonts w:ascii="Times New Roman" w:eastAsia="Times" w:hAnsi="Times New Roman" w:cs="Times New Roman"/>
              </w:rPr>
              <w:t>50,6%; 87,9%</w:t>
            </w:r>
          </w:p>
        </w:tc>
      </w:tr>
      <w:tr w:rsidR="00AD2999" w:rsidRPr="003A22B9" w14:paraId="7B5F2F63" w14:textId="77777777" w:rsidTr="00043DF7">
        <w:tc>
          <w:tcPr>
            <w:tcW w:w="5000" w:type="pct"/>
            <w:gridSpan w:val="3"/>
          </w:tcPr>
          <w:p w14:paraId="503FC79F" w14:textId="7A8FDAF5" w:rsidR="00AD2999" w:rsidRPr="001C3C2B" w:rsidRDefault="00AD2999" w:rsidP="00AD2999">
            <w:pPr>
              <w:keepNext/>
              <w:keepLines/>
              <w:jc w:val="both"/>
              <w:outlineLvl w:val="0"/>
              <w:rPr>
                <w:rFonts w:ascii="Times New Roman" w:eastAsia="Times" w:hAnsi="Times New Roman" w:cs="Times New Roman"/>
                <w:sz w:val="20"/>
                <w:szCs w:val="20"/>
              </w:rPr>
            </w:pPr>
            <w:r w:rsidRPr="001C3C2B">
              <w:rPr>
                <w:rFonts w:ascii="Times New Roman" w:eastAsia="Times" w:hAnsi="Times New Roman" w:cs="Times New Roman"/>
                <w:sz w:val="20"/>
                <w:szCs w:val="20"/>
                <w:vertAlign w:val="superscript"/>
              </w:rPr>
              <w:t>*</w:t>
            </w:r>
            <w:r w:rsidRPr="001C3C2B">
              <w:rPr>
                <w:rFonts w:ascii="Times New Roman" w:eastAsia="Times" w:hAnsi="Times New Roman" w:cs="Times New Roman"/>
                <w:sz w:val="20"/>
                <w:szCs w:val="20"/>
              </w:rPr>
              <w:t xml:space="preserve"> PVAS rezultat 0 uz smanjenje doze glukokortikoida na 0,2 mg/kg na dan (ili 10 mg na dan, šta god je niže) u trenutku sprovođenja proc</w:t>
            </w:r>
            <w:r w:rsidR="00F8690A" w:rsidRPr="001C3C2B">
              <w:rPr>
                <w:rFonts w:ascii="Times New Roman" w:eastAsia="Times" w:hAnsi="Times New Roman" w:cs="Times New Roman"/>
                <w:sz w:val="20"/>
                <w:szCs w:val="20"/>
              </w:rPr>
              <w:t>j</w:t>
            </w:r>
            <w:r w:rsidRPr="001C3C2B">
              <w:rPr>
                <w:rFonts w:ascii="Times New Roman" w:eastAsia="Times" w:hAnsi="Times New Roman" w:cs="Times New Roman"/>
                <w:sz w:val="20"/>
                <w:szCs w:val="20"/>
              </w:rPr>
              <w:t xml:space="preserve">ene. </w:t>
            </w:r>
          </w:p>
          <w:p w14:paraId="39DA00D8" w14:textId="4D5691AA" w:rsidR="00AD2999" w:rsidRPr="003A22B9" w:rsidRDefault="00AD2999" w:rsidP="00AD2999">
            <w:pPr>
              <w:keepNext/>
              <w:keepLines/>
              <w:jc w:val="both"/>
              <w:outlineLvl w:val="0"/>
              <w:rPr>
                <w:rFonts w:ascii="Times New Roman" w:eastAsia="Times" w:hAnsi="Times New Roman" w:cs="Times New Roman"/>
                <w:lang w:val="it-IT"/>
              </w:rPr>
            </w:pPr>
            <w:r w:rsidRPr="001C3C2B">
              <w:rPr>
                <w:rFonts w:ascii="Times New Roman" w:eastAsia="Times" w:hAnsi="Times New Roman" w:cs="Times New Roman"/>
                <w:sz w:val="20"/>
                <w:szCs w:val="20"/>
                <w:vertAlign w:val="superscript"/>
              </w:rPr>
              <w:t>α</w:t>
            </w:r>
            <w:r w:rsidRPr="001C3C2B">
              <w:rPr>
                <w:rFonts w:ascii="Times New Roman" w:eastAsia="Times" w:hAnsi="Times New Roman" w:cs="Times New Roman"/>
                <w:sz w:val="20"/>
                <w:szCs w:val="20"/>
                <w:lang w:val="it-IT"/>
              </w:rPr>
              <w:t xml:space="preserve"> Rezultati za efikasnost su eksplorativni i za te</w:t>
            </w:r>
            <w:r w:rsidR="00F52D0D" w:rsidRPr="001C3C2B">
              <w:rPr>
                <w:rFonts w:ascii="Times New Roman" w:eastAsia="Times" w:hAnsi="Times New Roman" w:cs="Times New Roman"/>
                <w:sz w:val="20"/>
                <w:szCs w:val="20"/>
                <w:lang w:val="it-IT"/>
              </w:rPr>
              <w:t xml:space="preserve"> parametre praćenja</w:t>
            </w:r>
            <w:r w:rsidRPr="001C3C2B">
              <w:rPr>
                <w:rFonts w:ascii="Times New Roman" w:eastAsia="Times" w:hAnsi="Times New Roman" w:cs="Times New Roman"/>
                <w:sz w:val="20"/>
                <w:szCs w:val="20"/>
                <w:lang w:val="it-IT"/>
              </w:rPr>
              <w:t xml:space="preserve"> nije sprovedeno formalno statističko ispitivanje. Do 6. m</w:t>
            </w:r>
            <w:r w:rsidR="007933F7" w:rsidRPr="001C3C2B">
              <w:rPr>
                <w:rFonts w:ascii="Times New Roman" w:eastAsia="Times" w:hAnsi="Times New Roman" w:cs="Times New Roman"/>
                <w:sz w:val="20"/>
                <w:szCs w:val="20"/>
                <w:lang w:val="it-IT"/>
              </w:rPr>
              <w:t>j</w:t>
            </w:r>
            <w:r w:rsidRPr="001C3C2B">
              <w:rPr>
                <w:rFonts w:ascii="Times New Roman" w:eastAsia="Times" w:hAnsi="Times New Roman" w:cs="Times New Roman"/>
                <w:sz w:val="20"/>
                <w:szCs w:val="20"/>
                <w:lang w:val="it-IT"/>
              </w:rPr>
              <w:t>eseca svi su pacijenti primali istu terapiju rituksimabom (4 infuzije u dozi od 375 mg/m</w:t>
            </w:r>
            <w:r w:rsidRPr="001C3C2B">
              <w:rPr>
                <w:rFonts w:ascii="Times New Roman" w:eastAsia="Times" w:hAnsi="Times New Roman" w:cs="Times New Roman"/>
                <w:sz w:val="20"/>
                <w:szCs w:val="20"/>
                <w:vertAlign w:val="superscript"/>
                <w:lang w:val="it-IT"/>
              </w:rPr>
              <w:t>2</w:t>
            </w:r>
            <w:r w:rsidRPr="001C3C2B">
              <w:rPr>
                <w:rFonts w:ascii="Times New Roman" w:eastAsia="Times" w:hAnsi="Times New Roman" w:cs="Times New Roman"/>
                <w:sz w:val="20"/>
                <w:szCs w:val="20"/>
                <w:lang w:val="it-IT"/>
              </w:rPr>
              <w:t>). Tokom perioda praćenja (nakon 6. m</w:t>
            </w:r>
            <w:r w:rsidR="007933F7" w:rsidRPr="001C3C2B">
              <w:rPr>
                <w:rFonts w:ascii="Times New Roman" w:eastAsia="Times" w:hAnsi="Times New Roman" w:cs="Times New Roman"/>
                <w:sz w:val="20"/>
                <w:szCs w:val="20"/>
                <w:lang w:val="it-IT"/>
              </w:rPr>
              <w:t>j</w:t>
            </w:r>
            <w:r w:rsidRPr="001C3C2B">
              <w:rPr>
                <w:rFonts w:ascii="Times New Roman" w:eastAsia="Times" w:hAnsi="Times New Roman" w:cs="Times New Roman"/>
                <w:sz w:val="20"/>
                <w:szCs w:val="20"/>
                <w:lang w:val="it-IT"/>
              </w:rPr>
              <w:t>eseca) terapija se prim</w:t>
            </w:r>
            <w:r w:rsidR="007933F7" w:rsidRPr="001C3C2B">
              <w:rPr>
                <w:rFonts w:ascii="Times New Roman" w:eastAsia="Times" w:hAnsi="Times New Roman" w:cs="Times New Roman"/>
                <w:sz w:val="20"/>
                <w:szCs w:val="20"/>
                <w:lang w:val="it-IT"/>
              </w:rPr>
              <w:t>j</w:t>
            </w:r>
            <w:r w:rsidRPr="001C3C2B">
              <w:rPr>
                <w:rFonts w:ascii="Times New Roman" w:eastAsia="Times" w:hAnsi="Times New Roman" w:cs="Times New Roman"/>
                <w:sz w:val="20"/>
                <w:szCs w:val="20"/>
                <w:lang w:val="it-IT"/>
              </w:rPr>
              <w:t>enjivala prema odluci ispitivača.</w:t>
            </w:r>
          </w:p>
        </w:tc>
      </w:tr>
    </w:tbl>
    <w:p w14:paraId="0DA9EFC4" w14:textId="77777777"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p>
    <w:p w14:paraId="4B5FDCFD" w14:textId="77777777" w:rsidR="00AD2999" w:rsidRPr="003A22B9" w:rsidRDefault="00AD2999" w:rsidP="00AD2999">
      <w:pPr>
        <w:keepNext/>
        <w:keepLines/>
        <w:spacing w:after="0" w:line="240" w:lineRule="auto"/>
        <w:jc w:val="both"/>
        <w:outlineLvl w:val="0"/>
        <w:rPr>
          <w:rFonts w:ascii="Times New Roman" w:eastAsia="Times" w:hAnsi="Times New Roman" w:cs="Times New Roman"/>
          <w:i/>
          <w:lang w:val="it-IT"/>
        </w:rPr>
      </w:pPr>
      <w:r w:rsidRPr="003A22B9">
        <w:rPr>
          <w:rFonts w:ascii="Times New Roman" w:eastAsia="Times" w:hAnsi="Times New Roman" w:cs="Times New Roman"/>
          <w:i/>
          <w:lang w:val="it-IT"/>
        </w:rPr>
        <w:t>Laboratorijski nalazi</w:t>
      </w:r>
    </w:p>
    <w:p w14:paraId="37ADA4E3" w14:textId="25F7709E"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Tokom c</w:t>
      </w:r>
      <w:r w:rsidR="00972169" w:rsidRPr="003A22B9">
        <w:rPr>
          <w:rFonts w:ascii="Times New Roman" w:eastAsia="Times" w:hAnsi="Times New Roman" w:cs="Times New Roman"/>
          <w:lang w:val="it-IT"/>
        </w:rPr>
        <w:t>j</w:t>
      </w:r>
      <w:r w:rsidRPr="003A22B9">
        <w:rPr>
          <w:rFonts w:ascii="Times New Roman" w:eastAsia="Times" w:hAnsi="Times New Roman" w:cs="Times New Roman"/>
          <w:lang w:val="it-IT"/>
        </w:rPr>
        <w:t>elokupnog perioda studije, antit</w:t>
      </w:r>
      <w:r w:rsidR="00972169" w:rsidRPr="003A22B9">
        <w:rPr>
          <w:rFonts w:ascii="Times New Roman" w:eastAsia="Times" w:hAnsi="Times New Roman" w:cs="Times New Roman"/>
          <w:lang w:val="it-IT"/>
        </w:rPr>
        <w:t>ij</w:t>
      </w:r>
      <w:r w:rsidRPr="003A22B9">
        <w:rPr>
          <w:rFonts w:ascii="Times New Roman" w:eastAsia="Times" w:hAnsi="Times New Roman" w:cs="Times New Roman"/>
          <w:lang w:val="it-IT"/>
        </w:rPr>
        <w:t>ela na l</w:t>
      </w:r>
      <w:r w:rsidR="00972169" w:rsidRPr="003A22B9">
        <w:rPr>
          <w:rFonts w:ascii="Times New Roman" w:eastAsia="Times" w:hAnsi="Times New Roman" w:cs="Times New Roman"/>
          <w:lang w:val="it-IT"/>
        </w:rPr>
        <w:t>ij</w:t>
      </w:r>
      <w:r w:rsidRPr="003A22B9">
        <w:rPr>
          <w:rFonts w:ascii="Times New Roman" w:eastAsia="Times" w:hAnsi="Times New Roman" w:cs="Times New Roman"/>
          <w:lang w:val="it-IT"/>
        </w:rPr>
        <w:t>ek su se razvila kod ukupno 4/25 pacijenta (16%). Ograničeni podaci pokazuju da nije zapažen trend povezan sa neželjenim reakcijama prijavljenim kod pacijenata pozitivnim na antit</w:t>
      </w:r>
      <w:r w:rsidR="00451806" w:rsidRPr="003A22B9">
        <w:rPr>
          <w:rFonts w:ascii="Times New Roman" w:eastAsia="Times" w:hAnsi="Times New Roman" w:cs="Times New Roman"/>
          <w:lang w:val="it-IT"/>
        </w:rPr>
        <w:t>ij</w:t>
      </w:r>
      <w:r w:rsidRPr="003A22B9">
        <w:rPr>
          <w:rFonts w:ascii="Times New Roman" w:eastAsia="Times" w:hAnsi="Times New Roman" w:cs="Times New Roman"/>
          <w:lang w:val="it-IT"/>
        </w:rPr>
        <w:t>ela na l</w:t>
      </w:r>
      <w:r w:rsidR="00451806" w:rsidRPr="003A22B9">
        <w:rPr>
          <w:rFonts w:ascii="Times New Roman" w:eastAsia="Times" w:hAnsi="Times New Roman" w:cs="Times New Roman"/>
          <w:lang w:val="it-IT"/>
        </w:rPr>
        <w:t>ij</w:t>
      </w:r>
      <w:r w:rsidRPr="003A22B9">
        <w:rPr>
          <w:rFonts w:ascii="Times New Roman" w:eastAsia="Times" w:hAnsi="Times New Roman" w:cs="Times New Roman"/>
          <w:lang w:val="it-IT"/>
        </w:rPr>
        <w:t xml:space="preserve">ek. </w:t>
      </w:r>
    </w:p>
    <w:p w14:paraId="1B9B5D2D" w14:textId="77777777"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p>
    <w:p w14:paraId="3252507B" w14:textId="1DAB4AE2"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Prisustvo antit</w:t>
      </w:r>
      <w:r w:rsidR="002A6DD0" w:rsidRPr="003A22B9">
        <w:rPr>
          <w:rFonts w:ascii="Times New Roman" w:eastAsia="Times" w:hAnsi="Times New Roman" w:cs="Times New Roman"/>
          <w:lang w:val="it-IT"/>
        </w:rPr>
        <w:t>ij</w:t>
      </w:r>
      <w:r w:rsidRPr="003A22B9">
        <w:rPr>
          <w:rFonts w:ascii="Times New Roman" w:eastAsia="Times" w:hAnsi="Times New Roman" w:cs="Times New Roman"/>
          <w:lang w:val="it-IT"/>
        </w:rPr>
        <w:t>ela na l</w:t>
      </w:r>
      <w:r w:rsidR="002A6DD0" w:rsidRPr="003A22B9">
        <w:rPr>
          <w:rFonts w:ascii="Times New Roman" w:eastAsia="Times" w:hAnsi="Times New Roman" w:cs="Times New Roman"/>
          <w:lang w:val="it-IT"/>
        </w:rPr>
        <w:t>ij</w:t>
      </w:r>
      <w:r w:rsidRPr="003A22B9">
        <w:rPr>
          <w:rFonts w:ascii="Times New Roman" w:eastAsia="Times" w:hAnsi="Times New Roman" w:cs="Times New Roman"/>
          <w:lang w:val="it-IT"/>
        </w:rPr>
        <w:t>ek nije imalo prim</w:t>
      </w:r>
      <w:r w:rsidR="002A6DD0" w:rsidRPr="003A22B9">
        <w:rPr>
          <w:rFonts w:ascii="Times New Roman" w:eastAsia="Times" w:hAnsi="Times New Roman" w:cs="Times New Roman"/>
          <w:lang w:val="it-IT"/>
        </w:rPr>
        <w:t>j</w:t>
      </w:r>
      <w:r w:rsidRPr="003A22B9">
        <w:rPr>
          <w:rFonts w:ascii="Times New Roman" w:eastAsia="Times" w:hAnsi="Times New Roman" w:cs="Times New Roman"/>
          <w:lang w:val="it-IT"/>
        </w:rPr>
        <w:t>etan trend ili negativan uticaj na bezb</w:t>
      </w:r>
      <w:r w:rsidR="00357EB2" w:rsidRPr="003A22B9">
        <w:rPr>
          <w:rFonts w:ascii="Times New Roman" w:eastAsia="Times" w:hAnsi="Times New Roman" w:cs="Times New Roman"/>
          <w:lang w:val="it-IT"/>
        </w:rPr>
        <w:t>j</w:t>
      </w:r>
      <w:r w:rsidRPr="003A22B9">
        <w:rPr>
          <w:rFonts w:ascii="Times New Roman" w:eastAsia="Times" w:hAnsi="Times New Roman" w:cs="Times New Roman"/>
          <w:lang w:val="it-IT"/>
        </w:rPr>
        <w:t>ednost i efikasnost u kliničkim ispitivanjima kod pedijatrijskih bolesnika s</w:t>
      </w:r>
      <w:r w:rsidR="00357EB2" w:rsidRPr="003A22B9">
        <w:rPr>
          <w:rFonts w:ascii="Times New Roman" w:eastAsia="Times" w:hAnsi="Times New Roman" w:cs="Times New Roman"/>
          <w:lang w:val="it-IT"/>
        </w:rPr>
        <w:t>a</w:t>
      </w:r>
      <w:r w:rsidRPr="003A22B9">
        <w:rPr>
          <w:rFonts w:ascii="Times New Roman" w:eastAsia="Times" w:hAnsi="Times New Roman" w:cs="Times New Roman"/>
          <w:lang w:val="it-IT"/>
        </w:rPr>
        <w:t xml:space="preserve"> GPA-om i MPA-om.</w:t>
      </w:r>
    </w:p>
    <w:p w14:paraId="1AE63CF4" w14:textId="77777777"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p>
    <w:p w14:paraId="0DBD0DF2" w14:textId="75945EF9"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r w:rsidRPr="003A22B9">
        <w:rPr>
          <w:rFonts w:ascii="Times New Roman" w:eastAsia="Times" w:hAnsi="Times New Roman" w:cs="Times New Roman"/>
          <w:lang w:val="it-IT"/>
        </w:rPr>
        <w:t>Evropska agencija za l</w:t>
      </w:r>
      <w:r w:rsidR="00DD487B" w:rsidRPr="003A22B9">
        <w:rPr>
          <w:rFonts w:ascii="Times New Roman" w:eastAsia="Times" w:hAnsi="Times New Roman" w:cs="Times New Roman"/>
          <w:lang w:val="it-IT"/>
        </w:rPr>
        <w:t>j</w:t>
      </w:r>
      <w:r w:rsidRPr="003A22B9">
        <w:rPr>
          <w:rFonts w:ascii="Times New Roman" w:eastAsia="Times" w:hAnsi="Times New Roman" w:cs="Times New Roman"/>
          <w:lang w:val="it-IT"/>
        </w:rPr>
        <w:t xml:space="preserve">ekove izuzela je od obaveze podnošenja rezultata studija sa rituksimabom u pedijatrijskoj populaciji u uzrastu od &lt; 2 godine za indikacije teškog aktivnog GPA ili MPA </w:t>
      </w:r>
      <w:r w:rsidR="009052D3">
        <w:rPr>
          <w:rFonts w:ascii="Times New Roman" w:eastAsia="Times" w:hAnsi="Times New Roman" w:cs="Times New Roman"/>
          <w:lang w:val="it-IT"/>
        </w:rPr>
        <w:t>(v</w:t>
      </w:r>
      <w:r w:rsidRPr="003A22B9">
        <w:rPr>
          <w:rFonts w:ascii="Times New Roman" w:eastAsia="Times" w:hAnsi="Times New Roman" w:cs="Times New Roman"/>
          <w:lang w:val="it-IT"/>
        </w:rPr>
        <w:t>id</w:t>
      </w:r>
      <w:r w:rsidR="00DD487B" w:rsidRPr="003A22B9">
        <w:rPr>
          <w:rFonts w:ascii="Times New Roman" w:eastAsia="Times" w:hAnsi="Times New Roman" w:cs="Times New Roman"/>
          <w:lang w:val="it-IT"/>
        </w:rPr>
        <w:t>j</w:t>
      </w:r>
      <w:r w:rsidRPr="003A22B9">
        <w:rPr>
          <w:rFonts w:ascii="Times New Roman" w:eastAsia="Times" w:hAnsi="Times New Roman" w:cs="Times New Roman"/>
          <w:lang w:val="it-IT"/>
        </w:rPr>
        <w:t xml:space="preserve">eti </w:t>
      </w:r>
      <w:r w:rsidR="00EA6A05" w:rsidRPr="003A22B9">
        <w:rPr>
          <w:rFonts w:ascii="Times New Roman" w:eastAsia="Times" w:hAnsi="Times New Roman" w:cs="Times New Roman"/>
          <w:lang w:val="it-IT"/>
        </w:rPr>
        <w:t>dio</w:t>
      </w:r>
      <w:r w:rsidRPr="003A22B9">
        <w:rPr>
          <w:rFonts w:ascii="Times New Roman" w:eastAsia="Times" w:hAnsi="Times New Roman" w:cs="Times New Roman"/>
          <w:lang w:val="it-IT"/>
        </w:rPr>
        <w:t xml:space="preserve"> 4.2. za informacije o pedijatrijskoj prim</w:t>
      </w:r>
      <w:r w:rsidR="00DD487B" w:rsidRPr="003A22B9">
        <w:rPr>
          <w:rFonts w:ascii="Times New Roman" w:eastAsia="Times" w:hAnsi="Times New Roman" w:cs="Times New Roman"/>
          <w:lang w:val="it-IT"/>
        </w:rPr>
        <w:t>j</w:t>
      </w:r>
      <w:r w:rsidRPr="003A22B9">
        <w:rPr>
          <w:rFonts w:ascii="Times New Roman" w:eastAsia="Times" w:hAnsi="Times New Roman" w:cs="Times New Roman"/>
          <w:lang w:val="it-IT"/>
        </w:rPr>
        <w:t>eni</w:t>
      </w:r>
      <w:r w:rsidR="009052D3">
        <w:rPr>
          <w:rFonts w:ascii="Times New Roman" w:eastAsia="Times" w:hAnsi="Times New Roman" w:cs="Times New Roman"/>
          <w:lang w:val="it-IT"/>
        </w:rPr>
        <w:t>).</w:t>
      </w:r>
    </w:p>
    <w:p w14:paraId="28CCC453" w14:textId="77777777" w:rsidR="00AD2999" w:rsidRPr="003A22B9" w:rsidRDefault="00AD2999" w:rsidP="00AD2999">
      <w:pPr>
        <w:keepNext/>
        <w:keepLines/>
        <w:spacing w:after="0" w:line="240" w:lineRule="auto"/>
        <w:jc w:val="both"/>
        <w:outlineLvl w:val="0"/>
        <w:rPr>
          <w:rFonts w:ascii="Times New Roman" w:eastAsia="Times" w:hAnsi="Times New Roman" w:cs="Times New Roman"/>
          <w:lang w:val="it-IT"/>
        </w:rPr>
      </w:pPr>
    </w:p>
    <w:p w14:paraId="4F480350" w14:textId="77777777" w:rsidR="00A75B47" w:rsidRPr="003A22B9" w:rsidRDefault="00A75B47" w:rsidP="00A75B47">
      <w:pPr>
        <w:keepNext/>
        <w:keepLines/>
        <w:spacing w:after="0" w:line="240" w:lineRule="auto"/>
        <w:jc w:val="both"/>
        <w:outlineLvl w:val="0"/>
        <w:rPr>
          <w:rFonts w:ascii="Times New Roman" w:eastAsia="Times" w:hAnsi="Times New Roman" w:cs="Times New Roman"/>
          <w:u w:val="single"/>
          <w:lang w:val="sr-Latn-ME"/>
        </w:rPr>
      </w:pPr>
      <w:r w:rsidRPr="003A22B9">
        <w:rPr>
          <w:rFonts w:ascii="Times New Roman" w:eastAsia="Times" w:hAnsi="Times New Roman" w:cs="Times New Roman"/>
          <w:u w:val="single"/>
          <w:lang w:val="sr-Latn-ME"/>
        </w:rPr>
        <w:t>Kliničko iskustvo u liječenju običnog pemfigusa</w:t>
      </w:r>
    </w:p>
    <w:p w14:paraId="18B3FBC4" w14:textId="5C21335D" w:rsidR="00A75B47" w:rsidRPr="003A22B9" w:rsidRDefault="00A75B47" w:rsidP="00A75B47">
      <w:pPr>
        <w:keepNext/>
        <w:spacing w:after="0" w:line="240" w:lineRule="auto"/>
        <w:jc w:val="both"/>
        <w:rPr>
          <w:rFonts w:ascii="Times New Roman" w:eastAsia="Times New Roman" w:hAnsi="Times New Roman" w:cs="Times New Roman"/>
          <w:lang w:val="sr-Latn-ME"/>
        </w:rPr>
      </w:pPr>
    </w:p>
    <w:p w14:paraId="54599131" w14:textId="28872981" w:rsidR="00B74B91" w:rsidRPr="003A22B9" w:rsidRDefault="00B74B91" w:rsidP="00B74B91">
      <w:pPr>
        <w:keepNext/>
        <w:spacing w:after="0" w:line="240" w:lineRule="auto"/>
        <w:jc w:val="both"/>
        <w:rPr>
          <w:rFonts w:ascii="Times New Roman" w:eastAsia="Times New Roman" w:hAnsi="Times New Roman" w:cs="Times New Roman"/>
          <w:lang w:val="it-IT"/>
        </w:rPr>
      </w:pPr>
      <w:r w:rsidRPr="003A22B9">
        <w:rPr>
          <w:rFonts w:ascii="Times New Roman" w:eastAsia="Times New Roman" w:hAnsi="Times New Roman" w:cs="Times New Roman"/>
          <w:lang w:val="it-IT"/>
        </w:rPr>
        <w:t>PV Studija 1 (</w:t>
      </w:r>
      <w:r w:rsidR="00C72E8F" w:rsidRPr="003A22B9">
        <w:rPr>
          <w:rFonts w:ascii="Times New Roman" w:eastAsia="Times New Roman" w:hAnsi="Times New Roman" w:cs="Times New Roman"/>
          <w:lang w:val="it-IT"/>
        </w:rPr>
        <w:t>ML</w:t>
      </w:r>
      <w:r w:rsidRPr="003A22B9">
        <w:rPr>
          <w:rFonts w:ascii="Times New Roman" w:eastAsia="Times New Roman" w:hAnsi="Times New Roman" w:cs="Times New Roman"/>
          <w:lang w:val="it-IT"/>
        </w:rPr>
        <w:t>22196)</w:t>
      </w:r>
    </w:p>
    <w:p w14:paraId="00BC56C6" w14:textId="77777777" w:rsidR="00B74B91" w:rsidRPr="003A22B9" w:rsidRDefault="00B74B91" w:rsidP="00A75B47">
      <w:pPr>
        <w:keepNext/>
        <w:spacing w:after="0" w:line="240" w:lineRule="auto"/>
        <w:jc w:val="both"/>
        <w:rPr>
          <w:rFonts w:ascii="Times New Roman" w:eastAsia="Times New Roman" w:hAnsi="Times New Roman" w:cs="Times New Roman"/>
          <w:lang w:val="sr-Latn-ME"/>
        </w:rPr>
      </w:pPr>
    </w:p>
    <w:p w14:paraId="4BCE50AA" w14:textId="06A1AE1B" w:rsidR="00A75B47" w:rsidRPr="003A22B9" w:rsidRDefault="00A75B47" w:rsidP="00A75B47">
      <w:pPr>
        <w:keepNext/>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Efikasnost i bezbjednost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 xml:space="preserve">u kombinaciji s kratkoročnom terapijom niskom dozom glukokortikoida (prednizona) ocjenjivale su se kod novodijagnostikovanih pacijenata sa umjerenim do teškim pemfigusom (74 pacijenta s običnim pemfigusom [PV] i 16 pacijenata koji su imali </w:t>
      </w:r>
      <w:r w:rsidRPr="003A22B9">
        <w:rPr>
          <w:rFonts w:ascii="Times New Roman" w:eastAsia="Times New Roman" w:hAnsi="Times New Roman" w:cs="Times New Roman"/>
          <w:i/>
          <w:lang w:val="sr-Latn-ME"/>
        </w:rPr>
        <w:t>pemphigus foliaceus</w:t>
      </w:r>
      <w:r w:rsidRPr="003A22B9">
        <w:rPr>
          <w:rFonts w:ascii="Times New Roman" w:eastAsia="Times New Roman" w:hAnsi="Times New Roman" w:cs="Times New Roman"/>
          <w:lang w:val="sr-Latn-ME"/>
        </w:rPr>
        <w:t xml:space="preserve"> [PF]) u randomizovanom, otvorenom, kontrolisanom, multicentričnom ispitivanju. Pacijenti su bili starosti od 19 do 79 godina i nijesu prethodno primali terapiju za pemfigus. U populaciji pacijenata sa PV-om 5 (13%) pacijenata liječenih </w:t>
      </w:r>
      <w:r w:rsidRPr="003A22B9">
        <w:rPr>
          <w:rFonts w:ascii="Times New Roman" w:eastAsia="Times New Roman" w:hAnsi="Times New Roman" w:cs="Times New Roman"/>
          <w:color w:val="000000"/>
          <w:shd w:val="clear" w:color="auto" w:fill="FFFFFF"/>
          <w:lang w:val="sr-Latn-ME"/>
        </w:rPr>
        <w:t>rituksimabom</w:t>
      </w:r>
      <w:r w:rsidRPr="003A22B9">
        <w:rPr>
          <w:rFonts w:ascii="Times New Roman" w:eastAsia="Times New Roman" w:hAnsi="Times New Roman" w:cs="Times New Roman"/>
          <w:lang w:val="sr-Latn-ME"/>
        </w:rPr>
        <w:t xml:space="preserve"> i 3 (8%) pacijenta liječena standardnom dozom prednizona imala su umjereni oblik bolesti, dok su 33 (87%) pacijenta liječena </w:t>
      </w:r>
      <w:r w:rsidRPr="003A22B9">
        <w:rPr>
          <w:rFonts w:ascii="Times New Roman" w:eastAsia="Times New Roman" w:hAnsi="Times New Roman" w:cs="Times New Roman"/>
          <w:color w:val="000000"/>
          <w:shd w:val="clear" w:color="auto" w:fill="FFFFFF"/>
          <w:lang w:val="sr-Latn-ME"/>
        </w:rPr>
        <w:t xml:space="preserve">rituksimabom </w:t>
      </w:r>
      <w:r w:rsidRPr="003A22B9">
        <w:rPr>
          <w:rFonts w:ascii="Times New Roman" w:eastAsia="Times New Roman" w:hAnsi="Times New Roman" w:cs="Times New Roman"/>
          <w:lang w:val="sr-Latn-ME"/>
        </w:rPr>
        <w:t>i 33 (92%) pacijenta liječena standardnom dozom prednizona imala težak oblik bolesti prema Harmanovim kriterijima za ocjenu težine bolesti.</w:t>
      </w:r>
    </w:p>
    <w:p w14:paraId="44F9680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F184EA0" w14:textId="645001B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Pacijenti su bili stratifikovani prema težini bolesti na početku ispitivanja (umjerena ili teška) i bili su randomiz</w:t>
      </w:r>
      <w:r w:rsidR="00F52D0D" w:rsidRPr="003A22B9">
        <w:rPr>
          <w:rFonts w:ascii="Times New Roman" w:eastAsia="Times New Roman" w:hAnsi="Times New Roman" w:cs="Times New Roman"/>
          <w:lang w:val="sr-Latn-ME"/>
        </w:rPr>
        <w:t>ovani</w:t>
      </w:r>
      <w:r w:rsidRPr="003A22B9">
        <w:rPr>
          <w:rFonts w:ascii="Times New Roman" w:eastAsia="Times New Roman" w:hAnsi="Times New Roman" w:cs="Times New Roman"/>
          <w:lang w:val="sr-Latn-ME"/>
        </w:rPr>
        <w:t xml:space="preserve"> u odnosu 1:1 za primanje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 xml:space="preserve">i niske doze prednizona ili standardne doze </w:t>
      </w:r>
      <w:r w:rsidRPr="003A22B9">
        <w:rPr>
          <w:rFonts w:ascii="Times New Roman" w:eastAsia="Times New Roman" w:hAnsi="Times New Roman" w:cs="Times New Roman"/>
          <w:lang w:val="sr-Latn-ME"/>
        </w:rPr>
        <w:lastRenderedPageBreak/>
        <w:t xml:space="preserve">prednizona. Pacijenti randomizovani u grupu liječenu </w:t>
      </w:r>
      <w:r w:rsidRPr="003A22B9">
        <w:rPr>
          <w:rFonts w:ascii="Times New Roman" w:eastAsia="Times New Roman" w:hAnsi="Times New Roman" w:cs="Times New Roman"/>
          <w:color w:val="000000"/>
          <w:shd w:val="clear" w:color="auto" w:fill="FFFFFF"/>
          <w:lang w:val="sr-Latn-ME"/>
        </w:rPr>
        <w:t xml:space="preserve">rituksimabom </w:t>
      </w:r>
      <w:r w:rsidRPr="003A22B9">
        <w:rPr>
          <w:rFonts w:ascii="Times New Roman" w:eastAsia="Times New Roman" w:hAnsi="Times New Roman" w:cs="Times New Roman"/>
          <w:lang w:val="sr-Latn-ME"/>
        </w:rPr>
        <w:t xml:space="preserve">primili su početnu intravensku infuziju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 xml:space="preserve">u dozi od 1000 mg na 1. dan ispitivanja i prednizon u peroralnoj dozi od 0,5 mg/kg na dan, koja se postupno smanjivala tokom 3 mjeseca ako su imali umjerenu bolest, odnosno u peroralnoj dozi od 1 mg/kg na dan, koja se postupno smanjivala tokom 6 mjeseci ako su imali tešku bolest. Drugu intravensku infuziju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 xml:space="preserve">u dozi od 1000 mg primili su 15. dana ispitivanja. Infuzije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 xml:space="preserve">u dozi od 500 mg za terapiju održavanja primijenjene su u 12. i 18. mjesecu. Pacijenti randomizovani u grupu liječenu standardnom dozom prednizona primali su prednizon u početnoj peroralnoj dozi od 1 mg/kg na dan, koja se postupno smanjivala tokom 12 mjeseci ako su imali umjerenu bolest, odnosno u početnoj peroralnoj dozi od 1,5 mg/kg na dan, koja se postupno smanjivala tokom 18 mjeseci ako su imali tešku bolest. Pacijentima u grupi liječenoj </w:t>
      </w:r>
      <w:r w:rsidRPr="003A22B9">
        <w:rPr>
          <w:rFonts w:ascii="Times New Roman" w:eastAsia="Times New Roman" w:hAnsi="Times New Roman" w:cs="Times New Roman"/>
          <w:color w:val="000000"/>
          <w:shd w:val="clear" w:color="auto" w:fill="FFFFFF"/>
          <w:lang w:val="sr-Latn-ME"/>
        </w:rPr>
        <w:t xml:space="preserve">rituksimabom </w:t>
      </w:r>
      <w:r w:rsidRPr="003A22B9">
        <w:rPr>
          <w:rFonts w:ascii="Times New Roman" w:eastAsia="Times New Roman" w:hAnsi="Times New Roman" w:cs="Times New Roman"/>
          <w:lang w:val="sr-Latn-ME"/>
        </w:rPr>
        <w:t xml:space="preserve">koji su doživjeli relaps mogla se primijeniti dodatna infuzija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u dozi od 1000 mg i ponovno uvesti prednizon ili povećati njegova doza. Infuzije za terapiju održavanja i liječenje relapsa primjenjivale su se najranije 16 nedjelja nakon prethodne infuzije.</w:t>
      </w:r>
    </w:p>
    <w:p w14:paraId="528D1C8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0A8D318E" w14:textId="6C5ED11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Primarni cilj ispitivanja bila je potpuna remisija (potpuna epitelizacija i odsu</w:t>
      </w:r>
      <w:r w:rsidR="00F52D0D" w:rsidRPr="003A22B9">
        <w:rPr>
          <w:rFonts w:ascii="Times New Roman" w:eastAsia="Times New Roman" w:hAnsi="Times New Roman" w:cs="Times New Roman"/>
          <w:lang w:val="sr-Latn-ME"/>
        </w:rPr>
        <w:t>stvo</w:t>
      </w:r>
      <w:r w:rsidRPr="003A22B9">
        <w:rPr>
          <w:rFonts w:ascii="Times New Roman" w:eastAsia="Times New Roman" w:hAnsi="Times New Roman" w:cs="Times New Roman"/>
          <w:lang w:val="sr-Latn-ME"/>
        </w:rPr>
        <w:t xml:space="preserve"> novih i/ili ranije postojećih lezija) u 24. mjesecu bez primjene prednizona tokom dva ili više mjeseci (potpuna remisija bez primjene kortikosteroida tokom ≥ 2 mjeseca).   </w:t>
      </w:r>
    </w:p>
    <w:p w14:paraId="65B2D06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7F0F122" w14:textId="4EAA7FF5" w:rsidR="00A75B47" w:rsidRPr="003A22B9" w:rsidRDefault="00A75B47" w:rsidP="00A75B47">
      <w:pPr>
        <w:keepNext/>
        <w:keepLines/>
        <w:spacing w:after="0" w:line="240" w:lineRule="auto"/>
        <w:jc w:val="both"/>
        <w:outlineLvl w:val="0"/>
        <w:rPr>
          <w:rFonts w:ascii="Times New Roman" w:eastAsia="Times" w:hAnsi="Times New Roman" w:cs="Times New Roman"/>
          <w:i/>
          <w:lang w:val="sr-Latn-ME"/>
        </w:rPr>
      </w:pPr>
      <w:r w:rsidRPr="003A22B9">
        <w:rPr>
          <w:rFonts w:ascii="Times New Roman" w:eastAsia="Times" w:hAnsi="Times New Roman" w:cs="Times New Roman"/>
          <w:i/>
          <w:lang w:val="sr-Latn-ME"/>
        </w:rPr>
        <w:t>Rezultati</w:t>
      </w:r>
      <w:r w:rsidR="00CA2DD2" w:rsidRPr="003A22B9">
        <w:rPr>
          <w:rFonts w:ascii="Times New Roman" w:eastAsia="Times" w:hAnsi="Times New Roman" w:cs="Times New Roman"/>
          <w:i/>
          <w:lang w:val="sr-Latn-ME"/>
        </w:rPr>
        <w:t xml:space="preserve"> PV Studije 1</w:t>
      </w:r>
    </w:p>
    <w:p w14:paraId="115F5B4E" w14:textId="7F42D1F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U 24. mjesecu ispitivanja kombinacija </w:t>
      </w:r>
      <w:r w:rsidRPr="003A22B9">
        <w:rPr>
          <w:rFonts w:ascii="Times New Roman" w:eastAsia="Times New Roman" w:hAnsi="Times New Roman" w:cs="Times New Roman"/>
          <w:color w:val="000000"/>
          <w:shd w:val="clear" w:color="auto" w:fill="FFFFFF"/>
          <w:lang w:val="sr-Latn-ME"/>
        </w:rPr>
        <w:t xml:space="preserve">rituksimaba </w:t>
      </w:r>
      <w:r w:rsidRPr="003A22B9">
        <w:rPr>
          <w:rFonts w:ascii="Times New Roman" w:eastAsia="Times New Roman" w:hAnsi="Times New Roman" w:cs="Times New Roman"/>
          <w:lang w:val="sr-Latn-ME"/>
        </w:rPr>
        <w:t>i niske doze prednizona ostvarila je statistički značajne rezultate u odnosu na standardnu dozu prednizona s obzirom na postizanje potpune remisije bez primjene kortikosteroida tokom ≥ 2 mjeseca kod pacijenata s PV-om (vidjeti Tabelu </w:t>
      </w:r>
      <w:r w:rsidR="00092161" w:rsidRPr="003A22B9">
        <w:rPr>
          <w:rFonts w:ascii="Times New Roman" w:eastAsia="Times New Roman" w:hAnsi="Times New Roman" w:cs="Times New Roman"/>
          <w:lang w:val="sr-Latn-ME"/>
        </w:rPr>
        <w:t>22</w:t>
      </w:r>
      <w:r w:rsidRPr="003A22B9">
        <w:rPr>
          <w:rFonts w:ascii="Times New Roman" w:eastAsia="Times New Roman" w:hAnsi="Times New Roman" w:cs="Times New Roman"/>
          <w:lang w:val="sr-Latn-ME"/>
        </w:rPr>
        <w:t>).</w:t>
      </w:r>
    </w:p>
    <w:p w14:paraId="123E6A6C"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F8575B7" w14:textId="417EB804" w:rsidR="00A75B47" w:rsidRPr="003A22B9" w:rsidRDefault="00A75B47" w:rsidP="00A75B47">
      <w:pPr>
        <w:tabs>
          <w:tab w:val="left" w:pos="1152"/>
        </w:tabs>
        <w:spacing w:after="0" w:line="240" w:lineRule="auto"/>
        <w:jc w:val="both"/>
        <w:rPr>
          <w:rFonts w:ascii="Times New Roman" w:eastAsia="SimSun" w:hAnsi="Times New Roman" w:cs="Times New Roman"/>
          <w:b/>
          <w:lang w:val="sr-Latn-ME" w:eastAsia="zh-CN"/>
        </w:rPr>
      </w:pPr>
      <w:r w:rsidRPr="003A22B9">
        <w:rPr>
          <w:rFonts w:ascii="Times New Roman" w:eastAsia="SimSun" w:hAnsi="Times New Roman" w:cs="Times New Roman"/>
          <w:b/>
          <w:lang w:val="sr-Latn-ME" w:eastAsia="zh-CN"/>
        </w:rPr>
        <w:t xml:space="preserve">Tabela </w:t>
      </w:r>
      <w:r w:rsidR="00661383" w:rsidRPr="003A22B9">
        <w:rPr>
          <w:rFonts w:ascii="Times New Roman" w:eastAsia="SimSun" w:hAnsi="Times New Roman" w:cs="Times New Roman"/>
          <w:b/>
          <w:lang w:val="sr-Latn-ME" w:eastAsia="zh-CN"/>
        </w:rPr>
        <w:t>22</w:t>
      </w:r>
      <w:r w:rsidRPr="003A22B9">
        <w:rPr>
          <w:rFonts w:ascii="Times New Roman" w:eastAsia="SimSun" w:hAnsi="Times New Roman" w:cs="Times New Roman"/>
          <w:b/>
          <w:lang w:val="sr-Latn-ME" w:eastAsia="zh-CN"/>
        </w:rPr>
        <w:t xml:space="preserve"> </w:t>
      </w:r>
      <w:r w:rsidRPr="003A22B9">
        <w:rPr>
          <w:rFonts w:ascii="Times New Roman" w:eastAsia="SimSun" w:hAnsi="Times New Roman" w:cs="Times New Roman"/>
          <w:b/>
          <w:lang w:val="sr-Latn-ME" w:eastAsia="zh-CN"/>
        </w:rPr>
        <w:tab/>
        <w:t>Procenat pacijenata sa PV-om koji su u 24. mjesecu ostvarili potpunu remisiju bez primjene kortikosteroida tokom dva ili više mjeseci (populacija sa namjerom liječenja – PV)</w:t>
      </w:r>
    </w:p>
    <w:p w14:paraId="3E01EE6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B24E30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197"/>
        <w:gridCol w:w="1915"/>
        <w:gridCol w:w="1511"/>
        <w:gridCol w:w="1720"/>
        <w:gridCol w:w="1718"/>
      </w:tblGrid>
      <w:tr w:rsidR="007B3F68" w:rsidRPr="003A22B9" w14:paraId="49EE27D6" w14:textId="77777777" w:rsidTr="00D64A2E">
        <w:trPr>
          <w:cantSplit/>
          <w:trHeight w:val="891"/>
          <w:jc w:val="center"/>
        </w:trPr>
        <w:tc>
          <w:tcPr>
            <w:tcW w:w="1212" w:type="pct"/>
            <w:tcBorders>
              <w:bottom w:val="single" w:sz="4" w:space="0" w:color="auto"/>
              <w:right w:val="nil"/>
            </w:tcBorders>
          </w:tcPr>
          <w:p w14:paraId="0126610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tc>
        <w:tc>
          <w:tcPr>
            <w:tcW w:w="1057" w:type="pct"/>
            <w:tcBorders>
              <w:left w:val="nil"/>
              <w:bottom w:val="single" w:sz="4" w:space="0" w:color="auto"/>
              <w:right w:val="nil"/>
            </w:tcBorders>
            <w:shd w:val="clear" w:color="auto" w:fill="auto"/>
            <w:vAlign w:val="center"/>
          </w:tcPr>
          <w:p w14:paraId="386623F0"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Rituksimab +</w:t>
            </w:r>
          </w:p>
          <w:p w14:paraId="417D7D77"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prednizon</w:t>
            </w:r>
          </w:p>
          <w:p w14:paraId="064303EB"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N = 38</w:t>
            </w:r>
          </w:p>
        </w:tc>
        <w:tc>
          <w:tcPr>
            <w:tcW w:w="834" w:type="pct"/>
            <w:tcBorders>
              <w:left w:val="nil"/>
              <w:bottom w:val="single" w:sz="4" w:space="0" w:color="auto"/>
              <w:right w:val="nil"/>
            </w:tcBorders>
            <w:shd w:val="clear" w:color="auto" w:fill="auto"/>
            <w:vAlign w:val="center"/>
          </w:tcPr>
          <w:p w14:paraId="53F9FF00"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Prednizon</w:t>
            </w:r>
          </w:p>
          <w:p w14:paraId="38B8786B"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N = 36</w:t>
            </w:r>
          </w:p>
        </w:tc>
        <w:tc>
          <w:tcPr>
            <w:tcW w:w="949" w:type="pct"/>
            <w:tcBorders>
              <w:left w:val="nil"/>
              <w:bottom w:val="single" w:sz="4" w:space="0" w:color="auto"/>
            </w:tcBorders>
            <w:shd w:val="clear" w:color="auto" w:fill="auto"/>
            <w:vAlign w:val="center"/>
          </w:tcPr>
          <w:p w14:paraId="17F07D69"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p-vrijednost</w:t>
            </w:r>
            <w:r w:rsidRPr="001C3C2B">
              <w:rPr>
                <w:rFonts w:ascii="Times New Roman" w:eastAsia="Times New Roman" w:hAnsi="Times New Roman" w:cs="Times New Roman"/>
                <w:b/>
                <w:vertAlign w:val="superscript"/>
                <w:lang w:val="sr-Latn-ME"/>
              </w:rPr>
              <w:t xml:space="preserve"> a</w:t>
            </w:r>
          </w:p>
        </w:tc>
        <w:tc>
          <w:tcPr>
            <w:tcW w:w="948" w:type="pct"/>
            <w:tcBorders>
              <w:left w:val="nil"/>
              <w:bottom w:val="single" w:sz="4" w:space="0" w:color="auto"/>
            </w:tcBorders>
            <w:vAlign w:val="center"/>
          </w:tcPr>
          <w:p w14:paraId="0007E523" w14:textId="77777777" w:rsidR="00A75B47" w:rsidRPr="001C3C2B" w:rsidRDefault="00A75B47" w:rsidP="0050168C">
            <w:pPr>
              <w:spacing w:after="0" w:line="240" w:lineRule="auto"/>
              <w:jc w:val="center"/>
              <w:rPr>
                <w:rFonts w:ascii="Times New Roman" w:eastAsia="Times New Roman" w:hAnsi="Times New Roman" w:cs="Times New Roman"/>
                <w:b/>
                <w:lang w:val="sr-Latn-ME"/>
              </w:rPr>
            </w:pPr>
            <w:r w:rsidRPr="001C3C2B">
              <w:rPr>
                <w:rFonts w:ascii="Times New Roman" w:eastAsia="Times New Roman" w:hAnsi="Times New Roman" w:cs="Times New Roman"/>
                <w:b/>
                <w:lang w:val="sr-Latn-ME"/>
              </w:rPr>
              <w:t>95 % CI</w:t>
            </w:r>
            <w:r w:rsidRPr="001C3C2B">
              <w:rPr>
                <w:rFonts w:ascii="Times New Roman" w:eastAsia="Times New Roman" w:hAnsi="Times New Roman" w:cs="Times New Roman"/>
                <w:b/>
                <w:vertAlign w:val="superscript"/>
                <w:lang w:val="sr-Latn-ME"/>
              </w:rPr>
              <w:t>b</w:t>
            </w:r>
          </w:p>
        </w:tc>
      </w:tr>
      <w:tr w:rsidR="007B3F68" w:rsidRPr="003A22B9" w14:paraId="701B91C2" w14:textId="77777777" w:rsidTr="00D64A2E">
        <w:trPr>
          <w:cantSplit/>
          <w:jc w:val="center"/>
        </w:trPr>
        <w:tc>
          <w:tcPr>
            <w:tcW w:w="1212" w:type="pct"/>
            <w:tcBorders>
              <w:top w:val="single" w:sz="4" w:space="0" w:color="auto"/>
              <w:bottom w:val="single" w:sz="4" w:space="0" w:color="auto"/>
              <w:right w:val="nil"/>
            </w:tcBorders>
          </w:tcPr>
          <w:p w14:paraId="507B187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Broj pacijenata sa odgovorom</w:t>
            </w:r>
          </w:p>
          <w:p w14:paraId="1D660E3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(stopa odgovora [%])</w:t>
            </w:r>
          </w:p>
        </w:tc>
        <w:tc>
          <w:tcPr>
            <w:tcW w:w="1057" w:type="pct"/>
            <w:tcBorders>
              <w:top w:val="single" w:sz="4" w:space="0" w:color="auto"/>
              <w:left w:val="nil"/>
              <w:bottom w:val="single" w:sz="4" w:space="0" w:color="auto"/>
              <w:right w:val="nil"/>
            </w:tcBorders>
            <w:shd w:val="clear" w:color="auto" w:fill="auto"/>
            <w:vAlign w:val="center"/>
          </w:tcPr>
          <w:p w14:paraId="6F3BC897" w14:textId="03A0F06B"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34 (89,5%)</w:t>
            </w:r>
          </w:p>
        </w:tc>
        <w:tc>
          <w:tcPr>
            <w:tcW w:w="834" w:type="pct"/>
            <w:tcBorders>
              <w:top w:val="single" w:sz="4" w:space="0" w:color="auto"/>
              <w:left w:val="nil"/>
              <w:bottom w:val="single" w:sz="4" w:space="0" w:color="auto"/>
              <w:right w:val="nil"/>
            </w:tcBorders>
            <w:shd w:val="clear" w:color="auto" w:fill="auto"/>
            <w:vAlign w:val="center"/>
          </w:tcPr>
          <w:p w14:paraId="638B31AE" w14:textId="5033EB99"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10 (27,8%)</w:t>
            </w:r>
          </w:p>
        </w:tc>
        <w:tc>
          <w:tcPr>
            <w:tcW w:w="949" w:type="pct"/>
            <w:tcBorders>
              <w:top w:val="single" w:sz="4" w:space="0" w:color="auto"/>
              <w:left w:val="nil"/>
              <w:bottom w:val="single" w:sz="4" w:space="0" w:color="auto"/>
            </w:tcBorders>
            <w:shd w:val="clear" w:color="auto" w:fill="auto"/>
            <w:vAlign w:val="center"/>
          </w:tcPr>
          <w:p w14:paraId="6DFDBE8B" w14:textId="77777777"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&lt; 0,0001</w:t>
            </w:r>
          </w:p>
        </w:tc>
        <w:tc>
          <w:tcPr>
            <w:tcW w:w="948" w:type="pct"/>
            <w:tcBorders>
              <w:top w:val="single" w:sz="4" w:space="0" w:color="auto"/>
              <w:left w:val="nil"/>
              <w:bottom w:val="single" w:sz="4" w:space="0" w:color="auto"/>
            </w:tcBorders>
            <w:vAlign w:val="center"/>
          </w:tcPr>
          <w:p w14:paraId="3A83CEA3" w14:textId="72E2254B"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61,7%</w:t>
            </w:r>
          </w:p>
          <w:p w14:paraId="6D9B0BAB" w14:textId="77777777" w:rsidR="00A75B47" w:rsidRPr="003A22B9" w:rsidRDefault="00A75B47" w:rsidP="0050168C">
            <w:pPr>
              <w:spacing w:after="0" w:line="240" w:lineRule="auto"/>
              <w:jc w:val="center"/>
              <w:rPr>
                <w:rFonts w:ascii="Times New Roman" w:eastAsia="Times New Roman" w:hAnsi="Times New Roman" w:cs="Times New Roman"/>
                <w:lang w:val="sr-Latn-ME"/>
              </w:rPr>
            </w:pPr>
            <w:r w:rsidRPr="003A22B9">
              <w:rPr>
                <w:rFonts w:ascii="Times New Roman" w:eastAsia="Times New Roman" w:hAnsi="Times New Roman" w:cs="Times New Roman"/>
                <w:lang w:val="sr-Latn-ME"/>
              </w:rPr>
              <w:t>(38,4; 76,5)</w:t>
            </w:r>
          </w:p>
        </w:tc>
      </w:tr>
      <w:tr w:rsidR="00A75B47" w:rsidRPr="003A22B9" w14:paraId="58342F3F" w14:textId="77777777" w:rsidTr="00043DF7">
        <w:trPr>
          <w:cantSplit/>
          <w:trHeight w:val="739"/>
          <w:jc w:val="center"/>
        </w:trPr>
        <w:tc>
          <w:tcPr>
            <w:tcW w:w="5000" w:type="pct"/>
            <w:gridSpan w:val="5"/>
            <w:tcBorders>
              <w:top w:val="single" w:sz="4" w:space="0" w:color="auto"/>
              <w:bottom w:val="single" w:sz="4" w:space="0" w:color="auto"/>
            </w:tcBorders>
          </w:tcPr>
          <w:p w14:paraId="6CB3BC61" w14:textId="77777777" w:rsidR="00A75B47" w:rsidRPr="001C3C2B" w:rsidRDefault="00A75B47" w:rsidP="00A75B47">
            <w:pPr>
              <w:spacing w:after="0" w:line="240" w:lineRule="auto"/>
              <w:jc w:val="both"/>
              <w:rPr>
                <w:rFonts w:ascii="Times New Roman" w:eastAsia="Calibri" w:hAnsi="Times New Roman" w:cs="Times New Roman"/>
                <w:sz w:val="20"/>
                <w:szCs w:val="20"/>
                <w:lang w:val="sr-Latn-ME"/>
              </w:rPr>
            </w:pPr>
            <w:r w:rsidRPr="001C3C2B">
              <w:rPr>
                <w:rFonts w:ascii="Times New Roman" w:eastAsia="Calibri" w:hAnsi="Times New Roman" w:cs="Times New Roman"/>
                <w:sz w:val="20"/>
                <w:szCs w:val="20"/>
                <w:vertAlign w:val="superscript"/>
                <w:lang w:val="sr-Latn-ME"/>
              </w:rPr>
              <w:t>a</w:t>
            </w:r>
            <w:r w:rsidRPr="001C3C2B">
              <w:rPr>
                <w:rFonts w:ascii="Times New Roman" w:eastAsia="Calibri" w:hAnsi="Times New Roman" w:cs="Times New Roman"/>
                <w:sz w:val="20"/>
                <w:szCs w:val="20"/>
                <w:lang w:val="sr-Latn-ME"/>
              </w:rPr>
              <w:t>p-vrijednost dobijena je Fisherovim egzaktnim testom uz korekciju srednje p-vrijednosti</w:t>
            </w:r>
          </w:p>
          <w:p w14:paraId="464ECDA6" w14:textId="77777777" w:rsidR="00A75B47" w:rsidRPr="003A22B9" w:rsidRDefault="00A75B47" w:rsidP="00A75B47">
            <w:pPr>
              <w:spacing w:after="0" w:line="240" w:lineRule="auto"/>
              <w:jc w:val="both"/>
              <w:rPr>
                <w:rFonts w:ascii="Times New Roman" w:eastAsia="Calibri" w:hAnsi="Times New Roman" w:cs="Times New Roman"/>
                <w:vertAlign w:val="superscript"/>
                <w:lang w:val="sr-Latn-ME"/>
              </w:rPr>
            </w:pPr>
            <w:r w:rsidRPr="001C3C2B">
              <w:rPr>
                <w:rFonts w:ascii="Times New Roman" w:eastAsia="Calibri" w:hAnsi="Times New Roman" w:cs="Times New Roman"/>
                <w:sz w:val="20"/>
                <w:szCs w:val="20"/>
                <w:vertAlign w:val="superscript"/>
                <w:lang w:val="sr-Latn-ME"/>
              </w:rPr>
              <w:t>b</w:t>
            </w:r>
            <w:r w:rsidRPr="001C3C2B">
              <w:rPr>
                <w:rFonts w:ascii="Times New Roman" w:eastAsia="Calibri" w:hAnsi="Times New Roman" w:cs="Times New Roman"/>
                <w:sz w:val="20"/>
                <w:szCs w:val="20"/>
                <w:lang w:val="sr-Latn-ME"/>
              </w:rPr>
              <w:t>Interval pouzdanosti od 95 % je korigovani Newcombeov interval</w:t>
            </w:r>
            <w:r w:rsidRPr="003A22B9">
              <w:rPr>
                <w:rFonts w:ascii="Times New Roman" w:eastAsia="Calibri" w:hAnsi="Times New Roman" w:cs="Times New Roman"/>
                <w:lang w:val="sr-Latn-ME"/>
              </w:rPr>
              <w:t xml:space="preserve"> </w:t>
            </w:r>
          </w:p>
        </w:tc>
      </w:tr>
    </w:tbl>
    <w:p w14:paraId="65056AD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9FA33B8"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Broj pacijenata liječenih rituksimabom i niskom dozom prednizona koji nijesu primali prednizon ili su primali minimalnu dozu prednizona (10 mg ili manje na dan) u odnosu na pacijente koji su primali standardnu dozu prednizona tokom 24-mjesečnog perioda liječenja pokazuje poštedni efekat rituksimaba na primjenu steroida (Slika 4).</w:t>
      </w:r>
    </w:p>
    <w:p w14:paraId="4E9EE32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407C0ED4" w14:textId="4D748B4B" w:rsidR="00A75B47" w:rsidRPr="003A22B9" w:rsidRDefault="00A75B47" w:rsidP="00A75B47">
      <w:pPr>
        <w:keepNext/>
        <w:keepLines/>
        <w:spacing w:after="0" w:line="240" w:lineRule="auto"/>
        <w:ind w:left="1134" w:right="438" w:hanging="1134"/>
        <w:jc w:val="both"/>
        <w:rPr>
          <w:rFonts w:ascii="Times New Roman" w:eastAsia="Times New Roman" w:hAnsi="Times New Roman" w:cs="Times New Roman"/>
          <w:b/>
          <w:lang w:val="sr-Latn-ME"/>
        </w:rPr>
      </w:pPr>
      <w:r w:rsidRPr="003A22B9">
        <w:rPr>
          <w:rFonts w:ascii="Times New Roman" w:eastAsia="Times New Roman" w:hAnsi="Times New Roman" w:cs="Times New Roman"/>
          <w:b/>
          <w:lang w:val="sr-Latn-ME"/>
        </w:rPr>
        <w:t xml:space="preserve">Slika 4: </w:t>
      </w:r>
      <w:r w:rsidRPr="003A22B9">
        <w:rPr>
          <w:rFonts w:ascii="Times New Roman" w:eastAsia="Times New Roman" w:hAnsi="Times New Roman" w:cs="Times New Roman"/>
          <w:b/>
          <w:lang w:val="sr-Latn-ME"/>
        </w:rPr>
        <w:tab/>
        <w:t>Broj pacijenata koji ni</w:t>
      </w:r>
      <w:r w:rsidR="00F52D0D" w:rsidRPr="003A22B9">
        <w:rPr>
          <w:rFonts w:ascii="Times New Roman" w:eastAsia="Times New Roman" w:hAnsi="Times New Roman" w:cs="Times New Roman"/>
          <w:b/>
          <w:lang w:val="sr-Latn-ME"/>
        </w:rPr>
        <w:t>je</w:t>
      </w:r>
      <w:r w:rsidRPr="003A22B9">
        <w:rPr>
          <w:rFonts w:ascii="Times New Roman" w:eastAsia="Times New Roman" w:hAnsi="Times New Roman" w:cs="Times New Roman"/>
          <w:b/>
          <w:lang w:val="sr-Latn-ME"/>
        </w:rPr>
        <w:t>su primali kortikosteroide ili su primali minimalnu dozu kortikosteroida (≤ 10 mg na dan) tokom vremena</w:t>
      </w:r>
    </w:p>
    <w:p w14:paraId="7251AA7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42047935"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40AABD19"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noProof/>
        </w:rPr>
        <w:lastRenderedPageBreak/>
        <w:drawing>
          <wp:inline distT="0" distB="0" distL="0" distR="0" wp14:anchorId="7C07ACE3" wp14:editId="4D807E92">
            <wp:extent cx="5768975" cy="2799080"/>
            <wp:effectExtent l="0" t="0" r="317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 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8975" cy="2799080"/>
                    </a:xfrm>
                    <a:prstGeom prst="rect">
                      <a:avLst/>
                    </a:prstGeom>
                  </pic:spPr>
                </pic:pic>
              </a:graphicData>
            </a:graphic>
          </wp:inline>
        </w:drawing>
      </w:r>
    </w:p>
    <w:p w14:paraId="71252F9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3A9E8C17" w14:textId="77777777" w:rsidR="00A75B47" w:rsidRPr="003A22B9" w:rsidRDefault="00A75B47" w:rsidP="00A75B47">
      <w:pPr>
        <w:keepNext/>
        <w:spacing w:after="0" w:line="240" w:lineRule="auto"/>
        <w:jc w:val="both"/>
        <w:outlineLvl w:val="0"/>
        <w:rPr>
          <w:rFonts w:ascii="Times New Roman" w:eastAsia="Times New Roman" w:hAnsi="Times New Roman" w:cs="Times New Roman"/>
          <w:i/>
          <w:lang w:val="sr-Latn-ME"/>
        </w:rPr>
      </w:pPr>
      <w:r w:rsidRPr="003A22B9">
        <w:rPr>
          <w:rFonts w:ascii="Times New Roman" w:eastAsia="Times New Roman" w:hAnsi="Times New Roman" w:cs="Times New Roman"/>
          <w:i/>
          <w:lang w:val="sr-Latn-ME"/>
        </w:rPr>
        <w:t>Post-hoc retrospektivna laboratorijska ocjena</w:t>
      </w:r>
    </w:p>
    <w:p w14:paraId="6F713408" w14:textId="68BDB0D8" w:rsidR="00A75B47" w:rsidRPr="003A22B9" w:rsidRDefault="00A75B47" w:rsidP="00A75B47">
      <w:pPr>
        <w:spacing w:after="0" w:line="240" w:lineRule="auto"/>
        <w:jc w:val="both"/>
        <w:outlineLvl w:val="0"/>
        <w:rPr>
          <w:rFonts w:ascii="Times New Roman" w:eastAsia="Times New Roman" w:hAnsi="Times New Roman" w:cs="Times New Roman"/>
          <w:lang w:val="sr-Latn-ME"/>
        </w:rPr>
      </w:pPr>
      <w:r w:rsidRPr="003A22B9">
        <w:rPr>
          <w:rFonts w:ascii="Times New Roman" w:eastAsia="Times New Roman" w:hAnsi="Times New Roman" w:cs="Times New Roman"/>
          <w:color w:val="000000"/>
          <w:shd w:val="clear" w:color="auto" w:fill="FFFFFF"/>
          <w:lang w:val="sr-Latn-ME"/>
        </w:rPr>
        <w:t xml:space="preserve">Ukupno 19/34 (56%) pacijenata sa PV-om liječenih rituksimabom bilo je pozitivno na antitijela na lijek u 18. mjesecu. Klinički značaj pojave antitijela na lijek kod pacijenata sa PV-om liječenih rituksimabom nije jasan. </w:t>
      </w:r>
    </w:p>
    <w:p w14:paraId="64E60367" w14:textId="3936AFEF"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2CBEED90" w14:textId="77777777" w:rsidR="001D67E6" w:rsidRPr="003A22B9" w:rsidRDefault="001D67E6" w:rsidP="001D67E6">
      <w:pPr>
        <w:widowControl w:val="0"/>
        <w:spacing w:before="1" w:after="0" w:line="240" w:lineRule="auto"/>
        <w:ind w:right="230"/>
        <w:jc w:val="both"/>
        <w:rPr>
          <w:rFonts w:ascii="Times New Roman" w:eastAsia="Times New Roman" w:hAnsi="Times New Roman" w:cs="Times New Roman"/>
          <w:i/>
          <w:lang w:val="hr-HR"/>
        </w:rPr>
      </w:pPr>
      <w:r w:rsidRPr="003A22B9">
        <w:rPr>
          <w:rFonts w:ascii="Times New Roman" w:eastAsia="Times New Roman" w:hAnsi="Times New Roman" w:cs="Times New Roman"/>
          <w:i/>
          <w:lang w:val="hr-HR"/>
        </w:rPr>
        <w:t xml:space="preserve">PV Studija 2 (WA29330) </w:t>
      </w:r>
    </w:p>
    <w:p w14:paraId="33AC6596" w14:textId="4B2A994E" w:rsidR="001D67E6" w:rsidRPr="003A22B9" w:rsidRDefault="001D67E6" w:rsidP="001D67E6">
      <w:pPr>
        <w:widowControl w:val="0"/>
        <w:spacing w:before="1" w:after="0" w:line="240" w:lineRule="auto"/>
        <w:ind w:right="230"/>
        <w:jc w:val="both"/>
        <w:rPr>
          <w:rFonts w:ascii="Times New Roman" w:eastAsia="Times New Roman" w:hAnsi="Times New Roman" w:cs="Times New Roman"/>
          <w:lang w:val="hr-HR"/>
        </w:rPr>
      </w:pPr>
      <w:r w:rsidRPr="003A22B9">
        <w:rPr>
          <w:rFonts w:ascii="Times New Roman" w:eastAsia="Times New Roman" w:hAnsi="Times New Roman" w:cs="Times New Roman"/>
          <w:lang w:val="hr-HR"/>
        </w:rPr>
        <w:t>U randomizovanoj, dvostruko sl</w:t>
      </w:r>
      <w:r w:rsidR="00A67285" w:rsidRPr="003A22B9">
        <w:rPr>
          <w:rFonts w:ascii="Times New Roman" w:eastAsia="Times New Roman" w:hAnsi="Times New Roman" w:cs="Times New Roman"/>
          <w:lang w:val="hr-HR"/>
        </w:rPr>
        <w:t>ij</w:t>
      </w:r>
      <w:r w:rsidRPr="003A22B9">
        <w:rPr>
          <w:rFonts w:ascii="Times New Roman" w:eastAsia="Times New Roman" w:hAnsi="Times New Roman" w:cs="Times New Roman"/>
          <w:lang w:val="hr-HR"/>
        </w:rPr>
        <w:t>epoj, dvostruko maskiranoj, multicentričnoj studiji kontrolisanoj aktivnim komparatorom oc</w:t>
      </w:r>
      <w:r w:rsidR="00A67285"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enjivani su bezb</w:t>
      </w:r>
      <w:r w:rsidR="00A67285"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ednost i efikasnost rituksimaba u odnosu na mofetilmikofenolat (MMF) kod pacijenata sa um</w:t>
      </w:r>
      <w:r w:rsidR="00750299"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erenim do teškim PV-om koji su pri uključivanju u studiju uzimali oralni prednizon u dozi od 60 - 120 mg na dan ili ekvivalent (1,0 - 1,5 mg/kg na dan) i kojima je ta doza postupno smanjivana da bi 1. dana iznosila 60 ili 80 mg na dan. Pacijentima je dijagnoza PV-a bila potvrđena unutar prethodna 24 m</w:t>
      </w:r>
      <w:r w:rsidR="00750299"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eseca, pa su imali dokaze um</w:t>
      </w:r>
      <w:r w:rsidR="00750299"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 xml:space="preserve">erene do teške bolesti (koja se definisala kao ukupan rezultat za aktivnost bolesti prema indeksu zahvaćenosti pemfigusom [eng. </w:t>
      </w:r>
      <w:r w:rsidRPr="003A22B9">
        <w:rPr>
          <w:rFonts w:ascii="Times New Roman" w:eastAsia="Times New Roman" w:hAnsi="Times New Roman" w:cs="Times New Roman"/>
          <w:i/>
          <w:lang w:val="hr-HR"/>
        </w:rPr>
        <w:t>Pemphigus Disease Area Index</w:t>
      </w:r>
      <w:r w:rsidRPr="003A22B9">
        <w:rPr>
          <w:rFonts w:ascii="Times New Roman" w:eastAsia="Times New Roman" w:hAnsi="Times New Roman" w:cs="Times New Roman"/>
          <w:lang w:val="hr-HR"/>
        </w:rPr>
        <w:t xml:space="preserve">, PDAI] ≥ 15). </w:t>
      </w:r>
    </w:p>
    <w:p w14:paraId="77C1EEC6" w14:textId="77777777" w:rsidR="001D67E6" w:rsidRPr="003A22B9" w:rsidRDefault="001D67E6" w:rsidP="001D67E6">
      <w:pPr>
        <w:widowControl w:val="0"/>
        <w:spacing w:before="1" w:after="0" w:line="240" w:lineRule="auto"/>
        <w:ind w:right="230"/>
        <w:jc w:val="both"/>
        <w:rPr>
          <w:rFonts w:ascii="Times New Roman" w:eastAsia="Times New Roman" w:hAnsi="Times New Roman" w:cs="Times New Roman"/>
          <w:lang w:val="hr-HR"/>
        </w:rPr>
      </w:pPr>
    </w:p>
    <w:p w14:paraId="65F2267A" w14:textId="5A529EAA" w:rsidR="001D67E6" w:rsidRPr="003A22B9" w:rsidRDefault="001D67E6" w:rsidP="001D67E6">
      <w:pPr>
        <w:widowControl w:val="0"/>
        <w:spacing w:before="1" w:after="0" w:line="240" w:lineRule="auto"/>
        <w:ind w:right="230"/>
        <w:jc w:val="both"/>
        <w:rPr>
          <w:rFonts w:ascii="Times New Roman" w:eastAsia="Times New Roman" w:hAnsi="Times New Roman" w:cs="Times New Roman"/>
          <w:lang w:val="hr-HR"/>
        </w:rPr>
      </w:pPr>
      <w:r w:rsidRPr="003A22B9">
        <w:rPr>
          <w:rFonts w:ascii="Times New Roman" w:eastAsia="Times New Roman" w:hAnsi="Times New Roman" w:cs="Times New Roman"/>
          <w:lang w:val="hr-HR"/>
        </w:rPr>
        <w:t>Sto trideset i pet (135) pacijenata bilo je randomizovano za l</w:t>
      </w:r>
      <w:r w:rsidR="001817EB" w:rsidRPr="003A22B9">
        <w:rPr>
          <w:rFonts w:ascii="Times New Roman" w:eastAsia="Times New Roman" w:hAnsi="Times New Roman" w:cs="Times New Roman"/>
          <w:lang w:val="hr-HR"/>
        </w:rPr>
        <w:t>ij</w:t>
      </w:r>
      <w:r w:rsidRPr="003A22B9">
        <w:rPr>
          <w:rFonts w:ascii="Times New Roman" w:eastAsia="Times New Roman" w:hAnsi="Times New Roman" w:cs="Times New Roman"/>
          <w:lang w:val="hr-HR"/>
        </w:rPr>
        <w:t>ečenje rituksimabom u dozi od 1000 mg prim</w:t>
      </w:r>
      <w:r w:rsidR="00765CED">
        <w:rPr>
          <w:rFonts w:ascii="Times New Roman" w:eastAsia="Times New Roman" w:hAnsi="Times New Roman" w:cs="Times New Roman"/>
          <w:lang w:val="hr-HR"/>
        </w:rPr>
        <w:t>i</w:t>
      </w:r>
      <w:r w:rsidR="001817EB"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enjenoj 1. i 15. dana i u 24. i 26. ned</w:t>
      </w:r>
      <w:r w:rsidR="009E498C"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elji ili za peroralnu prim</w:t>
      </w:r>
      <w:r w:rsidR="009E498C"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enu MMF-a u dozi od 2 g na dan tokom 52 ned</w:t>
      </w:r>
      <w:r w:rsidR="009E498C"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elje u kombinaciji sa prednizonom u peroralnoj dozi od 60 ili 80 mg, pri čemu je cilj bio postupno smanjenje doze prednizona na 0 mg na dan do 24. ned</w:t>
      </w:r>
      <w:r w:rsidR="009E498C"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elje.</w:t>
      </w:r>
    </w:p>
    <w:p w14:paraId="15BAFC9A" w14:textId="77777777" w:rsidR="001D67E6" w:rsidRPr="003A22B9" w:rsidRDefault="001D67E6" w:rsidP="001D67E6">
      <w:pPr>
        <w:widowControl w:val="0"/>
        <w:spacing w:before="1" w:after="0" w:line="240" w:lineRule="auto"/>
        <w:ind w:left="112" w:right="230"/>
        <w:jc w:val="both"/>
        <w:rPr>
          <w:rFonts w:ascii="Times New Roman" w:eastAsia="Times New Roman" w:hAnsi="Times New Roman" w:cs="Times New Roman"/>
          <w:lang w:val="hr-HR"/>
        </w:rPr>
      </w:pPr>
    </w:p>
    <w:p w14:paraId="41795119" w14:textId="5EEDF6CC" w:rsidR="001D67E6" w:rsidRPr="003A22B9" w:rsidRDefault="001D67E6" w:rsidP="001D67E6">
      <w:pPr>
        <w:widowControl w:val="0"/>
        <w:spacing w:before="1" w:after="0" w:line="240" w:lineRule="auto"/>
        <w:ind w:right="230"/>
        <w:jc w:val="both"/>
        <w:rPr>
          <w:rFonts w:ascii="Times New Roman" w:eastAsia="Times New Roman" w:hAnsi="Times New Roman" w:cs="Times New Roman"/>
          <w:lang w:val="hr-HR"/>
        </w:rPr>
      </w:pPr>
      <w:r w:rsidRPr="003A22B9">
        <w:rPr>
          <w:rFonts w:ascii="Times New Roman" w:eastAsia="Times New Roman" w:hAnsi="Times New Roman" w:cs="Times New Roman"/>
          <w:lang w:val="hr-HR"/>
        </w:rPr>
        <w:t>Primarni cilj efikasnosti u ovoj studiji bio je proc</w:t>
      </w:r>
      <w:r w:rsidR="00B2491A"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ena efikasnosti rituksimaba u odnosu na MMF u 52. ned</w:t>
      </w:r>
      <w:r w:rsidR="00B2491A"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elji s obzirom na postizanje održane potpune remisije, koja se definisala kao potpuno zac</w:t>
      </w:r>
      <w:r w:rsidR="00B2491A"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eljivanje lezija bez novih aktivnih lezija (tj. PDAI rezultat za aktivnost bolesti 0) uz 0 mg na dan prednizona ili ekvivalenta i održavanje tog odgovora tokom najmanje 16 uzastopnih nedelja za vr</w:t>
      </w:r>
      <w:r w:rsidR="00636D14" w:rsidRPr="003A22B9">
        <w:rPr>
          <w:rFonts w:ascii="Times New Roman" w:eastAsia="Times New Roman" w:hAnsi="Times New Roman" w:cs="Times New Roman"/>
          <w:lang w:val="hr-HR"/>
        </w:rPr>
        <w:t>ij</w:t>
      </w:r>
      <w:r w:rsidRPr="003A22B9">
        <w:rPr>
          <w:rFonts w:ascii="Times New Roman" w:eastAsia="Times New Roman" w:hAnsi="Times New Roman" w:cs="Times New Roman"/>
          <w:lang w:val="hr-HR"/>
        </w:rPr>
        <w:t>eme 52-ned</w:t>
      </w:r>
      <w:r w:rsidR="00636D14"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eljnog perioda l</w:t>
      </w:r>
      <w:r w:rsidR="00636D14" w:rsidRPr="003A22B9">
        <w:rPr>
          <w:rFonts w:ascii="Times New Roman" w:eastAsia="Times New Roman" w:hAnsi="Times New Roman" w:cs="Times New Roman"/>
          <w:lang w:val="hr-HR"/>
        </w:rPr>
        <w:t>ij</w:t>
      </w:r>
      <w:r w:rsidRPr="003A22B9">
        <w:rPr>
          <w:rFonts w:ascii="Times New Roman" w:eastAsia="Times New Roman" w:hAnsi="Times New Roman" w:cs="Times New Roman"/>
          <w:lang w:val="hr-HR"/>
        </w:rPr>
        <w:t xml:space="preserve">ečenja. </w:t>
      </w:r>
    </w:p>
    <w:p w14:paraId="66290BEA" w14:textId="77777777" w:rsidR="001D67E6" w:rsidRPr="003A22B9" w:rsidRDefault="001D67E6" w:rsidP="001D67E6">
      <w:pPr>
        <w:widowControl w:val="0"/>
        <w:spacing w:before="1" w:after="0" w:line="240" w:lineRule="auto"/>
        <w:ind w:right="230"/>
        <w:jc w:val="both"/>
        <w:rPr>
          <w:rFonts w:ascii="Times New Roman" w:eastAsia="Times New Roman" w:hAnsi="Times New Roman" w:cs="Times New Roman"/>
          <w:lang w:val="hr-HR"/>
        </w:rPr>
      </w:pPr>
    </w:p>
    <w:p w14:paraId="4FBAF60F" w14:textId="77777777" w:rsidR="001D67E6" w:rsidRPr="003A22B9" w:rsidRDefault="001D67E6" w:rsidP="001D67E6">
      <w:pPr>
        <w:widowControl w:val="0"/>
        <w:spacing w:before="1" w:after="0" w:line="240" w:lineRule="auto"/>
        <w:ind w:right="230"/>
        <w:jc w:val="both"/>
        <w:rPr>
          <w:rFonts w:ascii="Times New Roman" w:eastAsia="Times New Roman" w:hAnsi="Times New Roman" w:cs="Times New Roman"/>
          <w:i/>
          <w:lang w:val="hr-HR"/>
        </w:rPr>
      </w:pPr>
      <w:r w:rsidRPr="003A22B9">
        <w:rPr>
          <w:rFonts w:ascii="Times New Roman" w:eastAsia="Times New Roman" w:hAnsi="Times New Roman" w:cs="Times New Roman"/>
          <w:i/>
          <w:lang w:val="hr-HR"/>
        </w:rPr>
        <w:t xml:space="preserve">Rezultati PV Studije 2 </w:t>
      </w:r>
    </w:p>
    <w:p w14:paraId="527E866C" w14:textId="275481A4" w:rsidR="001D67E6" w:rsidRPr="003A22B9" w:rsidRDefault="001D67E6" w:rsidP="001D67E6">
      <w:pPr>
        <w:widowControl w:val="0"/>
        <w:spacing w:before="1" w:after="0" w:line="240" w:lineRule="auto"/>
        <w:ind w:right="230"/>
        <w:jc w:val="both"/>
        <w:rPr>
          <w:rFonts w:ascii="Times New Roman" w:eastAsia="Times New Roman" w:hAnsi="Times New Roman" w:cs="Times New Roman"/>
          <w:lang w:val="hr-HR"/>
        </w:rPr>
      </w:pPr>
      <w:r w:rsidRPr="003A22B9">
        <w:rPr>
          <w:rFonts w:ascii="Times New Roman" w:eastAsia="Times New Roman" w:hAnsi="Times New Roman" w:cs="Times New Roman"/>
          <w:lang w:val="hr-HR"/>
        </w:rPr>
        <w:t>Studija je pokazala da je rituksimab bio superioran u odnosu na MMF u kombinaciji sa peroralno prim</w:t>
      </w:r>
      <w:r w:rsidR="00765CED">
        <w:rPr>
          <w:rFonts w:ascii="Times New Roman" w:eastAsia="Times New Roman" w:hAnsi="Times New Roman" w:cs="Times New Roman"/>
          <w:lang w:val="hr-HR"/>
        </w:rPr>
        <w:t>i</w:t>
      </w:r>
      <w:r w:rsidR="005541C2"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enjenim kortikosteroidima čija se doza postupno smanjivala s obzirom na postizanje potpune remisije bez prim</w:t>
      </w:r>
      <w:r w:rsidR="005541C2"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ene kortikosteroida u trajanju od ≥ 16 ned</w:t>
      </w:r>
      <w:r w:rsidR="005541C2"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elja u 52. ned</w:t>
      </w:r>
      <w:r w:rsidR="005541C2"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elji među pacijentima sa PV-om (Tabela 23). Kod većine pacijenata iz modifikovane ITT populacije bolest je bila novodijagnostikovana (74%), dok je kod njih 26% bila dijagnostikovana ranije (trajanje bolesti ≥ 6 m</w:t>
      </w:r>
      <w:r w:rsidR="007F5A65" w:rsidRPr="003A22B9">
        <w:rPr>
          <w:rFonts w:ascii="Times New Roman" w:eastAsia="Times New Roman" w:hAnsi="Times New Roman" w:cs="Times New Roman"/>
          <w:lang w:val="hr-HR"/>
        </w:rPr>
        <w:t>j</w:t>
      </w:r>
      <w:r w:rsidRPr="003A22B9">
        <w:rPr>
          <w:rFonts w:ascii="Times New Roman" w:eastAsia="Times New Roman" w:hAnsi="Times New Roman" w:cs="Times New Roman"/>
          <w:lang w:val="hr-HR"/>
        </w:rPr>
        <w:t>eseci i pri</w:t>
      </w:r>
      <w:r w:rsidR="00C72E8F" w:rsidRPr="003A22B9">
        <w:rPr>
          <w:rFonts w:ascii="Times New Roman" w:eastAsia="Times New Roman" w:hAnsi="Times New Roman" w:cs="Times New Roman"/>
          <w:lang w:val="hr-HR"/>
        </w:rPr>
        <w:t>ml</w:t>
      </w:r>
      <w:r w:rsidRPr="003A22B9">
        <w:rPr>
          <w:rFonts w:ascii="Times New Roman" w:eastAsia="Times New Roman" w:hAnsi="Times New Roman" w:cs="Times New Roman"/>
          <w:lang w:val="hr-HR"/>
        </w:rPr>
        <w:t>jena prethodna terapija za PV).</w:t>
      </w:r>
    </w:p>
    <w:p w14:paraId="5AF7C96E" w14:textId="77777777" w:rsidR="001D67E6" w:rsidRPr="003A22B9" w:rsidRDefault="001D67E6" w:rsidP="00043DF7">
      <w:pPr>
        <w:widowControl w:val="0"/>
        <w:spacing w:before="8" w:after="0" w:line="240" w:lineRule="auto"/>
        <w:jc w:val="both"/>
        <w:rPr>
          <w:rFonts w:ascii="Times New Roman" w:eastAsia="Calibri" w:hAnsi="Times New Roman" w:cs="Times New Roman"/>
          <w:lang w:val="hr-HR"/>
        </w:rPr>
      </w:pPr>
    </w:p>
    <w:p w14:paraId="6EF765E3" w14:textId="5484CBC0" w:rsidR="001D67E6" w:rsidRPr="003A22B9" w:rsidRDefault="001D67E6" w:rsidP="00043DF7">
      <w:pPr>
        <w:widowControl w:val="0"/>
        <w:spacing w:before="8" w:after="0" w:line="240" w:lineRule="auto"/>
        <w:jc w:val="both"/>
        <w:rPr>
          <w:rFonts w:ascii="Times New Roman" w:eastAsia="Calibri" w:hAnsi="Times New Roman" w:cs="Times New Roman"/>
          <w:b/>
          <w:lang w:val="hr-HR"/>
        </w:rPr>
      </w:pPr>
      <w:r w:rsidRPr="003A22B9">
        <w:rPr>
          <w:rFonts w:ascii="Times New Roman" w:eastAsia="Calibri" w:hAnsi="Times New Roman" w:cs="Times New Roman"/>
          <w:b/>
          <w:lang w:val="hr-HR"/>
        </w:rPr>
        <w:t>Tabela 23</w:t>
      </w:r>
      <w:r w:rsidRPr="003A22B9">
        <w:rPr>
          <w:rFonts w:ascii="Times New Roman" w:eastAsia="Calibri" w:hAnsi="Times New Roman" w:cs="Times New Roman"/>
          <w:b/>
          <w:lang w:val="hr-HR"/>
        </w:rPr>
        <w:tab/>
        <w:t>Procenat pacijenata sa PV-om koji su u 52. ned</w:t>
      </w:r>
      <w:r w:rsidR="003A54BA">
        <w:rPr>
          <w:rFonts w:ascii="Times New Roman" w:eastAsia="Calibri" w:hAnsi="Times New Roman" w:cs="Times New Roman"/>
          <w:b/>
          <w:lang w:val="hr-HR"/>
        </w:rPr>
        <w:t>j</w:t>
      </w:r>
      <w:r w:rsidRPr="003A22B9">
        <w:rPr>
          <w:rFonts w:ascii="Times New Roman" w:eastAsia="Calibri" w:hAnsi="Times New Roman" w:cs="Times New Roman"/>
          <w:b/>
          <w:lang w:val="hr-HR"/>
        </w:rPr>
        <w:t>elji ostvarili održanu potpunu remisiju bez prim</w:t>
      </w:r>
      <w:r w:rsidR="0074702E" w:rsidRPr="003A22B9">
        <w:rPr>
          <w:rFonts w:ascii="Times New Roman" w:eastAsia="Calibri" w:hAnsi="Times New Roman" w:cs="Times New Roman"/>
          <w:b/>
          <w:lang w:val="hr-HR"/>
        </w:rPr>
        <w:t>j</w:t>
      </w:r>
      <w:r w:rsidRPr="003A22B9">
        <w:rPr>
          <w:rFonts w:ascii="Times New Roman" w:eastAsia="Calibri" w:hAnsi="Times New Roman" w:cs="Times New Roman"/>
          <w:b/>
          <w:lang w:val="hr-HR"/>
        </w:rPr>
        <w:t>ene kortikosteroida u trajanju od 16 ned</w:t>
      </w:r>
      <w:r w:rsidR="0074702E" w:rsidRPr="003A22B9">
        <w:rPr>
          <w:rFonts w:ascii="Times New Roman" w:eastAsia="Calibri" w:hAnsi="Times New Roman" w:cs="Times New Roman"/>
          <w:b/>
          <w:lang w:val="hr-HR"/>
        </w:rPr>
        <w:t>j</w:t>
      </w:r>
      <w:r w:rsidRPr="003A22B9">
        <w:rPr>
          <w:rFonts w:ascii="Times New Roman" w:eastAsia="Calibri" w:hAnsi="Times New Roman" w:cs="Times New Roman"/>
          <w:b/>
          <w:lang w:val="hr-HR"/>
        </w:rPr>
        <w:t>elja ili više (modifikovana</w:t>
      </w:r>
      <w:r w:rsidR="00F52D0D" w:rsidRPr="003A22B9">
        <w:rPr>
          <w:rFonts w:ascii="Times New Roman" w:eastAsia="Calibri" w:hAnsi="Times New Roman" w:cs="Times New Roman"/>
          <w:b/>
          <w:lang w:val="hr-HR"/>
        </w:rPr>
        <w:t xml:space="preserve"> </w:t>
      </w:r>
      <w:r w:rsidRPr="003A22B9">
        <w:rPr>
          <w:rFonts w:ascii="Times New Roman" w:eastAsia="Calibri" w:hAnsi="Times New Roman" w:cs="Times New Roman"/>
          <w:b/>
          <w:lang w:val="hr-HR"/>
        </w:rPr>
        <w:t>populacija predviđena za l</w:t>
      </w:r>
      <w:r w:rsidR="0074702E" w:rsidRPr="003A22B9">
        <w:rPr>
          <w:rFonts w:ascii="Times New Roman" w:eastAsia="Calibri" w:hAnsi="Times New Roman" w:cs="Times New Roman"/>
          <w:b/>
          <w:lang w:val="hr-HR"/>
        </w:rPr>
        <w:t>ij</w:t>
      </w:r>
      <w:r w:rsidRPr="003A22B9">
        <w:rPr>
          <w:rFonts w:ascii="Times New Roman" w:eastAsia="Calibri" w:hAnsi="Times New Roman" w:cs="Times New Roman"/>
          <w:b/>
          <w:lang w:val="hr-HR"/>
        </w:rPr>
        <w:t xml:space="preserve">ečenje [eng, </w:t>
      </w:r>
      <w:r w:rsidRPr="003A22B9">
        <w:rPr>
          <w:rFonts w:ascii="Times New Roman" w:eastAsia="Calibri" w:hAnsi="Times New Roman" w:cs="Times New Roman"/>
          <w:b/>
          <w:i/>
          <w:lang w:val="hr-HR"/>
        </w:rPr>
        <w:t>modified intent to treat</w:t>
      </w:r>
      <w:r w:rsidRPr="003A22B9">
        <w:rPr>
          <w:rFonts w:ascii="Times New Roman" w:eastAsia="Calibri" w:hAnsi="Times New Roman" w:cs="Times New Roman"/>
          <w:b/>
          <w:lang w:val="hr-HR"/>
        </w:rPr>
        <w:t>, mITT)</w:t>
      </w:r>
    </w:p>
    <w:p w14:paraId="240CA902" w14:textId="77777777" w:rsidR="001D67E6" w:rsidRPr="003A22B9" w:rsidRDefault="001D67E6" w:rsidP="001D67E6">
      <w:pPr>
        <w:widowControl w:val="0"/>
        <w:spacing w:before="8" w:after="0" w:line="240" w:lineRule="auto"/>
        <w:rPr>
          <w:rFonts w:ascii="Times New Roman" w:eastAsia="Calibri" w:hAnsi="Times New Roman" w:cs="Times New Roman"/>
          <w:b/>
          <w:lang w:val="hr-HR"/>
        </w:rPr>
      </w:pPr>
    </w:p>
    <w:tbl>
      <w:tblPr>
        <w:tblStyle w:val="TableGrid4"/>
        <w:tblW w:w="0" w:type="auto"/>
        <w:tblLook w:val="04A0" w:firstRow="1" w:lastRow="0" w:firstColumn="1" w:lastColumn="0" w:noHBand="0" w:noVBand="1"/>
      </w:tblPr>
      <w:tblGrid>
        <w:gridCol w:w="2659"/>
        <w:gridCol w:w="1777"/>
        <w:gridCol w:w="1161"/>
        <w:gridCol w:w="1890"/>
        <w:gridCol w:w="1574"/>
      </w:tblGrid>
      <w:tr w:rsidR="001D67E6" w:rsidRPr="003A22B9" w14:paraId="5C5B31BC" w14:textId="77777777" w:rsidTr="001C3C2B">
        <w:tc>
          <w:tcPr>
            <w:tcW w:w="2802" w:type="dxa"/>
            <w:tcBorders>
              <w:bottom w:val="single" w:sz="4" w:space="0" w:color="auto"/>
            </w:tcBorders>
          </w:tcPr>
          <w:p w14:paraId="14BC68CD" w14:textId="77777777" w:rsidR="001D67E6" w:rsidRPr="003A22B9" w:rsidRDefault="001D67E6" w:rsidP="001D67E6">
            <w:pPr>
              <w:spacing w:before="8"/>
              <w:rPr>
                <w:rFonts w:ascii="Times New Roman" w:eastAsia="Times New Roman" w:hAnsi="Times New Roman" w:cs="Times New Roman"/>
                <w:lang w:val="hr-HR"/>
              </w:rPr>
            </w:pPr>
          </w:p>
        </w:tc>
        <w:tc>
          <w:tcPr>
            <w:tcW w:w="1984" w:type="dxa"/>
            <w:tcBorders>
              <w:bottom w:val="single" w:sz="4" w:space="0" w:color="auto"/>
            </w:tcBorders>
          </w:tcPr>
          <w:p w14:paraId="1B0D475B" w14:textId="77777777" w:rsidR="001D67E6" w:rsidRPr="001C3C2B" w:rsidRDefault="001D67E6" w:rsidP="001D67E6">
            <w:pPr>
              <w:spacing w:before="8"/>
              <w:rPr>
                <w:rFonts w:ascii="Times New Roman" w:eastAsia="Calibri" w:hAnsi="Times New Roman" w:cs="Times New Roman"/>
                <w:b/>
              </w:rPr>
            </w:pPr>
            <w:r w:rsidRPr="001C3C2B">
              <w:rPr>
                <w:rFonts w:ascii="Times New Roman" w:eastAsia="Calibri" w:hAnsi="Times New Roman" w:cs="Times New Roman"/>
                <w:b/>
              </w:rPr>
              <w:t>Rituksimab</w:t>
            </w:r>
          </w:p>
          <w:p w14:paraId="67774174" w14:textId="77777777" w:rsidR="001D67E6" w:rsidRPr="001C3C2B" w:rsidRDefault="001D67E6" w:rsidP="001D67E6">
            <w:pPr>
              <w:spacing w:before="8"/>
              <w:rPr>
                <w:rFonts w:ascii="Times New Roman" w:eastAsia="Times New Roman" w:hAnsi="Times New Roman" w:cs="Times New Roman"/>
                <w:b/>
                <w:lang w:val="hr-HR"/>
              </w:rPr>
            </w:pPr>
            <w:r w:rsidRPr="001C3C2B">
              <w:rPr>
                <w:rFonts w:ascii="Times New Roman" w:eastAsia="Calibri" w:hAnsi="Times New Roman" w:cs="Times New Roman"/>
                <w:b/>
              </w:rPr>
              <w:t>(N=62)</w:t>
            </w:r>
          </w:p>
        </w:tc>
        <w:tc>
          <w:tcPr>
            <w:tcW w:w="1265" w:type="dxa"/>
            <w:tcBorders>
              <w:bottom w:val="single" w:sz="4" w:space="0" w:color="auto"/>
            </w:tcBorders>
          </w:tcPr>
          <w:p w14:paraId="6516DF59" w14:textId="77777777" w:rsidR="001D67E6" w:rsidRPr="001C3C2B" w:rsidRDefault="001D67E6" w:rsidP="001D67E6">
            <w:pPr>
              <w:spacing w:before="8"/>
              <w:rPr>
                <w:rFonts w:ascii="Times New Roman" w:eastAsia="Times New Roman" w:hAnsi="Times New Roman" w:cs="Times New Roman"/>
                <w:b/>
                <w:lang w:val="hr-HR"/>
              </w:rPr>
            </w:pPr>
            <w:r w:rsidRPr="001C3C2B">
              <w:rPr>
                <w:rFonts w:ascii="Times New Roman" w:eastAsia="Calibri" w:hAnsi="Times New Roman" w:cs="Times New Roman"/>
                <w:b/>
              </w:rPr>
              <w:t>MMF (N=63)</w:t>
            </w:r>
          </w:p>
        </w:tc>
        <w:tc>
          <w:tcPr>
            <w:tcW w:w="2279" w:type="dxa"/>
            <w:tcBorders>
              <w:bottom w:val="single" w:sz="4" w:space="0" w:color="auto"/>
            </w:tcBorders>
          </w:tcPr>
          <w:p w14:paraId="39833BDD" w14:textId="77777777" w:rsidR="001D67E6" w:rsidRPr="001C3C2B" w:rsidRDefault="001D67E6" w:rsidP="001D67E6">
            <w:pPr>
              <w:spacing w:before="8"/>
              <w:rPr>
                <w:rFonts w:ascii="Times New Roman" w:eastAsia="Times New Roman" w:hAnsi="Times New Roman" w:cs="Times New Roman"/>
                <w:b/>
                <w:lang w:val="hr-HR"/>
              </w:rPr>
            </w:pPr>
            <w:r w:rsidRPr="001C3C2B">
              <w:rPr>
                <w:rFonts w:ascii="Times New Roman" w:eastAsia="Calibri" w:hAnsi="Times New Roman" w:cs="Times New Roman"/>
                <w:b/>
              </w:rPr>
              <w:t>Razlika (95% CI)</w:t>
            </w:r>
          </w:p>
        </w:tc>
        <w:tc>
          <w:tcPr>
            <w:tcW w:w="1756" w:type="dxa"/>
            <w:tcBorders>
              <w:bottom w:val="single" w:sz="4" w:space="0" w:color="auto"/>
            </w:tcBorders>
          </w:tcPr>
          <w:p w14:paraId="7A9C61A7" w14:textId="0598DE37" w:rsidR="001D67E6" w:rsidRPr="001C3C2B" w:rsidRDefault="001D67E6" w:rsidP="001D67E6">
            <w:pPr>
              <w:spacing w:before="8"/>
              <w:rPr>
                <w:rFonts w:ascii="Times New Roman" w:eastAsia="Times New Roman" w:hAnsi="Times New Roman" w:cs="Times New Roman"/>
                <w:b/>
                <w:lang w:val="hr-HR"/>
              </w:rPr>
            </w:pPr>
            <w:r w:rsidRPr="001C3C2B">
              <w:rPr>
                <w:rFonts w:ascii="Times New Roman" w:eastAsia="Calibri" w:hAnsi="Times New Roman" w:cs="Times New Roman"/>
                <w:b/>
              </w:rPr>
              <w:t>p-vr</w:t>
            </w:r>
            <w:r w:rsidR="00F8560F" w:rsidRPr="001C3C2B">
              <w:rPr>
                <w:rFonts w:ascii="Times New Roman" w:eastAsia="Calibri" w:hAnsi="Times New Roman" w:cs="Times New Roman"/>
                <w:b/>
              </w:rPr>
              <w:t>ij</w:t>
            </w:r>
            <w:r w:rsidRPr="001C3C2B">
              <w:rPr>
                <w:rFonts w:ascii="Times New Roman" w:eastAsia="Calibri" w:hAnsi="Times New Roman" w:cs="Times New Roman"/>
                <w:b/>
              </w:rPr>
              <w:t>ednost</w:t>
            </w:r>
          </w:p>
        </w:tc>
      </w:tr>
      <w:tr w:rsidR="001D67E6" w:rsidRPr="003A22B9" w14:paraId="2BCBE071" w14:textId="77777777" w:rsidTr="001C3C2B">
        <w:trPr>
          <w:trHeight w:val="745"/>
        </w:trPr>
        <w:tc>
          <w:tcPr>
            <w:tcW w:w="2802" w:type="dxa"/>
            <w:tcBorders>
              <w:bottom w:val="single" w:sz="4" w:space="0" w:color="auto"/>
            </w:tcBorders>
          </w:tcPr>
          <w:p w14:paraId="318FF30E"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lang w:val="it-IT"/>
              </w:rPr>
              <w:t>Broj pacijenata sa odgovorom (stopa odgovora [%])</w:t>
            </w:r>
          </w:p>
        </w:tc>
        <w:tc>
          <w:tcPr>
            <w:tcW w:w="1984" w:type="dxa"/>
            <w:tcBorders>
              <w:bottom w:val="single" w:sz="4" w:space="0" w:color="auto"/>
            </w:tcBorders>
          </w:tcPr>
          <w:p w14:paraId="7A6C404A"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25 (40,3%)</w:t>
            </w:r>
          </w:p>
        </w:tc>
        <w:tc>
          <w:tcPr>
            <w:tcW w:w="1265" w:type="dxa"/>
            <w:tcBorders>
              <w:bottom w:val="single" w:sz="4" w:space="0" w:color="auto"/>
            </w:tcBorders>
          </w:tcPr>
          <w:p w14:paraId="25EB5FC7"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6 (9,5%)</w:t>
            </w:r>
          </w:p>
        </w:tc>
        <w:tc>
          <w:tcPr>
            <w:tcW w:w="2279" w:type="dxa"/>
            <w:tcBorders>
              <w:bottom w:val="single" w:sz="4" w:space="0" w:color="auto"/>
            </w:tcBorders>
          </w:tcPr>
          <w:p w14:paraId="51C629BD"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30,80% (14,70%; 45,15%)</w:t>
            </w:r>
          </w:p>
        </w:tc>
        <w:tc>
          <w:tcPr>
            <w:tcW w:w="1756" w:type="dxa"/>
            <w:tcBorders>
              <w:bottom w:val="single" w:sz="4" w:space="0" w:color="auto"/>
            </w:tcBorders>
          </w:tcPr>
          <w:p w14:paraId="3A3C0656"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&lt; 0,0001</w:t>
            </w:r>
          </w:p>
        </w:tc>
      </w:tr>
      <w:tr w:rsidR="001D67E6" w:rsidRPr="003A22B9" w14:paraId="3A27573C" w14:textId="77777777" w:rsidTr="001C3C2B">
        <w:tc>
          <w:tcPr>
            <w:tcW w:w="2802" w:type="dxa"/>
            <w:tcBorders>
              <w:top w:val="single" w:sz="4" w:space="0" w:color="auto"/>
              <w:bottom w:val="single" w:sz="4" w:space="0" w:color="auto"/>
            </w:tcBorders>
          </w:tcPr>
          <w:p w14:paraId="476E28AA"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Pacijenti sa novodijagnostikovanom bolešću</w:t>
            </w:r>
          </w:p>
        </w:tc>
        <w:tc>
          <w:tcPr>
            <w:tcW w:w="1984" w:type="dxa"/>
            <w:tcBorders>
              <w:top w:val="single" w:sz="4" w:space="0" w:color="auto"/>
              <w:bottom w:val="single" w:sz="4" w:space="0" w:color="auto"/>
            </w:tcBorders>
          </w:tcPr>
          <w:p w14:paraId="681AE4E3"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19 (39,6%)</w:t>
            </w:r>
          </w:p>
        </w:tc>
        <w:tc>
          <w:tcPr>
            <w:tcW w:w="1265" w:type="dxa"/>
            <w:tcBorders>
              <w:top w:val="single" w:sz="4" w:space="0" w:color="auto"/>
              <w:bottom w:val="single" w:sz="4" w:space="0" w:color="auto"/>
            </w:tcBorders>
          </w:tcPr>
          <w:p w14:paraId="6ACBBE37"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4 (9,1%)</w:t>
            </w:r>
          </w:p>
        </w:tc>
        <w:tc>
          <w:tcPr>
            <w:tcW w:w="2279" w:type="dxa"/>
            <w:tcBorders>
              <w:top w:val="single" w:sz="4" w:space="0" w:color="auto"/>
              <w:bottom w:val="single" w:sz="4" w:space="0" w:color="auto"/>
            </w:tcBorders>
          </w:tcPr>
          <w:p w14:paraId="254D3772" w14:textId="77777777" w:rsidR="001D67E6" w:rsidRPr="003A22B9" w:rsidRDefault="001D67E6" w:rsidP="001D67E6">
            <w:pPr>
              <w:spacing w:before="8"/>
              <w:rPr>
                <w:rFonts w:ascii="Times New Roman" w:eastAsia="Times New Roman" w:hAnsi="Times New Roman" w:cs="Times New Roman"/>
                <w:lang w:val="hr-HR"/>
              </w:rPr>
            </w:pPr>
          </w:p>
        </w:tc>
        <w:tc>
          <w:tcPr>
            <w:tcW w:w="1756" w:type="dxa"/>
            <w:tcBorders>
              <w:top w:val="single" w:sz="4" w:space="0" w:color="auto"/>
              <w:bottom w:val="single" w:sz="4" w:space="0" w:color="auto"/>
            </w:tcBorders>
          </w:tcPr>
          <w:p w14:paraId="1E54E6CF" w14:textId="77777777" w:rsidR="001D67E6" w:rsidRPr="003A22B9" w:rsidRDefault="001D67E6" w:rsidP="001D67E6">
            <w:pPr>
              <w:spacing w:before="8"/>
              <w:rPr>
                <w:rFonts w:ascii="Times New Roman" w:eastAsia="Times New Roman" w:hAnsi="Times New Roman" w:cs="Times New Roman"/>
                <w:lang w:val="hr-HR"/>
              </w:rPr>
            </w:pPr>
          </w:p>
        </w:tc>
      </w:tr>
      <w:tr w:rsidR="001D67E6" w:rsidRPr="003A22B9" w14:paraId="17E06147" w14:textId="77777777" w:rsidTr="001C3C2B">
        <w:tc>
          <w:tcPr>
            <w:tcW w:w="2802" w:type="dxa"/>
            <w:tcBorders>
              <w:top w:val="single" w:sz="4" w:space="0" w:color="auto"/>
            </w:tcBorders>
          </w:tcPr>
          <w:p w14:paraId="124A6FF1" w14:textId="77777777" w:rsidR="001D67E6" w:rsidRPr="003A22B9" w:rsidRDefault="001D67E6" w:rsidP="001D67E6">
            <w:pPr>
              <w:spacing w:before="8"/>
              <w:rPr>
                <w:rFonts w:ascii="Times New Roman" w:eastAsia="Times New Roman" w:hAnsi="Times New Roman" w:cs="Times New Roman"/>
                <w:lang w:val="it-IT"/>
              </w:rPr>
            </w:pPr>
            <w:r w:rsidRPr="003A22B9">
              <w:rPr>
                <w:rFonts w:ascii="Times New Roman" w:eastAsia="Calibri" w:hAnsi="Times New Roman" w:cs="Times New Roman"/>
                <w:lang w:val="it-IT"/>
              </w:rPr>
              <w:t>Pacijenti sa prethodno dijagnostikovanom bolešću</w:t>
            </w:r>
          </w:p>
        </w:tc>
        <w:tc>
          <w:tcPr>
            <w:tcW w:w="1984" w:type="dxa"/>
            <w:tcBorders>
              <w:top w:val="single" w:sz="4" w:space="0" w:color="auto"/>
            </w:tcBorders>
          </w:tcPr>
          <w:p w14:paraId="4CB52D8B"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6 (42,9%)</w:t>
            </w:r>
          </w:p>
        </w:tc>
        <w:tc>
          <w:tcPr>
            <w:tcW w:w="1265" w:type="dxa"/>
            <w:tcBorders>
              <w:top w:val="single" w:sz="4" w:space="0" w:color="auto"/>
            </w:tcBorders>
          </w:tcPr>
          <w:p w14:paraId="5DA101CA" w14:textId="77777777" w:rsidR="001D67E6" w:rsidRPr="003A22B9" w:rsidRDefault="001D67E6" w:rsidP="001D67E6">
            <w:pPr>
              <w:spacing w:before="8"/>
              <w:rPr>
                <w:rFonts w:ascii="Times New Roman" w:eastAsia="Times New Roman" w:hAnsi="Times New Roman" w:cs="Times New Roman"/>
                <w:lang w:val="hr-HR"/>
              </w:rPr>
            </w:pPr>
            <w:r w:rsidRPr="003A22B9">
              <w:rPr>
                <w:rFonts w:ascii="Times New Roman" w:eastAsia="Calibri" w:hAnsi="Times New Roman" w:cs="Times New Roman"/>
              </w:rPr>
              <w:t>2 (10,5%)</w:t>
            </w:r>
          </w:p>
        </w:tc>
        <w:tc>
          <w:tcPr>
            <w:tcW w:w="2279" w:type="dxa"/>
            <w:tcBorders>
              <w:top w:val="single" w:sz="4" w:space="0" w:color="auto"/>
            </w:tcBorders>
          </w:tcPr>
          <w:p w14:paraId="04CE897D" w14:textId="77777777" w:rsidR="001D67E6" w:rsidRPr="003A22B9" w:rsidRDefault="001D67E6" w:rsidP="001D67E6">
            <w:pPr>
              <w:spacing w:before="8"/>
              <w:rPr>
                <w:rFonts w:ascii="Times New Roman" w:eastAsia="Times New Roman" w:hAnsi="Times New Roman" w:cs="Times New Roman"/>
                <w:lang w:val="hr-HR"/>
              </w:rPr>
            </w:pPr>
          </w:p>
        </w:tc>
        <w:tc>
          <w:tcPr>
            <w:tcW w:w="1756" w:type="dxa"/>
            <w:tcBorders>
              <w:top w:val="single" w:sz="4" w:space="0" w:color="auto"/>
            </w:tcBorders>
          </w:tcPr>
          <w:p w14:paraId="027D317E" w14:textId="77777777" w:rsidR="001D67E6" w:rsidRPr="003A22B9" w:rsidRDefault="001D67E6" w:rsidP="001D67E6">
            <w:pPr>
              <w:spacing w:before="8"/>
              <w:rPr>
                <w:rFonts w:ascii="Times New Roman" w:eastAsia="Times New Roman" w:hAnsi="Times New Roman" w:cs="Times New Roman"/>
                <w:lang w:val="hr-HR"/>
              </w:rPr>
            </w:pPr>
          </w:p>
        </w:tc>
      </w:tr>
      <w:tr w:rsidR="001D67E6" w:rsidRPr="003A22B9" w14:paraId="31B7A78D" w14:textId="77777777" w:rsidTr="00043DF7">
        <w:trPr>
          <w:trHeight w:val="532"/>
        </w:trPr>
        <w:tc>
          <w:tcPr>
            <w:tcW w:w="10086" w:type="dxa"/>
            <w:gridSpan w:val="5"/>
          </w:tcPr>
          <w:p w14:paraId="590CF28C" w14:textId="77777777" w:rsidR="003A54BA" w:rsidRDefault="001D67E6" w:rsidP="001D67E6">
            <w:pPr>
              <w:spacing w:before="8"/>
              <w:rPr>
                <w:rFonts w:ascii="Times New Roman" w:eastAsia="Calibri" w:hAnsi="Times New Roman" w:cs="Times New Roman"/>
                <w:sz w:val="20"/>
                <w:szCs w:val="20"/>
                <w:lang w:val="it-IT"/>
              </w:rPr>
            </w:pPr>
            <w:r w:rsidRPr="001C3C2B">
              <w:rPr>
                <w:rFonts w:ascii="Times New Roman" w:eastAsia="Calibri" w:hAnsi="Times New Roman" w:cs="Times New Roman"/>
                <w:sz w:val="20"/>
                <w:szCs w:val="20"/>
                <w:lang w:val="it-IT"/>
              </w:rPr>
              <w:t xml:space="preserve">MMF = mofetilmikofenolat; CI = interval pouzdanosti. </w:t>
            </w:r>
          </w:p>
          <w:p w14:paraId="01A88590" w14:textId="77777777" w:rsidR="003A54BA" w:rsidRDefault="001D67E6" w:rsidP="001D67E6">
            <w:pPr>
              <w:spacing w:before="8"/>
              <w:rPr>
                <w:rFonts w:ascii="Times New Roman" w:eastAsia="Calibri" w:hAnsi="Times New Roman" w:cs="Times New Roman"/>
                <w:sz w:val="20"/>
                <w:szCs w:val="20"/>
                <w:lang w:val="it-IT"/>
              </w:rPr>
            </w:pPr>
            <w:r w:rsidRPr="001C3C2B">
              <w:rPr>
                <w:rFonts w:ascii="Times New Roman" w:eastAsia="Calibri" w:hAnsi="Times New Roman" w:cs="Times New Roman"/>
                <w:sz w:val="20"/>
                <w:szCs w:val="20"/>
                <w:lang w:val="it-IT"/>
              </w:rPr>
              <w:t>Pacijenti sa novodijagnostikovanom bolešću = trajanje bolesti &lt; 6 m</w:t>
            </w:r>
            <w:r w:rsidR="00CF286B" w:rsidRPr="001C3C2B">
              <w:rPr>
                <w:rFonts w:ascii="Times New Roman" w:eastAsia="Calibri" w:hAnsi="Times New Roman" w:cs="Times New Roman"/>
                <w:sz w:val="20"/>
                <w:szCs w:val="20"/>
                <w:lang w:val="it-IT"/>
              </w:rPr>
              <w:t>j</w:t>
            </w:r>
            <w:r w:rsidRPr="001C3C2B">
              <w:rPr>
                <w:rFonts w:ascii="Times New Roman" w:eastAsia="Calibri" w:hAnsi="Times New Roman" w:cs="Times New Roman"/>
                <w:sz w:val="20"/>
                <w:szCs w:val="20"/>
                <w:lang w:val="it-IT"/>
              </w:rPr>
              <w:t>eseci ili bez prethodnog l</w:t>
            </w:r>
            <w:r w:rsidR="00CF286B" w:rsidRPr="001C3C2B">
              <w:rPr>
                <w:rFonts w:ascii="Times New Roman" w:eastAsia="Calibri" w:hAnsi="Times New Roman" w:cs="Times New Roman"/>
                <w:sz w:val="20"/>
                <w:szCs w:val="20"/>
                <w:lang w:val="it-IT"/>
              </w:rPr>
              <w:t>ij</w:t>
            </w:r>
            <w:r w:rsidRPr="001C3C2B">
              <w:rPr>
                <w:rFonts w:ascii="Times New Roman" w:eastAsia="Calibri" w:hAnsi="Times New Roman" w:cs="Times New Roman"/>
                <w:sz w:val="20"/>
                <w:szCs w:val="20"/>
                <w:lang w:val="it-IT"/>
              </w:rPr>
              <w:t>ečenja za PV. Pacijenti sa prethodno dijagnostikovanom bolešću = trajanje bolesti ≥ 6 m</w:t>
            </w:r>
            <w:r w:rsidR="00CF286B" w:rsidRPr="001C3C2B">
              <w:rPr>
                <w:rFonts w:ascii="Times New Roman" w:eastAsia="Calibri" w:hAnsi="Times New Roman" w:cs="Times New Roman"/>
                <w:sz w:val="20"/>
                <w:szCs w:val="20"/>
                <w:lang w:val="it-IT"/>
              </w:rPr>
              <w:t>j</w:t>
            </w:r>
            <w:r w:rsidRPr="001C3C2B">
              <w:rPr>
                <w:rFonts w:ascii="Times New Roman" w:eastAsia="Calibri" w:hAnsi="Times New Roman" w:cs="Times New Roman"/>
                <w:sz w:val="20"/>
                <w:szCs w:val="20"/>
                <w:lang w:val="it-IT"/>
              </w:rPr>
              <w:t>eseci i pri</w:t>
            </w:r>
            <w:r w:rsidR="00C72E8F" w:rsidRPr="001C3C2B">
              <w:rPr>
                <w:rFonts w:ascii="Times New Roman" w:eastAsia="Calibri" w:hAnsi="Times New Roman" w:cs="Times New Roman"/>
                <w:sz w:val="20"/>
                <w:szCs w:val="20"/>
                <w:lang w:val="it-IT"/>
              </w:rPr>
              <w:t>ml</w:t>
            </w:r>
            <w:r w:rsidRPr="001C3C2B">
              <w:rPr>
                <w:rFonts w:ascii="Times New Roman" w:eastAsia="Calibri" w:hAnsi="Times New Roman" w:cs="Times New Roman"/>
                <w:sz w:val="20"/>
                <w:szCs w:val="20"/>
                <w:lang w:val="it-IT"/>
              </w:rPr>
              <w:t xml:space="preserve">jena prethodna terapija za PV. </w:t>
            </w:r>
          </w:p>
          <w:p w14:paraId="1600A49C" w14:textId="44120076" w:rsidR="001D67E6" w:rsidRPr="001C3C2B" w:rsidRDefault="001D67E6" w:rsidP="001D67E6">
            <w:pPr>
              <w:spacing w:before="8"/>
              <w:rPr>
                <w:rFonts w:ascii="Times New Roman" w:eastAsia="Times New Roman" w:hAnsi="Times New Roman" w:cs="Times New Roman"/>
                <w:sz w:val="20"/>
                <w:szCs w:val="20"/>
                <w:lang w:val="hr-HR"/>
              </w:rPr>
            </w:pPr>
            <w:r w:rsidRPr="001C3C2B">
              <w:rPr>
                <w:rFonts w:ascii="Times New Roman" w:eastAsia="Calibri" w:hAnsi="Times New Roman" w:cs="Times New Roman"/>
                <w:sz w:val="20"/>
                <w:szCs w:val="20"/>
                <w:lang w:val="it-IT"/>
              </w:rPr>
              <w:t>Za p-vr</w:t>
            </w:r>
            <w:r w:rsidR="00563771" w:rsidRPr="001C3C2B">
              <w:rPr>
                <w:rFonts w:ascii="Times New Roman" w:eastAsia="Calibri" w:hAnsi="Times New Roman" w:cs="Times New Roman"/>
                <w:sz w:val="20"/>
                <w:szCs w:val="20"/>
                <w:lang w:val="it-IT"/>
              </w:rPr>
              <w:t>ij</w:t>
            </w:r>
            <w:r w:rsidRPr="001C3C2B">
              <w:rPr>
                <w:rFonts w:ascii="Times New Roman" w:eastAsia="Calibri" w:hAnsi="Times New Roman" w:cs="Times New Roman"/>
                <w:sz w:val="20"/>
                <w:szCs w:val="20"/>
                <w:lang w:val="it-IT"/>
              </w:rPr>
              <w:t>ednost koristio se Cochran-Mantel-Haenszelov test.</w:t>
            </w:r>
          </w:p>
        </w:tc>
      </w:tr>
    </w:tbl>
    <w:p w14:paraId="6DA38C82" w14:textId="77777777" w:rsidR="001D67E6" w:rsidRPr="003A22B9" w:rsidRDefault="001D67E6" w:rsidP="001D67E6">
      <w:pPr>
        <w:widowControl w:val="0"/>
        <w:spacing w:before="8" w:after="0" w:line="240" w:lineRule="auto"/>
        <w:rPr>
          <w:rFonts w:ascii="Times New Roman" w:eastAsia="Times New Roman" w:hAnsi="Times New Roman" w:cs="Times New Roman"/>
          <w:lang w:val="hr-HR"/>
        </w:rPr>
      </w:pPr>
    </w:p>
    <w:p w14:paraId="36525196" w14:textId="208510FF" w:rsidR="001D67E6" w:rsidRPr="003A22B9" w:rsidRDefault="001D67E6" w:rsidP="001D67E6">
      <w:pPr>
        <w:widowControl w:val="0"/>
        <w:spacing w:before="8" w:after="0" w:line="240" w:lineRule="auto"/>
        <w:jc w:val="both"/>
        <w:rPr>
          <w:rFonts w:ascii="Times New Roman" w:eastAsia="Calibri" w:hAnsi="Times New Roman" w:cs="Times New Roman"/>
          <w:lang w:val="hr-HR"/>
        </w:rPr>
      </w:pPr>
      <w:r w:rsidRPr="003A22B9">
        <w:rPr>
          <w:rFonts w:ascii="Times New Roman" w:eastAsia="Calibri" w:hAnsi="Times New Roman" w:cs="Times New Roman"/>
          <w:lang w:val="hr-HR"/>
        </w:rPr>
        <w:t>Analiza svih sekundarnih parametara (uključujući kumulativnu peroralnu dozu kortikosteroida, ukupan broj epizoda razbuktavanja bolesti i prom</w:t>
      </w:r>
      <w:r w:rsidR="00E76721" w:rsidRPr="003A22B9">
        <w:rPr>
          <w:rFonts w:ascii="Times New Roman" w:eastAsia="Calibri" w:hAnsi="Times New Roman" w:cs="Times New Roman"/>
          <w:lang w:val="hr-HR"/>
        </w:rPr>
        <w:t>j</w:t>
      </w:r>
      <w:r w:rsidRPr="003A22B9">
        <w:rPr>
          <w:rFonts w:ascii="Times New Roman" w:eastAsia="Calibri" w:hAnsi="Times New Roman" w:cs="Times New Roman"/>
          <w:lang w:val="hr-HR"/>
        </w:rPr>
        <w:t>enu kvaliteta života vezanu za zdravlje m</w:t>
      </w:r>
      <w:r w:rsidR="00E76721" w:rsidRPr="003A22B9">
        <w:rPr>
          <w:rFonts w:ascii="Times New Roman" w:eastAsia="Calibri" w:hAnsi="Times New Roman" w:cs="Times New Roman"/>
          <w:lang w:val="hr-HR"/>
        </w:rPr>
        <w:t>j</w:t>
      </w:r>
      <w:r w:rsidRPr="003A22B9">
        <w:rPr>
          <w:rFonts w:ascii="Times New Roman" w:eastAsia="Calibri" w:hAnsi="Times New Roman" w:cs="Times New Roman"/>
          <w:lang w:val="hr-HR"/>
        </w:rPr>
        <w:t xml:space="preserve">erene indeksom kvaliteta života kod dermatoloških bolesti [eng. </w:t>
      </w:r>
      <w:r w:rsidRPr="003A22B9">
        <w:rPr>
          <w:rFonts w:ascii="Times New Roman" w:eastAsia="Calibri" w:hAnsi="Times New Roman" w:cs="Times New Roman"/>
          <w:i/>
          <w:lang w:val="hr-HR"/>
        </w:rPr>
        <w:t>Dermatology Life Quality Index</w:t>
      </w:r>
      <w:r w:rsidRPr="003A22B9">
        <w:rPr>
          <w:rFonts w:ascii="Times New Roman" w:eastAsia="Calibri" w:hAnsi="Times New Roman" w:cs="Times New Roman"/>
          <w:lang w:val="hr-HR"/>
        </w:rPr>
        <w:t>, DLQI]) potvrdila je statistički značajne rezultate l</w:t>
      </w:r>
      <w:r w:rsidR="00E76721" w:rsidRPr="003A22B9">
        <w:rPr>
          <w:rFonts w:ascii="Times New Roman" w:eastAsia="Calibri" w:hAnsi="Times New Roman" w:cs="Times New Roman"/>
          <w:lang w:val="hr-HR"/>
        </w:rPr>
        <w:t>ij</w:t>
      </w:r>
      <w:r w:rsidRPr="003A22B9">
        <w:rPr>
          <w:rFonts w:ascii="Times New Roman" w:eastAsia="Calibri" w:hAnsi="Times New Roman" w:cs="Times New Roman"/>
          <w:lang w:val="hr-HR"/>
        </w:rPr>
        <w:t xml:space="preserve">ečenja rituksimabom u odnosu na MMF. Testiranje sekundarnih </w:t>
      </w:r>
      <w:r w:rsidR="00F52D0D" w:rsidRPr="003A22B9">
        <w:rPr>
          <w:rFonts w:ascii="Times New Roman" w:eastAsia="Calibri" w:hAnsi="Times New Roman" w:cs="Times New Roman"/>
          <w:lang w:val="hr-HR"/>
        </w:rPr>
        <w:t>parametara praćenja</w:t>
      </w:r>
      <w:r w:rsidRPr="003A22B9">
        <w:rPr>
          <w:rFonts w:ascii="Times New Roman" w:eastAsia="Calibri" w:hAnsi="Times New Roman" w:cs="Times New Roman"/>
          <w:lang w:val="hr-HR"/>
        </w:rPr>
        <w:t xml:space="preserve"> bilo je kontrolisano za multiplicitet.</w:t>
      </w:r>
    </w:p>
    <w:p w14:paraId="0F10B2CC" w14:textId="77777777" w:rsidR="001D67E6" w:rsidRPr="003A22B9" w:rsidRDefault="001D67E6" w:rsidP="001D67E6">
      <w:pPr>
        <w:widowControl w:val="0"/>
        <w:spacing w:before="8" w:after="0" w:line="240" w:lineRule="auto"/>
        <w:jc w:val="both"/>
        <w:rPr>
          <w:rFonts w:ascii="Times New Roman" w:eastAsia="Calibri" w:hAnsi="Times New Roman" w:cs="Times New Roman"/>
          <w:lang w:val="hr-HR"/>
        </w:rPr>
      </w:pPr>
    </w:p>
    <w:p w14:paraId="0EA804A5" w14:textId="77777777" w:rsidR="001D67E6" w:rsidRPr="003A22B9" w:rsidRDefault="001D67E6" w:rsidP="001D67E6">
      <w:pPr>
        <w:widowControl w:val="0"/>
        <w:spacing w:before="8" w:after="0" w:line="240" w:lineRule="auto"/>
        <w:jc w:val="both"/>
        <w:rPr>
          <w:rFonts w:ascii="Times New Roman" w:eastAsia="Calibri" w:hAnsi="Times New Roman" w:cs="Times New Roman"/>
          <w:i/>
          <w:lang w:val="it-IT"/>
        </w:rPr>
      </w:pPr>
      <w:r w:rsidRPr="003A22B9">
        <w:rPr>
          <w:rFonts w:ascii="Times New Roman" w:eastAsia="Calibri" w:hAnsi="Times New Roman" w:cs="Times New Roman"/>
          <w:i/>
          <w:lang w:val="it-IT"/>
        </w:rPr>
        <w:t>Izloženost glukokortikoidima</w:t>
      </w:r>
    </w:p>
    <w:p w14:paraId="5EC6DAD2" w14:textId="16C4EC3A" w:rsidR="001D67E6" w:rsidRPr="003A22B9" w:rsidRDefault="001D67E6" w:rsidP="001D67E6">
      <w:pPr>
        <w:widowControl w:val="0"/>
        <w:spacing w:before="8"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Kumulativna doza oralnih kortikosteroida bila je značajno manja kod pacijenata l</w:t>
      </w:r>
      <w:r w:rsidR="009303EB"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ečenih rituksimabom. Medijana (min, maks.) kumulativne doze prednizona u 52. ned</w:t>
      </w:r>
      <w:r w:rsidR="009303EB" w:rsidRPr="003A22B9">
        <w:rPr>
          <w:rFonts w:ascii="Times New Roman" w:eastAsia="Calibri" w:hAnsi="Times New Roman" w:cs="Times New Roman"/>
          <w:lang w:val="it-IT"/>
        </w:rPr>
        <w:t>j</w:t>
      </w:r>
      <w:r w:rsidRPr="003A22B9">
        <w:rPr>
          <w:rFonts w:ascii="Times New Roman" w:eastAsia="Calibri" w:hAnsi="Times New Roman" w:cs="Times New Roman"/>
          <w:lang w:val="it-IT"/>
        </w:rPr>
        <w:t>elji iznosi</w:t>
      </w:r>
      <w:r w:rsidR="00F52D0D" w:rsidRPr="003A22B9">
        <w:rPr>
          <w:rFonts w:ascii="Times New Roman" w:eastAsia="Calibri" w:hAnsi="Times New Roman" w:cs="Times New Roman"/>
          <w:lang w:val="it-IT"/>
        </w:rPr>
        <w:t>la</w:t>
      </w:r>
      <w:r w:rsidRPr="003A22B9">
        <w:rPr>
          <w:rFonts w:ascii="Times New Roman" w:eastAsia="Calibri" w:hAnsi="Times New Roman" w:cs="Times New Roman"/>
          <w:lang w:val="it-IT"/>
        </w:rPr>
        <w:t xml:space="preserve"> je 2775 mg (450, 22180) u grupi l</w:t>
      </w:r>
      <w:r w:rsidR="009303EB"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ečenoj rituksimabom i 4005 mg (900, 19920) u grupi koja je primala MMF (p=0,0005).</w:t>
      </w:r>
    </w:p>
    <w:p w14:paraId="0DC5A2ED" w14:textId="77777777" w:rsidR="001D67E6" w:rsidRPr="003A22B9" w:rsidRDefault="001D67E6" w:rsidP="001D67E6">
      <w:pPr>
        <w:widowControl w:val="0"/>
        <w:spacing w:before="8" w:after="0" w:line="240" w:lineRule="auto"/>
        <w:jc w:val="both"/>
        <w:rPr>
          <w:rFonts w:ascii="Times New Roman" w:eastAsia="Times New Roman" w:hAnsi="Times New Roman" w:cs="Times New Roman"/>
          <w:lang w:val="it-IT"/>
        </w:rPr>
      </w:pPr>
    </w:p>
    <w:p w14:paraId="72082281" w14:textId="77777777" w:rsidR="001D67E6" w:rsidRPr="003A22B9" w:rsidRDefault="001D67E6" w:rsidP="001D67E6">
      <w:pPr>
        <w:widowControl w:val="0"/>
        <w:spacing w:before="8" w:after="0" w:line="240" w:lineRule="auto"/>
        <w:jc w:val="both"/>
        <w:rPr>
          <w:rFonts w:ascii="Times New Roman" w:eastAsia="Calibri" w:hAnsi="Times New Roman" w:cs="Times New Roman"/>
          <w:i/>
          <w:lang w:val="it-IT"/>
        </w:rPr>
      </w:pPr>
      <w:r w:rsidRPr="003A22B9">
        <w:rPr>
          <w:rFonts w:ascii="Times New Roman" w:eastAsia="Calibri" w:hAnsi="Times New Roman" w:cs="Times New Roman"/>
          <w:i/>
          <w:lang w:val="it-IT"/>
        </w:rPr>
        <w:t xml:space="preserve">Razbuktavanje bolesti </w:t>
      </w:r>
    </w:p>
    <w:p w14:paraId="3D20A8D9" w14:textId="7FC65726" w:rsidR="001D67E6" w:rsidRPr="003A22B9" w:rsidRDefault="001D67E6" w:rsidP="001D67E6">
      <w:pPr>
        <w:widowControl w:val="0"/>
        <w:spacing w:before="8"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t>Ukupan broj epizoda razbuktavanja bolesti kod pacijenata l</w:t>
      </w:r>
      <w:r w:rsidR="00100825"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ečenih rituksimabom bio je značajno manji nego kod onih koji su primali MMF (6 naspram 44, p &lt; 0,0001), a u grupi l</w:t>
      </w:r>
      <w:r w:rsidR="00100825"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ečenoj rituksimabom bilo je i manje pacijenata koji su imali najmanje jednu epizodu razbuktavanja bolesti (8,1% naspram 41,3%).</w:t>
      </w:r>
    </w:p>
    <w:p w14:paraId="28FA5B95" w14:textId="77777777" w:rsidR="001D67E6" w:rsidRPr="003A22B9" w:rsidRDefault="001D67E6" w:rsidP="001D67E6">
      <w:pPr>
        <w:widowControl w:val="0"/>
        <w:spacing w:before="8" w:after="0" w:line="240" w:lineRule="auto"/>
        <w:jc w:val="both"/>
        <w:rPr>
          <w:rFonts w:ascii="Times New Roman" w:eastAsia="Calibri" w:hAnsi="Times New Roman" w:cs="Times New Roman"/>
          <w:lang w:val="it-IT"/>
        </w:rPr>
      </w:pPr>
    </w:p>
    <w:p w14:paraId="2798394C" w14:textId="3A7798FF" w:rsidR="001D67E6" w:rsidRPr="003A22B9" w:rsidRDefault="001D67E6" w:rsidP="001D67E6">
      <w:pPr>
        <w:widowControl w:val="0"/>
        <w:spacing w:before="8" w:after="0" w:line="240" w:lineRule="auto"/>
        <w:jc w:val="both"/>
        <w:rPr>
          <w:rFonts w:ascii="Times New Roman" w:eastAsia="Calibri" w:hAnsi="Times New Roman" w:cs="Times New Roman"/>
          <w:i/>
          <w:lang w:val="it-IT"/>
        </w:rPr>
      </w:pPr>
      <w:r w:rsidRPr="003A22B9">
        <w:rPr>
          <w:rFonts w:ascii="Times New Roman" w:eastAsia="Calibri" w:hAnsi="Times New Roman" w:cs="Times New Roman"/>
          <w:i/>
          <w:lang w:val="it-IT"/>
        </w:rPr>
        <w:t>Laboratorijske oc</w:t>
      </w:r>
      <w:r w:rsidR="000D381F" w:rsidRPr="003A22B9">
        <w:rPr>
          <w:rFonts w:ascii="Times New Roman" w:eastAsia="Calibri" w:hAnsi="Times New Roman" w:cs="Times New Roman"/>
          <w:i/>
          <w:lang w:val="it-IT"/>
        </w:rPr>
        <w:t>j</w:t>
      </w:r>
      <w:r w:rsidRPr="003A22B9">
        <w:rPr>
          <w:rFonts w:ascii="Times New Roman" w:eastAsia="Calibri" w:hAnsi="Times New Roman" w:cs="Times New Roman"/>
          <w:i/>
          <w:lang w:val="it-IT"/>
        </w:rPr>
        <w:t xml:space="preserve">ene </w:t>
      </w:r>
    </w:p>
    <w:p w14:paraId="15DAEE1B" w14:textId="51F4122D" w:rsidR="001D67E6" w:rsidRPr="003A22B9" w:rsidRDefault="001D67E6" w:rsidP="001D67E6">
      <w:pPr>
        <w:widowControl w:val="0"/>
        <w:spacing w:before="8" w:after="0" w:line="240" w:lineRule="auto"/>
        <w:jc w:val="both"/>
        <w:rPr>
          <w:rFonts w:ascii="Times New Roman" w:eastAsia="Times New Roman" w:hAnsi="Times New Roman" w:cs="Times New Roman"/>
          <w:lang w:val="it-IT"/>
        </w:rPr>
      </w:pPr>
      <w:r w:rsidRPr="003A22B9">
        <w:rPr>
          <w:rFonts w:ascii="Times New Roman" w:eastAsia="Calibri" w:hAnsi="Times New Roman" w:cs="Times New Roman"/>
          <w:lang w:val="it-IT"/>
        </w:rPr>
        <w:t>Do 52. ned</w:t>
      </w:r>
      <w:r w:rsidR="000D381F" w:rsidRPr="003A22B9">
        <w:rPr>
          <w:rFonts w:ascii="Times New Roman" w:eastAsia="Calibri" w:hAnsi="Times New Roman" w:cs="Times New Roman"/>
          <w:lang w:val="it-IT"/>
        </w:rPr>
        <w:t>j</w:t>
      </w:r>
      <w:r w:rsidRPr="003A22B9">
        <w:rPr>
          <w:rFonts w:ascii="Times New Roman" w:eastAsia="Calibri" w:hAnsi="Times New Roman" w:cs="Times New Roman"/>
          <w:lang w:val="it-IT"/>
        </w:rPr>
        <w:t>elje ukupno je 20/63 (31,7%) pacijenata sa PV-om l</w:t>
      </w:r>
      <w:r w:rsidR="00F52D0D" w:rsidRPr="003A22B9">
        <w:rPr>
          <w:rFonts w:ascii="Times New Roman" w:eastAsia="Calibri" w:hAnsi="Times New Roman" w:cs="Times New Roman"/>
          <w:lang w:val="it-IT"/>
        </w:rPr>
        <w:t>ij</w:t>
      </w:r>
      <w:r w:rsidRPr="003A22B9">
        <w:rPr>
          <w:rFonts w:ascii="Times New Roman" w:eastAsia="Calibri" w:hAnsi="Times New Roman" w:cs="Times New Roman"/>
          <w:lang w:val="it-IT"/>
        </w:rPr>
        <w:t>ečenih rituksimabom bilo pozitivno na antit</w:t>
      </w:r>
      <w:r w:rsidR="00C35A70" w:rsidRPr="003A22B9">
        <w:rPr>
          <w:rFonts w:ascii="Times New Roman" w:eastAsia="Calibri" w:hAnsi="Times New Roman" w:cs="Times New Roman"/>
          <w:lang w:val="it-IT"/>
        </w:rPr>
        <w:t>ij</w:t>
      </w:r>
      <w:r w:rsidRPr="003A22B9">
        <w:rPr>
          <w:rFonts w:ascii="Times New Roman" w:eastAsia="Calibri" w:hAnsi="Times New Roman" w:cs="Times New Roman"/>
          <w:lang w:val="it-IT"/>
        </w:rPr>
        <w:t>ela na l</w:t>
      </w:r>
      <w:r w:rsidR="00C35A70" w:rsidRPr="003A22B9">
        <w:rPr>
          <w:rFonts w:ascii="Times New Roman" w:eastAsia="Calibri" w:hAnsi="Times New Roman" w:cs="Times New Roman"/>
          <w:lang w:val="it-IT"/>
        </w:rPr>
        <w:t>ij</w:t>
      </w:r>
      <w:r w:rsidRPr="003A22B9">
        <w:rPr>
          <w:rFonts w:ascii="Times New Roman" w:eastAsia="Calibri" w:hAnsi="Times New Roman" w:cs="Times New Roman"/>
          <w:lang w:val="it-IT"/>
        </w:rPr>
        <w:t>ek (nastanak antit</w:t>
      </w:r>
      <w:r w:rsidR="00C35A70" w:rsidRPr="003A22B9">
        <w:rPr>
          <w:rFonts w:ascii="Times New Roman" w:eastAsia="Calibri" w:hAnsi="Times New Roman" w:cs="Times New Roman"/>
          <w:lang w:val="it-IT"/>
        </w:rPr>
        <w:t>ij</w:t>
      </w:r>
      <w:r w:rsidRPr="003A22B9">
        <w:rPr>
          <w:rFonts w:ascii="Times New Roman" w:eastAsia="Calibri" w:hAnsi="Times New Roman" w:cs="Times New Roman"/>
          <w:lang w:val="it-IT"/>
        </w:rPr>
        <w:t>ela je u 19 slučajeva bio izazvan terapijom, a u 1 slučaju posp</w:t>
      </w:r>
      <w:r w:rsidR="00F52D0D" w:rsidRPr="003A22B9">
        <w:rPr>
          <w:rFonts w:ascii="Times New Roman" w:eastAsia="Calibri" w:hAnsi="Times New Roman" w:cs="Times New Roman"/>
          <w:lang w:val="it-IT"/>
        </w:rPr>
        <w:t>i</w:t>
      </w:r>
      <w:r w:rsidR="005152EE" w:rsidRPr="003A22B9">
        <w:rPr>
          <w:rFonts w:ascii="Times New Roman" w:eastAsia="Calibri" w:hAnsi="Times New Roman" w:cs="Times New Roman"/>
          <w:lang w:val="it-IT"/>
        </w:rPr>
        <w:t>j</w:t>
      </w:r>
      <w:r w:rsidRPr="003A22B9">
        <w:rPr>
          <w:rFonts w:ascii="Times New Roman" w:eastAsia="Calibri" w:hAnsi="Times New Roman" w:cs="Times New Roman"/>
          <w:lang w:val="it-IT"/>
        </w:rPr>
        <w:t>ešen terapijom). Prisustvo antit</w:t>
      </w:r>
      <w:r w:rsidR="005152EE" w:rsidRPr="003A22B9">
        <w:rPr>
          <w:rFonts w:ascii="Times New Roman" w:eastAsia="Calibri" w:hAnsi="Times New Roman" w:cs="Times New Roman"/>
          <w:lang w:val="it-IT"/>
        </w:rPr>
        <w:t>ij</w:t>
      </w:r>
      <w:r w:rsidRPr="003A22B9">
        <w:rPr>
          <w:rFonts w:ascii="Times New Roman" w:eastAsia="Calibri" w:hAnsi="Times New Roman" w:cs="Times New Roman"/>
          <w:lang w:val="it-IT"/>
        </w:rPr>
        <w:t>ela na l</w:t>
      </w:r>
      <w:r w:rsidR="005152EE" w:rsidRPr="003A22B9">
        <w:rPr>
          <w:rFonts w:ascii="Times New Roman" w:eastAsia="Calibri" w:hAnsi="Times New Roman" w:cs="Times New Roman"/>
          <w:lang w:val="it-IT"/>
        </w:rPr>
        <w:t>ij</w:t>
      </w:r>
      <w:r w:rsidRPr="003A22B9">
        <w:rPr>
          <w:rFonts w:ascii="Times New Roman" w:eastAsia="Calibri" w:hAnsi="Times New Roman" w:cs="Times New Roman"/>
          <w:lang w:val="it-IT"/>
        </w:rPr>
        <w:t>ek nije imalo vidljiv negativan efekat na bezb</w:t>
      </w:r>
      <w:r w:rsidR="005152EE" w:rsidRPr="003A22B9">
        <w:rPr>
          <w:rFonts w:ascii="Times New Roman" w:eastAsia="Calibri" w:hAnsi="Times New Roman" w:cs="Times New Roman"/>
          <w:lang w:val="it-IT"/>
        </w:rPr>
        <w:t>j</w:t>
      </w:r>
      <w:r w:rsidRPr="003A22B9">
        <w:rPr>
          <w:rFonts w:ascii="Times New Roman" w:eastAsia="Calibri" w:hAnsi="Times New Roman" w:cs="Times New Roman"/>
          <w:lang w:val="it-IT"/>
        </w:rPr>
        <w:t>ednost i efikasnost u PV Studiji 2.</w:t>
      </w:r>
    </w:p>
    <w:p w14:paraId="020836D9" w14:textId="77777777" w:rsidR="001D67E6" w:rsidRPr="003A22B9" w:rsidRDefault="001D67E6" w:rsidP="00A75B47">
      <w:pPr>
        <w:tabs>
          <w:tab w:val="left" w:pos="540"/>
          <w:tab w:val="left" w:pos="569"/>
        </w:tabs>
        <w:spacing w:after="0" w:line="240" w:lineRule="auto"/>
        <w:jc w:val="both"/>
        <w:rPr>
          <w:rFonts w:ascii="Times New Roman" w:eastAsia="Times New Roman" w:hAnsi="Times New Roman" w:cs="Times New Roman"/>
          <w:b/>
          <w:bCs/>
          <w:lang w:val="it-IT"/>
        </w:rPr>
      </w:pPr>
    </w:p>
    <w:p w14:paraId="671D60D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5.2. </w:t>
      </w:r>
      <w:r w:rsidRPr="003A22B9">
        <w:rPr>
          <w:rFonts w:ascii="Times New Roman" w:eastAsia="Times New Roman" w:hAnsi="Times New Roman" w:cs="Times New Roman"/>
          <w:b/>
          <w:bCs/>
          <w:lang w:val="sr-Latn-ME"/>
        </w:rPr>
        <w:tab/>
        <w:t xml:space="preserve">Farmakokinetički podaci </w:t>
      </w:r>
    </w:p>
    <w:p w14:paraId="6D19949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096729D3" w14:textId="5BF28F93"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 xml:space="preserve">Non-Hodgkinov limfom </w:t>
      </w:r>
      <w:r w:rsidR="00EC3B29" w:rsidRPr="003A22B9">
        <w:rPr>
          <w:rFonts w:ascii="Times New Roman" w:eastAsia="Times New Roman" w:hAnsi="Times New Roman" w:cs="Times New Roman"/>
          <w:u w:val="single"/>
          <w:lang w:val="sr-Latn-ME"/>
        </w:rPr>
        <w:t>kod odraslih</w:t>
      </w:r>
    </w:p>
    <w:p w14:paraId="55BC2E9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F540D68" w14:textId="1BA73B9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 osnovu farmakokinetičke analize populacije 298 NHL pacijenata koji su dobili jednu ili više infuzija rituksimaba kao pojedinačne terapije ili u kombinaciji sa CHOP terapijom (primijenjena doza rituksimaba od 100 do 500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procijenjene vrijednosti nespecifičnog klirensa (CL</w:t>
      </w:r>
      <w:r w:rsidRPr="003A22B9">
        <w:rPr>
          <w:rFonts w:ascii="Times New Roman" w:eastAsia="Times New Roman" w:hAnsi="Times New Roman" w:cs="Times New Roman"/>
          <w:vertAlign w:val="subscript"/>
          <w:lang w:val="sr-Latn-ME"/>
        </w:rPr>
        <w:t>1</w:t>
      </w:r>
      <w:r w:rsidRPr="003A22B9">
        <w:rPr>
          <w:rFonts w:ascii="Times New Roman" w:eastAsia="Times New Roman" w:hAnsi="Times New Roman" w:cs="Times New Roman"/>
          <w:lang w:val="sr-Latn-ME"/>
        </w:rPr>
        <w:t>), specifičnog klirensa (CL</w:t>
      </w:r>
      <w:r w:rsidRPr="003A22B9">
        <w:rPr>
          <w:rFonts w:ascii="Times New Roman" w:eastAsia="Times New Roman" w:hAnsi="Times New Roman" w:cs="Times New Roman"/>
          <w:vertAlign w:val="subscript"/>
          <w:lang w:val="sr-Latn-ME"/>
        </w:rPr>
        <w:t>2</w:t>
      </w:r>
      <w:r w:rsidRPr="003A22B9">
        <w:rPr>
          <w:rFonts w:ascii="Times New Roman" w:eastAsia="Times New Roman" w:hAnsi="Times New Roman" w:cs="Times New Roman"/>
          <w:lang w:val="sr-Latn-ME"/>
        </w:rPr>
        <w:t>) koji zavisi od količine B-ćelija ili zahvaćenost tumorom i centralnog volumena distribucije (V</w:t>
      </w:r>
      <w:r w:rsidRPr="003A22B9">
        <w:rPr>
          <w:rFonts w:ascii="Times New Roman" w:eastAsia="Times New Roman" w:hAnsi="Times New Roman" w:cs="Times New Roman"/>
          <w:vertAlign w:val="subscript"/>
          <w:lang w:val="sr-Latn-ME"/>
        </w:rPr>
        <w:t>1</w:t>
      </w:r>
      <w:r w:rsidRPr="003A22B9">
        <w:rPr>
          <w:rFonts w:ascii="Times New Roman" w:eastAsia="Times New Roman" w:hAnsi="Times New Roman" w:cs="Times New Roman"/>
          <w:lang w:val="sr-Latn-ME"/>
        </w:rPr>
        <w:t>), bile su: za nespecifični klirens 0,14 l/dan, specifični klirens (CL</w:t>
      </w:r>
      <w:r w:rsidRPr="003A22B9">
        <w:rPr>
          <w:rFonts w:ascii="Times New Roman" w:eastAsia="Times New Roman" w:hAnsi="Times New Roman" w:cs="Times New Roman"/>
          <w:vertAlign w:val="subscript"/>
          <w:lang w:val="sr-Latn-ME"/>
        </w:rPr>
        <w:t xml:space="preserve">2 </w:t>
      </w:r>
      <w:r w:rsidRPr="003A22B9">
        <w:rPr>
          <w:rFonts w:ascii="Times New Roman" w:eastAsia="Times New Roman" w:hAnsi="Times New Roman" w:cs="Times New Roman"/>
          <w:lang w:val="sr-Latn-ME"/>
        </w:rPr>
        <w:t>) kojem su vjerovatno doprinijele B-ćelije ili zahvaćenost tumorom 0,59 l/dan, a za volumen distribucije u centralnom odjeljku (V</w:t>
      </w:r>
      <w:r w:rsidRPr="003A22B9">
        <w:rPr>
          <w:rFonts w:ascii="Times New Roman" w:eastAsia="Times New Roman" w:hAnsi="Times New Roman" w:cs="Times New Roman"/>
          <w:vertAlign w:val="subscript"/>
          <w:lang w:val="sr-Latn-ME"/>
        </w:rPr>
        <w:t>1</w:t>
      </w:r>
      <w:r w:rsidRPr="003A22B9">
        <w:rPr>
          <w:rFonts w:ascii="Times New Roman" w:eastAsia="Times New Roman" w:hAnsi="Times New Roman" w:cs="Times New Roman"/>
          <w:lang w:val="sr-Latn-ME"/>
        </w:rPr>
        <w:t>)  2,7 l/dan. Procijenjena medijana terminalnog poluvremena eliminacije rituksimaba iznosi 22 dana (raspon od 6,1 do 52 dana). Početni broj CD19-pozitivnih ćelija i veličina mjerljivih tumorskih lezija doprinijeli su nekim varijabilnostima CL</w:t>
      </w:r>
      <w:r w:rsidRPr="003A22B9">
        <w:rPr>
          <w:rFonts w:ascii="Times New Roman" w:eastAsia="Times New Roman" w:hAnsi="Times New Roman" w:cs="Times New Roman"/>
          <w:vertAlign w:val="subscript"/>
          <w:lang w:val="sr-Latn-ME"/>
        </w:rPr>
        <w:t>2</w:t>
      </w:r>
      <w:r w:rsidRPr="003A22B9">
        <w:rPr>
          <w:rFonts w:ascii="Times New Roman" w:eastAsia="Times New Roman" w:hAnsi="Times New Roman" w:cs="Times New Roman"/>
          <w:lang w:val="sr-Latn-ME"/>
        </w:rPr>
        <w:t xml:space="preserve"> rituksimaba u podacima dobijenim analizom rezultata kod 161 pacijenta koji su dobijali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obliku intravenske infuzije jednom nedjeljno tokom 4 nedjelje. </w:t>
      </w:r>
      <w:r w:rsidRPr="00977A0E">
        <w:rPr>
          <w:rFonts w:ascii="Times New Roman" w:eastAsia="Times New Roman" w:hAnsi="Times New Roman" w:cs="Times New Roman"/>
          <w:lang w:val="sr-Latn-ME"/>
        </w:rPr>
        <w:t>Pacijenti sa većim brojem CD19-pozitivnih ćelija ili većim tumorskim lezijama imali su veći CL</w:t>
      </w:r>
      <w:r w:rsidRPr="000B1F1D">
        <w:rPr>
          <w:rFonts w:ascii="Times New Roman" w:eastAsia="Times New Roman" w:hAnsi="Times New Roman" w:cs="Times New Roman"/>
          <w:vertAlign w:val="subscript"/>
          <w:lang w:val="sr-Latn-ME"/>
        </w:rPr>
        <w:t>2</w:t>
      </w:r>
      <w:r w:rsidRPr="000B1F1D">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Ipak, velika inter-individualna varijabilnost za CL</w:t>
      </w:r>
      <w:r w:rsidRPr="003A22B9">
        <w:rPr>
          <w:rFonts w:ascii="Times New Roman" w:eastAsia="Times New Roman" w:hAnsi="Times New Roman" w:cs="Times New Roman"/>
          <w:vertAlign w:val="subscript"/>
          <w:lang w:val="sr-Latn-ME"/>
        </w:rPr>
        <w:t>2</w:t>
      </w:r>
      <w:r w:rsidRPr="003A22B9">
        <w:rPr>
          <w:rFonts w:ascii="Times New Roman" w:eastAsia="Times New Roman" w:hAnsi="Times New Roman" w:cs="Times New Roman"/>
          <w:lang w:val="sr-Latn-ME"/>
        </w:rPr>
        <w:t xml:space="preserve"> ostala je i nakon izuzimanja CD19-pozitivnih ćelija i veličine tumorskih lezija. V</w:t>
      </w:r>
      <w:r w:rsidRPr="003A22B9">
        <w:rPr>
          <w:rFonts w:ascii="Times New Roman" w:eastAsia="Times New Roman" w:hAnsi="Times New Roman" w:cs="Times New Roman"/>
          <w:vertAlign w:val="subscript"/>
          <w:lang w:val="sr-Latn-ME"/>
        </w:rPr>
        <w:t>1</w:t>
      </w:r>
      <w:r w:rsidRPr="003A22B9">
        <w:rPr>
          <w:rFonts w:ascii="Times New Roman" w:eastAsia="Times New Roman" w:hAnsi="Times New Roman" w:cs="Times New Roman"/>
          <w:lang w:val="sr-Latn-ME"/>
        </w:rPr>
        <w:t xml:space="preserve"> se mijenjao u zavisnosti od površine tijela (BSA) i primjene CHOP terapije. Ova varijabilnost V</w:t>
      </w:r>
      <w:r w:rsidRPr="003A22B9">
        <w:rPr>
          <w:rFonts w:ascii="Times New Roman" w:eastAsia="Times New Roman" w:hAnsi="Times New Roman" w:cs="Times New Roman"/>
          <w:vertAlign w:val="subscript"/>
          <w:lang w:val="sr-Latn-ME"/>
        </w:rPr>
        <w:t>1</w:t>
      </w:r>
      <w:r w:rsidRPr="003A22B9">
        <w:rPr>
          <w:rFonts w:ascii="Times New Roman" w:eastAsia="Times New Roman" w:hAnsi="Times New Roman" w:cs="Times New Roman"/>
          <w:lang w:val="sr-Latn-ME"/>
        </w:rPr>
        <w:t xml:space="preserve"> (27,1% i 19,0%) u zavisnosti od opsega BSA (1,53 do 2,32 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i </w:t>
      </w:r>
      <w:r w:rsidRPr="003A22B9">
        <w:rPr>
          <w:rFonts w:ascii="Times New Roman" w:eastAsia="Times New Roman" w:hAnsi="Times New Roman" w:cs="Times New Roman"/>
          <w:lang w:val="sr-Latn-ME"/>
        </w:rPr>
        <w:lastRenderedPageBreak/>
        <w:t xml:space="preserve">primijenjene CHOP terapije bila je relativno mala. Godine, uzrast i WHO status nijesu uticali na farmakokinetiku rituksimaba. Ova analiza ukazuje na zaključak da prilagođavanje doze rituksimaba prema bilo kojoj od testiranih kovarijanti vjerovatno neće znatno smanjiti njegove farmakokinetičke varijabilnosti. </w:t>
      </w:r>
    </w:p>
    <w:p w14:paraId="46930B4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2236022" w14:textId="5101A90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Srednja vrijednost C</w:t>
      </w:r>
      <w:r w:rsidRPr="003A22B9">
        <w:rPr>
          <w:rFonts w:ascii="Times New Roman" w:eastAsia="Times New Roman" w:hAnsi="Times New Roman" w:cs="Times New Roman"/>
          <w:vertAlign w:val="subscript"/>
          <w:lang w:val="sr-Latn-ME"/>
        </w:rPr>
        <w:t xml:space="preserve">max </w:t>
      </w:r>
      <w:r w:rsidR="00731246" w:rsidRPr="003A22B9">
        <w:rPr>
          <w:rFonts w:ascii="Times New Roman" w:eastAsia="Times New Roman" w:hAnsi="Times New Roman" w:cs="Times New Roman"/>
          <w:vertAlign w:val="subscript"/>
          <w:lang w:val="sr-Latn-ME"/>
        </w:rPr>
        <w:t xml:space="preserve"> </w:t>
      </w:r>
      <w:r w:rsidRPr="003A22B9">
        <w:rPr>
          <w:rFonts w:ascii="Times New Roman" w:eastAsia="Times New Roman" w:hAnsi="Times New Roman" w:cs="Times New Roman"/>
          <w:lang w:val="sr-Latn-ME"/>
        </w:rPr>
        <w:t>nakon četvrte infuzije rituksimaba u dozi od 375</w:t>
      </w:r>
      <w:r w:rsidR="00AE5D10">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u razmacima</w:t>
      </w:r>
      <w:r w:rsidRPr="003A22B9">
        <w:rPr>
          <w:rFonts w:ascii="Times New Roman" w:eastAsia="Times New Roman" w:hAnsi="Times New Roman" w:cs="Times New Roman"/>
          <w:vertAlign w:val="superscript"/>
          <w:lang w:val="sr-Latn-ME"/>
        </w:rPr>
        <w:t xml:space="preserve"> </w:t>
      </w:r>
      <w:r w:rsidRPr="003A22B9">
        <w:rPr>
          <w:rFonts w:ascii="Times New Roman" w:eastAsia="Times New Roman" w:hAnsi="Times New Roman" w:cs="Times New Roman"/>
          <w:lang w:val="sr-Latn-ME"/>
        </w:rPr>
        <w:t>od nedjelju dana kod 203 pacijenta sa NHL koji prethodno nijesu dobijali rituksimab, iznosila je 486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(raspon od 77,5 do 996,6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Rituksimab je bilo moguće detektovati u serumu pacijenata 3 do 6 mjeseci nakon završetka liječenja. </w:t>
      </w:r>
    </w:p>
    <w:p w14:paraId="722BAF92"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0FB6F39" w14:textId="5CD5CE42"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Nakon primjene rituksimaba u dozi od 375</w:t>
      </w:r>
      <w:r w:rsidR="00AE5D10">
        <w:rPr>
          <w:rFonts w:ascii="Times New Roman" w:eastAsia="Times New Roman" w:hAnsi="Times New Roman" w:cs="Times New Roman"/>
          <w:lang w:val="sr-Latn-ME"/>
        </w:rPr>
        <w:t xml:space="preserve"> </w:t>
      </w:r>
      <w:r w:rsidRPr="003A22B9">
        <w:rPr>
          <w:rFonts w:ascii="Times New Roman" w:eastAsia="Times New Roman" w:hAnsi="Times New Roman" w:cs="Times New Roman"/>
          <w:lang w:val="sr-Latn-ME"/>
        </w:rPr>
        <w:t>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obliku intavenske infuzije, osam puta u razmacima od nedjelju dana kod 37 pacijenata sa NHL, srednja vrijednost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povećavala se nakon svake infuzije, a vrijednosti su se kretale od prosječnih 243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(raspon 16 - 582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nakon prve infuzije do 550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(opseg 171 - 1177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nakon osme infuzije. </w:t>
      </w:r>
    </w:p>
    <w:p w14:paraId="18E6A8D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3E8E0E1"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Farmakokinetički profil rituksimaba nakon primjene 6 infuzija u dozi od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kombinaciji sa 6 ciklusa CHOP hemioterapije bio je sličan kao i pri primjeni samog rituksimaba. </w:t>
      </w:r>
    </w:p>
    <w:p w14:paraId="7807F339" w14:textId="654DAC3F" w:rsidR="00A75B47" w:rsidRPr="003A22B9" w:rsidRDefault="00A75B47" w:rsidP="00A75B47">
      <w:pPr>
        <w:spacing w:after="0" w:line="240" w:lineRule="auto"/>
        <w:jc w:val="both"/>
        <w:rPr>
          <w:rFonts w:ascii="Times New Roman" w:eastAsia="Times New Roman" w:hAnsi="Times New Roman" w:cs="Times New Roman"/>
          <w:lang w:val="sr-Latn-ME"/>
        </w:rPr>
      </w:pPr>
    </w:p>
    <w:p w14:paraId="66C3BCAA" w14:textId="77777777" w:rsidR="00C019A1" w:rsidRPr="001C3C2B" w:rsidRDefault="00C019A1" w:rsidP="00C019A1">
      <w:pPr>
        <w:widowControl w:val="0"/>
        <w:spacing w:before="10" w:after="0" w:line="240" w:lineRule="auto"/>
        <w:jc w:val="both"/>
        <w:rPr>
          <w:rFonts w:ascii="Times New Roman" w:eastAsia="Calibri" w:hAnsi="Times New Roman" w:cs="Times New Roman"/>
          <w:i/>
          <w:u w:val="single"/>
          <w:lang w:val="it-IT"/>
        </w:rPr>
      </w:pPr>
      <w:r w:rsidRPr="001C3C2B">
        <w:rPr>
          <w:rFonts w:ascii="Times New Roman" w:eastAsia="Calibri" w:hAnsi="Times New Roman" w:cs="Times New Roman"/>
          <w:i/>
          <w:u w:val="single"/>
          <w:lang w:val="it-IT"/>
        </w:rPr>
        <w:t xml:space="preserve">DLBCL/BL/B-AL/BLL kod pedijatrijskih pacijenata </w:t>
      </w:r>
    </w:p>
    <w:p w14:paraId="7E29BFE3" w14:textId="77777777" w:rsidR="00C019A1" w:rsidRPr="003A22B9" w:rsidRDefault="00C019A1" w:rsidP="00C019A1">
      <w:pPr>
        <w:widowControl w:val="0"/>
        <w:spacing w:before="10" w:after="0" w:line="240" w:lineRule="auto"/>
        <w:jc w:val="both"/>
        <w:rPr>
          <w:rFonts w:ascii="Times New Roman" w:eastAsia="Calibri" w:hAnsi="Times New Roman" w:cs="Times New Roman"/>
          <w:lang w:val="it-IT"/>
        </w:rPr>
      </w:pPr>
    </w:p>
    <w:p w14:paraId="22B36A84" w14:textId="133414C6" w:rsidR="00C019A1" w:rsidRPr="003A22B9" w:rsidRDefault="00C019A1" w:rsidP="00C019A1">
      <w:pPr>
        <w:widowControl w:val="0"/>
        <w:spacing w:before="10" w:after="0" w:line="240" w:lineRule="auto"/>
        <w:jc w:val="both"/>
        <w:rPr>
          <w:rFonts w:ascii="Times New Roman" w:eastAsia="Times New Roman" w:hAnsi="Times New Roman" w:cs="Times New Roman"/>
          <w:lang w:val="it-IT"/>
        </w:rPr>
      </w:pPr>
      <w:r w:rsidRPr="003A22B9">
        <w:rPr>
          <w:rFonts w:ascii="Times New Roman" w:eastAsia="Calibri" w:hAnsi="Times New Roman" w:cs="Times New Roman"/>
          <w:lang w:val="it-IT"/>
        </w:rPr>
        <w:t>U kliničkoj studiji koja je sprovedena kod pedijatrijskih pacijenata sa DLBCL-om/BL-om/B-AL-om/BLL-om farmakokinetika se oc</w:t>
      </w:r>
      <w:r w:rsidR="006D5A97" w:rsidRPr="003A22B9">
        <w:rPr>
          <w:rFonts w:ascii="Times New Roman" w:eastAsia="Calibri" w:hAnsi="Times New Roman" w:cs="Times New Roman"/>
          <w:lang w:val="it-IT"/>
        </w:rPr>
        <w:t>j</w:t>
      </w:r>
      <w:r w:rsidRPr="003A22B9">
        <w:rPr>
          <w:rFonts w:ascii="Times New Roman" w:eastAsia="Calibri" w:hAnsi="Times New Roman" w:cs="Times New Roman"/>
          <w:lang w:val="it-IT"/>
        </w:rPr>
        <w:t>enjivala u podgrupi koja je uključivala 35 pacijenata u uzrastu od 3 ili više godina. Farmakokinetika je bila uporediva u ob</w:t>
      </w:r>
      <w:r w:rsidR="00C972B1">
        <w:rPr>
          <w:rFonts w:ascii="Times New Roman" w:eastAsia="Calibri" w:hAnsi="Times New Roman" w:cs="Times New Roman"/>
          <w:lang w:val="it-IT"/>
        </w:rPr>
        <w:t>i</w:t>
      </w:r>
      <w:r w:rsidR="006D5A97" w:rsidRPr="003A22B9">
        <w:rPr>
          <w:rFonts w:ascii="Times New Roman" w:eastAsia="Calibri" w:hAnsi="Times New Roman" w:cs="Times New Roman"/>
          <w:lang w:val="it-IT"/>
        </w:rPr>
        <w:t>j</w:t>
      </w:r>
      <w:r w:rsidRPr="003A22B9">
        <w:rPr>
          <w:rFonts w:ascii="Times New Roman" w:eastAsia="Calibri" w:hAnsi="Times New Roman" w:cs="Times New Roman"/>
          <w:lang w:val="it-IT"/>
        </w:rPr>
        <w:t>e uzrasne grupe (≥ 3 do &lt; 12 godina naspram ≥ 12 do &lt; 18 godina). Nakon dv</w:t>
      </w:r>
      <w:r w:rsidR="00DA7815" w:rsidRPr="003A22B9">
        <w:rPr>
          <w:rFonts w:ascii="Times New Roman" w:eastAsia="Calibri" w:hAnsi="Times New Roman" w:cs="Times New Roman"/>
          <w:lang w:val="it-IT"/>
        </w:rPr>
        <w:t>ij</w:t>
      </w:r>
      <w:r w:rsidRPr="003A22B9">
        <w:rPr>
          <w:rFonts w:ascii="Times New Roman" w:eastAsia="Calibri" w:hAnsi="Times New Roman" w:cs="Times New Roman"/>
          <w:lang w:val="it-IT"/>
        </w:rPr>
        <w:t>e i.v. infuzije rituksimaba u dozi od 375 mg/m</w:t>
      </w:r>
      <w:r w:rsidRPr="003A22B9">
        <w:rPr>
          <w:rFonts w:ascii="Times New Roman" w:eastAsia="Calibri" w:hAnsi="Times New Roman" w:cs="Times New Roman"/>
          <w:vertAlign w:val="superscript"/>
          <w:lang w:val="it-IT"/>
        </w:rPr>
        <w:t>2</w:t>
      </w:r>
      <w:r w:rsidRPr="003A22B9">
        <w:rPr>
          <w:rFonts w:ascii="Times New Roman" w:eastAsia="Calibri" w:hAnsi="Times New Roman" w:cs="Times New Roman"/>
          <w:lang w:val="it-IT"/>
        </w:rPr>
        <w:t xml:space="preserve"> tokom svakog od dva ciklusa indukcione terapije (1. i 2. ciklus), nakon kojih je usl</w:t>
      </w:r>
      <w:r w:rsidR="00DA7815" w:rsidRPr="003A22B9">
        <w:rPr>
          <w:rFonts w:ascii="Times New Roman" w:eastAsia="Calibri" w:hAnsi="Times New Roman" w:cs="Times New Roman"/>
          <w:lang w:val="it-IT"/>
        </w:rPr>
        <w:t>ij</w:t>
      </w:r>
      <w:r w:rsidRPr="003A22B9">
        <w:rPr>
          <w:rFonts w:ascii="Times New Roman" w:eastAsia="Calibri" w:hAnsi="Times New Roman" w:cs="Times New Roman"/>
          <w:lang w:val="it-IT"/>
        </w:rPr>
        <w:t>edila po jedna infuzija rituksimaba u dozi od 375 mg/m</w:t>
      </w:r>
      <w:r w:rsidRPr="003A22B9">
        <w:rPr>
          <w:rFonts w:ascii="Times New Roman" w:eastAsia="Calibri" w:hAnsi="Times New Roman" w:cs="Times New Roman"/>
          <w:vertAlign w:val="superscript"/>
          <w:lang w:val="it-IT"/>
        </w:rPr>
        <w:t>2</w:t>
      </w:r>
      <w:r w:rsidRPr="003A22B9">
        <w:rPr>
          <w:rFonts w:ascii="Times New Roman" w:eastAsia="Calibri" w:hAnsi="Times New Roman" w:cs="Times New Roman"/>
          <w:lang w:val="it-IT"/>
        </w:rPr>
        <w:t xml:space="preserve"> u svakom od dva ciklusa konsolidacione terapije (3. i 4. ciklus), maksimalna koncentracija bila je najviša nakon četvrte infuzije (2. ciklus), pri čemu je geometrijska srednja vr</w:t>
      </w:r>
      <w:r w:rsidR="001D6992"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ednost iznosila 347 </w:t>
      </w:r>
      <w:r w:rsidRPr="003A22B9">
        <w:rPr>
          <w:rFonts w:ascii="Times New Roman" w:eastAsia="Calibri" w:hAnsi="Times New Roman" w:cs="Times New Roman"/>
        </w:rPr>
        <w:t>μ</w:t>
      </w:r>
      <w:r w:rsidRPr="003A22B9">
        <w:rPr>
          <w:rFonts w:ascii="Times New Roman" w:eastAsia="Calibri" w:hAnsi="Times New Roman" w:cs="Times New Roman"/>
          <w:lang w:val="it-IT"/>
        </w:rPr>
        <w:t>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Nakon toga je geometrijska srednja vr</w:t>
      </w:r>
      <w:r w:rsidR="001D6992"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ednost maksimalnih koncentracija bila niža (4. ciklus: 247 </w:t>
      </w:r>
      <w:r w:rsidRPr="003A22B9">
        <w:rPr>
          <w:rFonts w:ascii="Times New Roman" w:eastAsia="Calibri" w:hAnsi="Times New Roman" w:cs="Times New Roman"/>
        </w:rPr>
        <w:t>μ</w:t>
      </w:r>
      <w:r w:rsidRPr="003A22B9">
        <w:rPr>
          <w:rFonts w:ascii="Times New Roman" w:eastAsia="Calibri" w:hAnsi="Times New Roman" w:cs="Times New Roman"/>
          <w:lang w:val="it-IT"/>
        </w:rPr>
        <w:t>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Tim su se režimom doziranja održale najniže koncentracije (geometrijske srednje vr</w:t>
      </w:r>
      <w:r w:rsidR="001D6992"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ednosti: 41,8 </w:t>
      </w:r>
      <w:r w:rsidRPr="003A22B9">
        <w:rPr>
          <w:rFonts w:ascii="Times New Roman" w:eastAsia="Calibri" w:hAnsi="Times New Roman" w:cs="Times New Roman"/>
        </w:rPr>
        <w:t>μ</w:t>
      </w:r>
      <w:r w:rsidRPr="003A22B9">
        <w:rPr>
          <w:rFonts w:ascii="Times New Roman" w:eastAsia="Calibri" w:hAnsi="Times New Roman" w:cs="Times New Roman"/>
          <w:lang w:val="it-IT"/>
        </w:rPr>
        <w:t>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xml:space="preserve"> [pr</w:t>
      </w:r>
      <w:r w:rsidR="001D6992"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 doze u 2. ciklusu; nakon 1 ciklusa], 67,7 </w:t>
      </w:r>
      <w:r w:rsidRPr="003A22B9">
        <w:rPr>
          <w:rFonts w:ascii="Times New Roman" w:eastAsia="Calibri" w:hAnsi="Times New Roman" w:cs="Times New Roman"/>
        </w:rPr>
        <w:t>μ</w:t>
      </w:r>
      <w:r w:rsidRPr="003A22B9">
        <w:rPr>
          <w:rFonts w:ascii="Times New Roman" w:eastAsia="Calibri" w:hAnsi="Times New Roman" w:cs="Times New Roman"/>
          <w:lang w:val="it-IT"/>
        </w:rPr>
        <w:t>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xml:space="preserve"> [pr</w:t>
      </w:r>
      <w:r w:rsidR="001D6992" w:rsidRPr="003A22B9">
        <w:rPr>
          <w:rFonts w:ascii="Times New Roman" w:eastAsia="Calibri" w:hAnsi="Times New Roman" w:cs="Times New Roman"/>
          <w:lang w:val="it-IT"/>
        </w:rPr>
        <w:t>ij</w:t>
      </w:r>
      <w:r w:rsidRPr="003A22B9">
        <w:rPr>
          <w:rFonts w:ascii="Times New Roman" w:eastAsia="Calibri" w:hAnsi="Times New Roman" w:cs="Times New Roman"/>
          <w:lang w:val="it-IT"/>
        </w:rPr>
        <w:t xml:space="preserve">e doze u 3. ciklusu, nakon 2 ciklusa] i 58,5 </w:t>
      </w:r>
      <w:r w:rsidRPr="003A22B9">
        <w:rPr>
          <w:rFonts w:ascii="Times New Roman" w:eastAsia="Calibri" w:hAnsi="Times New Roman" w:cs="Times New Roman"/>
        </w:rPr>
        <w:t>μ</w:t>
      </w:r>
      <w:r w:rsidRPr="003A22B9">
        <w:rPr>
          <w:rFonts w:ascii="Times New Roman" w:eastAsia="Calibri" w:hAnsi="Times New Roman" w:cs="Times New Roman"/>
          <w:lang w:val="it-IT"/>
        </w:rPr>
        <w:t>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xml:space="preserve"> [pr</w:t>
      </w:r>
      <w:r w:rsidR="001D6992" w:rsidRPr="003A22B9">
        <w:rPr>
          <w:rFonts w:ascii="Times New Roman" w:eastAsia="Calibri" w:hAnsi="Times New Roman" w:cs="Times New Roman"/>
          <w:lang w:val="it-IT"/>
        </w:rPr>
        <w:t>ij</w:t>
      </w:r>
      <w:r w:rsidRPr="003A22B9">
        <w:rPr>
          <w:rFonts w:ascii="Times New Roman" w:eastAsia="Calibri" w:hAnsi="Times New Roman" w:cs="Times New Roman"/>
          <w:lang w:val="it-IT"/>
        </w:rPr>
        <w:t>e doze u 4. ciklusu, nakon 3 ciklusa]). Medijana poluvremena eliminacije kod pedijatrijskih pacijenata u uzrastu od 3 ili više godina iznosio je 26 dana. Farmakokinetičke karakteristike rituksimaba kod pedijatrijskih pacijenata sa DLBCL-om/BL-om/B-AL-om/BLL-om bile su slične onim zapaženim kod odraslih pacijenata sa NHL-om. Ni</w:t>
      </w:r>
      <w:r w:rsidR="00BA31D8" w:rsidRPr="003A22B9">
        <w:rPr>
          <w:rFonts w:ascii="Times New Roman" w:eastAsia="Calibri" w:hAnsi="Times New Roman" w:cs="Times New Roman"/>
          <w:lang w:val="it-IT"/>
        </w:rPr>
        <w:t>j</w:t>
      </w:r>
      <w:r w:rsidR="00D0008C" w:rsidRPr="003A22B9">
        <w:rPr>
          <w:rFonts w:ascii="Times New Roman" w:eastAsia="Calibri" w:hAnsi="Times New Roman" w:cs="Times New Roman"/>
          <w:lang w:val="it-IT"/>
        </w:rPr>
        <w:t>e</w:t>
      </w:r>
      <w:r w:rsidRPr="003A22B9">
        <w:rPr>
          <w:rFonts w:ascii="Times New Roman" w:eastAsia="Calibri" w:hAnsi="Times New Roman" w:cs="Times New Roman"/>
          <w:lang w:val="it-IT"/>
        </w:rPr>
        <w:t>su dostupni farmakokinetički podaci za uzrasnu grupu od ≥ 6 m</w:t>
      </w:r>
      <w:r w:rsidR="00BA31D8" w:rsidRPr="003A22B9">
        <w:rPr>
          <w:rFonts w:ascii="Times New Roman" w:eastAsia="Calibri" w:hAnsi="Times New Roman" w:cs="Times New Roman"/>
          <w:lang w:val="it-IT"/>
        </w:rPr>
        <w:t>j</w:t>
      </w:r>
      <w:r w:rsidRPr="003A22B9">
        <w:rPr>
          <w:rFonts w:ascii="Times New Roman" w:eastAsia="Calibri" w:hAnsi="Times New Roman" w:cs="Times New Roman"/>
          <w:lang w:val="it-IT"/>
        </w:rPr>
        <w:t>eseci do &lt; 3 godine, ali predviđene vr</w:t>
      </w:r>
      <w:r w:rsidR="00BA31D8" w:rsidRPr="003A22B9">
        <w:rPr>
          <w:rFonts w:ascii="Times New Roman" w:eastAsia="Calibri" w:hAnsi="Times New Roman" w:cs="Times New Roman"/>
          <w:lang w:val="it-IT"/>
        </w:rPr>
        <w:t>ij</w:t>
      </w:r>
      <w:r w:rsidRPr="003A22B9">
        <w:rPr>
          <w:rFonts w:ascii="Times New Roman" w:eastAsia="Calibri" w:hAnsi="Times New Roman" w:cs="Times New Roman"/>
          <w:lang w:val="it-IT"/>
        </w:rPr>
        <w:t>ednosti farmakokinetičkih parametara u toj populaciji govore u prilog uporedivoj sistemskoj izloženosti (AUC, C</w:t>
      </w:r>
      <w:r w:rsidRPr="003A22B9">
        <w:rPr>
          <w:rFonts w:ascii="Times New Roman" w:eastAsia="Calibri" w:hAnsi="Times New Roman" w:cs="Times New Roman"/>
          <w:vertAlign w:val="subscript"/>
          <w:lang w:val="it-IT"/>
        </w:rPr>
        <w:t>trough</w:t>
      </w:r>
      <w:r w:rsidRPr="003A22B9">
        <w:rPr>
          <w:rFonts w:ascii="Times New Roman" w:eastAsia="Calibri" w:hAnsi="Times New Roman" w:cs="Times New Roman"/>
          <w:lang w:val="it-IT"/>
        </w:rPr>
        <w:t>) u toj uzrasnoj grupi i grupi u uzrastu od ≥ 3 godine (Tabela 24). Manja početna veličina tumora povezana je sa većom izloženošću zbog manjeg klirensa zavisnog od vremena; međutim, nivoi sistemske izloženosti u zavisnosti od različitih veličina tumora i dalje su u rasponu izloženosti koja je bila efikasna i imala prihvatljiv bezb</w:t>
      </w:r>
      <w:r w:rsidR="00D21421" w:rsidRPr="003A22B9">
        <w:rPr>
          <w:rFonts w:ascii="Times New Roman" w:eastAsia="Calibri" w:hAnsi="Times New Roman" w:cs="Times New Roman"/>
          <w:lang w:val="it-IT"/>
        </w:rPr>
        <w:t>j</w:t>
      </w:r>
      <w:r w:rsidRPr="003A22B9">
        <w:rPr>
          <w:rFonts w:ascii="Times New Roman" w:eastAsia="Calibri" w:hAnsi="Times New Roman" w:cs="Times New Roman"/>
          <w:lang w:val="it-IT"/>
        </w:rPr>
        <w:t>ednosni profil.</w:t>
      </w:r>
    </w:p>
    <w:p w14:paraId="580A17F4" w14:textId="77777777" w:rsidR="00C019A1" w:rsidRPr="003A22B9" w:rsidRDefault="00C019A1" w:rsidP="00C019A1">
      <w:pPr>
        <w:widowControl w:val="0"/>
        <w:spacing w:before="10" w:after="0" w:line="240" w:lineRule="auto"/>
        <w:rPr>
          <w:rFonts w:ascii="Times New Roman" w:eastAsia="Times New Roman" w:hAnsi="Times New Roman" w:cs="Times New Roman"/>
          <w:lang w:val="it-IT"/>
        </w:rPr>
      </w:pPr>
    </w:p>
    <w:p w14:paraId="1645C8DB" w14:textId="79A61DD7" w:rsidR="00C019A1" w:rsidRPr="003A22B9" w:rsidRDefault="00C019A1" w:rsidP="00C019A1">
      <w:pPr>
        <w:widowControl w:val="0"/>
        <w:spacing w:before="10" w:after="0" w:line="240" w:lineRule="auto"/>
        <w:rPr>
          <w:rFonts w:ascii="Times New Roman" w:eastAsia="Calibri" w:hAnsi="Times New Roman" w:cs="Times New Roman"/>
          <w:b/>
          <w:lang w:val="it-IT"/>
        </w:rPr>
      </w:pPr>
      <w:r w:rsidRPr="003A22B9">
        <w:rPr>
          <w:rFonts w:ascii="Times New Roman" w:eastAsia="Calibri" w:hAnsi="Times New Roman" w:cs="Times New Roman"/>
          <w:b/>
          <w:lang w:val="it-IT"/>
        </w:rPr>
        <w:t xml:space="preserve">Tabela 24 </w:t>
      </w:r>
      <w:r w:rsidR="00C972B1">
        <w:rPr>
          <w:rFonts w:ascii="Times New Roman" w:eastAsia="Calibri" w:hAnsi="Times New Roman" w:cs="Times New Roman"/>
          <w:b/>
          <w:lang w:val="it-IT"/>
        </w:rPr>
        <w:t xml:space="preserve"> </w:t>
      </w:r>
      <w:r w:rsidRPr="003A22B9">
        <w:rPr>
          <w:rFonts w:ascii="Times New Roman" w:eastAsia="Calibri" w:hAnsi="Times New Roman" w:cs="Times New Roman"/>
          <w:b/>
          <w:lang w:val="it-IT"/>
        </w:rPr>
        <w:t>Predviđene vr</w:t>
      </w:r>
      <w:r w:rsidR="00304063" w:rsidRPr="003A22B9">
        <w:rPr>
          <w:rFonts w:ascii="Times New Roman" w:eastAsia="Calibri" w:hAnsi="Times New Roman" w:cs="Times New Roman"/>
          <w:b/>
          <w:lang w:val="it-IT"/>
        </w:rPr>
        <w:t>ij</w:t>
      </w:r>
      <w:r w:rsidRPr="003A22B9">
        <w:rPr>
          <w:rFonts w:ascii="Times New Roman" w:eastAsia="Calibri" w:hAnsi="Times New Roman" w:cs="Times New Roman"/>
          <w:b/>
          <w:lang w:val="it-IT"/>
        </w:rPr>
        <w:t>ednosti farmakokinetičkih parametara nakon režima doziranja rituksimabom kod pedijatrijskih pacijenata sa DLBCL-om/BL-om/B-AL-om/BLL-om</w:t>
      </w:r>
    </w:p>
    <w:p w14:paraId="0E372B8A" w14:textId="77777777" w:rsidR="00C019A1" w:rsidRPr="003A22B9" w:rsidRDefault="00C019A1" w:rsidP="00C019A1">
      <w:pPr>
        <w:widowControl w:val="0"/>
        <w:spacing w:before="10" w:after="0" w:line="240" w:lineRule="auto"/>
        <w:rPr>
          <w:rFonts w:ascii="Times New Roman" w:eastAsia="Calibri" w:hAnsi="Times New Roman" w:cs="Times New Roman"/>
          <w:lang w:val="it-IT"/>
        </w:rPr>
      </w:pPr>
    </w:p>
    <w:tbl>
      <w:tblPr>
        <w:tblStyle w:val="TableGrid5"/>
        <w:tblW w:w="0" w:type="auto"/>
        <w:tblLook w:val="04A0" w:firstRow="1" w:lastRow="0" w:firstColumn="1" w:lastColumn="0" w:noHBand="0" w:noVBand="1"/>
      </w:tblPr>
      <w:tblGrid>
        <w:gridCol w:w="2323"/>
        <w:gridCol w:w="2244"/>
        <w:gridCol w:w="2247"/>
        <w:gridCol w:w="2247"/>
      </w:tblGrid>
      <w:tr w:rsidR="00C019A1" w:rsidRPr="003A22B9" w14:paraId="36EA721A" w14:textId="77777777" w:rsidTr="00043DF7">
        <w:tc>
          <w:tcPr>
            <w:tcW w:w="2521" w:type="dxa"/>
          </w:tcPr>
          <w:p w14:paraId="758E0686" w14:textId="77777777" w:rsidR="00C019A1" w:rsidRPr="003A22B9" w:rsidRDefault="00C019A1" w:rsidP="001C3C2B">
            <w:pPr>
              <w:spacing w:before="10"/>
              <w:jc w:val="both"/>
              <w:rPr>
                <w:rFonts w:ascii="Times New Roman" w:eastAsia="Times New Roman" w:hAnsi="Times New Roman" w:cs="Times New Roman"/>
                <w:b/>
                <w:lang w:val="it-IT"/>
              </w:rPr>
            </w:pPr>
            <w:r w:rsidRPr="003A22B9">
              <w:rPr>
                <w:rFonts w:ascii="Times New Roman" w:eastAsia="Times New Roman" w:hAnsi="Times New Roman" w:cs="Times New Roman"/>
                <w:b/>
                <w:lang w:val="it-IT"/>
              </w:rPr>
              <w:t>Uzrasna grupa</w:t>
            </w:r>
          </w:p>
        </w:tc>
        <w:tc>
          <w:tcPr>
            <w:tcW w:w="2521" w:type="dxa"/>
          </w:tcPr>
          <w:p w14:paraId="649D4820" w14:textId="32445713" w:rsidR="00C019A1" w:rsidRPr="003A22B9" w:rsidRDefault="00C019A1" w:rsidP="001C3C2B">
            <w:pPr>
              <w:spacing w:before="10"/>
              <w:jc w:val="both"/>
              <w:rPr>
                <w:rFonts w:ascii="Times New Roman" w:eastAsia="Times New Roman" w:hAnsi="Times New Roman" w:cs="Times New Roman"/>
                <w:b/>
                <w:lang w:val="it-IT"/>
              </w:rPr>
            </w:pPr>
            <w:r w:rsidRPr="003A22B9">
              <w:rPr>
                <w:rFonts w:ascii="Times New Roman" w:eastAsia="Calibri" w:hAnsi="Times New Roman" w:cs="Times New Roman"/>
                <w:b/>
              </w:rPr>
              <w:t>≥ 6 m</w:t>
            </w:r>
            <w:r w:rsidR="00C972B1">
              <w:rPr>
                <w:rFonts w:ascii="Times New Roman" w:eastAsia="Calibri" w:hAnsi="Times New Roman" w:cs="Times New Roman"/>
                <w:b/>
              </w:rPr>
              <w:t>j</w:t>
            </w:r>
            <w:r w:rsidRPr="003A22B9">
              <w:rPr>
                <w:rFonts w:ascii="Times New Roman" w:eastAsia="Calibri" w:hAnsi="Times New Roman" w:cs="Times New Roman"/>
                <w:b/>
              </w:rPr>
              <w:t>es. do &lt; 3 godine</w:t>
            </w:r>
          </w:p>
        </w:tc>
        <w:tc>
          <w:tcPr>
            <w:tcW w:w="2522" w:type="dxa"/>
          </w:tcPr>
          <w:p w14:paraId="00E4E0CD" w14:textId="77777777" w:rsidR="00C019A1" w:rsidRPr="003A22B9" w:rsidRDefault="00C019A1" w:rsidP="001C3C2B">
            <w:pPr>
              <w:spacing w:before="10"/>
              <w:jc w:val="both"/>
              <w:rPr>
                <w:rFonts w:ascii="Times New Roman" w:eastAsia="Times New Roman" w:hAnsi="Times New Roman" w:cs="Times New Roman"/>
                <w:b/>
                <w:lang w:val="it-IT"/>
              </w:rPr>
            </w:pPr>
            <w:r w:rsidRPr="003A22B9">
              <w:rPr>
                <w:rFonts w:ascii="Times New Roman" w:eastAsia="Calibri" w:hAnsi="Times New Roman" w:cs="Times New Roman"/>
                <w:b/>
              </w:rPr>
              <w:t>≥ 3 do &lt; 12 godina</w:t>
            </w:r>
          </w:p>
        </w:tc>
        <w:tc>
          <w:tcPr>
            <w:tcW w:w="2522" w:type="dxa"/>
          </w:tcPr>
          <w:p w14:paraId="6790BE89" w14:textId="77777777" w:rsidR="00C019A1" w:rsidRPr="003A22B9" w:rsidRDefault="00C019A1" w:rsidP="001C3C2B">
            <w:pPr>
              <w:spacing w:before="10"/>
              <w:jc w:val="both"/>
              <w:rPr>
                <w:rFonts w:ascii="Times New Roman" w:eastAsia="Times New Roman" w:hAnsi="Times New Roman" w:cs="Times New Roman"/>
                <w:b/>
                <w:lang w:val="it-IT"/>
              </w:rPr>
            </w:pPr>
            <w:r w:rsidRPr="003A22B9">
              <w:rPr>
                <w:rFonts w:ascii="Times New Roman" w:eastAsia="Calibri" w:hAnsi="Times New Roman" w:cs="Times New Roman"/>
                <w:b/>
              </w:rPr>
              <w:t>≥ 12 do &lt; 18 godina</w:t>
            </w:r>
          </w:p>
        </w:tc>
      </w:tr>
      <w:tr w:rsidR="00C019A1" w:rsidRPr="003A22B9" w14:paraId="6E89BEC8" w14:textId="77777777" w:rsidTr="00043DF7">
        <w:trPr>
          <w:trHeight w:val="513"/>
        </w:trPr>
        <w:tc>
          <w:tcPr>
            <w:tcW w:w="2521" w:type="dxa"/>
            <w:vAlign w:val="center"/>
          </w:tcPr>
          <w:p w14:paraId="5B2816B3" w14:textId="03784CE8" w:rsidR="00C019A1" w:rsidRPr="003A22B9" w:rsidRDefault="00C019A1" w:rsidP="001C3C2B">
            <w:pPr>
              <w:spacing w:before="10"/>
              <w:jc w:val="both"/>
              <w:rPr>
                <w:rFonts w:ascii="Times New Roman" w:eastAsia="Times New Roman" w:hAnsi="Times New Roman" w:cs="Times New Roman"/>
                <w:lang w:val="it-IT"/>
              </w:rPr>
            </w:pPr>
            <w:r w:rsidRPr="003A22B9">
              <w:rPr>
                <w:rFonts w:ascii="Times New Roman" w:eastAsia="Calibri" w:hAnsi="Times New Roman" w:cs="Times New Roman"/>
              </w:rPr>
              <w:t>C</w:t>
            </w:r>
            <w:r w:rsidRPr="003A22B9">
              <w:rPr>
                <w:rFonts w:ascii="Times New Roman" w:eastAsia="Calibri" w:hAnsi="Times New Roman" w:cs="Times New Roman"/>
                <w:vertAlign w:val="subscript"/>
              </w:rPr>
              <w:t>trough</w:t>
            </w:r>
            <w:r w:rsidRPr="003A22B9">
              <w:rPr>
                <w:rFonts w:ascii="Times New Roman" w:eastAsia="Calibri" w:hAnsi="Times New Roman" w:cs="Times New Roman"/>
              </w:rPr>
              <w:t xml:space="preserve"> (µg/</w:t>
            </w:r>
            <w:r w:rsidR="00C72E8F" w:rsidRPr="003A22B9">
              <w:rPr>
                <w:rFonts w:ascii="Times New Roman" w:eastAsia="Calibri" w:hAnsi="Times New Roman" w:cs="Times New Roman"/>
              </w:rPr>
              <w:t>ml</w:t>
            </w:r>
            <w:r w:rsidRPr="003A22B9">
              <w:rPr>
                <w:rFonts w:ascii="Times New Roman" w:eastAsia="Calibri" w:hAnsi="Times New Roman" w:cs="Times New Roman"/>
              </w:rPr>
              <w:t>)</w:t>
            </w:r>
          </w:p>
        </w:tc>
        <w:tc>
          <w:tcPr>
            <w:tcW w:w="2521" w:type="dxa"/>
            <w:vAlign w:val="center"/>
          </w:tcPr>
          <w:p w14:paraId="2BFBC744" w14:textId="77777777" w:rsidR="00C019A1" w:rsidRPr="003A22B9" w:rsidRDefault="00C019A1" w:rsidP="001C3C2B">
            <w:pPr>
              <w:spacing w:before="10"/>
              <w:jc w:val="both"/>
              <w:rPr>
                <w:rFonts w:ascii="Times New Roman" w:eastAsia="Times New Roman" w:hAnsi="Times New Roman" w:cs="Times New Roman"/>
                <w:lang w:val="it-IT"/>
              </w:rPr>
            </w:pPr>
            <w:r w:rsidRPr="003A22B9">
              <w:rPr>
                <w:rFonts w:ascii="Times New Roman" w:eastAsia="Calibri" w:hAnsi="Times New Roman" w:cs="Times New Roman"/>
              </w:rPr>
              <w:t>47,5 (0,01 – 179)</w:t>
            </w:r>
          </w:p>
        </w:tc>
        <w:tc>
          <w:tcPr>
            <w:tcW w:w="2522" w:type="dxa"/>
            <w:vAlign w:val="center"/>
          </w:tcPr>
          <w:p w14:paraId="7518474E" w14:textId="77777777" w:rsidR="00C019A1" w:rsidRPr="003A22B9" w:rsidRDefault="00C019A1" w:rsidP="001C3C2B">
            <w:pPr>
              <w:spacing w:before="10"/>
              <w:jc w:val="both"/>
              <w:rPr>
                <w:rFonts w:ascii="Times New Roman" w:eastAsia="Times New Roman" w:hAnsi="Times New Roman" w:cs="Times New Roman"/>
                <w:lang w:val="it-IT"/>
              </w:rPr>
            </w:pPr>
            <w:r w:rsidRPr="003A22B9">
              <w:rPr>
                <w:rFonts w:ascii="Times New Roman" w:eastAsia="Calibri" w:hAnsi="Times New Roman" w:cs="Times New Roman"/>
              </w:rPr>
              <w:t>51,4 (0,00 – 182)</w:t>
            </w:r>
          </w:p>
        </w:tc>
        <w:tc>
          <w:tcPr>
            <w:tcW w:w="2522" w:type="dxa"/>
            <w:vAlign w:val="center"/>
          </w:tcPr>
          <w:p w14:paraId="3F745FBD" w14:textId="77777777" w:rsidR="00C019A1" w:rsidRPr="003A22B9" w:rsidRDefault="00C019A1" w:rsidP="001C3C2B">
            <w:pPr>
              <w:spacing w:before="10"/>
              <w:jc w:val="both"/>
              <w:rPr>
                <w:rFonts w:ascii="Times New Roman" w:eastAsia="Times New Roman" w:hAnsi="Times New Roman" w:cs="Times New Roman"/>
                <w:lang w:val="it-IT"/>
              </w:rPr>
            </w:pPr>
            <w:r w:rsidRPr="003A22B9">
              <w:rPr>
                <w:rFonts w:ascii="Times New Roman" w:eastAsia="Calibri" w:hAnsi="Times New Roman" w:cs="Times New Roman"/>
              </w:rPr>
              <w:t>44,1 (0,00 – 149)</w:t>
            </w:r>
          </w:p>
        </w:tc>
      </w:tr>
      <w:tr w:rsidR="00C019A1" w:rsidRPr="003A22B9" w14:paraId="2527F9FF" w14:textId="77777777" w:rsidTr="00043DF7">
        <w:tc>
          <w:tcPr>
            <w:tcW w:w="2521" w:type="dxa"/>
            <w:vAlign w:val="center"/>
          </w:tcPr>
          <w:p w14:paraId="3568F8CA" w14:textId="77777777" w:rsidR="00C019A1" w:rsidRPr="003A22B9" w:rsidRDefault="00C019A1" w:rsidP="001C3C2B">
            <w:pPr>
              <w:spacing w:before="10"/>
              <w:jc w:val="both"/>
              <w:rPr>
                <w:rFonts w:ascii="Times New Roman" w:eastAsia="Calibri" w:hAnsi="Times New Roman" w:cs="Times New Roman"/>
                <w:lang w:val="de-DE"/>
              </w:rPr>
            </w:pPr>
            <w:r w:rsidRPr="003A22B9">
              <w:rPr>
                <w:rFonts w:ascii="Times New Roman" w:eastAsia="Calibri" w:hAnsi="Times New Roman" w:cs="Times New Roman"/>
                <w:lang w:val="de-DE"/>
              </w:rPr>
              <w:t>AUC1</w:t>
            </w:r>
            <w:r w:rsidRPr="003A22B9">
              <w:rPr>
                <w:rFonts w:ascii="Times New Roman" w:eastAsia="Calibri" w:hAnsi="Times New Roman" w:cs="Times New Roman"/>
                <w:vertAlign w:val="subscript"/>
                <w:lang w:val="de-DE"/>
              </w:rPr>
              <w:t>-4 ciklus</w:t>
            </w:r>
            <w:r w:rsidRPr="003A22B9">
              <w:rPr>
                <w:rFonts w:ascii="Times New Roman" w:eastAsia="Calibri" w:hAnsi="Times New Roman" w:cs="Times New Roman"/>
                <w:lang w:val="de-DE"/>
              </w:rPr>
              <w:t xml:space="preserve"> </w:t>
            </w:r>
          </w:p>
          <w:p w14:paraId="171D3A39" w14:textId="392B14E2" w:rsidR="00C019A1" w:rsidRPr="003A22B9" w:rsidRDefault="00C019A1" w:rsidP="001C3C2B">
            <w:pPr>
              <w:spacing w:before="10"/>
              <w:jc w:val="both"/>
              <w:rPr>
                <w:rFonts w:ascii="Times New Roman" w:eastAsia="Times New Roman" w:hAnsi="Times New Roman" w:cs="Times New Roman"/>
                <w:lang w:val="de-DE"/>
              </w:rPr>
            </w:pPr>
            <w:r w:rsidRPr="003A22B9">
              <w:rPr>
                <w:rFonts w:ascii="Times New Roman" w:eastAsia="Calibri" w:hAnsi="Times New Roman" w:cs="Times New Roman"/>
                <w:lang w:val="de-DE"/>
              </w:rPr>
              <w:t>(µg*dan/</w:t>
            </w:r>
            <w:r w:rsidR="00C72E8F" w:rsidRPr="003A22B9">
              <w:rPr>
                <w:rFonts w:ascii="Times New Roman" w:eastAsia="Calibri" w:hAnsi="Times New Roman" w:cs="Times New Roman"/>
                <w:lang w:val="de-DE"/>
              </w:rPr>
              <w:t>ml</w:t>
            </w:r>
            <w:r w:rsidRPr="003A22B9">
              <w:rPr>
                <w:rFonts w:ascii="Times New Roman" w:eastAsia="Calibri" w:hAnsi="Times New Roman" w:cs="Times New Roman"/>
                <w:lang w:val="de-DE"/>
              </w:rPr>
              <w:t>)</w:t>
            </w:r>
          </w:p>
        </w:tc>
        <w:tc>
          <w:tcPr>
            <w:tcW w:w="2521" w:type="dxa"/>
            <w:vAlign w:val="center"/>
          </w:tcPr>
          <w:p w14:paraId="574F5234" w14:textId="77777777" w:rsidR="00C019A1" w:rsidRPr="003A22B9" w:rsidRDefault="00C019A1" w:rsidP="001C3C2B">
            <w:pPr>
              <w:spacing w:before="10"/>
              <w:jc w:val="both"/>
              <w:rPr>
                <w:rFonts w:ascii="Times New Roman" w:eastAsia="Times New Roman" w:hAnsi="Times New Roman" w:cs="Times New Roman"/>
              </w:rPr>
            </w:pPr>
            <w:r w:rsidRPr="003A22B9">
              <w:rPr>
                <w:rFonts w:ascii="Times New Roman" w:eastAsia="Calibri" w:hAnsi="Times New Roman" w:cs="Times New Roman"/>
              </w:rPr>
              <w:t>13501 (278 – 31070)</w:t>
            </w:r>
          </w:p>
        </w:tc>
        <w:tc>
          <w:tcPr>
            <w:tcW w:w="2522" w:type="dxa"/>
            <w:vAlign w:val="center"/>
          </w:tcPr>
          <w:p w14:paraId="19118942" w14:textId="77777777" w:rsidR="00C019A1" w:rsidRPr="003A22B9" w:rsidRDefault="00C019A1" w:rsidP="001C3C2B">
            <w:pPr>
              <w:spacing w:before="10"/>
              <w:jc w:val="both"/>
              <w:rPr>
                <w:rFonts w:ascii="Times New Roman" w:eastAsia="Times New Roman" w:hAnsi="Times New Roman" w:cs="Times New Roman"/>
              </w:rPr>
            </w:pPr>
            <w:r w:rsidRPr="003A22B9">
              <w:rPr>
                <w:rFonts w:ascii="Times New Roman" w:eastAsia="Calibri" w:hAnsi="Times New Roman" w:cs="Times New Roman"/>
              </w:rPr>
              <w:t>11 609 (135 – 31157)</w:t>
            </w:r>
          </w:p>
        </w:tc>
        <w:tc>
          <w:tcPr>
            <w:tcW w:w="2522" w:type="dxa"/>
            <w:vAlign w:val="center"/>
          </w:tcPr>
          <w:p w14:paraId="50CB5FD3" w14:textId="77777777" w:rsidR="00C019A1" w:rsidRPr="003A22B9" w:rsidRDefault="00C019A1" w:rsidP="001C3C2B">
            <w:pPr>
              <w:spacing w:before="10"/>
              <w:jc w:val="both"/>
              <w:rPr>
                <w:rFonts w:ascii="Times New Roman" w:eastAsia="Times New Roman" w:hAnsi="Times New Roman" w:cs="Times New Roman"/>
              </w:rPr>
            </w:pPr>
            <w:r w:rsidRPr="003A22B9">
              <w:rPr>
                <w:rFonts w:ascii="Times New Roman" w:eastAsia="Calibri" w:hAnsi="Times New Roman" w:cs="Times New Roman"/>
              </w:rPr>
              <w:t>11 467 (110 – 27066)</w:t>
            </w:r>
          </w:p>
        </w:tc>
      </w:tr>
    </w:tbl>
    <w:p w14:paraId="09AE6509" w14:textId="456DFEDF" w:rsidR="00C019A1" w:rsidRPr="001C3C2B" w:rsidRDefault="00C019A1" w:rsidP="001C3C2B">
      <w:pPr>
        <w:widowControl w:val="0"/>
        <w:spacing w:before="10" w:after="0" w:line="240" w:lineRule="auto"/>
        <w:jc w:val="both"/>
        <w:rPr>
          <w:rFonts w:ascii="Times New Roman" w:eastAsia="Times New Roman" w:hAnsi="Times New Roman" w:cs="Times New Roman"/>
          <w:sz w:val="20"/>
          <w:szCs w:val="20"/>
          <w:lang w:val="it-IT"/>
        </w:rPr>
      </w:pPr>
      <w:r w:rsidRPr="001C3C2B">
        <w:rPr>
          <w:rFonts w:ascii="Times New Roman" w:eastAsia="Calibri" w:hAnsi="Times New Roman" w:cs="Times New Roman"/>
          <w:sz w:val="20"/>
          <w:szCs w:val="20"/>
          <w:lang w:val="it-IT"/>
        </w:rPr>
        <w:t>Rezultati su prikazani kao medijana (min. – maks.); C</w:t>
      </w:r>
      <w:r w:rsidRPr="001C3C2B">
        <w:rPr>
          <w:rFonts w:ascii="Times New Roman" w:eastAsia="Calibri" w:hAnsi="Times New Roman" w:cs="Times New Roman"/>
          <w:sz w:val="20"/>
          <w:szCs w:val="20"/>
          <w:vertAlign w:val="subscript"/>
          <w:lang w:val="it-IT"/>
        </w:rPr>
        <w:t xml:space="preserve">trough </w:t>
      </w:r>
      <w:r w:rsidRPr="001C3C2B">
        <w:rPr>
          <w:rFonts w:ascii="Times New Roman" w:eastAsia="Calibri" w:hAnsi="Times New Roman" w:cs="Times New Roman"/>
          <w:sz w:val="20"/>
          <w:szCs w:val="20"/>
          <w:lang w:val="it-IT"/>
        </w:rPr>
        <w:t>odnosi se na vr</w:t>
      </w:r>
      <w:r w:rsidR="00ED4695" w:rsidRPr="001C3C2B">
        <w:rPr>
          <w:rFonts w:ascii="Times New Roman" w:eastAsia="Calibri" w:hAnsi="Times New Roman" w:cs="Times New Roman"/>
          <w:sz w:val="20"/>
          <w:szCs w:val="20"/>
          <w:lang w:val="it-IT"/>
        </w:rPr>
        <w:t>ij</w:t>
      </w:r>
      <w:r w:rsidRPr="001C3C2B">
        <w:rPr>
          <w:rFonts w:ascii="Times New Roman" w:eastAsia="Calibri" w:hAnsi="Times New Roman" w:cs="Times New Roman"/>
          <w:sz w:val="20"/>
          <w:szCs w:val="20"/>
          <w:lang w:val="it-IT"/>
        </w:rPr>
        <w:t>ednost pr</w:t>
      </w:r>
      <w:r w:rsidR="00ED4695" w:rsidRPr="001C3C2B">
        <w:rPr>
          <w:rFonts w:ascii="Times New Roman" w:eastAsia="Calibri" w:hAnsi="Times New Roman" w:cs="Times New Roman"/>
          <w:sz w:val="20"/>
          <w:szCs w:val="20"/>
          <w:lang w:val="it-IT"/>
        </w:rPr>
        <w:t>ij</w:t>
      </w:r>
      <w:r w:rsidRPr="001C3C2B">
        <w:rPr>
          <w:rFonts w:ascii="Times New Roman" w:eastAsia="Calibri" w:hAnsi="Times New Roman" w:cs="Times New Roman"/>
          <w:sz w:val="20"/>
          <w:szCs w:val="20"/>
          <w:lang w:val="it-IT"/>
        </w:rPr>
        <w:t>e prim</w:t>
      </w:r>
      <w:r w:rsidR="00ED4695" w:rsidRPr="001C3C2B">
        <w:rPr>
          <w:rFonts w:ascii="Times New Roman" w:eastAsia="Calibri" w:hAnsi="Times New Roman" w:cs="Times New Roman"/>
          <w:sz w:val="20"/>
          <w:szCs w:val="20"/>
          <w:lang w:val="it-IT"/>
        </w:rPr>
        <w:t>j</w:t>
      </w:r>
      <w:r w:rsidRPr="001C3C2B">
        <w:rPr>
          <w:rFonts w:ascii="Times New Roman" w:eastAsia="Calibri" w:hAnsi="Times New Roman" w:cs="Times New Roman"/>
          <w:sz w:val="20"/>
          <w:szCs w:val="20"/>
          <w:lang w:val="it-IT"/>
        </w:rPr>
        <w:t>ene doze u 4. ciklusu.</w:t>
      </w:r>
    </w:p>
    <w:p w14:paraId="6FD5E957" w14:textId="77777777" w:rsidR="00C019A1" w:rsidRPr="003A22B9" w:rsidRDefault="00C019A1" w:rsidP="00A75B47">
      <w:pPr>
        <w:spacing w:after="0" w:line="240" w:lineRule="auto"/>
        <w:jc w:val="both"/>
        <w:rPr>
          <w:rFonts w:ascii="Times New Roman" w:eastAsia="Times New Roman" w:hAnsi="Times New Roman" w:cs="Times New Roman"/>
          <w:lang w:val="it-IT"/>
        </w:rPr>
      </w:pPr>
    </w:p>
    <w:p w14:paraId="640AC997"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Hronična limfocitna leukemija</w:t>
      </w:r>
      <w:r w:rsidRPr="003A22B9">
        <w:rPr>
          <w:rFonts w:ascii="Times New Roman" w:eastAsia="Times New Roman" w:hAnsi="Times New Roman" w:cs="Times New Roman"/>
          <w:lang w:val="sr-Latn-ME"/>
        </w:rPr>
        <w:t xml:space="preserve"> </w:t>
      </w:r>
    </w:p>
    <w:p w14:paraId="0CE497A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89B77F4" w14:textId="74D3C952"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lang w:val="sr-Latn-ME"/>
        </w:rPr>
        <w:t>Rituksimab je primjenjivan intravenskom infuzijom u dozi od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prvom ciklusu, koja je povećavana na 500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u svakom od narednih pet ciklusa, u kombinaciji sa fludarabinom i </w:t>
      </w:r>
      <w:r w:rsidRPr="003A22B9">
        <w:rPr>
          <w:rFonts w:ascii="Times New Roman" w:eastAsia="Times New Roman" w:hAnsi="Times New Roman" w:cs="Times New Roman"/>
          <w:lang w:val="sr-Latn-ME"/>
        </w:rPr>
        <w:lastRenderedPageBreak/>
        <w:t>ciklofosfamidom kod pacijenata sa HLL. Prosječna vrijednost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(N = 15) bila je 408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(opseg 97 – 764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nakon pete infuzije od </w:t>
      </w:r>
      <w:r w:rsidR="00C972B1">
        <w:rPr>
          <w:rFonts w:ascii="Times New Roman" w:eastAsia="Times New Roman" w:hAnsi="Times New Roman" w:cs="Times New Roman"/>
          <w:lang w:val="sr-Latn-ME"/>
        </w:rPr>
        <w:t>5</w:t>
      </w:r>
      <w:r w:rsidRPr="003A22B9">
        <w:rPr>
          <w:rFonts w:ascii="Times New Roman" w:eastAsia="Times New Roman" w:hAnsi="Times New Roman" w:cs="Times New Roman"/>
          <w:lang w:val="sr-Latn-ME"/>
        </w:rPr>
        <w:t>00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i prosječno terminalno poluvrijeme eliminacije bilo je 32 dana (opseg 14 – 62 dana). </w:t>
      </w:r>
    </w:p>
    <w:p w14:paraId="3F5596A5"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p>
    <w:p w14:paraId="51810AF6"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u w:val="single"/>
          <w:lang w:val="sr-Latn-ME"/>
        </w:rPr>
        <w:t>Reumatoidni artritis</w:t>
      </w:r>
      <w:r w:rsidRPr="003A22B9">
        <w:rPr>
          <w:rFonts w:ascii="Times New Roman" w:eastAsia="Times New Roman" w:hAnsi="Times New Roman" w:cs="Times New Roman"/>
          <w:lang w:val="sr-Latn-ME"/>
        </w:rPr>
        <w:t xml:space="preserve"> </w:t>
      </w:r>
    </w:p>
    <w:p w14:paraId="5E8E631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77C86DC" w14:textId="2777D7D8"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Nakon dvije intravenske infuzije rituksimaba u dozi od 1000 mg, u razmaku od dvije nedjelje, prosječno terminalno poluvrijeme eliminacije iznosilo je 20,8 dana (raspon 8,58 do 35,9 dana), prosječan sistemski klirens bio je 0,23 l/dan (raspon 0,091 do 0,67 l /dan), a prosječni volumen distribucije u stanju ravnoteže bio je 4,6 l (raspon 1,7 do 7,51 l). Populacionom farmakokinetičkom analizom istih podataka dobijene su slične srednje vrijednosti sistemskog klirensa i poluvremena eliminacije </w:t>
      </w:r>
      <w:r w:rsidR="00C972B1">
        <w:rPr>
          <w:rFonts w:ascii="Times New Roman" w:eastAsia="Times New Roman" w:hAnsi="Times New Roman" w:cs="Times New Roman"/>
          <w:lang w:val="sr-Latn-ME"/>
        </w:rPr>
        <w:t xml:space="preserve">od </w:t>
      </w:r>
      <w:r w:rsidRPr="003A22B9">
        <w:rPr>
          <w:rFonts w:ascii="Times New Roman" w:eastAsia="Times New Roman" w:hAnsi="Times New Roman" w:cs="Times New Roman"/>
          <w:lang w:val="sr-Latn-ME"/>
        </w:rPr>
        <w:t xml:space="preserve">0,26 l/dan odnosno 20,4 dana. Populaciona farmakokinetička analiza otkrila je takođe da su BSA (tjelesna površina) i pol najznačajnije kovarijante za objašnjenje razlika u farmakokinetičkim parametrima između ispitanika. Po podešavanju s obzirom na BSA muški ispitanici su imali veći volumen distribucije i brži klirens od ispitanica. Farmakokinetičke razlike po polu ne smatraju se klinički relevantnim, pa stoga nije potrebno podešavati doze. Nema farmakokinetičkih podataka za pacijente sa insuficijencijom bubrega ili jetre. </w:t>
      </w:r>
    </w:p>
    <w:p w14:paraId="1F4E520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1AAEBC67" w14:textId="3BA04EF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Farmakokinetika rituskimaba je ispitana nakon intravenske primjene dvije doze, od 500 mg i 1000 mg, primijenjene 1. i 15. dana, u četiri studije. U svim ovim studijama, farmakokinetika rituksimaba je bila proporcionalna primijenjenoj dozi u ograničenom ispitivanom rasponu doza. Za rituksimab u serumu nakon prve infuzije prosječna vrijednost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su kretala se između 157 do 171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za dozu od 2 x 500 mg i 298 do 341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za dozu od 2 x 1000 mg. Nakon druge infuzije, prosječna vrijednost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kretala se između 183 </w:t>
      </w:r>
      <w:r w:rsidR="00960656" w:rsidRPr="003A22B9">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 xml:space="preserve"> 198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za dozu od 2 x 500 mg i 355 do 404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za dozu od 2 x 1000 mg. Srednje terminalno proluvrijeme eliminacije iznosilo je od 15 do 16 dana za dozu od 2 x 500 mg i 17 do 21 dan za dozu od 2 x 1000mg. Srednja vrijednost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za ob</w:t>
      </w:r>
      <w:r w:rsidR="004458E2">
        <w:rPr>
          <w:rFonts w:ascii="Times New Roman" w:eastAsia="Times New Roman" w:hAnsi="Times New Roman" w:cs="Times New Roman"/>
          <w:lang w:val="sr-Latn-ME"/>
        </w:rPr>
        <w:t>i</w:t>
      </w:r>
      <w:r w:rsidRPr="003A22B9">
        <w:rPr>
          <w:rFonts w:ascii="Times New Roman" w:eastAsia="Times New Roman" w:hAnsi="Times New Roman" w:cs="Times New Roman"/>
          <w:lang w:val="sr-Latn-ME"/>
        </w:rPr>
        <w:t>je bi</w:t>
      </w:r>
      <w:r w:rsidR="00960656" w:rsidRPr="003A22B9">
        <w:rPr>
          <w:rFonts w:ascii="Times New Roman" w:eastAsia="Times New Roman" w:hAnsi="Times New Roman" w:cs="Times New Roman"/>
          <w:lang w:val="sr-Latn-ME"/>
        </w:rPr>
        <w:t>la</w:t>
      </w:r>
      <w:r w:rsidRPr="003A22B9">
        <w:rPr>
          <w:rFonts w:ascii="Times New Roman" w:eastAsia="Times New Roman" w:hAnsi="Times New Roman" w:cs="Times New Roman"/>
          <w:lang w:val="sr-Latn-ME"/>
        </w:rPr>
        <w:t xml:space="preserve"> je 16</w:t>
      </w:r>
      <w:r w:rsidR="004458E2" w:rsidRPr="003A22B9">
        <w:rPr>
          <w:rFonts w:ascii="Times New Roman" w:eastAsia="Times New Roman" w:hAnsi="Times New Roman" w:cs="Times New Roman"/>
          <w:lang w:val="sr-Latn-ME"/>
        </w:rPr>
        <w:t>%</w:t>
      </w:r>
      <w:r w:rsidRPr="003A22B9">
        <w:rPr>
          <w:rFonts w:ascii="Times New Roman" w:eastAsia="Times New Roman" w:hAnsi="Times New Roman" w:cs="Times New Roman"/>
          <w:lang w:val="sr-Latn-ME"/>
        </w:rPr>
        <w:t xml:space="preserve"> do 19% veći nakon druge infuzije u poređenju sa prvom infuzijom. </w:t>
      </w:r>
    </w:p>
    <w:p w14:paraId="3C7E82A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C67F6B8" w14:textId="6A3923B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Ispitana su farmakokinetička svojstva rituksimaba nakon dvije intravenske doze od 500 mg i 1000 mg primijenjene u ponovnom liječenju u drugom ciklusu. Prosječn</w:t>
      </w:r>
      <w:r w:rsidR="00960656" w:rsidRPr="003A22B9">
        <w:rPr>
          <w:rFonts w:ascii="Times New Roman" w:eastAsia="Times New Roman" w:hAnsi="Times New Roman" w:cs="Times New Roman"/>
          <w:lang w:val="sr-Latn-ME"/>
        </w:rPr>
        <w:t>a</w:t>
      </w:r>
      <w:r w:rsidRPr="003A22B9">
        <w:rPr>
          <w:rFonts w:ascii="Times New Roman" w:eastAsia="Times New Roman" w:hAnsi="Times New Roman" w:cs="Times New Roman"/>
          <w:lang w:val="sr-Latn-ME"/>
        </w:rPr>
        <w:t xml:space="preserve">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rituksimaba u serumu nakon prve infuzije bi</w:t>
      </w:r>
      <w:r w:rsidR="00960656" w:rsidRPr="003A22B9">
        <w:rPr>
          <w:rFonts w:ascii="Times New Roman" w:eastAsia="Times New Roman" w:hAnsi="Times New Roman" w:cs="Times New Roman"/>
          <w:lang w:val="sr-Latn-ME"/>
        </w:rPr>
        <w:t>la</w:t>
      </w:r>
      <w:r w:rsidRPr="003A22B9">
        <w:rPr>
          <w:rFonts w:ascii="Times New Roman" w:eastAsia="Times New Roman" w:hAnsi="Times New Roman" w:cs="Times New Roman"/>
          <w:lang w:val="sr-Latn-ME"/>
        </w:rPr>
        <w:t xml:space="preserve"> je 170 do 175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pri dozi od 2 x 500 mg, odnosno 317 do 370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pri dozi od 2 x 1000 mg. Nakon druge infuzije vrijednost C</w:t>
      </w:r>
      <w:r w:rsidRPr="003A22B9">
        <w:rPr>
          <w:rFonts w:ascii="Times New Roman" w:eastAsia="Times New Roman" w:hAnsi="Times New Roman" w:cs="Times New Roman"/>
          <w:vertAlign w:val="subscript"/>
          <w:lang w:val="sr-Latn-ME"/>
        </w:rPr>
        <w:t>max</w:t>
      </w:r>
      <w:r w:rsidRPr="003A22B9">
        <w:rPr>
          <w:rFonts w:ascii="Times New Roman" w:eastAsia="Times New Roman" w:hAnsi="Times New Roman" w:cs="Times New Roman"/>
          <w:lang w:val="sr-Latn-ME"/>
        </w:rPr>
        <w:t xml:space="preserve"> iznosila je 207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pri dozi od 2 x 500 mg i 377 do 386 μg/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pri dozi od 2 × 1000 mg. Srednje terminalno poluvrijeme eliminacije nakon druge infuzije i drugog ciklusa iznosilo je 19 dana za dozu od 2 x 500 mg i od 21 do 22 dana za dozu od 2 x 1000 mg. Farmakokinetički parametri za rituksimab bili su slični tokom dva ciklusa liječenja.</w:t>
      </w:r>
    </w:p>
    <w:p w14:paraId="1B70E2D0"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4BA039A" w14:textId="31FDF84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Farmakokinetički (FK) parametri u populaciji koja neodgovarajuće reaguje na anti-TNF terapiju, po istom režimu doziranja (2 x 1000 mg, i.v, u razmaku od 2 nedjelje) bili su slični sa srednjim maksimalnim koncentracijama u serumu od 369 µg/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i srednjim terminalnim poluvremenom eliminacije od 19,2 dana. </w:t>
      </w:r>
    </w:p>
    <w:p w14:paraId="7F29141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5F3CA4F" w14:textId="76605605"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Granulomatoza sa poliangiitisom</w:t>
      </w:r>
      <w:r w:rsidR="00726EAE" w:rsidRPr="003A22B9">
        <w:rPr>
          <w:rFonts w:ascii="Times New Roman" w:eastAsia="Times New Roman" w:hAnsi="Times New Roman" w:cs="Times New Roman"/>
          <w:u w:val="single"/>
          <w:lang w:val="sr-Latn-ME"/>
        </w:rPr>
        <w:t xml:space="preserve"> (GPA)</w:t>
      </w:r>
      <w:r w:rsidRPr="003A22B9">
        <w:rPr>
          <w:rFonts w:ascii="Times New Roman" w:eastAsia="Times New Roman" w:hAnsi="Times New Roman" w:cs="Times New Roman"/>
          <w:u w:val="single"/>
          <w:lang w:val="sr-Latn-ME"/>
        </w:rPr>
        <w:t xml:space="preserve"> i mikroskopski poliangiitis </w:t>
      </w:r>
      <w:r w:rsidR="00726EAE" w:rsidRPr="003A22B9">
        <w:rPr>
          <w:rFonts w:ascii="Times New Roman" w:eastAsia="Times New Roman" w:hAnsi="Times New Roman" w:cs="Times New Roman"/>
          <w:u w:val="single"/>
          <w:lang w:val="sr-Latn-ME"/>
        </w:rPr>
        <w:t>(MPA)</w:t>
      </w:r>
    </w:p>
    <w:p w14:paraId="68D0FF5E" w14:textId="34E1953C" w:rsidR="00A34D37" w:rsidRPr="003A22B9" w:rsidRDefault="00A34D37" w:rsidP="00A75B47">
      <w:pPr>
        <w:spacing w:after="0" w:line="240" w:lineRule="auto"/>
        <w:jc w:val="both"/>
        <w:rPr>
          <w:rFonts w:ascii="Times New Roman" w:eastAsia="Times New Roman" w:hAnsi="Times New Roman" w:cs="Times New Roman"/>
          <w:u w:val="single"/>
          <w:lang w:val="sr-Latn-ME"/>
        </w:rPr>
      </w:pPr>
    </w:p>
    <w:p w14:paraId="4D2701B4" w14:textId="007D7FE2" w:rsidR="00A34D37" w:rsidRPr="003A22B9" w:rsidRDefault="00A34D37" w:rsidP="00A75B47">
      <w:pPr>
        <w:spacing w:after="0" w:line="240" w:lineRule="auto"/>
        <w:jc w:val="both"/>
        <w:rPr>
          <w:rFonts w:ascii="Times New Roman" w:eastAsia="Times New Roman" w:hAnsi="Times New Roman" w:cs="Times New Roman"/>
          <w:i/>
          <w:iCs/>
          <w:lang w:val="sr-Latn-ME"/>
        </w:rPr>
      </w:pPr>
      <w:r w:rsidRPr="003A22B9">
        <w:rPr>
          <w:rFonts w:ascii="Times New Roman" w:eastAsia="Times New Roman" w:hAnsi="Times New Roman" w:cs="Times New Roman"/>
          <w:i/>
          <w:iCs/>
          <w:lang w:val="sr-Latn-ME"/>
        </w:rPr>
        <w:t>Odrasli pacijenti</w:t>
      </w:r>
    </w:p>
    <w:p w14:paraId="54A51589"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C1688D9" w14:textId="3EF10DF7" w:rsidR="00A75B47" w:rsidRDefault="00A75B47" w:rsidP="00043DF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 osnovu populacione farmakokinetičke analize podataka za 97 pacijenata sa granulomatozom sa poliangitisom i mikroskopskim poliangitisom, koji su primili 375 mg/m</w:t>
      </w:r>
      <w:r w:rsidRPr="003A22B9">
        <w:rPr>
          <w:rFonts w:ascii="Times New Roman" w:eastAsia="Times New Roman" w:hAnsi="Times New Roman" w:cs="Times New Roman"/>
          <w:vertAlign w:val="superscript"/>
          <w:lang w:val="sr-Latn-ME"/>
        </w:rPr>
        <w:t>2</w:t>
      </w:r>
      <w:r w:rsidRPr="003A22B9">
        <w:rPr>
          <w:rFonts w:ascii="Times New Roman" w:eastAsia="Times New Roman" w:hAnsi="Times New Roman" w:cs="Times New Roman"/>
          <w:lang w:val="sr-Latn-ME"/>
        </w:rPr>
        <w:t xml:space="preserve"> rituksimaba jednom nedjeljno, četiri doze, procijenjena medijana terminalnog proluvremena eliminacije je 23 dana (raspon od 9 do 49 dana). Srednja vrijednost klirensa i volumen distribucije rituksimaba iznosili su redom 0,313 l/dan (raspon od 0,116 do 0,726 l/dan) i 4,50 l (raspon od 2,25 do 7,39 l). </w:t>
      </w:r>
      <w:r w:rsidR="005D281F" w:rsidRPr="003A22B9">
        <w:rPr>
          <w:rFonts w:ascii="Times New Roman" w:eastAsia="Times New Roman" w:hAnsi="Times New Roman" w:cs="Times New Roman"/>
          <w:lang w:val="it-IT"/>
        </w:rPr>
        <w:t>Maksimalna koncentracija l</w:t>
      </w:r>
      <w:r w:rsidR="00F1592B" w:rsidRPr="003A22B9">
        <w:rPr>
          <w:rFonts w:ascii="Times New Roman" w:eastAsia="Times New Roman" w:hAnsi="Times New Roman" w:cs="Times New Roman"/>
          <w:lang w:val="it-IT"/>
        </w:rPr>
        <w:t>ij</w:t>
      </w:r>
      <w:r w:rsidR="005D281F" w:rsidRPr="003A22B9">
        <w:rPr>
          <w:rFonts w:ascii="Times New Roman" w:eastAsia="Times New Roman" w:hAnsi="Times New Roman" w:cs="Times New Roman"/>
          <w:lang w:val="it-IT"/>
        </w:rPr>
        <w:t>eka tokom prvih 180 dana (C</w:t>
      </w:r>
      <w:r w:rsidR="005D281F" w:rsidRPr="003A22B9">
        <w:rPr>
          <w:rFonts w:ascii="Times New Roman" w:eastAsia="Times New Roman" w:hAnsi="Times New Roman" w:cs="Times New Roman"/>
          <w:vertAlign w:val="subscript"/>
          <w:lang w:val="it-IT"/>
        </w:rPr>
        <w:t>max</w:t>
      </w:r>
      <w:r w:rsidR="005D281F" w:rsidRPr="003A22B9">
        <w:rPr>
          <w:rFonts w:ascii="Times New Roman" w:eastAsia="Times New Roman" w:hAnsi="Times New Roman" w:cs="Times New Roman"/>
          <w:lang w:val="it-IT"/>
        </w:rPr>
        <w:t>) iznosila je (medijana [raspon]) 372,6 (252,3 - 533,5) µg/</w:t>
      </w:r>
      <w:r w:rsidR="00C72E8F" w:rsidRPr="003A22B9">
        <w:rPr>
          <w:rFonts w:ascii="Times New Roman" w:eastAsia="Times New Roman" w:hAnsi="Times New Roman" w:cs="Times New Roman"/>
          <w:lang w:val="it-IT"/>
        </w:rPr>
        <w:t>ml</w:t>
      </w:r>
      <w:r w:rsidR="005D281F" w:rsidRPr="003A22B9">
        <w:rPr>
          <w:rFonts w:ascii="Times New Roman" w:eastAsia="Times New Roman" w:hAnsi="Times New Roman" w:cs="Times New Roman"/>
          <w:lang w:val="it-IT"/>
        </w:rPr>
        <w:t>, minimalna koncentracija 180. dana (C180) bila je 2,1 (0 - 29,3) µg/</w:t>
      </w:r>
      <w:r w:rsidR="00C72E8F" w:rsidRPr="003A22B9">
        <w:rPr>
          <w:rFonts w:ascii="Times New Roman" w:eastAsia="Times New Roman" w:hAnsi="Times New Roman" w:cs="Times New Roman"/>
          <w:lang w:val="it-IT"/>
        </w:rPr>
        <w:t>ml</w:t>
      </w:r>
      <w:r w:rsidR="005D281F" w:rsidRPr="003A22B9">
        <w:rPr>
          <w:rFonts w:ascii="Times New Roman" w:eastAsia="Times New Roman" w:hAnsi="Times New Roman" w:cs="Times New Roman"/>
          <w:lang w:val="it-IT"/>
        </w:rPr>
        <w:t>, dok je kumulativno područje ispod krive tokom 180 dana (AUC180) iznosilo 10 302 (3653 - 21 874) µg/</w:t>
      </w:r>
      <w:r w:rsidR="00C72E8F" w:rsidRPr="003A22B9">
        <w:rPr>
          <w:rFonts w:ascii="Times New Roman" w:eastAsia="Times New Roman" w:hAnsi="Times New Roman" w:cs="Times New Roman"/>
          <w:lang w:val="it-IT"/>
        </w:rPr>
        <w:t>ml</w:t>
      </w:r>
      <w:r w:rsidR="005D281F" w:rsidRPr="003A22B9">
        <w:rPr>
          <w:rFonts w:ascii="Times New Roman" w:eastAsia="Times New Roman" w:hAnsi="Times New Roman" w:cs="Times New Roman"/>
          <w:lang w:val="it-IT"/>
        </w:rPr>
        <w:t xml:space="preserve">*dan. </w:t>
      </w:r>
      <w:r w:rsidRPr="003A22B9">
        <w:rPr>
          <w:rFonts w:ascii="Times New Roman" w:eastAsia="Times New Roman" w:hAnsi="Times New Roman" w:cs="Times New Roman"/>
          <w:lang w:val="sr-Latn-ME"/>
        </w:rPr>
        <w:t xml:space="preserve">Farmakokinetički parametri rituksimaba kod </w:t>
      </w:r>
      <w:r w:rsidR="006169C4" w:rsidRPr="003A22B9">
        <w:rPr>
          <w:rFonts w:ascii="Times New Roman" w:eastAsia="Times New Roman" w:hAnsi="Times New Roman" w:cs="Times New Roman"/>
          <w:lang w:val="sr-Latn-ME"/>
        </w:rPr>
        <w:t xml:space="preserve">odraslih </w:t>
      </w:r>
      <w:r w:rsidR="00564893" w:rsidRPr="003A22B9">
        <w:rPr>
          <w:rFonts w:ascii="Times New Roman" w:eastAsia="Times New Roman" w:hAnsi="Times New Roman" w:cs="Times New Roman"/>
          <w:lang w:val="sr-Latn-ME"/>
        </w:rPr>
        <w:t xml:space="preserve">GPA i MPA </w:t>
      </w:r>
      <w:r w:rsidRPr="003A22B9">
        <w:rPr>
          <w:rFonts w:ascii="Times New Roman" w:eastAsia="Times New Roman" w:hAnsi="Times New Roman" w:cs="Times New Roman"/>
          <w:lang w:val="sr-Latn-ME"/>
        </w:rPr>
        <w:t>pacijenata slični su parametrima primijećenim kod pacijenata oboljelih od reumatoidnog artritisa.</w:t>
      </w:r>
    </w:p>
    <w:p w14:paraId="40B19DB0" w14:textId="77777777" w:rsidR="004458E2" w:rsidRPr="003A22B9" w:rsidRDefault="004458E2" w:rsidP="00043DF7">
      <w:pPr>
        <w:spacing w:after="0" w:line="240" w:lineRule="auto"/>
        <w:jc w:val="both"/>
        <w:rPr>
          <w:rFonts w:ascii="Times New Roman" w:eastAsia="Times New Roman" w:hAnsi="Times New Roman" w:cs="Times New Roman"/>
          <w:bCs/>
          <w:lang w:val="sr-Latn-ME"/>
        </w:rPr>
      </w:pPr>
    </w:p>
    <w:p w14:paraId="0C90CE7D" w14:textId="100216E0" w:rsidR="0088094E" w:rsidRPr="003A22B9" w:rsidRDefault="0088094E" w:rsidP="0088094E">
      <w:pPr>
        <w:widowControl w:val="0"/>
        <w:spacing w:before="9" w:after="0" w:line="240" w:lineRule="auto"/>
        <w:jc w:val="both"/>
        <w:rPr>
          <w:rFonts w:ascii="Times New Roman" w:eastAsia="Calibri" w:hAnsi="Times New Roman" w:cs="Times New Roman"/>
          <w:lang w:val="it-IT"/>
        </w:rPr>
      </w:pPr>
      <w:r w:rsidRPr="003A22B9">
        <w:rPr>
          <w:rFonts w:ascii="Times New Roman" w:eastAsia="Calibri" w:hAnsi="Times New Roman" w:cs="Times New Roman"/>
          <w:i/>
          <w:lang w:val="it-IT"/>
        </w:rPr>
        <w:t xml:space="preserve">Pedijatrijska populacija </w:t>
      </w:r>
    </w:p>
    <w:p w14:paraId="2A4E390D" w14:textId="134151D8" w:rsidR="0088094E" w:rsidRPr="003A22B9" w:rsidRDefault="0088094E" w:rsidP="0088094E">
      <w:pPr>
        <w:widowControl w:val="0"/>
        <w:spacing w:before="9" w:after="0" w:line="240" w:lineRule="auto"/>
        <w:jc w:val="both"/>
        <w:rPr>
          <w:rFonts w:ascii="Times New Roman" w:eastAsia="Calibri" w:hAnsi="Times New Roman" w:cs="Times New Roman"/>
          <w:lang w:val="it-IT"/>
        </w:rPr>
      </w:pPr>
      <w:r w:rsidRPr="003A22B9">
        <w:rPr>
          <w:rFonts w:ascii="Times New Roman" w:eastAsia="Calibri" w:hAnsi="Times New Roman" w:cs="Times New Roman"/>
          <w:lang w:val="it-IT"/>
        </w:rPr>
        <w:lastRenderedPageBreak/>
        <w:t>Prema populacionoj farmakokinetičkoj analizi koja je obuhvatila 25 d</w:t>
      </w:r>
      <w:r w:rsidR="009E0C7C" w:rsidRPr="003A22B9">
        <w:rPr>
          <w:rFonts w:ascii="Times New Roman" w:eastAsia="Calibri" w:hAnsi="Times New Roman" w:cs="Times New Roman"/>
          <w:lang w:val="it-IT"/>
        </w:rPr>
        <w:t>j</w:t>
      </w:r>
      <w:r w:rsidRPr="003A22B9">
        <w:rPr>
          <w:rFonts w:ascii="Times New Roman" w:eastAsia="Calibri" w:hAnsi="Times New Roman" w:cs="Times New Roman"/>
          <w:lang w:val="it-IT"/>
        </w:rPr>
        <w:t>ece (uzrasta od 6 do 17 godina) sa GPA-om i MPA-om koja su primila četiri doze rituksimaba od 375 mg/m</w:t>
      </w:r>
      <w:r w:rsidRPr="003A22B9">
        <w:rPr>
          <w:rFonts w:ascii="Times New Roman" w:eastAsia="Calibri" w:hAnsi="Times New Roman" w:cs="Times New Roman"/>
          <w:vertAlign w:val="superscript"/>
          <w:lang w:val="it-IT"/>
        </w:rPr>
        <w:t>2</w:t>
      </w:r>
      <w:r w:rsidRPr="003A22B9">
        <w:rPr>
          <w:rFonts w:ascii="Times New Roman" w:eastAsia="Calibri" w:hAnsi="Times New Roman" w:cs="Times New Roman"/>
          <w:lang w:val="it-IT"/>
        </w:rPr>
        <w:t xml:space="preserve"> jedanput ned</w:t>
      </w:r>
      <w:r w:rsidR="009E0C7C" w:rsidRPr="003A22B9">
        <w:rPr>
          <w:rFonts w:ascii="Times New Roman" w:eastAsia="Calibri" w:hAnsi="Times New Roman" w:cs="Times New Roman"/>
          <w:lang w:val="it-IT"/>
        </w:rPr>
        <w:t>j</w:t>
      </w:r>
      <w:r w:rsidRPr="003A22B9">
        <w:rPr>
          <w:rFonts w:ascii="Times New Roman" w:eastAsia="Calibri" w:hAnsi="Times New Roman" w:cs="Times New Roman"/>
          <w:lang w:val="it-IT"/>
        </w:rPr>
        <w:t>eljno, proc</w:t>
      </w:r>
      <w:r w:rsidR="009E0C7C" w:rsidRPr="003A22B9">
        <w:rPr>
          <w:rFonts w:ascii="Times New Roman" w:eastAsia="Calibri" w:hAnsi="Times New Roman" w:cs="Times New Roman"/>
          <w:lang w:val="it-IT"/>
        </w:rPr>
        <w:t>ij</w:t>
      </w:r>
      <w:r w:rsidRPr="003A22B9">
        <w:rPr>
          <w:rFonts w:ascii="Times New Roman" w:eastAsia="Calibri" w:hAnsi="Times New Roman" w:cs="Times New Roman"/>
          <w:lang w:val="it-IT"/>
        </w:rPr>
        <w:t>enjena medijana terminalnog poluvremena eliminacije iznosila je 22 dana (raspon od 11 do 42 dana). Srednja vr</w:t>
      </w:r>
      <w:r w:rsidR="00102608" w:rsidRPr="003A22B9">
        <w:rPr>
          <w:rFonts w:ascii="Times New Roman" w:eastAsia="Calibri" w:hAnsi="Times New Roman" w:cs="Times New Roman"/>
          <w:lang w:val="it-IT"/>
        </w:rPr>
        <w:t>ij</w:t>
      </w:r>
      <w:r w:rsidRPr="003A22B9">
        <w:rPr>
          <w:rFonts w:ascii="Times New Roman" w:eastAsia="Calibri" w:hAnsi="Times New Roman" w:cs="Times New Roman"/>
          <w:lang w:val="it-IT"/>
        </w:rPr>
        <w:t>ednost klirensa rituksimaba iznosila je 0,221 l/dan (raspon od 0,0996 do 0,381 l/dan), a srednja vr</w:t>
      </w:r>
      <w:r w:rsidR="00102608" w:rsidRPr="003A22B9">
        <w:rPr>
          <w:rFonts w:ascii="Times New Roman" w:eastAsia="Calibri" w:hAnsi="Times New Roman" w:cs="Times New Roman"/>
          <w:lang w:val="it-IT"/>
        </w:rPr>
        <w:t>ij</w:t>
      </w:r>
      <w:r w:rsidRPr="003A22B9">
        <w:rPr>
          <w:rFonts w:ascii="Times New Roman" w:eastAsia="Calibri" w:hAnsi="Times New Roman" w:cs="Times New Roman"/>
          <w:lang w:val="it-IT"/>
        </w:rPr>
        <w:t>ednost volumena distribucije 2,27 l (raspon od 1,43 do 3,17 l). Maksimalna koncentracija l</w:t>
      </w:r>
      <w:r w:rsidR="00102608" w:rsidRPr="003A22B9">
        <w:rPr>
          <w:rFonts w:ascii="Times New Roman" w:eastAsia="Calibri" w:hAnsi="Times New Roman" w:cs="Times New Roman"/>
          <w:lang w:val="it-IT"/>
        </w:rPr>
        <w:t>ij</w:t>
      </w:r>
      <w:r w:rsidRPr="003A22B9">
        <w:rPr>
          <w:rFonts w:ascii="Times New Roman" w:eastAsia="Calibri" w:hAnsi="Times New Roman" w:cs="Times New Roman"/>
          <w:lang w:val="it-IT"/>
        </w:rPr>
        <w:t>eka tokom prvih 180 dana (C</w:t>
      </w:r>
      <w:r w:rsidRPr="003A22B9">
        <w:rPr>
          <w:rFonts w:ascii="Times New Roman" w:eastAsia="Calibri" w:hAnsi="Times New Roman" w:cs="Times New Roman"/>
          <w:vertAlign w:val="subscript"/>
          <w:lang w:val="it-IT"/>
        </w:rPr>
        <w:t>max</w:t>
      </w:r>
      <w:r w:rsidRPr="003A22B9">
        <w:rPr>
          <w:rFonts w:ascii="Times New Roman" w:eastAsia="Calibri" w:hAnsi="Times New Roman" w:cs="Times New Roman"/>
          <w:lang w:val="it-IT"/>
        </w:rPr>
        <w:t>) iznosila je (medijana [raspon]) 382,8 (270,6 - 513,6) µg/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minimalna koncentracija 180. dana (C180) bila je 0,9 (0 - 17,7) µg/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 dok je kumulativno područje ispod krive tokom 180 dana (AUC180) iznosilo 9787 (4838 - 20446) µg/</w:t>
      </w:r>
      <w:r w:rsidR="00C72E8F" w:rsidRPr="003A22B9">
        <w:rPr>
          <w:rFonts w:ascii="Times New Roman" w:eastAsia="Calibri" w:hAnsi="Times New Roman" w:cs="Times New Roman"/>
          <w:lang w:val="it-IT"/>
        </w:rPr>
        <w:t>ml</w:t>
      </w:r>
      <w:r w:rsidRPr="003A22B9">
        <w:rPr>
          <w:rFonts w:ascii="Times New Roman" w:eastAsia="Calibri" w:hAnsi="Times New Roman" w:cs="Times New Roman"/>
          <w:lang w:val="it-IT"/>
        </w:rPr>
        <w:t>*dan. Farmakokinetički parametri rituksimaba kod pedijatrijskih pacijenata sa GPA-om ili MPA-om bili su slični onima kod odraslih sa GPA-om ili MPA-om, uzimajući u obzir uticaj t</w:t>
      </w:r>
      <w:r w:rsidR="00A22B0E" w:rsidRPr="003A22B9">
        <w:rPr>
          <w:rFonts w:ascii="Times New Roman" w:eastAsia="Calibri" w:hAnsi="Times New Roman" w:cs="Times New Roman"/>
          <w:lang w:val="it-IT"/>
        </w:rPr>
        <w:t>j</w:t>
      </w:r>
      <w:r w:rsidRPr="003A22B9">
        <w:rPr>
          <w:rFonts w:ascii="Times New Roman" w:eastAsia="Calibri" w:hAnsi="Times New Roman" w:cs="Times New Roman"/>
          <w:lang w:val="it-IT"/>
        </w:rPr>
        <w:t xml:space="preserve">elesne površine na klirens i volumen distribucije. </w:t>
      </w:r>
    </w:p>
    <w:p w14:paraId="15EF5E93" w14:textId="77777777" w:rsidR="0088094E" w:rsidRPr="003A22B9" w:rsidRDefault="0088094E" w:rsidP="0088094E">
      <w:pPr>
        <w:widowControl w:val="0"/>
        <w:spacing w:before="9" w:after="0" w:line="240" w:lineRule="auto"/>
        <w:rPr>
          <w:rFonts w:ascii="Times New Roman" w:eastAsia="Calibri" w:hAnsi="Times New Roman" w:cs="Times New Roman"/>
          <w:lang w:val="it-IT"/>
        </w:rPr>
      </w:pPr>
    </w:p>
    <w:p w14:paraId="1B0BDF62" w14:textId="77777777" w:rsidR="0088094E" w:rsidRPr="003A22B9" w:rsidRDefault="0088094E" w:rsidP="0088094E">
      <w:pPr>
        <w:widowControl w:val="0"/>
        <w:spacing w:before="9" w:after="0" w:line="240" w:lineRule="auto"/>
        <w:rPr>
          <w:rFonts w:ascii="Times New Roman" w:eastAsia="Calibri" w:hAnsi="Times New Roman" w:cs="Times New Roman"/>
          <w:u w:val="single"/>
          <w:lang w:val="it-IT"/>
        </w:rPr>
      </w:pPr>
      <w:r w:rsidRPr="003A22B9">
        <w:rPr>
          <w:rFonts w:ascii="Times New Roman" w:eastAsia="Calibri" w:hAnsi="Times New Roman" w:cs="Times New Roman"/>
          <w:u w:val="single"/>
          <w:lang w:val="it-IT"/>
        </w:rPr>
        <w:t>Obični pemfigus</w:t>
      </w:r>
    </w:p>
    <w:p w14:paraId="31856BFF" w14:textId="77777777" w:rsidR="0088094E" w:rsidRPr="003A22B9" w:rsidRDefault="0088094E" w:rsidP="0088094E">
      <w:pPr>
        <w:widowControl w:val="0"/>
        <w:spacing w:before="9" w:after="0" w:line="240" w:lineRule="auto"/>
        <w:rPr>
          <w:rFonts w:ascii="Times New Roman" w:eastAsia="Calibri" w:hAnsi="Times New Roman" w:cs="Times New Roman"/>
          <w:lang w:val="it-IT"/>
        </w:rPr>
      </w:pPr>
    </w:p>
    <w:p w14:paraId="668CF4B8" w14:textId="77777777" w:rsidR="0088094E" w:rsidRPr="003A22B9" w:rsidRDefault="0088094E" w:rsidP="0088094E">
      <w:pPr>
        <w:widowControl w:val="0"/>
        <w:spacing w:before="9" w:after="0" w:line="240" w:lineRule="auto"/>
        <w:rPr>
          <w:rFonts w:ascii="Times New Roman" w:eastAsia="Times New Roman" w:hAnsi="Times New Roman" w:cs="Times New Roman"/>
          <w:lang w:val="it-IT"/>
        </w:rPr>
      </w:pPr>
      <w:r w:rsidRPr="003A22B9">
        <w:rPr>
          <w:rFonts w:ascii="Times New Roman" w:eastAsia="Calibri" w:hAnsi="Times New Roman" w:cs="Times New Roman"/>
          <w:lang w:val="it-IT"/>
        </w:rPr>
        <w:t>Farmakokinetički parametri kod odraslih pacijenata sa PV-om koji su primili rituksimab u dozi od 1000 mg 1, 15, 168. i 182. dana sažeto su prikazani u Tabeli 25.</w:t>
      </w:r>
    </w:p>
    <w:p w14:paraId="489523F0" w14:textId="77777777" w:rsidR="0088094E" w:rsidRPr="003A22B9" w:rsidRDefault="0088094E" w:rsidP="0088094E">
      <w:pPr>
        <w:widowControl w:val="0"/>
        <w:spacing w:before="9" w:after="0" w:line="240" w:lineRule="auto"/>
        <w:rPr>
          <w:rFonts w:ascii="Times New Roman" w:eastAsia="Times New Roman" w:hAnsi="Times New Roman" w:cs="Times New Roman"/>
          <w:lang w:val="it-IT"/>
        </w:rPr>
      </w:pPr>
    </w:p>
    <w:p w14:paraId="1C909A03" w14:textId="77777777" w:rsidR="0088094E" w:rsidRPr="003A22B9" w:rsidRDefault="0088094E" w:rsidP="0088094E">
      <w:pPr>
        <w:widowControl w:val="0"/>
        <w:spacing w:before="9" w:after="0" w:line="240" w:lineRule="auto"/>
        <w:ind w:left="1440" w:hanging="1440"/>
        <w:rPr>
          <w:rFonts w:ascii="Times New Roman" w:eastAsia="Times New Roman" w:hAnsi="Times New Roman" w:cs="Times New Roman"/>
          <w:b/>
          <w:lang w:val="it-IT"/>
        </w:rPr>
      </w:pPr>
      <w:r w:rsidRPr="003A22B9">
        <w:rPr>
          <w:rFonts w:ascii="Times New Roman" w:eastAsia="Calibri" w:hAnsi="Times New Roman" w:cs="Times New Roman"/>
          <w:b/>
          <w:lang w:val="it-IT"/>
        </w:rPr>
        <w:t>Tabela 25</w:t>
      </w:r>
      <w:r w:rsidRPr="003A22B9">
        <w:rPr>
          <w:rFonts w:ascii="Times New Roman" w:eastAsia="Calibri" w:hAnsi="Times New Roman" w:cs="Times New Roman"/>
          <w:b/>
          <w:lang w:val="it-IT"/>
        </w:rPr>
        <w:tab/>
        <w:t>Farmakokinetički parametri u populaciji odraslih pacijenata sa PV-om iz PV Studije 2</w:t>
      </w:r>
    </w:p>
    <w:p w14:paraId="7271272D" w14:textId="77777777" w:rsidR="0088094E" w:rsidRPr="003A22B9" w:rsidRDefault="0088094E" w:rsidP="0088094E">
      <w:pPr>
        <w:widowControl w:val="0"/>
        <w:spacing w:before="9" w:after="0" w:line="240" w:lineRule="auto"/>
        <w:rPr>
          <w:rFonts w:ascii="Times New Roman" w:eastAsia="Times New Roman" w:hAnsi="Times New Roman" w:cs="Times New Roman"/>
          <w:lang w:val="it-IT"/>
        </w:rPr>
      </w:pPr>
    </w:p>
    <w:tbl>
      <w:tblPr>
        <w:tblStyle w:val="TableGrid6"/>
        <w:tblW w:w="0" w:type="auto"/>
        <w:tblLook w:val="04A0" w:firstRow="1" w:lastRow="0" w:firstColumn="1" w:lastColumn="0" w:noHBand="0" w:noVBand="1"/>
      </w:tblPr>
      <w:tblGrid>
        <w:gridCol w:w="2814"/>
        <w:gridCol w:w="3123"/>
        <w:gridCol w:w="3124"/>
      </w:tblGrid>
      <w:tr w:rsidR="00E57CC6" w:rsidRPr="003A22B9" w14:paraId="7C3AF5EA" w14:textId="77777777" w:rsidTr="00043DF7">
        <w:tc>
          <w:tcPr>
            <w:tcW w:w="3085" w:type="dxa"/>
          </w:tcPr>
          <w:p w14:paraId="79F8CB20" w14:textId="77777777" w:rsidR="0088094E" w:rsidRPr="003A22B9" w:rsidRDefault="0088094E" w:rsidP="00977A0E">
            <w:pPr>
              <w:spacing w:before="9"/>
              <w:jc w:val="center"/>
              <w:rPr>
                <w:rFonts w:ascii="Times New Roman" w:eastAsia="Times New Roman" w:hAnsi="Times New Roman" w:cs="Times New Roman"/>
                <w:b/>
                <w:lang w:val="it-IT"/>
              </w:rPr>
            </w:pPr>
            <w:r w:rsidRPr="003A22B9">
              <w:rPr>
                <w:rFonts w:ascii="Times New Roman" w:eastAsia="Calibri" w:hAnsi="Times New Roman" w:cs="Times New Roman"/>
                <w:b/>
              </w:rPr>
              <w:t>Parametar</w:t>
            </w:r>
          </w:p>
        </w:tc>
        <w:tc>
          <w:tcPr>
            <w:tcW w:w="7001" w:type="dxa"/>
            <w:gridSpan w:val="2"/>
          </w:tcPr>
          <w:p w14:paraId="58958C79" w14:textId="77777777" w:rsidR="0088094E" w:rsidRPr="003A22B9" w:rsidRDefault="0088094E" w:rsidP="001C3C2B">
            <w:pPr>
              <w:spacing w:before="9"/>
              <w:jc w:val="center"/>
              <w:rPr>
                <w:rFonts w:ascii="Times New Roman" w:eastAsia="Times New Roman" w:hAnsi="Times New Roman" w:cs="Times New Roman"/>
                <w:b/>
                <w:lang w:val="it-IT"/>
              </w:rPr>
            </w:pPr>
            <w:r w:rsidRPr="003A22B9">
              <w:rPr>
                <w:rFonts w:ascii="Times New Roman" w:eastAsia="Calibri" w:hAnsi="Times New Roman" w:cs="Times New Roman"/>
                <w:b/>
              </w:rPr>
              <w:t>Infuzioni ciklus</w:t>
            </w:r>
          </w:p>
        </w:tc>
      </w:tr>
      <w:tr w:rsidR="00E57CC6" w:rsidRPr="003A22B9" w14:paraId="2DD5E704" w14:textId="77777777" w:rsidTr="00043DF7">
        <w:tc>
          <w:tcPr>
            <w:tcW w:w="3085" w:type="dxa"/>
          </w:tcPr>
          <w:p w14:paraId="7CF90ACA" w14:textId="77777777" w:rsidR="0088094E" w:rsidRPr="003A22B9" w:rsidRDefault="0088094E" w:rsidP="0088094E">
            <w:pPr>
              <w:spacing w:before="9"/>
              <w:rPr>
                <w:rFonts w:ascii="Times New Roman" w:eastAsia="Times New Roman" w:hAnsi="Times New Roman" w:cs="Times New Roman"/>
                <w:lang w:val="it-IT"/>
              </w:rPr>
            </w:pPr>
          </w:p>
        </w:tc>
        <w:tc>
          <w:tcPr>
            <w:tcW w:w="3500" w:type="dxa"/>
          </w:tcPr>
          <w:p w14:paraId="791FE017" w14:textId="7A9B9515"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1. ciklus primjene doze od 1000 mg</w:t>
            </w:r>
          </w:p>
          <w:p w14:paraId="43DB0257" w14:textId="06179CEA" w:rsidR="004458E2"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 xml:space="preserve">1. dan i 15. </w:t>
            </w:r>
            <w:r w:rsidR="004458E2" w:rsidRPr="003A22B9">
              <w:rPr>
                <w:rFonts w:ascii="Times New Roman" w:eastAsia="Calibri" w:hAnsi="Times New Roman" w:cs="Times New Roman"/>
              </w:rPr>
              <w:t>D</w:t>
            </w:r>
            <w:r w:rsidRPr="003A22B9">
              <w:rPr>
                <w:rFonts w:ascii="Times New Roman" w:eastAsia="Calibri" w:hAnsi="Times New Roman" w:cs="Times New Roman"/>
              </w:rPr>
              <w:t>an</w:t>
            </w:r>
          </w:p>
          <w:p w14:paraId="56E4C42C" w14:textId="3DB3409D"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N=67</w:t>
            </w:r>
          </w:p>
        </w:tc>
        <w:tc>
          <w:tcPr>
            <w:tcW w:w="3501" w:type="dxa"/>
          </w:tcPr>
          <w:p w14:paraId="709DB8CC" w14:textId="20C295C9" w:rsidR="004458E2"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2. ciklus primjene doze od 1000 mg 168. dan i 182. dan</w:t>
            </w:r>
          </w:p>
          <w:p w14:paraId="2146A287" w14:textId="76D1FB2C"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N=67</w:t>
            </w:r>
          </w:p>
        </w:tc>
      </w:tr>
      <w:tr w:rsidR="00E57CC6" w:rsidRPr="003A22B9" w14:paraId="6E2A0866" w14:textId="77777777" w:rsidTr="00043DF7">
        <w:tc>
          <w:tcPr>
            <w:tcW w:w="3085" w:type="dxa"/>
          </w:tcPr>
          <w:p w14:paraId="72BF6F67" w14:textId="088CF2E9" w:rsidR="00960656" w:rsidRPr="003A22B9" w:rsidRDefault="0088094E" w:rsidP="001C3C2B">
            <w:pPr>
              <w:spacing w:before="9"/>
              <w:jc w:val="center"/>
              <w:rPr>
                <w:rFonts w:ascii="Times New Roman" w:eastAsia="Calibri" w:hAnsi="Times New Roman" w:cs="Times New Roman"/>
                <w:lang w:val="it-IT"/>
              </w:rPr>
            </w:pPr>
            <w:r w:rsidRPr="003A22B9">
              <w:rPr>
                <w:rFonts w:ascii="Times New Roman" w:eastAsia="Calibri" w:hAnsi="Times New Roman" w:cs="Times New Roman"/>
                <w:lang w:val="it-IT"/>
              </w:rPr>
              <w:t>Terminaln</w:t>
            </w:r>
            <w:r w:rsidR="00E57CC6" w:rsidRPr="003A22B9">
              <w:rPr>
                <w:rFonts w:ascii="Times New Roman" w:eastAsia="Calibri" w:hAnsi="Times New Roman" w:cs="Times New Roman"/>
                <w:lang w:val="it-IT"/>
              </w:rPr>
              <w:t xml:space="preserve">o poluvrijeme eliminacije </w:t>
            </w:r>
            <w:r w:rsidRPr="003A22B9">
              <w:rPr>
                <w:rFonts w:ascii="Times New Roman" w:eastAsia="Calibri" w:hAnsi="Times New Roman" w:cs="Times New Roman"/>
                <w:lang w:val="it-IT"/>
              </w:rPr>
              <w:t>(dani)</w:t>
            </w:r>
          </w:p>
          <w:p w14:paraId="1F52937A" w14:textId="77777777" w:rsidR="00960656" w:rsidRPr="003A22B9" w:rsidRDefault="0088094E" w:rsidP="001C3C2B">
            <w:pPr>
              <w:spacing w:before="9"/>
              <w:jc w:val="center"/>
              <w:rPr>
                <w:rFonts w:ascii="Times New Roman" w:eastAsia="Calibri" w:hAnsi="Times New Roman" w:cs="Times New Roman"/>
                <w:lang w:val="it-IT"/>
              </w:rPr>
            </w:pPr>
            <w:r w:rsidRPr="003A22B9">
              <w:rPr>
                <w:rFonts w:ascii="Times New Roman" w:eastAsia="Calibri" w:hAnsi="Times New Roman" w:cs="Times New Roman"/>
                <w:lang w:val="it-IT"/>
              </w:rPr>
              <w:t>Medijana</w:t>
            </w:r>
          </w:p>
          <w:p w14:paraId="020C535B" w14:textId="4BED890F" w:rsidR="0088094E" w:rsidRPr="003A22B9" w:rsidRDefault="0088094E" w:rsidP="001C3C2B">
            <w:pPr>
              <w:spacing w:before="9"/>
              <w:jc w:val="center"/>
              <w:rPr>
                <w:rFonts w:ascii="Times New Roman" w:eastAsia="Times New Roman" w:hAnsi="Times New Roman" w:cs="Times New Roman"/>
                <w:lang w:val="it-IT"/>
              </w:rPr>
            </w:pPr>
            <w:r w:rsidRPr="003A22B9">
              <w:rPr>
                <w:rFonts w:ascii="Times New Roman" w:eastAsia="Calibri" w:hAnsi="Times New Roman" w:cs="Times New Roman"/>
                <w:lang w:val="it-IT"/>
              </w:rPr>
              <w:t>(Raspon)</w:t>
            </w:r>
          </w:p>
        </w:tc>
        <w:tc>
          <w:tcPr>
            <w:tcW w:w="3500" w:type="dxa"/>
          </w:tcPr>
          <w:p w14:paraId="10EFBD59" w14:textId="77777777" w:rsidR="00960656" w:rsidRPr="003A22B9" w:rsidRDefault="00960656" w:rsidP="001C3C2B">
            <w:pPr>
              <w:spacing w:before="9"/>
              <w:jc w:val="center"/>
              <w:rPr>
                <w:rFonts w:ascii="Times New Roman" w:eastAsia="Calibri" w:hAnsi="Times New Roman" w:cs="Times New Roman"/>
              </w:rPr>
            </w:pPr>
          </w:p>
          <w:p w14:paraId="36B26C43" w14:textId="77777777" w:rsidR="00960656" w:rsidRPr="003A22B9" w:rsidRDefault="00960656" w:rsidP="001C3C2B">
            <w:pPr>
              <w:spacing w:before="9"/>
              <w:jc w:val="center"/>
              <w:rPr>
                <w:rFonts w:ascii="Times New Roman" w:eastAsia="Calibri" w:hAnsi="Times New Roman" w:cs="Times New Roman"/>
              </w:rPr>
            </w:pPr>
          </w:p>
          <w:p w14:paraId="2DE687CD" w14:textId="37E139A6"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21,0</w:t>
            </w:r>
          </w:p>
          <w:p w14:paraId="7FF490B9" w14:textId="77777777"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(9,3 – 36,2)</w:t>
            </w:r>
          </w:p>
        </w:tc>
        <w:tc>
          <w:tcPr>
            <w:tcW w:w="3501" w:type="dxa"/>
          </w:tcPr>
          <w:p w14:paraId="13F5F9D2" w14:textId="77777777" w:rsidR="00960656" w:rsidRPr="003A22B9" w:rsidRDefault="00960656" w:rsidP="001C3C2B">
            <w:pPr>
              <w:spacing w:before="9"/>
              <w:jc w:val="center"/>
              <w:rPr>
                <w:rFonts w:ascii="Times New Roman" w:eastAsia="Calibri" w:hAnsi="Times New Roman" w:cs="Times New Roman"/>
              </w:rPr>
            </w:pPr>
          </w:p>
          <w:p w14:paraId="1CC2CEF5" w14:textId="77777777" w:rsidR="00960656" w:rsidRPr="003A22B9" w:rsidRDefault="00960656" w:rsidP="001C3C2B">
            <w:pPr>
              <w:spacing w:before="9"/>
              <w:jc w:val="center"/>
              <w:rPr>
                <w:rFonts w:ascii="Times New Roman" w:eastAsia="Calibri" w:hAnsi="Times New Roman" w:cs="Times New Roman"/>
              </w:rPr>
            </w:pPr>
          </w:p>
          <w:p w14:paraId="64610476" w14:textId="31BF8E4C"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26,5</w:t>
            </w:r>
          </w:p>
          <w:p w14:paraId="78F51B6C" w14:textId="77777777"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(16,4 – 42,8)</w:t>
            </w:r>
          </w:p>
        </w:tc>
      </w:tr>
      <w:tr w:rsidR="00E57CC6" w:rsidRPr="003A22B9" w14:paraId="36B8202A" w14:textId="77777777" w:rsidTr="00043DF7">
        <w:tc>
          <w:tcPr>
            <w:tcW w:w="3085" w:type="dxa"/>
          </w:tcPr>
          <w:p w14:paraId="5D912F28" w14:textId="6C512D1A" w:rsidR="0088094E" w:rsidRPr="003A22B9" w:rsidRDefault="0088094E" w:rsidP="001C3C2B">
            <w:pPr>
              <w:spacing w:before="9"/>
              <w:jc w:val="center"/>
              <w:rPr>
                <w:rFonts w:ascii="Times New Roman" w:eastAsia="Calibri" w:hAnsi="Times New Roman" w:cs="Times New Roman"/>
                <w:lang w:val="de-DE"/>
              </w:rPr>
            </w:pPr>
            <w:r w:rsidRPr="003A22B9">
              <w:rPr>
                <w:rFonts w:ascii="Times New Roman" w:eastAsia="Calibri" w:hAnsi="Times New Roman" w:cs="Times New Roman"/>
                <w:lang w:val="de-DE"/>
              </w:rPr>
              <w:t>Klirens (l/dan)</w:t>
            </w:r>
          </w:p>
          <w:p w14:paraId="5D0C3830" w14:textId="013C289F" w:rsidR="004336EA" w:rsidRPr="003A22B9" w:rsidRDefault="0088094E" w:rsidP="001C3C2B">
            <w:pPr>
              <w:spacing w:before="9"/>
              <w:jc w:val="center"/>
              <w:rPr>
                <w:rFonts w:ascii="Times New Roman" w:eastAsia="Calibri" w:hAnsi="Times New Roman" w:cs="Times New Roman"/>
                <w:lang w:val="de-DE"/>
              </w:rPr>
            </w:pPr>
            <w:r w:rsidRPr="003A22B9">
              <w:rPr>
                <w:rFonts w:ascii="Times New Roman" w:eastAsia="Calibri" w:hAnsi="Times New Roman" w:cs="Times New Roman"/>
                <w:lang w:val="de-DE"/>
              </w:rPr>
              <w:t>Srednja vr</w:t>
            </w:r>
            <w:r w:rsidR="001A6113" w:rsidRPr="003A22B9">
              <w:rPr>
                <w:rFonts w:ascii="Times New Roman" w:eastAsia="Calibri" w:hAnsi="Times New Roman" w:cs="Times New Roman"/>
                <w:lang w:val="de-DE"/>
              </w:rPr>
              <w:t>ij</w:t>
            </w:r>
            <w:r w:rsidRPr="003A22B9">
              <w:rPr>
                <w:rFonts w:ascii="Times New Roman" w:eastAsia="Calibri" w:hAnsi="Times New Roman" w:cs="Times New Roman"/>
                <w:lang w:val="de-DE"/>
              </w:rPr>
              <w:t>ednost</w:t>
            </w:r>
          </w:p>
          <w:p w14:paraId="25CB0659" w14:textId="5AC1EF75" w:rsidR="0088094E" w:rsidRPr="003A22B9" w:rsidRDefault="0088094E" w:rsidP="001C3C2B">
            <w:pPr>
              <w:spacing w:before="9"/>
              <w:jc w:val="center"/>
              <w:rPr>
                <w:rFonts w:ascii="Times New Roman" w:eastAsia="Times New Roman" w:hAnsi="Times New Roman" w:cs="Times New Roman"/>
                <w:lang w:val="de-DE"/>
              </w:rPr>
            </w:pPr>
            <w:r w:rsidRPr="003A22B9">
              <w:rPr>
                <w:rFonts w:ascii="Times New Roman" w:eastAsia="Calibri" w:hAnsi="Times New Roman" w:cs="Times New Roman"/>
                <w:lang w:val="de-DE"/>
              </w:rPr>
              <w:t>(Raspon)</w:t>
            </w:r>
          </w:p>
        </w:tc>
        <w:tc>
          <w:tcPr>
            <w:tcW w:w="3500" w:type="dxa"/>
          </w:tcPr>
          <w:p w14:paraId="6B134B42" w14:textId="77777777" w:rsidR="004336EA" w:rsidRPr="003A22B9" w:rsidRDefault="004336EA" w:rsidP="001C3C2B">
            <w:pPr>
              <w:spacing w:before="9"/>
              <w:jc w:val="center"/>
              <w:rPr>
                <w:rFonts w:ascii="Times New Roman" w:eastAsia="Calibri" w:hAnsi="Times New Roman" w:cs="Times New Roman"/>
              </w:rPr>
            </w:pPr>
          </w:p>
          <w:p w14:paraId="78BF3EA0" w14:textId="7A8C151F"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391</w:t>
            </w:r>
          </w:p>
          <w:p w14:paraId="5BD2661A" w14:textId="77777777"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(159 – 1510)</w:t>
            </w:r>
          </w:p>
        </w:tc>
        <w:tc>
          <w:tcPr>
            <w:tcW w:w="3501" w:type="dxa"/>
          </w:tcPr>
          <w:p w14:paraId="1C2A0B92" w14:textId="77777777" w:rsidR="004336EA" w:rsidRPr="003A22B9" w:rsidRDefault="004336EA" w:rsidP="001C3C2B">
            <w:pPr>
              <w:spacing w:before="9"/>
              <w:jc w:val="center"/>
              <w:rPr>
                <w:rFonts w:ascii="Times New Roman" w:eastAsia="Calibri" w:hAnsi="Times New Roman" w:cs="Times New Roman"/>
              </w:rPr>
            </w:pPr>
          </w:p>
          <w:p w14:paraId="31A3D587" w14:textId="44882670"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247</w:t>
            </w:r>
          </w:p>
          <w:p w14:paraId="75436CF6" w14:textId="77777777"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(128 – 454)</w:t>
            </w:r>
          </w:p>
        </w:tc>
      </w:tr>
      <w:tr w:rsidR="00E57CC6" w:rsidRPr="003A22B9" w14:paraId="1A6685C6" w14:textId="77777777" w:rsidTr="00043DF7">
        <w:tc>
          <w:tcPr>
            <w:tcW w:w="3085" w:type="dxa"/>
          </w:tcPr>
          <w:p w14:paraId="50B6BC68" w14:textId="7BEF1E12"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Volumen distribucije u srednjem od</w:t>
            </w:r>
            <w:r w:rsidR="001A6113" w:rsidRPr="003A22B9">
              <w:rPr>
                <w:rFonts w:ascii="Times New Roman" w:eastAsia="Calibri" w:hAnsi="Times New Roman" w:cs="Times New Roman"/>
              </w:rPr>
              <w:t>j</w:t>
            </w:r>
            <w:r w:rsidRPr="003A22B9">
              <w:rPr>
                <w:rFonts w:ascii="Times New Roman" w:eastAsia="Calibri" w:hAnsi="Times New Roman" w:cs="Times New Roman"/>
              </w:rPr>
              <w:t>eljku (l)</w:t>
            </w:r>
          </w:p>
          <w:p w14:paraId="72FA0CFA" w14:textId="1F618F3B" w:rsidR="004336EA"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Srednja vr</w:t>
            </w:r>
            <w:r w:rsidR="001A6113" w:rsidRPr="003A22B9">
              <w:rPr>
                <w:rFonts w:ascii="Times New Roman" w:eastAsia="Calibri" w:hAnsi="Times New Roman" w:cs="Times New Roman"/>
              </w:rPr>
              <w:t>ij</w:t>
            </w:r>
            <w:r w:rsidRPr="003A22B9">
              <w:rPr>
                <w:rFonts w:ascii="Times New Roman" w:eastAsia="Calibri" w:hAnsi="Times New Roman" w:cs="Times New Roman"/>
              </w:rPr>
              <w:t>ednost</w:t>
            </w:r>
          </w:p>
          <w:p w14:paraId="0D66B0C2" w14:textId="531BF7B0"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(Raspon)</w:t>
            </w:r>
          </w:p>
        </w:tc>
        <w:tc>
          <w:tcPr>
            <w:tcW w:w="3500" w:type="dxa"/>
          </w:tcPr>
          <w:p w14:paraId="37B8BB2E" w14:textId="77777777" w:rsidR="004336EA" w:rsidRPr="003A22B9" w:rsidRDefault="004336EA" w:rsidP="001C3C2B">
            <w:pPr>
              <w:spacing w:before="9"/>
              <w:jc w:val="center"/>
              <w:rPr>
                <w:rFonts w:ascii="Times New Roman" w:eastAsia="Calibri" w:hAnsi="Times New Roman" w:cs="Times New Roman"/>
              </w:rPr>
            </w:pPr>
          </w:p>
          <w:p w14:paraId="26798D8D" w14:textId="77777777" w:rsidR="004336EA" w:rsidRPr="003A22B9" w:rsidRDefault="004336EA" w:rsidP="001C3C2B">
            <w:pPr>
              <w:spacing w:before="9"/>
              <w:jc w:val="center"/>
              <w:rPr>
                <w:rFonts w:ascii="Times New Roman" w:eastAsia="Calibri" w:hAnsi="Times New Roman" w:cs="Times New Roman"/>
              </w:rPr>
            </w:pPr>
          </w:p>
          <w:p w14:paraId="3797C730" w14:textId="36376F07"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3,52</w:t>
            </w:r>
          </w:p>
          <w:p w14:paraId="54C14591" w14:textId="77777777"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(2,48 – 5,22)</w:t>
            </w:r>
          </w:p>
        </w:tc>
        <w:tc>
          <w:tcPr>
            <w:tcW w:w="3501" w:type="dxa"/>
          </w:tcPr>
          <w:p w14:paraId="48008C93" w14:textId="77777777" w:rsidR="004336EA" w:rsidRPr="003A22B9" w:rsidRDefault="004336EA" w:rsidP="001C3C2B">
            <w:pPr>
              <w:spacing w:before="9"/>
              <w:jc w:val="center"/>
              <w:rPr>
                <w:rFonts w:ascii="Times New Roman" w:eastAsia="Calibri" w:hAnsi="Times New Roman" w:cs="Times New Roman"/>
              </w:rPr>
            </w:pPr>
          </w:p>
          <w:p w14:paraId="63486F2C" w14:textId="77777777" w:rsidR="004336EA" w:rsidRPr="003A22B9" w:rsidRDefault="004336EA" w:rsidP="001C3C2B">
            <w:pPr>
              <w:spacing w:before="9"/>
              <w:jc w:val="center"/>
              <w:rPr>
                <w:rFonts w:ascii="Times New Roman" w:eastAsia="Calibri" w:hAnsi="Times New Roman" w:cs="Times New Roman"/>
              </w:rPr>
            </w:pPr>
          </w:p>
          <w:p w14:paraId="1596B04F" w14:textId="07AB3F4E" w:rsidR="0088094E" w:rsidRPr="003A22B9" w:rsidRDefault="0088094E" w:rsidP="001C3C2B">
            <w:pPr>
              <w:spacing w:before="9"/>
              <w:jc w:val="center"/>
              <w:rPr>
                <w:rFonts w:ascii="Times New Roman" w:eastAsia="Calibri" w:hAnsi="Times New Roman" w:cs="Times New Roman"/>
              </w:rPr>
            </w:pPr>
            <w:r w:rsidRPr="003A22B9">
              <w:rPr>
                <w:rFonts w:ascii="Times New Roman" w:eastAsia="Calibri" w:hAnsi="Times New Roman" w:cs="Times New Roman"/>
              </w:rPr>
              <w:t>3,52</w:t>
            </w:r>
          </w:p>
          <w:p w14:paraId="50F67800" w14:textId="77777777" w:rsidR="0088094E" w:rsidRPr="003A22B9" w:rsidRDefault="0088094E" w:rsidP="001C3C2B">
            <w:pPr>
              <w:spacing w:before="9"/>
              <w:jc w:val="center"/>
              <w:rPr>
                <w:rFonts w:ascii="Times New Roman" w:eastAsia="Times New Roman" w:hAnsi="Times New Roman" w:cs="Times New Roman"/>
              </w:rPr>
            </w:pPr>
            <w:r w:rsidRPr="003A22B9">
              <w:rPr>
                <w:rFonts w:ascii="Times New Roman" w:eastAsia="Calibri" w:hAnsi="Times New Roman" w:cs="Times New Roman"/>
              </w:rPr>
              <w:t>(2,48 – 5,22)</w:t>
            </w:r>
          </w:p>
        </w:tc>
      </w:tr>
    </w:tbl>
    <w:p w14:paraId="6A26B460" w14:textId="77777777" w:rsidR="0088094E" w:rsidRPr="003A22B9" w:rsidRDefault="0088094E" w:rsidP="0088094E">
      <w:pPr>
        <w:widowControl w:val="0"/>
        <w:spacing w:before="9" w:after="0" w:line="240" w:lineRule="auto"/>
        <w:rPr>
          <w:rFonts w:ascii="Times New Roman" w:eastAsia="Times New Roman" w:hAnsi="Times New Roman" w:cs="Times New Roman"/>
        </w:rPr>
      </w:pPr>
    </w:p>
    <w:p w14:paraId="389DC2BC" w14:textId="72AFEA20" w:rsidR="0088094E" w:rsidRPr="003A22B9" w:rsidRDefault="0088094E" w:rsidP="00043DF7">
      <w:pPr>
        <w:widowControl w:val="0"/>
        <w:spacing w:before="9" w:after="0" w:line="240" w:lineRule="auto"/>
        <w:jc w:val="both"/>
        <w:rPr>
          <w:rFonts w:ascii="Times New Roman" w:eastAsia="Times New Roman" w:hAnsi="Times New Roman" w:cs="Times New Roman"/>
        </w:rPr>
      </w:pPr>
      <w:r w:rsidRPr="003A22B9">
        <w:rPr>
          <w:rFonts w:ascii="Times New Roman" w:eastAsia="Calibri" w:hAnsi="Times New Roman" w:cs="Times New Roman"/>
        </w:rPr>
        <w:t>Nakon prve dv</w:t>
      </w:r>
      <w:r w:rsidR="009B4066" w:rsidRPr="003A22B9">
        <w:rPr>
          <w:rFonts w:ascii="Times New Roman" w:eastAsia="Calibri" w:hAnsi="Times New Roman" w:cs="Times New Roman"/>
        </w:rPr>
        <w:t>ij</w:t>
      </w:r>
      <w:r w:rsidRPr="003A22B9">
        <w:rPr>
          <w:rFonts w:ascii="Times New Roman" w:eastAsia="Calibri" w:hAnsi="Times New Roman" w:cs="Times New Roman"/>
        </w:rPr>
        <w:t>e prim</w:t>
      </w:r>
      <w:r w:rsidR="009B4066" w:rsidRPr="003A22B9">
        <w:rPr>
          <w:rFonts w:ascii="Times New Roman" w:eastAsia="Calibri" w:hAnsi="Times New Roman" w:cs="Times New Roman"/>
        </w:rPr>
        <w:t>j</w:t>
      </w:r>
      <w:r w:rsidRPr="003A22B9">
        <w:rPr>
          <w:rFonts w:ascii="Times New Roman" w:eastAsia="Calibri" w:hAnsi="Times New Roman" w:cs="Times New Roman"/>
        </w:rPr>
        <w:t>ene rituksimaba (1. i 15. dana, što odgovara 1. ciklusu) farmakokinetički parametri rituksimaba kod pacijenata sa PV-om bili su slični onima kod pacijenata sa GPA-om/MPA-om i pacijenata koji su imali RA. Nakon zadnje dv</w:t>
      </w:r>
      <w:r w:rsidR="00980D00" w:rsidRPr="003A22B9">
        <w:rPr>
          <w:rFonts w:ascii="Times New Roman" w:eastAsia="Calibri" w:hAnsi="Times New Roman" w:cs="Times New Roman"/>
        </w:rPr>
        <w:t>ij</w:t>
      </w:r>
      <w:r w:rsidRPr="003A22B9">
        <w:rPr>
          <w:rFonts w:ascii="Times New Roman" w:eastAsia="Calibri" w:hAnsi="Times New Roman" w:cs="Times New Roman"/>
        </w:rPr>
        <w:t>e prim</w:t>
      </w:r>
      <w:r w:rsidR="00980D00" w:rsidRPr="003A22B9">
        <w:rPr>
          <w:rFonts w:ascii="Times New Roman" w:eastAsia="Calibri" w:hAnsi="Times New Roman" w:cs="Times New Roman"/>
        </w:rPr>
        <w:t>j</w:t>
      </w:r>
      <w:r w:rsidRPr="003A22B9">
        <w:rPr>
          <w:rFonts w:ascii="Times New Roman" w:eastAsia="Calibri" w:hAnsi="Times New Roman" w:cs="Times New Roman"/>
        </w:rPr>
        <w:t>ene (168. i 182, dana, što odgovara 2. ciklusu) klirens rituksimaba se smanjio, dok je volumen distribucije u srednjem od</w:t>
      </w:r>
      <w:r w:rsidR="00980D00" w:rsidRPr="003A22B9">
        <w:rPr>
          <w:rFonts w:ascii="Times New Roman" w:eastAsia="Calibri" w:hAnsi="Times New Roman" w:cs="Times New Roman"/>
        </w:rPr>
        <w:t>j</w:t>
      </w:r>
      <w:r w:rsidRPr="003A22B9">
        <w:rPr>
          <w:rFonts w:ascii="Times New Roman" w:eastAsia="Calibri" w:hAnsi="Times New Roman" w:cs="Times New Roman"/>
        </w:rPr>
        <w:t>eljku ostao neprom</w:t>
      </w:r>
      <w:r w:rsidR="00980D00" w:rsidRPr="003A22B9">
        <w:rPr>
          <w:rFonts w:ascii="Times New Roman" w:eastAsia="Calibri" w:hAnsi="Times New Roman" w:cs="Times New Roman"/>
        </w:rPr>
        <w:t>ij</w:t>
      </w:r>
      <w:r w:rsidRPr="003A22B9">
        <w:rPr>
          <w:rFonts w:ascii="Times New Roman" w:eastAsia="Calibri" w:hAnsi="Times New Roman" w:cs="Times New Roman"/>
        </w:rPr>
        <w:t>enjen.</w:t>
      </w:r>
    </w:p>
    <w:p w14:paraId="10242A5A" w14:textId="77777777" w:rsidR="0088094E" w:rsidRPr="003A22B9" w:rsidRDefault="0088094E" w:rsidP="00A75B47">
      <w:pPr>
        <w:tabs>
          <w:tab w:val="left" w:pos="540"/>
          <w:tab w:val="left" w:pos="569"/>
        </w:tabs>
        <w:spacing w:after="0" w:line="240" w:lineRule="auto"/>
        <w:jc w:val="both"/>
        <w:rPr>
          <w:rFonts w:ascii="Times New Roman" w:eastAsia="Times New Roman" w:hAnsi="Times New Roman" w:cs="Times New Roman"/>
          <w:bCs/>
        </w:rPr>
      </w:pPr>
    </w:p>
    <w:p w14:paraId="378CF068"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5.3. </w:t>
      </w:r>
      <w:r w:rsidRPr="003A22B9">
        <w:rPr>
          <w:rFonts w:ascii="Times New Roman" w:eastAsia="Times New Roman" w:hAnsi="Times New Roman" w:cs="Times New Roman"/>
          <w:b/>
          <w:bCs/>
          <w:lang w:val="sr-Latn-ME"/>
        </w:rPr>
        <w:tab/>
        <w:t xml:space="preserve">Pretklinički podaci o bezbjednosti </w:t>
      </w:r>
    </w:p>
    <w:p w14:paraId="34EF9E1F"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6791EB0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Pokazano je da je rituksimab visoko specifičan za CD20 antigen na B-ćelijama. Ispitivanja toksičnosti na cinomoglus majmunima nijesu pokazala druge efekte osim očekivane farmakološke deplecije B-ćelija u perifernoj krvi i limfoidnom tkivu. </w:t>
      </w:r>
    </w:p>
    <w:p w14:paraId="63F1FDE6"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7FDC520" w14:textId="13B211B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Ispitivanja razvojne toksičnosti obavljena su na cinomolgus majmunima u dozama do 100 mg/kg (tretman 20-50. dan gestacije) nijesu otkrila nikakve dokaze o toksičnosti na fetus izazvan</w:t>
      </w:r>
      <w:r w:rsidR="004336EA" w:rsidRPr="003A22B9">
        <w:rPr>
          <w:rFonts w:ascii="Times New Roman" w:eastAsia="Times New Roman" w:hAnsi="Times New Roman" w:cs="Times New Roman"/>
          <w:lang w:val="sr-Latn-ME"/>
        </w:rPr>
        <w:t>e</w:t>
      </w:r>
      <w:r w:rsidRPr="003A22B9">
        <w:rPr>
          <w:rFonts w:ascii="Times New Roman" w:eastAsia="Times New Roman" w:hAnsi="Times New Roman" w:cs="Times New Roman"/>
          <w:lang w:val="sr-Latn-ME"/>
        </w:rPr>
        <w:t xml:space="preserve"> rituksimabom. Međutim, zabiljeležena je dozno zavisna farmakološka deplecija B-ćelija u limfoidnim organima fetusa, koja se nastavila po rođenju i bila praćena smanjenjem nivoa IgG kod novorođenih životinja. Broj B-ćelija se vraćao na normalu vrijednost kod ovih životinja u roku od 6 mjeseci po rođenju i nije ugrožavao reakciju na imunizaciju. </w:t>
      </w:r>
    </w:p>
    <w:p w14:paraId="0D804514" w14:textId="315DE31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lastRenderedPageBreak/>
        <w:t>Nijesu sprovedeni standardni testovi za ispitivanje mutagenosti, jer takvi testovi nijesu relevantni za ovaj molekul. Nijesu sprovedena dugotrajna ispitivanja na životinjama da se utvrdi ka</w:t>
      </w:r>
      <w:r w:rsidR="004336EA" w:rsidRPr="003A22B9">
        <w:rPr>
          <w:rFonts w:ascii="Times New Roman" w:eastAsia="Times New Roman" w:hAnsi="Times New Roman" w:cs="Times New Roman"/>
          <w:lang w:val="sr-Latn-ME"/>
        </w:rPr>
        <w:t>ncer</w:t>
      </w:r>
      <w:r w:rsidRPr="003A22B9">
        <w:rPr>
          <w:rFonts w:ascii="Times New Roman" w:eastAsia="Times New Roman" w:hAnsi="Times New Roman" w:cs="Times New Roman"/>
          <w:lang w:val="sr-Latn-ME"/>
        </w:rPr>
        <w:t>nogeni potencijal rituksimaba.</w:t>
      </w:r>
    </w:p>
    <w:p w14:paraId="0CE6CBB0" w14:textId="77777777" w:rsidR="005562E3" w:rsidRPr="003A22B9" w:rsidRDefault="005562E3" w:rsidP="00A75B47">
      <w:pPr>
        <w:spacing w:after="0" w:line="240" w:lineRule="auto"/>
        <w:jc w:val="both"/>
        <w:rPr>
          <w:rFonts w:ascii="Times New Roman" w:eastAsia="Times New Roman" w:hAnsi="Times New Roman" w:cs="Times New Roman"/>
          <w:lang w:val="sr-Latn-ME"/>
        </w:rPr>
      </w:pPr>
    </w:p>
    <w:p w14:paraId="0D20D3FD"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Nijesu sprovedena specifična istraživanja kojima bi se utvrdilo dejstvo rituksimaba na plodnost. U istraživanjima opšte toksičnosti na cinomolgus majmunima nijesu primijećeni štetni efekti na reproduktivne organe mužjaka ili ženki.</w:t>
      </w:r>
    </w:p>
    <w:p w14:paraId="66D4BBED" w14:textId="77777777" w:rsidR="005562E3" w:rsidRPr="003A22B9" w:rsidRDefault="005562E3"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0A3A6810" w14:textId="77777777" w:rsidR="005562E3" w:rsidRPr="003A22B9" w:rsidRDefault="005562E3"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7DB6F60A"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 </w:t>
      </w:r>
      <w:r w:rsidRPr="003A22B9">
        <w:rPr>
          <w:rFonts w:ascii="Times New Roman" w:eastAsia="Times New Roman" w:hAnsi="Times New Roman" w:cs="Times New Roman"/>
          <w:b/>
          <w:bCs/>
          <w:lang w:val="sr-Latn-ME"/>
        </w:rPr>
        <w:tab/>
        <w:t>FARMACEUTSKI PODACI</w:t>
      </w:r>
    </w:p>
    <w:p w14:paraId="6F09E1B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6925A5C3"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6.1. </w:t>
      </w:r>
      <w:r w:rsidRPr="003A22B9">
        <w:rPr>
          <w:rFonts w:ascii="Times New Roman" w:eastAsia="Times New Roman" w:hAnsi="Times New Roman" w:cs="Times New Roman"/>
          <w:b/>
          <w:bCs/>
          <w:lang w:val="sr-Latn-ME"/>
        </w:rPr>
        <w:tab/>
        <w:t>Lista pomoćnih supstanci (ekscipijenasa)</w:t>
      </w:r>
    </w:p>
    <w:p w14:paraId="64551A28" w14:textId="77777777" w:rsidR="005562E3" w:rsidRPr="003A22B9" w:rsidRDefault="005562E3"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2FD95516" w14:textId="127C5FB4"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Natrijum citrat</w:t>
      </w:r>
      <w:r w:rsidR="000927BF" w:rsidRPr="003A22B9">
        <w:rPr>
          <w:rFonts w:ascii="Times New Roman" w:eastAsia="Times New Roman" w:hAnsi="Times New Roman" w:cs="Times New Roman"/>
          <w:lang w:val="sr-Latn-ME"/>
        </w:rPr>
        <w:t xml:space="preserve"> (E331)</w:t>
      </w:r>
    </w:p>
    <w:p w14:paraId="3FA1FDB1" w14:textId="1515B61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Polisorbat 80 </w:t>
      </w:r>
      <w:r w:rsidR="00906053" w:rsidRPr="003A22B9">
        <w:rPr>
          <w:rFonts w:ascii="Times New Roman" w:eastAsia="Times New Roman" w:hAnsi="Times New Roman" w:cs="Times New Roman"/>
          <w:lang w:val="it-IT"/>
        </w:rPr>
        <w:t>(E433)</w:t>
      </w:r>
    </w:p>
    <w:p w14:paraId="448E3AD4"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Natrijum hlorid </w:t>
      </w:r>
    </w:p>
    <w:p w14:paraId="1F73B474" w14:textId="23F77EA9"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Natrijum hidroksid </w:t>
      </w:r>
      <w:r w:rsidR="0077509F" w:rsidRPr="003A22B9">
        <w:rPr>
          <w:rFonts w:ascii="Times New Roman" w:eastAsia="Times New Roman" w:hAnsi="Times New Roman" w:cs="Times New Roman"/>
          <w:lang w:val="it-IT"/>
        </w:rPr>
        <w:t>(za podešavanje pH) (E524)</w:t>
      </w:r>
    </w:p>
    <w:p w14:paraId="34DE8D06" w14:textId="1063FB85"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Hlorovodonična kiselina </w:t>
      </w:r>
      <w:r w:rsidR="008D6DA3" w:rsidRPr="003A22B9">
        <w:rPr>
          <w:rFonts w:ascii="Times New Roman" w:eastAsia="Times New Roman" w:hAnsi="Times New Roman" w:cs="Times New Roman"/>
          <w:lang w:val="sr-Latn-ME"/>
        </w:rPr>
        <w:t>(za podešavanje pH)</w:t>
      </w:r>
      <w:r w:rsidR="00164C7A" w:rsidRPr="003A22B9">
        <w:rPr>
          <w:rFonts w:ascii="Times New Roman" w:eastAsia="Times New Roman" w:hAnsi="Times New Roman" w:cs="Times New Roman"/>
          <w:lang w:val="sr-Latn-ME"/>
        </w:rPr>
        <w:t xml:space="preserve"> (E507)</w:t>
      </w:r>
    </w:p>
    <w:p w14:paraId="58D4F29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Voda za injekcije</w:t>
      </w:r>
    </w:p>
    <w:p w14:paraId="7C6AD19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28F83034"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6.2. </w:t>
      </w:r>
      <w:r w:rsidRPr="003A22B9">
        <w:rPr>
          <w:rFonts w:ascii="Times New Roman" w:eastAsia="Times New Roman" w:hAnsi="Times New Roman" w:cs="Times New Roman"/>
          <w:b/>
          <w:bCs/>
          <w:lang w:val="sr-Latn-ME"/>
        </w:rPr>
        <w:tab/>
        <w:t>Inkompatibilnosti</w:t>
      </w:r>
    </w:p>
    <w:p w14:paraId="545E0F55" w14:textId="77777777" w:rsidR="005562E3" w:rsidRPr="003A22B9" w:rsidRDefault="005562E3"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377F24EB" w14:textId="2B691F4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Nisu primijećene inkompatibilnosti između lijeka Rixathon i </w:t>
      </w:r>
      <w:r w:rsidR="000927BF" w:rsidRPr="003A22B9">
        <w:rPr>
          <w:rFonts w:ascii="Times New Roman" w:eastAsia="Times New Roman" w:hAnsi="Times New Roman" w:cs="Times New Roman"/>
          <w:lang w:val="sr-Latn-ME"/>
        </w:rPr>
        <w:t xml:space="preserve">kesa od </w:t>
      </w:r>
      <w:r w:rsidRPr="003A22B9">
        <w:rPr>
          <w:rFonts w:ascii="Times New Roman" w:eastAsia="Times New Roman" w:hAnsi="Times New Roman" w:cs="Times New Roman"/>
          <w:lang w:val="sr-Latn-ME"/>
        </w:rPr>
        <w:t>polivinil hlorida ili polietilen</w:t>
      </w:r>
      <w:r w:rsidR="000927BF" w:rsidRPr="003A22B9">
        <w:rPr>
          <w:rFonts w:ascii="Times New Roman" w:eastAsia="Times New Roman" w:hAnsi="Times New Roman" w:cs="Times New Roman"/>
          <w:lang w:val="sr-Latn-ME"/>
        </w:rPr>
        <w:t xml:space="preserve">a </w:t>
      </w:r>
      <w:r w:rsidRPr="003A22B9">
        <w:rPr>
          <w:rFonts w:ascii="Times New Roman" w:eastAsia="Times New Roman" w:hAnsi="Times New Roman" w:cs="Times New Roman"/>
          <w:lang w:val="sr-Latn-ME"/>
        </w:rPr>
        <w:t>ili setova za infuziju.</w:t>
      </w:r>
    </w:p>
    <w:p w14:paraId="23B81A93"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68E02CA7"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6.3. </w:t>
      </w:r>
      <w:r w:rsidRPr="003A22B9">
        <w:rPr>
          <w:rFonts w:ascii="Times New Roman" w:eastAsia="Times New Roman" w:hAnsi="Times New Roman" w:cs="Times New Roman"/>
          <w:b/>
          <w:bCs/>
          <w:lang w:val="sr-Latn-ME"/>
        </w:rPr>
        <w:tab/>
        <w:t>Rok upotrebe</w:t>
      </w:r>
    </w:p>
    <w:p w14:paraId="7B1DE5CB" w14:textId="77777777" w:rsidR="005562E3" w:rsidRPr="003A22B9" w:rsidRDefault="005562E3"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4505A8DD"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Neotvorena bočica</w:t>
      </w:r>
    </w:p>
    <w:p w14:paraId="1B4E575C" w14:textId="77777777" w:rsidR="00E541E0"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3 godine</w:t>
      </w:r>
      <w:r w:rsidR="00E541E0" w:rsidRPr="003A22B9">
        <w:rPr>
          <w:rFonts w:ascii="Times New Roman" w:eastAsia="Times New Roman" w:hAnsi="Times New Roman" w:cs="Times New Roman"/>
          <w:lang w:val="sr-Latn-ME"/>
        </w:rPr>
        <w:t xml:space="preserve"> na temperaturi 2°C – 8°C.</w:t>
      </w:r>
    </w:p>
    <w:p w14:paraId="3E0507AB" w14:textId="77777777" w:rsidR="00E541E0" w:rsidRPr="003A22B9" w:rsidRDefault="00E541E0" w:rsidP="00A75B47">
      <w:pPr>
        <w:spacing w:after="0" w:line="240" w:lineRule="auto"/>
        <w:jc w:val="both"/>
        <w:rPr>
          <w:rFonts w:ascii="Times New Roman" w:eastAsia="Times New Roman" w:hAnsi="Times New Roman" w:cs="Times New Roman"/>
          <w:lang w:val="sr-Latn-ME"/>
        </w:rPr>
      </w:pPr>
    </w:p>
    <w:p w14:paraId="052BF38A" w14:textId="7AE26446" w:rsidR="00A75B47" w:rsidRPr="003A22B9" w:rsidRDefault="00E541E0"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Rixathon se može čuvati na temperaturi do najviše 30°C neprekidno najduže 7 dana, u okviru odobrenog roka trajanja. Novi rok trajanja se mora napisati na kutiji. Nakon što se izvadi iz frižidera, Rixathon se ne smije vratiti u frižider radi čuvanja.</w:t>
      </w:r>
    </w:p>
    <w:p w14:paraId="022AB30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3B22C85E"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Razblažen rastvor</w:t>
      </w:r>
    </w:p>
    <w:p w14:paraId="406D9A2A" w14:textId="77777777" w:rsidR="00A75B47" w:rsidRPr="003A22B9" w:rsidRDefault="00A75B47" w:rsidP="00A75B47">
      <w:pPr>
        <w:numPr>
          <w:ilvl w:val="0"/>
          <w:numId w:val="20"/>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Nakon razblaživanja u rastvoru natrijum hlorida u aseptičnim uslovima:</w:t>
      </w:r>
    </w:p>
    <w:p w14:paraId="7F75D028" w14:textId="77777777" w:rsidR="002A6C1E"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Hemijska i fizička stabilnost lijeka Rixathon razblaženog u 0,9% rastvoru natrijum hlorida je pokazana</w:t>
      </w:r>
      <w:r w:rsidR="002A6C1E" w:rsidRPr="003A22B9">
        <w:rPr>
          <w:rFonts w:ascii="Times New Roman" w:eastAsia="Times New Roman" w:hAnsi="Times New Roman" w:cs="Times New Roman"/>
          <w:lang w:val="sr-Latn-ME"/>
        </w:rPr>
        <w:t>:</w:t>
      </w:r>
    </w:p>
    <w:p w14:paraId="420C62DA" w14:textId="5A2DBE13" w:rsidR="002A6C1E" w:rsidRPr="003A22B9" w:rsidRDefault="00A75B47" w:rsidP="006A3D86">
      <w:pPr>
        <w:pStyle w:val="ListParagraph"/>
        <w:numPr>
          <w:ilvl w:val="0"/>
          <w:numId w:val="19"/>
        </w:numPr>
        <w:jc w:val="both"/>
        <w:rPr>
          <w:rFonts w:ascii="Times New Roman" w:eastAsia="Times New Roman" w:hAnsi="Times New Roman"/>
          <w:lang w:val="sr-Latn-ME"/>
        </w:rPr>
      </w:pPr>
      <w:r w:rsidRPr="003A22B9">
        <w:rPr>
          <w:rFonts w:ascii="Times New Roman" w:eastAsia="Times New Roman" w:hAnsi="Times New Roman"/>
          <w:lang w:val="sr-Latn-ME"/>
        </w:rPr>
        <w:t>tokom 30 dana na temperaturi od 2°C do 8°C i nakon toga još 24 časa na sobnoj temperaturi (≤ 25°C)</w:t>
      </w:r>
      <w:r w:rsidR="002A6C1E" w:rsidRPr="003A22B9">
        <w:rPr>
          <w:rFonts w:ascii="Times New Roman" w:eastAsia="Times New Roman" w:hAnsi="Times New Roman"/>
          <w:lang w:val="sr-Latn-ME"/>
        </w:rPr>
        <w:t xml:space="preserve"> ili</w:t>
      </w:r>
    </w:p>
    <w:p w14:paraId="47C009D6" w14:textId="27E1C76E" w:rsidR="00A75B47" w:rsidRPr="003A22B9" w:rsidRDefault="002A6C1E" w:rsidP="006A3D86">
      <w:pPr>
        <w:pStyle w:val="ListParagraph"/>
        <w:numPr>
          <w:ilvl w:val="0"/>
          <w:numId w:val="19"/>
        </w:numPr>
        <w:jc w:val="both"/>
        <w:rPr>
          <w:rFonts w:ascii="Times New Roman" w:eastAsia="Times New Roman" w:hAnsi="Times New Roman"/>
          <w:lang w:val="sr-Latn-ME"/>
        </w:rPr>
      </w:pPr>
      <w:r w:rsidRPr="003A22B9">
        <w:rPr>
          <w:rFonts w:ascii="Times New Roman" w:eastAsia="Times New Roman" w:hAnsi="Times New Roman"/>
          <w:lang w:val="sr-Latn-ME"/>
        </w:rPr>
        <w:t>7 dana na temperaturi ≤ 30°C, zaštićeno od svjetlosti.</w:t>
      </w:r>
    </w:p>
    <w:p w14:paraId="2D4622A5"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76ABEDDA" w14:textId="77777777" w:rsidR="00A75B47" w:rsidRPr="003A22B9" w:rsidRDefault="00A75B47" w:rsidP="00A75B47">
      <w:pPr>
        <w:numPr>
          <w:ilvl w:val="0"/>
          <w:numId w:val="20"/>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Nakon razblaživanja u rastvoru glukoze u aseptičnim uslovima:</w:t>
      </w:r>
    </w:p>
    <w:p w14:paraId="3CD0C333"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Hemijska i fizička stabilnost lijeka Rixathon razblaženog u 5% rastvora glukoze je pokazana tokom 24 časa na temperaturi od 2°C do 8°C i nakon toga još 12 časova na sobnoj temperaturi (≤ 25°C).</w:t>
      </w:r>
    </w:p>
    <w:p w14:paraId="2FDD50DF" w14:textId="77777777" w:rsidR="00A75B47" w:rsidRPr="003A22B9" w:rsidRDefault="00A75B47" w:rsidP="00A75B47">
      <w:pPr>
        <w:spacing w:after="0" w:line="240" w:lineRule="auto"/>
        <w:ind w:left="45"/>
        <w:jc w:val="both"/>
        <w:rPr>
          <w:rFonts w:ascii="Times New Roman" w:eastAsia="Times New Roman" w:hAnsi="Times New Roman" w:cs="Times New Roman"/>
          <w:lang w:val="sr-Latn-ME"/>
        </w:rPr>
      </w:pPr>
    </w:p>
    <w:p w14:paraId="58745094" w14:textId="79DD7B69"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Sa mikrobiološke tačke gledišta, pripre</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jeni rastvor za infuziju treba upotrijebiti odmah. Ako se ne upotrijebi odmah, vrijeme i uslovi čuvanja prije upotrebe su isključiva odgovornost korisnika, i normalno ne bi trebali biti duži od 24 sata na temperaturi od 2°C do 8°C, osim ako se razblaženje ne obavlja u kontrolisanim i validiranim aseptičnim uslovima.</w:t>
      </w:r>
    </w:p>
    <w:p w14:paraId="0144283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2EC88A45"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6.4. </w:t>
      </w:r>
      <w:r w:rsidRPr="003A22B9">
        <w:rPr>
          <w:rFonts w:ascii="Times New Roman" w:eastAsia="Times New Roman" w:hAnsi="Times New Roman" w:cs="Times New Roman"/>
          <w:b/>
          <w:bCs/>
          <w:lang w:val="sr-Latn-ME"/>
        </w:rPr>
        <w:tab/>
        <w:t>Posebne mjere upozorenja pri čuvanju lijeka</w:t>
      </w:r>
    </w:p>
    <w:p w14:paraId="5E6D584D"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3E1622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Čuvati u frižideru (2°C do 8°C). </w:t>
      </w:r>
    </w:p>
    <w:p w14:paraId="187EF146" w14:textId="30E1F0F1"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Bočicu čuvati u originalnom pakovanju (kartonskoj kutiji) radi zaštite od svjetlosti. </w:t>
      </w:r>
    </w:p>
    <w:p w14:paraId="66E5187A" w14:textId="35613850" w:rsidR="002A6C1E" w:rsidRPr="003A22B9" w:rsidRDefault="002A6C1E" w:rsidP="00A75B47">
      <w:pPr>
        <w:spacing w:after="0" w:line="240" w:lineRule="auto"/>
        <w:jc w:val="both"/>
        <w:rPr>
          <w:rFonts w:ascii="Times New Roman" w:eastAsia="Times New Roman" w:hAnsi="Times New Roman" w:cs="Times New Roman"/>
          <w:lang w:val="sr-Latn-ME"/>
        </w:rPr>
      </w:pPr>
    </w:p>
    <w:p w14:paraId="3A655CE8" w14:textId="5F7790FE" w:rsidR="002A6C1E" w:rsidRPr="003A22B9" w:rsidRDefault="002A6C1E" w:rsidP="002A6C1E">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Za uslove čuvanja neotvorene bočice, van frižidera, vidjeti dio 6.3.</w:t>
      </w:r>
    </w:p>
    <w:p w14:paraId="6DBA1FC3" w14:textId="41C98B6E" w:rsidR="002A6C1E" w:rsidRPr="003A22B9" w:rsidRDefault="002A6C1E" w:rsidP="00A75B47">
      <w:pPr>
        <w:spacing w:after="0" w:line="240" w:lineRule="auto"/>
        <w:jc w:val="both"/>
        <w:rPr>
          <w:rFonts w:ascii="Times New Roman" w:eastAsia="Times New Roman" w:hAnsi="Times New Roman" w:cs="Times New Roman"/>
          <w:lang w:val="sr-Latn-ME"/>
        </w:rPr>
      </w:pPr>
    </w:p>
    <w:p w14:paraId="58FAB703"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54BCADA" w14:textId="40D462BB"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Za uslove čuvanja lijeka nakon razblaživanja, vidjeti </w:t>
      </w:r>
      <w:r w:rsidR="00EA6A05" w:rsidRPr="003A22B9">
        <w:rPr>
          <w:rFonts w:ascii="Times New Roman" w:eastAsia="Times New Roman" w:hAnsi="Times New Roman" w:cs="Times New Roman"/>
          <w:lang w:val="sr-Latn-ME"/>
        </w:rPr>
        <w:t>dio</w:t>
      </w:r>
      <w:r w:rsidRPr="003A22B9">
        <w:rPr>
          <w:rFonts w:ascii="Times New Roman" w:eastAsia="Times New Roman" w:hAnsi="Times New Roman" w:cs="Times New Roman"/>
          <w:lang w:val="sr-Latn-ME"/>
        </w:rPr>
        <w:t xml:space="preserve"> 6.3.</w:t>
      </w:r>
    </w:p>
    <w:p w14:paraId="67B1E216"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2E3B5E7A"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6.5. </w:t>
      </w:r>
      <w:r w:rsidRPr="003A22B9">
        <w:rPr>
          <w:rFonts w:ascii="Times New Roman" w:eastAsia="Times New Roman" w:hAnsi="Times New Roman" w:cs="Times New Roman"/>
          <w:b/>
          <w:bCs/>
          <w:lang w:val="sr-Latn-ME"/>
        </w:rPr>
        <w:tab/>
        <w:t xml:space="preserve">Vrsta i sadržaj pakovanja </w:t>
      </w:r>
    </w:p>
    <w:p w14:paraId="36A44B28"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7E41964" w14:textId="5AA2F953"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10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bočica: staklene bočice (bezbojno staklo tipa I) sa butil gumenim zatvaračem koje sadrže 100 mg rituksimaba u 10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Pakovanje sadrži 2 bočice. </w:t>
      </w:r>
    </w:p>
    <w:p w14:paraId="64AF05B1"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297A3483" w14:textId="7A5001EC"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50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bočica: staklene bočice (bezbojno staklo tipa I) sa butil gumenim zatvaračem koje sadrže 500 mg rituksimaba u 50 </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Pakovanje sadrži 1 bočicu.</w:t>
      </w:r>
    </w:p>
    <w:p w14:paraId="503D5DE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5D495338"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6.6. </w:t>
      </w:r>
      <w:r w:rsidRPr="003A22B9">
        <w:rPr>
          <w:rFonts w:ascii="Times New Roman" w:eastAsia="Times New Roman" w:hAnsi="Times New Roman" w:cs="Times New Roman"/>
          <w:b/>
          <w:bCs/>
          <w:lang w:val="sr-Latn-ME"/>
        </w:rPr>
        <w:tab/>
      </w:r>
      <w:r w:rsidRPr="003A22B9">
        <w:rPr>
          <w:rFonts w:ascii="Times New Roman" w:eastAsia="Times New Roman" w:hAnsi="Times New Roman" w:cs="Times New Roman"/>
          <w:b/>
          <w:bCs/>
          <w:color w:val="000000"/>
          <w:lang w:val="sr-Latn-ME"/>
        </w:rPr>
        <w:t>Posebne mjere opreza pri odlaganju materijala koji treba odbaciti nakon primjene lijeka</w:t>
      </w:r>
      <w:r w:rsidRPr="003A22B9">
        <w:rPr>
          <w:rFonts w:ascii="Times New Roman" w:eastAsia="Times New Roman" w:hAnsi="Times New Roman" w:cs="Times New Roman"/>
          <w:b/>
          <w:bCs/>
          <w:lang w:val="sr-Latn-ME"/>
        </w:rPr>
        <w:t xml:space="preserve"> (i druga uputstva za rukovanje lijekom) </w:t>
      </w:r>
    </w:p>
    <w:p w14:paraId="610A6A6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67A1C4B1" w14:textId="710B2C86"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 xml:space="preserve">Rixathon je dostupan u sterilnim, apirogenim bočicama za jednokratnu upotrebu, bez sadržaja konzervansa. </w:t>
      </w:r>
      <w:r w:rsidR="001100AA" w:rsidRPr="003A22B9">
        <w:rPr>
          <w:rFonts w:ascii="Times New Roman" w:eastAsia="Times New Roman" w:hAnsi="Times New Roman" w:cs="Times New Roman"/>
          <w:lang w:val="sr-Latn-ME"/>
        </w:rPr>
        <w:t>Za pripremu lijeka koristiti sterilne iglu i špric.</w:t>
      </w:r>
    </w:p>
    <w:p w14:paraId="4403A61F"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5B08DBB6" w14:textId="77777777" w:rsidR="00A75B47" w:rsidRPr="003A22B9" w:rsidRDefault="00A75B47" w:rsidP="00A75B47">
      <w:pPr>
        <w:spacing w:after="0" w:line="240" w:lineRule="auto"/>
        <w:jc w:val="both"/>
        <w:rPr>
          <w:rFonts w:ascii="Times New Roman" w:eastAsia="Times New Roman" w:hAnsi="Times New Roman" w:cs="Times New Roman"/>
          <w:u w:val="single"/>
          <w:lang w:val="sr-Latn-ME"/>
        </w:rPr>
      </w:pPr>
      <w:r w:rsidRPr="003A22B9">
        <w:rPr>
          <w:rFonts w:ascii="Times New Roman" w:eastAsia="Times New Roman" w:hAnsi="Times New Roman" w:cs="Times New Roman"/>
          <w:u w:val="single"/>
          <w:lang w:val="sr-Latn-ME"/>
        </w:rPr>
        <w:t>Aseptična priprema</w:t>
      </w:r>
    </w:p>
    <w:p w14:paraId="7DE1B6E5"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Prilikom pripreme infuzije mora se osigurati aseptičnost. Priprema treba da bude obavljena:</w:t>
      </w:r>
    </w:p>
    <w:p w14:paraId="573270F7" w14:textId="77777777" w:rsidR="00A75B47" w:rsidRPr="003A22B9" w:rsidRDefault="00A75B47" w:rsidP="00A75B47">
      <w:pPr>
        <w:numPr>
          <w:ilvl w:val="0"/>
          <w:numId w:val="19"/>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u aseptičnim uslovima od strane osoblja obučenog u skladu sa pravilima dobre prakse, posebno u odnosu na aseptičnu pripremu parenteralnih proizvoda.</w:t>
      </w:r>
    </w:p>
    <w:p w14:paraId="4524A4A6" w14:textId="77777777" w:rsidR="00A75B47" w:rsidRPr="003A22B9" w:rsidRDefault="00A75B47" w:rsidP="00A75B47">
      <w:pPr>
        <w:numPr>
          <w:ilvl w:val="0"/>
          <w:numId w:val="19"/>
        </w:numPr>
        <w:tabs>
          <w:tab w:val="left" w:pos="284"/>
        </w:tabs>
        <w:spacing w:after="0" w:line="240" w:lineRule="auto"/>
        <w:contextualSpacing/>
        <w:jc w:val="both"/>
        <w:rPr>
          <w:rFonts w:ascii="Times New Roman" w:eastAsia="Calibri" w:hAnsi="Times New Roman" w:cs="Times New Roman"/>
          <w:lang w:val="sr-Latn-ME"/>
        </w:rPr>
      </w:pPr>
      <w:r w:rsidRPr="003A22B9">
        <w:rPr>
          <w:rFonts w:ascii="Times New Roman" w:eastAsia="Calibri" w:hAnsi="Times New Roman" w:cs="Times New Roman"/>
          <w:lang w:val="sr-Latn-ME"/>
        </w:rPr>
        <w:t>u laminarnoj komori ili biološkom bezbjednosnom kabinetu uz korišćenje standardnih mjera opreza za bezbjedno rukovanje intravenskim ljekovima.</w:t>
      </w:r>
    </w:p>
    <w:p w14:paraId="29CD43E1" w14:textId="77777777" w:rsidR="00A75B47" w:rsidRPr="003A22B9" w:rsidRDefault="00A75B47" w:rsidP="00A75B47">
      <w:pPr>
        <w:widowControl w:val="0"/>
        <w:spacing w:after="0" w:line="240" w:lineRule="auto"/>
        <w:ind w:left="405"/>
        <w:jc w:val="both"/>
        <w:rPr>
          <w:rFonts w:ascii="Times New Roman" w:eastAsia="Calibri" w:hAnsi="Times New Roman" w:cs="Times New Roman"/>
          <w:lang w:val="sr-Latn-ME"/>
        </w:rPr>
      </w:pPr>
    </w:p>
    <w:p w14:paraId="42B1E4D5" w14:textId="1BAC895A"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U aseptičnim uslovima izvući potrebnu količinu lijeka Rixathon i razblažiti do izračunate koncentracije od 1 do 4 mg/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rituksimaba u kesi za infuziju koja sadrži sterilni, apirogeni natrijum hlorid 9 mg/</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 (0,9%) rastvor za injekcije ili 5% rastvor D-glukoze u vodi. Za miješanje ovog rastvora, pažljivo okrenite kesu da se izbjegne stvaranje pjene. Mora se voditi računa da se obezbijedi sterilnost pripre</w:t>
      </w:r>
      <w:r w:rsidR="00C72E8F" w:rsidRPr="003A22B9">
        <w:rPr>
          <w:rFonts w:ascii="Times New Roman" w:eastAsia="Times New Roman" w:hAnsi="Times New Roman" w:cs="Times New Roman"/>
          <w:lang w:val="sr-Latn-ME"/>
        </w:rPr>
        <w:t>ml</w:t>
      </w:r>
      <w:r w:rsidRPr="003A22B9">
        <w:rPr>
          <w:rFonts w:ascii="Times New Roman" w:eastAsia="Times New Roman" w:hAnsi="Times New Roman" w:cs="Times New Roman"/>
          <w:lang w:val="sr-Latn-ME"/>
        </w:rPr>
        <w:t xml:space="preserve">jenog rastvora. Budući da ovaj lijek ne sadrži nikakve antimikrobne konzervanse ili bakteriostatske agense, mora se primijeniti aseptična tehnika. Parenteralne ljekove treba vizuelno provjeriti na prisustvo čestica i promjenu boje prije </w:t>
      </w:r>
      <w:r w:rsidR="001100AA" w:rsidRPr="003A22B9">
        <w:rPr>
          <w:rFonts w:ascii="Times New Roman" w:eastAsia="Times New Roman" w:hAnsi="Times New Roman" w:cs="Times New Roman"/>
          <w:lang w:val="sr-Latn-ME"/>
        </w:rPr>
        <w:t>primjene</w:t>
      </w:r>
      <w:r w:rsidRPr="003A22B9">
        <w:rPr>
          <w:rFonts w:ascii="Times New Roman" w:eastAsia="Times New Roman" w:hAnsi="Times New Roman" w:cs="Times New Roman"/>
          <w:lang w:val="sr-Latn-ME"/>
        </w:rPr>
        <w:t xml:space="preserve">. </w:t>
      </w:r>
    </w:p>
    <w:p w14:paraId="3DA48DE7" w14:textId="77777777" w:rsidR="00A75B47" w:rsidRPr="003A22B9" w:rsidRDefault="00A75B47" w:rsidP="00A75B47">
      <w:pPr>
        <w:spacing w:after="0" w:line="240" w:lineRule="auto"/>
        <w:jc w:val="both"/>
        <w:rPr>
          <w:rFonts w:ascii="Times New Roman" w:eastAsia="Times New Roman" w:hAnsi="Times New Roman" w:cs="Times New Roman"/>
          <w:lang w:val="sr-Latn-ME"/>
        </w:rPr>
      </w:pPr>
    </w:p>
    <w:p w14:paraId="6CE4BE8B" w14:textId="77777777" w:rsidR="00A75B47" w:rsidRPr="003A22B9" w:rsidRDefault="00A75B47" w:rsidP="00A75B47">
      <w:pPr>
        <w:spacing w:after="0" w:line="240" w:lineRule="auto"/>
        <w:jc w:val="both"/>
        <w:rPr>
          <w:rFonts w:ascii="Times New Roman" w:eastAsia="Times New Roman" w:hAnsi="Times New Roman" w:cs="Times New Roman"/>
          <w:lang w:val="sr-Latn-ME"/>
        </w:rPr>
      </w:pPr>
      <w:r w:rsidRPr="003A22B9">
        <w:rPr>
          <w:rFonts w:ascii="Times New Roman" w:eastAsia="Times New Roman" w:hAnsi="Times New Roman" w:cs="Times New Roman"/>
          <w:lang w:val="sr-Latn-ME"/>
        </w:rPr>
        <w:t>Svu neiskorišćenu količinu lijeka ili otpadnog materijala nakon njegove upotrebe treba ukloniti, u skladu sa važećim propisima.</w:t>
      </w:r>
    </w:p>
    <w:p w14:paraId="1E6EBC5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93CAB3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7. </w:t>
      </w:r>
      <w:r w:rsidRPr="003A22B9">
        <w:rPr>
          <w:rFonts w:ascii="Times New Roman" w:eastAsia="Times New Roman" w:hAnsi="Times New Roman" w:cs="Times New Roman"/>
          <w:b/>
          <w:bCs/>
          <w:lang w:val="sr-Latn-ME"/>
        </w:rPr>
        <w:tab/>
        <w:t xml:space="preserve">NOSILAC DOZVOLE </w:t>
      </w:r>
    </w:p>
    <w:p w14:paraId="4781A470"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538E4AC2"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Glosarij d.o.o.</w:t>
      </w:r>
    </w:p>
    <w:p w14:paraId="14D6C7C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Vojislavljevića 76, 81000 Podgorica, Crna Gora</w:t>
      </w:r>
    </w:p>
    <w:p w14:paraId="0EBBB65A"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524F5AFC"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4962498B"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8. </w:t>
      </w:r>
      <w:r w:rsidRPr="003A22B9">
        <w:rPr>
          <w:rFonts w:ascii="Times New Roman" w:eastAsia="Times New Roman" w:hAnsi="Times New Roman" w:cs="Times New Roman"/>
          <w:b/>
          <w:bCs/>
          <w:lang w:val="sr-Latn-ME"/>
        </w:rPr>
        <w:tab/>
        <w:t>BROJ DOZVOLE ZA STAVLJANJE LIJEKA U PROMET</w:t>
      </w:r>
    </w:p>
    <w:p w14:paraId="5AAC24B9"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909B523" w14:textId="451DF2A0"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 xml:space="preserve">Rixathon, koncentrat za rastvor za infuziju, 100 mg/10 </w:t>
      </w:r>
      <w:r w:rsidR="00C72E8F" w:rsidRPr="003A22B9">
        <w:rPr>
          <w:rFonts w:ascii="Times New Roman" w:eastAsia="Times New Roman" w:hAnsi="Times New Roman" w:cs="Times New Roman"/>
          <w:bCs/>
          <w:lang w:val="sr-Latn-ME"/>
        </w:rPr>
        <w:t>ml</w:t>
      </w:r>
      <w:r w:rsidRPr="003A22B9">
        <w:rPr>
          <w:rFonts w:ascii="Times New Roman" w:eastAsia="Times New Roman" w:hAnsi="Times New Roman" w:cs="Times New Roman"/>
          <w:bCs/>
          <w:lang w:val="sr-Latn-ME"/>
        </w:rPr>
        <w:t xml:space="preserve">, bočica, staklena, 2x10 </w:t>
      </w:r>
      <w:r w:rsidR="00C72E8F" w:rsidRPr="003A22B9">
        <w:rPr>
          <w:rFonts w:ascii="Times New Roman" w:eastAsia="Times New Roman" w:hAnsi="Times New Roman" w:cs="Times New Roman"/>
          <w:bCs/>
          <w:lang w:val="sr-Latn-ME"/>
        </w:rPr>
        <w:t>ml</w:t>
      </w:r>
      <w:r w:rsidRPr="003A22B9">
        <w:rPr>
          <w:rFonts w:ascii="Times New Roman" w:eastAsia="Times New Roman" w:hAnsi="Times New Roman" w:cs="Times New Roman"/>
          <w:bCs/>
          <w:lang w:val="sr-Latn-ME"/>
        </w:rPr>
        <w:t xml:space="preserve">: </w:t>
      </w:r>
      <w:r w:rsidR="00590A45" w:rsidRPr="003A22B9">
        <w:rPr>
          <w:rFonts w:ascii="Times New Roman" w:eastAsia="Times New Roman" w:hAnsi="Times New Roman" w:cs="Times New Roman"/>
          <w:bCs/>
          <w:lang w:val="sr-Latn-ME"/>
        </w:rPr>
        <w:t>2030/19/1085 - 7024</w:t>
      </w:r>
    </w:p>
    <w:p w14:paraId="2476B0B8" w14:textId="28F1AF0E"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 xml:space="preserve">Rixathon, koncentrat za rastvor za infuziju, 500 mg/50 </w:t>
      </w:r>
      <w:r w:rsidR="00C72E8F" w:rsidRPr="003A22B9">
        <w:rPr>
          <w:rFonts w:ascii="Times New Roman" w:eastAsia="Times New Roman" w:hAnsi="Times New Roman" w:cs="Times New Roman"/>
          <w:bCs/>
          <w:lang w:val="sr-Latn-ME"/>
        </w:rPr>
        <w:t>ml</w:t>
      </w:r>
      <w:r w:rsidRPr="003A22B9">
        <w:rPr>
          <w:rFonts w:ascii="Times New Roman" w:eastAsia="Times New Roman" w:hAnsi="Times New Roman" w:cs="Times New Roman"/>
          <w:bCs/>
          <w:lang w:val="sr-Latn-ME"/>
        </w:rPr>
        <w:t>,</w:t>
      </w:r>
      <w:r w:rsidRPr="003A22B9">
        <w:rPr>
          <w:rFonts w:ascii="Times New Roman" w:eastAsia="Times New Roman" w:hAnsi="Times New Roman" w:cs="Times New Roman"/>
          <w:lang w:val="sr-Latn-ME"/>
        </w:rPr>
        <w:t xml:space="preserve"> </w:t>
      </w:r>
      <w:r w:rsidRPr="003A22B9">
        <w:rPr>
          <w:rFonts w:ascii="Times New Roman" w:eastAsia="Times New Roman" w:hAnsi="Times New Roman" w:cs="Times New Roman"/>
          <w:bCs/>
          <w:lang w:val="sr-Latn-ME"/>
        </w:rPr>
        <w:t xml:space="preserve">bočica, staklena, </w:t>
      </w:r>
      <w:r w:rsidR="00590A45" w:rsidRPr="003A22B9">
        <w:rPr>
          <w:rFonts w:ascii="Times New Roman" w:eastAsia="Times New Roman" w:hAnsi="Times New Roman" w:cs="Times New Roman"/>
          <w:bCs/>
          <w:lang w:val="sr-Latn-ME"/>
        </w:rPr>
        <w:t xml:space="preserve">1x50 </w:t>
      </w:r>
      <w:r w:rsidR="00C72E8F" w:rsidRPr="003A22B9">
        <w:rPr>
          <w:rFonts w:ascii="Times New Roman" w:eastAsia="Times New Roman" w:hAnsi="Times New Roman" w:cs="Times New Roman"/>
          <w:bCs/>
          <w:lang w:val="sr-Latn-ME"/>
        </w:rPr>
        <w:t>ml</w:t>
      </w:r>
      <w:r w:rsidR="00590A45" w:rsidRPr="003A22B9">
        <w:rPr>
          <w:rFonts w:ascii="Times New Roman" w:eastAsia="Times New Roman" w:hAnsi="Times New Roman" w:cs="Times New Roman"/>
          <w:bCs/>
          <w:lang w:val="sr-Latn-ME"/>
        </w:rPr>
        <w:t>: 2030/19/1086 - 7023</w:t>
      </w:r>
    </w:p>
    <w:p w14:paraId="786654BD" w14:textId="00549585"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47F8BDFF" w14:textId="77777777" w:rsidR="001100AA" w:rsidRPr="003A22B9" w:rsidRDefault="001100AA"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08CDC4F5"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r w:rsidRPr="003A22B9">
        <w:rPr>
          <w:rFonts w:ascii="Times New Roman" w:eastAsia="Times New Roman" w:hAnsi="Times New Roman" w:cs="Times New Roman"/>
          <w:b/>
          <w:bCs/>
          <w:lang w:val="sr-Latn-ME"/>
        </w:rPr>
        <w:t xml:space="preserve">9. </w:t>
      </w:r>
      <w:r w:rsidRPr="003A22B9">
        <w:rPr>
          <w:rFonts w:ascii="Times New Roman" w:eastAsia="Times New Roman" w:hAnsi="Times New Roman" w:cs="Times New Roman"/>
          <w:b/>
          <w:bCs/>
          <w:lang w:val="sr-Latn-ME"/>
        </w:rPr>
        <w:tab/>
        <w:t>DATUM PRVE DOZVOLE/OBNOVE DOZVOLE ZA STAVLJANJE LIJEKA U PROMET</w:t>
      </w:r>
    </w:p>
    <w:p w14:paraId="5909ACDD"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
          <w:bCs/>
          <w:lang w:val="sr-Latn-ME"/>
        </w:rPr>
      </w:pPr>
    </w:p>
    <w:p w14:paraId="63398D86" w14:textId="00B48FF9" w:rsidR="00A75B47" w:rsidRPr="003A22B9" w:rsidRDefault="00590A45" w:rsidP="00A75B47">
      <w:pPr>
        <w:tabs>
          <w:tab w:val="left" w:pos="540"/>
          <w:tab w:val="left" w:pos="569"/>
        </w:tabs>
        <w:spacing w:after="0" w:line="240" w:lineRule="auto"/>
        <w:jc w:val="both"/>
        <w:rPr>
          <w:rFonts w:ascii="Times New Roman" w:eastAsia="Times New Roman" w:hAnsi="Times New Roman" w:cs="Times New Roman"/>
          <w:bCs/>
          <w:lang w:val="sr-Latn-ME"/>
        </w:rPr>
      </w:pPr>
      <w:r w:rsidRPr="003A22B9">
        <w:rPr>
          <w:rFonts w:ascii="Times New Roman" w:eastAsia="Times New Roman" w:hAnsi="Times New Roman" w:cs="Times New Roman"/>
          <w:bCs/>
          <w:lang w:val="sr-Latn-ME"/>
        </w:rPr>
        <w:t>23.12.2019. godine</w:t>
      </w:r>
    </w:p>
    <w:p w14:paraId="73CA92EE"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3D73B4F7" w14:textId="77777777" w:rsidR="00A75B47" w:rsidRPr="003A22B9"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1AF22EFD" w14:textId="77777777" w:rsidR="00A75B47" w:rsidRPr="006164B1" w:rsidRDefault="00A75B47" w:rsidP="00A75B47">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3A22B9">
        <w:rPr>
          <w:rFonts w:ascii="Times New Roman" w:eastAsia="Times New Roman" w:hAnsi="Times New Roman" w:cs="Times New Roman"/>
          <w:b/>
          <w:bCs/>
          <w:lang w:val="sr-Latn-ME"/>
        </w:rPr>
        <w:lastRenderedPageBreak/>
        <w:t xml:space="preserve">10. </w:t>
      </w:r>
      <w:r w:rsidRPr="003A22B9">
        <w:rPr>
          <w:rFonts w:ascii="Times New Roman" w:eastAsia="Times New Roman" w:hAnsi="Times New Roman" w:cs="Times New Roman"/>
          <w:b/>
          <w:bCs/>
          <w:lang w:val="sr-Latn-ME"/>
        </w:rPr>
        <w:tab/>
        <w:t>DATUM REVIZIJE TEKSTA</w:t>
      </w:r>
      <w:r w:rsidRPr="006164B1">
        <w:rPr>
          <w:rFonts w:ascii="Times New Roman" w:eastAsia="Times New Roman" w:hAnsi="Times New Roman" w:cs="Times New Roman"/>
          <w:b/>
          <w:bCs/>
          <w:lang w:val="sr-Latn-ME"/>
        </w:rPr>
        <w:t xml:space="preserve"> </w:t>
      </w:r>
    </w:p>
    <w:p w14:paraId="58016FC8" w14:textId="77777777" w:rsidR="00A75B47" w:rsidRPr="006164B1" w:rsidRDefault="00A75B47" w:rsidP="00A75B47">
      <w:pPr>
        <w:tabs>
          <w:tab w:val="left" w:pos="540"/>
          <w:tab w:val="left" w:pos="569"/>
        </w:tabs>
        <w:spacing w:after="0" w:line="240" w:lineRule="auto"/>
        <w:jc w:val="both"/>
        <w:rPr>
          <w:rFonts w:ascii="Times New Roman" w:eastAsia="Times New Roman" w:hAnsi="Times New Roman" w:cs="Times New Roman"/>
          <w:bCs/>
          <w:lang w:val="sr-Latn-ME"/>
        </w:rPr>
      </w:pPr>
    </w:p>
    <w:p w14:paraId="518AE12A" w14:textId="386DAC3A" w:rsidR="00DA1FB0" w:rsidRPr="006164B1" w:rsidRDefault="00035807" w:rsidP="00A75B47">
      <w:pPr>
        <w:spacing w:line="240" w:lineRule="auto"/>
        <w:jc w:val="both"/>
        <w:rPr>
          <w:rFonts w:ascii="Times New Roman" w:hAnsi="Times New Roman" w:cs="Times New Roman"/>
          <w:lang w:val="sr-Latn-ME"/>
        </w:rPr>
      </w:pPr>
      <w:r>
        <w:rPr>
          <w:rFonts w:ascii="Times New Roman" w:hAnsi="Times New Roman" w:cs="Times New Roman"/>
          <w:lang w:val="sr-Latn-ME"/>
        </w:rPr>
        <w:t>Januar, 2025. godine</w:t>
      </w:r>
      <w:bookmarkStart w:id="1" w:name="_GoBack"/>
      <w:bookmarkEnd w:id="1"/>
    </w:p>
    <w:sectPr w:rsidR="00DA1FB0" w:rsidRPr="006164B1" w:rsidSect="00043DF7">
      <w:footerReference w:type="default" r:id="rId17"/>
      <w:headerReference w:type="first" r:id="rId18"/>
      <w:footerReference w:type="first" r:id="rId19"/>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80E2" w14:textId="77777777" w:rsidR="003C60A2" w:rsidRDefault="003C60A2" w:rsidP="00FF2B5A">
      <w:pPr>
        <w:spacing w:after="0" w:line="240" w:lineRule="auto"/>
      </w:pPr>
      <w:r>
        <w:separator/>
      </w:r>
    </w:p>
  </w:endnote>
  <w:endnote w:type="continuationSeparator" w:id="0">
    <w:p w14:paraId="67B9D9E0" w14:textId="77777777" w:rsidR="003C60A2" w:rsidRDefault="003C60A2" w:rsidP="00FF2B5A">
      <w:pPr>
        <w:spacing w:after="0" w:line="240" w:lineRule="auto"/>
      </w:pPr>
      <w:r>
        <w:continuationSeparator/>
      </w:r>
    </w:p>
  </w:endnote>
  <w:endnote w:type="continuationNotice" w:id="1">
    <w:p w14:paraId="6C5BCAFF" w14:textId="77777777" w:rsidR="003C60A2" w:rsidRDefault="003C6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inion">
    <w:altName w:val="Cambria"/>
    <w:charset w:val="00"/>
    <w:family w:val="roman"/>
    <w:pitch w:val="variable"/>
    <w:sig w:usb0="E00002AF" w:usb1="5000E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7CFB" w14:textId="77777777" w:rsidR="00977A0E" w:rsidRPr="00F1527C" w:rsidRDefault="00977A0E"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3416BCD" w14:textId="77777777" w:rsidR="00977A0E" w:rsidRPr="00F1527C" w:rsidRDefault="00977A0E"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7FD136F0" w14:textId="3407926B" w:rsidR="00977A0E" w:rsidRPr="009318B4" w:rsidRDefault="00977A0E"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35807">
      <w:rPr>
        <w:rFonts w:ascii="Times New Roman" w:eastAsia="Times New Roman" w:hAnsi="Times New Roman" w:cs="Times New Roman"/>
        <w:noProof/>
        <w:sz w:val="20"/>
        <w:szCs w:val="20"/>
        <w:lang w:val="sr-Latn-ME"/>
      </w:rPr>
      <w:t>61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35807">
      <w:rPr>
        <w:rFonts w:ascii="Times New Roman" w:eastAsia="Times New Roman" w:hAnsi="Times New Roman" w:cs="Times New Roman"/>
        <w:noProof/>
        <w:sz w:val="20"/>
        <w:szCs w:val="20"/>
        <w:lang w:val="sr-Latn-ME"/>
      </w:rPr>
      <w:t>61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A704" w14:textId="77777777" w:rsidR="00977A0E" w:rsidRPr="00F1527C" w:rsidRDefault="00977A0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A053239" w14:textId="77777777" w:rsidR="00977A0E" w:rsidRPr="00F1527C" w:rsidRDefault="00977A0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4649285" w14:textId="77777777" w:rsidR="00977A0E" w:rsidRPr="00F1527C" w:rsidRDefault="00977A0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7155BBAD" w14:textId="77777777" w:rsidR="00977A0E" w:rsidRPr="00F1527C" w:rsidRDefault="00977A0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10DC101" w14:textId="77777777" w:rsidR="00977A0E" w:rsidRPr="00F1527C" w:rsidRDefault="00977A0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7B1FF3C" w14:textId="77777777" w:rsidR="00977A0E" w:rsidRPr="009318B4" w:rsidRDefault="00977A0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20C32" w14:textId="77777777" w:rsidR="003C60A2" w:rsidRDefault="003C60A2" w:rsidP="00FF2B5A">
      <w:pPr>
        <w:spacing w:after="0" w:line="240" w:lineRule="auto"/>
      </w:pPr>
      <w:r>
        <w:separator/>
      </w:r>
    </w:p>
  </w:footnote>
  <w:footnote w:type="continuationSeparator" w:id="0">
    <w:p w14:paraId="30AB1ACD" w14:textId="77777777" w:rsidR="003C60A2" w:rsidRDefault="003C60A2" w:rsidP="00FF2B5A">
      <w:pPr>
        <w:spacing w:after="0" w:line="240" w:lineRule="auto"/>
      </w:pPr>
      <w:r>
        <w:continuationSeparator/>
      </w:r>
    </w:p>
  </w:footnote>
  <w:footnote w:type="continuationNotice" w:id="1">
    <w:p w14:paraId="5C930BBB" w14:textId="77777777" w:rsidR="003C60A2" w:rsidRDefault="003C60A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72DC" w14:textId="77777777" w:rsidR="00977A0E" w:rsidRDefault="00977A0E" w:rsidP="009318B4">
    <w:pPr>
      <w:pStyle w:val="Header"/>
      <w:rPr>
        <w:sz w:val="16"/>
        <w:szCs w:val="16"/>
      </w:rPr>
    </w:pPr>
  </w:p>
  <w:p w14:paraId="14F55C82" w14:textId="77777777" w:rsidR="00977A0E" w:rsidRDefault="00977A0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29A7EFB7" wp14:editId="2AA40FBB">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23EAA100" w14:textId="77777777" w:rsidR="00977A0E" w:rsidRDefault="00977A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2E86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C423E99"/>
    <w:multiLevelType w:val="hybridMultilevel"/>
    <w:tmpl w:val="281C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48626AE"/>
    <w:multiLevelType w:val="hybridMultilevel"/>
    <w:tmpl w:val="44446492"/>
    <w:lvl w:ilvl="0" w:tplc="59A22BC4">
      <w:start w:val="9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695D5D61"/>
    <w:multiLevelType w:val="hybridMultilevel"/>
    <w:tmpl w:val="21A2A114"/>
    <w:lvl w:ilvl="0" w:tplc="F0241CC6">
      <w:start w:val="1"/>
      <w:numFmt w:val="bullet"/>
      <w:lvlText w:val="-"/>
      <w:lvlJc w:val="left"/>
      <w:pPr>
        <w:ind w:left="388" w:hanging="240"/>
      </w:pPr>
      <w:rPr>
        <w:rFonts w:ascii="Times New Roman" w:eastAsia="Times New Roman" w:hAnsi="Times New Roman" w:hint="default"/>
        <w:w w:val="100"/>
        <w:sz w:val="22"/>
        <w:szCs w:val="22"/>
      </w:rPr>
    </w:lvl>
    <w:lvl w:ilvl="1" w:tplc="61101832">
      <w:start w:val="1"/>
      <w:numFmt w:val="bullet"/>
      <w:lvlText w:val="•"/>
      <w:lvlJc w:val="left"/>
      <w:pPr>
        <w:ind w:left="1326" w:hanging="240"/>
      </w:pPr>
      <w:rPr>
        <w:rFonts w:hint="default"/>
      </w:rPr>
    </w:lvl>
    <w:lvl w:ilvl="2" w:tplc="AA7CC8AE">
      <w:start w:val="1"/>
      <w:numFmt w:val="bullet"/>
      <w:lvlText w:val="•"/>
      <w:lvlJc w:val="left"/>
      <w:pPr>
        <w:ind w:left="2273" w:hanging="240"/>
      </w:pPr>
      <w:rPr>
        <w:rFonts w:hint="default"/>
      </w:rPr>
    </w:lvl>
    <w:lvl w:ilvl="3" w:tplc="737E0352">
      <w:start w:val="1"/>
      <w:numFmt w:val="bullet"/>
      <w:lvlText w:val="•"/>
      <w:lvlJc w:val="left"/>
      <w:pPr>
        <w:ind w:left="3220" w:hanging="240"/>
      </w:pPr>
      <w:rPr>
        <w:rFonts w:hint="default"/>
      </w:rPr>
    </w:lvl>
    <w:lvl w:ilvl="4" w:tplc="BFC6BBEE">
      <w:start w:val="1"/>
      <w:numFmt w:val="bullet"/>
      <w:lvlText w:val="•"/>
      <w:lvlJc w:val="left"/>
      <w:pPr>
        <w:ind w:left="4167" w:hanging="240"/>
      </w:pPr>
      <w:rPr>
        <w:rFonts w:hint="default"/>
      </w:rPr>
    </w:lvl>
    <w:lvl w:ilvl="5" w:tplc="46D489DE">
      <w:start w:val="1"/>
      <w:numFmt w:val="bullet"/>
      <w:lvlText w:val="•"/>
      <w:lvlJc w:val="left"/>
      <w:pPr>
        <w:ind w:left="5114" w:hanging="240"/>
      </w:pPr>
      <w:rPr>
        <w:rFonts w:hint="default"/>
      </w:rPr>
    </w:lvl>
    <w:lvl w:ilvl="6" w:tplc="9C5011A8">
      <w:start w:val="1"/>
      <w:numFmt w:val="bullet"/>
      <w:lvlText w:val="•"/>
      <w:lvlJc w:val="left"/>
      <w:pPr>
        <w:ind w:left="6061" w:hanging="240"/>
      </w:pPr>
      <w:rPr>
        <w:rFonts w:hint="default"/>
      </w:rPr>
    </w:lvl>
    <w:lvl w:ilvl="7" w:tplc="DD92ADDA">
      <w:start w:val="1"/>
      <w:numFmt w:val="bullet"/>
      <w:lvlText w:val="•"/>
      <w:lvlJc w:val="left"/>
      <w:pPr>
        <w:ind w:left="7008" w:hanging="240"/>
      </w:pPr>
      <w:rPr>
        <w:rFonts w:hint="default"/>
      </w:rPr>
    </w:lvl>
    <w:lvl w:ilvl="8" w:tplc="3ABA3ABE">
      <w:start w:val="1"/>
      <w:numFmt w:val="bullet"/>
      <w:lvlText w:val="•"/>
      <w:lvlJc w:val="left"/>
      <w:pPr>
        <w:ind w:left="7955" w:hanging="240"/>
      </w:pPr>
      <w:rPr>
        <w:rFont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D20B6F"/>
    <w:multiLevelType w:val="hybridMultilevel"/>
    <w:tmpl w:val="01184C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8227E22"/>
    <w:multiLevelType w:val="multilevel"/>
    <w:tmpl w:val="A3BC1344"/>
    <w:lvl w:ilvl="0">
      <w:start w:val="1"/>
      <w:numFmt w:val="decimal"/>
      <w:lvlText w:val="%1."/>
      <w:lvlJc w:val="left"/>
      <w:pPr>
        <w:ind w:left="112" w:hanging="222"/>
      </w:pPr>
      <w:rPr>
        <w:rFonts w:ascii="Times New Roman" w:eastAsia="Times New Roman" w:hAnsi="Times New Roman" w:hint="default"/>
        <w:b/>
        <w:bCs/>
        <w:sz w:val="22"/>
        <w:szCs w:val="22"/>
      </w:rPr>
    </w:lvl>
    <w:lvl w:ilvl="1">
      <w:start w:val="1"/>
      <w:numFmt w:val="decimal"/>
      <w:lvlText w:val="%1.%2."/>
      <w:lvlJc w:val="left"/>
      <w:pPr>
        <w:ind w:left="112" w:hanging="384"/>
      </w:pPr>
      <w:rPr>
        <w:rFonts w:ascii="Times New Roman" w:eastAsia="Times New Roman" w:hAnsi="Times New Roman" w:hint="default"/>
        <w:b/>
        <w:bCs/>
        <w:spacing w:val="-1"/>
        <w:sz w:val="22"/>
        <w:szCs w:val="22"/>
      </w:rPr>
    </w:lvl>
    <w:lvl w:ilvl="2">
      <w:start w:val="1"/>
      <w:numFmt w:val="bullet"/>
      <w:lvlText w:val="•"/>
      <w:lvlJc w:val="left"/>
      <w:pPr>
        <w:ind w:left="1537" w:hanging="384"/>
      </w:pPr>
      <w:rPr>
        <w:rFonts w:hint="default"/>
      </w:rPr>
    </w:lvl>
    <w:lvl w:ilvl="3">
      <w:start w:val="1"/>
      <w:numFmt w:val="bullet"/>
      <w:lvlText w:val="•"/>
      <w:lvlJc w:val="left"/>
      <w:pPr>
        <w:ind w:left="2578" w:hanging="384"/>
      </w:pPr>
      <w:rPr>
        <w:rFonts w:hint="default"/>
      </w:rPr>
    </w:lvl>
    <w:lvl w:ilvl="4">
      <w:start w:val="1"/>
      <w:numFmt w:val="bullet"/>
      <w:lvlText w:val="•"/>
      <w:lvlJc w:val="left"/>
      <w:pPr>
        <w:ind w:left="3619" w:hanging="384"/>
      </w:pPr>
      <w:rPr>
        <w:rFonts w:hint="default"/>
      </w:rPr>
    </w:lvl>
    <w:lvl w:ilvl="5">
      <w:start w:val="1"/>
      <w:numFmt w:val="bullet"/>
      <w:lvlText w:val="•"/>
      <w:lvlJc w:val="left"/>
      <w:pPr>
        <w:ind w:left="4660" w:hanging="384"/>
      </w:pPr>
      <w:rPr>
        <w:rFonts w:hint="default"/>
      </w:rPr>
    </w:lvl>
    <w:lvl w:ilvl="6">
      <w:start w:val="1"/>
      <w:numFmt w:val="bullet"/>
      <w:lvlText w:val="•"/>
      <w:lvlJc w:val="left"/>
      <w:pPr>
        <w:ind w:left="5701" w:hanging="384"/>
      </w:pPr>
      <w:rPr>
        <w:rFonts w:hint="default"/>
      </w:rPr>
    </w:lvl>
    <w:lvl w:ilvl="7">
      <w:start w:val="1"/>
      <w:numFmt w:val="bullet"/>
      <w:lvlText w:val="•"/>
      <w:lvlJc w:val="left"/>
      <w:pPr>
        <w:ind w:left="6742" w:hanging="384"/>
      </w:pPr>
      <w:rPr>
        <w:rFonts w:hint="default"/>
      </w:rPr>
    </w:lvl>
    <w:lvl w:ilvl="8">
      <w:start w:val="1"/>
      <w:numFmt w:val="bullet"/>
      <w:lvlText w:val="•"/>
      <w:lvlJc w:val="left"/>
      <w:pPr>
        <w:ind w:left="7783" w:hanging="384"/>
      </w:pPr>
      <w:rPr>
        <w:rFonts w:hint="default"/>
      </w:rPr>
    </w:lvl>
  </w:abstractNum>
  <w:num w:numId="1">
    <w:abstractNumId w:val="7"/>
  </w:num>
  <w:num w:numId="2">
    <w:abstractNumId w:val="17"/>
  </w:num>
  <w:num w:numId="3">
    <w:abstractNumId w:val="3"/>
  </w:num>
  <w:num w:numId="4">
    <w:abstractNumId w:val="14"/>
  </w:num>
  <w:num w:numId="5">
    <w:abstractNumId w:val="9"/>
  </w:num>
  <w:num w:numId="6">
    <w:abstractNumId w:val="4"/>
  </w:num>
  <w:num w:numId="7">
    <w:abstractNumId w:val="12"/>
  </w:num>
  <w:num w:numId="8">
    <w:abstractNumId w:val="8"/>
  </w:num>
  <w:num w:numId="9">
    <w:abstractNumId w:val="11"/>
  </w:num>
  <w:num w:numId="10">
    <w:abstractNumId w:val="6"/>
  </w:num>
  <w:num w:numId="11">
    <w:abstractNumId w:val="2"/>
  </w:num>
  <w:num w:numId="12">
    <w:abstractNumId w:val="19"/>
  </w:num>
  <w:num w:numId="13">
    <w:abstractNumId w:val="10"/>
  </w:num>
  <w:num w:numId="14">
    <w:abstractNumId w:val="13"/>
  </w:num>
  <w:num w:numId="15">
    <w:abstractNumId w:val="21"/>
  </w:num>
  <w:num w:numId="16">
    <w:abstractNumId w:val="5"/>
  </w:num>
  <w:num w:numId="17">
    <w:abstractNumId w:val="1"/>
    <w:lvlOverride w:ilvl="0">
      <w:startOverride w:val="7"/>
    </w:lvlOverride>
  </w:num>
  <w:num w:numId="18">
    <w:abstractNumId w:val="20"/>
  </w:num>
  <w:num w:numId="19">
    <w:abstractNumId w:val="15"/>
  </w:num>
  <w:num w:numId="20">
    <w:abstractNumId w:val="18"/>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12EC"/>
    <w:rsid w:val="000062A4"/>
    <w:rsid w:val="000068B8"/>
    <w:rsid w:val="000069EC"/>
    <w:rsid w:val="00010B3E"/>
    <w:rsid w:val="00027AEE"/>
    <w:rsid w:val="00031CA4"/>
    <w:rsid w:val="00033073"/>
    <w:rsid w:val="000335C3"/>
    <w:rsid w:val="000351D1"/>
    <w:rsid w:val="00035807"/>
    <w:rsid w:val="00035CE2"/>
    <w:rsid w:val="00041B0C"/>
    <w:rsid w:val="00042089"/>
    <w:rsid w:val="00042368"/>
    <w:rsid w:val="00043DF7"/>
    <w:rsid w:val="00047792"/>
    <w:rsid w:val="00050C6F"/>
    <w:rsid w:val="00054A38"/>
    <w:rsid w:val="00057D5E"/>
    <w:rsid w:val="00057D65"/>
    <w:rsid w:val="00063B79"/>
    <w:rsid w:val="00073650"/>
    <w:rsid w:val="0007449A"/>
    <w:rsid w:val="000809CD"/>
    <w:rsid w:val="00081B53"/>
    <w:rsid w:val="00092161"/>
    <w:rsid w:val="000927BF"/>
    <w:rsid w:val="000932A1"/>
    <w:rsid w:val="00094BFF"/>
    <w:rsid w:val="000A0478"/>
    <w:rsid w:val="000A0C58"/>
    <w:rsid w:val="000A1C4E"/>
    <w:rsid w:val="000B1F1D"/>
    <w:rsid w:val="000D381F"/>
    <w:rsid w:val="000D6E0E"/>
    <w:rsid w:val="000E4FE8"/>
    <w:rsid w:val="000E54E9"/>
    <w:rsid w:val="000F3416"/>
    <w:rsid w:val="00100818"/>
    <w:rsid w:val="00100825"/>
    <w:rsid w:val="00102608"/>
    <w:rsid w:val="00103A6B"/>
    <w:rsid w:val="00106AA1"/>
    <w:rsid w:val="001100AA"/>
    <w:rsid w:val="00110C02"/>
    <w:rsid w:val="00112E9E"/>
    <w:rsid w:val="00116CF5"/>
    <w:rsid w:val="00116FE6"/>
    <w:rsid w:val="00120C04"/>
    <w:rsid w:val="00122D31"/>
    <w:rsid w:val="00142806"/>
    <w:rsid w:val="001466EF"/>
    <w:rsid w:val="00146CB1"/>
    <w:rsid w:val="0015620A"/>
    <w:rsid w:val="00157EBC"/>
    <w:rsid w:val="00164C7A"/>
    <w:rsid w:val="00166188"/>
    <w:rsid w:val="00167384"/>
    <w:rsid w:val="00172672"/>
    <w:rsid w:val="001755E3"/>
    <w:rsid w:val="00175832"/>
    <w:rsid w:val="001759FB"/>
    <w:rsid w:val="001811D3"/>
    <w:rsid w:val="001817EB"/>
    <w:rsid w:val="001836FF"/>
    <w:rsid w:val="001878DF"/>
    <w:rsid w:val="00194EFF"/>
    <w:rsid w:val="001A3220"/>
    <w:rsid w:val="001A3C6F"/>
    <w:rsid w:val="001A6113"/>
    <w:rsid w:val="001A6117"/>
    <w:rsid w:val="001A61D8"/>
    <w:rsid w:val="001B305E"/>
    <w:rsid w:val="001B45A6"/>
    <w:rsid w:val="001C3C2B"/>
    <w:rsid w:val="001C3C61"/>
    <w:rsid w:val="001D1139"/>
    <w:rsid w:val="001D4C8B"/>
    <w:rsid w:val="001D67E6"/>
    <w:rsid w:val="001D6992"/>
    <w:rsid w:val="001E2641"/>
    <w:rsid w:val="001E426D"/>
    <w:rsid w:val="001E618F"/>
    <w:rsid w:val="0022298C"/>
    <w:rsid w:val="002262D0"/>
    <w:rsid w:val="002301BA"/>
    <w:rsid w:val="002309F5"/>
    <w:rsid w:val="002335AE"/>
    <w:rsid w:val="00240968"/>
    <w:rsid w:val="00242283"/>
    <w:rsid w:val="00244436"/>
    <w:rsid w:val="0024497C"/>
    <w:rsid w:val="0024783E"/>
    <w:rsid w:val="002540D1"/>
    <w:rsid w:val="0025539A"/>
    <w:rsid w:val="00256DB1"/>
    <w:rsid w:val="00262701"/>
    <w:rsid w:val="00286EF7"/>
    <w:rsid w:val="00287E15"/>
    <w:rsid w:val="002A1D4E"/>
    <w:rsid w:val="002A6C1E"/>
    <w:rsid w:val="002A6DD0"/>
    <w:rsid w:val="002B336F"/>
    <w:rsid w:val="002C15A7"/>
    <w:rsid w:val="002D3E73"/>
    <w:rsid w:val="002E033E"/>
    <w:rsid w:val="002E219E"/>
    <w:rsid w:val="002E5994"/>
    <w:rsid w:val="002E5F05"/>
    <w:rsid w:val="002E6206"/>
    <w:rsid w:val="002F3780"/>
    <w:rsid w:val="002F4F7D"/>
    <w:rsid w:val="002F5399"/>
    <w:rsid w:val="002F5E8C"/>
    <w:rsid w:val="002F75E5"/>
    <w:rsid w:val="00304063"/>
    <w:rsid w:val="0031146A"/>
    <w:rsid w:val="003245CA"/>
    <w:rsid w:val="00324821"/>
    <w:rsid w:val="003257BE"/>
    <w:rsid w:val="00335F2A"/>
    <w:rsid w:val="00341378"/>
    <w:rsid w:val="00345D7F"/>
    <w:rsid w:val="00353537"/>
    <w:rsid w:val="00357EB2"/>
    <w:rsid w:val="00360D41"/>
    <w:rsid w:val="00364354"/>
    <w:rsid w:val="003651B5"/>
    <w:rsid w:val="0036536C"/>
    <w:rsid w:val="00371C31"/>
    <w:rsid w:val="003722AA"/>
    <w:rsid w:val="00373181"/>
    <w:rsid w:val="0037366D"/>
    <w:rsid w:val="00373714"/>
    <w:rsid w:val="003765CE"/>
    <w:rsid w:val="0038515C"/>
    <w:rsid w:val="0039034A"/>
    <w:rsid w:val="00391D8C"/>
    <w:rsid w:val="0039287E"/>
    <w:rsid w:val="00392AAA"/>
    <w:rsid w:val="00396346"/>
    <w:rsid w:val="00396721"/>
    <w:rsid w:val="003A19C7"/>
    <w:rsid w:val="003A22B9"/>
    <w:rsid w:val="003A5417"/>
    <w:rsid w:val="003A54BA"/>
    <w:rsid w:val="003A7195"/>
    <w:rsid w:val="003B15C5"/>
    <w:rsid w:val="003B4ACC"/>
    <w:rsid w:val="003B5A67"/>
    <w:rsid w:val="003C42A2"/>
    <w:rsid w:val="003C4FAC"/>
    <w:rsid w:val="003C60A2"/>
    <w:rsid w:val="003D0215"/>
    <w:rsid w:val="003D2069"/>
    <w:rsid w:val="003D549B"/>
    <w:rsid w:val="003D55E0"/>
    <w:rsid w:val="003D78F5"/>
    <w:rsid w:val="003E4B17"/>
    <w:rsid w:val="003F598B"/>
    <w:rsid w:val="00401FFA"/>
    <w:rsid w:val="004021B0"/>
    <w:rsid w:val="00407D0A"/>
    <w:rsid w:val="00412EDE"/>
    <w:rsid w:val="004142C8"/>
    <w:rsid w:val="0041528C"/>
    <w:rsid w:val="00420DC1"/>
    <w:rsid w:val="004317DB"/>
    <w:rsid w:val="004336EA"/>
    <w:rsid w:val="00433AD8"/>
    <w:rsid w:val="004406C7"/>
    <w:rsid w:val="00440A4A"/>
    <w:rsid w:val="00441461"/>
    <w:rsid w:val="004414ED"/>
    <w:rsid w:val="004458E2"/>
    <w:rsid w:val="00450742"/>
    <w:rsid w:val="00451806"/>
    <w:rsid w:val="00454665"/>
    <w:rsid w:val="00461135"/>
    <w:rsid w:val="00473D46"/>
    <w:rsid w:val="00476FE5"/>
    <w:rsid w:val="004771B6"/>
    <w:rsid w:val="00481D5D"/>
    <w:rsid w:val="004841C2"/>
    <w:rsid w:val="0048527C"/>
    <w:rsid w:val="00493772"/>
    <w:rsid w:val="004958E1"/>
    <w:rsid w:val="00497AF8"/>
    <w:rsid w:val="004A21F8"/>
    <w:rsid w:val="004A2813"/>
    <w:rsid w:val="004B510C"/>
    <w:rsid w:val="004B639B"/>
    <w:rsid w:val="004B77E3"/>
    <w:rsid w:val="004B7B3D"/>
    <w:rsid w:val="004C20CA"/>
    <w:rsid w:val="004C2FE9"/>
    <w:rsid w:val="004C5141"/>
    <w:rsid w:val="004D0D5D"/>
    <w:rsid w:val="004D356C"/>
    <w:rsid w:val="004D43C6"/>
    <w:rsid w:val="004D7ABF"/>
    <w:rsid w:val="004E1952"/>
    <w:rsid w:val="004E2614"/>
    <w:rsid w:val="004F2FBC"/>
    <w:rsid w:val="004F5950"/>
    <w:rsid w:val="004F682C"/>
    <w:rsid w:val="0050167C"/>
    <w:rsid w:val="0050168C"/>
    <w:rsid w:val="00503160"/>
    <w:rsid w:val="00510D6F"/>
    <w:rsid w:val="005152EE"/>
    <w:rsid w:val="00515900"/>
    <w:rsid w:val="00515C43"/>
    <w:rsid w:val="0051636E"/>
    <w:rsid w:val="00524091"/>
    <w:rsid w:val="0052416F"/>
    <w:rsid w:val="00526916"/>
    <w:rsid w:val="00532853"/>
    <w:rsid w:val="005351F4"/>
    <w:rsid w:val="00536BA6"/>
    <w:rsid w:val="0054231E"/>
    <w:rsid w:val="00546687"/>
    <w:rsid w:val="00546EC4"/>
    <w:rsid w:val="00550F30"/>
    <w:rsid w:val="005541C2"/>
    <w:rsid w:val="005562DF"/>
    <w:rsid w:val="005562E3"/>
    <w:rsid w:val="00561572"/>
    <w:rsid w:val="00562CC8"/>
    <w:rsid w:val="00563771"/>
    <w:rsid w:val="00564893"/>
    <w:rsid w:val="00564F49"/>
    <w:rsid w:val="0056785F"/>
    <w:rsid w:val="005704C2"/>
    <w:rsid w:val="00571EC8"/>
    <w:rsid w:val="005837FF"/>
    <w:rsid w:val="005902CA"/>
    <w:rsid w:val="00590A45"/>
    <w:rsid w:val="00591C6C"/>
    <w:rsid w:val="00594C75"/>
    <w:rsid w:val="005A182D"/>
    <w:rsid w:val="005A1B16"/>
    <w:rsid w:val="005B663F"/>
    <w:rsid w:val="005B74C7"/>
    <w:rsid w:val="005C0629"/>
    <w:rsid w:val="005C1A60"/>
    <w:rsid w:val="005C4EDA"/>
    <w:rsid w:val="005D0352"/>
    <w:rsid w:val="005D1310"/>
    <w:rsid w:val="005D281F"/>
    <w:rsid w:val="005D56F1"/>
    <w:rsid w:val="005E0FCA"/>
    <w:rsid w:val="00602B04"/>
    <w:rsid w:val="0060737E"/>
    <w:rsid w:val="00611129"/>
    <w:rsid w:val="00611759"/>
    <w:rsid w:val="00613C51"/>
    <w:rsid w:val="006164B1"/>
    <w:rsid w:val="006169C4"/>
    <w:rsid w:val="006205A9"/>
    <w:rsid w:val="00621200"/>
    <w:rsid w:val="00630D52"/>
    <w:rsid w:val="00632E00"/>
    <w:rsid w:val="00636D14"/>
    <w:rsid w:val="006476B7"/>
    <w:rsid w:val="006509E2"/>
    <w:rsid w:val="00651061"/>
    <w:rsid w:val="00660820"/>
    <w:rsid w:val="00661383"/>
    <w:rsid w:val="00666368"/>
    <w:rsid w:val="00666B6B"/>
    <w:rsid w:val="00666D75"/>
    <w:rsid w:val="006732F4"/>
    <w:rsid w:val="00674037"/>
    <w:rsid w:val="006871D0"/>
    <w:rsid w:val="00692EFC"/>
    <w:rsid w:val="00694F34"/>
    <w:rsid w:val="00696A98"/>
    <w:rsid w:val="006A1A52"/>
    <w:rsid w:val="006A3D86"/>
    <w:rsid w:val="006B6DA6"/>
    <w:rsid w:val="006C0755"/>
    <w:rsid w:val="006C2F74"/>
    <w:rsid w:val="006C51B8"/>
    <w:rsid w:val="006C63EC"/>
    <w:rsid w:val="006C6A21"/>
    <w:rsid w:val="006D176C"/>
    <w:rsid w:val="006D323A"/>
    <w:rsid w:val="006D5A97"/>
    <w:rsid w:val="006E2020"/>
    <w:rsid w:val="006F0964"/>
    <w:rsid w:val="006F69A0"/>
    <w:rsid w:val="00700A59"/>
    <w:rsid w:val="00702AF3"/>
    <w:rsid w:val="0070657E"/>
    <w:rsid w:val="00715EFE"/>
    <w:rsid w:val="00720CA8"/>
    <w:rsid w:val="00723356"/>
    <w:rsid w:val="00723E03"/>
    <w:rsid w:val="00726EAE"/>
    <w:rsid w:val="00731246"/>
    <w:rsid w:val="00734A5E"/>
    <w:rsid w:val="00740A8E"/>
    <w:rsid w:val="00742882"/>
    <w:rsid w:val="00744CE0"/>
    <w:rsid w:val="00746A33"/>
    <w:rsid w:val="0074702E"/>
    <w:rsid w:val="00747C4B"/>
    <w:rsid w:val="00750299"/>
    <w:rsid w:val="00751779"/>
    <w:rsid w:val="00757466"/>
    <w:rsid w:val="00765CED"/>
    <w:rsid w:val="0076695F"/>
    <w:rsid w:val="0077509F"/>
    <w:rsid w:val="007920C4"/>
    <w:rsid w:val="007933F7"/>
    <w:rsid w:val="0079513C"/>
    <w:rsid w:val="007968A8"/>
    <w:rsid w:val="007A1819"/>
    <w:rsid w:val="007A5AE7"/>
    <w:rsid w:val="007A6E04"/>
    <w:rsid w:val="007A7991"/>
    <w:rsid w:val="007B1711"/>
    <w:rsid w:val="007B1D60"/>
    <w:rsid w:val="007B3F68"/>
    <w:rsid w:val="007B7D2B"/>
    <w:rsid w:val="007C30B7"/>
    <w:rsid w:val="007C658D"/>
    <w:rsid w:val="007D2FCB"/>
    <w:rsid w:val="007D51D6"/>
    <w:rsid w:val="007D54F1"/>
    <w:rsid w:val="007D6DD7"/>
    <w:rsid w:val="007E764E"/>
    <w:rsid w:val="007E79BF"/>
    <w:rsid w:val="007F5A65"/>
    <w:rsid w:val="007F6CE6"/>
    <w:rsid w:val="00801E1A"/>
    <w:rsid w:val="00805838"/>
    <w:rsid w:val="00811835"/>
    <w:rsid w:val="00812206"/>
    <w:rsid w:val="00812269"/>
    <w:rsid w:val="0081228D"/>
    <w:rsid w:val="008133C0"/>
    <w:rsid w:val="00813EAB"/>
    <w:rsid w:val="00814931"/>
    <w:rsid w:val="00821831"/>
    <w:rsid w:val="0082358D"/>
    <w:rsid w:val="00824DC4"/>
    <w:rsid w:val="008417E9"/>
    <w:rsid w:val="00846632"/>
    <w:rsid w:val="00850AAA"/>
    <w:rsid w:val="0086527E"/>
    <w:rsid w:val="008734F8"/>
    <w:rsid w:val="00877836"/>
    <w:rsid w:val="008803D6"/>
    <w:rsid w:val="0088094E"/>
    <w:rsid w:val="00883AF2"/>
    <w:rsid w:val="0089234E"/>
    <w:rsid w:val="00893DD7"/>
    <w:rsid w:val="00894CA1"/>
    <w:rsid w:val="00895291"/>
    <w:rsid w:val="00896311"/>
    <w:rsid w:val="008A466E"/>
    <w:rsid w:val="008C596D"/>
    <w:rsid w:val="008C6259"/>
    <w:rsid w:val="008D6DA3"/>
    <w:rsid w:val="008E1136"/>
    <w:rsid w:val="008E5417"/>
    <w:rsid w:val="008F2301"/>
    <w:rsid w:val="008F5DB3"/>
    <w:rsid w:val="009052D3"/>
    <w:rsid w:val="00906053"/>
    <w:rsid w:val="009060A6"/>
    <w:rsid w:val="0090780D"/>
    <w:rsid w:val="00907CF3"/>
    <w:rsid w:val="00911EB0"/>
    <w:rsid w:val="0091234E"/>
    <w:rsid w:val="009177ED"/>
    <w:rsid w:val="0091787F"/>
    <w:rsid w:val="00920FC5"/>
    <w:rsid w:val="00921626"/>
    <w:rsid w:val="009242E7"/>
    <w:rsid w:val="00926BCD"/>
    <w:rsid w:val="009303EB"/>
    <w:rsid w:val="009318B4"/>
    <w:rsid w:val="00933332"/>
    <w:rsid w:val="00934541"/>
    <w:rsid w:val="00942A0A"/>
    <w:rsid w:val="009446D2"/>
    <w:rsid w:val="00946257"/>
    <w:rsid w:val="00947CDF"/>
    <w:rsid w:val="00957C5B"/>
    <w:rsid w:val="00960656"/>
    <w:rsid w:val="00961357"/>
    <w:rsid w:val="00972169"/>
    <w:rsid w:val="00974353"/>
    <w:rsid w:val="009756A5"/>
    <w:rsid w:val="009774EA"/>
    <w:rsid w:val="00977A0E"/>
    <w:rsid w:val="00980D00"/>
    <w:rsid w:val="00986688"/>
    <w:rsid w:val="00986943"/>
    <w:rsid w:val="00986BBC"/>
    <w:rsid w:val="00987A93"/>
    <w:rsid w:val="0099771A"/>
    <w:rsid w:val="009A169C"/>
    <w:rsid w:val="009A77B4"/>
    <w:rsid w:val="009B0AB2"/>
    <w:rsid w:val="009B2113"/>
    <w:rsid w:val="009B4066"/>
    <w:rsid w:val="009B4152"/>
    <w:rsid w:val="009D5767"/>
    <w:rsid w:val="009E0C7C"/>
    <w:rsid w:val="009E498C"/>
    <w:rsid w:val="009E7A56"/>
    <w:rsid w:val="009F0536"/>
    <w:rsid w:val="009F070D"/>
    <w:rsid w:val="009F1935"/>
    <w:rsid w:val="009F2B2E"/>
    <w:rsid w:val="009F367A"/>
    <w:rsid w:val="00A004A5"/>
    <w:rsid w:val="00A02090"/>
    <w:rsid w:val="00A06058"/>
    <w:rsid w:val="00A1012F"/>
    <w:rsid w:val="00A1551C"/>
    <w:rsid w:val="00A1640E"/>
    <w:rsid w:val="00A22B0E"/>
    <w:rsid w:val="00A238CC"/>
    <w:rsid w:val="00A34D37"/>
    <w:rsid w:val="00A4542B"/>
    <w:rsid w:val="00A53C8F"/>
    <w:rsid w:val="00A60431"/>
    <w:rsid w:val="00A61916"/>
    <w:rsid w:val="00A65E77"/>
    <w:rsid w:val="00A67285"/>
    <w:rsid w:val="00A75B47"/>
    <w:rsid w:val="00A75E56"/>
    <w:rsid w:val="00A7605F"/>
    <w:rsid w:val="00A805EB"/>
    <w:rsid w:val="00A8593B"/>
    <w:rsid w:val="00A86044"/>
    <w:rsid w:val="00A8621B"/>
    <w:rsid w:val="00A912F1"/>
    <w:rsid w:val="00A92E27"/>
    <w:rsid w:val="00A94124"/>
    <w:rsid w:val="00A95BF3"/>
    <w:rsid w:val="00A966B3"/>
    <w:rsid w:val="00AB6697"/>
    <w:rsid w:val="00AC0904"/>
    <w:rsid w:val="00AC20AD"/>
    <w:rsid w:val="00AC2530"/>
    <w:rsid w:val="00AC44D4"/>
    <w:rsid w:val="00AD2999"/>
    <w:rsid w:val="00AD30F0"/>
    <w:rsid w:val="00AD319D"/>
    <w:rsid w:val="00AD38C7"/>
    <w:rsid w:val="00AD3A2D"/>
    <w:rsid w:val="00AE2648"/>
    <w:rsid w:val="00AE3C83"/>
    <w:rsid w:val="00AE4C1E"/>
    <w:rsid w:val="00AE5D10"/>
    <w:rsid w:val="00AE7122"/>
    <w:rsid w:val="00AE737E"/>
    <w:rsid w:val="00AF137F"/>
    <w:rsid w:val="00AF30B1"/>
    <w:rsid w:val="00B0525A"/>
    <w:rsid w:val="00B05497"/>
    <w:rsid w:val="00B10868"/>
    <w:rsid w:val="00B1308F"/>
    <w:rsid w:val="00B16168"/>
    <w:rsid w:val="00B234CE"/>
    <w:rsid w:val="00B2490C"/>
    <w:rsid w:val="00B2491A"/>
    <w:rsid w:val="00B34AF2"/>
    <w:rsid w:val="00B34AF5"/>
    <w:rsid w:val="00B34F78"/>
    <w:rsid w:val="00B41EB2"/>
    <w:rsid w:val="00B420B3"/>
    <w:rsid w:val="00B56298"/>
    <w:rsid w:val="00B65E28"/>
    <w:rsid w:val="00B67148"/>
    <w:rsid w:val="00B725E5"/>
    <w:rsid w:val="00B7374A"/>
    <w:rsid w:val="00B74B91"/>
    <w:rsid w:val="00B83424"/>
    <w:rsid w:val="00B84E03"/>
    <w:rsid w:val="00B90CDC"/>
    <w:rsid w:val="00B91B47"/>
    <w:rsid w:val="00B94EF4"/>
    <w:rsid w:val="00B96DC3"/>
    <w:rsid w:val="00BA2B96"/>
    <w:rsid w:val="00BA31D8"/>
    <w:rsid w:val="00BA39E5"/>
    <w:rsid w:val="00BB1118"/>
    <w:rsid w:val="00BC7E7B"/>
    <w:rsid w:val="00BD335F"/>
    <w:rsid w:val="00BD7803"/>
    <w:rsid w:val="00BE23B6"/>
    <w:rsid w:val="00BE378A"/>
    <w:rsid w:val="00BF0590"/>
    <w:rsid w:val="00BF5E7F"/>
    <w:rsid w:val="00BF7E0A"/>
    <w:rsid w:val="00C019A1"/>
    <w:rsid w:val="00C05E36"/>
    <w:rsid w:val="00C072B5"/>
    <w:rsid w:val="00C107FE"/>
    <w:rsid w:val="00C2039B"/>
    <w:rsid w:val="00C20A62"/>
    <w:rsid w:val="00C213D3"/>
    <w:rsid w:val="00C25968"/>
    <w:rsid w:val="00C35A70"/>
    <w:rsid w:val="00C36D48"/>
    <w:rsid w:val="00C4240B"/>
    <w:rsid w:val="00C444FC"/>
    <w:rsid w:val="00C47D84"/>
    <w:rsid w:val="00C47E1C"/>
    <w:rsid w:val="00C5401E"/>
    <w:rsid w:val="00C5529B"/>
    <w:rsid w:val="00C606D3"/>
    <w:rsid w:val="00C6370A"/>
    <w:rsid w:val="00C66AD9"/>
    <w:rsid w:val="00C67347"/>
    <w:rsid w:val="00C673ED"/>
    <w:rsid w:val="00C72E8F"/>
    <w:rsid w:val="00C76DC9"/>
    <w:rsid w:val="00C76EE5"/>
    <w:rsid w:val="00C81B8E"/>
    <w:rsid w:val="00C8283B"/>
    <w:rsid w:val="00C82E92"/>
    <w:rsid w:val="00C84AF4"/>
    <w:rsid w:val="00C85074"/>
    <w:rsid w:val="00C8630A"/>
    <w:rsid w:val="00C90F3E"/>
    <w:rsid w:val="00C911B6"/>
    <w:rsid w:val="00C972B1"/>
    <w:rsid w:val="00CA2DD2"/>
    <w:rsid w:val="00CA5B40"/>
    <w:rsid w:val="00CC1F89"/>
    <w:rsid w:val="00CC334B"/>
    <w:rsid w:val="00CC34CE"/>
    <w:rsid w:val="00CC6165"/>
    <w:rsid w:val="00CC72FD"/>
    <w:rsid w:val="00CC75E6"/>
    <w:rsid w:val="00CD78EF"/>
    <w:rsid w:val="00CE2AB7"/>
    <w:rsid w:val="00CE6FCE"/>
    <w:rsid w:val="00CE78F9"/>
    <w:rsid w:val="00CF00F2"/>
    <w:rsid w:val="00CF1D50"/>
    <w:rsid w:val="00CF286B"/>
    <w:rsid w:val="00CF4C02"/>
    <w:rsid w:val="00D0008C"/>
    <w:rsid w:val="00D024FD"/>
    <w:rsid w:val="00D03DDE"/>
    <w:rsid w:val="00D0474B"/>
    <w:rsid w:val="00D058F6"/>
    <w:rsid w:val="00D10364"/>
    <w:rsid w:val="00D10D44"/>
    <w:rsid w:val="00D21421"/>
    <w:rsid w:val="00D26ACC"/>
    <w:rsid w:val="00D3070F"/>
    <w:rsid w:val="00D3177E"/>
    <w:rsid w:val="00D318FF"/>
    <w:rsid w:val="00D31C08"/>
    <w:rsid w:val="00D3212E"/>
    <w:rsid w:val="00D327AF"/>
    <w:rsid w:val="00D36E6E"/>
    <w:rsid w:val="00D45AFE"/>
    <w:rsid w:val="00D51FCC"/>
    <w:rsid w:val="00D528FA"/>
    <w:rsid w:val="00D52A1E"/>
    <w:rsid w:val="00D5412D"/>
    <w:rsid w:val="00D56DF5"/>
    <w:rsid w:val="00D629D3"/>
    <w:rsid w:val="00D64A2E"/>
    <w:rsid w:val="00D713DD"/>
    <w:rsid w:val="00D90A71"/>
    <w:rsid w:val="00D90B06"/>
    <w:rsid w:val="00D94E5A"/>
    <w:rsid w:val="00DA1FB0"/>
    <w:rsid w:val="00DA5BC5"/>
    <w:rsid w:val="00DA7815"/>
    <w:rsid w:val="00DB07F6"/>
    <w:rsid w:val="00DC3CA5"/>
    <w:rsid w:val="00DC4BE5"/>
    <w:rsid w:val="00DD487B"/>
    <w:rsid w:val="00DE0786"/>
    <w:rsid w:val="00DE572A"/>
    <w:rsid w:val="00DE5F8D"/>
    <w:rsid w:val="00DF7477"/>
    <w:rsid w:val="00E0627A"/>
    <w:rsid w:val="00E102E6"/>
    <w:rsid w:val="00E11437"/>
    <w:rsid w:val="00E1230F"/>
    <w:rsid w:val="00E1435A"/>
    <w:rsid w:val="00E163B0"/>
    <w:rsid w:val="00E171F4"/>
    <w:rsid w:val="00E3082A"/>
    <w:rsid w:val="00E37F61"/>
    <w:rsid w:val="00E42697"/>
    <w:rsid w:val="00E427B1"/>
    <w:rsid w:val="00E4498E"/>
    <w:rsid w:val="00E4753E"/>
    <w:rsid w:val="00E536E5"/>
    <w:rsid w:val="00E541E0"/>
    <w:rsid w:val="00E54C0C"/>
    <w:rsid w:val="00E57CC6"/>
    <w:rsid w:val="00E62DC3"/>
    <w:rsid w:val="00E76721"/>
    <w:rsid w:val="00E8581B"/>
    <w:rsid w:val="00E87D37"/>
    <w:rsid w:val="00E92DF2"/>
    <w:rsid w:val="00E93050"/>
    <w:rsid w:val="00E9347C"/>
    <w:rsid w:val="00E969F7"/>
    <w:rsid w:val="00E97C26"/>
    <w:rsid w:val="00EA2F0F"/>
    <w:rsid w:val="00EA3DEA"/>
    <w:rsid w:val="00EA6A05"/>
    <w:rsid w:val="00EB0771"/>
    <w:rsid w:val="00EB2A93"/>
    <w:rsid w:val="00EC09E7"/>
    <w:rsid w:val="00EC3B29"/>
    <w:rsid w:val="00ED4695"/>
    <w:rsid w:val="00ED5112"/>
    <w:rsid w:val="00ED548C"/>
    <w:rsid w:val="00ED6E0A"/>
    <w:rsid w:val="00EE06DB"/>
    <w:rsid w:val="00EE18F2"/>
    <w:rsid w:val="00EE34B6"/>
    <w:rsid w:val="00EE3921"/>
    <w:rsid w:val="00F06925"/>
    <w:rsid w:val="00F140CD"/>
    <w:rsid w:val="00F1527C"/>
    <w:rsid w:val="00F1592B"/>
    <w:rsid w:val="00F15AE1"/>
    <w:rsid w:val="00F238C4"/>
    <w:rsid w:val="00F43248"/>
    <w:rsid w:val="00F4577C"/>
    <w:rsid w:val="00F50AE2"/>
    <w:rsid w:val="00F52D0D"/>
    <w:rsid w:val="00F57BCB"/>
    <w:rsid w:val="00F607AC"/>
    <w:rsid w:val="00F638E2"/>
    <w:rsid w:val="00F64761"/>
    <w:rsid w:val="00F707F4"/>
    <w:rsid w:val="00F7503E"/>
    <w:rsid w:val="00F77F2E"/>
    <w:rsid w:val="00F84232"/>
    <w:rsid w:val="00F8560F"/>
    <w:rsid w:val="00F8690A"/>
    <w:rsid w:val="00F942BB"/>
    <w:rsid w:val="00FB6D57"/>
    <w:rsid w:val="00FB6EF6"/>
    <w:rsid w:val="00FC42EB"/>
    <w:rsid w:val="00FC590E"/>
    <w:rsid w:val="00FE1717"/>
    <w:rsid w:val="00FE2153"/>
    <w:rsid w:val="00FE750B"/>
    <w:rsid w:val="00FF2B5A"/>
    <w:rsid w:val="00FF35CA"/>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0F05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75B47"/>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A75B47"/>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A75B47"/>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rsid w:val="00A75B47"/>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A75B47"/>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A75B47"/>
    <w:rPr>
      <w:rFonts w:ascii="Arial" w:eastAsia="Times New Roman" w:hAnsi="Arial" w:cs="Arial"/>
      <w:i/>
      <w:iCs/>
      <w:color w:val="999999"/>
      <w:sz w:val="16"/>
      <w:szCs w:val="24"/>
    </w:rPr>
  </w:style>
  <w:style w:type="numbering" w:customStyle="1" w:styleId="NoList2">
    <w:name w:val="No List2"/>
    <w:next w:val="NoList"/>
    <w:uiPriority w:val="99"/>
    <w:semiHidden/>
    <w:unhideWhenUsed/>
    <w:rsid w:val="00A75B47"/>
  </w:style>
  <w:style w:type="numbering" w:customStyle="1" w:styleId="1111111">
    <w:name w:val="1 / 1.1 / 1.1.11"/>
    <w:basedOn w:val="NoList"/>
    <w:next w:val="111111"/>
    <w:rsid w:val="00A75B47"/>
  </w:style>
  <w:style w:type="paragraph" w:styleId="BodyText">
    <w:name w:val="Body Text"/>
    <w:basedOn w:val="Normal"/>
    <w:link w:val="BodyTextChar"/>
    <w:uiPriority w:val="1"/>
    <w:qFormat/>
    <w:rsid w:val="00A75B47"/>
    <w:pPr>
      <w:widowControl w:val="0"/>
      <w:spacing w:after="0" w:line="240" w:lineRule="auto"/>
      <w:ind w:left="112"/>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75B47"/>
    <w:rPr>
      <w:rFonts w:ascii="Times New Roman" w:eastAsia="Times New Roman" w:hAnsi="Times New Roman" w:cs="Times New Roman"/>
    </w:rPr>
  </w:style>
  <w:style w:type="paragraph" w:styleId="ListParagraph">
    <w:name w:val="List Paragraph"/>
    <w:basedOn w:val="Normal"/>
    <w:uiPriority w:val="34"/>
    <w:qFormat/>
    <w:rsid w:val="00A75B47"/>
    <w:pPr>
      <w:widowControl w:val="0"/>
      <w:spacing w:after="0" w:line="240" w:lineRule="auto"/>
    </w:pPr>
    <w:rPr>
      <w:rFonts w:ascii="Calibri" w:eastAsia="Calibri" w:hAnsi="Calibri" w:cs="Times New Roman"/>
    </w:rPr>
  </w:style>
  <w:style w:type="character" w:styleId="Emphasis">
    <w:name w:val="Emphasis"/>
    <w:uiPriority w:val="20"/>
    <w:qFormat/>
    <w:rsid w:val="00A75B47"/>
    <w:rPr>
      <w:i/>
      <w:iCs/>
    </w:rPr>
  </w:style>
  <w:style w:type="paragraph" w:customStyle="1" w:styleId="TableParagraph">
    <w:name w:val="Table Paragraph"/>
    <w:basedOn w:val="Normal"/>
    <w:uiPriority w:val="1"/>
    <w:qFormat/>
    <w:rsid w:val="00A75B47"/>
    <w:pPr>
      <w:widowControl w:val="0"/>
      <w:spacing w:after="0" w:line="240" w:lineRule="auto"/>
    </w:pPr>
    <w:rPr>
      <w:rFonts w:ascii="Calibri" w:eastAsia="Calibri" w:hAnsi="Calibri" w:cs="Times New Roman"/>
    </w:rPr>
  </w:style>
  <w:style w:type="table" w:customStyle="1" w:styleId="TableGrid2">
    <w:name w:val="Table Grid2"/>
    <w:basedOn w:val="TableNormal"/>
    <w:next w:val="TableGrid"/>
    <w:rsid w:val="00A75B4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SLOV123">
    <w:name w:val="NASLOV 123"/>
    <w:basedOn w:val="Normal"/>
    <w:qFormat/>
    <w:rsid w:val="00A75B47"/>
    <w:pPr>
      <w:tabs>
        <w:tab w:val="left" w:pos="284"/>
      </w:tabs>
      <w:spacing w:before="200" w:after="200" w:line="240" w:lineRule="auto"/>
    </w:pPr>
    <w:rPr>
      <w:rFonts w:ascii="Times New Roman" w:eastAsia="Times New Roman" w:hAnsi="Times New Roman" w:cs="Times New Roman"/>
      <w:b/>
    </w:rPr>
  </w:style>
  <w:style w:type="paragraph" w:customStyle="1" w:styleId="yiv2622609032msonormal">
    <w:name w:val="yiv2622609032msonormal"/>
    <w:basedOn w:val="Normal"/>
    <w:rsid w:val="00A75B4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rsid w:val="00A75B47"/>
    <w:pPr>
      <w:numPr>
        <w:numId w:val="21"/>
      </w:numPr>
      <w:tabs>
        <w:tab w:val="left" w:pos="284"/>
      </w:tabs>
      <w:spacing w:after="0" w:line="240" w:lineRule="auto"/>
      <w:contextualSpacing/>
      <w:jc w:val="both"/>
    </w:pPr>
    <w:rPr>
      <w:rFonts w:ascii="Times New Roman" w:eastAsia="Times New Roman" w:hAnsi="Times New Roman" w:cs="Times New Roman"/>
      <w:szCs w:val="24"/>
    </w:rPr>
  </w:style>
  <w:style w:type="paragraph" w:customStyle="1" w:styleId="TextTi12">
    <w:name w:val="Text:Ti12"/>
    <w:basedOn w:val="Normal"/>
    <w:rsid w:val="00A75B47"/>
    <w:pPr>
      <w:spacing w:after="170" w:line="280" w:lineRule="atLeast"/>
      <w:jc w:val="both"/>
    </w:pPr>
    <w:rPr>
      <w:rFonts w:ascii="Times New Roman" w:eastAsia="Times New Roman" w:hAnsi="Times New Roman" w:cs="Times New Roman"/>
      <w:szCs w:val="20"/>
      <w:lang w:eastAsia="ja-JP"/>
    </w:rPr>
  </w:style>
  <w:style w:type="paragraph" w:customStyle="1" w:styleId="TableTitle">
    <w:name w:val="Table Title"/>
    <w:basedOn w:val="Normal"/>
    <w:next w:val="Normal"/>
    <w:link w:val="TableTitleChar"/>
    <w:rsid w:val="00A75B47"/>
    <w:pPr>
      <w:keepNext/>
      <w:keepLines/>
      <w:tabs>
        <w:tab w:val="left" w:pos="1152"/>
      </w:tabs>
      <w:spacing w:before="40" w:line="280" w:lineRule="exact"/>
      <w:ind w:left="1152" w:hanging="1152"/>
    </w:pPr>
    <w:rPr>
      <w:rFonts w:ascii="Arial" w:eastAsia="SimSun" w:hAnsi="Arial" w:cs="Times New Roman"/>
      <w:b/>
      <w:sz w:val="24"/>
      <w:szCs w:val="24"/>
      <w:lang w:eastAsia="zh-CN"/>
    </w:rPr>
  </w:style>
  <w:style w:type="character" w:customStyle="1" w:styleId="TableTitleChar">
    <w:name w:val="Table Title Char"/>
    <w:link w:val="TableTitle"/>
    <w:rsid w:val="00A75B47"/>
    <w:rPr>
      <w:rFonts w:ascii="Arial" w:eastAsia="SimSun" w:hAnsi="Arial" w:cs="Times New Roman"/>
      <w:b/>
      <w:sz w:val="24"/>
      <w:szCs w:val="24"/>
      <w:lang w:eastAsia="zh-CN"/>
    </w:rPr>
  </w:style>
  <w:style w:type="paragraph" w:customStyle="1" w:styleId="Paragraph">
    <w:name w:val="Paragraph"/>
    <w:basedOn w:val="Normal"/>
    <w:link w:val="ParagraphChar1"/>
    <w:rsid w:val="00A75B47"/>
    <w:pPr>
      <w:spacing w:after="250" w:line="300" w:lineRule="atLeast"/>
    </w:pPr>
    <w:rPr>
      <w:rFonts w:ascii="Minion" w:eastAsia="Calibri" w:hAnsi="Minion" w:cs="Times New Roman"/>
    </w:rPr>
  </w:style>
  <w:style w:type="character" w:customStyle="1" w:styleId="ParagraphChar1">
    <w:name w:val="Paragraph Char1"/>
    <w:link w:val="Paragraph"/>
    <w:locked/>
    <w:rsid w:val="00A75B47"/>
    <w:rPr>
      <w:rFonts w:ascii="Minion" w:eastAsia="Calibri" w:hAnsi="Minion" w:cs="Times New Roman"/>
    </w:rPr>
  </w:style>
  <w:style w:type="table" w:customStyle="1" w:styleId="TableGrid3">
    <w:name w:val="Table Grid3"/>
    <w:basedOn w:val="TableNormal"/>
    <w:next w:val="TableGrid"/>
    <w:uiPriority w:val="39"/>
    <w:rsid w:val="00D10D4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67E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19A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809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3F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9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vigiflow-eforms.who-umc.org/me/mead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443A-B046-42FE-B3EA-7A1976DB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27770</Words>
  <Characters>158293</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3</cp:revision>
  <dcterms:created xsi:type="dcterms:W3CDTF">2025-01-30T12:58:00Z</dcterms:created>
  <dcterms:modified xsi:type="dcterms:W3CDTF">2025-01-30T12:58:00Z</dcterms:modified>
</cp:coreProperties>
</file>