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58562" w14:textId="77777777" w:rsidR="001A5518" w:rsidRPr="00F63435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0CAC52A" w14:textId="77777777" w:rsidR="00F91C7B" w:rsidRPr="00F63435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DFA9773" w14:textId="77777777" w:rsidR="002510A5" w:rsidRPr="00F63435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F63435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19103A6" w14:textId="77777777" w:rsidR="003C17AB" w:rsidRPr="00F63435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5345CE38" w14:textId="77777777" w:rsidR="00C37FD7" w:rsidRPr="00F63435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8052F28" w14:textId="77777777" w:rsidR="00411B4B" w:rsidRPr="00F6343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>1.</w:t>
      </w:r>
      <w:r w:rsidR="00F5167F" w:rsidRPr="00F63435">
        <w:rPr>
          <w:b/>
          <w:bCs/>
          <w:sz w:val="22"/>
          <w:szCs w:val="22"/>
          <w:lang w:val="sr-Latn-ME"/>
        </w:rPr>
        <w:tab/>
      </w:r>
      <w:r w:rsidR="002846DB" w:rsidRPr="00F63435">
        <w:rPr>
          <w:b/>
          <w:bCs/>
          <w:sz w:val="22"/>
          <w:szCs w:val="22"/>
          <w:lang w:val="sr-Latn-ME"/>
        </w:rPr>
        <w:t xml:space="preserve">NAZIV </w:t>
      </w:r>
      <w:r w:rsidRPr="00F63435">
        <w:rPr>
          <w:b/>
          <w:bCs/>
          <w:sz w:val="22"/>
          <w:szCs w:val="22"/>
          <w:lang w:val="sr-Latn-ME"/>
        </w:rPr>
        <w:t>LIJEKA</w:t>
      </w:r>
    </w:p>
    <w:p w14:paraId="39EEF230" w14:textId="77777777" w:rsidR="00EC2532" w:rsidRPr="00F63435" w:rsidRDefault="00EC2532">
      <w:pPr>
        <w:rPr>
          <w:sz w:val="22"/>
          <w:szCs w:val="22"/>
          <w:lang w:val="sr-Latn-ME"/>
        </w:rPr>
      </w:pPr>
    </w:p>
    <w:p w14:paraId="1ECE016B" w14:textId="15E63AA9" w:rsidR="000D425A" w:rsidRPr="00F63435" w:rsidRDefault="00AC5146">
      <w:pPr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Nurofen za d</w:t>
      </w:r>
      <w:r w:rsidR="007D672E" w:rsidRPr="00F63435">
        <w:rPr>
          <w:bCs/>
          <w:sz w:val="22"/>
          <w:szCs w:val="22"/>
          <w:lang w:val="sr-Latn-ME"/>
        </w:rPr>
        <w:t>jecu, 100</w:t>
      </w:r>
      <w:r w:rsidR="00FB3B71" w:rsidRPr="00F63435">
        <w:rPr>
          <w:bCs/>
          <w:sz w:val="22"/>
          <w:szCs w:val="22"/>
          <w:lang w:val="sr-Latn-ME"/>
        </w:rPr>
        <w:t xml:space="preserve"> </w:t>
      </w:r>
      <w:r w:rsidR="007D672E" w:rsidRPr="00F63435">
        <w:rPr>
          <w:bCs/>
          <w:sz w:val="22"/>
          <w:szCs w:val="22"/>
          <w:lang w:val="sr-Latn-ME"/>
        </w:rPr>
        <w:t>mg/</w:t>
      </w:r>
      <w:r w:rsidRPr="00F63435">
        <w:rPr>
          <w:bCs/>
          <w:sz w:val="22"/>
          <w:szCs w:val="22"/>
          <w:lang w:val="sr-Latn-ME"/>
        </w:rPr>
        <w:t>5</w:t>
      </w:r>
      <w:r w:rsidR="00FB3B71" w:rsidRPr="00F63435">
        <w:rPr>
          <w:bCs/>
          <w:sz w:val="22"/>
          <w:szCs w:val="22"/>
          <w:lang w:val="sr-Latn-ME"/>
        </w:rPr>
        <w:t xml:space="preserve"> </w:t>
      </w:r>
      <w:r w:rsidRPr="00F63435">
        <w:rPr>
          <w:bCs/>
          <w:sz w:val="22"/>
          <w:szCs w:val="22"/>
          <w:lang w:val="sr-Latn-ME"/>
        </w:rPr>
        <w:t>ml, oralna suspenzija</w:t>
      </w:r>
    </w:p>
    <w:p w14:paraId="60192183" w14:textId="77777777" w:rsidR="00B51C6E" w:rsidRPr="00F63435" w:rsidRDefault="001E234A" w:rsidP="001E234A">
      <w:pPr>
        <w:tabs>
          <w:tab w:val="left" w:pos="1665"/>
        </w:tabs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ab/>
      </w:r>
    </w:p>
    <w:p w14:paraId="3F278EE8" w14:textId="77777777" w:rsidR="006D20A5" w:rsidRPr="00F63435" w:rsidRDefault="006D20A5">
      <w:pPr>
        <w:rPr>
          <w:bCs/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INN:</w:t>
      </w:r>
      <w:r w:rsidR="000E7BB7" w:rsidRPr="00F63435">
        <w:rPr>
          <w:sz w:val="22"/>
          <w:szCs w:val="22"/>
          <w:lang w:val="sr-Latn-ME"/>
        </w:rPr>
        <w:t xml:space="preserve"> ibuprofen</w:t>
      </w:r>
    </w:p>
    <w:p w14:paraId="6BA23ED5" w14:textId="77777777" w:rsidR="00530BD7" w:rsidRPr="00F63435" w:rsidRDefault="00530BD7">
      <w:pPr>
        <w:rPr>
          <w:bCs/>
          <w:sz w:val="22"/>
          <w:szCs w:val="22"/>
          <w:lang w:val="sr-Latn-ME"/>
        </w:rPr>
      </w:pPr>
    </w:p>
    <w:p w14:paraId="4A516871" w14:textId="77777777" w:rsidR="00FB3B71" w:rsidRPr="00F63435" w:rsidRDefault="00FB3B71">
      <w:pPr>
        <w:rPr>
          <w:bCs/>
          <w:sz w:val="22"/>
          <w:szCs w:val="22"/>
          <w:lang w:val="sr-Latn-ME"/>
        </w:rPr>
      </w:pPr>
    </w:p>
    <w:p w14:paraId="302082A8" w14:textId="77777777" w:rsidR="005A0B2E" w:rsidRPr="00F63435" w:rsidRDefault="00411B4B" w:rsidP="006E7092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2. </w:t>
      </w:r>
      <w:r w:rsidR="00F5167F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KVALITATIVNI I KVANTITATIVNI SASTAV</w:t>
      </w:r>
    </w:p>
    <w:p w14:paraId="6A412512" w14:textId="77777777" w:rsidR="00AC5146" w:rsidRPr="00F63435" w:rsidRDefault="00AC5146" w:rsidP="00AC5146">
      <w:pPr>
        <w:rPr>
          <w:sz w:val="22"/>
          <w:szCs w:val="22"/>
          <w:lang w:val="sr-Latn-ME"/>
        </w:rPr>
      </w:pPr>
    </w:p>
    <w:p w14:paraId="60380CA9" w14:textId="77777777" w:rsidR="00AC5146" w:rsidRPr="00F63435" w:rsidRDefault="00AC5146" w:rsidP="00AC5146">
      <w:pPr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5 ml oralne suspenzije sadrži</w:t>
      </w:r>
      <w:r w:rsidR="00B51C6E" w:rsidRPr="00F63435">
        <w:rPr>
          <w:sz w:val="22"/>
          <w:szCs w:val="22"/>
          <w:lang w:val="sr-Latn-ME"/>
        </w:rPr>
        <w:t xml:space="preserve"> </w:t>
      </w:r>
      <w:r w:rsidRPr="00F63435">
        <w:rPr>
          <w:sz w:val="22"/>
          <w:szCs w:val="22"/>
          <w:lang w:val="sr-Latn-ME"/>
        </w:rPr>
        <w:t>100 mg</w:t>
      </w:r>
      <w:r w:rsidR="00B51C6E" w:rsidRPr="00F63435">
        <w:rPr>
          <w:sz w:val="22"/>
          <w:szCs w:val="22"/>
          <w:lang w:val="sr-Latn-ME"/>
        </w:rPr>
        <w:t xml:space="preserve"> ibuprofena.</w:t>
      </w:r>
    </w:p>
    <w:p w14:paraId="614AA987" w14:textId="77777777" w:rsidR="00A52AB8" w:rsidRPr="00F63435" w:rsidRDefault="00A52AB8" w:rsidP="00AC5146">
      <w:pPr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1 ml oralne suspenzije sadrži 20 mg </w:t>
      </w:r>
      <w:r w:rsidR="00B51C6E" w:rsidRPr="00F63435">
        <w:rPr>
          <w:sz w:val="22"/>
          <w:szCs w:val="22"/>
          <w:lang w:val="sr-Latn-ME"/>
        </w:rPr>
        <w:t>ibuprofen</w:t>
      </w:r>
      <w:r w:rsidR="00FE5ACD" w:rsidRPr="00F63435">
        <w:rPr>
          <w:sz w:val="22"/>
          <w:szCs w:val="22"/>
          <w:lang w:val="sr-Latn-ME"/>
        </w:rPr>
        <w:t>a.</w:t>
      </w:r>
    </w:p>
    <w:p w14:paraId="08567CBC" w14:textId="77777777" w:rsidR="00A52AB8" w:rsidRPr="00F63435" w:rsidRDefault="00A52AB8" w:rsidP="00AC5146">
      <w:pPr>
        <w:rPr>
          <w:sz w:val="22"/>
          <w:szCs w:val="22"/>
          <w:lang w:val="sr-Latn-ME"/>
        </w:rPr>
      </w:pPr>
    </w:p>
    <w:p w14:paraId="78FBDFDB" w14:textId="77777777" w:rsidR="00AC5146" w:rsidRPr="00F63435" w:rsidRDefault="00CB3095" w:rsidP="00AC5146">
      <w:pPr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Pomoćne supstance sa potvrđenim</w:t>
      </w:r>
      <w:r w:rsidR="00A52AB8" w:rsidRPr="00F63435">
        <w:rPr>
          <w:sz w:val="22"/>
          <w:szCs w:val="22"/>
          <w:lang w:val="sr-Latn-ME"/>
        </w:rPr>
        <w:t xml:space="preserve"> dejstvom:</w:t>
      </w:r>
    </w:p>
    <w:p w14:paraId="19B014CC" w14:textId="21ABE00A" w:rsidR="005763F9" w:rsidRPr="00F63435" w:rsidRDefault="00AC5146" w:rsidP="00AC5146">
      <w:pPr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5 ml oralne susp</w:t>
      </w:r>
      <w:r w:rsidR="00A52AB8" w:rsidRPr="00F63435">
        <w:rPr>
          <w:sz w:val="22"/>
          <w:szCs w:val="22"/>
          <w:lang w:val="sr-Latn-ME"/>
        </w:rPr>
        <w:t xml:space="preserve">enzije sadrži </w:t>
      </w:r>
      <w:r w:rsidR="005763F9" w:rsidRPr="00F63435">
        <w:rPr>
          <w:sz w:val="22"/>
          <w:szCs w:val="22"/>
          <w:lang w:val="sr-Latn-ME"/>
        </w:rPr>
        <w:t>2226 mg</w:t>
      </w:r>
      <w:r w:rsidR="00ED52BD" w:rsidRPr="00F63435">
        <w:rPr>
          <w:sz w:val="22"/>
          <w:szCs w:val="22"/>
          <w:lang w:val="sr-Latn-ME"/>
        </w:rPr>
        <w:t xml:space="preserve"> </w:t>
      </w:r>
      <w:r w:rsidR="00A52AB8" w:rsidRPr="00F63435">
        <w:rPr>
          <w:sz w:val="22"/>
          <w:szCs w:val="22"/>
          <w:lang w:val="sr-Latn-ME"/>
        </w:rPr>
        <w:t>ma</w:t>
      </w:r>
      <w:r w:rsidRPr="00F63435">
        <w:rPr>
          <w:sz w:val="22"/>
          <w:szCs w:val="22"/>
          <w:lang w:val="sr-Latn-ME"/>
        </w:rPr>
        <w:t>l</w:t>
      </w:r>
      <w:r w:rsidR="00A52AB8" w:rsidRPr="00F63435">
        <w:rPr>
          <w:sz w:val="22"/>
          <w:szCs w:val="22"/>
          <w:lang w:val="sr-Latn-ME"/>
        </w:rPr>
        <w:t>t</w:t>
      </w:r>
      <w:r w:rsidRPr="00F63435">
        <w:rPr>
          <w:sz w:val="22"/>
          <w:szCs w:val="22"/>
          <w:lang w:val="sr-Latn-ME"/>
        </w:rPr>
        <w:t>itola</w:t>
      </w:r>
      <w:r w:rsidR="00BF5398" w:rsidRPr="00F63435">
        <w:rPr>
          <w:sz w:val="22"/>
          <w:szCs w:val="22"/>
          <w:lang w:val="sr-Latn-ME"/>
        </w:rPr>
        <w:t>, tečnog.</w:t>
      </w:r>
    </w:p>
    <w:p w14:paraId="131A962D" w14:textId="77777777" w:rsidR="001E234A" w:rsidRPr="00F63435" w:rsidRDefault="001E234A" w:rsidP="001E234A">
      <w:pPr>
        <w:pStyle w:val="Style"/>
        <w:tabs>
          <w:tab w:val="left" w:pos="567"/>
          <w:tab w:val="left" w:pos="9356"/>
        </w:tabs>
        <w:ind w:right="3956"/>
        <w:jc w:val="both"/>
        <w:rPr>
          <w:sz w:val="22"/>
          <w:szCs w:val="22"/>
          <w:lang w:val="sr-Latn-ME" w:bidi="he-IL"/>
        </w:rPr>
      </w:pPr>
      <w:r w:rsidRPr="00F63435">
        <w:rPr>
          <w:sz w:val="22"/>
          <w:szCs w:val="22"/>
          <w:lang w:val="sr-Latn-ME" w:bidi="he-IL"/>
        </w:rPr>
        <w:t>5 ml oralne suspenzije sadrži 9,08 mg (0,</w:t>
      </w:r>
      <w:r w:rsidRPr="00F63435">
        <w:rPr>
          <w:sz w:val="22"/>
          <w:szCs w:val="22"/>
          <w:lang w:val="sr-Latn-ME"/>
        </w:rPr>
        <w:t xml:space="preserve"> </w:t>
      </w:r>
      <w:r w:rsidRPr="00F63435">
        <w:rPr>
          <w:sz w:val="22"/>
          <w:szCs w:val="22"/>
          <w:lang w:val="sr-Latn-ME" w:bidi="he-IL"/>
        </w:rPr>
        <w:t>39 mmol) natrijuma.</w:t>
      </w:r>
    </w:p>
    <w:p w14:paraId="7DFFFB6F" w14:textId="77777777" w:rsidR="001E234A" w:rsidRPr="00F63435" w:rsidRDefault="001E234A" w:rsidP="001E234A">
      <w:pPr>
        <w:pStyle w:val="Style"/>
        <w:tabs>
          <w:tab w:val="left" w:pos="567"/>
          <w:tab w:val="left" w:pos="9356"/>
        </w:tabs>
        <w:ind w:right="3956"/>
        <w:jc w:val="both"/>
        <w:rPr>
          <w:sz w:val="22"/>
          <w:szCs w:val="22"/>
          <w:lang w:val="sr-Latn-ME" w:bidi="he-IL"/>
        </w:rPr>
      </w:pPr>
      <w:r w:rsidRPr="00F63435">
        <w:rPr>
          <w:sz w:val="22"/>
          <w:szCs w:val="22"/>
          <w:lang w:val="sr-Latn-ME" w:bidi="he-IL"/>
        </w:rPr>
        <w:t>5 ml oralne suspenzije sadrži 11 mg pšeničnog skroba (prisutan u aromi narandže) koji ne sadrži više od 0,225 µg glutena u 5 ml oralne suspenzije.</w:t>
      </w:r>
    </w:p>
    <w:p w14:paraId="09E5BDAC" w14:textId="77777777" w:rsidR="005763F9" w:rsidRPr="00F63435" w:rsidRDefault="005763F9" w:rsidP="00AC5146">
      <w:pPr>
        <w:rPr>
          <w:sz w:val="22"/>
          <w:szCs w:val="22"/>
          <w:highlight w:val="yellow"/>
          <w:lang w:val="sr-Latn-ME"/>
        </w:rPr>
      </w:pPr>
    </w:p>
    <w:p w14:paraId="4DAA3205" w14:textId="77777777" w:rsidR="0003793F" w:rsidRPr="00F63435" w:rsidRDefault="00CB3095" w:rsidP="00AC5146">
      <w:pPr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Za spisak</w:t>
      </w:r>
      <w:r w:rsidR="00BF5398" w:rsidRPr="00F63435">
        <w:rPr>
          <w:sz w:val="22"/>
          <w:szCs w:val="22"/>
          <w:lang w:val="sr-Latn-ME"/>
        </w:rPr>
        <w:t xml:space="preserve"> svih ekscipijenasa</w:t>
      </w:r>
      <w:r w:rsidRPr="00F63435">
        <w:rPr>
          <w:sz w:val="22"/>
          <w:szCs w:val="22"/>
          <w:lang w:val="sr-Latn-ME"/>
        </w:rPr>
        <w:t>, pogledati dio</w:t>
      </w:r>
      <w:r w:rsidR="00AC5146" w:rsidRPr="00F63435">
        <w:rPr>
          <w:sz w:val="22"/>
          <w:szCs w:val="22"/>
          <w:lang w:val="sr-Latn-ME"/>
        </w:rPr>
        <w:t xml:space="preserve"> 6.1.</w:t>
      </w:r>
    </w:p>
    <w:p w14:paraId="154DCF0C" w14:textId="77777777" w:rsidR="00C37FD7" w:rsidRPr="00F63435" w:rsidRDefault="00C37FD7">
      <w:pPr>
        <w:rPr>
          <w:sz w:val="22"/>
          <w:szCs w:val="22"/>
          <w:lang w:val="sr-Latn-ME"/>
        </w:rPr>
      </w:pPr>
    </w:p>
    <w:p w14:paraId="650CC20B" w14:textId="77777777" w:rsidR="004C25B1" w:rsidRPr="00F63435" w:rsidRDefault="004C25B1">
      <w:pPr>
        <w:rPr>
          <w:sz w:val="22"/>
          <w:szCs w:val="22"/>
          <w:lang w:val="sr-Latn-ME"/>
        </w:rPr>
      </w:pPr>
    </w:p>
    <w:p w14:paraId="357D1329" w14:textId="77777777" w:rsidR="00411B4B" w:rsidRPr="00F6343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3. </w:t>
      </w:r>
      <w:r w:rsidR="00F5167F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FARMACEUTSKI OBLIK</w:t>
      </w:r>
      <w:r w:rsidR="009F2D23" w:rsidRPr="00F63435">
        <w:rPr>
          <w:b/>
          <w:bCs/>
          <w:sz w:val="22"/>
          <w:szCs w:val="22"/>
          <w:lang w:val="sr-Latn-ME"/>
        </w:rPr>
        <w:t xml:space="preserve"> </w:t>
      </w:r>
    </w:p>
    <w:p w14:paraId="1A54ECB4" w14:textId="77777777" w:rsidR="00AC5146" w:rsidRPr="00F63435" w:rsidRDefault="00AC5146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70982F1" w14:textId="77777777" w:rsidR="00AC5146" w:rsidRPr="00F63435" w:rsidRDefault="00AC5146" w:rsidP="00AC5146">
      <w:pPr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Oralna suspenzija</w:t>
      </w:r>
      <w:r w:rsidR="001C4819" w:rsidRPr="00F63435">
        <w:rPr>
          <w:bCs/>
          <w:sz w:val="22"/>
          <w:szCs w:val="22"/>
          <w:lang w:val="sr-Latn-ME"/>
        </w:rPr>
        <w:t>.</w:t>
      </w:r>
    </w:p>
    <w:p w14:paraId="52F13150" w14:textId="77777777" w:rsidR="00411B4B" w:rsidRPr="00F63435" w:rsidRDefault="00AC5146" w:rsidP="00AC5146">
      <w:pPr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Bjeličasta suspenzija sa ukusom pomorandže</w:t>
      </w:r>
      <w:r w:rsidR="001C4819" w:rsidRPr="00F63435">
        <w:rPr>
          <w:bCs/>
          <w:sz w:val="22"/>
          <w:szCs w:val="22"/>
          <w:lang w:val="sr-Latn-ME"/>
        </w:rPr>
        <w:t>.</w:t>
      </w:r>
    </w:p>
    <w:p w14:paraId="09FDBB22" w14:textId="77777777" w:rsidR="000E7BB7" w:rsidRPr="00F63435" w:rsidRDefault="000E7BB7" w:rsidP="000E7BB7">
      <w:pPr>
        <w:rPr>
          <w:bCs/>
          <w:sz w:val="22"/>
          <w:szCs w:val="22"/>
          <w:lang w:val="sr-Latn-ME"/>
        </w:rPr>
      </w:pPr>
    </w:p>
    <w:p w14:paraId="6600BE7F" w14:textId="77777777" w:rsidR="004C25B1" w:rsidRPr="00F63435" w:rsidRDefault="004C25B1" w:rsidP="000E7BB7">
      <w:pPr>
        <w:rPr>
          <w:bCs/>
          <w:sz w:val="22"/>
          <w:szCs w:val="22"/>
          <w:lang w:val="sr-Latn-ME"/>
        </w:rPr>
      </w:pPr>
    </w:p>
    <w:p w14:paraId="4599025A" w14:textId="77777777" w:rsidR="00411B4B" w:rsidRPr="00F63435" w:rsidRDefault="00411B4B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4.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KLINIČKI PODACI</w:t>
      </w:r>
    </w:p>
    <w:p w14:paraId="19FC05F9" w14:textId="77777777" w:rsidR="00CD6F02" w:rsidRPr="00F63435" w:rsidRDefault="00CD6F02" w:rsidP="001E23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7DDBAC" w14:textId="77777777" w:rsidR="00411B4B" w:rsidRPr="00F63435" w:rsidRDefault="00411B4B" w:rsidP="00D953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4.1.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Terapijske indikacije</w:t>
      </w:r>
    </w:p>
    <w:p w14:paraId="1B615ADC" w14:textId="77777777" w:rsidR="00AC5146" w:rsidRPr="00F63435" w:rsidRDefault="00AC5146" w:rsidP="00B04B0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0E769B1" w14:textId="77777777" w:rsidR="00A52AB8" w:rsidRPr="00F63435" w:rsidRDefault="00A52AB8" w:rsidP="00D953F0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lang w:val="sr-Latn-ME"/>
        </w:rPr>
        <w:t xml:space="preserve"> </w:t>
      </w:r>
      <w:r w:rsidR="00063BF4" w:rsidRPr="00F63435">
        <w:rPr>
          <w:sz w:val="22"/>
          <w:lang w:val="sr-Latn-ME"/>
        </w:rPr>
        <w:t xml:space="preserve">Lijek </w:t>
      </w:r>
      <w:r w:rsidRPr="00F63435">
        <w:rPr>
          <w:sz w:val="22"/>
          <w:szCs w:val="22"/>
          <w:lang w:val="sr-Latn-ME"/>
        </w:rPr>
        <w:t xml:space="preserve">Nurofen za djecu namijenjen je za kratkotrajno simptomatsko: </w:t>
      </w:r>
    </w:p>
    <w:p w14:paraId="48CE4E84" w14:textId="77777777" w:rsidR="00A52AB8" w:rsidRPr="00F63435" w:rsidRDefault="00A52AB8" w:rsidP="00B04B06">
      <w:pPr>
        <w:pStyle w:val="Default"/>
        <w:spacing w:after="158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-</w:t>
      </w:r>
      <w:r w:rsidR="00B04B06" w:rsidRPr="00F63435">
        <w:rPr>
          <w:sz w:val="22"/>
          <w:szCs w:val="22"/>
          <w:lang w:val="sr-Latn-ME"/>
        </w:rPr>
        <w:t xml:space="preserve"> </w:t>
      </w:r>
      <w:r w:rsidRPr="00F63435">
        <w:rPr>
          <w:sz w:val="22"/>
          <w:szCs w:val="22"/>
          <w:lang w:val="sr-Latn-ME"/>
        </w:rPr>
        <w:t>snižavanje povišene tjelesne temperature, uključujući povišenu tjelesnu temperaturu nakon vakcinacije</w:t>
      </w:r>
      <w:r w:rsidR="00B04B06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</w:t>
      </w:r>
    </w:p>
    <w:p w14:paraId="2DA70608" w14:textId="77777777" w:rsidR="00A52AB8" w:rsidRPr="00F63435" w:rsidRDefault="00A52AB8" w:rsidP="00B04B06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-</w:t>
      </w:r>
      <w:r w:rsidR="00B04B06" w:rsidRPr="00F63435">
        <w:rPr>
          <w:sz w:val="22"/>
          <w:szCs w:val="22"/>
          <w:lang w:val="sr-Latn-ME"/>
        </w:rPr>
        <w:t xml:space="preserve"> </w:t>
      </w:r>
      <w:r w:rsidRPr="00F63435">
        <w:rPr>
          <w:sz w:val="22"/>
          <w:szCs w:val="22"/>
          <w:lang w:val="sr-Latn-ME"/>
        </w:rPr>
        <w:t>ublažavanje blagih do</w:t>
      </w:r>
      <w:r w:rsidR="00AE009F" w:rsidRPr="00F63435">
        <w:rPr>
          <w:sz w:val="22"/>
          <w:szCs w:val="22"/>
          <w:lang w:val="sr-Latn-ME"/>
        </w:rPr>
        <w:t xml:space="preserve"> umjerenih bolova različitog po</w:t>
      </w:r>
      <w:r w:rsidRPr="00F63435">
        <w:rPr>
          <w:sz w:val="22"/>
          <w:szCs w:val="22"/>
          <w:lang w:val="sr-Latn-ME"/>
        </w:rPr>
        <w:t>rijekla</w:t>
      </w:r>
      <w:r w:rsidR="00B04B06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kao što su bolovi usljed prehlade i gripa, grlobolja, bolovi pri nicanju zuba, zubobolja, glavobolja, bolovi usljed manjih povreda zgloba (uganuća, iščašenja). </w:t>
      </w:r>
    </w:p>
    <w:p w14:paraId="7B9F2B4F" w14:textId="77777777" w:rsidR="00A52AB8" w:rsidRPr="00F63435" w:rsidRDefault="00A52AB8" w:rsidP="00B04B06">
      <w:pPr>
        <w:pStyle w:val="Default"/>
        <w:jc w:val="both"/>
        <w:rPr>
          <w:sz w:val="22"/>
          <w:szCs w:val="22"/>
          <w:lang w:val="sr-Latn-ME"/>
        </w:rPr>
      </w:pPr>
    </w:p>
    <w:p w14:paraId="244D5DB4" w14:textId="77777777" w:rsidR="000E7BB7" w:rsidRPr="00F63435" w:rsidRDefault="00A52AB8" w:rsidP="005A1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Lijek je namijenjen za primjenu kod djece </w:t>
      </w:r>
      <w:r w:rsidR="00B04B06" w:rsidRPr="00F63435">
        <w:rPr>
          <w:sz w:val="22"/>
          <w:szCs w:val="22"/>
          <w:lang w:val="sr-Latn-ME"/>
        </w:rPr>
        <w:t xml:space="preserve">uzrasta </w:t>
      </w:r>
      <w:r w:rsidRPr="00F63435">
        <w:rPr>
          <w:sz w:val="22"/>
          <w:szCs w:val="22"/>
          <w:lang w:val="sr-Latn-ME"/>
        </w:rPr>
        <w:t>iznad 3 mjeseca (tjelesne težine &gt; 5 kg) do 12 godina (tjelesne težine &lt; 40 kg).</w:t>
      </w:r>
    </w:p>
    <w:p w14:paraId="47107A5D" w14:textId="77777777" w:rsidR="00A52AB8" w:rsidRPr="00F63435" w:rsidRDefault="00A52AB8" w:rsidP="00C81A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330F8F" w14:textId="77777777" w:rsidR="00411B4B" w:rsidRPr="00F63435" w:rsidRDefault="00411B4B" w:rsidP="00A914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4.2.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Doziranje i način primjene</w:t>
      </w:r>
    </w:p>
    <w:p w14:paraId="67E8CF9E" w14:textId="77777777" w:rsidR="0072020E" w:rsidRPr="00F63435" w:rsidRDefault="0072020E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71C51A" w14:textId="02ECDF02" w:rsidR="00015692" w:rsidRPr="00F63435" w:rsidRDefault="00015692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Najnižu </w:t>
      </w:r>
      <w:r w:rsidR="00C97741" w:rsidRPr="00F63435">
        <w:rPr>
          <w:bCs/>
          <w:sz w:val="22"/>
          <w:szCs w:val="22"/>
          <w:lang w:val="sr-Latn-ME"/>
        </w:rPr>
        <w:t xml:space="preserve">efektivnu </w:t>
      </w:r>
      <w:r w:rsidRPr="00F63435">
        <w:rPr>
          <w:bCs/>
          <w:sz w:val="22"/>
          <w:szCs w:val="22"/>
          <w:lang w:val="sr-Latn-ME"/>
        </w:rPr>
        <w:t xml:space="preserve">dozu </w:t>
      </w:r>
      <w:r w:rsidR="00C97741" w:rsidRPr="00F63435">
        <w:rPr>
          <w:bCs/>
          <w:sz w:val="22"/>
          <w:szCs w:val="22"/>
          <w:lang w:val="sr-Latn-ME"/>
        </w:rPr>
        <w:t xml:space="preserve">je </w:t>
      </w:r>
      <w:r w:rsidRPr="00F63435">
        <w:rPr>
          <w:bCs/>
          <w:sz w:val="22"/>
          <w:szCs w:val="22"/>
          <w:lang w:val="sr-Latn-ME"/>
        </w:rPr>
        <w:t>potrebno primjenjivati tokom najkraćeg vremenskog perioda potrebnog za ublažavanje simptoma (vidjeti dio 4.4).</w:t>
      </w:r>
    </w:p>
    <w:p w14:paraId="3103C9EA" w14:textId="77777777" w:rsidR="00015692" w:rsidRPr="00F63435" w:rsidRDefault="00015692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65F431" w14:textId="77777777" w:rsidR="00A52AB8" w:rsidRPr="00F63435" w:rsidRDefault="00A52AB8" w:rsidP="001E234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63435">
        <w:rPr>
          <w:sz w:val="22"/>
          <w:szCs w:val="22"/>
          <w:u w:val="single"/>
          <w:lang w:val="sr-Latn-ME"/>
        </w:rPr>
        <w:t xml:space="preserve">Doziranje </w:t>
      </w:r>
    </w:p>
    <w:p w14:paraId="5755E200" w14:textId="77777777" w:rsidR="00A52AB8" w:rsidRPr="00F63435" w:rsidRDefault="00A52AB8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Samo za kratkotrajnu primjenu. </w:t>
      </w:r>
    </w:p>
    <w:p w14:paraId="14CC10EA" w14:textId="77777777" w:rsidR="00A52AB8" w:rsidRPr="00F63435" w:rsidRDefault="00025B61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lastRenderedPageBreak/>
        <w:t xml:space="preserve">Neželjena dejstva </w:t>
      </w:r>
      <w:r w:rsidR="00A52AB8" w:rsidRPr="00F63435">
        <w:rPr>
          <w:sz w:val="22"/>
          <w:szCs w:val="22"/>
          <w:lang w:val="sr-Latn-ME"/>
        </w:rPr>
        <w:t xml:space="preserve">se mogu minimizirati primjenom najniže </w:t>
      </w:r>
      <w:r w:rsidRPr="00F63435">
        <w:rPr>
          <w:sz w:val="22"/>
          <w:szCs w:val="22"/>
          <w:lang w:val="sr-Latn-ME"/>
        </w:rPr>
        <w:t xml:space="preserve">efektivne </w:t>
      </w:r>
      <w:r w:rsidR="00A52AB8" w:rsidRPr="00F63435">
        <w:rPr>
          <w:sz w:val="22"/>
          <w:szCs w:val="22"/>
          <w:lang w:val="sr-Latn-ME"/>
        </w:rPr>
        <w:t xml:space="preserve">doze kroz najkraće moguće vrijeme potrebno za ublažavanje simptoma (vidjeti dio 4.4). </w:t>
      </w:r>
    </w:p>
    <w:p w14:paraId="73B19E99" w14:textId="77777777" w:rsidR="00A52AB8" w:rsidRPr="00F63435" w:rsidRDefault="00A52AB8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Preporučene doze </w:t>
      </w:r>
      <w:r w:rsidR="00025B61" w:rsidRPr="00F63435">
        <w:rPr>
          <w:sz w:val="22"/>
          <w:szCs w:val="22"/>
          <w:lang w:val="sr-Latn-ME"/>
        </w:rPr>
        <w:t xml:space="preserve">su </w:t>
      </w:r>
      <w:r w:rsidRPr="00F63435">
        <w:rPr>
          <w:sz w:val="22"/>
          <w:szCs w:val="22"/>
          <w:lang w:val="sr-Latn-ME"/>
        </w:rPr>
        <w:t xml:space="preserve">navedene u </w:t>
      </w:r>
      <w:r w:rsidR="00025B61" w:rsidRPr="00F63435">
        <w:rPr>
          <w:sz w:val="22"/>
          <w:szCs w:val="22"/>
          <w:lang w:val="sr-Latn-ME"/>
        </w:rPr>
        <w:t xml:space="preserve">tabeli </w:t>
      </w:r>
      <w:r w:rsidRPr="00F63435">
        <w:rPr>
          <w:sz w:val="22"/>
          <w:szCs w:val="22"/>
          <w:lang w:val="sr-Latn-ME"/>
        </w:rPr>
        <w:t xml:space="preserve">i ne smiju se prekoračiti. </w:t>
      </w:r>
    </w:p>
    <w:p w14:paraId="001E3944" w14:textId="77777777" w:rsidR="00A52AB8" w:rsidRPr="00F63435" w:rsidRDefault="00A52AB8" w:rsidP="001E23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Doziranje treba prilagoditi </w:t>
      </w:r>
      <w:r w:rsidR="00025B61" w:rsidRPr="00F63435">
        <w:rPr>
          <w:sz w:val="22"/>
          <w:szCs w:val="22"/>
          <w:lang w:val="sr-Latn-ME"/>
        </w:rPr>
        <w:t xml:space="preserve">uzrastu </w:t>
      </w:r>
      <w:r w:rsidRPr="00F63435">
        <w:rPr>
          <w:sz w:val="22"/>
          <w:szCs w:val="22"/>
          <w:lang w:val="sr-Latn-ME"/>
        </w:rPr>
        <w:t>i tjelesnoj težini dje</w:t>
      </w:r>
      <w:r w:rsidR="00905D9F" w:rsidRPr="00F63435">
        <w:rPr>
          <w:sz w:val="22"/>
          <w:szCs w:val="22"/>
          <w:lang w:val="sr-Latn-ME"/>
        </w:rPr>
        <w:t>teta. Preporučena dnevna doza za djecu</w:t>
      </w:r>
      <w:r w:rsidRPr="00F63435">
        <w:rPr>
          <w:sz w:val="22"/>
          <w:szCs w:val="22"/>
          <w:lang w:val="sr-Latn-ME"/>
        </w:rPr>
        <w:t xml:space="preserve"> iznosi 20 do 30 mg po kilogramu tjelesne težine, podijeljeno u više pojedinačnih doza,</w:t>
      </w:r>
      <w:r w:rsidR="004B46F7" w:rsidRPr="00F63435">
        <w:rPr>
          <w:sz w:val="22"/>
          <w:szCs w:val="22"/>
          <w:lang w:val="sr-Latn-ME"/>
        </w:rPr>
        <w:t xml:space="preserve"> s</w:t>
      </w:r>
      <w:r w:rsidR="00FC49AB" w:rsidRPr="00F63435">
        <w:rPr>
          <w:sz w:val="22"/>
          <w:szCs w:val="22"/>
          <w:lang w:val="sr-Latn-ME"/>
        </w:rPr>
        <w:t>a</w:t>
      </w:r>
      <w:r w:rsidR="004B46F7" w:rsidRPr="00F63435">
        <w:rPr>
          <w:sz w:val="22"/>
          <w:szCs w:val="22"/>
          <w:lang w:val="sr-Latn-ME"/>
        </w:rPr>
        <w:t xml:space="preserve"> razmakom od 6 do 8 sati između doza (minimalni razmak izmeđ</w:t>
      </w:r>
      <w:r w:rsidRPr="00F63435">
        <w:rPr>
          <w:sz w:val="22"/>
          <w:szCs w:val="22"/>
          <w:lang w:val="sr-Latn-ME"/>
        </w:rPr>
        <w:t>u doza mora biti najmanje 4 sata).</w:t>
      </w:r>
    </w:p>
    <w:p w14:paraId="2287858D" w14:textId="77777777" w:rsidR="004B46F7" w:rsidRPr="00F63435" w:rsidRDefault="004B46F7" w:rsidP="001E23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tbl>
      <w:tblPr>
        <w:tblW w:w="98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410"/>
        <w:gridCol w:w="2551"/>
        <w:gridCol w:w="2268"/>
      </w:tblGrid>
      <w:tr w:rsidR="004B46F7" w:rsidRPr="00F63435" w14:paraId="153A3A1D" w14:textId="77777777" w:rsidTr="00D7135C">
        <w:trPr>
          <w:trHeight w:val="356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D45" w14:textId="77777777" w:rsidR="004B46F7" w:rsidRPr="00F63435" w:rsidRDefault="00FC49AB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b/>
                <w:bCs/>
                <w:sz w:val="22"/>
                <w:szCs w:val="22"/>
                <w:lang w:val="sr-Latn-ME"/>
              </w:rPr>
              <w:t>Uzrast</w:t>
            </w:r>
            <w:r w:rsidR="004B46F7" w:rsidRPr="00F63435">
              <w:rPr>
                <w:b/>
                <w:bCs/>
                <w:sz w:val="22"/>
                <w:szCs w:val="22"/>
                <w:lang w:val="sr-Latn-ME"/>
              </w:rPr>
              <w:t xml:space="preserve"> djeteta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7706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b/>
                <w:bCs/>
                <w:sz w:val="22"/>
                <w:szCs w:val="22"/>
                <w:lang w:val="sr-Latn-ME"/>
              </w:rPr>
              <w:t xml:space="preserve">Tjelesna težina djeteta (u kilogramima)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FB8A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b/>
                <w:bCs/>
                <w:sz w:val="22"/>
                <w:szCs w:val="22"/>
                <w:lang w:val="sr-Latn-ME"/>
              </w:rPr>
              <w:t xml:space="preserve">Preporučena doza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F95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b/>
                <w:bCs/>
                <w:sz w:val="22"/>
                <w:szCs w:val="22"/>
                <w:lang w:val="sr-Latn-ME"/>
              </w:rPr>
              <w:t xml:space="preserve">Maksimalna dnevna doza </w:t>
            </w:r>
          </w:p>
        </w:tc>
      </w:tr>
      <w:tr w:rsidR="004B46F7" w:rsidRPr="00F63435" w14:paraId="6FC3B712" w14:textId="77777777" w:rsidTr="00D7135C">
        <w:trPr>
          <w:trHeight w:val="358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BFC" w14:textId="77777777" w:rsidR="004B46F7" w:rsidRPr="00F63435" w:rsidRDefault="00BF5398" w:rsidP="00BF5398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>Odojč</w:t>
            </w:r>
            <w:r w:rsidR="004B46F7" w:rsidRPr="00F63435">
              <w:rPr>
                <w:sz w:val="22"/>
                <w:szCs w:val="22"/>
                <w:lang w:val="sr-Latn-ME"/>
              </w:rPr>
              <w:t xml:space="preserve">ad </w:t>
            </w:r>
            <w:r w:rsidRPr="00F63435">
              <w:rPr>
                <w:sz w:val="22"/>
                <w:szCs w:val="22"/>
                <w:lang w:val="sr-Latn-ME"/>
              </w:rPr>
              <w:t xml:space="preserve">uzrasta </w:t>
            </w:r>
            <w:r w:rsidR="004B46F7" w:rsidRPr="00F63435">
              <w:rPr>
                <w:sz w:val="22"/>
                <w:szCs w:val="22"/>
                <w:lang w:val="sr-Latn-ME"/>
              </w:rPr>
              <w:t>od 3 do 5 mjeseci</w:t>
            </w:r>
            <w:r w:rsidRPr="00F63435">
              <w:rPr>
                <w:sz w:val="22"/>
                <w:szCs w:val="22"/>
                <w:lang w:val="sr-Latn-ME"/>
              </w:rPr>
              <w:t>,</w:t>
            </w:r>
            <w:r w:rsidR="004B46F7" w:rsidRPr="00F63435">
              <w:rPr>
                <w:sz w:val="22"/>
                <w:szCs w:val="22"/>
                <w:lang w:val="sr-Latn-ME"/>
              </w:rPr>
              <w:t xml:space="preserve"> težine veće od 5 kg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8E40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5 – 6 kg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2942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2,5 ml (50 mg) do 3 puta u 24 sata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940E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7,5 ml (150 mg) </w:t>
            </w:r>
          </w:p>
        </w:tc>
      </w:tr>
      <w:tr w:rsidR="004B46F7" w:rsidRPr="00F63435" w14:paraId="75DAF5B2" w14:textId="77777777" w:rsidTr="00D7135C">
        <w:trPr>
          <w:trHeight w:val="229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383" w14:textId="77777777" w:rsidR="004B46F7" w:rsidRPr="00F63435" w:rsidRDefault="00BF5398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>Odojčad uzrasta</w:t>
            </w:r>
            <w:r w:rsidR="004B46F7" w:rsidRPr="00F63435">
              <w:rPr>
                <w:sz w:val="22"/>
                <w:szCs w:val="22"/>
                <w:lang w:val="sr-Latn-ME"/>
              </w:rPr>
              <w:t xml:space="preserve"> od 6 do 11 mjeseci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9BE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7 – 9 kg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96A2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2,5 ml (50 mg) 3 - 4 puta u 24 sata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AFED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7,5 – 10 ml </w:t>
            </w:r>
          </w:p>
          <w:p w14:paraId="22C4E03B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(150 – 200 mg) </w:t>
            </w:r>
          </w:p>
        </w:tc>
      </w:tr>
      <w:tr w:rsidR="004B46F7" w:rsidRPr="00F63435" w14:paraId="3F4D3789" w14:textId="77777777" w:rsidTr="00D7135C">
        <w:trPr>
          <w:trHeight w:val="229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BB1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Djeca </w:t>
            </w:r>
            <w:r w:rsidR="005A19A5" w:rsidRPr="00F63435">
              <w:rPr>
                <w:sz w:val="22"/>
                <w:szCs w:val="22"/>
                <w:lang w:val="sr-Latn-ME"/>
              </w:rPr>
              <w:t xml:space="preserve">uzrasta od </w:t>
            </w:r>
            <w:r w:rsidRPr="00F63435">
              <w:rPr>
                <w:sz w:val="22"/>
                <w:szCs w:val="22"/>
                <w:lang w:val="sr-Latn-ME"/>
              </w:rPr>
              <w:t xml:space="preserve">1 do 3 godine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9338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10 – 15 kg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72B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5 ml (100 mg) do 3 puta u 24 sata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AEB6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15 ml (300 mg) </w:t>
            </w:r>
          </w:p>
        </w:tc>
      </w:tr>
      <w:tr w:rsidR="004B46F7" w:rsidRPr="00F63435" w14:paraId="126C58CF" w14:textId="77777777" w:rsidTr="00D7135C">
        <w:trPr>
          <w:trHeight w:val="229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5E2F" w14:textId="57446384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Djeca </w:t>
            </w:r>
            <w:r w:rsidR="005A19A5" w:rsidRPr="00F63435">
              <w:rPr>
                <w:sz w:val="22"/>
                <w:szCs w:val="22"/>
                <w:lang w:val="sr-Latn-ME"/>
              </w:rPr>
              <w:t xml:space="preserve">uzrasta od </w:t>
            </w:r>
            <w:r w:rsidRPr="00F63435">
              <w:rPr>
                <w:sz w:val="22"/>
                <w:szCs w:val="22"/>
                <w:lang w:val="sr-Latn-ME"/>
              </w:rPr>
              <w:t xml:space="preserve">4 do </w:t>
            </w:r>
            <w:r w:rsidR="00766501" w:rsidRPr="00F63435">
              <w:rPr>
                <w:sz w:val="22"/>
                <w:szCs w:val="22"/>
                <w:lang w:val="sr-Latn-ME"/>
              </w:rPr>
              <w:t xml:space="preserve">5 </w:t>
            </w:r>
            <w:r w:rsidRPr="00F63435">
              <w:rPr>
                <w:sz w:val="22"/>
                <w:szCs w:val="22"/>
                <w:lang w:val="sr-Latn-ME"/>
              </w:rPr>
              <w:t xml:space="preserve">godina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BA1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16 – 19 kg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1F11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7,5 ml (150 mg) do 3 puta u 24 sata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EE8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22,5 ml (450 mg) </w:t>
            </w:r>
          </w:p>
        </w:tc>
      </w:tr>
      <w:tr w:rsidR="004B46F7" w:rsidRPr="00F63435" w14:paraId="3CFBF2D5" w14:textId="77777777" w:rsidTr="00D7135C">
        <w:trPr>
          <w:trHeight w:val="229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E76" w14:textId="2D1BF0C4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Djeca </w:t>
            </w:r>
            <w:r w:rsidR="005A19A5" w:rsidRPr="00F63435">
              <w:rPr>
                <w:sz w:val="22"/>
                <w:szCs w:val="22"/>
                <w:lang w:val="sr-Latn-ME"/>
              </w:rPr>
              <w:t xml:space="preserve">uzrasta od </w:t>
            </w:r>
            <w:r w:rsidR="00766501" w:rsidRPr="00F63435">
              <w:rPr>
                <w:sz w:val="22"/>
                <w:szCs w:val="22"/>
                <w:lang w:val="sr-Latn-ME"/>
              </w:rPr>
              <w:t>6</w:t>
            </w:r>
            <w:r w:rsidRPr="00F63435">
              <w:rPr>
                <w:sz w:val="22"/>
                <w:szCs w:val="22"/>
                <w:lang w:val="sr-Latn-ME"/>
              </w:rPr>
              <w:t xml:space="preserve"> do 9 godina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6BA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20 – 29 kg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996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10 ml (200 mg) do 3 puta u 24 sata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C49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30 ml (600 mg) </w:t>
            </w:r>
          </w:p>
        </w:tc>
      </w:tr>
      <w:tr w:rsidR="004B46F7" w:rsidRPr="00F63435" w14:paraId="4A4048A0" w14:textId="77777777" w:rsidTr="00D7135C">
        <w:trPr>
          <w:trHeight w:val="229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A7F4" w14:textId="77777777" w:rsidR="004B46F7" w:rsidRPr="00F63435" w:rsidRDefault="004B46F7" w:rsidP="005A19A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Djeca </w:t>
            </w:r>
            <w:r w:rsidR="005A19A5" w:rsidRPr="00F63435">
              <w:rPr>
                <w:sz w:val="22"/>
                <w:szCs w:val="22"/>
                <w:lang w:val="sr-Latn-ME"/>
              </w:rPr>
              <w:t xml:space="preserve">uzrasta od </w:t>
            </w:r>
            <w:r w:rsidRPr="00F63435">
              <w:rPr>
                <w:sz w:val="22"/>
                <w:szCs w:val="22"/>
                <w:lang w:val="sr-Latn-ME"/>
              </w:rPr>
              <w:t xml:space="preserve">10 do 12 godina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F590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30 – 40 kg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873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15 ml (300 mg) do 3 puta u 24 sata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407" w14:textId="77777777" w:rsidR="004B46F7" w:rsidRPr="00F63435" w:rsidRDefault="004B46F7" w:rsidP="004B46F7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F63435">
              <w:rPr>
                <w:sz w:val="22"/>
                <w:szCs w:val="22"/>
                <w:lang w:val="sr-Latn-ME"/>
              </w:rPr>
              <w:t xml:space="preserve">45 ml (900 mg) </w:t>
            </w:r>
          </w:p>
        </w:tc>
      </w:tr>
    </w:tbl>
    <w:p w14:paraId="1F2EF1ED" w14:textId="77777777" w:rsidR="004B46F7" w:rsidRPr="00F63435" w:rsidRDefault="004B46F7" w:rsidP="00A52AB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703D5BB" w14:textId="77777777" w:rsidR="004B46F7" w:rsidRPr="00F63435" w:rsidRDefault="00CB3095" w:rsidP="001E234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63435">
        <w:rPr>
          <w:sz w:val="22"/>
          <w:szCs w:val="22"/>
          <w:u w:val="single"/>
          <w:lang w:val="sr-Latn-ME"/>
        </w:rPr>
        <w:t>Trajanje liječenja</w:t>
      </w:r>
      <w:r w:rsidR="004B46F7" w:rsidRPr="00F63435">
        <w:rPr>
          <w:sz w:val="22"/>
          <w:szCs w:val="22"/>
          <w:u w:val="single"/>
          <w:lang w:val="sr-Latn-ME"/>
        </w:rPr>
        <w:t xml:space="preserve"> </w:t>
      </w:r>
    </w:p>
    <w:p w14:paraId="192B4F76" w14:textId="77777777" w:rsidR="004B46F7" w:rsidRPr="00F63435" w:rsidRDefault="00FC49AB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Ako se kod odojčadi </w:t>
      </w:r>
      <w:r w:rsidR="00063BF4" w:rsidRPr="00F63435">
        <w:rPr>
          <w:sz w:val="22"/>
          <w:szCs w:val="22"/>
          <w:lang w:val="sr-Latn-ME"/>
        </w:rPr>
        <w:t>uzrasta</w:t>
      </w:r>
      <w:r w:rsidR="004B46F7" w:rsidRPr="00F63435">
        <w:rPr>
          <w:sz w:val="22"/>
          <w:szCs w:val="22"/>
          <w:lang w:val="sr-Latn-ME"/>
        </w:rPr>
        <w:t xml:space="preserve"> od 3 do 5 mjeseci simpt</w:t>
      </w:r>
      <w:r w:rsidRPr="00F63435">
        <w:rPr>
          <w:sz w:val="22"/>
          <w:szCs w:val="22"/>
          <w:lang w:val="sr-Latn-ME"/>
        </w:rPr>
        <w:t>omi bolesti pogoršaju ili ne dođ</w:t>
      </w:r>
      <w:r w:rsidR="004B46F7" w:rsidRPr="00F63435">
        <w:rPr>
          <w:sz w:val="22"/>
          <w:szCs w:val="22"/>
          <w:lang w:val="sr-Latn-ME"/>
        </w:rPr>
        <w:t>e do poboljšanja nakon 24 sata, potreb</w:t>
      </w:r>
      <w:r w:rsidRPr="00F63435">
        <w:rPr>
          <w:sz w:val="22"/>
          <w:szCs w:val="22"/>
          <w:lang w:val="sr-Latn-ME"/>
        </w:rPr>
        <w:t>no je zatražiti savjet ljekara</w:t>
      </w:r>
      <w:r w:rsidR="004B46F7" w:rsidRPr="00F63435">
        <w:rPr>
          <w:sz w:val="22"/>
          <w:szCs w:val="22"/>
          <w:lang w:val="sr-Latn-ME"/>
        </w:rPr>
        <w:t xml:space="preserve">. </w:t>
      </w:r>
    </w:p>
    <w:p w14:paraId="2D942441" w14:textId="77777777" w:rsidR="004B46F7" w:rsidRPr="00F63435" w:rsidRDefault="004B46F7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Ukoliko se </w:t>
      </w:r>
      <w:r w:rsidR="00FC49AB" w:rsidRPr="00F63435">
        <w:rPr>
          <w:sz w:val="22"/>
          <w:szCs w:val="22"/>
          <w:lang w:val="sr-Latn-ME"/>
        </w:rPr>
        <w:t>kod</w:t>
      </w:r>
      <w:r w:rsidRPr="00F63435">
        <w:rPr>
          <w:sz w:val="22"/>
          <w:szCs w:val="22"/>
          <w:lang w:val="sr-Latn-ME"/>
        </w:rPr>
        <w:t xml:space="preserve"> djece starije od 6 mjeseci i adolescenata ovaj lijek mora primjenjivati duže od 3 dana ili ako se simptomi bolesti pogoršaju, potre</w:t>
      </w:r>
      <w:r w:rsidR="00FC49AB" w:rsidRPr="00F63435">
        <w:rPr>
          <w:sz w:val="22"/>
          <w:szCs w:val="22"/>
          <w:lang w:val="sr-Latn-ME"/>
        </w:rPr>
        <w:t>bno je potražiti savjet ljekar</w:t>
      </w:r>
      <w:r w:rsidRPr="00F63435">
        <w:rPr>
          <w:sz w:val="22"/>
          <w:szCs w:val="22"/>
          <w:lang w:val="sr-Latn-ME"/>
        </w:rPr>
        <w:t xml:space="preserve">a. </w:t>
      </w:r>
    </w:p>
    <w:p w14:paraId="273FA8E8" w14:textId="77777777" w:rsidR="004B46F7" w:rsidRPr="00F63435" w:rsidRDefault="004B46F7" w:rsidP="001E234A">
      <w:pPr>
        <w:pStyle w:val="Default"/>
        <w:jc w:val="both"/>
        <w:rPr>
          <w:sz w:val="22"/>
          <w:szCs w:val="22"/>
          <w:lang w:val="sr-Latn-ME"/>
        </w:rPr>
      </w:pPr>
    </w:p>
    <w:p w14:paraId="503F9735" w14:textId="77777777" w:rsidR="004B46F7" w:rsidRPr="00F63435" w:rsidRDefault="004B46F7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i/>
          <w:iCs/>
          <w:sz w:val="22"/>
          <w:szCs w:val="22"/>
          <w:lang w:val="sr-Latn-ME"/>
        </w:rPr>
        <w:t xml:space="preserve">Za snižavanje povišene tjelesne temperature nakon </w:t>
      </w:r>
      <w:r w:rsidR="00FC49AB" w:rsidRPr="00F63435">
        <w:rPr>
          <w:b/>
          <w:bCs/>
          <w:i/>
          <w:iCs/>
          <w:sz w:val="22"/>
          <w:szCs w:val="22"/>
          <w:lang w:val="sr-Latn-ME"/>
        </w:rPr>
        <w:t>vakcinacije</w:t>
      </w:r>
    </w:p>
    <w:p w14:paraId="3298BEAC" w14:textId="77777777" w:rsidR="004B46F7" w:rsidRPr="00F63435" w:rsidRDefault="00FC49AB" w:rsidP="001E234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63435">
        <w:rPr>
          <w:sz w:val="22"/>
          <w:szCs w:val="22"/>
          <w:u w:val="single"/>
          <w:lang w:val="sr-Latn-ME"/>
        </w:rPr>
        <w:t xml:space="preserve">Odojčad </w:t>
      </w:r>
      <w:r w:rsidR="005A19A5" w:rsidRPr="00F63435">
        <w:rPr>
          <w:sz w:val="22"/>
          <w:szCs w:val="22"/>
          <w:u w:val="single"/>
          <w:lang w:val="sr-Latn-ME"/>
        </w:rPr>
        <w:t>uzrasta</w:t>
      </w:r>
      <w:r w:rsidRPr="00F63435">
        <w:rPr>
          <w:sz w:val="22"/>
          <w:szCs w:val="22"/>
          <w:u w:val="single"/>
          <w:lang w:val="sr-Latn-ME"/>
        </w:rPr>
        <w:t xml:space="preserve"> od 3 do 6 mjeseci, </w:t>
      </w:r>
      <w:r w:rsidR="004B46F7" w:rsidRPr="00F63435">
        <w:rPr>
          <w:sz w:val="22"/>
          <w:szCs w:val="22"/>
          <w:u w:val="single"/>
          <w:lang w:val="sr-Latn-ME"/>
        </w:rPr>
        <w:t xml:space="preserve">tjelesne težine veće od 5 kg: </w:t>
      </w:r>
    </w:p>
    <w:p w14:paraId="28D78DF9" w14:textId="77777777" w:rsidR="00A52AB8" w:rsidRPr="00F63435" w:rsidRDefault="004B46F7" w:rsidP="00D953F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Preporučuje se jedna doza od 2,5 ml (50 mg), a ako je potrebno, doza od 2,5 ml (50 mg) se može ponoviti 6 sati kasnije. Nemojte prekoračiti dozu od 2 x 2,5 ml (odgovara 100 mg) u 24 sata! Ukoliko je tjelesna temperatura i dalje povišena, potrebno je zatražiti </w:t>
      </w:r>
      <w:r w:rsidR="005122D3" w:rsidRPr="00F63435">
        <w:rPr>
          <w:sz w:val="22"/>
          <w:szCs w:val="22"/>
          <w:lang w:val="sr-Latn-ME"/>
        </w:rPr>
        <w:t>savjet ljekara.</w:t>
      </w:r>
    </w:p>
    <w:p w14:paraId="706E59DA" w14:textId="77777777" w:rsidR="004B46F7" w:rsidRPr="00F63435" w:rsidRDefault="004B46F7" w:rsidP="001E23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479FC93" w14:textId="77777777" w:rsidR="004B46F7" w:rsidRPr="00F63435" w:rsidRDefault="004B46F7" w:rsidP="001E234A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Posebne </w:t>
      </w:r>
      <w:r w:rsidR="005A19A5" w:rsidRPr="00F63435">
        <w:rPr>
          <w:b/>
          <w:bCs/>
          <w:sz w:val="22"/>
          <w:szCs w:val="22"/>
          <w:lang w:val="sr-Latn-ME"/>
        </w:rPr>
        <w:t xml:space="preserve">grupe </w:t>
      </w:r>
      <w:r w:rsidR="00B7025F" w:rsidRPr="00F63435">
        <w:rPr>
          <w:b/>
          <w:bCs/>
          <w:sz w:val="22"/>
          <w:szCs w:val="22"/>
          <w:lang w:val="sr-Latn-ME"/>
        </w:rPr>
        <w:t>pacijenata</w:t>
      </w:r>
    </w:p>
    <w:p w14:paraId="66DB8152" w14:textId="77777777" w:rsidR="004B46F7" w:rsidRPr="00F63435" w:rsidRDefault="004B46F7" w:rsidP="001E234A">
      <w:pPr>
        <w:pStyle w:val="Default"/>
        <w:jc w:val="both"/>
        <w:rPr>
          <w:sz w:val="22"/>
          <w:szCs w:val="22"/>
          <w:lang w:val="sr-Latn-ME"/>
        </w:rPr>
      </w:pPr>
    </w:p>
    <w:p w14:paraId="0DFD128A" w14:textId="77777777" w:rsidR="004B46F7" w:rsidRPr="00F63435" w:rsidRDefault="004B46F7" w:rsidP="001E234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63435">
        <w:rPr>
          <w:sz w:val="22"/>
          <w:szCs w:val="22"/>
          <w:u w:val="single"/>
          <w:lang w:val="sr-Latn-ME"/>
        </w:rPr>
        <w:t xml:space="preserve">Bubrežna insuficijencija (vidjeti dio 5.2): </w:t>
      </w:r>
    </w:p>
    <w:p w14:paraId="40BCF340" w14:textId="77777777" w:rsidR="004B46F7" w:rsidRPr="00F63435" w:rsidRDefault="005122D3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Nije potrebno smanjenje doze za </w:t>
      </w:r>
      <w:r w:rsidR="00063BF4" w:rsidRPr="00F63435">
        <w:rPr>
          <w:sz w:val="22"/>
          <w:szCs w:val="22"/>
          <w:lang w:val="sr-Latn-ME"/>
        </w:rPr>
        <w:t>pacijente</w:t>
      </w:r>
      <w:r w:rsidR="004B46F7" w:rsidRPr="00F63435">
        <w:rPr>
          <w:sz w:val="22"/>
          <w:szCs w:val="22"/>
          <w:lang w:val="sr-Latn-ME"/>
        </w:rPr>
        <w:t xml:space="preserve"> s</w:t>
      </w:r>
      <w:r w:rsidR="00B7025F" w:rsidRPr="00F63435">
        <w:rPr>
          <w:sz w:val="22"/>
          <w:szCs w:val="22"/>
          <w:lang w:val="sr-Latn-ME"/>
        </w:rPr>
        <w:t>a</w:t>
      </w:r>
      <w:r w:rsidR="004B46F7" w:rsidRPr="00F63435">
        <w:rPr>
          <w:sz w:val="22"/>
          <w:szCs w:val="22"/>
          <w:lang w:val="sr-Latn-ME"/>
        </w:rPr>
        <w:t xml:space="preserve"> blagim do umjerenim oštećenjem bubrežne funkcije (za </w:t>
      </w:r>
      <w:r w:rsidR="00063BF4" w:rsidRPr="00F63435">
        <w:rPr>
          <w:sz w:val="22"/>
          <w:szCs w:val="22"/>
          <w:lang w:val="sr-Latn-ME"/>
        </w:rPr>
        <w:t>pacijente</w:t>
      </w:r>
      <w:r w:rsidR="004B46F7" w:rsidRPr="00F63435">
        <w:rPr>
          <w:sz w:val="22"/>
          <w:szCs w:val="22"/>
          <w:lang w:val="sr-Latn-ME"/>
        </w:rPr>
        <w:t xml:space="preserve"> s</w:t>
      </w:r>
      <w:r w:rsidR="00063BF4" w:rsidRPr="00F63435">
        <w:rPr>
          <w:sz w:val="22"/>
          <w:szCs w:val="22"/>
          <w:lang w:val="sr-Latn-ME"/>
        </w:rPr>
        <w:t>a</w:t>
      </w:r>
      <w:r w:rsidR="004B46F7" w:rsidRPr="00F63435">
        <w:rPr>
          <w:sz w:val="22"/>
          <w:szCs w:val="22"/>
          <w:lang w:val="sr-Latn-ME"/>
        </w:rPr>
        <w:t xml:space="preserve"> teškom bubrežnom insuficijencijom, vidjeti dio 4.3). </w:t>
      </w:r>
    </w:p>
    <w:p w14:paraId="29464F80" w14:textId="77777777" w:rsidR="00C97741" w:rsidRPr="00F63435" w:rsidRDefault="00C97741" w:rsidP="001E234A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2BCCC427" w14:textId="63B170EE" w:rsidR="004B46F7" w:rsidRPr="00F63435" w:rsidRDefault="004B46F7" w:rsidP="001E234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63435">
        <w:rPr>
          <w:sz w:val="22"/>
          <w:szCs w:val="22"/>
          <w:u w:val="single"/>
          <w:lang w:val="sr-Latn-ME"/>
        </w:rPr>
        <w:t xml:space="preserve">Insuficijencija jetre (vidjeti dio 5.2): </w:t>
      </w:r>
    </w:p>
    <w:p w14:paraId="698DE734" w14:textId="77777777" w:rsidR="004B46F7" w:rsidRPr="00F63435" w:rsidRDefault="004B46F7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Nije p</w:t>
      </w:r>
      <w:r w:rsidR="005122D3" w:rsidRPr="00F63435">
        <w:rPr>
          <w:sz w:val="22"/>
          <w:szCs w:val="22"/>
          <w:lang w:val="sr-Latn-ME"/>
        </w:rPr>
        <w:t xml:space="preserve">otrebno smanjenje doze za </w:t>
      </w:r>
      <w:r w:rsidR="00063BF4" w:rsidRPr="00F63435">
        <w:rPr>
          <w:sz w:val="22"/>
          <w:szCs w:val="22"/>
          <w:lang w:val="sr-Latn-ME"/>
        </w:rPr>
        <w:t>pacijente</w:t>
      </w:r>
      <w:r w:rsidR="005122D3" w:rsidRPr="00F63435">
        <w:rPr>
          <w:sz w:val="22"/>
          <w:szCs w:val="22"/>
          <w:lang w:val="sr-Latn-ME"/>
        </w:rPr>
        <w:t xml:space="preserve"> </w:t>
      </w:r>
      <w:r w:rsidRPr="00F63435">
        <w:rPr>
          <w:sz w:val="22"/>
          <w:szCs w:val="22"/>
          <w:lang w:val="sr-Latn-ME"/>
        </w:rPr>
        <w:t>s</w:t>
      </w:r>
      <w:r w:rsidR="00B7025F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blagim do umjerenim oštećenjem funkcije </w:t>
      </w:r>
      <w:r w:rsidR="005A19A5" w:rsidRPr="00F63435">
        <w:rPr>
          <w:sz w:val="22"/>
          <w:szCs w:val="22"/>
          <w:lang w:val="sr-Latn-ME"/>
        </w:rPr>
        <w:t xml:space="preserve">jetre </w:t>
      </w:r>
      <w:r w:rsidRPr="00F63435">
        <w:rPr>
          <w:sz w:val="22"/>
          <w:szCs w:val="22"/>
          <w:lang w:val="sr-Latn-ME"/>
        </w:rPr>
        <w:t xml:space="preserve">(za </w:t>
      </w:r>
      <w:r w:rsidR="00063BF4" w:rsidRPr="00F63435">
        <w:rPr>
          <w:sz w:val="22"/>
          <w:szCs w:val="22"/>
          <w:lang w:val="sr-Latn-ME"/>
        </w:rPr>
        <w:t>pacijente</w:t>
      </w:r>
      <w:r w:rsidRPr="00F63435">
        <w:rPr>
          <w:sz w:val="22"/>
          <w:szCs w:val="22"/>
          <w:lang w:val="sr-Latn-ME"/>
        </w:rPr>
        <w:t xml:space="preserve"> s</w:t>
      </w:r>
      <w:r w:rsidR="00063BF4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teškim poremećajem funkcije</w:t>
      </w:r>
      <w:r w:rsidR="005A19A5" w:rsidRPr="00F63435">
        <w:rPr>
          <w:sz w:val="22"/>
          <w:szCs w:val="22"/>
          <w:lang w:val="sr-Latn-ME"/>
        </w:rPr>
        <w:t xml:space="preserve"> jetre</w:t>
      </w:r>
      <w:r w:rsidRPr="00F63435">
        <w:rPr>
          <w:sz w:val="22"/>
          <w:szCs w:val="22"/>
          <w:lang w:val="sr-Latn-ME"/>
        </w:rPr>
        <w:t xml:space="preserve">, vidjeti dio 4.3). </w:t>
      </w:r>
    </w:p>
    <w:p w14:paraId="1C809899" w14:textId="77777777" w:rsidR="00C97741" w:rsidRPr="00F63435" w:rsidRDefault="00C97741" w:rsidP="001E234A">
      <w:pPr>
        <w:pStyle w:val="Default"/>
        <w:jc w:val="both"/>
        <w:rPr>
          <w:sz w:val="22"/>
          <w:szCs w:val="22"/>
          <w:u w:val="single"/>
          <w:lang w:val="sr-Latn-ME"/>
        </w:rPr>
      </w:pPr>
    </w:p>
    <w:p w14:paraId="03EBAA55" w14:textId="7379A374" w:rsidR="004B46F7" w:rsidRPr="00F63435" w:rsidRDefault="004B46F7" w:rsidP="001E234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63435">
        <w:rPr>
          <w:sz w:val="22"/>
          <w:szCs w:val="22"/>
          <w:u w:val="single"/>
          <w:lang w:val="sr-Latn-ME"/>
        </w:rPr>
        <w:t xml:space="preserve">Pedijatrijska populacija </w:t>
      </w:r>
    </w:p>
    <w:p w14:paraId="02F23CB3" w14:textId="77777777" w:rsidR="004B46F7" w:rsidRPr="00F63435" w:rsidRDefault="005A19A5" w:rsidP="001E23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Lijek </w:t>
      </w:r>
      <w:r w:rsidR="007E3D46" w:rsidRPr="00F63435">
        <w:rPr>
          <w:sz w:val="22"/>
          <w:szCs w:val="22"/>
          <w:lang w:val="sr-Latn-ME"/>
        </w:rPr>
        <w:t>Nurofen za djecu oralna suspenzija, ne preporučuje se</w:t>
      </w:r>
      <w:r w:rsidR="004B46F7" w:rsidRPr="00F63435">
        <w:rPr>
          <w:sz w:val="22"/>
          <w:szCs w:val="22"/>
          <w:lang w:val="sr-Latn-ME"/>
        </w:rPr>
        <w:t xml:space="preserve"> djeci s</w:t>
      </w:r>
      <w:r w:rsidR="00B7025F" w:rsidRPr="00F63435">
        <w:rPr>
          <w:sz w:val="22"/>
          <w:szCs w:val="22"/>
          <w:lang w:val="sr-Latn-ME"/>
        </w:rPr>
        <w:t>a</w:t>
      </w:r>
      <w:r w:rsidR="004B46F7" w:rsidRPr="00F63435">
        <w:rPr>
          <w:sz w:val="22"/>
          <w:szCs w:val="22"/>
          <w:lang w:val="sr-Latn-ME"/>
        </w:rPr>
        <w:t xml:space="preserve"> tjelesnom težinom manjom</w:t>
      </w:r>
      <w:r w:rsidR="00B7025F" w:rsidRPr="00F63435">
        <w:rPr>
          <w:sz w:val="22"/>
          <w:szCs w:val="22"/>
          <w:lang w:val="sr-Latn-ME"/>
        </w:rPr>
        <w:t xml:space="preserve"> od 5 kg, odnosno djeci mlađ</w:t>
      </w:r>
      <w:r w:rsidR="004B46F7" w:rsidRPr="00F63435">
        <w:rPr>
          <w:sz w:val="22"/>
          <w:szCs w:val="22"/>
          <w:lang w:val="sr-Latn-ME"/>
        </w:rPr>
        <w:t>oj od 3 mjeseca</w:t>
      </w:r>
      <w:r w:rsidR="00B7025F" w:rsidRPr="00F63435">
        <w:rPr>
          <w:sz w:val="22"/>
          <w:szCs w:val="22"/>
          <w:lang w:val="sr-Latn-ME"/>
        </w:rPr>
        <w:t>, osim ako to ne odredi ljekar</w:t>
      </w:r>
      <w:r w:rsidR="004B46F7" w:rsidRPr="00F63435">
        <w:rPr>
          <w:sz w:val="22"/>
          <w:szCs w:val="22"/>
          <w:lang w:val="sr-Latn-ME"/>
        </w:rPr>
        <w:t>.</w:t>
      </w:r>
    </w:p>
    <w:p w14:paraId="220F4CE3" w14:textId="77777777" w:rsidR="004B46F7" w:rsidRPr="00F63435" w:rsidRDefault="004B46F7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0055A3D" w14:textId="77777777" w:rsidR="004B46F7" w:rsidRPr="00F63435" w:rsidRDefault="004B46F7" w:rsidP="001E234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63435">
        <w:rPr>
          <w:sz w:val="22"/>
          <w:szCs w:val="22"/>
          <w:u w:val="single"/>
          <w:lang w:val="sr-Latn-ME"/>
        </w:rPr>
        <w:t xml:space="preserve">Način primjene </w:t>
      </w:r>
    </w:p>
    <w:p w14:paraId="2863A25D" w14:textId="67F62FE3" w:rsidR="004B46F7" w:rsidRPr="00F63435" w:rsidRDefault="004B46F7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Za</w:t>
      </w:r>
      <w:r w:rsidR="007F2AED" w:rsidRPr="00F63435">
        <w:rPr>
          <w:sz w:val="22"/>
          <w:szCs w:val="22"/>
          <w:lang w:val="sr-Latn-ME"/>
        </w:rPr>
        <w:t xml:space="preserve"> </w:t>
      </w:r>
      <w:r w:rsidR="00BA502A" w:rsidRPr="00F63435">
        <w:rPr>
          <w:sz w:val="22"/>
          <w:szCs w:val="22"/>
          <w:lang w:val="sr-Latn-ME"/>
        </w:rPr>
        <w:t>oralnu upotrebu</w:t>
      </w:r>
      <w:r w:rsidR="007F2AED" w:rsidRPr="00F63435">
        <w:rPr>
          <w:sz w:val="22"/>
          <w:szCs w:val="22"/>
          <w:lang w:val="sr-Latn-ME"/>
        </w:rPr>
        <w:t>. Prije upotre</w:t>
      </w:r>
      <w:r w:rsidRPr="00F63435">
        <w:rPr>
          <w:sz w:val="22"/>
          <w:szCs w:val="22"/>
          <w:lang w:val="sr-Latn-ME"/>
        </w:rPr>
        <w:t>be bo</w:t>
      </w:r>
      <w:r w:rsidR="0013158B" w:rsidRPr="00F63435">
        <w:rPr>
          <w:sz w:val="22"/>
          <w:szCs w:val="22"/>
          <w:lang w:val="sr-Latn-ME"/>
        </w:rPr>
        <w:t>cu</w:t>
      </w:r>
      <w:r w:rsidRPr="00F63435">
        <w:rPr>
          <w:sz w:val="22"/>
          <w:szCs w:val="22"/>
          <w:lang w:val="sr-Latn-ME"/>
        </w:rPr>
        <w:t xml:space="preserve"> treba dobro promućkati. </w:t>
      </w:r>
    </w:p>
    <w:p w14:paraId="11589936" w14:textId="77777777" w:rsidR="004B46F7" w:rsidRPr="00F63435" w:rsidRDefault="00BA502A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F63435">
        <w:rPr>
          <w:sz w:val="22"/>
          <w:szCs w:val="22"/>
          <w:lang w:val="sr-Latn-ME"/>
        </w:rPr>
        <w:t>Pacijentim</w:t>
      </w:r>
      <w:r w:rsidR="004B46F7" w:rsidRPr="00F63435">
        <w:rPr>
          <w:sz w:val="22"/>
          <w:szCs w:val="22"/>
          <w:lang w:val="sr-Latn-ME"/>
        </w:rPr>
        <w:t>a koji imaju osjetljiv želudac</w:t>
      </w:r>
      <w:r w:rsidR="005A19A5" w:rsidRPr="00F63435">
        <w:rPr>
          <w:sz w:val="22"/>
          <w:szCs w:val="22"/>
          <w:lang w:val="sr-Latn-ME"/>
        </w:rPr>
        <w:t>,</w:t>
      </w:r>
      <w:r w:rsidR="004B46F7" w:rsidRPr="00F63435">
        <w:rPr>
          <w:sz w:val="22"/>
          <w:szCs w:val="22"/>
          <w:lang w:val="sr-Latn-ME"/>
        </w:rPr>
        <w:t xml:space="preserve"> preporučuje se uzimanje ovog lijeka uz obrok.</w:t>
      </w:r>
    </w:p>
    <w:p w14:paraId="0EFA74C7" w14:textId="77777777" w:rsidR="004B46F7" w:rsidRPr="00F63435" w:rsidRDefault="004B46F7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14:paraId="395EA6B3" w14:textId="77777777" w:rsidR="004B46F7" w:rsidRPr="00F63435" w:rsidRDefault="004B46F7" w:rsidP="001E23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Za lak</w:t>
      </w:r>
      <w:r w:rsidR="00B7025F" w:rsidRPr="00F63435">
        <w:rPr>
          <w:sz w:val="22"/>
          <w:szCs w:val="22"/>
          <w:lang w:val="sr-Latn-ME"/>
        </w:rPr>
        <w:t>še i ta</w:t>
      </w:r>
      <w:r w:rsidRPr="00F63435">
        <w:rPr>
          <w:sz w:val="22"/>
          <w:szCs w:val="22"/>
          <w:lang w:val="sr-Latn-ME"/>
        </w:rPr>
        <w:t xml:space="preserve">čnije odmjeravanje pojedinačne doze </w:t>
      </w:r>
      <w:r w:rsidR="005A19A5" w:rsidRPr="00F63435">
        <w:rPr>
          <w:sz w:val="22"/>
          <w:szCs w:val="22"/>
          <w:lang w:val="sr-Latn-ME"/>
        </w:rPr>
        <w:t xml:space="preserve">lijeka </w:t>
      </w:r>
      <w:r w:rsidRPr="00F63435">
        <w:rPr>
          <w:sz w:val="22"/>
          <w:szCs w:val="22"/>
          <w:lang w:val="sr-Latn-ME"/>
        </w:rPr>
        <w:t xml:space="preserve">Nurofen za djecu </w:t>
      </w:r>
      <w:r w:rsidR="005A19A5" w:rsidRPr="00F63435">
        <w:rPr>
          <w:sz w:val="22"/>
          <w:szCs w:val="22"/>
          <w:lang w:val="sr-Latn-ME"/>
        </w:rPr>
        <w:t>oralna suspenzija,</w:t>
      </w:r>
      <w:r w:rsidRPr="00F63435">
        <w:rPr>
          <w:sz w:val="22"/>
          <w:szCs w:val="22"/>
          <w:lang w:val="sr-Latn-ME"/>
        </w:rPr>
        <w:t xml:space="preserve"> koris</w:t>
      </w:r>
      <w:r w:rsidR="00BA502A" w:rsidRPr="00F63435">
        <w:rPr>
          <w:sz w:val="22"/>
          <w:szCs w:val="22"/>
          <w:lang w:val="sr-Latn-ME"/>
        </w:rPr>
        <w:t>ti se priloženi graduisani špric</w:t>
      </w:r>
      <w:r w:rsidR="00C81AB0" w:rsidRPr="00F63435">
        <w:rPr>
          <w:sz w:val="22"/>
          <w:szCs w:val="22"/>
          <w:lang w:val="sr-Latn-ME"/>
        </w:rPr>
        <w:t xml:space="preserve"> za doziranje</w:t>
      </w:r>
      <w:r w:rsidR="00BA502A" w:rsidRPr="00F63435">
        <w:rPr>
          <w:sz w:val="22"/>
          <w:szCs w:val="22"/>
          <w:lang w:val="sr-Latn-ME"/>
        </w:rPr>
        <w:t>.</w:t>
      </w:r>
    </w:p>
    <w:p w14:paraId="7F2DE189" w14:textId="77777777" w:rsidR="00BA502A" w:rsidRPr="00F63435" w:rsidRDefault="00BA502A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325409" w14:textId="77777777" w:rsidR="00015692" w:rsidRPr="00F63435" w:rsidRDefault="00015692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BCE9C23" w14:textId="77777777" w:rsidR="00AC5146" w:rsidRPr="00F63435" w:rsidRDefault="00AC5146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Pr="00F63435">
        <w:rPr>
          <w:b/>
          <w:bCs/>
          <w:sz w:val="22"/>
          <w:szCs w:val="22"/>
          <w:lang w:val="sr-Latn-ME"/>
        </w:rPr>
        <w:tab/>
        <w:t>Kontraindikacije</w:t>
      </w:r>
    </w:p>
    <w:p w14:paraId="1048AD67" w14:textId="77777777" w:rsidR="004B46F7" w:rsidRPr="00F63435" w:rsidRDefault="004B46F7" w:rsidP="001E234A">
      <w:pPr>
        <w:autoSpaceDE w:val="0"/>
        <w:autoSpaceDN w:val="0"/>
        <w:adjustRightInd w:val="0"/>
        <w:jc w:val="both"/>
        <w:rPr>
          <w:rFonts w:ascii="Symbol" w:hAnsi="Symbol" w:cs="Symbol"/>
          <w:color w:val="000000"/>
          <w:lang w:val="sr-Latn-ME" w:eastAsia="sr-Latn-ME"/>
        </w:rPr>
      </w:pPr>
    </w:p>
    <w:p w14:paraId="4F311538" w14:textId="6A97F5A6" w:rsidR="004B46F7" w:rsidRPr="00F63435" w:rsidRDefault="004B46F7" w:rsidP="00CA4BB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 xml:space="preserve">Preosjetljivost na </w:t>
      </w:r>
      <w:r w:rsidR="00891EBD" w:rsidRPr="00F63435">
        <w:rPr>
          <w:color w:val="000000"/>
          <w:sz w:val="22"/>
          <w:szCs w:val="22"/>
          <w:lang w:val="sr-Latn-ME" w:eastAsia="sr-Latn-ME"/>
        </w:rPr>
        <w:t xml:space="preserve">ibuprofen ili </w:t>
      </w:r>
      <w:r w:rsidR="00063B85" w:rsidRPr="00F63435">
        <w:rPr>
          <w:color w:val="000000"/>
          <w:sz w:val="22"/>
          <w:szCs w:val="22"/>
          <w:lang w:val="sr-Latn-ME" w:eastAsia="sr-Latn-ME"/>
        </w:rPr>
        <w:t xml:space="preserve">na </w:t>
      </w:r>
      <w:r w:rsidR="00891EBD" w:rsidRPr="00F63435">
        <w:rPr>
          <w:color w:val="000000"/>
          <w:sz w:val="22"/>
          <w:szCs w:val="22"/>
          <w:lang w:val="sr-Latn-ME" w:eastAsia="sr-Latn-ME"/>
        </w:rPr>
        <w:t>neku od pomoćnih supstanci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navedenih u dijelu 6.1. </w:t>
      </w:r>
    </w:p>
    <w:p w14:paraId="2907E627" w14:textId="3F6D96C6" w:rsidR="004B46F7" w:rsidRPr="00F63435" w:rsidRDefault="00B7025F" w:rsidP="00CA4BB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>Zabi</w:t>
      </w:r>
      <w:r w:rsidR="005122D3" w:rsidRPr="00F63435">
        <w:rPr>
          <w:color w:val="000000"/>
          <w:sz w:val="22"/>
          <w:szCs w:val="22"/>
          <w:lang w:val="sr-Latn-ME" w:eastAsia="sr-Latn-ME"/>
        </w:rPr>
        <w:t>lj</w:t>
      </w:r>
      <w:r w:rsidRPr="00F63435">
        <w:rPr>
          <w:color w:val="000000"/>
          <w:sz w:val="22"/>
          <w:szCs w:val="22"/>
          <w:lang w:val="sr-Latn-ME" w:eastAsia="sr-Latn-ME"/>
        </w:rPr>
        <w:t>e</w:t>
      </w:r>
      <w:r w:rsidR="004B46F7" w:rsidRPr="00F63435">
        <w:rPr>
          <w:color w:val="000000"/>
          <w:sz w:val="22"/>
          <w:szCs w:val="22"/>
          <w:lang w:val="sr-Latn-ME" w:eastAsia="sr-Latn-ME"/>
        </w:rPr>
        <w:t>žene reakcije preosjetljivosti (npr. bronhospazam, astma, rinitis, angioedem ili urtikarija) povezane s uzima</w:t>
      </w:r>
      <w:r w:rsidR="001C4819" w:rsidRPr="00F63435">
        <w:rPr>
          <w:color w:val="000000"/>
          <w:sz w:val="22"/>
          <w:szCs w:val="22"/>
          <w:lang w:val="sr-Latn-ME" w:eastAsia="sr-Latn-ME"/>
        </w:rPr>
        <w:t>njem ibuprofena, acetilsalicil</w:t>
      </w:r>
      <w:r w:rsidR="004B46F7" w:rsidRPr="00F63435">
        <w:rPr>
          <w:color w:val="000000"/>
          <w:sz w:val="22"/>
          <w:szCs w:val="22"/>
          <w:lang w:val="sr-Latn-ME" w:eastAsia="sr-Latn-ME"/>
        </w:rPr>
        <w:t>ne kiseline ili nekog drugog lije</w:t>
      </w:r>
      <w:r w:rsidR="005122D3" w:rsidRPr="00F63435">
        <w:rPr>
          <w:color w:val="000000"/>
          <w:sz w:val="22"/>
          <w:szCs w:val="22"/>
          <w:lang w:val="sr-Latn-ME" w:eastAsia="sr-Latn-ME"/>
        </w:rPr>
        <w:t xml:space="preserve">ka iz </w:t>
      </w:r>
      <w:r w:rsidR="00063BF4" w:rsidRPr="00F63435">
        <w:rPr>
          <w:color w:val="000000"/>
          <w:sz w:val="22"/>
          <w:szCs w:val="22"/>
          <w:lang w:val="sr-Latn-ME" w:eastAsia="sr-Latn-ME"/>
        </w:rPr>
        <w:t>grupe</w:t>
      </w:r>
      <w:r w:rsidR="005122D3" w:rsidRPr="00F63435">
        <w:rPr>
          <w:color w:val="000000"/>
          <w:sz w:val="22"/>
          <w:szCs w:val="22"/>
          <w:lang w:val="sr-Latn-ME" w:eastAsia="sr-Latn-ME"/>
        </w:rPr>
        <w:t xml:space="preserve"> nesteroidnih </w:t>
      </w:r>
      <w:r w:rsidR="00001DCB" w:rsidRPr="00F63435">
        <w:rPr>
          <w:color w:val="000000"/>
          <w:sz w:val="22"/>
          <w:szCs w:val="22"/>
          <w:lang w:val="sr-Latn-ME" w:eastAsia="sr-Latn-ME"/>
        </w:rPr>
        <w:t xml:space="preserve">antiinflamatornih </w:t>
      </w:r>
      <w:r w:rsidR="005122D3" w:rsidRPr="00F63435">
        <w:rPr>
          <w:color w:val="000000"/>
          <w:sz w:val="22"/>
          <w:szCs w:val="22"/>
          <w:lang w:val="sr-Latn-ME" w:eastAsia="sr-Latn-ME"/>
        </w:rPr>
        <w:t>l</w:t>
      </w:r>
      <w:r w:rsidR="00A90A78" w:rsidRPr="00F63435">
        <w:rPr>
          <w:color w:val="000000"/>
          <w:sz w:val="22"/>
          <w:szCs w:val="22"/>
          <w:lang w:val="sr-Latn-ME" w:eastAsia="sr-Latn-ME"/>
        </w:rPr>
        <w:t>jekova (NSAIL).</w:t>
      </w:r>
    </w:p>
    <w:p w14:paraId="2F1533B8" w14:textId="69A77CC7" w:rsidR="004B46F7" w:rsidRPr="00F63435" w:rsidRDefault="004B46F7" w:rsidP="00CA4BB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>Pozitivni anamnestički podaci o pr</w:t>
      </w:r>
      <w:r w:rsidR="00B7025F" w:rsidRPr="00F63435">
        <w:rPr>
          <w:color w:val="000000"/>
          <w:sz w:val="22"/>
          <w:szCs w:val="22"/>
          <w:lang w:val="sr-Latn-ME" w:eastAsia="sr-Latn-ME"/>
        </w:rPr>
        <w:t>ethodnom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krvarenju ili perforaciji u </w:t>
      </w:r>
      <w:r w:rsidR="00063B85" w:rsidRPr="00F63435">
        <w:rPr>
          <w:color w:val="000000"/>
          <w:sz w:val="22"/>
          <w:szCs w:val="22"/>
          <w:lang w:val="sr-Latn-ME" w:eastAsia="sr-Latn-ME"/>
        </w:rPr>
        <w:t>digest</w:t>
      </w:r>
      <w:r w:rsidR="00001DCB" w:rsidRPr="00F63435">
        <w:rPr>
          <w:color w:val="000000"/>
          <w:sz w:val="22"/>
          <w:szCs w:val="22"/>
          <w:lang w:val="sr-Latn-ME" w:eastAsia="sr-Latn-ME"/>
        </w:rPr>
        <w:t>i</w:t>
      </w:r>
      <w:r w:rsidR="00063B85" w:rsidRPr="00F63435">
        <w:rPr>
          <w:color w:val="000000"/>
          <w:sz w:val="22"/>
          <w:szCs w:val="22"/>
          <w:lang w:val="sr-Latn-ME" w:eastAsia="sr-Latn-ME"/>
        </w:rPr>
        <w:t xml:space="preserve">vnom </w:t>
      </w:r>
      <w:r w:rsidR="00063BF4" w:rsidRPr="00F63435">
        <w:rPr>
          <w:color w:val="000000"/>
          <w:sz w:val="22"/>
          <w:szCs w:val="22"/>
          <w:lang w:val="sr-Latn-ME" w:eastAsia="sr-Latn-ME"/>
        </w:rPr>
        <w:t>sistemu vezani</w:t>
      </w:r>
      <w:r w:rsidR="005122D3" w:rsidRPr="00F63435">
        <w:rPr>
          <w:color w:val="000000"/>
          <w:sz w:val="22"/>
          <w:szCs w:val="22"/>
          <w:lang w:val="sr-Latn-ME" w:eastAsia="sr-Latn-ME"/>
        </w:rPr>
        <w:t xml:space="preserve"> uz terapiju l</w:t>
      </w:r>
      <w:r w:rsidRPr="00F63435">
        <w:rPr>
          <w:color w:val="000000"/>
          <w:sz w:val="22"/>
          <w:szCs w:val="22"/>
          <w:lang w:val="sr-Latn-ME" w:eastAsia="sr-Latn-ME"/>
        </w:rPr>
        <w:t xml:space="preserve">jekovima iz </w:t>
      </w:r>
      <w:r w:rsidR="005122D3" w:rsidRPr="00F63435">
        <w:rPr>
          <w:color w:val="000000"/>
          <w:sz w:val="22"/>
          <w:szCs w:val="22"/>
          <w:lang w:val="sr-Latn-ME" w:eastAsia="sr-Latn-ME"/>
        </w:rPr>
        <w:t xml:space="preserve">grupe nesteroidnih </w:t>
      </w:r>
      <w:r w:rsidR="00001DCB" w:rsidRPr="00F63435">
        <w:rPr>
          <w:color w:val="000000"/>
          <w:sz w:val="22"/>
          <w:szCs w:val="22"/>
          <w:lang w:val="sr-Latn-ME" w:eastAsia="sr-Latn-ME"/>
        </w:rPr>
        <w:t xml:space="preserve">antiinflamatornih </w:t>
      </w:r>
      <w:r w:rsidR="005122D3" w:rsidRPr="00F63435">
        <w:rPr>
          <w:color w:val="000000"/>
          <w:sz w:val="22"/>
          <w:szCs w:val="22"/>
          <w:lang w:val="sr-Latn-ME" w:eastAsia="sr-Latn-ME"/>
        </w:rPr>
        <w:t>l</w:t>
      </w:r>
      <w:r w:rsidRPr="00F63435">
        <w:rPr>
          <w:color w:val="000000"/>
          <w:sz w:val="22"/>
          <w:szCs w:val="22"/>
          <w:lang w:val="sr-Latn-ME" w:eastAsia="sr-Latn-ME"/>
        </w:rPr>
        <w:t>jekova (NSAIL</w:t>
      </w:r>
      <w:r w:rsidR="00A90A78" w:rsidRPr="00F63435">
        <w:rPr>
          <w:color w:val="000000"/>
          <w:sz w:val="22"/>
          <w:szCs w:val="22"/>
          <w:lang w:val="sr-Latn-ME" w:eastAsia="sr-Latn-ME"/>
        </w:rPr>
        <w:t>).</w:t>
      </w:r>
    </w:p>
    <w:p w14:paraId="5B6DF39B" w14:textId="70F281D2" w:rsidR="004B46F7" w:rsidRPr="00F63435" w:rsidRDefault="004B46F7" w:rsidP="00CA4BB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 xml:space="preserve">Aktivan peptički </w:t>
      </w:r>
      <w:r w:rsidR="005122D3" w:rsidRPr="00F63435">
        <w:rPr>
          <w:color w:val="000000"/>
          <w:sz w:val="22"/>
          <w:szCs w:val="22"/>
          <w:lang w:val="sr-Latn-ME" w:eastAsia="sr-Latn-ME"/>
        </w:rPr>
        <w:t>ulkus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ili krvarenje iz </w:t>
      </w:r>
      <w:r w:rsidR="00001DCB" w:rsidRPr="00F63435">
        <w:rPr>
          <w:color w:val="000000"/>
          <w:sz w:val="22"/>
          <w:szCs w:val="22"/>
          <w:lang w:val="sr-Latn-ME" w:eastAsia="sr-Latn-ME"/>
        </w:rPr>
        <w:t xml:space="preserve">digestivnog </w:t>
      </w:r>
      <w:r w:rsidR="005122D3" w:rsidRPr="00F63435">
        <w:rPr>
          <w:color w:val="000000"/>
          <w:sz w:val="22"/>
          <w:szCs w:val="22"/>
          <w:lang w:val="sr-Latn-ME" w:eastAsia="sr-Latn-ME"/>
        </w:rPr>
        <w:t>sistema</w:t>
      </w:r>
      <w:r w:rsidRPr="00F63435">
        <w:rPr>
          <w:color w:val="000000"/>
          <w:sz w:val="22"/>
          <w:szCs w:val="22"/>
          <w:lang w:val="sr-Latn-ME" w:eastAsia="sr-Latn-ME"/>
        </w:rPr>
        <w:t xml:space="preserve">, odnosno anamneza recidivirajućeg </w:t>
      </w:r>
      <w:r w:rsidR="006575E9" w:rsidRPr="00F63435">
        <w:rPr>
          <w:color w:val="000000"/>
          <w:sz w:val="22"/>
          <w:szCs w:val="22"/>
          <w:lang w:val="sr-Latn-ME" w:eastAsia="sr-Latn-ME"/>
        </w:rPr>
        <w:t>peptičkog ulkusa</w:t>
      </w:r>
      <w:r w:rsidRPr="00F63435">
        <w:rPr>
          <w:color w:val="000000"/>
          <w:sz w:val="22"/>
          <w:szCs w:val="22"/>
          <w:lang w:val="sr-Latn-ME" w:eastAsia="sr-Latn-ME"/>
        </w:rPr>
        <w:t>/krvarenja (dvije ili više dokazanih epizoda ulceracija ili krvarenja)</w:t>
      </w:r>
      <w:r w:rsidR="00001DCB" w:rsidRPr="00F63435">
        <w:rPr>
          <w:color w:val="000000"/>
          <w:sz w:val="22"/>
          <w:szCs w:val="22"/>
          <w:lang w:val="sr-Latn-ME" w:eastAsia="sr-Latn-ME"/>
        </w:rPr>
        <w:t>.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</w:t>
      </w:r>
    </w:p>
    <w:p w14:paraId="24277261" w14:textId="226B3859" w:rsidR="004B46F7" w:rsidRPr="00F63435" w:rsidRDefault="00504B48" w:rsidP="00CA4BB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 xml:space="preserve">Teška insuficijencija </w:t>
      </w:r>
      <w:r w:rsidR="005122D3" w:rsidRPr="00F63435">
        <w:rPr>
          <w:color w:val="000000"/>
          <w:sz w:val="22"/>
          <w:szCs w:val="22"/>
          <w:lang w:val="sr-Latn-ME" w:eastAsia="sr-Latn-ME"/>
        </w:rPr>
        <w:t>srca (NYHA stepen</w:t>
      </w:r>
      <w:r w:rsidR="004B46F7" w:rsidRPr="00F63435">
        <w:rPr>
          <w:color w:val="000000"/>
          <w:sz w:val="22"/>
          <w:szCs w:val="22"/>
          <w:lang w:val="sr-Latn-ME" w:eastAsia="sr-Latn-ME"/>
        </w:rPr>
        <w:t xml:space="preserve"> IV)</w:t>
      </w:r>
      <w:r w:rsidRPr="00F63435">
        <w:rPr>
          <w:color w:val="000000"/>
          <w:sz w:val="22"/>
          <w:szCs w:val="22"/>
          <w:lang w:val="sr-Latn-ME" w:eastAsia="sr-Latn-ME"/>
        </w:rPr>
        <w:t>.</w:t>
      </w:r>
      <w:r w:rsidR="004B46F7" w:rsidRPr="00F63435">
        <w:rPr>
          <w:color w:val="000000"/>
          <w:sz w:val="22"/>
          <w:szCs w:val="22"/>
          <w:lang w:val="sr-Latn-ME" w:eastAsia="sr-Latn-ME"/>
        </w:rPr>
        <w:t xml:space="preserve"> </w:t>
      </w:r>
    </w:p>
    <w:p w14:paraId="185BAA63" w14:textId="48418B14" w:rsidR="004B46F7" w:rsidRPr="00F63435" w:rsidRDefault="004B46F7" w:rsidP="00CA4BB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>Cerebrovaskularno ili drugo aktivno krvarenje</w:t>
      </w:r>
      <w:r w:rsidR="00504B48" w:rsidRPr="00F63435">
        <w:rPr>
          <w:color w:val="000000"/>
          <w:sz w:val="22"/>
          <w:szCs w:val="22"/>
          <w:lang w:val="sr-Latn-ME" w:eastAsia="sr-Latn-ME"/>
        </w:rPr>
        <w:t>.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</w:t>
      </w:r>
    </w:p>
    <w:p w14:paraId="0FA465D2" w14:textId="15814BF8" w:rsidR="004B46F7" w:rsidRPr="00F63435" w:rsidRDefault="00504B48" w:rsidP="00CA4BB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 xml:space="preserve">Teška insuficijencija </w:t>
      </w:r>
      <w:r w:rsidR="004B46F7" w:rsidRPr="00F63435">
        <w:rPr>
          <w:color w:val="000000"/>
          <w:sz w:val="22"/>
          <w:szCs w:val="22"/>
          <w:lang w:val="sr-Latn-ME" w:eastAsia="sr-Latn-ME"/>
        </w:rPr>
        <w:t xml:space="preserve">jetre ili </w:t>
      </w:r>
      <w:r w:rsidRPr="00F63435">
        <w:rPr>
          <w:color w:val="000000"/>
          <w:sz w:val="22"/>
          <w:szCs w:val="22"/>
          <w:lang w:val="sr-Latn-ME" w:eastAsia="sr-Latn-ME"/>
        </w:rPr>
        <w:t xml:space="preserve">teška insuficijencija </w:t>
      </w:r>
      <w:r w:rsidR="004B46F7" w:rsidRPr="00F63435">
        <w:rPr>
          <w:color w:val="000000"/>
          <w:sz w:val="22"/>
          <w:szCs w:val="22"/>
          <w:lang w:val="sr-Latn-ME" w:eastAsia="sr-Latn-ME"/>
        </w:rPr>
        <w:t>bubrega</w:t>
      </w:r>
      <w:r w:rsidR="005B587C" w:rsidRPr="00F63435">
        <w:rPr>
          <w:color w:val="000000"/>
          <w:sz w:val="22"/>
          <w:szCs w:val="22"/>
          <w:lang w:val="sr-Latn-ME" w:eastAsia="sr-Latn-ME"/>
        </w:rPr>
        <w:t>.</w:t>
      </w:r>
      <w:r w:rsidR="004B46F7" w:rsidRPr="00F63435">
        <w:rPr>
          <w:color w:val="000000"/>
          <w:sz w:val="22"/>
          <w:szCs w:val="22"/>
          <w:lang w:val="sr-Latn-ME" w:eastAsia="sr-Latn-ME"/>
        </w:rPr>
        <w:t xml:space="preserve"> </w:t>
      </w:r>
    </w:p>
    <w:p w14:paraId="30E2D233" w14:textId="3104A6C9" w:rsidR="004B46F7" w:rsidRPr="00F63435" w:rsidRDefault="004B46F7" w:rsidP="00CA4BB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>Nerazjašnjeni hematopoetski poremećaji</w:t>
      </w:r>
      <w:r w:rsidR="00504B48" w:rsidRPr="00F63435">
        <w:rPr>
          <w:color w:val="000000"/>
          <w:sz w:val="22"/>
          <w:szCs w:val="22"/>
          <w:lang w:val="sr-Latn-ME" w:eastAsia="sr-Latn-ME"/>
        </w:rPr>
        <w:t>.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</w:t>
      </w:r>
    </w:p>
    <w:p w14:paraId="08A6CF1D" w14:textId="2077CFF7" w:rsidR="004B46F7" w:rsidRPr="00F63435" w:rsidRDefault="005122D3" w:rsidP="00CA4BB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8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>Posljednji trimestar</w:t>
      </w:r>
      <w:r w:rsidR="004B46F7" w:rsidRPr="00F63435">
        <w:rPr>
          <w:color w:val="000000"/>
          <w:sz w:val="22"/>
          <w:szCs w:val="22"/>
          <w:lang w:val="sr-Latn-ME" w:eastAsia="sr-Latn-ME"/>
        </w:rPr>
        <w:t xml:space="preserve"> trudnoće </w:t>
      </w:r>
      <w:r w:rsidR="004B46F7" w:rsidRPr="00C5704B">
        <w:rPr>
          <w:color w:val="000000"/>
          <w:sz w:val="22"/>
          <w:szCs w:val="22"/>
          <w:lang w:val="sr-Latn-ME" w:eastAsia="sr-Latn-ME"/>
        </w:rPr>
        <w:t>(vidjeti dio 4.6)</w:t>
      </w:r>
      <w:r w:rsidR="00504B48" w:rsidRPr="00C5704B">
        <w:rPr>
          <w:color w:val="000000"/>
          <w:sz w:val="22"/>
          <w:szCs w:val="22"/>
          <w:lang w:val="sr-Latn-ME" w:eastAsia="sr-Latn-ME"/>
        </w:rPr>
        <w:t>.</w:t>
      </w:r>
      <w:r w:rsidR="004B46F7" w:rsidRPr="00F63435">
        <w:rPr>
          <w:color w:val="000000"/>
          <w:sz w:val="22"/>
          <w:szCs w:val="22"/>
          <w:lang w:val="sr-Latn-ME" w:eastAsia="sr-Latn-ME"/>
        </w:rPr>
        <w:t xml:space="preserve"> </w:t>
      </w:r>
    </w:p>
    <w:p w14:paraId="0264442F" w14:textId="43EFF9DC" w:rsidR="004B46F7" w:rsidRPr="00F63435" w:rsidRDefault="004B46F7" w:rsidP="00CA4BB2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>Teška dehidracija (u</w:t>
      </w:r>
      <w:r w:rsidR="005122D3" w:rsidRPr="00F63435">
        <w:rPr>
          <w:color w:val="000000"/>
          <w:sz w:val="22"/>
          <w:szCs w:val="22"/>
          <w:lang w:val="sr-Latn-ME" w:eastAsia="sr-Latn-ME"/>
        </w:rPr>
        <w:t>zrokovana povraćanjem, prolivom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ili nedovoljnim unosom te</w:t>
      </w:r>
      <w:r w:rsidR="005122D3" w:rsidRPr="00F63435">
        <w:rPr>
          <w:color w:val="000000"/>
          <w:sz w:val="22"/>
          <w:szCs w:val="22"/>
          <w:lang w:val="sr-Latn-ME" w:eastAsia="sr-Latn-ME"/>
        </w:rPr>
        <w:t>čnosti</w:t>
      </w:r>
      <w:r w:rsidRPr="00F63435">
        <w:rPr>
          <w:color w:val="000000"/>
          <w:sz w:val="22"/>
          <w:szCs w:val="22"/>
          <w:lang w:val="sr-Latn-ME" w:eastAsia="sr-Latn-ME"/>
        </w:rPr>
        <w:t>)</w:t>
      </w:r>
      <w:r w:rsidR="004839A0" w:rsidRPr="00F63435">
        <w:rPr>
          <w:color w:val="000000"/>
          <w:sz w:val="22"/>
          <w:szCs w:val="22"/>
          <w:lang w:val="sr-Latn-ME" w:eastAsia="sr-Latn-ME"/>
        </w:rPr>
        <w:t>.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</w:t>
      </w:r>
    </w:p>
    <w:p w14:paraId="5B987ED6" w14:textId="77777777" w:rsidR="00AC5146" w:rsidRPr="00F63435" w:rsidRDefault="00AC5146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46C7B1" w14:textId="77777777" w:rsidR="00411B4B" w:rsidRPr="00F63435" w:rsidRDefault="00411B4B" w:rsidP="00D953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4.4.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A6783A7" w14:textId="77777777" w:rsidR="003426F3" w:rsidRPr="00F63435" w:rsidRDefault="003426F3" w:rsidP="00B04B0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03279E7" w14:textId="77777777" w:rsidR="00221581" w:rsidRPr="00F63435" w:rsidRDefault="000E09ED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Neželjena dejstva</w:t>
      </w:r>
      <w:r w:rsidR="00221581" w:rsidRPr="00F63435">
        <w:rPr>
          <w:sz w:val="22"/>
          <w:szCs w:val="22"/>
          <w:lang w:val="sr-Latn-ME"/>
        </w:rPr>
        <w:t xml:space="preserve"> mogu se umanjiti primjenom najniže </w:t>
      </w:r>
      <w:r w:rsidR="00AF2366" w:rsidRPr="00F63435">
        <w:rPr>
          <w:sz w:val="22"/>
          <w:szCs w:val="22"/>
          <w:lang w:val="sr-Latn-ME"/>
        </w:rPr>
        <w:t xml:space="preserve">efektivne </w:t>
      </w:r>
      <w:r w:rsidR="00221581" w:rsidRPr="00F63435">
        <w:rPr>
          <w:sz w:val="22"/>
          <w:szCs w:val="22"/>
          <w:lang w:val="sr-Latn-ME"/>
        </w:rPr>
        <w:t xml:space="preserve">doze kroz najkraće moguće vrijeme potrebno za ublažavanje simptoma (vidjeti </w:t>
      </w:r>
      <w:r w:rsidR="00AF2366" w:rsidRPr="00F63435">
        <w:rPr>
          <w:sz w:val="22"/>
          <w:szCs w:val="22"/>
          <w:lang w:val="sr-Latn-ME"/>
        </w:rPr>
        <w:t xml:space="preserve">digestivne </w:t>
      </w:r>
      <w:r w:rsidR="00221581" w:rsidRPr="00F63435">
        <w:rPr>
          <w:sz w:val="22"/>
          <w:szCs w:val="22"/>
          <w:lang w:val="sr-Latn-ME"/>
        </w:rPr>
        <w:t xml:space="preserve">i kardiovaskularne rizike niže u tekstu). </w:t>
      </w:r>
    </w:p>
    <w:p w14:paraId="0B7B83C3" w14:textId="77777777" w:rsidR="00221581" w:rsidRPr="00F63435" w:rsidRDefault="00221581" w:rsidP="001E234A">
      <w:pPr>
        <w:pStyle w:val="Default"/>
        <w:jc w:val="both"/>
        <w:rPr>
          <w:sz w:val="22"/>
          <w:szCs w:val="22"/>
          <w:lang w:val="sr-Latn-ME"/>
        </w:rPr>
      </w:pPr>
    </w:p>
    <w:p w14:paraId="1C7A9873" w14:textId="77777777" w:rsidR="005122D3" w:rsidRPr="00F63435" w:rsidRDefault="00221581" w:rsidP="001E234A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Starije osobe: </w:t>
      </w:r>
    </w:p>
    <w:p w14:paraId="263727A1" w14:textId="77777777" w:rsidR="00AC5146" w:rsidRPr="00F63435" w:rsidRDefault="005122D3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Kod </w:t>
      </w:r>
      <w:r w:rsidR="00221581" w:rsidRPr="00F63435">
        <w:rPr>
          <w:sz w:val="22"/>
          <w:szCs w:val="22"/>
          <w:lang w:val="sr-Latn-ME"/>
        </w:rPr>
        <w:t>starijih osoba postoji veća učestalost nastanka ozbiljni</w:t>
      </w:r>
      <w:r w:rsidRPr="00F63435">
        <w:rPr>
          <w:sz w:val="22"/>
          <w:szCs w:val="22"/>
          <w:lang w:val="sr-Latn-ME"/>
        </w:rPr>
        <w:t>h neželjenih dejstava</w:t>
      </w:r>
      <w:r w:rsidR="00221581" w:rsidRPr="00F63435">
        <w:rPr>
          <w:sz w:val="22"/>
          <w:szCs w:val="22"/>
          <w:lang w:val="sr-Latn-ME"/>
        </w:rPr>
        <w:t xml:space="preserve"> vezanih</w:t>
      </w:r>
      <w:r w:rsidR="004839A0" w:rsidRPr="00F63435">
        <w:rPr>
          <w:sz w:val="22"/>
          <w:szCs w:val="22"/>
          <w:lang w:val="sr-Latn-ME"/>
        </w:rPr>
        <w:t xml:space="preserve"> za</w:t>
      </w:r>
      <w:r w:rsidRPr="00F63435">
        <w:rPr>
          <w:sz w:val="22"/>
          <w:szCs w:val="22"/>
          <w:lang w:val="sr-Latn-ME"/>
        </w:rPr>
        <w:t xml:space="preserve"> uzimanje nesteroidnih </w:t>
      </w:r>
      <w:r w:rsidR="00AF2366" w:rsidRPr="00F63435">
        <w:rPr>
          <w:sz w:val="22"/>
          <w:szCs w:val="22"/>
          <w:lang w:val="sr-Latn-ME"/>
        </w:rPr>
        <w:t xml:space="preserve">antiinflamatornih </w:t>
      </w:r>
      <w:r w:rsidR="00FC7E64" w:rsidRPr="00F63435">
        <w:rPr>
          <w:sz w:val="22"/>
          <w:szCs w:val="22"/>
          <w:lang w:val="sr-Latn-ME"/>
        </w:rPr>
        <w:t>l</w:t>
      </w:r>
      <w:r w:rsidR="00221581" w:rsidRPr="00F63435">
        <w:rPr>
          <w:sz w:val="22"/>
          <w:szCs w:val="22"/>
          <w:lang w:val="sr-Latn-ME"/>
        </w:rPr>
        <w:t xml:space="preserve">jekova, </w:t>
      </w:r>
      <w:r w:rsidRPr="00F63435">
        <w:rPr>
          <w:sz w:val="22"/>
          <w:szCs w:val="22"/>
          <w:lang w:val="sr-Latn-ME"/>
        </w:rPr>
        <w:t>posebno</w:t>
      </w:r>
      <w:r w:rsidR="00221581" w:rsidRPr="00F63435">
        <w:rPr>
          <w:sz w:val="22"/>
          <w:szCs w:val="22"/>
          <w:lang w:val="sr-Latn-ME"/>
        </w:rPr>
        <w:t xml:space="preserve"> krvarenja i perforacija u </w:t>
      </w:r>
      <w:r w:rsidR="00AF2366" w:rsidRPr="00F63435">
        <w:rPr>
          <w:sz w:val="22"/>
          <w:szCs w:val="22"/>
          <w:lang w:val="sr-Latn-ME"/>
        </w:rPr>
        <w:t xml:space="preserve">digestivnom </w:t>
      </w:r>
      <w:r w:rsidRPr="00F63435">
        <w:rPr>
          <w:sz w:val="22"/>
          <w:szCs w:val="22"/>
          <w:lang w:val="sr-Latn-ME"/>
        </w:rPr>
        <w:t>sistemu</w:t>
      </w:r>
      <w:r w:rsidR="00221581" w:rsidRPr="00F63435">
        <w:rPr>
          <w:sz w:val="22"/>
          <w:szCs w:val="22"/>
          <w:lang w:val="sr-Latn-ME"/>
        </w:rPr>
        <w:t>. Posljedice tih</w:t>
      </w:r>
      <w:r w:rsidRPr="00F63435">
        <w:rPr>
          <w:sz w:val="22"/>
          <w:szCs w:val="22"/>
          <w:lang w:val="sr-Latn-ME"/>
        </w:rPr>
        <w:t xml:space="preserve"> neželjenih dejstava su kod</w:t>
      </w:r>
      <w:r w:rsidR="00221581" w:rsidRPr="00F63435">
        <w:rPr>
          <w:sz w:val="22"/>
          <w:szCs w:val="22"/>
          <w:lang w:val="sr-Latn-ME"/>
        </w:rPr>
        <w:t xml:space="preserve"> starijih osoba teže, a mogu imati i smrtni ishod.</w:t>
      </w:r>
    </w:p>
    <w:p w14:paraId="2CF819A4" w14:textId="77777777" w:rsidR="00221581" w:rsidRPr="00F63435" w:rsidRDefault="00221581" w:rsidP="001E23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4FC6D5D" w14:textId="77777777" w:rsidR="00221581" w:rsidRPr="00F63435" w:rsidRDefault="005122D3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>Potreban je oprez kod</w:t>
      </w:r>
      <w:r w:rsidR="00221581" w:rsidRPr="00F63435">
        <w:rPr>
          <w:b/>
          <w:bCs/>
          <w:sz w:val="22"/>
          <w:szCs w:val="22"/>
          <w:lang w:val="sr-Latn-ME"/>
        </w:rPr>
        <w:t xml:space="preserve"> </w:t>
      </w:r>
      <w:r w:rsidR="00063BF4" w:rsidRPr="00F63435">
        <w:rPr>
          <w:b/>
          <w:bCs/>
          <w:sz w:val="22"/>
          <w:szCs w:val="22"/>
          <w:lang w:val="sr-Latn-ME"/>
        </w:rPr>
        <w:t>pacijenat</w:t>
      </w:r>
      <w:r w:rsidR="00221581" w:rsidRPr="00F63435">
        <w:rPr>
          <w:b/>
          <w:bCs/>
          <w:sz w:val="22"/>
          <w:szCs w:val="22"/>
          <w:lang w:val="sr-Latn-ME"/>
        </w:rPr>
        <w:t xml:space="preserve">a sa: </w:t>
      </w:r>
    </w:p>
    <w:p w14:paraId="22FC58E3" w14:textId="12538A29" w:rsidR="00221581" w:rsidRPr="00F63435" w:rsidRDefault="00221581" w:rsidP="00CA4BB2">
      <w:pPr>
        <w:pStyle w:val="Default"/>
        <w:numPr>
          <w:ilvl w:val="0"/>
          <w:numId w:val="18"/>
        </w:numPr>
        <w:spacing w:after="38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sistemskim eritematoznim lupusom, kao i onih s</w:t>
      </w:r>
      <w:r w:rsidR="00B7025F" w:rsidRPr="00F63435">
        <w:rPr>
          <w:sz w:val="22"/>
          <w:szCs w:val="22"/>
          <w:lang w:val="sr-Latn-ME"/>
        </w:rPr>
        <w:t>a</w:t>
      </w:r>
      <w:r w:rsidR="00AF6DD6" w:rsidRPr="00F63435">
        <w:rPr>
          <w:sz w:val="22"/>
          <w:szCs w:val="22"/>
          <w:lang w:val="sr-Latn-ME"/>
        </w:rPr>
        <w:t xml:space="preserve"> m</w:t>
      </w:r>
      <w:r w:rsidR="004E4067" w:rsidRPr="00F63435">
        <w:rPr>
          <w:sz w:val="22"/>
          <w:szCs w:val="22"/>
          <w:lang w:val="sr-Latn-ME"/>
        </w:rPr>
        <w:t>ješovit</w:t>
      </w:r>
      <w:r w:rsidRPr="00F63435">
        <w:rPr>
          <w:sz w:val="22"/>
          <w:szCs w:val="22"/>
          <w:lang w:val="sr-Latn-ME"/>
        </w:rPr>
        <w:t xml:space="preserve">om </w:t>
      </w:r>
      <w:r w:rsidR="00452D05" w:rsidRPr="00F63435">
        <w:rPr>
          <w:sz w:val="22"/>
          <w:szCs w:val="22"/>
          <w:lang w:val="sr-Latn-ME"/>
        </w:rPr>
        <w:t xml:space="preserve">bolešću </w:t>
      </w:r>
      <w:r w:rsidRPr="00F63435">
        <w:rPr>
          <w:sz w:val="22"/>
          <w:szCs w:val="22"/>
          <w:lang w:val="sr-Latn-ME"/>
        </w:rPr>
        <w:t>vezivnog tkiva, zbog povećanog rizika od aseptičkog meningitisa (vidjeti dio 4.8)</w:t>
      </w:r>
      <w:r w:rsidR="00452D05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</w:t>
      </w:r>
    </w:p>
    <w:p w14:paraId="45EAB69C" w14:textId="43DBBBEA" w:rsidR="00221581" w:rsidRPr="00F63435" w:rsidRDefault="00221581" w:rsidP="00CA4BB2">
      <w:pPr>
        <w:pStyle w:val="Default"/>
        <w:numPr>
          <w:ilvl w:val="0"/>
          <w:numId w:val="18"/>
        </w:numPr>
        <w:spacing w:after="38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kongenitalnim poremećajem metabolizma porfirina (npr. akutna intermitentna porfirija)</w:t>
      </w:r>
      <w:r w:rsidR="00452D05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</w:t>
      </w:r>
    </w:p>
    <w:p w14:paraId="586C56B6" w14:textId="2072AE26" w:rsidR="00221581" w:rsidRPr="00F63435" w:rsidRDefault="00221581" w:rsidP="00CA4BB2">
      <w:pPr>
        <w:pStyle w:val="Default"/>
        <w:numPr>
          <w:ilvl w:val="0"/>
          <w:numId w:val="18"/>
        </w:numPr>
        <w:spacing w:after="38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gast</w:t>
      </w:r>
      <w:r w:rsidR="00B7025F" w:rsidRPr="00F63435">
        <w:rPr>
          <w:sz w:val="22"/>
          <w:szCs w:val="22"/>
          <w:lang w:val="sr-Latn-ME"/>
        </w:rPr>
        <w:t>rointestinalnim poremećajima i h</w:t>
      </w:r>
      <w:r w:rsidRPr="00F63435">
        <w:rPr>
          <w:sz w:val="22"/>
          <w:szCs w:val="22"/>
          <w:lang w:val="sr-Latn-ME"/>
        </w:rPr>
        <w:t xml:space="preserve">roničnom upalnom </w:t>
      </w:r>
      <w:r w:rsidR="00AF2366" w:rsidRPr="00F63435">
        <w:rPr>
          <w:sz w:val="22"/>
          <w:szCs w:val="22"/>
          <w:lang w:val="sr-Latn-ME"/>
        </w:rPr>
        <w:t xml:space="preserve">bolešću </w:t>
      </w:r>
      <w:r w:rsidRPr="00F63435">
        <w:rPr>
          <w:sz w:val="22"/>
          <w:szCs w:val="22"/>
          <w:lang w:val="sr-Latn-ME"/>
        </w:rPr>
        <w:t>crijeva (ulcerozni kolitis, Crohn</w:t>
      </w:r>
      <w:r w:rsidR="00AF2366" w:rsidRPr="00F63435">
        <w:rPr>
          <w:sz w:val="22"/>
          <w:szCs w:val="22"/>
          <w:lang w:val="sr-Latn-ME"/>
        </w:rPr>
        <w:t>-</w:t>
      </w:r>
      <w:r w:rsidRPr="00F63435">
        <w:rPr>
          <w:sz w:val="22"/>
          <w:szCs w:val="22"/>
          <w:lang w:val="sr-Latn-ME"/>
        </w:rPr>
        <w:t>ova bolest) (vidjeti dio 4.8)</w:t>
      </w:r>
      <w:r w:rsidR="00452D05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</w:t>
      </w:r>
    </w:p>
    <w:p w14:paraId="4F476E5D" w14:textId="25BD22DE" w:rsidR="00221581" w:rsidRPr="00F63435" w:rsidRDefault="00221581" w:rsidP="00CA4BB2">
      <w:pPr>
        <w:pStyle w:val="Default"/>
        <w:numPr>
          <w:ilvl w:val="0"/>
          <w:numId w:val="18"/>
        </w:numPr>
        <w:spacing w:after="38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anamnezom hipertenzije i</w:t>
      </w:r>
      <w:r w:rsidR="00B7025F" w:rsidRPr="00F63435">
        <w:rPr>
          <w:sz w:val="22"/>
          <w:szCs w:val="22"/>
          <w:lang w:val="sr-Latn-ME"/>
        </w:rPr>
        <w:t xml:space="preserve">/ili </w:t>
      </w:r>
      <w:r w:rsidR="00AF2366" w:rsidRPr="00F63435">
        <w:rPr>
          <w:sz w:val="22"/>
          <w:szCs w:val="22"/>
          <w:lang w:val="sr-Latn-ME"/>
        </w:rPr>
        <w:t xml:space="preserve">insuficijencije </w:t>
      </w:r>
      <w:r w:rsidR="00B7025F" w:rsidRPr="00F63435">
        <w:rPr>
          <w:sz w:val="22"/>
          <w:szCs w:val="22"/>
          <w:lang w:val="sr-Latn-ME"/>
        </w:rPr>
        <w:t>srca</w:t>
      </w:r>
      <w:r w:rsidR="00AF2366" w:rsidRPr="00F63435">
        <w:rPr>
          <w:sz w:val="22"/>
          <w:szCs w:val="22"/>
          <w:lang w:val="sr-Latn-ME"/>
        </w:rPr>
        <w:t>,</w:t>
      </w:r>
      <w:r w:rsidR="00B7025F" w:rsidRPr="00F63435">
        <w:rPr>
          <w:sz w:val="22"/>
          <w:szCs w:val="22"/>
          <w:lang w:val="sr-Latn-ME"/>
        </w:rPr>
        <w:t xml:space="preserve"> jer su zabi</w:t>
      </w:r>
      <w:r w:rsidR="006575E9" w:rsidRPr="00F63435">
        <w:rPr>
          <w:sz w:val="22"/>
          <w:szCs w:val="22"/>
          <w:lang w:val="sr-Latn-ME"/>
        </w:rPr>
        <w:t>lje</w:t>
      </w:r>
      <w:r w:rsidRPr="00F63435">
        <w:rPr>
          <w:sz w:val="22"/>
          <w:szCs w:val="22"/>
          <w:lang w:val="sr-Latn-ME"/>
        </w:rPr>
        <w:t>žen</w:t>
      </w:r>
      <w:r w:rsidR="00B7025F" w:rsidRPr="00F63435">
        <w:rPr>
          <w:sz w:val="22"/>
          <w:szCs w:val="22"/>
          <w:lang w:val="sr-Latn-ME"/>
        </w:rPr>
        <w:t>i slučajevi zadržavanja tečnosti</w:t>
      </w:r>
      <w:r w:rsidRPr="00F63435">
        <w:rPr>
          <w:sz w:val="22"/>
          <w:szCs w:val="22"/>
          <w:lang w:val="sr-Latn-ME"/>
        </w:rPr>
        <w:t xml:space="preserve"> i ede</w:t>
      </w:r>
      <w:r w:rsidR="005122D3" w:rsidRPr="00F63435">
        <w:rPr>
          <w:sz w:val="22"/>
          <w:szCs w:val="22"/>
          <w:lang w:val="sr-Latn-ME"/>
        </w:rPr>
        <w:t xml:space="preserve">mi povezani s terapijom NSAIL </w:t>
      </w:r>
      <w:r w:rsidRPr="00F63435">
        <w:rPr>
          <w:sz w:val="22"/>
          <w:szCs w:val="22"/>
          <w:lang w:val="sr-Latn-ME"/>
        </w:rPr>
        <w:t>(vidjeti djelove 4.3 i 4.8)</w:t>
      </w:r>
      <w:r w:rsidR="00452D05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</w:t>
      </w:r>
    </w:p>
    <w:p w14:paraId="0261D55C" w14:textId="73C052A9" w:rsidR="00221581" w:rsidRPr="00F63435" w:rsidRDefault="00221581" w:rsidP="00CA4BB2">
      <w:pPr>
        <w:pStyle w:val="Default"/>
        <w:numPr>
          <w:ilvl w:val="0"/>
          <w:numId w:val="18"/>
        </w:numPr>
        <w:spacing w:after="38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oštećenjem bubrega</w:t>
      </w:r>
      <w:r w:rsidR="00AF2366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jer se funkcija bubrega mo</w:t>
      </w:r>
      <w:r w:rsidR="000E09ED" w:rsidRPr="00F63435">
        <w:rPr>
          <w:sz w:val="22"/>
          <w:szCs w:val="22"/>
          <w:lang w:val="sr-Latn-ME"/>
        </w:rPr>
        <w:t>že dodatno pogoršati (vidjeti d</w:t>
      </w:r>
      <w:r w:rsidRPr="00F63435">
        <w:rPr>
          <w:sz w:val="22"/>
          <w:szCs w:val="22"/>
          <w:lang w:val="sr-Latn-ME"/>
        </w:rPr>
        <w:t>jelove 4.3 i 4.8)</w:t>
      </w:r>
      <w:r w:rsidR="00452D05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</w:t>
      </w:r>
    </w:p>
    <w:p w14:paraId="7E42C94A" w14:textId="30B658C1" w:rsidR="00221581" w:rsidRPr="00F63435" w:rsidRDefault="00221581" w:rsidP="00CA4BB2">
      <w:pPr>
        <w:pStyle w:val="Default"/>
        <w:numPr>
          <w:ilvl w:val="0"/>
          <w:numId w:val="18"/>
        </w:numPr>
        <w:spacing w:after="38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ošteć</w:t>
      </w:r>
      <w:r w:rsidR="000E09ED" w:rsidRPr="00F63435">
        <w:rPr>
          <w:sz w:val="22"/>
          <w:szCs w:val="22"/>
          <w:lang w:val="sr-Latn-ME"/>
        </w:rPr>
        <w:t>enjem funkcije jetre (vidjeti d</w:t>
      </w:r>
      <w:r w:rsidRPr="00F63435">
        <w:rPr>
          <w:sz w:val="22"/>
          <w:szCs w:val="22"/>
          <w:lang w:val="sr-Latn-ME"/>
        </w:rPr>
        <w:t>jelove 4.3 i 4.8)</w:t>
      </w:r>
      <w:r w:rsidR="00452D05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</w:t>
      </w:r>
    </w:p>
    <w:p w14:paraId="633115CB" w14:textId="2E8EDB8D" w:rsidR="00221581" w:rsidRPr="00F63435" w:rsidRDefault="00221581" w:rsidP="00CA4BB2">
      <w:pPr>
        <w:pStyle w:val="Default"/>
        <w:numPr>
          <w:ilvl w:val="0"/>
          <w:numId w:val="18"/>
        </w:numPr>
        <w:spacing w:after="38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neposredno nakon većeg operativnog zahvata</w:t>
      </w:r>
      <w:r w:rsidR="00452D05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</w:t>
      </w:r>
    </w:p>
    <w:p w14:paraId="6D1DEB87" w14:textId="6CD5B5BB" w:rsidR="00221581" w:rsidRPr="00F63435" w:rsidRDefault="00AF2366" w:rsidP="00CA4BB2">
      <w:pPr>
        <w:pStyle w:val="Default"/>
        <w:numPr>
          <w:ilvl w:val="0"/>
          <w:numId w:val="18"/>
        </w:numPr>
        <w:spacing w:after="38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polenskom </w:t>
      </w:r>
      <w:r w:rsidR="00B7025F" w:rsidRPr="00F63435">
        <w:rPr>
          <w:sz w:val="22"/>
          <w:szCs w:val="22"/>
          <w:lang w:val="sr-Latn-ME"/>
        </w:rPr>
        <w:t>groznicom, nosnim polipima ili h</w:t>
      </w:r>
      <w:r w:rsidR="00221581" w:rsidRPr="00F63435">
        <w:rPr>
          <w:sz w:val="22"/>
          <w:szCs w:val="22"/>
          <w:lang w:val="sr-Latn-ME"/>
        </w:rPr>
        <w:t>roničnim opstruktivnim poremećajima disanja</w:t>
      </w:r>
      <w:r w:rsidR="00452D05" w:rsidRPr="00F63435">
        <w:rPr>
          <w:sz w:val="22"/>
          <w:szCs w:val="22"/>
          <w:lang w:val="sr-Latn-ME"/>
        </w:rPr>
        <w:t>,</w:t>
      </w:r>
      <w:r w:rsidR="00221581" w:rsidRPr="00F63435">
        <w:rPr>
          <w:sz w:val="22"/>
          <w:szCs w:val="22"/>
          <w:lang w:val="sr-Latn-ME"/>
        </w:rPr>
        <w:t xml:space="preserve"> jer kod njih postoji povećan rizik od pojave alergijskih reakcija, koje se mogu manifest</w:t>
      </w:r>
      <w:r w:rsidR="00665A83" w:rsidRPr="00F63435">
        <w:rPr>
          <w:sz w:val="22"/>
          <w:szCs w:val="22"/>
          <w:lang w:val="sr-Latn-ME"/>
        </w:rPr>
        <w:t xml:space="preserve">ovati kao napadi </w:t>
      </w:r>
      <w:r w:rsidR="00221581" w:rsidRPr="00F63435">
        <w:rPr>
          <w:sz w:val="22"/>
          <w:szCs w:val="22"/>
          <w:lang w:val="sr-Latn-ME"/>
        </w:rPr>
        <w:t>astme (takozvana analgetska astma), Quincke</w:t>
      </w:r>
      <w:r w:rsidR="00452D05" w:rsidRPr="00F63435">
        <w:rPr>
          <w:sz w:val="22"/>
          <w:szCs w:val="22"/>
          <w:lang w:val="sr-Latn-ME"/>
        </w:rPr>
        <w:t>-</w:t>
      </w:r>
      <w:r w:rsidR="00221581" w:rsidRPr="00F63435">
        <w:rPr>
          <w:sz w:val="22"/>
          <w:szCs w:val="22"/>
          <w:lang w:val="sr-Latn-ME"/>
        </w:rPr>
        <w:t>ov edem ili urtikarija</w:t>
      </w:r>
      <w:r w:rsidR="00452D05" w:rsidRPr="00F63435">
        <w:rPr>
          <w:sz w:val="22"/>
          <w:szCs w:val="22"/>
          <w:lang w:val="sr-Latn-ME"/>
        </w:rPr>
        <w:t>,</w:t>
      </w:r>
      <w:r w:rsidR="00221581" w:rsidRPr="00F63435">
        <w:rPr>
          <w:sz w:val="22"/>
          <w:szCs w:val="22"/>
          <w:lang w:val="sr-Latn-ME"/>
        </w:rPr>
        <w:t xml:space="preserve"> </w:t>
      </w:r>
    </w:p>
    <w:p w14:paraId="2FE191A1" w14:textId="548E83F1" w:rsidR="00221581" w:rsidRPr="00F63435" w:rsidRDefault="005122D3" w:rsidP="00CA4BB2">
      <w:pPr>
        <w:pStyle w:val="Default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kod </w:t>
      </w:r>
      <w:r w:rsidR="00452D05" w:rsidRPr="00F63435">
        <w:rPr>
          <w:sz w:val="22"/>
          <w:szCs w:val="22"/>
          <w:lang w:val="sr-Latn-ME"/>
        </w:rPr>
        <w:t xml:space="preserve">pacijenata </w:t>
      </w:r>
      <w:r w:rsidR="00221581" w:rsidRPr="00F63435">
        <w:rPr>
          <w:sz w:val="22"/>
          <w:szCs w:val="22"/>
          <w:lang w:val="sr-Latn-ME"/>
        </w:rPr>
        <w:t xml:space="preserve">koji su već </w:t>
      </w:r>
      <w:r w:rsidRPr="00F63435">
        <w:rPr>
          <w:sz w:val="22"/>
          <w:szCs w:val="22"/>
          <w:lang w:val="sr-Latn-ME"/>
        </w:rPr>
        <w:t>imali alergijske reakcije</w:t>
      </w:r>
      <w:r w:rsidR="00221581" w:rsidRPr="00F63435">
        <w:rPr>
          <w:sz w:val="22"/>
          <w:szCs w:val="22"/>
          <w:lang w:val="sr-Latn-ME"/>
        </w:rPr>
        <w:t xml:space="preserve"> na druge </w:t>
      </w:r>
      <w:r w:rsidR="00E73C44" w:rsidRPr="00F63435">
        <w:rPr>
          <w:sz w:val="22"/>
          <w:szCs w:val="22"/>
          <w:lang w:val="sr-Latn-ME"/>
        </w:rPr>
        <w:t>supstance</w:t>
      </w:r>
      <w:r w:rsidR="00452D05" w:rsidRPr="00F63435">
        <w:rPr>
          <w:sz w:val="22"/>
          <w:szCs w:val="22"/>
          <w:lang w:val="sr-Latn-ME"/>
        </w:rPr>
        <w:t>,</w:t>
      </w:r>
      <w:r w:rsidR="00221581" w:rsidRPr="00F63435">
        <w:rPr>
          <w:sz w:val="22"/>
          <w:szCs w:val="22"/>
          <w:lang w:val="sr-Latn-ME"/>
        </w:rPr>
        <w:t xml:space="preserve"> jer kod njih postoji povećan rizik od pojave reakcija preosjetljivosti i nakon primjene ovog lijeka. </w:t>
      </w:r>
    </w:p>
    <w:p w14:paraId="7B9CA36D" w14:textId="77777777" w:rsidR="00221581" w:rsidRPr="00F63435" w:rsidRDefault="00221581" w:rsidP="001E234A">
      <w:pPr>
        <w:pStyle w:val="Default"/>
        <w:jc w:val="both"/>
        <w:rPr>
          <w:sz w:val="22"/>
          <w:szCs w:val="22"/>
          <w:lang w:val="sr-Latn-ME"/>
        </w:rPr>
      </w:pPr>
    </w:p>
    <w:p w14:paraId="433699EA" w14:textId="77777777" w:rsidR="00221581" w:rsidRPr="00F63435" w:rsidRDefault="005122D3" w:rsidP="001E23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Ne preporučuje se upotreba </w:t>
      </w:r>
      <w:r w:rsidR="00E73C44" w:rsidRPr="00F63435">
        <w:rPr>
          <w:sz w:val="22"/>
          <w:szCs w:val="22"/>
          <w:lang w:val="sr-Latn-ME"/>
        </w:rPr>
        <w:t>l</w:t>
      </w:r>
      <w:r w:rsidR="00AA13E2" w:rsidRPr="00F63435">
        <w:rPr>
          <w:sz w:val="22"/>
          <w:szCs w:val="22"/>
          <w:lang w:val="sr-Latn-ME"/>
        </w:rPr>
        <w:t>ij</w:t>
      </w:r>
      <w:r w:rsidR="00E73C44" w:rsidRPr="00F63435">
        <w:rPr>
          <w:sz w:val="22"/>
          <w:szCs w:val="22"/>
          <w:lang w:val="sr-Latn-ME"/>
        </w:rPr>
        <w:t xml:space="preserve">eka </w:t>
      </w:r>
      <w:r w:rsidR="00221581" w:rsidRPr="00F63435">
        <w:rPr>
          <w:sz w:val="22"/>
          <w:szCs w:val="22"/>
          <w:lang w:val="sr-Latn-ME"/>
        </w:rPr>
        <w:t>Nurofen za djec</w:t>
      </w:r>
      <w:r w:rsidRPr="00F63435">
        <w:rPr>
          <w:sz w:val="22"/>
          <w:szCs w:val="22"/>
          <w:lang w:val="sr-Latn-ME"/>
        </w:rPr>
        <w:t xml:space="preserve">u kod </w:t>
      </w:r>
      <w:r w:rsidR="00B7025F" w:rsidRPr="00F63435">
        <w:rPr>
          <w:sz w:val="22"/>
          <w:szCs w:val="22"/>
          <w:lang w:val="sr-Latn-ME"/>
        </w:rPr>
        <w:t>djece mlađ</w:t>
      </w:r>
      <w:r w:rsidR="00221581" w:rsidRPr="00F63435">
        <w:rPr>
          <w:sz w:val="22"/>
          <w:szCs w:val="22"/>
          <w:lang w:val="sr-Latn-ME"/>
        </w:rPr>
        <w:t>e od 3 mjeseca</w:t>
      </w:r>
      <w:r w:rsidR="00452D05" w:rsidRPr="00F63435">
        <w:rPr>
          <w:sz w:val="22"/>
          <w:szCs w:val="22"/>
          <w:lang w:val="sr-Latn-ME"/>
        </w:rPr>
        <w:t>,</w:t>
      </w:r>
      <w:r w:rsidR="00221581" w:rsidRPr="00F63435">
        <w:rPr>
          <w:sz w:val="22"/>
          <w:szCs w:val="22"/>
          <w:lang w:val="sr-Latn-ME"/>
        </w:rPr>
        <w:t xml:space="preserve"> jer ne postoji dovoljno podatak</w:t>
      </w:r>
      <w:r w:rsidR="00B7025F" w:rsidRPr="00F63435">
        <w:rPr>
          <w:sz w:val="22"/>
          <w:szCs w:val="22"/>
          <w:lang w:val="sr-Latn-ME"/>
        </w:rPr>
        <w:t xml:space="preserve">a o doziranju i </w:t>
      </w:r>
      <w:r w:rsidR="00452D05" w:rsidRPr="00F63435">
        <w:rPr>
          <w:sz w:val="22"/>
          <w:szCs w:val="22"/>
          <w:lang w:val="sr-Latn-ME"/>
        </w:rPr>
        <w:t xml:space="preserve">bezbjednosti </w:t>
      </w:r>
      <w:r w:rsidR="00B7025F" w:rsidRPr="00F63435">
        <w:rPr>
          <w:sz w:val="22"/>
          <w:szCs w:val="22"/>
          <w:lang w:val="sr-Latn-ME"/>
        </w:rPr>
        <w:t>upotre</w:t>
      </w:r>
      <w:r w:rsidRPr="00F63435">
        <w:rPr>
          <w:sz w:val="22"/>
          <w:szCs w:val="22"/>
          <w:lang w:val="sr-Latn-ME"/>
        </w:rPr>
        <w:t>be kod djece to</w:t>
      </w:r>
      <w:r w:rsidR="00221581" w:rsidRPr="00F63435">
        <w:rPr>
          <w:sz w:val="22"/>
          <w:szCs w:val="22"/>
          <w:lang w:val="sr-Latn-ME"/>
        </w:rPr>
        <w:t>kom prvih mjeseci života.</w:t>
      </w:r>
    </w:p>
    <w:p w14:paraId="20BB6FAA" w14:textId="77777777" w:rsidR="00221581" w:rsidRPr="00F63435" w:rsidRDefault="00221581" w:rsidP="001E23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1B79570" w14:textId="77777777" w:rsidR="00221581" w:rsidRPr="00F63435" w:rsidRDefault="00B7025F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>Respiratorni efekt</w:t>
      </w:r>
      <w:r w:rsidR="00221581" w:rsidRPr="00F63435">
        <w:rPr>
          <w:b/>
          <w:bCs/>
          <w:sz w:val="22"/>
          <w:szCs w:val="22"/>
          <w:lang w:val="sr-Latn-ME"/>
        </w:rPr>
        <w:t xml:space="preserve">i: </w:t>
      </w:r>
    </w:p>
    <w:p w14:paraId="0AECCAE0" w14:textId="77777777" w:rsidR="00221581" w:rsidRPr="00F63435" w:rsidRDefault="00E73C44" w:rsidP="001E23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Kod pacijenata</w:t>
      </w:r>
      <w:r w:rsidR="00221581" w:rsidRPr="00F63435">
        <w:rPr>
          <w:sz w:val="22"/>
          <w:szCs w:val="22"/>
          <w:lang w:val="sr-Latn-ME"/>
        </w:rPr>
        <w:t xml:space="preserve"> koji boluju od ili s</w:t>
      </w:r>
      <w:r w:rsidR="007F2AED" w:rsidRPr="00F63435">
        <w:rPr>
          <w:sz w:val="22"/>
          <w:szCs w:val="22"/>
          <w:lang w:val="sr-Latn-ME"/>
        </w:rPr>
        <w:t>a</w:t>
      </w:r>
      <w:r w:rsidR="00221581" w:rsidRPr="00F63435">
        <w:rPr>
          <w:sz w:val="22"/>
          <w:szCs w:val="22"/>
          <w:lang w:val="sr-Latn-ME"/>
        </w:rPr>
        <w:t xml:space="preserve"> anamnezom bronh</w:t>
      </w:r>
      <w:r w:rsidR="007F2AED" w:rsidRPr="00F63435">
        <w:rPr>
          <w:sz w:val="22"/>
          <w:szCs w:val="22"/>
          <w:lang w:val="sr-Latn-ME"/>
        </w:rPr>
        <w:t>ij</w:t>
      </w:r>
      <w:r w:rsidR="00221581" w:rsidRPr="00F63435">
        <w:rPr>
          <w:sz w:val="22"/>
          <w:szCs w:val="22"/>
          <w:lang w:val="sr-Latn-ME"/>
        </w:rPr>
        <w:t>alne astme ili alergije, može doći do pogoršanja bronhospazma.</w:t>
      </w:r>
    </w:p>
    <w:p w14:paraId="392F970B" w14:textId="77777777" w:rsidR="00E73C44" w:rsidRPr="00F63435" w:rsidRDefault="00E73C44" w:rsidP="001E23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1C24627" w14:textId="77777777" w:rsidR="00221581" w:rsidRPr="00F63435" w:rsidRDefault="00AA13E2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>Drugi NSAIL</w:t>
      </w:r>
      <w:r w:rsidR="00221581" w:rsidRPr="00F63435">
        <w:rPr>
          <w:b/>
          <w:bCs/>
          <w:sz w:val="22"/>
          <w:szCs w:val="22"/>
          <w:lang w:val="sr-Latn-ME"/>
        </w:rPr>
        <w:t xml:space="preserve">: </w:t>
      </w:r>
    </w:p>
    <w:p w14:paraId="450A391C" w14:textId="77777777" w:rsidR="00221581" w:rsidRPr="00F63435" w:rsidRDefault="00B7025F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Treba izbjegavati istovremenu upotre</w:t>
      </w:r>
      <w:r w:rsidR="00221581" w:rsidRPr="00F63435">
        <w:rPr>
          <w:sz w:val="22"/>
          <w:szCs w:val="22"/>
          <w:lang w:val="sr-Latn-ME"/>
        </w:rPr>
        <w:t>bu ib</w:t>
      </w:r>
      <w:r w:rsidR="006575E9" w:rsidRPr="00F63435">
        <w:rPr>
          <w:sz w:val="22"/>
          <w:szCs w:val="22"/>
          <w:lang w:val="sr-Latn-ME"/>
        </w:rPr>
        <w:t>uprofena s drugim NSAIL</w:t>
      </w:r>
      <w:r w:rsidR="00452D05" w:rsidRPr="00F63435">
        <w:rPr>
          <w:sz w:val="22"/>
          <w:szCs w:val="22"/>
          <w:lang w:val="sr-Latn-ME"/>
        </w:rPr>
        <w:t>,</w:t>
      </w:r>
      <w:r w:rsidR="00221581" w:rsidRPr="00F63435">
        <w:rPr>
          <w:sz w:val="22"/>
          <w:szCs w:val="22"/>
          <w:lang w:val="sr-Latn-ME"/>
        </w:rPr>
        <w:t xml:space="preserve"> uključujući selektivne inhibitore ciklooksigenaze-2 (vidjeti dio 4.5). </w:t>
      </w:r>
    </w:p>
    <w:p w14:paraId="343DB33A" w14:textId="77777777" w:rsidR="00452D05" w:rsidRPr="00F63435" w:rsidRDefault="00452D05" w:rsidP="001E234A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3E11798F" w14:textId="77777777" w:rsidR="00221581" w:rsidRPr="00F63435" w:rsidRDefault="00221581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Sistemski lupus eritematozus (SLE) i </w:t>
      </w:r>
      <w:r w:rsidR="00403FE2" w:rsidRPr="00F63435">
        <w:rPr>
          <w:b/>
          <w:bCs/>
          <w:sz w:val="22"/>
          <w:szCs w:val="22"/>
          <w:lang w:val="sr-Latn-ME"/>
        </w:rPr>
        <w:t xml:space="preserve">mješovita </w:t>
      </w:r>
      <w:r w:rsidRPr="00F63435">
        <w:rPr>
          <w:b/>
          <w:bCs/>
          <w:sz w:val="22"/>
          <w:szCs w:val="22"/>
          <w:lang w:val="sr-Latn-ME"/>
        </w:rPr>
        <w:t xml:space="preserve">bolest vezivnog tkiva: </w:t>
      </w:r>
    </w:p>
    <w:p w14:paraId="3F713359" w14:textId="77777777" w:rsidR="00221581" w:rsidRPr="00F63435" w:rsidRDefault="00452D05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Pacijenti </w:t>
      </w:r>
      <w:r w:rsidR="00221581" w:rsidRPr="00F63435">
        <w:rPr>
          <w:sz w:val="22"/>
          <w:szCs w:val="22"/>
          <w:lang w:val="sr-Latn-ME"/>
        </w:rPr>
        <w:t xml:space="preserve">koji boluju od sistemskog </w:t>
      </w:r>
      <w:r w:rsidR="00403FE2" w:rsidRPr="00F63435">
        <w:rPr>
          <w:sz w:val="22"/>
          <w:szCs w:val="22"/>
          <w:lang w:val="sr-Latn-ME"/>
        </w:rPr>
        <w:t xml:space="preserve">eritemskog </w:t>
      </w:r>
      <w:r w:rsidR="00221581" w:rsidRPr="00F63435">
        <w:rPr>
          <w:sz w:val="22"/>
          <w:szCs w:val="22"/>
          <w:lang w:val="sr-Latn-ME"/>
        </w:rPr>
        <w:t>lupusa, kao i oni s</w:t>
      </w:r>
      <w:r w:rsidR="00CC7E03" w:rsidRPr="00F63435">
        <w:rPr>
          <w:sz w:val="22"/>
          <w:szCs w:val="22"/>
          <w:lang w:val="sr-Latn-ME"/>
        </w:rPr>
        <w:t>a m</w:t>
      </w:r>
      <w:r w:rsidR="00B7025F" w:rsidRPr="00F63435">
        <w:rPr>
          <w:sz w:val="22"/>
          <w:szCs w:val="22"/>
          <w:lang w:val="sr-Latn-ME"/>
        </w:rPr>
        <w:t>ješovito</w:t>
      </w:r>
      <w:r w:rsidR="00221581" w:rsidRPr="00F63435">
        <w:rPr>
          <w:sz w:val="22"/>
          <w:szCs w:val="22"/>
          <w:lang w:val="sr-Latn-ME"/>
        </w:rPr>
        <w:t xml:space="preserve">m </w:t>
      </w:r>
      <w:r w:rsidR="00403FE2" w:rsidRPr="00F63435">
        <w:rPr>
          <w:sz w:val="22"/>
          <w:szCs w:val="22"/>
          <w:lang w:val="sr-Latn-ME"/>
        </w:rPr>
        <w:t xml:space="preserve">bolešću </w:t>
      </w:r>
      <w:r w:rsidR="00221581" w:rsidRPr="00F63435">
        <w:rPr>
          <w:sz w:val="22"/>
          <w:szCs w:val="22"/>
          <w:lang w:val="sr-Latn-ME"/>
        </w:rPr>
        <w:t xml:space="preserve">vezivnog tkiva, imaju povećani rizik od aseptičkog meningitisa (vidjeti dio 4.8). </w:t>
      </w:r>
    </w:p>
    <w:p w14:paraId="74CBB359" w14:textId="77777777" w:rsidR="00452D05" w:rsidRPr="00F63435" w:rsidRDefault="00452D05" w:rsidP="001E234A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45AC4B40" w14:textId="77777777" w:rsidR="00221581" w:rsidRPr="00F63435" w:rsidRDefault="00221581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>Kardiovask</w:t>
      </w:r>
      <w:r w:rsidR="00B7025F" w:rsidRPr="00F63435">
        <w:rPr>
          <w:b/>
          <w:bCs/>
          <w:sz w:val="22"/>
          <w:szCs w:val="22"/>
          <w:lang w:val="sr-Latn-ME"/>
        </w:rPr>
        <w:t>ularni i cerebrovaskularni efekt</w:t>
      </w:r>
      <w:r w:rsidRPr="00F63435">
        <w:rPr>
          <w:b/>
          <w:bCs/>
          <w:sz w:val="22"/>
          <w:szCs w:val="22"/>
          <w:lang w:val="sr-Latn-ME"/>
        </w:rPr>
        <w:t xml:space="preserve">i: </w:t>
      </w:r>
    </w:p>
    <w:p w14:paraId="7DCFC212" w14:textId="77777777" w:rsidR="00221581" w:rsidRPr="00F63435" w:rsidRDefault="00221581" w:rsidP="00D953F0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Potrebno je oprezno započeti liječenje (posavjetovati se s</w:t>
      </w:r>
      <w:r w:rsidR="00B7025F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</w:t>
      </w:r>
      <w:r w:rsidR="006575E9" w:rsidRPr="00F63435">
        <w:rPr>
          <w:sz w:val="22"/>
          <w:szCs w:val="22"/>
          <w:lang w:val="sr-Latn-ME"/>
        </w:rPr>
        <w:t>ljekarom ili farmaceutom</w:t>
      </w:r>
      <w:r w:rsidR="00B7025F" w:rsidRPr="00F63435">
        <w:rPr>
          <w:sz w:val="22"/>
          <w:szCs w:val="22"/>
          <w:lang w:val="sr-Latn-ME"/>
        </w:rPr>
        <w:t>) kod pacijenata</w:t>
      </w:r>
      <w:r w:rsidRPr="00F63435">
        <w:rPr>
          <w:sz w:val="22"/>
          <w:szCs w:val="22"/>
          <w:lang w:val="sr-Latn-ME"/>
        </w:rPr>
        <w:t xml:space="preserve"> s</w:t>
      </w:r>
      <w:r w:rsidR="00B7025F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anamnezom hipertenzije i/ili </w:t>
      </w:r>
      <w:r w:rsidR="00403FE2" w:rsidRPr="00F63435">
        <w:rPr>
          <w:sz w:val="22"/>
          <w:szCs w:val="22"/>
          <w:lang w:val="sr-Latn-ME"/>
        </w:rPr>
        <w:t xml:space="preserve">insuficijencije </w:t>
      </w:r>
      <w:r w:rsidRPr="00F63435">
        <w:rPr>
          <w:sz w:val="22"/>
          <w:szCs w:val="22"/>
          <w:lang w:val="sr-Latn-ME"/>
        </w:rPr>
        <w:t>srca</w:t>
      </w:r>
      <w:r w:rsidR="00403FE2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jer su zadržavanje te</w:t>
      </w:r>
      <w:r w:rsidR="006575E9" w:rsidRPr="00F63435">
        <w:rPr>
          <w:sz w:val="22"/>
          <w:szCs w:val="22"/>
          <w:lang w:val="sr-Latn-ME"/>
        </w:rPr>
        <w:t>čnosti</w:t>
      </w:r>
      <w:r w:rsidRPr="00F63435">
        <w:rPr>
          <w:sz w:val="22"/>
          <w:szCs w:val="22"/>
          <w:lang w:val="sr-Latn-ME"/>
        </w:rPr>
        <w:t>, hipertenzija i edem</w:t>
      </w:r>
      <w:r w:rsidR="006575E9" w:rsidRPr="00F63435">
        <w:rPr>
          <w:sz w:val="22"/>
          <w:szCs w:val="22"/>
          <w:lang w:val="sr-Latn-ME"/>
        </w:rPr>
        <w:t>i povezani s liječenjem NSAIL</w:t>
      </w:r>
      <w:r w:rsidRPr="00F63435">
        <w:rPr>
          <w:sz w:val="22"/>
          <w:szCs w:val="22"/>
          <w:lang w:val="sr-Latn-ME"/>
        </w:rPr>
        <w:t xml:space="preserve">. </w:t>
      </w:r>
    </w:p>
    <w:p w14:paraId="265514FE" w14:textId="77777777" w:rsidR="00015692" w:rsidRPr="00F63435" w:rsidRDefault="00015692" w:rsidP="00D953F0">
      <w:pPr>
        <w:pStyle w:val="Default"/>
        <w:jc w:val="both"/>
        <w:rPr>
          <w:sz w:val="22"/>
          <w:szCs w:val="22"/>
          <w:lang w:val="sr-Latn-ME"/>
        </w:rPr>
      </w:pPr>
    </w:p>
    <w:p w14:paraId="29130FD8" w14:textId="77777777" w:rsidR="00221581" w:rsidRPr="00F63435" w:rsidRDefault="00221581" w:rsidP="00B04B06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Klinička ispitivanja upućuju na to da primjena ibuprofena, naročito u visokoj dozi (2400 mg/dan), može biti povezana s</w:t>
      </w:r>
      <w:r w:rsidR="00B7025F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blago povećanim rizikom o</w:t>
      </w:r>
      <w:r w:rsidR="00B7025F" w:rsidRPr="00F63435">
        <w:rPr>
          <w:sz w:val="22"/>
          <w:szCs w:val="22"/>
          <w:lang w:val="sr-Latn-ME"/>
        </w:rPr>
        <w:t>d arterijskih trombotičnih događaja (na prim</w:t>
      </w:r>
      <w:r w:rsidR="00AF3EDC" w:rsidRPr="00F63435">
        <w:rPr>
          <w:sz w:val="22"/>
          <w:szCs w:val="22"/>
          <w:lang w:val="sr-Latn-ME"/>
        </w:rPr>
        <w:t>j</w:t>
      </w:r>
      <w:r w:rsidR="00B7025F" w:rsidRPr="00F63435">
        <w:rPr>
          <w:sz w:val="22"/>
          <w:szCs w:val="22"/>
          <w:lang w:val="sr-Latn-ME"/>
        </w:rPr>
        <w:t>er</w:t>
      </w:r>
      <w:r w:rsidRPr="00F63435">
        <w:rPr>
          <w:sz w:val="22"/>
          <w:szCs w:val="22"/>
          <w:lang w:val="sr-Latn-ME"/>
        </w:rPr>
        <w:t>, infarkta miokar</w:t>
      </w:r>
      <w:r w:rsidR="00B7025F" w:rsidRPr="00F63435">
        <w:rPr>
          <w:sz w:val="22"/>
          <w:szCs w:val="22"/>
          <w:lang w:val="sr-Latn-ME"/>
        </w:rPr>
        <w:t>da ili moždanog udara). Uopšte</w:t>
      </w:r>
      <w:r w:rsidR="00995E11" w:rsidRPr="00F63435">
        <w:rPr>
          <w:sz w:val="22"/>
          <w:szCs w:val="22"/>
          <w:lang w:val="sr-Latn-ME"/>
        </w:rPr>
        <w:t>no</w:t>
      </w:r>
      <w:r w:rsidRPr="00F63435">
        <w:rPr>
          <w:sz w:val="22"/>
          <w:szCs w:val="22"/>
          <w:lang w:val="sr-Latn-ME"/>
        </w:rPr>
        <w:t>, epidemiološka ispitivanja ne upućuju na to da bi ibuprofen u niskoj dozi (npr. ≤ 1200 mg/dan) bio povezan s povećanim rizikom o</w:t>
      </w:r>
      <w:r w:rsidR="00B7025F" w:rsidRPr="00F63435">
        <w:rPr>
          <w:sz w:val="22"/>
          <w:szCs w:val="22"/>
          <w:lang w:val="sr-Latn-ME"/>
        </w:rPr>
        <w:t>d arterijskih trombotičnih događ</w:t>
      </w:r>
      <w:r w:rsidRPr="00F63435">
        <w:rPr>
          <w:sz w:val="22"/>
          <w:szCs w:val="22"/>
          <w:lang w:val="sr-Latn-ME"/>
        </w:rPr>
        <w:t xml:space="preserve">aja. </w:t>
      </w:r>
    </w:p>
    <w:p w14:paraId="5B539474" w14:textId="77777777" w:rsidR="00015692" w:rsidRPr="00F63435" w:rsidRDefault="00015692" w:rsidP="00C81AB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0730ED1" w14:textId="7CB0E8C4" w:rsidR="00221581" w:rsidRPr="00F63435" w:rsidRDefault="005E6D8A" w:rsidP="00C81AB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Pacijenti </w:t>
      </w:r>
      <w:r w:rsidR="00221581" w:rsidRPr="00F63435">
        <w:rPr>
          <w:sz w:val="22"/>
          <w:szCs w:val="22"/>
          <w:lang w:val="sr-Latn-ME"/>
        </w:rPr>
        <w:t>s</w:t>
      </w:r>
      <w:r w:rsidR="00B7025F" w:rsidRPr="00F63435">
        <w:rPr>
          <w:sz w:val="22"/>
          <w:szCs w:val="22"/>
          <w:lang w:val="sr-Latn-ME"/>
        </w:rPr>
        <w:t>a</w:t>
      </w:r>
      <w:r w:rsidR="00221581" w:rsidRPr="00F63435">
        <w:rPr>
          <w:sz w:val="22"/>
          <w:szCs w:val="22"/>
          <w:lang w:val="sr-Latn-ME"/>
        </w:rPr>
        <w:t xml:space="preserve"> </w:t>
      </w:r>
      <w:r w:rsidR="00403FE2" w:rsidRPr="00F63435">
        <w:rPr>
          <w:sz w:val="22"/>
          <w:szCs w:val="22"/>
          <w:lang w:val="sr-Latn-ME"/>
        </w:rPr>
        <w:t xml:space="preserve">nekontrolisanom </w:t>
      </w:r>
      <w:r w:rsidR="00221581" w:rsidRPr="00F63435">
        <w:rPr>
          <w:sz w:val="22"/>
          <w:szCs w:val="22"/>
          <w:lang w:val="sr-Latn-ME"/>
        </w:rPr>
        <w:t xml:space="preserve">hipertenzijom, </w:t>
      </w:r>
      <w:r w:rsidR="00403FE2" w:rsidRPr="00F63435">
        <w:rPr>
          <w:sz w:val="22"/>
          <w:szCs w:val="22"/>
          <w:lang w:val="sr-Latn-ME"/>
        </w:rPr>
        <w:t xml:space="preserve">kongestivnom insuficijencijom </w:t>
      </w:r>
      <w:r w:rsidR="00B7025F" w:rsidRPr="00F63435">
        <w:rPr>
          <w:sz w:val="22"/>
          <w:szCs w:val="22"/>
          <w:lang w:val="sr-Latn-ME"/>
        </w:rPr>
        <w:t>srca (NYHA II-III), utvrđ</w:t>
      </w:r>
      <w:r w:rsidR="00221581" w:rsidRPr="00F63435">
        <w:rPr>
          <w:sz w:val="22"/>
          <w:szCs w:val="22"/>
          <w:lang w:val="sr-Latn-ME"/>
        </w:rPr>
        <w:t xml:space="preserve">enom ishemijskom </w:t>
      </w:r>
      <w:r w:rsidR="00403FE2" w:rsidRPr="00F63435">
        <w:rPr>
          <w:sz w:val="22"/>
          <w:szCs w:val="22"/>
          <w:lang w:val="sr-Latn-ME"/>
        </w:rPr>
        <w:t xml:space="preserve">bolešću </w:t>
      </w:r>
      <w:r w:rsidR="00221581" w:rsidRPr="00F63435">
        <w:rPr>
          <w:sz w:val="22"/>
          <w:szCs w:val="22"/>
          <w:lang w:val="sr-Latn-ME"/>
        </w:rPr>
        <w:t xml:space="preserve">srca, </w:t>
      </w:r>
      <w:r w:rsidR="00403FE2" w:rsidRPr="00F63435">
        <w:rPr>
          <w:sz w:val="22"/>
          <w:szCs w:val="22"/>
          <w:lang w:val="sr-Latn-ME"/>
        </w:rPr>
        <w:t xml:space="preserve">bolešću </w:t>
      </w:r>
      <w:r w:rsidR="00221581" w:rsidRPr="00F63435">
        <w:rPr>
          <w:sz w:val="22"/>
          <w:szCs w:val="22"/>
          <w:lang w:val="sr-Latn-ME"/>
        </w:rPr>
        <w:t>perifernih arterija i/ili cerebrovaskularnom bolešću</w:t>
      </w:r>
      <w:r w:rsidR="00403FE2" w:rsidRPr="00F63435">
        <w:rPr>
          <w:sz w:val="22"/>
          <w:szCs w:val="22"/>
          <w:lang w:val="sr-Latn-ME"/>
        </w:rPr>
        <w:t>,</w:t>
      </w:r>
      <w:r w:rsidR="00221581" w:rsidRPr="00F63435">
        <w:rPr>
          <w:sz w:val="22"/>
          <w:szCs w:val="22"/>
          <w:lang w:val="sr-Latn-ME"/>
        </w:rPr>
        <w:t xml:space="preserve"> </w:t>
      </w:r>
      <w:r w:rsidRPr="00F63435">
        <w:rPr>
          <w:sz w:val="22"/>
          <w:szCs w:val="22"/>
          <w:lang w:val="sr-Latn-ME"/>
        </w:rPr>
        <w:t xml:space="preserve">smiju </w:t>
      </w:r>
      <w:r w:rsidR="00221581" w:rsidRPr="00F63435">
        <w:rPr>
          <w:sz w:val="22"/>
          <w:szCs w:val="22"/>
          <w:lang w:val="sr-Latn-ME"/>
        </w:rPr>
        <w:t>se liječiti ibuprofenom samo nakon pažljivog razmatranja uz izbjegavanje davanja visokih doza (2400 mg/dan).</w:t>
      </w:r>
    </w:p>
    <w:p w14:paraId="490C3840" w14:textId="77777777" w:rsidR="00221581" w:rsidRPr="00F63435" w:rsidRDefault="00221581" w:rsidP="00A9144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4D6BE4C" w14:textId="3DE2B292" w:rsidR="00221581" w:rsidRDefault="00995E11" w:rsidP="00C5704B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Pažljivo </w:t>
      </w:r>
      <w:r w:rsidR="00B7025F" w:rsidRPr="00F63435">
        <w:rPr>
          <w:sz w:val="22"/>
          <w:szCs w:val="22"/>
          <w:lang w:val="sr-Latn-ME"/>
        </w:rPr>
        <w:t>razmatranje takođ</w:t>
      </w:r>
      <w:r w:rsidR="00221581" w:rsidRPr="00F63435">
        <w:rPr>
          <w:sz w:val="22"/>
          <w:szCs w:val="22"/>
          <w:lang w:val="sr-Latn-ME"/>
        </w:rPr>
        <w:t xml:space="preserve">e je potrebno prije započinjanja dugotrajnog liječenja </w:t>
      </w:r>
      <w:r w:rsidR="00B7025F" w:rsidRPr="00F63435">
        <w:rPr>
          <w:sz w:val="22"/>
          <w:szCs w:val="22"/>
          <w:lang w:val="sr-Latn-ME"/>
        </w:rPr>
        <w:t>pacijenata sa</w:t>
      </w:r>
      <w:r w:rsidR="00221581" w:rsidRPr="00F63435">
        <w:rPr>
          <w:sz w:val="22"/>
          <w:szCs w:val="22"/>
          <w:lang w:val="sr-Latn-ME"/>
        </w:rPr>
        <w:t xml:space="preserve"> </w:t>
      </w:r>
      <w:r w:rsidR="00B7025F" w:rsidRPr="00F63435">
        <w:rPr>
          <w:sz w:val="22"/>
          <w:szCs w:val="22"/>
          <w:lang w:val="sr-Latn-ME"/>
        </w:rPr>
        <w:t>faktorima</w:t>
      </w:r>
      <w:r w:rsidR="00221581" w:rsidRPr="00F63435">
        <w:rPr>
          <w:sz w:val="22"/>
          <w:szCs w:val="22"/>
          <w:lang w:val="sr-Latn-ME"/>
        </w:rPr>
        <w:t xml:space="preserve"> </w:t>
      </w:r>
      <w:r w:rsidR="00B7025F" w:rsidRPr="00F63435">
        <w:rPr>
          <w:sz w:val="22"/>
          <w:szCs w:val="22"/>
          <w:lang w:val="sr-Latn-ME"/>
        </w:rPr>
        <w:t>rizika za kardiovaskularne događaje (na prim</w:t>
      </w:r>
      <w:r w:rsidR="00AF3EDC" w:rsidRPr="00F63435">
        <w:rPr>
          <w:sz w:val="22"/>
          <w:szCs w:val="22"/>
          <w:lang w:val="sr-Latn-ME"/>
        </w:rPr>
        <w:t>j</w:t>
      </w:r>
      <w:r w:rsidR="00B7025F" w:rsidRPr="00F63435">
        <w:rPr>
          <w:sz w:val="22"/>
          <w:szCs w:val="22"/>
          <w:lang w:val="sr-Latn-ME"/>
        </w:rPr>
        <w:t>er</w:t>
      </w:r>
      <w:r w:rsidR="00221581" w:rsidRPr="00F63435">
        <w:rPr>
          <w:sz w:val="22"/>
          <w:szCs w:val="22"/>
          <w:lang w:val="sr-Latn-ME"/>
        </w:rPr>
        <w:t xml:space="preserve">, hipertenzijom, hiperlipidemijom, šećernom </w:t>
      </w:r>
      <w:r w:rsidR="00403FE2" w:rsidRPr="00F63435">
        <w:rPr>
          <w:sz w:val="22"/>
          <w:szCs w:val="22"/>
          <w:lang w:val="sr-Latn-ME"/>
        </w:rPr>
        <w:t>bolešću</w:t>
      </w:r>
      <w:r w:rsidR="00221581" w:rsidRPr="00F63435">
        <w:rPr>
          <w:sz w:val="22"/>
          <w:szCs w:val="22"/>
          <w:lang w:val="sr-Latn-ME"/>
        </w:rPr>
        <w:t xml:space="preserve">, pušenjem), naročito ako su potrebne visoke doze ibuprofena (2400 mg/dan). </w:t>
      </w:r>
    </w:p>
    <w:p w14:paraId="3CE94D93" w14:textId="77777777" w:rsidR="00105BC3" w:rsidRDefault="00105BC3" w:rsidP="00C5704B">
      <w:pPr>
        <w:pStyle w:val="Default"/>
        <w:jc w:val="both"/>
        <w:rPr>
          <w:sz w:val="22"/>
          <w:szCs w:val="22"/>
          <w:lang w:val="sr-Latn-ME"/>
        </w:rPr>
      </w:pPr>
    </w:p>
    <w:p w14:paraId="15C876C1" w14:textId="1CDEF3A5" w:rsidR="00616150" w:rsidRPr="00F63435" w:rsidRDefault="00616150" w:rsidP="00FD6E4F">
      <w:pPr>
        <w:pStyle w:val="Header"/>
        <w:tabs>
          <w:tab w:val="left" w:pos="284"/>
        </w:tabs>
        <w:jc w:val="both"/>
        <w:rPr>
          <w:lang w:val="sr-Latn-ME"/>
        </w:rPr>
      </w:pPr>
      <w:r w:rsidRPr="00E3657F">
        <w:rPr>
          <w:bCs/>
          <w:sz w:val="22"/>
          <w:szCs w:val="22"/>
        </w:rPr>
        <w:t xml:space="preserve">Prijavljeni su slučajevi </w:t>
      </w:r>
      <w:r w:rsidRPr="00E3657F">
        <w:rPr>
          <w:bCs/>
          <w:i/>
          <w:sz w:val="22"/>
          <w:szCs w:val="22"/>
        </w:rPr>
        <w:t>Kounis</w:t>
      </w:r>
      <w:r w:rsidR="0036522A">
        <w:rPr>
          <w:bCs/>
          <w:i/>
          <w:sz w:val="22"/>
          <w:szCs w:val="22"/>
        </w:rPr>
        <w:t>-</w:t>
      </w:r>
      <w:r w:rsidRPr="00E3657F">
        <w:rPr>
          <w:bCs/>
          <w:sz w:val="22"/>
          <w:szCs w:val="22"/>
        </w:rPr>
        <w:t>ovog sindroma kod pacijenata l</w:t>
      </w:r>
      <w:r w:rsidR="00C5704B">
        <w:rPr>
          <w:bCs/>
          <w:sz w:val="22"/>
          <w:szCs w:val="22"/>
        </w:rPr>
        <w:t>ij</w:t>
      </w:r>
      <w:r w:rsidRPr="00E3657F">
        <w:rPr>
          <w:bCs/>
          <w:sz w:val="22"/>
          <w:szCs w:val="22"/>
        </w:rPr>
        <w:t xml:space="preserve">ečenih </w:t>
      </w:r>
      <w:r w:rsidR="0036522A">
        <w:rPr>
          <w:bCs/>
          <w:sz w:val="22"/>
          <w:szCs w:val="22"/>
        </w:rPr>
        <w:t>ibuprofenom</w:t>
      </w:r>
      <w:r w:rsidRPr="00E3657F">
        <w:rPr>
          <w:bCs/>
          <w:sz w:val="22"/>
          <w:szCs w:val="22"/>
        </w:rPr>
        <w:t xml:space="preserve">. </w:t>
      </w:r>
      <w:r w:rsidRPr="00E3657F">
        <w:rPr>
          <w:bCs/>
          <w:i/>
          <w:sz w:val="22"/>
          <w:szCs w:val="22"/>
        </w:rPr>
        <w:t>Kounis</w:t>
      </w:r>
      <w:r w:rsidR="0036522A">
        <w:rPr>
          <w:bCs/>
          <w:sz w:val="22"/>
          <w:szCs w:val="22"/>
        </w:rPr>
        <w:t>-</w:t>
      </w:r>
      <w:r w:rsidRPr="00E3657F">
        <w:rPr>
          <w:bCs/>
          <w:sz w:val="22"/>
          <w:szCs w:val="22"/>
        </w:rPr>
        <w:t>ov sindrom je definis</w:t>
      </w:r>
      <w:r w:rsidR="0036522A" w:rsidRPr="0036522A">
        <w:rPr>
          <w:bCs/>
          <w:sz w:val="22"/>
          <w:szCs w:val="22"/>
        </w:rPr>
        <w:t>an kao kardiovaskularni simptom</w:t>
      </w:r>
      <w:r w:rsidR="00C5704B">
        <w:rPr>
          <w:bCs/>
          <w:sz w:val="22"/>
          <w:szCs w:val="22"/>
        </w:rPr>
        <w:t>i</w:t>
      </w:r>
      <w:r w:rsidRPr="00E3657F">
        <w:rPr>
          <w:bCs/>
          <w:sz w:val="22"/>
          <w:szCs w:val="22"/>
        </w:rPr>
        <w:t xml:space="preserve"> koji su posl</w:t>
      </w:r>
      <w:r w:rsidR="00C5704B">
        <w:rPr>
          <w:bCs/>
          <w:sz w:val="22"/>
          <w:szCs w:val="22"/>
        </w:rPr>
        <w:t>j</w:t>
      </w:r>
      <w:r w:rsidRPr="00E3657F">
        <w:rPr>
          <w:bCs/>
          <w:sz w:val="22"/>
          <w:szCs w:val="22"/>
        </w:rPr>
        <w:t>edica alergijske reakcije ili reakcije preosjetljivosti povezane sa suženjem koronarnih arterija, a potencijalno dovode do infarkta miokarda.</w:t>
      </w:r>
    </w:p>
    <w:p w14:paraId="6D4F5BA6" w14:textId="77777777" w:rsidR="00403FE2" w:rsidRPr="00F63435" w:rsidRDefault="00403FE2" w:rsidP="00A91448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187BDAD4" w14:textId="77777777" w:rsidR="00221581" w:rsidRPr="00F63435" w:rsidRDefault="00B7025F" w:rsidP="00A91448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>Renalni efekti</w:t>
      </w:r>
      <w:r w:rsidR="00221581" w:rsidRPr="00F63435">
        <w:rPr>
          <w:b/>
          <w:bCs/>
          <w:sz w:val="22"/>
          <w:szCs w:val="22"/>
          <w:lang w:val="sr-Latn-ME"/>
        </w:rPr>
        <w:t xml:space="preserve">: </w:t>
      </w:r>
    </w:p>
    <w:p w14:paraId="6286C3AA" w14:textId="77777777" w:rsidR="00221581" w:rsidRPr="00F63435" w:rsidRDefault="00221581" w:rsidP="00A91448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Može doći do oštećenja funkcije bubrega ili do pogoršanja ranij</w:t>
      </w:r>
      <w:r w:rsidR="000E09ED" w:rsidRPr="00F63435">
        <w:rPr>
          <w:sz w:val="22"/>
          <w:szCs w:val="22"/>
          <w:lang w:val="sr-Latn-ME"/>
        </w:rPr>
        <w:t>eg oštećenja bubrega (vidjeti d</w:t>
      </w:r>
      <w:r w:rsidRPr="00F63435">
        <w:rPr>
          <w:sz w:val="22"/>
          <w:szCs w:val="22"/>
          <w:lang w:val="sr-Latn-ME"/>
        </w:rPr>
        <w:t xml:space="preserve">jelove 4.3 i 4.8). </w:t>
      </w:r>
    </w:p>
    <w:p w14:paraId="670D49FD" w14:textId="77777777" w:rsidR="00221581" w:rsidRPr="00F63435" w:rsidRDefault="00B7025F" w:rsidP="00504B48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Uopšteno</w:t>
      </w:r>
      <w:r w:rsidR="00221581" w:rsidRPr="00F63435">
        <w:rPr>
          <w:sz w:val="22"/>
          <w:szCs w:val="22"/>
          <w:lang w:val="sr-Latn-ME"/>
        </w:rPr>
        <w:t xml:space="preserve">, učestala primjena analgetika, naročito kombinacija različitih analgetskih </w:t>
      </w:r>
      <w:r w:rsidRPr="00F63435">
        <w:rPr>
          <w:sz w:val="22"/>
          <w:szCs w:val="22"/>
          <w:lang w:val="sr-Latn-ME"/>
        </w:rPr>
        <w:t>l</w:t>
      </w:r>
      <w:r w:rsidR="000E09ED" w:rsidRPr="00F63435">
        <w:rPr>
          <w:sz w:val="22"/>
          <w:szCs w:val="22"/>
          <w:lang w:val="sr-Latn-ME"/>
        </w:rPr>
        <w:t>j</w:t>
      </w:r>
      <w:r w:rsidRPr="00F63435">
        <w:rPr>
          <w:sz w:val="22"/>
          <w:szCs w:val="22"/>
          <w:lang w:val="sr-Latn-ME"/>
        </w:rPr>
        <w:t>ekova</w:t>
      </w:r>
      <w:r w:rsidR="00221581" w:rsidRPr="00F63435">
        <w:rPr>
          <w:sz w:val="22"/>
          <w:szCs w:val="22"/>
          <w:lang w:val="sr-Latn-ME"/>
        </w:rPr>
        <w:t>, može dovesti do trajnih bubrežnih lezija s</w:t>
      </w:r>
      <w:r w:rsidRPr="00F63435">
        <w:rPr>
          <w:sz w:val="22"/>
          <w:szCs w:val="22"/>
          <w:lang w:val="sr-Latn-ME"/>
        </w:rPr>
        <w:t>a</w:t>
      </w:r>
      <w:r w:rsidR="00221581" w:rsidRPr="00F63435">
        <w:rPr>
          <w:sz w:val="22"/>
          <w:szCs w:val="22"/>
          <w:lang w:val="sr-Latn-ME"/>
        </w:rPr>
        <w:t xml:space="preserve"> rizikom od </w:t>
      </w:r>
      <w:r w:rsidR="00403FE2" w:rsidRPr="00F63435">
        <w:rPr>
          <w:sz w:val="22"/>
          <w:szCs w:val="22"/>
          <w:lang w:val="sr-Latn-ME"/>
        </w:rPr>
        <w:t xml:space="preserve">insuficijencije </w:t>
      </w:r>
      <w:r w:rsidR="00221581" w:rsidRPr="00F63435">
        <w:rPr>
          <w:sz w:val="22"/>
          <w:szCs w:val="22"/>
          <w:lang w:val="sr-Latn-ME"/>
        </w:rPr>
        <w:t xml:space="preserve">bubrega (analgetska nefropatija). </w:t>
      </w:r>
    </w:p>
    <w:p w14:paraId="03DC6B12" w14:textId="77777777" w:rsidR="00221581" w:rsidRPr="00F63435" w:rsidRDefault="00221581" w:rsidP="00995E11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Postoji rizik oštećenja funkcije bubrega kod dehidrirane djece i adolescenata. </w:t>
      </w:r>
    </w:p>
    <w:p w14:paraId="3A044431" w14:textId="77777777" w:rsidR="00995E11" w:rsidRPr="00F63435" w:rsidRDefault="00995E11" w:rsidP="001E234A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50B8DD8C" w14:textId="77777777" w:rsidR="00221581" w:rsidRPr="00F63435" w:rsidRDefault="00221581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Hepatički </w:t>
      </w:r>
      <w:r w:rsidR="00B7025F" w:rsidRPr="00F63435">
        <w:rPr>
          <w:b/>
          <w:bCs/>
          <w:sz w:val="22"/>
          <w:szCs w:val="22"/>
          <w:lang w:val="sr-Latn-ME"/>
        </w:rPr>
        <w:t>efekt</w:t>
      </w:r>
      <w:r w:rsidRPr="00F63435">
        <w:rPr>
          <w:b/>
          <w:bCs/>
          <w:sz w:val="22"/>
          <w:szCs w:val="22"/>
          <w:lang w:val="sr-Latn-ME"/>
        </w:rPr>
        <w:t xml:space="preserve">i: </w:t>
      </w:r>
    </w:p>
    <w:p w14:paraId="5F182437" w14:textId="77777777" w:rsidR="00221581" w:rsidRPr="00F63435" w:rsidRDefault="00221581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Oštećenje funkcije jetre (vidjeti djelove 4.3 i 4.8). </w:t>
      </w:r>
    </w:p>
    <w:p w14:paraId="3C324273" w14:textId="77777777" w:rsidR="00995E11" w:rsidRPr="00F63435" w:rsidRDefault="00995E11" w:rsidP="001E234A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6F2C01E7" w14:textId="77777777" w:rsidR="00221581" w:rsidRPr="00F63435" w:rsidRDefault="00221581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Oštećenje plodnosti kod žena: </w:t>
      </w:r>
    </w:p>
    <w:p w14:paraId="0651E9BE" w14:textId="77777777" w:rsidR="00221581" w:rsidRPr="00F63435" w:rsidRDefault="00B7025F" w:rsidP="00D953F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Postoje određ</w:t>
      </w:r>
      <w:r w:rsidR="00221581" w:rsidRPr="00F63435">
        <w:rPr>
          <w:sz w:val="22"/>
          <w:szCs w:val="22"/>
          <w:lang w:val="sr-Latn-ME"/>
        </w:rPr>
        <w:t>eni</w:t>
      </w:r>
      <w:r w:rsidR="000E09ED" w:rsidRPr="00F63435">
        <w:rPr>
          <w:sz w:val="22"/>
          <w:szCs w:val="22"/>
          <w:lang w:val="sr-Latn-ME"/>
        </w:rPr>
        <w:t xml:space="preserve"> dokazi koji upućuju na to da l</w:t>
      </w:r>
      <w:r w:rsidR="00221581" w:rsidRPr="00F63435">
        <w:rPr>
          <w:sz w:val="22"/>
          <w:szCs w:val="22"/>
          <w:lang w:val="sr-Latn-ME"/>
        </w:rPr>
        <w:t>jekovi koji inhibiraju sintezu ciklooksigenaze (prostaglandina), zbog svog učinka na ovulaciju, mogu dovesti do smanjene plodnosti žena. Ovo djelovanje je reverzibilno i nestaje s</w:t>
      </w:r>
      <w:r w:rsidRPr="00F63435">
        <w:rPr>
          <w:sz w:val="22"/>
          <w:szCs w:val="22"/>
          <w:lang w:val="sr-Latn-ME"/>
        </w:rPr>
        <w:t>a</w:t>
      </w:r>
      <w:r w:rsidR="00221581" w:rsidRPr="00F63435">
        <w:rPr>
          <w:sz w:val="22"/>
          <w:szCs w:val="22"/>
          <w:lang w:val="sr-Latn-ME"/>
        </w:rPr>
        <w:t xml:space="preserve"> prestankom uzimanja lijeka.</w:t>
      </w:r>
    </w:p>
    <w:p w14:paraId="0F80C404" w14:textId="77777777" w:rsidR="00995E11" w:rsidRPr="00F63435" w:rsidRDefault="00995E11" w:rsidP="001E234A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59EC8473" w14:textId="77777777" w:rsidR="00221581" w:rsidRPr="00F63435" w:rsidRDefault="00995E11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>Gastrointestinalni efekti</w:t>
      </w:r>
      <w:r w:rsidR="00221581" w:rsidRPr="00F63435">
        <w:rPr>
          <w:b/>
          <w:bCs/>
          <w:sz w:val="22"/>
          <w:szCs w:val="22"/>
          <w:lang w:val="sr-Latn-ME"/>
        </w:rPr>
        <w:t xml:space="preserve">: </w:t>
      </w:r>
    </w:p>
    <w:p w14:paraId="61A2160D" w14:textId="77777777" w:rsidR="00221581" w:rsidRPr="00F63435" w:rsidRDefault="004E4AD6" w:rsidP="00D953F0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NSAIL </w:t>
      </w:r>
      <w:r w:rsidR="00221581" w:rsidRPr="00F63435">
        <w:rPr>
          <w:sz w:val="22"/>
          <w:szCs w:val="22"/>
          <w:lang w:val="sr-Latn-ME"/>
        </w:rPr>
        <w:t xml:space="preserve">treba davati s oprezom </w:t>
      </w:r>
      <w:r w:rsidR="00B7025F" w:rsidRPr="00F63435">
        <w:rPr>
          <w:sz w:val="22"/>
          <w:szCs w:val="22"/>
          <w:lang w:val="sr-Latn-ME"/>
        </w:rPr>
        <w:t>pacijentima</w:t>
      </w:r>
      <w:r w:rsidR="00221581" w:rsidRPr="00F63435">
        <w:rPr>
          <w:sz w:val="22"/>
          <w:szCs w:val="22"/>
          <w:lang w:val="sr-Latn-ME"/>
        </w:rPr>
        <w:t xml:space="preserve"> s anamnezom bolesti </w:t>
      </w:r>
      <w:r w:rsidR="00E73C44" w:rsidRPr="00F63435">
        <w:rPr>
          <w:sz w:val="22"/>
          <w:szCs w:val="22"/>
          <w:lang w:val="sr-Latn-ME"/>
        </w:rPr>
        <w:t>gastrointestinalnog sistema</w:t>
      </w:r>
      <w:r w:rsidR="00221581" w:rsidRPr="00F63435">
        <w:rPr>
          <w:sz w:val="22"/>
          <w:szCs w:val="22"/>
          <w:lang w:val="sr-Latn-ME"/>
        </w:rPr>
        <w:t xml:space="preserve"> (ulcerozni kolitis, Crohn</w:t>
      </w:r>
      <w:r w:rsidR="00995E11" w:rsidRPr="00F63435">
        <w:rPr>
          <w:sz w:val="22"/>
          <w:szCs w:val="22"/>
          <w:lang w:val="sr-Latn-ME"/>
        </w:rPr>
        <w:t>-</w:t>
      </w:r>
      <w:r w:rsidR="00221581" w:rsidRPr="00F63435">
        <w:rPr>
          <w:sz w:val="22"/>
          <w:szCs w:val="22"/>
          <w:lang w:val="sr-Latn-ME"/>
        </w:rPr>
        <w:t>ova bolest)</w:t>
      </w:r>
      <w:r w:rsidR="00995E11" w:rsidRPr="00F63435">
        <w:rPr>
          <w:sz w:val="22"/>
          <w:szCs w:val="22"/>
          <w:lang w:val="sr-Latn-ME"/>
        </w:rPr>
        <w:t>,</w:t>
      </w:r>
      <w:r w:rsidR="00221581" w:rsidRPr="00F63435">
        <w:rPr>
          <w:sz w:val="22"/>
          <w:szCs w:val="22"/>
          <w:lang w:val="sr-Latn-ME"/>
        </w:rPr>
        <w:t xml:space="preserve"> jer može doći do pogoršanja tih stanja (vidjeti dio 4.8). </w:t>
      </w:r>
    </w:p>
    <w:p w14:paraId="2234EE9B" w14:textId="77777777" w:rsidR="00221581" w:rsidRPr="00F63435" w:rsidRDefault="00221581" w:rsidP="00B04B06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Krvarenja, ulceracije i perforacije u </w:t>
      </w:r>
      <w:r w:rsidR="00995E11" w:rsidRPr="00F63435">
        <w:rPr>
          <w:sz w:val="22"/>
          <w:szCs w:val="22"/>
          <w:lang w:val="sr-Latn-ME"/>
        </w:rPr>
        <w:t xml:space="preserve">digestivnom </w:t>
      </w:r>
      <w:r w:rsidR="00055A1E" w:rsidRPr="00F63435">
        <w:rPr>
          <w:sz w:val="22"/>
          <w:szCs w:val="22"/>
          <w:lang w:val="sr-Latn-ME"/>
        </w:rPr>
        <w:t>traktu</w:t>
      </w:r>
      <w:r w:rsidRPr="00F63435">
        <w:rPr>
          <w:sz w:val="22"/>
          <w:szCs w:val="22"/>
          <w:lang w:val="sr-Latn-ME"/>
        </w:rPr>
        <w:t>, od kojih neki mogu imati i smrtni ishod, zabilje</w:t>
      </w:r>
      <w:r w:rsidR="00055A1E" w:rsidRPr="00F63435">
        <w:rPr>
          <w:sz w:val="22"/>
          <w:szCs w:val="22"/>
          <w:lang w:val="sr-Latn-ME"/>
        </w:rPr>
        <w:t>ženi su u bilo koje vrijeme to</w:t>
      </w:r>
      <w:r w:rsidRPr="00F63435">
        <w:rPr>
          <w:sz w:val="22"/>
          <w:szCs w:val="22"/>
          <w:lang w:val="sr-Latn-ME"/>
        </w:rPr>
        <w:t>kom primjene svih nesteroidn</w:t>
      </w:r>
      <w:r w:rsidR="00B7025F" w:rsidRPr="00F63435">
        <w:rPr>
          <w:sz w:val="22"/>
          <w:szCs w:val="22"/>
          <w:lang w:val="sr-Latn-ME"/>
        </w:rPr>
        <w:t>ih antiinflamatorni</w:t>
      </w:r>
      <w:r w:rsidR="00055A1E" w:rsidRPr="00F63435">
        <w:rPr>
          <w:sz w:val="22"/>
          <w:szCs w:val="22"/>
          <w:lang w:val="sr-Latn-ME"/>
        </w:rPr>
        <w:t>h l</w:t>
      </w:r>
      <w:r w:rsidRPr="00F63435">
        <w:rPr>
          <w:sz w:val="22"/>
          <w:szCs w:val="22"/>
          <w:lang w:val="sr-Latn-ME"/>
        </w:rPr>
        <w:t>jekova, sa ili bez upozoravajućih simptoma i bez obzira na pr</w:t>
      </w:r>
      <w:r w:rsidR="00E73C44" w:rsidRPr="00F63435">
        <w:rPr>
          <w:sz w:val="22"/>
          <w:szCs w:val="22"/>
          <w:lang w:val="sr-Latn-ME"/>
        </w:rPr>
        <w:t>ethodne</w:t>
      </w:r>
      <w:r w:rsidRPr="00F63435">
        <w:rPr>
          <w:sz w:val="22"/>
          <w:szCs w:val="22"/>
          <w:lang w:val="sr-Latn-ME"/>
        </w:rPr>
        <w:t xml:space="preserve"> anamnestičke podatke. </w:t>
      </w:r>
    </w:p>
    <w:p w14:paraId="63B269C7" w14:textId="77777777" w:rsidR="00656171" w:rsidRPr="00F63435" w:rsidRDefault="00656171" w:rsidP="00B04B06">
      <w:pPr>
        <w:pStyle w:val="Default"/>
        <w:jc w:val="both"/>
        <w:rPr>
          <w:sz w:val="22"/>
          <w:szCs w:val="22"/>
          <w:lang w:val="sr-Latn-ME"/>
        </w:rPr>
      </w:pPr>
    </w:p>
    <w:p w14:paraId="4E90DD58" w14:textId="77777777" w:rsidR="00221581" w:rsidRPr="00F63435" w:rsidRDefault="0029244C" w:rsidP="00C81AB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Kod pacijenata</w:t>
      </w:r>
      <w:r w:rsidR="00221581" w:rsidRPr="00F63435">
        <w:rPr>
          <w:sz w:val="22"/>
          <w:szCs w:val="22"/>
          <w:lang w:val="sr-Latn-ME"/>
        </w:rPr>
        <w:t xml:space="preserve"> kod kojih postoje anam</w:t>
      </w:r>
      <w:r w:rsidR="00055A1E" w:rsidRPr="00F63435">
        <w:rPr>
          <w:sz w:val="22"/>
          <w:szCs w:val="22"/>
          <w:lang w:val="sr-Latn-ME"/>
        </w:rPr>
        <w:t>nestički podaci o ulkusu</w:t>
      </w:r>
      <w:r w:rsidR="00B7025F" w:rsidRPr="00F63435">
        <w:rPr>
          <w:sz w:val="22"/>
          <w:szCs w:val="22"/>
          <w:lang w:val="sr-Latn-ME"/>
        </w:rPr>
        <w:t xml:space="preserve"> (naroči</w:t>
      </w:r>
      <w:r w:rsidR="00221581" w:rsidRPr="00F63435">
        <w:rPr>
          <w:sz w:val="22"/>
          <w:szCs w:val="22"/>
          <w:lang w:val="sr-Latn-ME"/>
        </w:rPr>
        <w:t>to s razvojem komplikacija kao što su krvarenje i pe</w:t>
      </w:r>
      <w:r w:rsidR="00E73C44" w:rsidRPr="00F63435">
        <w:rPr>
          <w:sz w:val="22"/>
          <w:szCs w:val="22"/>
          <w:lang w:val="sr-Latn-ME"/>
        </w:rPr>
        <w:t>rforacija) (vidjeti dio 4.3) i kod</w:t>
      </w:r>
      <w:r w:rsidR="00221581" w:rsidRPr="00F63435">
        <w:rPr>
          <w:sz w:val="22"/>
          <w:szCs w:val="22"/>
          <w:lang w:val="sr-Latn-ME"/>
        </w:rPr>
        <w:t xml:space="preserve"> starijih </w:t>
      </w:r>
      <w:r w:rsidR="009C2A59" w:rsidRPr="00F63435">
        <w:rPr>
          <w:sz w:val="22"/>
          <w:szCs w:val="22"/>
          <w:lang w:val="sr-Latn-ME"/>
        </w:rPr>
        <w:t>pacijenata</w:t>
      </w:r>
      <w:r w:rsidR="00221581" w:rsidRPr="00F63435">
        <w:rPr>
          <w:sz w:val="22"/>
          <w:szCs w:val="22"/>
          <w:lang w:val="sr-Latn-ME"/>
        </w:rPr>
        <w:t xml:space="preserve">, rizik od krvarenja, ulceracija ili perforacija u </w:t>
      </w:r>
      <w:r w:rsidR="009C2A59" w:rsidRPr="00F63435">
        <w:rPr>
          <w:sz w:val="22"/>
          <w:szCs w:val="22"/>
          <w:lang w:val="sr-Latn-ME"/>
        </w:rPr>
        <w:t xml:space="preserve">digestivnom </w:t>
      </w:r>
      <w:r w:rsidR="00055A1E" w:rsidRPr="00F63435">
        <w:rPr>
          <w:sz w:val="22"/>
          <w:szCs w:val="22"/>
          <w:lang w:val="sr-Latn-ME"/>
        </w:rPr>
        <w:t>traktu</w:t>
      </w:r>
      <w:r w:rsidR="00221581" w:rsidRPr="00F63435">
        <w:rPr>
          <w:sz w:val="22"/>
          <w:szCs w:val="22"/>
          <w:lang w:val="sr-Latn-ME"/>
        </w:rPr>
        <w:t xml:space="preserve"> se povećava uz povećanje doze nesteroidnih </w:t>
      </w:r>
      <w:r w:rsidR="00BA502A" w:rsidRPr="00F63435">
        <w:rPr>
          <w:sz w:val="22"/>
          <w:szCs w:val="22"/>
          <w:lang w:val="sr-Latn-ME"/>
        </w:rPr>
        <w:t>antiinflamatornih</w:t>
      </w:r>
      <w:r w:rsidR="00055A1E" w:rsidRPr="00F63435">
        <w:rPr>
          <w:sz w:val="22"/>
          <w:szCs w:val="22"/>
          <w:lang w:val="sr-Latn-ME"/>
        </w:rPr>
        <w:t xml:space="preserve"> l</w:t>
      </w:r>
      <w:r w:rsidR="00221581" w:rsidRPr="00F63435">
        <w:rPr>
          <w:sz w:val="22"/>
          <w:szCs w:val="22"/>
          <w:lang w:val="sr-Latn-ME"/>
        </w:rPr>
        <w:t xml:space="preserve">jekova. Takvi </w:t>
      </w:r>
      <w:r w:rsidRPr="00F63435">
        <w:rPr>
          <w:sz w:val="22"/>
          <w:szCs w:val="22"/>
          <w:lang w:val="sr-Latn-ME"/>
        </w:rPr>
        <w:t>pacijenti</w:t>
      </w:r>
      <w:r w:rsidR="00221581" w:rsidRPr="00F63435">
        <w:rPr>
          <w:sz w:val="22"/>
          <w:szCs w:val="22"/>
          <w:lang w:val="sr-Latn-ME"/>
        </w:rPr>
        <w:t xml:space="preserve"> treba </w:t>
      </w:r>
      <w:r w:rsidR="009C2A59" w:rsidRPr="00F63435">
        <w:rPr>
          <w:sz w:val="22"/>
          <w:szCs w:val="22"/>
          <w:lang w:val="sr-Latn-ME"/>
        </w:rPr>
        <w:t xml:space="preserve">dai započnu </w:t>
      </w:r>
      <w:r w:rsidR="00221581" w:rsidRPr="00F63435">
        <w:rPr>
          <w:sz w:val="22"/>
          <w:szCs w:val="22"/>
          <w:lang w:val="sr-Latn-ME"/>
        </w:rPr>
        <w:t>terapiju najnižom mogućom dozom.</w:t>
      </w:r>
    </w:p>
    <w:p w14:paraId="268861F2" w14:textId="77777777" w:rsidR="00221581" w:rsidRPr="00F63435" w:rsidRDefault="00221581" w:rsidP="001E234A">
      <w:pPr>
        <w:pStyle w:val="Default"/>
        <w:jc w:val="both"/>
        <w:rPr>
          <w:lang w:val="sr-Latn-ME"/>
        </w:rPr>
      </w:pPr>
    </w:p>
    <w:p w14:paraId="592246BF" w14:textId="77777777" w:rsidR="00221581" w:rsidRPr="00F63435" w:rsidRDefault="00221581" w:rsidP="00D953F0">
      <w:pPr>
        <w:pStyle w:val="Default"/>
        <w:pageBreakBefore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lastRenderedPageBreak/>
        <w:t xml:space="preserve">Kod takvih </w:t>
      </w:r>
      <w:r w:rsidR="0029244C" w:rsidRPr="00F63435">
        <w:rPr>
          <w:sz w:val="22"/>
          <w:szCs w:val="22"/>
          <w:lang w:val="sr-Latn-ME"/>
        </w:rPr>
        <w:t>pacijenata</w:t>
      </w:r>
      <w:r w:rsidRPr="00F63435">
        <w:rPr>
          <w:sz w:val="22"/>
          <w:szCs w:val="22"/>
          <w:lang w:val="sr-Latn-ME"/>
        </w:rPr>
        <w:t xml:space="preserve">, kao i </w:t>
      </w:r>
      <w:r w:rsidR="0029244C" w:rsidRPr="00F63435">
        <w:rPr>
          <w:sz w:val="22"/>
          <w:szCs w:val="22"/>
          <w:lang w:val="sr-Latn-ME"/>
        </w:rPr>
        <w:t>kod pacijenata</w:t>
      </w:r>
      <w:r w:rsidRPr="00F63435">
        <w:rPr>
          <w:sz w:val="22"/>
          <w:szCs w:val="22"/>
          <w:lang w:val="sr-Latn-ME"/>
        </w:rPr>
        <w:t xml:space="preserve"> kod kojih je potrebna istovremena primjena niskih doza </w:t>
      </w:r>
      <w:r w:rsidR="0029244C" w:rsidRPr="00F63435">
        <w:rPr>
          <w:sz w:val="22"/>
          <w:szCs w:val="22"/>
          <w:lang w:val="sr-Latn-ME"/>
        </w:rPr>
        <w:t>acetilsalicil</w:t>
      </w:r>
      <w:r w:rsidR="00055A1E" w:rsidRPr="00F63435">
        <w:rPr>
          <w:sz w:val="22"/>
          <w:szCs w:val="22"/>
          <w:lang w:val="sr-Latn-ME"/>
        </w:rPr>
        <w:t>ne kiseline ili drugih l</w:t>
      </w:r>
      <w:r w:rsidRPr="00F63435">
        <w:rPr>
          <w:sz w:val="22"/>
          <w:szCs w:val="22"/>
          <w:lang w:val="sr-Latn-ME"/>
        </w:rPr>
        <w:t>jekova koji bi mogli povećati rizik za gastrointestinalni</w:t>
      </w:r>
      <w:r w:rsidR="00055A1E" w:rsidRPr="00F63435">
        <w:rPr>
          <w:sz w:val="22"/>
          <w:szCs w:val="22"/>
          <w:lang w:val="sr-Latn-ME"/>
        </w:rPr>
        <w:t xml:space="preserve"> trakt</w:t>
      </w:r>
      <w:r w:rsidRPr="00F63435">
        <w:rPr>
          <w:sz w:val="22"/>
          <w:szCs w:val="22"/>
          <w:lang w:val="sr-Latn-ME"/>
        </w:rPr>
        <w:t xml:space="preserve">, </w:t>
      </w:r>
      <w:r w:rsidR="00055A1E" w:rsidRPr="00F63435">
        <w:rPr>
          <w:sz w:val="22"/>
          <w:szCs w:val="22"/>
          <w:lang w:val="sr-Latn-ME"/>
        </w:rPr>
        <w:t>u obzir bi trebalo uzeti kombinovanu</w:t>
      </w:r>
      <w:r w:rsidRPr="00F63435">
        <w:rPr>
          <w:sz w:val="22"/>
          <w:szCs w:val="22"/>
          <w:lang w:val="sr-Latn-ME"/>
        </w:rPr>
        <w:t xml:space="preserve"> terapiju sa zaštitnim </w:t>
      </w:r>
      <w:r w:rsidR="0029244C" w:rsidRPr="00F63435">
        <w:rPr>
          <w:sz w:val="22"/>
          <w:szCs w:val="22"/>
          <w:lang w:val="sr-Latn-ME"/>
        </w:rPr>
        <w:t>l</w:t>
      </w:r>
      <w:r w:rsidR="00055A1E" w:rsidRPr="00F63435">
        <w:rPr>
          <w:sz w:val="22"/>
          <w:szCs w:val="22"/>
          <w:lang w:val="sr-Latn-ME"/>
        </w:rPr>
        <w:t>j</w:t>
      </w:r>
      <w:r w:rsidR="0029244C" w:rsidRPr="00F63435">
        <w:rPr>
          <w:sz w:val="22"/>
          <w:szCs w:val="22"/>
          <w:lang w:val="sr-Latn-ME"/>
        </w:rPr>
        <w:t>ekovima</w:t>
      </w:r>
      <w:r w:rsidRPr="00F63435">
        <w:rPr>
          <w:sz w:val="22"/>
          <w:szCs w:val="22"/>
          <w:lang w:val="sr-Latn-ME"/>
        </w:rPr>
        <w:t xml:space="preserve"> (npr. misoprostolom ili inhibitorima protonske pumpe) (vidjeti ispod i dio 4.5). </w:t>
      </w:r>
    </w:p>
    <w:p w14:paraId="1300F251" w14:textId="77777777" w:rsidR="00221581" w:rsidRPr="00F63435" w:rsidRDefault="00221581" w:rsidP="00B04B0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Potrebno je upozoriti </w:t>
      </w:r>
      <w:r w:rsidR="0029244C" w:rsidRPr="00F63435">
        <w:rPr>
          <w:sz w:val="22"/>
          <w:szCs w:val="22"/>
          <w:lang w:val="sr-Latn-ME"/>
        </w:rPr>
        <w:t>pacijente</w:t>
      </w:r>
      <w:r w:rsidRPr="00F63435">
        <w:rPr>
          <w:sz w:val="22"/>
          <w:szCs w:val="22"/>
          <w:lang w:val="sr-Latn-ME"/>
        </w:rPr>
        <w:t xml:space="preserve"> kod kojih postoje anamnestički podaci koji bi</w:t>
      </w:r>
      <w:r w:rsidR="00C7087D" w:rsidRPr="00F63435">
        <w:rPr>
          <w:sz w:val="22"/>
          <w:szCs w:val="22"/>
          <w:lang w:val="sr-Latn-ME"/>
        </w:rPr>
        <w:t xml:space="preserve"> upućivali na toksično</w:t>
      </w:r>
      <w:r w:rsidR="00055A1E" w:rsidRPr="00F63435">
        <w:rPr>
          <w:sz w:val="22"/>
          <w:szCs w:val="22"/>
          <w:lang w:val="sr-Latn-ME"/>
        </w:rPr>
        <w:t xml:space="preserve"> </w:t>
      </w:r>
      <w:r w:rsidR="00C7087D" w:rsidRPr="00F63435">
        <w:rPr>
          <w:sz w:val="22"/>
          <w:szCs w:val="22"/>
          <w:lang w:val="sr-Latn-ME"/>
        </w:rPr>
        <w:t>dejstvo</w:t>
      </w:r>
      <w:r w:rsidR="00055A1E" w:rsidRPr="00F63435">
        <w:rPr>
          <w:sz w:val="22"/>
          <w:szCs w:val="22"/>
          <w:lang w:val="sr-Latn-ME"/>
        </w:rPr>
        <w:t xml:space="preserve"> l</w:t>
      </w:r>
      <w:r w:rsidRPr="00F63435">
        <w:rPr>
          <w:sz w:val="22"/>
          <w:szCs w:val="22"/>
          <w:lang w:val="sr-Latn-ME"/>
        </w:rPr>
        <w:t>j</w:t>
      </w:r>
      <w:r w:rsidR="00055A1E" w:rsidRPr="00F63435">
        <w:rPr>
          <w:sz w:val="22"/>
          <w:szCs w:val="22"/>
          <w:lang w:val="sr-Latn-ME"/>
        </w:rPr>
        <w:t xml:space="preserve">ekova na </w:t>
      </w:r>
      <w:r w:rsidR="009C2A59" w:rsidRPr="00F63435">
        <w:rPr>
          <w:sz w:val="22"/>
          <w:szCs w:val="22"/>
          <w:lang w:val="sr-Latn-ME"/>
        </w:rPr>
        <w:t xml:space="preserve">digestivni </w:t>
      </w:r>
      <w:r w:rsidR="00055A1E" w:rsidRPr="00F63435">
        <w:rPr>
          <w:sz w:val="22"/>
          <w:szCs w:val="22"/>
          <w:lang w:val="sr-Latn-ME"/>
        </w:rPr>
        <w:t>trakt</w:t>
      </w:r>
      <w:r w:rsidR="0029244C" w:rsidRPr="00F63435">
        <w:rPr>
          <w:sz w:val="22"/>
          <w:szCs w:val="22"/>
          <w:lang w:val="sr-Latn-ME"/>
        </w:rPr>
        <w:t xml:space="preserve"> (posebn</w:t>
      </w:r>
      <w:r w:rsidRPr="00F63435">
        <w:rPr>
          <w:sz w:val="22"/>
          <w:szCs w:val="22"/>
          <w:lang w:val="sr-Latn-ME"/>
        </w:rPr>
        <w:t>o starije osobe) da zdravstvenom radniku prijave svaki neuobičaj</w:t>
      </w:r>
      <w:r w:rsidR="0029244C" w:rsidRPr="00F63435">
        <w:rPr>
          <w:sz w:val="22"/>
          <w:szCs w:val="22"/>
          <w:lang w:val="sr-Latn-ME"/>
        </w:rPr>
        <w:t>eni abdominalni simptom (naročito</w:t>
      </w:r>
      <w:r w:rsidR="00055A1E" w:rsidRPr="00F63435">
        <w:rPr>
          <w:sz w:val="22"/>
          <w:szCs w:val="22"/>
          <w:lang w:val="sr-Latn-ME"/>
        </w:rPr>
        <w:t xml:space="preserve"> krvarenja iz </w:t>
      </w:r>
      <w:r w:rsidR="009C2A59" w:rsidRPr="00F63435">
        <w:rPr>
          <w:sz w:val="22"/>
          <w:szCs w:val="22"/>
          <w:lang w:val="sr-Latn-ME"/>
        </w:rPr>
        <w:t xml:space="preserve">digestivnog </w:t>
      </w:r>
      <w:r w:rsidR="00055A1E" w:rsidRPr="00F63435">
        <w:rPr>
          <w:sz w:val="22"/>
          <w:szCs w:val="22"/>
          <w:lang w:val="sr-Latn-ME"/>
        </w:rPr>
        <w:t>trakta</w:t>
      </w:r>
      <w:r w:rsidRPr="00F63435">
        <w:rPr>
          <w:sz w:val="22"/>
          <w:szCs w:val="22"/>
          <w:lang w:val="sr-Latn-ME"/>
        </w:rPr>
        <w:t>), posebno na početku liječenja.</w:t>
      </w:r>
    </w:p>
    <w:p w14:paraId="265CDA9B" w14:textId="77777777" w:rsidR="00221581" w:rsidRPr="00F63435" w:rsidRDefault="00221581" w:rsidP="00C81AB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33B233B" w14:textId="77777777" w:rsidR="00221581" w:rsidRPr="00F63435" w:rsidRDefault="0029244C" w:rsidP="00A91448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Potreban je oprez kod pacijenata</w:t>
      </w:r>
      <w:r w:rsidR="00221581" w:rsidRPr="00F63435">
        <w:rPr>
          <w:sz w:val="22"/>
          <w:szCs w:val="22"/>
          <w:lang w:val="sr-Latn-ME"/>
        </w:rPr>
        <w:t xml:space="preserve"> kod kojih se ist</w:t>
      </w:r>
      <w:r w:rsidR="00055A1E" w:rsidRPr="00F63435">
        <w:rPr>
          <w:sz w:val="22"/>
          <w:szCs w:val="22"/>
          <w:lang w:val="sr-Latn-ME"/>
        </w:rPr>
        <w:t>ovremeno primjenjuju drugi l</w:t>
      </w:r>
      <w:r w:rsidR="00221581" w:rsidRPr="00F63435">
        <w:rPr>
          <w:sz w:val="22"/>
          <w:szCs w:val="22"/>
          <w:lang w:val="sr-Latn-ME"/>
        </w:rPr>
        <w:t xml:space="preserve">jekovi koji mogu povećati rizik nastanka </w:t>
      </w:r>
      <w:r w:rsidRPr="00F63435">
        <w:rPr>
          <w:sz w:val="22"/>
          <w:szCs w:val="22"/>
          <w:lang w:val="sr-Latn-ME"/>
        </w:rPr>
        <w:t>ulcer</w:t>
      </w:r>
      <w:r w:rsidR="00221581" w:rsidRPr="00F63435">
        <w:rPr>
          <w:sz w:val="22"/>
          <w:szCs w:val="22"/>
          <w:lang w:val="sr-Latn-ME"/>
        </w:rPr>
        <w:t>a ili krvarenja, kao što su oralni kortikosteroidi, antikoagulansi poput varfarina</w:t>
      </w:r>
      <w:r w:rsidRPr="00F63435">
        <w:rPr>
          <w:sz w:val="22"/>
          <w:szCs w:val="22"/>
          <w:lang w:val="sr-Latn-ME"/>
        </w:rPr>
        <w:t xml:space="preserve">, selektivni inhibitori ponovnog preuzimanja </w:t>
      </w:r>
      <w:r w:rsidR="00221581" w:rsidRPr="00F63435">
        <w:rPr>
          <w:sz w:val="22"/>
          <w:szCs w:val="22"/>
          <w:lang w:val="sr-Latn-ME"/>
        </w:rPr>
        <w:t>serotonina ili anti</w:t>
      </w:r>
      <w:r w:rsidR="00A73746" w:rsidRPr="00F63435">
        <w:rPr>
          <w:sz w:val="22"/>
          <w:szCs w:val="22"/>
          <w:lang w:val="sr-Latn-ME"/>
        </w:rPr>
        <w:t>trombotici poput acetilsalicil</w:t>
      </w:r>
      <w:r w:rsidR="00221581" w:rsidRPr="00F63435">
        <w:rPr>
          <w:sz w:val="22"/>
          <w:szCs w:val="22"/>
          <w:lang w:val="sr-Latn-ME"/>
        </w:rPr>
        <w:t xml:space="preserve">ne kiseline (vidjeti dio 4.5). </w:t>
      </w:r>
    </w:p>
    <w:p w14:paraId="1EC36DBF" w14:textId="77777777" w:rsidR="00221581" w:rsidRPr="00F63435" w:rsidRDefault="00055A1E" w:rsidP="00A91448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Ukoliko to</w:t>
      </w:r>
      <w:r w:rsidR="00221581" w:rsidRPr="00F63435">
        <w:rPr>
          <w:sz w:val="22"/>
          <w:szCs w:val="22"/>
          <w:lang w:val="sr-Latn-ME"/>
        </w:rPr>
        <w:t xml:space="preserve">kom primjene </w:t>
      </w:r>
      <w:r w:rsidR="009C2A59" w:rsidRPr="00F63435">
        <w:rPr>
          <w:sz w:val="22"/>
          <w:szCs w:val="22"/>
          <w:lang w:val="sr-Latn-ME"/>
        </w:rPr>
        <w:t xml:space="preserve">lijeka </w:t>
      </w:r>
      <w:r w:rsidR="00221581" w:rsidRPr="00F63435">
        <w:rPr>
          <w:sz w:val="22"/>
          <w:szCs w:val="22"/>
          <w:lang w:val="sr-Latn-ME"/>
        </w:rPr>
        <w:t>Nurofe</w:t>
      </w:r>
      <w:r w:rsidR="0029244C" w:rsidRPr="00F63435">
        <w:rPr>
          <w:sz w:val="22"/>
          <w:szCs w:val="22"/>
          <w:lang w:val="sr-Latn-ME"/>
        </w:rPr>
        <w:t xml:space="preserve">n za djecu </w:t>
      </w:r>
      <w:r w:rsidR="009C2A59" w:rsidRPr="00F63435">
        <w:rPr>
          <w:sz w:val="22"/>
          <w:szCs w:val="22"/>
          <w:lang w:val="sr-Latn-ME"/>
        </w:rPr>
        <w:t xml:space="preserve">oralna suspenzija </w:t>
      </w:r>
      <w:r w:rsidR="0029244C" w:rsidRPr="00F63435">
        <w:rPr>
          <w:sz w:val="22"/>
          <w:szCs w:val="22"/>
          <w:lang w:val="sr-Latn-ME"/>
        </w:rPr>
        <w:t>dođ</w:t>
      </w:r>
      <w:r w:rsidR="00221581" w:rsidRPr="00F63435">
        <w:rPr>
          <w:sz w:val="22"/>
          <w:szCs w:val="22"/>
          <w:lang w:val="sr-Latn-ME"/>
        </w:rPr>
        <w:t>e do krvaren</w:t>
      </w:r>
      <w:r w:rsidRPr="00F63435">
        <w:rPr>
          <w:sz w:val="22"/>
          <w:szCs w:val="22"/>
          <w:lang w:val="sr-Latn-ME"/>
        </w:rPr>
        <w:t xml:space="preserve">ja ili ulceracija u </w:t>
      </w:r>
      <w:r w:rsidR="009C2A59" w:rsidRPr="00F63435">
        <w:rPr>
          <w:sz w:val="22"/>
          <w:szCs w:val="22"/>
          <w:lang w:val="sr-Latn-ME"/>
        </w:rPr>
        <w:t xml:space="preserve">digestivnom </w:t>
      </w:r>
      <w:r w:rsidRPr="00F63435">
        <w:rPr>
          <w:sz w:val="22"/>
          <w:szCs w:val="22"/>
          <w:lang w:val="sr-Latn-ME"/>
        </w:rPr>
        <w:t>trakt</w:t>
      </w:r>
      <w:r w:rsidR="00221581" w:rsidRPr="00F63435">
        <w:rPr>
          <w:sz w:val="22"/>
          <w:szCs w:val="22"/>
          <w:lang w:val="sr-Latn-ME"/>
        </w:rPr>
        <w:t xml:space="preserve">u, primjenu lijeka treba odmah prekinuti. </w:t>
      </w:r>
    </w:p>
    <w:p w14:paraId="4A55EDA9" w14:textId="77777777" w:rsidR="0029244C" w:rsidRPr="00F63435" w:rsidRDefault="0029244C" w:rsidP="001E234A">
      <w:pPr>
        <w:pStyle w:val="Default"/>
        <w:jc w:val="both"/>
        <w:rPr>
          <w:sz w:val="22"/>
          <w:szCs w:val="22"/>
          <w:lang w:val="sr-Latn-ME"/>
        </w:rPr>
      </w:pPr>
    </w:p>
    <w:p w14:paraId="7EDD4A65" w14:textId="701E7B19" w:rsidR="00D23D1C" w:rsidRDefault="00D23D1C" w:rsidP="00B04B0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A07FEF7" w14:textId="3035C3A1" w:rsidR="00D23D1C" w:rsidRPr="00FD6E4F" w:rsidRDefault="00D23D1C" w:rsidP="00FD6E4F">
      <w:pPr>
        <w:pStyle w:val="Header"/>
        <w:tabs>
          <w:tab w:val="left" w:pos="284"/>
        </w:tabs>
        <w:jc w:val="both"/>
        <w:rPr>
          <w:b/>
          <w:color w:val="000000" w:themeColor="text1"/>
          <w:sz w:val="22"/>
          <w:szCs w:val="22"/>
          <w:lang w:val="sr-Latn-RS"/>
        </w:rPr>
      </w:pPr>
      <w:r w:rsidRPr="00FD6E4F">
        <w:rPr>
          <w:b/>
          <w:color w:val="000000" w:themeColor="text1"/>
          <w:sz w:val="22"/>
          <w:szCs w:val="22"/>
          <w:lang w:val="sr-Latn-RS"/>
        </w:rPr>
        <w:t xml:space="preserve">Teške kožne reakcije </w:t>
      </w:r>
      <w:r w:rsidRPr="00FD6E4F">
        <w:rPr>
          <w:color w:val="000000" w:themeColor="text1"/>
          <w:sz w:val="22"/>
          <w:szCs w:val="22"/>
          <w:lang w:val="sr-Latn-CS"/>
        </w:rPr>
        <w:t xml:space="preserve">(engl. </w:t>
      </w:r>
      <w:r w:rsidRPr="00FD6E4F">
        <w:rPr>
          <w:i/>
          <w:color w:val="000000" w:themeColor="text1"/>
          <w:sz w:val="22"/>
          <w:szCs w:val="22"/>
          <w:lang w:val="sr-Latn-CS"/>
        </w:rPr>
        <w:t>Severe Cutaneous Adverse Reactions</w:t>
      </w:r>
      <w:r w:rsidRPr="00FD6E4F">
        <w:rPr>
          <w:color w:val="000000" w:themeColor="text1"/>
          <w:sz w:val="22"/>
          <w:szCs w:val="22"/>
          <w:lang w:val="sr-Latn-CS"/>
        </w:rPr>
        <w:t>, SCARs)</w:t>
      </w:r>
    </w:p>
    <w:p w14:paraId="2FCD3182" w14:textId="67402506" w:rsidR="00D23D1C" w:rsidRPr="00FD6E4F" w:rsidRDefault="00D23D1C" w:rsidP="00FD6E4F">
      <w:pPr>
        <w:pStyle w:val="Header"/>
        <w:tabs>
          <w:tab w:val="left" w:pos="284"/>
        </w:tabs>
        <w:jc w:val="both"/>
        <w:rPr>
          <w:color w:val="000000" w:themeColor="text1"/>
          <w:sz w:val="22"/>
          <w:szCs w:val="22"/>
          <w:lang w:val="sr-Latn-CS"/>
        </w:rPr>
      </w:pPr>
      <w:r w:rsidRPr="00FD6E4F">
        <w:rPr>
          <w:color w:val="000000" w:themeColor="text1"/>
          <w:sz w:val="22"/>
          <w:szCs w:val="22"/>
          <w:lang w:val="sr-Latn-CS"/>
        </w:rPr>
        <w:t>Teške kožne neželjene reakcije (SCARs), uključujući eksfolijativni dermatitis,</w:t>
      </w:r>
      <w:r w:rsidRPr="00FD6E4F">
        <w:rPr>
          <w:color w:val="000000" w:themeColor="text1"/>
          <w:sz w:val="22"/>
          <w:szCs w:val="22"/>
        </w:rPr>
        <w:t xml:space="preserve"> </w:t>
      </w:r>
      <w:r w:rsidRPr="00FD6E4F">
        <w:rPr>
          <w:color w:val="000000" w:themeColor="text1"/>
          <w:sz w:val="22"/>
          <w:szCs w:val="22"/>
          <w:lang w:val="sr-Latn-CS"/>
        </w:rPr>
        <w:t xml:space="preserve">multiformni eritem, </w:t>
      </w:r>
      <w:r w:rsidRPr="00FD6E4F">
        <w:rPr>
          <w:i/>
          <w:color w:val="000000" w:themeColor="text1"/>
          <w:sz w:val="22"/>
          <w:szCs w:val="22"/>
          <w:lang w:val="sr-Latn-CS"/>
        </w:rPr>
        <w:t>Stevens-Johnson-</w:t>
      </w:r>
      <w:r w:rsidRPr="00FD6E4F">
        <w:rPr>
          <w:color w:val="000000" w:themeColor="text1"/>
          <w:sz w:val="22"/>
          <w:szCs w:val="22"/>
          <w:lang w:val="sr-Latn-CS"/>
        </w:rPr>
        <w:t>ov sindrom (SJS), toksičnu epidermalnu nekrolizu (TEN),</w:t>
      </w:r>
      <w:r w:rsidRPr="00FD6E4F">
        <w:rPr>
          <w:color w:val="000000" w:themeColor="text1"/>
          <w:sz w:val="22"/>
          <w:szCs w:val="22"/>
        </w:rPr>
        <w:t xml:space="preserve"> </w:t>
      </w:r>
      <w:r w:rsidRPr="00FD6E4F">
        <w:rPr>
          <w:color w:val="000000" w:themeColor="text1"/>
          <w:sz w:val="22"/>
          <w:szCs w:val="22"/>
          <w:lang w:val="sr-Latn-CS"/>
        </w:rPr>
        <w:t>reakciju na l</w:t>
      </w:r>
      <w:r w:rsidR="0086363A" w:rsidRPr="00FD6E4F">
        <w:rPr>
          <w:color w:val="000000" w:themeColor="text1"/>
          <w:sz w:val="22"/>
          <w:szCs w:val="22"/>
          <w:lang w:val="sr-Latn-CS"/>
        </w:rPr>
        <w:t>ij</w:t>
      </w:r>
      <w:r w:rsidRPr="00FD6E4F">
        <w:rPr>
          <w:color w:val="000000" w:themeColor="text1"/>
          <w:sz w:val="22"/>
          <w:szCs w:val="22"/>
          <w:lang w:val="sr-Latn-CS"/>
        </w:rPr>
        <w:t xml:space="preserve">ek sa eozinofilijom i sistemskim simptomima (engl. </w:t>
      </w:r>
      <w:r w:rsidRPr="00FD6E4F">
        <w:rPr>
          <w:i/>
          <w:color w:val="000000" w:themeColor="text1"/>
          <w:sz w:val="22"/>
          <w:szCs w:val="22"/>
          <w:lang w:val="sr-Latn-CS"/>
        </w:rPr>
        <w:t>drug reaction with eosinophilia and systemic symptoms</w:t>
      </w:r>
      <w:r w:rsidRPr="00FD6E4F">
        <w:rPr>
          <w:color w:val="000000" w:themeColor="text1"/>
          <w:sz w:val="22"/>
          <w:szCs w:val="22"/>
          <w:lang w:val="sr-Latn-CS"/>
        </w:rPr>
        <w:t>, DRESS sindrom) i akutnu generalizovanu egzantematoznu pustulozu (AGEP), koje mogu biti opasne po život ili imati smrtni ishod, prijavljivane su u vezi sa upot</w:t>
      </w:r>
      <w:r w:rsidR="00F278B9" w:rsidRPr="00FD6E4F">
        <w:rPr>
          <w:color w:val="000000" w:themeColor="text1"/>
          <w:sz w:val="22"/>
          <w:szCs w:val="22"/>
          <w:lang w:val="sr-Latn-CS"/>
        </w:rPr>
        <w:t>rebom ibuprofena (vidjeti dio</w:t>
      </w:r>
      <w:r w:rsidRPr="00FD6E4F">
        <w:rPr>
          <w:color w:val="000000" w:themeColor="text1"/>
          <w:sz w:val="22"/>
          <w:szCs w:val="22"/>
          <w:lang w:val="sr-Latn-CS"/>
        </w:rPr>
        <w:t xml:space="preserve"> 4.8). U najvećem broju slučajeva ove reakcije se pojavljuju tokom prvog m</w:t>
      </w:r>
      <w:r w:rsidR="00CB5F6D">
        <w:rPr>
          <w:color w:val="000000" w:themeColor="text1"/>
          <w:sz w:val="22"/>
          <w:szCs w:val="22"/>
          <w:lang w:val="sr-Latn-CS"/>
        </w:rPr>
        <w:t>j</w:t>
      </w:r>
      <w:r w:rsidRPr="00FD6E4F">
        <w:rPr>
          <w:color w:val="000000" w:themeColor="text1"/>
          <w:sz w:val="22"/>
          <w:szCs w:val="22"/>
          <w:lang w:val="sr-Latn-CS"/>
        </w:rPr>
        <w:t>eseca terapije. Ako se pojave znaci i simptomi koji ukazuju na ove reakcije, upotrebu ibuprofena treba odmah prekinuti i razmotriti alternativnu terapiju (prema potrebi).</w:t>
      </w:r>
    </w:p>
    <w:p w14:paraId="6DF111A7" w14:textId="77777777" w:rsidR="00D23D1C" w:rsidRDefault="00D23D1C" w:rsidP="00D23D1C">
      <w:pPr>
        <w:tabs>
          <w:tab w:val="left" w:pos="426"/>
        </w:tabs>
        <w:jc w:val="both"/>
        <w:rPr>
          <w:b/>
          <w:sz w:val="22"/>
          <w:szCs w:val="22"/>
          <w:lang w:val="en-GB"/>
        </w:rPr>
      </w:pPr>
    </w:p>
    <w:p w14:paraId="2393F9FB" w14:textId="28BF2D31" w:rsidR="00221581" w:rsidRPr="00F63435" w:rsidRDefault="00221581" w:rsidP="001E23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EE9E26E" w14:textId="77777777" w:rsidR="00221581" w:rsidRPr="00F63435" w:rsidRDefault="00BF5398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>Ostali efekt</w:t>
      </w:r>
      <w:r w:rsidR="00221581" w:rsidRPr="00F63435">
        <w:rPr>
          <w:b/>
          <w:bCs/>
          <w:sz w:val="22"/>
          <w:szCs w:val="22"/>
          <w:lang w:val="sr-Latn-ME"/>
        </w:rPr>
        <w:t xml:space="preserve">i: </w:t>
      </w:r>
    </w:p>
    <w:p w14:paraId="6DA08467" w14:textId="77777777" w:rsidR="00221581" w:rsidRPr="00F63435" w:rsidRDefault="00221581" w:rsidP="00D953F0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Vrlo su rijetko zabilježene teške akutne reakcije preosjetljivosti (npr. anafilaktički šok). Terapiju treba prekinuti kod pojave prvih znakova reakcije preosjetljivosti nakon uzimanja/primjene </w:t>
      </w:r>
      <w:r w:rsidR="00C17E84" w:rsidRPr="00F63435">
        <w:rPr>
          <w:sz w:val="22"/>
          <w:szCs w:val="22"/>
          <w:lang w:val="sr-Latn-ME"/>
        </w:rPr>
        <w:t xml:space="preserve">lijeka </w:t>
      </w:r>
      <w:r w:rsidRPr="00F63435">
        <w:rPr>
          <w:sz w:val="22"/>
          <w:szCs w:val="22"/>
          <w:lang w:val="sr-Latn-ME"/>
        </w:rPr>
        <w:t xml:space="preserve">Nurofen za djecu </w:t>
      </w:r>
      <w:r w:rsidR="00C17E84" w:rsidRPr="00F63435">
        <w:rPr>
          <w:sz w:val="22"/>
          <w:szCs w:val="22"/>
          <w:lang w:val="sr-Latn-ME"/>
        </w:rPr>
        <w:t>oralna suspenzija</w:t>
      </w:r>
      <w:r w:rsidR="00055A1E" w:rsidRPr="00F63435">
        <w:rPr>
          <w:sz w:val="22"/>
          <w:szCs w:val="22"/>
          <w:lang w:val="sr-Latn-ME"/>
        </w:rPr>
        <w:t xml:space="preserve">. Stručno osoblje treba </w:t>
      </w:r>
      <w:r w:rsidR="00C17E84" w:rsidRPr="00F63435">
        <w:rPr>
          <w:sz w:val="22"/>
          <w:szCs w:val="22"/>
          <w:lang w:val="sr-Latn-ME"/>
        </w:rPr>
        <w:t xml:space="preserve">da preduzme </w:t>
      </w:r>
      <w:r w:rsidRPr="00F63435">
        <w:rPr>
          <w:sz w:val="22"/>
          <w:szCs w:val="22"/>
          <w:lang w:val="sr-Latn-ME"/>
        </w:rPr>
        <w:t xml:space="preserve">potrebne medicinske mjere u skladu sa simptomima. </w:t>
      </w:r>
    </w:p>
    <w:p w14:paraId="420459BB" w14:textId="29DE9619" w:rsidR="00221581" w:rsidRPr="00F63435" w:rsidRDefault="00221581" w:rsidP="00B04B06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Ibuprofen, </w:t>
      </w:r>
      <w:r w:rsidR="00BA1A90" w:rsidRPr="00F63435">
        <w:rPr>
          <w:sz w:val="22"/>
          <w:szCs w:val="22"/>
          <w:lang w:val="sr-Latn-ME"/>
        </w:rPr>
        <w:t xml:space="preserve">aktivna supstanca </w:t>
      </w:r>
      <w:r w:rsidR="0029244C" w:rsidRPr="00F63435">
        <w:rPr>
          <w:sz w:val="22"/>
          <w:szCs w:val="22"/>
          <w:lang w:val="sr-Latn-ME"/>
        </w:rPr>
        <w:t>lijek</w:t>
      </w:r>
      <w:r w:rsidR="00BA1A90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Nur</w:t>
      </w:r>
      <w:r w:rsidR="0029244C" w:rsidRPr="00F63435">
        <w:rPr>
          <w:sz w:val="22"/>
          <w:szCs w:val="22"/>
          <w:lang w:val="sr-Latn-ME"/>
        </w:rPr>
        <w:t>ofen za djecu</w:t>
      </w:r>
      <w:r w:rsidRPr="00F63435">
        <w:rPr>
          <w:sz w:val="22"/>
          <w:szCs w:val="22"/>
          <w:lang w:val="sr-Latn-ME"/>
        </w:rPr>
        <w:t xml:space="preserve">, može privremeno </w:t>
      </w:r>
      <w:r w:rsidR="005E6D8A" w:rsidRPr="00F63435">
        <w:rPr>
          <w:sz w:val="22"/>
          <w:szCs w:val="22"/>
          <w:lang w:val="sr-Latn-ME"/>
        </w:rPr>
        <w:t xml:space="preserve">da </w:t>
      </w:r>
      <w:r w:rsidRPr="00F63435">
        <w:rPr>
          <w:sz w:val="22"/>
          <w:szCs w:val="22"/>
          <w:lang w:val="sr-Latn-ME"/>
        </w:rPr>
        <w:t xml:space="preserve">inhibira funkciju </w:t>
      </w:r>
      <w:r w:rsidR="00C17E84" w:rsidRPr="00F63435">
        <w:rPr>
          <w:sz w:val="22"/>
          <w:szCs w:val="22"/>
          <w:lang w:val="sr-Latn-ME"/>
        </w:rPr>
        <w:t>trombocita</w:t>
      </w:r>
      <w:r w:rsidRPr="00F63435">
        <w:rPr>
          <w:sz w:val="22"/>
          <w:szCs w:val="22"/>
          <w:lang w:val="sr-Latn-ME"/>
        </w:rPr>
        <w:t xml:space="preserve"> (agregaciju tromboci</w:t>
      </w:r>
      <w:r w:rsidR="0029244C" w:rsidRPr="00F63435">
        <w:rPr>
          <w:sz w:val="22"/>
          <w:szCs w:val="22"/>
          <w:lang w:val="sr-Latn-ME"/>
        </w:rPr>
        <w:t>ta). Stoga treba pažljivo pratit</w:t>
      </w:r>
      <w:r w:rsidRPr="00F63435">
        <w:rPr>
          <w:sz w:val="22"/>
          <w:szCs w:val="22"/>
          <w:lang w:val="sr-Latn-ME"/>
        </w:rPr>
        <w:t xml:space="preserve">i </w:t>
      </w:r>
      <w:r w:rsidR="00BA1A90" w:rsidRPr="00F63435">
        <w:rPr>
          <w:sz w:val="22"/>
          <w:szCs w:val="22"/>
          <w:lang w:val="sr-Latn-ME"/>
        </w:rPr>
        <w:t>pacijente</w:t>
      </w:r>
      <w:r w:rsidRPr="00F63435">
        <w:rPr>
          <w:sz w:val="22"/>
          <w:szCs w:val="22"/>
          <w:lang w:val="sr-Latn-ME"/>
        </w:rPr>
        <w:t xml:space="preserve"> s</w:t>
      </w:r>
      <w:r w:rsidR="0029244C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poremećajima koagulacije. </w:t>
      </w:r>
    </w:p>
    <w:p w14:paraId="3BF32D94" w14:textId="77777777" w:rsidR="00221581" w:rsidRPr="00F63435" w:rsidRDefault="00221581" w:rsidP="00C81AB0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Kod produžene primjene </w:t>
      </w:r>
      <w:r w:rsidR="00BA1A90" w:rsidRPr="00F63435">
        <w:rPr>
          <w:sz w:val="22"/>
          <w:szCs w:val="22"/>
          <w:lang w:val="sr-Latn-ME"/>
        </w:rPr>
        <w:t>lijeka Nurofen za djecu oralna suspenzija</w:t>
      </w:r>
      <w:r w:rsidRPr="00F63435">
        <w:rPr>
          <w:sz w:val="22"/>
          <w:szCs w:val="22"/>
          <w:lang w:val="sr-Latn-ME"/>
        </w:rPr>
        <w:t>, potrebn</w:t>
      </w:r>
      <w:r w:rsidR="0029244C" w:rsidRPr="00F63435">
        <w:rPr>
          <w:sz w:val="22"/>
          <w:szCs w:val="22"/>
          <w:lang w:val="sr-Latn-ME"/>
        </w:rPr>
        <w:t>o je redovno kontrolisa</w:t>
      </w:r>
      <w:r w:rsidRPr="00F63435">
        <w:rPr>
          <w:sz w:val="22"/>
          <w:szCs w:val="22"/>
          <w:lang w:val="sr-Latn-ME"/>
        </w:rPr>
        <w:t>ti vrijednosti</w:t>
      </w:r>
      <w:r w:rsidR="00C17E84" w:rsidRPr="00F63435">
        <w:rPr>
          <w:sz w:val="22"/>
          <w:szCs w:val="22"/>
          <w:lang w:val="sr-Latn-ME"/>
        </w:rPr>
        <w:t xml:space="preserve"> funkcije jetre</w:t>
      </w:r>
      <w:r w:rsidRPr="00F63435">
        <w:rPr>
          <w:sz w:val="22"/>
          <w:szCs w:val="22"/>
          <w:lang w:val="sr-Latn-ME"/>
        </w:rPr>
        <w:t xml:space="preserve">, funkciju bubrega i krvnu sliku. </w:t>
      </w:r>
    </w:p>
    <w:p w14:paraId="7B286E03" w14:textId="5B311053" w:rsidR="00221581" w:rsidRPr="00F63435" w:rsidRDefault="00055A1E" w:rsidP="00A91448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Produžena primjena bilo kojih l</w:t>
      </w:r>
      <w:r w:rsidR="00221581" w:rsidRPr="00F63435">
        <w:rPr>
          <w:sz w:val="22"/>
          <w:szCs w:val="22"/>
          <w:lang w:val="sr-Latn-ME"/>
        </w:rPr>
        <w:t>jekova protiv bolova, može pogoršati</w:t>
      </w:r>
      <w:r w:rsidR="005E6D8A" w:rsidRPr="00F63435">
        <w:rPr>
          <w:sz w:val="22"/>
          <w:szCs w:val="22"/>
          <w:lang w:val="sr-Latn-ME"/>
        </w:rPr>
        <w:t xml:space="preserve"> glavobolju</w:t>
      </w:r>
      <w:r w:rsidR="00221581" w:rsidRPr="00F63435">
        <w:rPr>
          <w:sz w:val="22"/>
          <w:szCs w:val="22"/>
          <w:lang w:val="sr-Latn-ME"/>
        </w:rPr>
        <w:t xml:space="preserve">. Ako se pojavi takav slučaj ili se na njega sumnja, treba zatražiti savjet </w:t>
      </w:r>
      <w:r w:rsidR="0029244C" w:rsidRPr="00F63435">
        <w:rPr>
          <w:sz w:val="22"/>
          <w:szCs w:val="22"/>
          <w:lang w:val="sr-Latn-ME"/>
        </w:rPr>
        <w:t xml:space="preserve">ljekara </w:t>
      </w:r>
      <w:r w:rsidR="00221581" w:rsidRPr="00F63435">
        <w:rPr>
          <w:sz w:val="22"/>
          <w:szCs w:val="22"/>
          <w:lang w:val="sr-Latn-ME"/>
        </w:rPr>
        <w:t>i prekinuti primjenu lijeka. Na dijagnozu glavobol</w:t>
      </w:r>
      <w:r w:rsidR="0029244C" w:rsidRPr="00F63435">
        <w:rPr>
          <w:sz w:val="22"/>
          <w:szCs w:val="22"/>
          <w:lang w:val="sr-Latn-ME"/>
        </w:rPr>
        <w:t>je uzrokovane prekomjernom upotre</w:t>
      </w:r>
      <w:r w:rsidR="00221581" w:rsidRPr="00F63435">
        <w:rPr>
          <w:sz w:val="22"/>
          <w:szCs w:val="22"/>
          <w:lang w:val="sr-Latn-ME"/>
        </w:rPr>
        <w:t xml:space="preserve">bom analgetika treba posumnjati </w:t>
      </w:r>
      <w:r w:rsidR="0029244C" w:rsidRPr="00F63435">
        <w:rPr>
          <w:sz w:val="22"/>
          <w:szCs w:val="22"/>
          <w:lang w:val="sr-Latn-ME"/>
        </w:rPr>
        <w:t>kod pacijenata</w:t>
      </w:r>
      <w:r w:rsidR="00221581" w:rsidRPr="00F63435">
        <w:rPr>
          <w:sz w:val="22"/>
          <w:szCs w:val="22"/>
          <w:lang w:val="sr-Latn-ME"/>
        </w:rPr>
        <w:t xml:space="preserve"> koji imaju čes</w:t>
      </w:r>
      <w:r w:rsidR="00BA1A90" w:rsidRPr="00F63435">
        <w:rPr>
          <w:sz w:val="22"/>
          <w:szCs w:val="22"/>
          <w:lang w:val="sr-Latn-ME"/>
        </w:rPr>
        <w:t>te ili svakodnevne glavobolje u</w:t>
      </w:r>
      <w:r w:rsidR="00221581" w:rsidRPr="00F63435">
        <w:rPr>
          <w:sz w:val="22"/>
          <w:szCs w:val="22"/>
          <w:lang w:val="sr-Latn-ME"/>
        </w:rPr>
        <w:t>prkos red</w:t>
      </w:r>
      <w:r w:rsidR="004E4AD6" w:rsidRPr="00F63435">
        <w:rPr>
          <w:sz w:val="22"/>
          <w:szCs w:val="22"/>
          <w:lang w:val="sr-Latn-ME"/>
        </w:rPr>
        <w:t>ovnoj primjeni (ili zbog redovne</w:t>
      </w:r>
      <w:r w:rsidR="00DD3205" w:rsidRPr="00F63435">
        <w:rPr>
          <w:sz w:val="22"/>
          <w:szCs w:val="22"/>
          <w:lang w:val="sr-Latn-ME"/>
        </w:rPr>
        <w:t xml:space="preserve"> primjene) l</w:t>
      </w:r>
      <w:r w:rsidR="00221581" w:rsidRPr="00F63435">
        <w:rPr>
          <w:sz w:val="22"/>
          <w:szCs w:val="22"/>
          <w:lang w:val="sr-Latn-ME"/>
        </w:rPr>
        <w:t xml:space="preserve">jekova protiv glavobolje. </w:t>
      </w:r>
    </w:p>
    <w:p w14:paraId="591174D4" w14:textId="77777777" w:rsidR="00221581" w:rsidRPr="00F63435" w:rsidRDefault="0029244C" w:rsidP="00A9144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Tokom istovremene</w:t>
      </w:r>
      <w:r w:rsidR="00221581" w:rsidRPr="00F63435">
        <w:rPr>
          <w:sz w:val="22"/>
          <w:szCs w:val="22"/>
          <w:lang w:val="sr-Latn-ME"/>
        </w:rPr>
        <w:t xml:space="preserve"> p</w:t>
      </w:r>
      <w:r w:rsidRPr="00F63435">
        <w:rPr>
          <w:sz w:val="22"/>
          <w:szCs w:val="22"/>
          <w:lang w:val="sr-Latn-ME"/>
        </w:rPr>
        <w:t>rimjene alkohola i</w:t>
      </w:r>
      <w:r w:rsidR="00C16D3E" w:rsidRPr="00F63435">
        <w:rPr>
          <w:sz w:val="22"/>
          <w:szCs w:val="22"/>
          <w:lang w:val="sr-Latn-ME"/>
        </w:rPr>
        <w:t xml:space="preserve"> l</w:t>
      </w:r>
      <w:r w:rsidRPr="00F63435">
        <w:rPr>
          <w:sz w:val="22"/>
          <w:szCs w:val="22"/>
          <w:lang w:val="sr-Latn-ME"/>
        </w:rPr>
        <w:t>jekova iz grupe</w:t>
      </w:r>
      <w:r w:rsidR="00221581" w:rsidRPr="00F63435">
        <w:rPr>
          <w:sz w:val="22"/>
          <w:szCs w:val="22"/>
          <w:lang w:val="sr-Latn-ME"/>
        </w:rPr>
        <w:t xml:space="preserve"> NSAIL, može doći do</w:t>
      </w:r>
      <w:r w:rsidRPr="00F63435">
        <w:rPr>
          <w:sz w:val="22"/>
          <w:szCs w:val="22"/>
          <w:lang w:val="sr-Latn-ME"/>
        </w:rPr>
        <w:t xml:space="preserve"> povećanja učestalosti neželjenih </w:t>
      </w:r>
      <w:r w:rsidR="00C17E84" w:rsidRPr="00F63435">
        <w:rPr>
          <w:sz w:val="22"/>
          <w:szCs w:val="22"/>
          <w:lang w:val="sr-Latn-ME"/>
        </w:rPr>
        <w:t>dejstava</w:t>
      </w:r>
      <w:r w:rsidR="00221581" w:rsidRPr="00F63435">
        <w:rPr>
          <w:sz w:val="22"/>
          <w:szCs w:val="22"/>
          <w:lang w:val="sr-Latn-ME"/>
        </w:rPr>
        <w:t xml:space="preserve">, posebno </w:t>
      </w:r>
      <w:r w:rsidR="00C17E84" w:rsidRPr="00F63435">
        <w:rPr>
          <w:sz w:val="22"/>
          <w:szCs w:val="22"/>
          <w:lang w:val="sr-Latn-ME"/>
        </w:rPr>
        <w:t xml:space="preserve">neželjenih dejstava </w:t>
      </w:r>
      <w:r w:rsidR="00221581" w:rsidRPr="00F63435">
        <w:rPr>
          <w:sz w:val="22"/>
          <w:szCs w:val="22"/>
          <w:lang w:val="sr-Latn-ME"/>
        </w:rPr>
        <w:t xml:space="preserve">u </w:t>
      </w:r>
      <w:r w:rsidR="00C17E84" w:rsidRPr="00F63435">
        <w:rPr>
          <w:sz w:val="22"/>
          <w:szCs w:val="22"/>
          <w:lang w:val="sr-Latn-ME"/>
        </w:rPr>
        <w:t xml:space="preserve">digestivnom </w:t>
      </w:r>
      <w:r w:rsidR="00221581" w:rsidRPr="00F63435">
        <w:rPr>
          <w:sz w:val="22"/>
          <w:szCs w:val="22"/>
          <w:lang w:val="sr-Latn-ME"/>
        </w:rPr>
        <w:t xml:space="preserve">i </w:t>
      </w:r>
      <w:r w:rsidRPr="00F63435">
        <w:rPr>
          <w:sz w:val="22"/>
          <w:szCs w:val="22"/>
          <w:lang w:val="sr-Latn-ME"/>
        </w:rPr>
        <w:t>centralnom nervnom sistemu</w:t>
      </w:r>
      <w:r w:rsidR="00221581" w:rsidRPr="00F63435">
        <w:rPr>
          <w:sz w:val="22"/>
          <w:szCs w:val="22"/>
          <w:lang w:val="sr-Latn-ME"/>
        </w:rPr>
        <w:t>.</w:t>
      </w:r>
    </w:p>
    <w:p w14:paraId="0DBBE014" w14:textId="77777777" w:rsidR="00221581" w:rsidRPr="00F63435" w:rsidRDefault="00221581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902ACA" w14:textId="77777777" w:rsidR="00221581" w:rsidRPr="00F63435" w:rsidRDefault="00221581" w:rsidP="00A91448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NSAIL mogu prikr</w:t>
      </w:r>
      <w:r w:rsidR="007F2AED" w:rsidRPr="00F63435">
        <w:rPr>
          <w:sz w:val="22"/>
          <w:szCs w:val="22"/>
          <w:lang w:val="sr-Latn-ME"/>
        </w:rPr>
        <w:t>iti simptome infekcije ili grozni</w:t>
      </w:r>
      <w:r w:rsidRPr="00F63435">
        <w:rPr>
          <w:sz w:val="22"/>
          <w:szCs w:val="22"/>
          <w:lang w:val="sr-Latn-ME"/>
        </w:rPr>
        <w:t xml:space="preserve">ce. </w:t>
      </w:r>
    </w:p>
    <w:p w14:paraId="64C68B2E" w14:textId="77777777" w:rsidR="002C4FD4" w:rsidRPr="00F63435" w:rsidRDefault="002C4FD4" w:rsidP="00A91448">
      <w:pPr>
        <w:pStyle w:val="Default"/>
        <w:jc w:val="both"/>
        <w:rPr>
          <w:sz w:val="22"/>
          <w:szCs w:val="22"/>
          <w:lang w:val="sr-Latn-ME"/>
        </w:rPr>
      </w:pPr>
    </w:p>
    <w:p w14:paraId="2FD65108" w14:textId="77777777" w:rsidR="002C4FD4" w:rsidRPr="00F63435" w:rsidRDefault="002C4FD4" w:rsidP="00A91448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Prikrivanje simptoma osnovnih infekcija</w:t>
      </w:r>
    </w:p>
    <w:p w14:paraId="4BEF7A45" w14:textId="77777777" w:rsidR="002C4FD4" w:rsidRPr="00F63435" w:rsidRDefault="002C4FD4" w:rsidP="00A91448">
      <w:pPr>
        <w:pStyle w:val="Default"/>
        <w:jc w:val="both"/>
        <w:rPr>
          <w:sz w:val="22"/>
          <w:szCs w:val="22"/>
          <w:lang w:val="sr-Latn-ME"/>
        </w:rPr>
      </w:pPr>
    </w:p>
    <w:p w14:paraId="3D328527" w14:textId="1FB7F7DA" w:rsidR="002C4FD4" w:rsidRPr="00F63435" w:rsidRDefault="005E6D8A" w:rsidP="002C4FD4">
      <w:pPr>
        <w:pStyle w:val="Style"/>
        <w:ind w:right="-22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 w:bidi="he-IL"/>
        </w:rPr>
        <w:t xml:space="preserve">Lijek </w:t>
      </w:r>
      <w:r w:rsidR="002C4FD4" w:rsidRPr="00F63435">
        <w:rPr>
          <w:sz w:val="22"/>
          <w:szCs w:val="22"/>
          <w:lang w:val="sr-Latn-ME" w:bidi="he-IL"/>
        </w:rPr>
        <w:t xml:space="preserve">Nurofen za djecu </w:t>
      </w:r>
      <w:r w:rsidR="002C4FD4" w:rsidRPr="00F63435">
        <w:rPr>
          <w:rFonts w:eastAsia="MS Mincho"/>
          <w:color w:val="000000"/>
          <w:sz w:val="22"/>
          <w:szCs w:val="22"/>
          <w:lang w:val="sr-Latn-ME" w:eastAsia="hu-HU"/>
        </w:rPr>
        <w:t xml:space="preserve">može prikriti simptome infekcije, što može odložiti početak odgovarajućeg liječenja i tako dovesti do pogoršanja ishoda infekcije. To je opaženo kod vanbolnički stečene bakterijske upale pluća i bakterijskih komplikacija povezanih s varičelama. Kada se </w:t>
      </w:r>
      <w:r w:rsidRPr="00F63435">
        <w:rPr>
          <w:rFonts w:eastAsia="MS Mincho"/>
          <w:color w:val="000000"/>
          <w:sz w:val="22"/>
          <w:szCs w:val="22"/>
          <w:lang w:val="sr-Latn-ME" w:eastAsia="hu-HU"/>
        </w:rPr>
        <w:t xml:space="preserve">lijek </w:t>
      </w:r>
      <w:r w:rsidR="002C4FD4" w:rsidRPr="00F63435">
        <w:rPr>
          <w:sz w:val="22"/>
          <w:szCs w:val="22"/>
          <w:lang w:val="sr-Latn-ME" w:bidi="he-IL"/>
        </w:rPr>
        <w:t xml:space="preserve">Nurofen za djecu </w:t>
      </w:r>
      <w:r w:rsidR="002C4FD4" w:rsidRPr="00F63435">
        <w:rPr>
          <w:rFonts w:eastAsia="MS Mincho"/>
          <w:color w:val="000000"/>
          <w:sz w:val="22"/>
          <w:szCs w:val="22"/>
          <w:lang w:val="sr-Latn-ME" w:eastAsia="hu-HU"/>
        </w:rPr>
        <w:t xml:space="preserve">primjenjuje za ublažavanje </w:t>
      </w:r>
      <w:r w:rsidRPr="00F63435">
        <w:rPr>
          <w:rFonts w:eastAsia="MS Mincho"/>
          <w:color w:val="000000"/>
          <w:sz w:val="22"/>
          <w:szCs w:val="22"/>
          <w:lang w:val="sr-Latn-ME" w:eastAsia="hu-HU"/>
        </w:rPr>
        <w:t xml:space="preserve">groznice </w:t>
      </w:r>
      <w:r w:rsidR="002C4FD4" w:rsidRPr="00F63435">
        <w:rPr>
          <w:rFonts w:eastAsia="MS Mincho"/>
          <w:color w:val="000000"/>
          <w:sz w:val="22"/>
          <w:szCs w:val="22"/>
          <w:lang w:val="sr-Latn-ME" w:eastAsia="hu-HU"/>
        </w:rPr>
        <w:t>ili bolova povezanih s infekcijom, preporučuje se praćenje infekcije. U vanbolničkim okruženjima</w:t>
      </w:r>
      <w:r w:rsidRPr="00F63435">
        <w:rPr>
          <w:rFonts w:eastAsia="MS Mincho"/>
          <w:color w:val="000000"/>
          <w:sz w:val="22"/>
          <w:szCs w:val="22"/>
          <w:lang w:val="sr-Latn-ME" w:eastAsia="hu-HU"/>
        </w:rPr>
        <w:t>,</w:t>
      </w:r>
      <w:r w:rsidR="002C4FD4" w:rsidRPr="00F63435">
        <w:rPr>
          <w:rFonts w:eastAsia="MS Mincho"/>
          <w:color w:val="000000"/>
          <w:sz w:val="22"/>
          <w:szCs w:val="22"/>
          <w:lang w:val="sr-Latn-ME" w:eastAsia="hu-HU"/>
        </w:rPr>
        <w:t xml:space="preserve"> </w:t>
      </w:r>
      <w:r w:rsidRPr="00F63435">
        <w:rPr>
          <w:rFonts w:eastAsia="MS Mincho"/>
          <w:color w:val="000000"/>
          <w:sz w:val="22"/>
          <w:szCs w:val="22"/>
          <w:lang w:val="sr-Latn-ME" w:eastAsia="hu-HU"/>
        </w:rPr>
        <w:t xml:space="preserve">pacijent </w:t>
      </w:r>
      <w:r w:rsidR="002C4FD4" w:rsidRPr="00F63435">
        <w:rPr>
          <w:rFonts w:eastAsia="MS Mincho"/>
          <w:color w:val="000000"/>
          <w:sz w:val="22"/>
          <w:szCs w:val="22"/>
          <w:lang w:val="sr-Latn-ME" w:eastAsia="hu-HU"/>
        </w:rPr>
        <w:t xml:space="preserve">treba </w:t>
      </w:r>
      <w:r w:rsidRPr="00F63435">
        <w:rPr>
          <w:rFonts w:eastAsia="MS Mincho"/>
          <w:color w:val="000000"/>
          <w:sz w:val="22"/>
          <w:szCs w:val="22"/>
          <w:lang w:val="sr-Latn-ME" w:eastAsia="hu-HU"/>
        </w:rPr>
        <w:t xml:space="preserve">da se </w:t>
      </w:r>
      <w:r w:rsidR="002C4FD4" w:rsidRPr="00F63435">
        <w:rPr>
          <w:rFonts w:eastAsia="MS Mincho"/>
          <w:color w:val="000000"/>
          <w:sz w:val="22"/>
          <w:szCs w:val="22"/>
          <w:lang w:val="sr-Latn-ME" w:eastAsia="hu-HU"/>
        </w:rPr>
        <w:t>obrati ljekaru ako simptomi perzistiraju ili se pogoršaju.</w:t>
      </w:r>
    </w:p>
    <w:p w14:paraId="562B0C13" w14:textId="77777777" w:rsidR="002C4FD4" w:rsidRPr="00F63435" w:rsidRDefault="002C4FD4" w:rsidP="00A91448">
      <w:pPr>
        <w:pStyle w:val="Default"/>
        <w:jc w:val="both"/>
        <w:rPr>
          <w:sz w:val="22"/>
          <w:szCs w:val="22"/>
          <w:lang w:val="sr-Latn-ME"/>
        </w:rPr>
      </w:pPr>
    </w:p>
    <w:p w14:paraId="02450F79" w14:textId="4A8CB9F5" w:rsidR="0013158B" w:rsidRPr="00F63435" w:rsidRDefault="0013158B" w:rsidP="001E234A">
      <w:pPr>
        <w:pStyle w:val="Default"/>
        <w:jc w:val="both"/>
        <w:rPr>
          <w:sz w:val="22"/>
          <w:szCs w:val="22"/>
          <w:lang w:val="sr-Latn-ME"/>
        </w:rPr>
      </w:pPr>
    </w:p>
    <w:p w14:paraId="13C6CAF1" w14:textId="77777777" w:rsidR="0013158B" w:rsidRPr="00F63435" w:rsidRDefault="0013158B" w:rsidP="001E234A">
      <w:pPr>
        <w:pStyle w:val="Default"/>
        <w:jc w:val="both"/>
        <w:rPr>
          <w:sz w:val="22"/>
          <w:szCs w:val="22"/>
          <w:lang w:val="sr-Latn-ME"/>
        </w:rPr>
      </w:pPr>
    </w:p>
    <w:p w14:paraId="26987037" w14:textId="77777777" w:rsidR="00221581" w:rsidRPr="00F63435" w:rsidRDefault="00221581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Pomoćne </w:t>
      </w:r>
      <w:r w:rsidR="007F2AED" w:rsidRPr="00F63435">
        <w:rPr>
          <w:b/>
          <w:bCs/>
          <w:sz w:val="22"/>
          <w:szCs w:val="22"/>
          <w:lang w:val="sr-Latn-ME"/>
        </w:rPr>
        <w:t>supstance</w:t>
      </w:r>
      <w:r w:rsidRPr="00F63435">
        <w:rPr>
          <w:b/>
          <w:bCs/>
          <w:sz w:val="22"/>
          <w:szCs w:val="22"/>
          <w:lang w:val="sr-Latn-ME"/>
        </w:rPr>
        <w:t xml:space="preserve"> s</w:t>
      </w:r>
      <w:r w:rsidR="007F2AED" w:rsidRPr="00F63435">
        <w:rPr>
          <w:b/>
          <w:bCs/>
          <w:sz w:val="22"/>
          <w:szCs w:val="22"/>
          <w:lang w:val="sr-Latn-ME"/>
        </w:rPr>
        <w:t>a poznatim dejstv</w:t>
      </w:r>
      <w:r w:rsidRPr="00F63435">
        <w:rPr>
          <w:b/>
          <w:bCs/>
          <w:sz w:val="22"/>
          <w:szCs w:val="22"/>
          <w:lang w:val="sr-Latn-ME"/>
        </w:rPr>
        <w:t xml:space="preserve">om: </w:t>
      </w:r>
    </w:p>
    <w:p w14:paraId="4115C32D" w14:textId="77777777" w:rsidR="00221581" w:rsidRPr="00F63435" w:rsidRDefault="00221581" w:rsidP="001E234A">
      <w:pPr>
        <w:tabs>
          <w:tab w:val="left" w:pos="540"/>
          <w:tab w:val="left" w:pos="569"/>
        </w:tabs>
        <w:jc w:val="both"/>
        <w:rPr>
          <w:sz w:val="22"/>
          <w:szCs w:val="22"/>
          <w:highlight w:val="yellow"/>
          <w:lang w:val="sr-Latn-ME"/>
        </w:rPr>
      </w:pPr>
    </w:p>
    <w:p w14:paraId="7AED5CFA" w14:textId="77777777" w:rsidR="004B2C4E" w:rsidRPr="00F63435" w:rsidRDefault="00FC49A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Ovaj lijek sadrži </w:t>
      </w:r>
      <w:r w:rsidR="00221581" w:rsidRPr="00F63435">
        <w:rPr>
          <w:bCs/>
          <w:sz w:val="22"/>
          <w:szCs w:val="22"/>
          <w:lang w:val="sr-Latn-ME"/>
        </w:rPr>
        <w:t>maltitol</w:t>
      </w:r>
      <w:r w:rsidRPr="00F63435">
        <w:rPr>
          <w:bCs/>
          <w:sz w:val="22"/>
          <w:szCs w:val="22"/>
          <w:lang w:val="sr-Latn-ME"/>
        </w:rPr>
        <w:t>, tečni</w:t>
      </w:r>
      <w:r w:rsidR="00221581" w:rsidRPr="00F63435">
        <w:rPr>
          <w:bCs/>
          <w:sz w:val="22"/>
          <w:szCs w:val="22"/>
          <w:lang w:val="sr-Latn-ME"/>
        </w:rPr>
        <w:t xml:space="preserve">. </w:t>
      </w:r>
      <w:r w:rsidR="00BA1A90" w:rsidRPr="00F63435">
        <w:rPr>
          <w:bCs/>
          <w:sz w:val="22"/>
          <w:szCs w:val="22"/>
          <w:lang w:val="sr-Latn-ME"/>
        </w:rPr>
        <w:t>Pacijenti</w:t>
      </w:r>
      <w:r w:rsidR="00221581" w:rsidRPr="00F63435">
        <w:rPr>
          <w:bCs/>
          <w:sz w:val="22"/>
          <w:szCs w:val="22"/>
          <w:lang w:val="sr-Latn-ME"/>
        </w:rPr>
        <w:t xml:space="preserve"> s</w:t>
      </w:r>
      <w:r w:rsidR="00CA7B2D" w:rsidRPr="00F63435">
        <w:rPr>
          <w:bCs/>
          <w:sz w:val="22"/>
          <w:szCs w:val="22"/>
          <w:lang w:val="sr-Latn-ME"/>
        </w:rPr>
        <w:t>a</w:t>
      </w:r>
      <w:r w:rsidR="00221581" w:rsidRPr="00F63435">
        <w:rPr>
          <w:bCs/>
          <w:sz w:val="22"/>
          <w:szCs w:val="22"/>
          <w:lang w:val="sr-Latn-ME"/>
        </w:rPr>
        <w:t xml:space="preserve"> rijetkim nasljednim poremećajem nepodnošenja fruktoze ne bi smjeli </w:t>
      </w:r>
      <w:r w:rsidR="00C17E84" w:rsidRPr="00F63435">
        <w:rPr>
          <w:bCs/>
          <w:sz w:val="22"/>
          <w:szCs w:val="22"/>
          <w:lang w:val="sr-Latn-ME"/>
        </w:rPr>
        <w:t xml:space="preserve">da uzimaju </w:t>
      </w:r>
      <w:r w:rsidRPr="00F63435">
        <w:rPr>
          <w:bCs/>
          <w:sz w:val="22"/>
          <w:szCs w:val="22"/>
          <w:lang w:val="sr-Latn-ME"/>
        </w:rPr>
        <w:t xml:space="preserve">ovaj lijek. </w:t>
      </w:r>
    </w:p>
    <w:p w14:paraId="7F14D588" w14:textId="77777777" w:rsidR="002C4FD4" w:rsidRPr="00F63435" w:rsidRDefault="002C4F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Ovaj lijek sadrži 9,08 mg natrijuma (glavni sastojak kuhinjske soli) u 5ml suspenzije, što odgovara 0,45% maksimalnog dnevnog unosa od 2g natrijuma prema preporukama SZO za odraslu osobu.</w:t>
      </w:r>
    </w:p>
    <w:p w14:paraId="5D50C634" w14:textId="7A773700" w:rsidR="002C4FD4" w:rsidRPr="00F63435" w:rsidRDefault="002C4F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Ovaj lijek sadrži 11</w:t>
      </w:r>
      <w:r w:rsidR="004626FE" w:rsidRPr="00F63435">
        <w:rPr>
          <w:bCs/>
          <w:sz w:val="22"/>
          <w:szCs w:val="22"/>
          <w:lang w:val="sr-Latn-ME"/>
        </w:rPr>
        <w:t xml:space="preserve"> </w:t>
      </w:r>
      <w:r w:rsidRPr="00F63435">
        <w:rPr>
          <w:bCs/>
          <w:sz w:val="22"/>
          <w:szCs w:val="22"/>
          <w:lang w:val="sr-Latn-ME"/>
        </w:rPr>
        <w:t>mg pšeničnog skroba (prisutan u aromi narandže) koji ne sadrži više od 0,22</w:t>
      </w:r>
      <w:r w:rsidR="00FB063C" w:rsidRPr="00F63435">
        <w:rPr>
          <w:bCs/>
          <w:sz w:val="22"/>
          <w:szCs w:val="22"/>
          <w:lang w:val="sr-Latn-ME"/>
        </w:rPr>
        <w:t>5</w:t>
      </w:r>
      <w:r w:rsidRPr="00F63435">
        <w:rPr>
          <w:bCs/>
          <w:sz w:val="22"/>
          <w:szCs w:val="22"/>
          <w:lang w:val="sr-Latn-ME"/>
        </w:rPr>
        <w:t xml:space="preserve"> </w:t>
      </w:r>
      <w:r w:rsidRPr="00F63435">
        <w:rPr>
          <w:sz w:val="22"/>
          <w:szCs w:val="22"/>
          <w:lang w:val="sr-Latn-ME" w:bidi="he-IL"/>
        </w:rPr>
        <w:t>µg glutena u 5 ml oralne suspenzije.</w:t>
      </w:r>
    </w:p>
    <w:p w14:paraId="7ED0A635" w14:textId="77777777" w:rsidR="00221581" w:rsidRPr="00F63435" w:rsidRDefault="00221581" w:rsidP="001E23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C3B435" w14:textId="77777777" w:rsidR="00221581" w:rsidRPr="00F63435" w:rsidRDefault="00221581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4.5 </w:t>
      </w:r>
      <w:r w:rsidR="008855F9" w:rsidRPr="00F63435">
        <w:rPr>
          <w:b/>
          <w:bCs/>
          <w:sz w:val="22"/>
          <w:szCs w:val="22"/>
          <w:lang w:val="sr-Latn-ME"/>
        </w:rPr>
        <w:t>Interakcije sa drugim l</w:t>
      </w:r>
      <w:r w:rsidRPr="00F63435">
        <w:rPr>
          <w:b/>
          <w:bCs/>
          <w:sz w:val="22"/>
          <w:szCs w:val="22"/>
          <w:lang w:val="sr-Latn-ME"/>
        </w:rPr>
        <w:t xml:space="preserve">jekovima i </w:t>
      </w:r>
      <w:r w:rsidR="007C5A63" w:rsidRPr="00F63435">
        <w:rPr>
          <w:b/>
          <w:bCs/>
          <w:sz w:val="22"/>
          <w:szCs w:val="22"/>
          <w:lang w:val="sr-Latn-ME"/>
        </w:rPr>
        <w:t xml:space="preserve">druge vrste </w:t>
      </w:r>
      <w:r w:rsidRPr="00F63435">
        <w:rPr>
          <w:b/>
          <w:bCs/>
          <w:sz w:val="22"/>
          <w:szCs w:val="22"/>
          <w:lang w:val="sr-Latn-ME"/>
        </w:rPr>
        <w:t>interakcija</w:t>
      </w:r>
    </w:p>
    <w:p w14:paraId="52E52367" w14:textId="77777777" w:rsidR="00221581" w:rsidRPr="00F63435" w:rsidRDefault="00221581" w:rsidP="001E23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8C1191" w14:textId="77777777" w:rsidR="00221581" w:rsidRPr="00F63435" w:rsidRDefault="007F2AED" w:rsidP="001E234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sr-Latn-ME" w:eastAsia="sr-Latn-ME"/>
        </w:rPr>
      </w:pPr>
      <w:r w:rsidRPr="00F63435">
        <w:rPr>
          <w:b/>
          <w:bCs/>
          <w:color w:val="000000"/>
          <w:sz w:val="22"/>
          <w:szCs w:val="22"/>
          <w:u w:val="single"/>
          <w:lang w:val="sr-Latn-ME" w:eastAsia="sr-Latn-ME"/>
        </w:rPr>
        <w:t>Istovremenu upotre</w:t>
      </w:r>
      <w:r w:rsidR="00221581" w:rsidRPr="00F63435">
        <w:rPr>
          <w:b/>
          <w:bCs/>
          <w:color w:val="000000"/>
          <w:sz w:val="22"/>
          <w:szCs w:val="22"/>
          <w:u w:val="single"/>
          <w:lang w:val="sr-Latn-ME" w:eastAsia="sr-Latn-ME"/>
        </w:rPr>
        <w:t>bu ibuprofena (kao i drugih NSAI</w:t>
      </w:r>
      <w:r w:rsidR="004E4AD6" w:rsidRPr="00F63435">
        <w:rPr>
          <w:b/>
          <w:bCs/>
          <w:color w:val="000000"/>
          <w:sz w:val="22"/>
          <w:szCs w:val="22"/>
          <w:u w:val="single"/>
          <w:lang w:val="sr-Latn-ME" w:eastAsia="sr-Latn-ME"/>
        </w:rPr>
        <w:t>L) u kombinaciji sa sljedećim l</w:t>
      </w:r>
      <w:r w:rsidR="00221581" w:rsidRPr="00F63435">
        <w:rPr>
          <w:b/>
          <w:bCs/>
          <w:color w:val="000000"/>
          <w:sz w:val="22"/>
          <w:szCs w:val="22"/>
          <w:u w:val="single"/>
          <w:lang w:val="sr-Latn-ME" w:eastAsia="sr-Latn-ME"/>
        </w:rPr>
        <w:t xml:space="preserve">jekovima treba izbjegavati: </w:t>
      </w:r>
    </w:p>
    <w:p w14:paraId="078AB7C7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6FB9076F" w14:textId="77777777" w:rsidR="00221581" w:rsidRPr="00F63435" w:rsidRDefault="0029244C" w:rsidP="001E234A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2"/>
          <w:szCs w:val="22"/>
          <w:u w:val="single"/>
          <w:lang w:val="sr-Latn-ME" w:eastAsia="sr-Latn-ME"/>
        </w:rPr>
      </w:pPr>
      <w:r w:rsidRPr="00F63435">
        <w:rPr>
          <w:bCs/>
          <w:i/>
          <w:iCs/>
          <w:color w:val="000000"/>
          <w:sz w:val="22"/>
          <w:szCs w:val="22"/>
          <w:u w:val="single"/>
          <w:lang w:val="sr-Latn-ME" w:eastAsia="sr-Latn-ME"/>
        </w:rPr>
        <w:t>Acetilsalicil</w:t>
      </w:r>
      <w:r w:rsidR="00221581" w:rsidRPr="00F63435">
        <w:rPr>
          <w:bCs/>
          <w:i/>
          <w:iCs/>
          <w:color w:val="000000"/>
          <w:sz w:val="22"/>
          <w:szCs w:val="22"/>
          <w:u w:val="single"/>
          <w:lang w:val="sr-Latn-ME" w:eastAsia="sr-Latn-ME"/>
        </w:rPr>
        <w:t>na kiselina</w:t>
      </w:r>
      <w:r w:rsidR="00221581" w:rsidRPr="00F63435">
        <w:rPr>
          <w:i/>
          <w:iCs/>
          <w:color w:val="000000"/>
          <w:sz w:val="22"/>
          <w:szCs w:val="22"/>
          <w:u w:val="single"/>
          <w:lang w:val="sr-Latn-ME" w:eastAsia="sr-Latn-ME"/>
        </w:rPr>
        <w:t xml:space="preserve">: </w:t>
      </w:r>
    </w:p>
    <w:p w14:paraId="285F2BBB" w14:textId="77777777" w:rsidR="00221581" w:rsidRPr="00F63435" w:rsidRDefault="00221581" w:rsidP="00D953F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 xml:space="preserve">Eksperimentalni podaci pokazuju da ibuprofen može kompetitivno inhibirati </w:t>
      </w:r>
      <w:r w:rsidR="00345BF2" w:rsidRPr="00F63435">
        <w:rPr>
          <w:color w:val="000000"/>
          <w:sz w:val="22"/>
          <w:szCs w:val="22"/>
          <w:lang w:val="sr-Latn-ME" w:eastAsia="sr-Latn-ME"/>
        </w:rPr>
        <w:t xml:space="preserve">efekat </w:t>
      </w:r>
      <w:r w:rsidR="0029244C" w:rsidRPr="00F63435">
        <w:rPr>
          <w:color w:val="000000"/>
          <w:sz w:val="22"/>
          <w:szCs w:val="22"/>
          <w:lang w:val="sr-Latn-ME" w:eastAsia="sr-Latn-ME"/>
        </w:rPr>
        <w:t>niske doze acetilsalicil</w:t>
      </w:r>
      <w:r w:rsidRPr="00F63435">
        <w:rPr>
          <w:color w:val="000000"/>
          <w:sz w:val="22"/>
          <w:szCs w:val="22"/>
          <w:lang w:val="sr-Latn-ME" w:eastAsia="sr-Latn-ME"/>
        </w:rPr>
        <w:t>ne kiseline na agregaciju trombocita, a</w:t>
      </w:r>
      <w:r w:rsidR="0029244C" w:rsidRPr="00F63435">
        <w:rPr>
          <w:color w:val="000000"/>
          <w:sz w:val="22"/>
          <w:szCs w:val="22"/>
          <w:lang w:val="sr-Latn-ME" w:eastAsia="sr-Latn-ME"/>
        </w:rPr>
        <w:t>ko se oba lijeka uzimaju istovreme</w:t>
      </w:r>
      <w:r w:rsidRPr="00F63435">
        <w:rPr>
          <w:color w:val="000000"/>
          <w:sz w:val="22"/>
          <w:szCs w:val="22"/>
          <w:lang w:val="sr-Latn-ME" w:eastAsia="sr-Latn-ME"/>
        </w:rPr>
        <w:t>no. Iako postoje n</w:t>
      </w:r>
      <w:r w:rsidR="0029244C" w:rsidRPr="00F63435">
        <w:rPr>
          <w:color w:val="000000"/>
          <w:sz w:val="22"/>
          <w:szCs w:val="22"/>
          <w:lang w:val="sr-Latn-ME" w:eastAsia="sr-Latn-ME"/>
        </w:rPr>
        <w:t>esigurnosti kod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ekstrapolacije ovih podataka na klini</w:t>
      </w:r>
      <w:r w:rsidR="0029244C" w:rsidRPr="00F63435">
        <w:rPr>
          <w:color w:val="000000"/>
          <w:sz w:val="22"/>
          <w:szCs w:val="22"/>
          <w:lang w:val="sr-Latn-ME" w:eastAsia="sr-Latn-ME"/>
        </w:rPr>
        <w:t>čku praksu, mogućnost da redovn</w:t>
      </w:r>
      <w:r w:rsidRPr="00F63435">
        <w:rPr>
          <w:color w:val="000000"/>
          <w:sz w:val="22"/>
          <w:szCs w:val="22"/>
          <w:lang w:val="sr-Latn-ME" w:eastAsia="sr-Latn-ME"/>
        </w:rPr>
        <w:t xml:space="preserve">a, dugotrajna primjena ibuprofena može smanjiti kardioprotektivni </w:t>
      </w:r>
      <w:r w:rsidR="00345BF2" w:rsidRPr="00F63435">
        <w:rPr>
          <w:color w:val="000000"/>
          <w:sz w:val="22"/>
          <w:szCs w:val="22"/>
          <w:lang w:val="sr-Latn-ME" w:eastAsia="sr-Latn-ME"/>
        </w:rPr>
        <w:t xml:space="preserve">efekat </w:t>
      </w:r>
      <w:r w:rsidR="0029244C" w:rsidRPr="00F63435">
        <w:rPr>
          <w:color w:val="000000"/>
          <w:sz w:val="22"/>
          <w:szCs w:val="22"/>
          <w:lang w:val="sr-Latn-ME" w:eastAsia="sr-Latn-ME"/>
        </w:rPr>
        <w:t>niske doze acetilsalicil</w:t>
      </w:r>
      <w:r w:rsidRPr="00F63435">
        <w:rPr>
          <w:color w:val="000000"/>
          <w:sz w:val="22"/>
          <w:szCs w:val="22"/>
          <w:lang w:val="sr-Latn-ME" w:eastAsia="sr-Latn-ME"/>
        </w:rPr>
        <w:t>ne kiseline ne može se isključiti. Smatra se da pri povremenom uzimanju ibuprofena klin</w:t>
      </w:r>
      <w:r w:rsidR="0029244C" w:rsidRPr="00F63435">
        <w:rPr>
          <w:color w:val="000000"/>
          <w:sz w:val="22"/>
          <w:szCs w:val="22"/>
          <w:lang w:val="sr-Latn-ME" w:eastAsia="sr-Latn-ME"/>
        </w:rPr>
        <w:t>ički značajan učinak nije vjerov</w:t>
      </w:r>
      <w:r w:rsidRPr="00F63435">
        <w:rPr>
          <w:color w:val="000000"/>
          <w:sz w:val="22"/>
          <w:szCs w:val="22"/>
          <w:lang w:val="sr-Latn-ME" w:eastAsia="sr-Latn-ME"/>
        </w:rPr>
        <w:t xml:space="preserve">atan (vidjeti dio 5.1). </w:t>
      </w:r>
    </w:p>
    <w:p w14:paraId="661D68E4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114DE95E" w14:textId="77777777" w:rsidR="00221581" w:rsidRPr="00F63435" w:rsidRDefault="004E4AD6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  <w:lang w:val="sr-Latn-ME" w:eastAsia="sr-Latn-ME"/>
        </w:rPr>
      </w:pPr>
      <w:r w:rsidRPr="00F63435">
        <w:rPr>
          <w:bCs/>
          <w:i/>
          <w:iCs/>
          <w:color w:val="000000"/>
          <w:sz w:val="22"/>
          <w:szCs w:val="22"/>
          <w:u w:val="single"/>
          <w:lang w:val="sr-Latn-ME" w:eastAsia="sr-Latn-ME"/>
        </w:rPr>
        <w:t>Ostali NSAIL</w:t>
      </w:r>
      <w:r w:rsidR="00BD21EC" w:rsidRPr="00F63435">
        <w:rPr>
          <w:bCs/>
          <w:i/>
          <w:iCs/>
          <w:color w:val="000000"/>
          <w:sz w:val="22"/>
          <w:szCs w:val="22"/>
          <w:u w:val="single"/>
          <w:lang w:val="sr-Latn-ME" w:eastAsia="sr-Latn-ME"/>
        </w:rPr>
        <w:t>,</w:t>
      </w:r>
      <w:r w:rsidRPr="00F63435">
        <w:rPr>
          <w:bCs/>
          <w:i/>
          <w:iCs/>
          <w:color w:val="000000"/>
          <w:sz w:val="22"/>
          <w:szCs w:val="22"/>
          <w:u w:val="single"/>
          <w:lang w:val="sr-Latn-ME" w:eastAsia="sr-Latn-ME"/>
        </w:rPr>
        <w:t xml:space="preserve"> </w:t>
      </w:r>
      <w:r w:rsidR="00221581" w:rsidRPr="00F63435">
        <w:rPr>
          <w:bCs/>
          <w:i/>
          <w:iCs/>
          <w:color w:val="000000"/>
          <w:sz w:val="22"/>
          <w:szCs w:val="22"/>
          <w:u w:val="single"/>
          <w:lang w:val="sr-Latn-ME" w:eastAsia="sr-Latn-ME"/>
        </w:rPr>
        <w:t xml:space="preserve">uključujući selektivne inhibitore ciklooksigenaze-2: </w:t>
      </w:r>
    </w:p>
    <w:p w14:paraId="74FE7C42" w14:textId="77777777" w:rsidR="00221581" w:rsidRPr="00F63435" w:rsidRDefault="0029244C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22"/>
          <w:szCs w:val="22"/>
          <w:lang w:val="sr-Latn-ME" w:eastAsia="sr-Latn-ME"/>
        </w:rPr>
        <w:t>Potrebno je izbjegavati istovremenu upotrebu dva</w:t>
      </w:r>
      <w:r w:rsidR="008855F9" w:rsidRPr="00F63435">
        <w:rPr>
          <w:color w:val="000000"/>
          <w:sz w:val="22"/>
          <w:szCs w:val="22"/>
          <w:lang w:val="sr-Latn-ME" w:eastAsia="sr-Latn-ME"/>
        </w:rPr>
        <w:t xml:space="preserve"> ili više NSAIL</w:t>
      </w:r>
      <w:r w:rsidR="00BD21EC" w:rsidRPr="00F63435">
        <w:rPr>
          <w:color w:val="000000"/>
          <w:sz w:val="22"/>
          <w:szCs w:val="22"/>
          <w:lang w:val="sr-Latn-ME" w:eastAsia="sr-Latn-ME"/>
        </w:rPr>
        <w:t>,</w:t>
      </w:r>
      <w:r w:rsidR="008855F9" w:rsidRPr="00F63435">
        <w:rPr>
          <w:color w:val="000000"/>
          <w:sz w:val="22"/>
          <w:szCs w:val="22"/>
          <w:lang w:val="sr-Latn-ME" w:eastAsia="sr-Latn-ME"/>
        </w:rPr>
        <w:t xml:space="preserve"> </w:t>
      </w:r>
      <w:r w:rsidR="00221581" w:rsidRPr="00F63435">
        <w:rPr>
          <w:color w:val="000000"/>
          <w:sz w:val="22"/>
          <w:szCs w:val="22"/>
          <w:lang w:val="sr-Latn-ME" w:eastAsia="sr-Latn-ME"/>
        </w:rPr>
        <w:t xml:space="preserve">budući da to može dovesti do povećanog rizika </w:t>
      </w:r>
      <w:r w:rsidR="00BA1A90" w:rsidRPr="00F63435">
        <w:rPr>
          <w:color w:val="000000"/>
          <w:sz w:val="22"/>
          <w:szCs w:val="22"/>
          <w:lang w:val="sr-Latn-ME" w:eastAsia="sr-Latn-ME"/>
        </w:rPr>
        <w:t xml:space="preserve">od </w:t>
      </w:r>
      <w:r w:rsidR="00221581" w:rsidRPr="00F63435">
        <w:rPr>
          <w:color w:val="000000"/>
          <w:sz w:val="22"/>
          <w:szCs w:val="22"/>
          <w:lang w:val="sr-Latn-ME" w:eastAsia="sr-Latn-ME"/>
        </w:rPr>
        <w:t xml:space="preserve">nastanka </w:t>
      </w:r>
      <w:r w:rsidR="00BD21EC" w:rsidRPr="00F63435">
        <w:rPr>
          <w:color w:val="000000"/>
          <w:sz w:val="22"/>
          <w:szCs w:val="22"/>
          <w:lang w:val="sr-Latn-ME" w:eastAsia="sr-Latn-ME"/>
        </w:rPr>
        <w:t xml:space="preserve">neželjenih dejstava </w:t>
      </w:r>
      <w:r w:rsidR="00221581" w:rsidRPr="00F63435">
        <w:rPr>
          <w:color w:val="000000"/>
          <w:sz w:val="22"/>
          <w:szCs w:val="22"/>
          <w:lang w:val="sr-Latn-ME" w:eastAsia="sr-Latn-ME"/>
        </w:rPr>
        <w:t xml:space="preserve">(vidjeti dio 4.4). </w:t>
      </w:r>
    </w:p>
    <w:p w14:paraId="61F1EA42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18B4D09A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sr-Latn-ME" w:eastAsia="sr-Latn-ME"/>
        </w:rPr>
      </w:pPr>
      <w:r w:rsidRPr="00F63435">
        <w:rPr>
          <w:b/>
          <w:bCs/>
          <w:color w:val="000000"/>
          <w:sz w:val="22"/>
          <w:szCs w:val="22"/>
          <w:u w:val="single"/>
          <w:lang w:val="sr-Latn-ME" w:eastAsia="sr-Latn-ME"/>
        </w:rPr>
        <w:t xml:space="preserve">Ibuprofen (kao i ostale NSAIL) treba primjenjivati s oprezom u kombinaciji sa: </w:t>
      </w:r>
    </w:p>
    <w:p w14:paraId="6BB369A0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5CE81C7B" w14:textId="77777777" w:rsidR="00221581" w:rsidRPr="00F63435" w:rsidRDefault="00221581" w:rsidP="00D953F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>Antihipertenzivima (ACE inhibitori, blokatori beta receptora, antagonisti angiotenzina II) i diureticima</w:t>
      </w:r>
      <w:r w:rsidRPr="00F63435">
        <w:rPr>
          <w:b/>
          <w:bCs/>
          <w:color w:val="000000"/>
          <w:sz w:val="22"/>
          <w:szCs w:val="22"/>
          <w:lang w:val="sr-Latn-ME" w:eastAsia="sr-Latn-ME"/>
        </w:rPr>
        <w:t xml:space="preserve">: </w:t>
      </w:r>
      <w:r w:rsidRPr="00F63435">
        <w:rPr>
          <w:color w:val="000000"/>
          <w:sz w:val="22"/>
          <w:szCs w:val="22"/>
          <w:lang w:val="sr-Latn-ME" w:eastAsia="sr-Latn-ME"/>
        </w:rPr>
        <w:t xml:space="preserve">NSAIL mogu </w:t>
      </w:r>
      <w:r w:rsidR="00992BDF" w:rsidRPr="00F63435">
        <w:rPr>
          <w:color w:val="000000"/>
          <w:sz w:val="22"/>
          <w:szCs w:val="22"/>
          <w:lang w:val="sr-Latn-ME" w:eastAsia="sr-Latn-ME"/>
        </w:rPr>
        <w:t xml:space="preserve">umanjiti </w:t>
      </w:r>
      <w:r w:rsidR="00BA1A90" w:rsidRPr="00F63435">
        <w:rPr>
          <w:color w:val="000000"/>
          <w:sz w:val="22"/>
          <w:szCs w:val="22"/>
          <w:lang w:val="sr-Latn-ME" w:eastAsia="sr-Latn-ME"/>
        </w:rPr>
        <w:t>dejstvo</w:t>
      </w:r>
      <w:r w:rsidR="008855F9" w:rsidRPr="00F63435">
        <w:rPr>
          <w:color w:val="000000"/>
          <w:sz w:val="22"/>
          <w:szCs w:val="22"/>
          <w:lang w:val="sr-Latn-ME" w:eastAsia="sr-Latn-ME"/>
        </w:rPr>
        <w:t xml:space="preserve"> ovih l</w:t>
      </w:r>
      <w:r w:rsidR="00992BDF" w:rsidRPr="00F63435">
        <w:rPr>
          <w:color w:val="000000"/>
          <w:sz w:val="22"/>
          <w:szCs w:val="22"/>
          <w:lang w:val="sr-Latn-ME" w:eastAsia="sr-Latn-ME"/>
        </w:rPr>
        <w:t>jekova. Kod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nekih </w:t>
      </w:r>
      <w:r w:rsidR="00BA1A90" w:rsidRPr="00F63435">
        <w:rPr>
          <w:color w:val="000000"/>
          <w:sz w:val="22"/>
          <w:szCs w:val="22"/>
          <w:lang w:val="sr-Latn-ME" w:eastAsia="sr-Latn-ME"/>
        </w:rPr>
        <w:t>pacijenata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s</w:t>
      </w:r>
      <w:r w:rsidR="004E4067" w:rsidRPr="00F63435">
        <w:rPr>
          <w:color w:val="000000"/>
          <w:sz w:val="22"/>
          <w:szCs w:val="22"/>
          <w:lang w:val="sr-Latn-ME" w:eastAsia="sr-Latn-ME"/>
        </w:rPr>
        <w:t>a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oštećenjem funkcije bubrega (npr. </w:t>
      </w:r>
      <w:r w:rsidR="00FF73CE" w:rsidRPr="00F63435">
        <w:rPr>
          <w:color w:val="000000"/>
          <w:sz w:val="22"/>
          <w:szCs w:val="22"/>
          <w:lang w:val="sr-Latn-ME" w:eastAsia="sr-Latn-ME"/>
        </w:rPr>
        <w:t xml:space="preserve">kod </w:t>
      </w:r>
      <w:r w:rsidRPr="00F63435">
        <w:rPr>
          <w:color w:val="000000"/>
          <w:sz w:val="22"/>
          <w:szCs w:val="22"/>
          <w:lang w:val="sr-Latn-ME" w:eastAsia="sr-Latn-ME"/>
        </w:rPr>
        <w:t>dehid</w:t>
      </w:r>
      <w:r w:rsidR="00BA1A90" w:rsidRPr="00F63435">
        <w:rPr>
          <w:color w:val="000000"/>
          <w:sz w:val="22"/>
          <w:szCs w:val="22"/>
          <w:lang w:val="sr-Latn-ME" w:eastAsia="sr-Latn-ME"/>
        </w:rPr>
        <w:t xml:space="preserve">riranih </w:t>
      </w:r>
      <w:r w:rsidR="00FF73CE" w:rsidRPr="00F63435">
        <w:rPr>
          <w:color w:val="000000"/>
          <w:sz w:val="22"/>
          <w:szCs w:val="22"/>
          <w:lang w:val="sr-Latn-ME" w:eastAsia="sr-Latn-ME"/>
        </w:rPr>
        <w:t xml:space="preserve">pacijenata </w:t>
      </w:r>
      <w:r w:rsidR="00BA1A90" w:rsidRPr="00F63435">
        <w:rPr>
          <w:color w:val="000000"/>
          <w:sz w:val="22"/>
          <w:szCs w:val="22"/>
          <w:lang w:val="sr-Latn-ME" w:eastAsia="sr-Latn-ME"/>
        </w:rPr>
        <w:t>ili starijih pacijenat</w:t>
      </w:r>
      <w:r w:rsidRPr="00F63435">
        <w:rPr>
          <w:color w:val="000000"/>
          <w:sz w:val="22"/>
          <w:szCs w:val="22"/>
          <w:lang w:val="sr-Latn-ME" w:eastAsia="sr-Latn-ME"/>
        </w:rPr>
        <w:t>a s</w:t>
      </w:r>
      <w:r w:rsidR="00BA1A90" w:rsidRPr="00F63435">
        <w:rPr>
          <w:color w:val="000000"/>
          <w:sz w:val="22"/>
          <w:szCs w:val="22"/>
          <w:lang w:val="sr-Latn-ME" w:eastAsia="sr-Latn-ME"/>
        </w:rPr>
        <w:t>a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oštećenjem funkcije bubrega) primjena ACE inhibitora, beta-blokatora ili antagonista angiotenzina II zajedno s</w:t>
      </w:r>
      <w:r w:rsidR="00BA1A90" w:rsidRPr="00F63435">
        <w:rPr>
          <w:color w:val="000000"/>
          <w:sz w:val="22"/>
          <w:szCs w:val="22"/>
          <w:lang w:val="sr-Latn-ME" w:eastAsia="sr-Latn-ME"/>
        </w:rPr>
        <w:t>a</w:t>
      </w:r>
      <w:r w:rsidR="008855F9" w:rsidRPr="00F63435">
        <w:rPr>
          <w:color w:val="000000"/>
          <w:sz w:val="22"/>
          <w:szCs w:val="22"/>
          <w:lang w:val="sr-Latn-ME" w:eastAsia="sr-Latn-ME"/>
        </w:rPr>
        <w:t xml:space="preserve"> l</w:t>
      </w:r>
      <w:r w:rsidRPr="00F63435">
        <w:rPr>
          <w:color w:val="000000"/>
          <w:sz w:val="22"/>
          <w:szCs w:val="22"/>
          <w:lang w:val="sr-Latn-ME" w:eastAsia="sr-Latn-ME"/>
        </w:rPr>
        <w:t xml:space="preserve">jekovima koji inhibiraju ciklooksigenazu može dovesti do daljnjeg pogoršanja bubrežne funkcije, uključujući </w:t>
      </w:r>
      <w:r w:rsidR="00FF73CE" w:rsidRPr="00F63435">
        <w:rPr>
          <w:color w:val="000000"/>
          <w:sz w:val="22"/>
          <w:szCs w:val="22"/>
          <w:lang w:val="sr-Latn-ME" w:eastAsia="sr-Latn-ME"/>
        </w:rPr>
        <w:t xml:space="preserve">moguću akutnu insuficijenciju </w:t>
      </w:r>
      <w:r w:rsidRPr="00F63435">
        <w:rPr>
          <w:color w:val="000000"/>
          <w:sz w:val="22"/>
          <w:szCs w:val="22"/>
          <w:lang w:val="sr-Latn-ME" w:eastAsia="sr-Latn-ME"/>
        </w:rPr>
        <w:t xml:space="preserve">bubrega </w:t>
      </w:r>
      <w:r w:rsidR="00FF73CE" w:rsidRPr="00F63435">
        <w:rPr>
          <w:color w:val="000000"/>
          <w:sz w:val="22"/>
          <w:szCs w:val="22"/>
          <w:lang w:val="sr-Latn-ME" w:eastAsia="sr-Latn-ME"/>
        </w:rPr>
        <w:t xml:space="preserve">koja </w:t>
      </w:r>
      <w:r w:rsidRPr="00F63435">
        <w:rPr>
          <w:color w:val="000000"/>
          <w:sz w:val="22"/>
          <w:szCs w:val="22"/>
          <w:lang w:val="sr-Latn-ME" w:eastAsia="sr-Latn-ME"/>
        </w:rPr>
        <w:t xml:space="preserve">je obično </w:t>
      </w:r>
      <w:r w:rsidR="00FF73CE" w:rsidRPr="00F63435">
        <w:rPr>
          <w:color w:val="000000"/>
          <w:sz w:val="22"/>
          <w:szCs w:val="22"/>
          <w:lang w:val="sr-Latn-ME" w:eastAsia="sr-Latn-ME"/>
        </w:rPr>
        <w:t>reverzibilna</w:t>
      </w:r>
      <w:r w:rsidRPr="00F63435">
        <w:rPr>
          <w:color w:val="000000"/>
          <w:sz w:val="22"/>
          <w:szCs w:val="22"/>
          <w:lang w:val="sr-Latn-ME" w:eastAsia="sr-Latn-ME"/>
        </w:rPr>
        <w:t>. Stoga ovu kombinaciju t</w:t>
      </w:r>
      <w:r w:rsidR="00B02742" w:rsidRPr="00F63435">
        <w:rPr>
          <w:color w:val="000000"/>
          <w:sz w:val="22"/>
          <w:szCs w:val="22"/>
          <w:lang w:val="sr-Latn-ME" w:eastAsia="sr-Latn-ME"/>
        </w:rPr>
        <w:t>reba davati s oprezom, posebno kod starijih osoba. Pacijent</w:t>
      </w:r>
      <w:r w:rsidRPr="00F63435">
        <w:rPr>
          <w:color w:val="000000"/>
          <w:sz w:val="22"/>
          <w:szCs w:val="22"/>
          <w:lang w:val="sr-Latn-ME" w:eastAsia="sr-Latn-ME"/>
        </w:rPr>
        <w:t>a treba adekvatno hidrirati i obratiti p</w:t>
      </w:r>
      <w:r w:rsidR="00B02742" w:rsidRPr="00F63435">
        <w:rPr>
          <w:color w:val="000000"/>
          <w:sz w:val="22"/>
          <w:szCs w:val="22"/>
          <w:lang w:val="sr-Latn-ME" w:eastAsia="sr-Latn-ME"/>
        </w:rPr>
        <w:t>ažnju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na praćenje bubr</w:t>
      </w:r>
      <w:r w:rsidR="00B02742" w:rsidRPr="00F63435">
        <w:rPr>
          <w:color w:val="000000"/>
          <w:sz w:val="22"/>
          <w:szCs w:val="22"/>
          <w:lang w:val="sr-Latn-ME" w:eastAsia="sr-Latn-ME"/>
        </w:rPr>
        <w:t>ežne funkcije na početku istovreme</w:t>
      </w:r>
      <w:r w:rsidR="00992BDF" w:rsidRPr="00F63435">
        <w:rPr>
          <w:color w:val="000000"/>
          <w:sz w:val="22"/>
          <w:szCs w:val="22"/>
          <w:lang w:val="sr-Latn-ME" w:eastAsia="sr-Latn-ME"/>
        </w:rPr>
        <w:t>ne terapije ovim ljekovima i periodično to</w:t>
      </w:r>
      <w:r w:rsidRPr="00F63435">
        <w:rPr>
          <w:color w:val="000000"/>
          <w:sz w:val="22"/>
          <w:szCs w:val="22"/>
          <w:lang w:val="sr-Latn-ME" w:eastAsia="sr-Latn-ME"/>
        </w:rPr>
        <w:t xml:space="preserve">kom terapije. Diuretici mogu povećati rizik od nefrotoksičnosti NSAIL. </w:t>
      </w:r>
    </w:p>
    <w:p w14:paraId="4F99702D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4C7151DA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16"/>
          <w:szCs w:val="16"/>
          <w:lang w:val="sr-Latn-ME" w:eastAsia="sr-Latn-ME"/>
        </w:rPr>
        <w:t xml:space="preserve"> </w:t>
      </w:r>
      <w:r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 xml:space="preserve">Kortikosteroidima: </w:t>
      </w:r>
      <w:r w:rsidRPr="00F63435">
        <w:rPr>
          <w:color w:val="000000"/>
          <w:sz w:val="22"/>
          <w:szCs w:val="22"/>
          <w:lang w:val="sr-Latn-ME" w:eastAsia="sr-Latn-ME"/>
        </w:rPr>
        <w:t xml:space="preserve">Povećan rizik od nastanka ulceracija i krvarenja u </w:t>
      </w:r>
      <w:r w:rsidR="00FF73CE" w:rsidRPr="00F63435">
        <w:rPr>
          <w:color w:val="000000"/>
          <w:sz w:val="22"/>
          <w:szCs w:val="22"/>
          <w:lang w:val="sr-Latn-ME" w:eastAsia="sr-Latn-ME"/>
        </w:rPr>
        <w:t xml:space="preserve">digestivnom </w:t>
      </w:r>
      <w:r w:rsidR="00B02742" w:rsidRPr="00F63435">
        <w:rPr>
          <w:color w:val="000000"/>
          <w:sz w:val="22"/>
          <w:szCs w:val="22"/>
          <w:lang w:val="sr-Latn-ME" w:eastAsia="sr-Latn-ME"/>
        </w:rPr>
        <w:t>sistemu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(vidjeti dio 4.4). </w:t>
      </w:r>
    </w:p>
    <w:p w14:paraId="325DFA6D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5A5D0675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 xml:space="preserve">Oralnim antikoagulansima: </w:t>
      </w:r>
      <w:r w:rsidRPr="00F63435">
        <w:rPr>
          <w:color w:val="000000"/>
          <w:sz w:val="22"/>
          <w:szCs w:val="22"/>
          <w:lang w:val="sr-Latn-ME" w:eastAsia="sr-Latn-ME"/>
        </w:rPr>
        <w:t>NSAIL mogu</w:t>
      </w:r>
      <w:r w:rsidR="00B02742" w:rsidRPr="00F63435">
        <w:rPr>
          <w:color w:val="000000"/>
          <w:sz w:val="22"/>
          <w:szCs w:val="22"/>
          <w:lang w:val="sr-Latn-ME" w:eastAsia="sr-Latn-ME"/>
        </w:rPr>
        <w:t xml:space="preserve"> pojačati antikoagulantni efekat</w:t>
      </w:r>
      <w:r w:rsidR="00992BDF" w:rsidRPr="00F63435">
        <w:rPr>
          <w:color w:val="000000"/>
          <w:sz w:val="22"/>
          <w:szCs w:val="22"/>
          <w:lang w:val="sr-Latn-ME" w:eastAsia="sr-Latn-ME"/>
        </w:rPr>
        <w:t xml:space="preserve"> ovih l</w:t>
      </w:r>
      <w:r w:rsidRPr="00F63435">
        <w:rPr>
          <w:color w:val="000000"/>
          <w:sz w:val="22"/>
          <w:szCs w:val="22"/>
          <w:lang w:val="sr-Latn-ME" w:eastAsia="sr-Latn-ME"/>
        </w:rPr>
        <w:t xml:space="preserve">jekova, uključujući varfarin (vidjeti dio 4.4). </w:t>
      </w:r>
    </w:p>
    <w:p w14:paraId="3DCD8EB2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11E8147D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>Antitromboticima i selektivnim inhibitorima ponovn</w:t>
      </w:r>
      <w:r w:rsidR="00B02742"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 xml:space="preserve">og preuzimanja </w:t>
      </w:r>
      <w:r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 xml:space="preserve">serotonina: </w:t>
      </w:r>
      <w:r w:rsidRPr="00F63435">
        <w:rPr>
          <w:color w:val="000000"/>
          <w:sz w:val="22"/>
          <w:szCs w:val="22"/>
          <w:lang w:val="sr-Latn-ME" w:eastAsia="sr-Latn-ME"/>
        </w:rPr>
        <w:t>Povećan riz</w:t>
      </w:r>
      <w:r w:rsidR="00B02742" w:rsidRPr="00F63435">
        <w:rPr>
          <w:color w:val="000000"/>
          <w:sz w:val="22"/>
          <w:szCs w:val="22"/>
          <w:lang w:val="sr-Latn-ME" w:eastAsia="sr-Latn-ME"/>
        </w:rPr>
        <w:t xml:space="preserve">ik krvarenja iz </w:t>
      </w:r>
      <w:r w:rsidR="00FF73CE" w:rsidRPr="00F63435">
        <w:rPr>
          <w:color w:val="000000"/>
          <w:sz w:val="22"/>
          <w:szCs w:val="22"/>
          <w:lang w:val="sr-Latn-ME" w:eastAsia="sr-Latn-ME"/>
        </w:rPr>
        <w:t xml:space="preserve">digestivnog </w:t>
      </w:r>
      <w:r w:rsidR="00B02742" w:rsidRPr="00F63435">
        <w:rPr>
          <w:color w:val="000000"/>
          <w:sz w:val="22"/>
          <w:szCs w:val="22"/>
          <w:lang w:val="sr-Latn-ME" w:eastAsia="sr-Latn-ME"/>
        </w:rPr>
        <w:t>sistem</w:t>
      </w:r>
      <w:r w:rsidRPr="00F63435">
        <w:rPr>
          <w:color w:val="000000"/>
          <w:sz w:val="22"/>
          <w:szCs w:val="22"/>
          <w:lang w:val="sr-Latn-ME" w:eastAsia="sr-Latn-ME"/>
        </w:rPr>
        <w:t xml:space="preserve">a (vidjeti dio 4.4). </w:t>
      </w:r>
    </w:p>
    <w:p w14:paraId="0F66C060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73EEE8DB" w14:textId="77777777" w:rsidR="00221581" w:rsidRPr="00F63435" w:rsidRDefault="00221581" w:rsidP="00D953F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>Srčanim glikozidima</w:t>
      </w:r>
      <w:r w:rsidRPr="00F63435">
        <w:rPr>
          <w:i/>
          <w:iCs/>
          <w:color w:val="000000"/>
          <w:sz w:val="22"/>
          <w:szCs w:val="22"/>
          <w:lang w:val="sr-Latn-ME" w:eastAsia="sr-Latn-ME"/>
        </w:rPr>
        <w:t xml:space="preserve">: </w:t>
      </w:r>
      <w:r w:rsidR="00992BDF" w:rsidRPr="00F63435">
        <w:rPr>
          <w:color w:val="000000"/>
          <w:sz w:val="22"/>
          <w:szCs w:val="22"/>
          <w:lang w:val="sr-Latn-ME" w:eastAsia="sr-Latn-ME"/>
        </w:rPr>
        <w:t xml:space="preserve">NSAIL </w:t>
      </w:r>
      <w:r w:rsidRPr="00F63435">
        <w:rPr>
          <w:color w:val="000000"/>
          <w:sz w:val="22"/>
          <w:szCs w:val="22"/>
          <w:lang w:val="sr-Latn-ME" w:eastAsia="sr-Latn-ME"/>
        </w:rPr>
        <w:t xml:space="preserve">mogu pogoršati </w:t>
      </w:r>
      <w:r w:rsidR="00FA650C" w:rsidRPr="00F63435">
        <w:rPr>
          <w:color w:val="000000"/>
          <w:sz w:val="22"/>
          <w:szCs w:val="22"/>
          <w:lang w:val="sr-Latn-ME" w:eastAsia="sr-Latn-ME"/>
        </w:rPr>
        <w:t xml:space="preserve">insuficijenciju </w:t>
      </w:r>
      <w:r w:rsidRPr="00F63435">
        <w:rPr>
          <w:color w:val="000000"/>
          <w:sz w:val="22"/>
          <w:szCs w:val="22"/>
          <w:lang w:val="sr-Latn-ME" w:eastAsia="sr-Latn-ME"/>
        </w:rPr>
        <w:t xml:space="preserve">srca, smanjiti stopu glomerularne filtracije (GFR) i povećati </w:t>
      </w:r>
      <w:r w:rsidR="00B02742" w:rsidRPr="00F63435">
        <w:rPr>
          <w:color w:val="000000"/>
          <w:sz w:val="22"/>
          <w:szCs w:val="22"/>
          <w:lang w:val="sr-Latn-ME" w:eastAsia="sr-Latn-ME"/>
        </w:rPr>
        <w:t>nivo glikozida u plazmi. Istovreme</w:t>
      </w:r>
      <w:r w:rsidRPr="00F63435">
        <w:rPr>
          <w:color w:val="000000"/>
          <w:sz w:val="22"/>
          <w:szCs w:val="22"/>
          <w:lang w:val="sr-Latn-ME" w:eastAsia="sr-Latn-ME"/>
        </w:rPr>
        <w:t xml:space="preserve">na primjena </w:t>
      </w:r>
      <w:r w:rsidR="00FA650C" w:rsidRPr="00F63435">
        <w:rPr>
          <w:color w:val="000000"/>
          <w:sz w:val="22"/>
          <w:szCs w:val="22"/>
          <w:lang w:val="sr-Latn-ME" w:eastAsia="sr-Latn-ME"/>
        </w:rPr>
        <w:t xml:space="preserve">lijeka </w:t>
      </w:r>
      <w:r w:rsidRPr="00F63435">
        <w:rPr>
          <w:color w:val="000000"/>
          <w:sz w:val="22"/>
          <w:szCs w:val="22"/>
          <w:lang w:val="sr-Latn-ME" w:eastAsia="sr-Latn-ME"/>
        </w:rPr>
        <w:t xml:space="preserve">Nurofen za djecu </w:t>
      </w:r>
      <w:r w:rsidR="00FA650C" w:rsidRPr="00F63435">
        <w:rPr>
          <w:color w:val="000000"/>
          <w:sz w:val="22"/>
          <w:szCs w:val="22"/>
          <w:lang w:val="sr-Latn-ME" w:eastAsia="sr-Latn-ME"/>
        </w:rPr>
        <w:t xml:space="preserve">oralna suspenzija </w:t>
      </w:r>
      <w:r w:rsidRPr="00F63435">
        <w:rPr>
          <w:color w:val="000000"/>
          <w:sz w:val="22"/>
          <w:szCs w:val="22"/>
          <w:lang w:val="sr-Latn-ME" w:eastAsia="sr-Latn-ME"/>
        </w:rPr>
        <w:t>s</w:t>
      </w:r>
      <w:r w:rsidR="00B02742" w:rsidRPr="00F63435">
        <w:rPr>
          <w:color w:val="000000"/>
          <w:sz w:val="22"/>
          <w:szCs w:val="22"/>
          <w:lang w:val="sr-Latn-ME" w:eastAsia="sr-Latn-ME"/>
        </w:rPr>
        <w:t>a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</w:t>
      </w:r>
      <w:r w:rsidR="00B02742" w:rsidRPr="00F63435">
        <w:rPr>
          <w:color w:val="000000"/>
          <w:sz w:val="22"/>
          <w:szCs w:val="22"/>
          <w:lang w:val="sr-Latn-ME" w:eastAsia="sr-Latn-ME"/>
        </w:rPr>
        <w:t>srčanim glikozidima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</w:t>
      </w:r>
      <w:r w:rsidR="00FA650C" w:rsidRPr="00F63435">
        <w:rPr>
          <w:color w:val="000000"/>
          <w:sz w:val="22"/>
          <w:szCs w:val="22"/>
          <w:lang w:val="sr-Latn-ME" w:eastAsia="sr-Latn-ME"/>
        </w:rPr>
        <w:t xml:space="preserve">(preparatima digoksina) </w:t>
      </w:r>
      <w:r w:rsidRPr="00F63435">
        <w:rPr>
          <w:color w:val="000000"/>
          <w:sz w:val="22"/>
          <w:szCs w:val="22"/>
          <w:lang w:val="sr-Latn-ME" w:eastAsia="sr-Latn-ME"/>
        </w:rPr>
        <w:t xml:space="preserve">može povećati </w:t>
      </w:r>
      <w:r w:rsidR="00B02742" w:rsidRPr="00F63435">
        <w:rPr>
          <w:color w:val="000000"/>
          <w:sz w:val="22"/>
          <w:szCs w:val="22"/>
          <w:lang w:val="sr-Latn-ME" w:eastAsia="sr-Latn-ME"/>
        </w:rPr>
        <w:t>nivo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digoksina u serumu. Provjera serumsk</w:t>
      </w:r>
      <w:r w:rsidR="00B02742" w:rsidRPr="00F63435">
        <w:rPr>
          <w:color w:val="000000"/>
          <w:sz w:val="22"/>
          <w:szCs w:val="22"/>
          <w:lang w:val="sr-Latn-ME" w:eastAsia="sr-Latn-ME"/>
        </w:rPr>
        <w:t xml:space="preserve">og nivoa </w:t>
      </w:r>
      <w:r w:rsidRPr="00F63435">
        <w:rPr>
          <w:color w:val="000000"/>
          <w:sz w:val="22"/>
          <w:szCs w:val="22"/>
          <w:lang w:val="sr-Latn-ME" w:eastAsia="sr-Latn-ME"/>
        </w:rPr>
        <w:t>digoksina nije ob</w:t>
      </w:r>
      <w:r w:rsidR="00992BDF" w:rsidRPr="00F63435">
        <w:rPr>
          <w:color w:val="000000"/>
          <w:sz w:val="22"/>
          <w:szCs w:val="22"/>
          <w:lang w:val="sr-Latn-ME" w:eastAsia="sr-Latn-ME"/>
        </w:rPr>
        <w:t>a</w:t>
      </w:r>
      <w:r w:rsidRPr="00F63435">
        <w:rPr>
          <w:color w:val="000000"/>
          <w:sz w:val="22"/>
          <w:szCs w:val="22"/>
          <w:lang w:val="sr-Latn-ME" w:eastAsia="sr-Latn-ME"/>
        </w:rPr>
        <w:t>vezna ukoliko se lijek isp</w:t>
      </w:r>
      <w:r w:rsidR="00026ED3" w:rsidRPr="00F63435">
        <w:rPr>
          <w:color w:val="000000"/>
          <w:sz w:val="22"/>
          <w:szCs w:val="22"/>
          <w:lang w:val="sr-Latn-ME" w:eastAsia="sr-Latn-ME"/>
        </w:rPr>
        <w:t>ravno prim</w:t>
      </w:r>
      <w:r w:rsidR="00B02742" w:rsidRPr="00F63435">
        <w:rPr>
          <w:color w:val="000000"/>
          <w:sz w:val="22"/>
          <w:szCs w:val="22"/>
          <w:lang w:val="sr-Latn-ME" w:eastAsia="sr-Latn-ME"/>
        </w:rPr>
        <w:t>jenjuje (najduže to</w:t>
      </w:r>
      <w:r w:rsidRPr="00F63435">
        <w:rPr>
          <w:color w:val="000000"/>
          <w:sz w:val="22"/>
          <w:szCs w:val="22"/>
          <w:lang w:val="sr-Latn-ME" w:eastAsia="sr-Latn-ME"/>
        </w:rPr>
        <w:t xml:space="preserve">kom 3 dana). </w:t>
      </w:r>
    </w:p>
    <w:p w14:paraId="2F680C6D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45B1769B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color w:val="000000"/>
          <w:sz w:val="16"/>
          <w:szCs w:val="16"/>
          <w:lang w:val="sr-Latn-ME" w:eastAsia="sr-Latn-ME"/>
        </w:rPr>
        <w:t xml:space="preserve"> </w:t>
      </w:r>
      <w:r w:rsidR="00B02742"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>Litiju</w:t>
      </w:r>
      <w:r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>m</w:t>
      </w:r>
      <w:r w:rsidR="00FA650C"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>om</w:t>
      </w:r>
      <w:r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 xml:space="preserve">: </w:t>
      </w:r>
      <w:r w:rsidRPr="00F63435">
        <w:rPr>
          <w:color w:val="000000"/>
          <w:sz w:val="22"/>
          <w:szCs w:val="22"/>
          <w:lang w:val="sr-Latn-ME" w:eastAsia="sr-Latn-ME"/>
        </w:rPr>
        <w:t>Dokazano je moguć</w:t>
      </w:r>
      <w:r w:rsidR="00B02742" w:rsidRPr="00F63435">
        <w:rPr>
          <w:color w:val="000000"/>
          <w:sz w:val="22"/>
          <w:szCs w:val="22"/>
          <w:lang w:val="sr-Latn-ME" w:eastAsia="sr-Latn-ME"/>
        </w:rPr>
        <w:t>e povećanje koncentracije litijuma</w:t>
      </w:r>
      <w:r w:rsidRPr="00F63435">
        <w:rPr>
          <w:color w:val="000000"/>
          <w:sz w:val="22"/>
          <w:szCs w:val="22"/>
          <w:lang w:val="sr-Latn-ME" w:eastAsia="sr-Latn-ME"/>
        </w:rPr>
        <w:t xml:space="preserve"> u plazmi. </w:t>
      </w:r>
    </w:p>
    <w:p w14:paraId="441FFD50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1A45BA36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 xml:space="preserve">Metotreksatom: </w:t>
      </w:r>
      <w:r w:rsidRPr="00F63435">
        <w:rPr>
          <w:color w:val="000000"/>
          <w:sz w:val="22"/>
          <w:szCs w:val="22"/>
          <w:lang w:val="sr-Latn-ME" w:eastAsia="sr-Latn-ME"/>
        </w:rPr>
        <w:t xml:space="preserve">Postoji mogućnost povećanja koncentracije metotreksata u plazmi. </w:t>
      </w:r>
    </w:p>
    <w:p w14:paraId="00055C6C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</w:p>
    <w:p w14:paraId="68B7548D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color w:val="000000"/>
          <w:sz w:val="22"/>
          <w:szCs w:val="22"/>
          <w:lang w:val="sr-Latn-ME" w:eastAsia="sr-Latn-ME"/>
        </w:rPr>
        <w:t xml:space="preserve">Ciklosporinom: </w:t>
      </w:r>
      <w:r w:rsidRPr="00F63435">
        <w:rPr>
          <w:color w:val="000000"/>
          <w:sz w:val="22"/>
          <w:szCs w:val="22"/>
          <w:lang w:val="sr-Latn-ME" w:eastAsia="sr-Latn-ME"/>
        </w:rPr>
        <w:t xml:space="preserve">Povećava rizik nefrotoksičnosti. </w:t>
      </w:r>
    </w:p>
    <w:p w14:paraId="5C33A3B4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sr-Latn-ME" w:eastAsia="sr-Latn-ME"/>
        </w:rPr>
      </w:pPr>
    </w:p>
    <w:p w14:paraId="441C091B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Mifepristonom: </w:t>
      </w:r>
      <w:r w:rsidRPr="00F63435">
        <w:rPr>
          <w:sz w:val="22"/>
          <w:szCs w:val="22"/>
          <w:lang w:val="sr-Latn-ME" w:eastAsia="sr-Latn-ME"/>
        </w:rPr>
        <w:t>N</w:t>
      </w:r>
      <w:r w:rsidR="00992BDF" w:rsidRPr="00F63435">
        <w:rPr>
          <w:sz w:val="22"/>
          <w:szCs w:val="22"/>
          <w:lang w:val="sr-Latn-ME" w:eastAsia="sr-Latn-ME"/>
        </w:rPr>
        <w:t xml:space="preserve">SAIL </w:t>
      </w:r>
      <w:r w:rsidRPr="00F63435">
        <w:rPr>
          <w:sz w:val="22"/>
          <w:szCs w:val="22"/>
          <w:lang w:val="sr-Latn-ME" w:eastAsia="sr-Latn-ME"/>
        </w:rPr>
        <w:t>ne treba koristiti 8 do 12 dana nakon primjene mifepristona</w:t>
      </w:r>
      <w:r w:rsidR="00FA650C" w:rsidRPr="00F63435">
        <w:rPr>
          <w:sz w:val="22"/>
          <w:szCs w:val="22"/>
          <w:lang w:val="sr-Latn-ME" w:eastAsia="sr-Latn-ME"/>
        </w:rPr>
        <w:t>,</w:t>
      </w:r>
      <w:r w:rsidRPr="00F63435">
        <w:rPr>
          <w:sz w:val="22"/>
          <w:szCs w:val="22"/>
          <w:lang w:val="sr-Latn-ME" w:eastAsia="sr-Latn-ME"/>
        </w:rPr>
        <w:t xml:space="preserve"> jer mogu smanjiti njegov učinak. </w:t>
      </w:r>
    </w:p>
    <w:p w14:paraId="02962D0D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564AEFD6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Takrolimusom: </w:t>
      </w:r>
      <w:r w:rsidRPr="00F63435">
        <w:rPr>
          <w:sz w:val="22"/>
          <w:szCs w:val="22"/>
          <w:lang w:val="sr-Latn-ME" w:eastAsia="sr-Latn-ME"/>
        </w:rPr>
        <w:t>Kada se</w:t>
      </w:r>
      <w:r w:rsidR="00992BDF" w:rsidRPr="00F63435">
        <w:rPr>
          <w:sz w:val="22"/>
          <w:szCs w:val="22"/>
          <w:lang w:val="sr-Latn-ME" w:eastAsia="sr-Latn-ME"/>
        </w:rPr>
        <w:t xml:space="preserve"> NSAIL </w:t>
      </w:r>
      <w:r w:rsidR="00B02742" w:rsidRPr="00F63435">
        <w:rPr>
          <w:sz w:val="22"/>
          <w:szCs w:val="22"/>
          <w:lang w:val="sr-Latn-ME" w:eastAsia="sr-Latn-ME"/>
        </w:rPr>
        <w:t>uzimaju istovremen</w:t>
      </w:r>
      <w:r w:rsidRPr="00F63435">
        <w:rPr>
          <w:sz w:val="22"/>
          <w:szCs w:val="22"/>
          <w:lang w:val="sr-Latn-ME" w:eastAsia="sr-Latn-ME"/>
        </w:rPr>
        <w:t>o s</w:t>
      </w:r>
      <w:r w:rsidR="00B02742" w:rsidRPr="00F63435">
        <w:rPr>
          <w:sz w:val="22"/>
          <w:szCs w:val="22"/>
          <w:lang w:val="sr-Latn-ME" w:eastAsia="sr-Latn-ME"/>
        </w:rPr>
        <w:t>a</w:t>
      </w:r>
      <w:r w:rsidRPr="00F63435">
        <w:rPr>
          <w:sz w:val="22"/>
          <w:szCs w:val="22"/>
          <w:lang w:val="sr-Latn-ME" w:eastAsia="sr-Latn-ME"/>
        </w:rPr>
        <w:t xml:space="preserve"> takrolimusom</w:t>
      </w:r>
      <w:r w:rsidR="00FA650C" w:rsidRPr="00F63435">
        <w:rPr>
          <w:sz w:val="22"/>
          <w:szCs w:val="22"/>
          <w:lang w:val="sr-Latn-ME" w:eastAsia="sr-Latn-ME"/>
        </w:rPr>
        <w:t>,</w:t>
      </w:r>
      <w:r w:rsidRPr="00F63435">
        <w:rPr>
          <w:sz w:val="22"/>
          <w:szCs w:val="22"/>
          <w:lang w:val="sr-Latn-ME" w:eastAsia="sr-Latn-ME"/>
        </w:rPr>
        <w:t xml:space="preserve"> povećana je mogućnost pojave nefrotoksičnosti. </w:t>
      </w:r>
    </w:p>
    <w:p w14:paraId="13DFD3B7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0CC9DE56" w14:textId="77777777" w:rsidR="00221581" w:rsidRPr="00F63435" w:rsidRDefault="00221581" w:rsidP="00D953F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Zidovudinom: </w:t>
      </w:r>
      <w:r w:rsidRPr="00F63435">
        <w:rPr>
          <w:sz w:val="22"/>
          <w:szCs w:val="22"/>
          <w:lang w:val="sr-Latn-ME" w:eastAsia="sr-Latn-ME"/>
        </w:rPr>
        <w:t>Kada se zido</w:t>
      </w:r>
      <w:r w:rsidR="00992BDF" w:rsidRPr="00F63435">
        <w:rPr>
          <w:sz w:val="22"/>
          <w:szCs w:val="22"/>
          <w:lang w:val="sr-Latn-ME" w:eastAsia="sr-Latn-ME"/>
        </w:rPr>
        <w:t>vudin primjenjuje s</w:t>
      </w:r>
      <w:r w:rsidR="00BA1A90" w:rsidRPr="00F63435">
        <w:rPr>
          <w:sz w:val="22"/>
          <w:szCs w:val="22"/>
          <w:lang w:val="sr-Latn-ME" w:eastAsia="sr-Latn-ME"/>
        </w:rPr>
        <w:t>a</w:t>
      </w:r>
      <w:r w:rsidR="00992BDF" w:rsidRPr="00F63435">
        <w:rPr>
          <w:sz w:val="22"/>
          <w:szCs w:val="22"/>
          <w:lang w:val="sr-Latn-ME" w:eastAsia="sr-Latn-ME"/>
        </w:rPr>
        <w:t xml:space="preserve"> NSAIL</w:t>
      </w:r>
      <w:r w:rsidRPr="00F63435">
        <w:rPr>
          <w:sz w:val="22"/>
          <w:szCs w:val="22"/>
          <w:lang w:val="sr-Latn-ME" w:eastAsia="sr-Latn-ME"/>
        </w:rPr>
        <w:t xml:space="preserve">, postoji rizik </w:t>
      </w:r>
      <w:r w:rsidR="00B02742" w:rsidRPr="00F63435">
        <w:rPr>
          <w:sz w:val="22"/>
          <w:szCs w:val="22"/>
          <w:lang w:val="sr-Latn-ME" w:eastAsia="sr-Latn-ME"/>
        </w:rPr>
        <w:t xml:space="preserve">od </w:t>
      </w:r>
      <w:r w:rsidRPr="00F63435">
        <w:rPr>
          <w:sz w:val="22"/>
          <w:szCs w:val="22"/>
          <w:lang w:val="sr-Latn-ME" w:eastAsia="sr-Latn-ME"/>
        </w:rPr>
        <w:t>hematološ</w:t>
      </w:r>
      <w:r w:rsidR="00B02742" w:rsidRPr="00F63435">
        <w:rPr>
          <w:sz w:val="22"/>
          <w:szCs w:val="22"/>
          <w:lang w:val="sr-Latn-ME" w:eastAsia="sr-Latn-ME"/>
        </w:rPr>
        <w:t>ke toksičnosti. Dokazano je da kod HIV-pozitivnih pacijenat</w:t>
      </w:r>
      <w:r w:rsidRPr="00F63435">
        <w:rPr>
          <w:sz w:val="22"/>
          <w:szCs w:val="22"/>
          <w:lang w:val="sr-Latn-ME" w:eastAsia="sr-Latn-ME"/>
        </w:rPr>
        <w:t>a s</w:t>
      </w:r>
      <w:r w:rsidR="00BA1A90" w:rsidRPr="00F63435">
        <w:rPr>
          <w:sz w:val="22"/>
          <w:szCs w:val="22"/>
          <w:lang w:val="sr-Latn-ME" w:eastAsia="sr-Latn-ME"/>
        </w:rPr>
        <w:t>a</w:t>
      </w:r>
      <w:r w:rsidRPr="00F63435">
        <w:rPr>
          <w:sz w:val="22"/>
          <w:szCs w:val="22"/>
          <w:lang w:val="sr-Latn-ME" w:eastAsia="sr-Latn-ME"/>
        </w:rPr>
        <w:t xml:space="preserve"> hemofilijom uzimanje ibuprofena sa zidovudinom dovodi do povećanog rizika </w:t>
      </w:r>
      <w:r w:rsidR="00BA1A90" w:rsidRPr="00F63435">
        <w:rPr>
          <w:sz w:val="22"/>
          <w:szCs w:val="22"/>
          <w:lang w:val="sr-Latn-ME" w:eastAsia="sr-Latn-ME"/>
        </w:rPr>
        <w:t xml:space="preserve">od </w:t>
      </w:r>
      <w:r w:rsidRPr="00F63435">
        <w:rPr>
          <w:sz w:val="22"/>
          <w:szCs w:val="22"/>
          <w:lang w:val="sr-Latn-ME" w:eastAsia="sr-Latn-ME"/>
        </w:rPr>
        <w:t xml:space="preserve">nastanka hemartroza i hematoma. </w:t>
      </w:r>
    </w:p>
    <w:p w14:paraId="37634E54" w14:textId="77777777" w:rsidR="00221581" w:rsidRPr="00F63435" w:rsidRDefault="00221581" w:rsidP="00B04B06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77C0B21F" w14:textId="77777777" w:rsidR="00221581" w:rsidRPr="00F63435" w:rsidRDefault="007F2AED" w:rsidP="00C81AB0">
      <w:pPr>
        <w:autoSpaceDE w:val="0"/>
        <w:autoSpaceDN w:val="0"/>
        <w:adjustRightInd w:val="0"/>
        <w:spacing w:after="62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>H</w:t>
      </w:r>
      <w:r w:rsidR="00221581"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inolonskim antibioticima: </w:t>
      </w:r>
      <w:r w:rsidR="00221581" w:rsidRPr="00F63435">
        <w:rPr>
          <w:sz w:val="22"/>
          <w:szCs w:val="22"/>
          <w:lang w:val="sr-Latn-ME" w:eastAsia="sr-Latn-ME"/>
        </w:rPr>
        <w:t>Ispitivanja na živ</w:t>
      </w:r>
      <w:r w:rsidR="00992BDF" w:rsidRPr="00F63435">
        <w:rPr>
          <w:sz w:val="22"/>
          <w:szCs w:val="22"/>
          <w:lang w:val="sr-Latn-ME" w:eastAsia="sr-Latn-ME"/>
        </w:rPr>
        <w:t xml:space="preserve">otinjama </w:t>
      </w:r>
      <w:r w:rsidR="00FA650C" w:rsidRPr="00F63435">
        <w:rPr>
          <w:sz w:val="22"/>
          <w:szCs w:val="22"/>
          <w:lang w:val="sr-Latn-ME" w:eastAsia="sr-Latn-ME"/>
        </w:rPr>
        <w:t xml:space="preserve">su </w:t>
      </w:r>
      <w:r w:rsidR="00992BDF" w:rsidRPr="00F63435">
        <w:rPr>
          <w:sz w:val="22"/>
          <w:szCs w:val="22"/>
          <w:lang w:val="sr-Latn-ME" w:eastAsia="sr-Latn-ME"/>
        </w:rPr>
        <w:t xml:space="preserve">pokazala da NSAIL </w:t>
      </w:r>
      <w:r w:rsidR="00221581" w:rsidRPr="00F63435">
        <w:rPr>
          <w:sz w:val="22"/>
          <w:szCs w:val="22"/>
          <w:lang w:val="sr-Latn-ME" w:eastAsia="sr-Latn-ME"/>
        </w:rPr>
        <w:t>mogu povećat</w:t>
      </w:r>
      <w:r w:rsidR="00B02742" w:rsidRPr="00F63435">
        <w:rPr>
          <w:sz w:val="22"/>
          <w:szCs w:val="22"/>
          <w:lang w:val="sr-Latn-ME" w:eastAsia="sr-Latn-ME"/>
        </w:rPr>
        <w:t>i rizik konvulzija povezanih s</w:t>
      </w:r>
      <w:r w:rsidR="00BA1A90" w:rsidRPr="00F63435">
        <w:rPr>
          <w:sz w:val="22"/>
          <w:szCs w:val="22"/>
          <w:lang w:val="sr-Latn-ME" w:eastAsia="sr-Latn-ME"/>
        </w:rPr>
        <w:t>a</w:t>
      </w:r>
      <w:r w:rsidR="00B02742" w:rsidRPr="00F63435">
        <w:rPr>
          <w:sz w:val="22"/>
          <w:szCs w:val="22"/>
          <w:lang w:val="sr-Latn-ME" w:eastAsia="sr-Latn-ME"/>
        </w:rPr>
        <w:t xml:space="preserve"> h</w:t>
      </w:r>
      <w:r w:rsidR="00221581" w:rsidRPr="00F63435">
        <w:rPr>
          <w:sz w:val="22"/>
          <w:szCs w:val="22"/>
          <w:lang w:val="sr-Latn-ME" w:eastAsia="sr-Latn-ME"/>
        </w:rPr>
        <w:t xml:space="preserve">inolonskim antibioticima. </w:t>
      </w:r>
      <w:r w:rsidR="00FA650C" w:rsidRPr="00F63435">
        <w:rPr>
          <w:sz w:val="22"/>
          <w:szCs w:val="22"/>
          <w:lang w:val="sr-Latn-ME" w:eastAsia="sr-Latn-ME"/>
        </w:rPr>
        <w:t xml:space="preserve">Pacijenti </w:t>
      </w:r>
      <w:r w:rsidR="00B02742" w:rsidRPr="00F63435">
        <w:rPr>
          <w:sz w:val="22"/>
          <w:szCs w:val="22"/>
          <w:lang w:val="sr-Latn-ME" w:eastAsia="sr-Latn-ME"/>
        </w:rPr>
        <w:t>koji uzimaju NSAIL i h</w:t>
      </w:r>
      <w:r w:rsidR="00221581" w:rsidRPr="00F63435">
        <w:rPr>
          <w:sz w:val="22"/>
          <w:szCs w:val="22"/>
          <w:lang w:val="sr-Latn-ME" w:eastAsia="sr-Latn-ME"/>
        </w:rPr>
        <w:t xml:space="preserve">inolonske antibiotike mogu imati povećan rizik </w:t>
      </w:r>
      <w:r w:rsidR="00BA1A90" w:rsidRPr="00F63435">
        <w:rPr>
          <w:sz w:val="22"/>
          <w:szCs w:val="22"/>
          <w:lang w:val="sr-Latn-ME" w:eastAsia="sr-Latn-ME"/>
        </w:rPr>
        <w:t xml:space="preserve">od </w:t>
      </w:r>
      <w:r w:rsidR="00221581" w:rsidRPr="00F63435">
        <w:rPr>
          <w:sz w:val="22"/>
          <w:szCs w:val="22"/>
          <w:lang w:val="sr-Latn-ME" w:eastAsia="sr-Latn-ME"/>
        </w:rPr>
        <w:t xml:space="preserve">razvoja konvulzija. </w:t>
      </w:r>
    </w:p>
    <w:p w14:paraId="367E45A6" w14:textId="77777777" w:rsidR="00221581" w:rsidRPr="00F63435" w:rsidRDefault="00221581" w:rsidP="00A91448">
      <w:pPr>
        <w:autoSpaceDE w:val="0"/>
        <w:autoSpaceDN w:val="0"/>
        <w:adjustRightInd w:val="0"/>
        <w:jc w:val="both"/>
        <w:rPr>
          <w:sz w:val="16"/>
          <w:szCs w:val="16"/>
          <w:lang w:val="sr-Latn-ME" w:eastAsia="sr-Latn-ME"/>
        </w:rPr>
      </w:pPr>
    </w:p>
    <w:p w14:paraId="2542CAD9" w14:textId="77777777" w:rsidR="00221581" w:rsidRPr="00F63435" w:rsidRDefault="00221581" w:rsidP="00A9144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>Diureticima koji štede kalij</w:t>
      </w:r>
      <w:r w:rsidR="00B02742" w:rsidRPr="00F63435">
        <w:rPr>
          <w:b/>
          <w:bCs/>
          <w:i/>
          <w:iCs/>
          <w:sz w:val="22"/>
          <w:szCs w:val="22"/>
          <w:lang w:val="sr-Latn-ME" w:eastAsia="sr-Latn-ME"/>
        </w:rPr>
        <w:t>um</w:t>
      </w:r>
      <w:r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: </w:t>
      </w:r>
      <w:r w:rsidR="00B02742" w:rsidRPr="00F63435">
        <w:rPr>
          <w:sz w:val="22"/>
          <w:szCs w:val="22"/>
          <w:lang w:val="sr-Latn-ME" w:eastAsia="sr-Latn-ME"/>
        </w:rPr>
        <w:t>Istovreme</w:t>
      </w:r>
      <w:r w:rsidRPr="00F63435">
        <w:rPr>
          <w:sz w:val="22"/>
          <w:szCs w:val="22"/>
          <w:lang w:val="sr-Latn-ME" w:eastAsia="sr-Latn-ME"/>
        </w:rPr>
        <w:t xml:space="preserve">na primjena </w:t>
      </w:r>
      <w:r w:rsidR="00BA1A90" w:rsidRPr="00F63435">
        <w:rPr>
          <w:sz w:val="22"/>
          <w:szCs w:val="22"/>
          <w:lang w:val="sr-Latn-ME" w:eastAsia="sr-Latn-ME"/>
        </w:rPr>
        <w:t xml:space="preserve">lijeka </w:t>
      </w:r>
      <w:r w:rsidRPr="00F63435">
        <w:rPr>
          <w:sz w:val="22"/>
          <w:szCs w:val="22"/>
          <w:lang w:val="sr-Latn-ME" w:eastAsia="sr-Latn-ME"/>
        </w:rPr>
        <w:t xml:space="preserve">Nurofen za djecu </w:t>
      </w:r>
      <w:r w:rsidR="00FA650C" w:rsidRPr="00F63435">
        <w:rPr>
          <w:sz w:val="22"/>
          <w:szCs w:val="22"/>
          <w:lang w:val="sr-Latn-ME" w:eastAsia="sr-Latn-ME"/>
        </w:rPr>
        <w:t xml:space="preserve">oralna suspenzija </w:t>
      </w:r>
      <w:r w:rsidRPr="00F63435">
        <w:rPr>
          <w:sz w:val="22"/>
          <w:szCs w:val="22"/>
          <w:lang w:val="sr-Latn-ME" w:eastAsia="sr-Latn-ME"/>
        </w:rPr>
        <w:t>i diuretika koji štede kalij</w:t>
      </w:r>
      <w:r w:rsidR="00B02742" w:rsidRPr="00F63435">
        <w:rPr>
          <w:sz w:val="22"/>
          <w:szCs w:val="22"/>
          <w:lang w:val="sr-Latn-ME" w:eastAsia="sr-Latn-ME"/>
        </w:rPr>
        <w:t>um</w:t>
      </w:r>
      <w:r w:rsidRPr="00F63435">
        <w:rPr>
          <w:sz w:val="22"/>
          <w:szCs w:val="22"/>
          <w:lang w:val="sr-Latn-ME" w:eastAsia="sr-Latn-ME"/>
        </w:rPr>
        <w:t xml:space="preserve"> može dovesti do hiperkal</w:t>
      </w:r>
      <w:r w:rsidR="00FA650C" w:rsidRPr="00F63435">
        <w:rPr>
          <w:sz w:val="22"/>
          <w:szCs w:val="22"/>
          <w:lang w:val="sr-Latn-ME" w:eastAsia="sr-Latn-ME"/>
        </w:rPr>
        <w:t>ij</w:t>
      </w:r>
      <w:r w:rsidRPr="00F63435">
        <w:rPr>
          <w:sz w:val="22"/>
          <w:szCs w:val="22"/>
          <w:lang w:val="sr-Latn-ME" w:eastAsia="sr-Latn-ME"/>
        </w:rPr>
        <w:t>emije (preporučena je provjera kalij</w:t>
      </w:r>
      <w:r w:rsidR="00B02742" w:rsidRPr="00F63435">
        <w:rPr>
          <w:sz w:val="22"/>
          <w:szCs w:val="22"/>
          <w:lang w:val="sr-Latn-ME" w:eastAsia="sr-Latn-ME"/>
        </w:rPr>
        <w:t>um</w:t>
      </w:r>
      <w:r w:rsidRPr="00F63435">
        <w:rPr>
          <w:sz w:val="22"/>
          <w:szCs w:val="22"/>
          <w:lang w:val="sr-Latn-ME" w:eastAsia="sr-Latn-ME"/>
        </w:rPr>
        <w:t xml:space="preserve">a u serumu). </w:t>
      </w:r>
    </w:p>
    <w:p w14:paraId="0E6C9CA2" w14:textId="77777777" w:rsidR="00221581" w:rsidRPr="00F63435" w:rsidRDefault="00221581" w:rsidP="00A9144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77C1B65C" w14:textId="77777777" w:rsidR="00221581" w:rsidRPr="00F63435" w:rsidRDefault="00221581" w:rsidP="00A9144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Fenitoinom: </w:t>
      </w:r>
      <w:r w:rsidR="00B02742" w:rsidRPr="00F63435">
        <w:rPr>
          <w:sz w:val="22"/>
          <w:szCs w:val="22"/>
          <w:lang w:val="sr-Latn-ME" w:eastAsia="sr-Latn-ME"/>
        </w:rPr>
        <w:t>Istovreme</w:t>
      </w:r>
      <w:r w:rsidRPr="00F63435">
        <w:rPr>
          <w:sz w:val="22"/>
          <w:szCs w:val="22"/>
          <w:lang w:val="sr-Latn-ME" w:eastAsia="sr-Latn-ME"/>
        </w:rPr>
        <w:t xml:space="preserve">na primjena </w:t>
      </w:r>
      <w:r w:rsidR="00FA650C" w:rsidRPr="00F63435">
        <w:rPr>
          <w:sz w:val="22"/>
          <w:szCs w:val="22"/>
          <w:lang w:val="sr-Latn-ME" w:eastAsia="sr-Latn-ME"/>
        </w:rPr>
        <w:t xml:space="preserve">lijeka </w:t>
      </w:r>
      <w:r w:rsidRPr="00F63435">
        <w:rPr>
          <w:sz w:val="22"/>
          <w:szCs w:val="22"/>
          <w:lang w:val="sr-Latn-ME" w:eastAsia="sr-Latn-ME"/>
        </w:rPr>
        <w:t xml:space="preserve">Nurofen za djecu </w:t>
      </w:r>
      <w:r w:rsidR="00FA650C" w:rsidRPr="00F63435">
        <w:rPr>
          <w:sz w:val="22"/>
          <w:szCs w:val="22"/>
          <w:lang w:val="sr-Latn-ME" w:eastAsia="sr-Latn-ME"/>
        </w:rPr>
        <w:t xml:space="preserve">oralna suspenzija </w:t>
      </w:r>
      <w:r w:rsidRPr="00F63435">
        <w:rPr>
          <w:sz w:val="22"/>
          <w:szCs w:val="22"/>
          <w:lang w:val="sr-Latn-ME" w:eastAsia="sr-Latn-ME"/>
        </w:rPr>
        <w:t>s</w:t>
      </w:r>
      <w:r w:rsidR="00B02742" w:rsidRPr="00F63435">
        <w:rPr>
          <w:sz w:val="22"/>
          <w:szCs w:val="22"/>
          <w:lang w:val="sr-Latn-ME" w:eastAsia="sr-Latn-ME"/>
        </w:rPr>
        <w:t>a</w:t>
      </w:r>
      <w:r w:rsidRPr="00F63435">
        <w:rPr>
          <w:sz w:val="22"/>
          <w:szCs w:val="22"/>
          <w:lang w:val="sr-Latn-ME" w:eastAsia="sr-Latn-ME"/>
        </w:rPr>
        <w:t xml:space="preserve"> fenitoinom </w:t>
      </w:r>
      <w:r w:rsidR="00B02742" w:rsidRPr="00F63435">
        <w:rPr>
          <w:sz w:val="22"/>
          <w:szCs w:val="22"/>
          <w:lang w:val="sr-Latn-ME" w:eastAsia="sr-Latn-ME"/>
        </w:rPr>
        <w:t>može dovesti do povećanja nivoa</w:t>
      </w:r>
      <w:r w:rsidRPr="00F63435">
        <w:rPr>
          <w:sz w:val="22"/>
          <w:szCs w:val="22"/>
          <w:lang w:val="sr-Latn-ME" w:eastAsia="sr-Latn-ME"/>
        </w:rPr>
        <w:t xml:space="preserve"> fen</w:t>
      </w:r>
      <w:r w:rsidR="00B02742" w:rsidRPr="00F63435">
        <w:rPr>
          <w:sz w:val="22"/>
          <w:szCs w:val="22"/>
          <w:lang w:val="sr-Latn-ME" w:eastAsia="sr-Latn-ME"/>
        </w:rPr>
        <w:t xml:space="preserve">itoina u serumu. Provjera nivoa fenitoina u serumu </w:t>
      </w:r>
      <w:r w:rsidRPr="00F63435">
        <w:rPr>
          <w:sz w:val="22"/>
          <w:szCs w:val="22"/>
          <w:lang w:val="sr-Latn-ME" w:eastAsia="sr-Latn-ME"/>
        </w:rPr>
        <w:t>nije potrebna pri</w:t>
      </w:r>
      <w:r w:rsidR="00992BDF" w:rsidRPr="00F63435">
        <w:rPr>
          <w:sz w:val="22"/>
          <w:szCs w:val="22"/>
          <w:lang w:val="sr-Latn-ME" w:eastAsia="sr-Latn-ME"/>
        </w:rPr>
        <w:t xml:space="preserve"> pravilnoj primjeni (najduže to</w:t>
      </w:r>
      <w:r w:rsidRPr="00F63435">
        <w:rPr>
          <w:sz w:val="22"/>
          <w:szCs w:val="22"/>
          <w:lang w:val="sr-Latn-ME" w:eastAsia="sr-Latn-ME"/>
        </w:rPr>
        <w:t xml:space="preserve">kom 3 dana). </w:t>
      </w:r>
    </w:p>
    <w:p w14:paraId="5D7DDA83" w14:textId="77777777" w:rsidR="00221581" w:rsidRPr="00F63435" w:rsidRDefault="00221581" w:rsidP="00504B4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4034AD6E" w14:textId="77777777" w:rsidR="00221581" w:rsidRPr="00F63435" w:rsidRDefault="0022158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>Sulfonilurejama</w:t>
      </w:r>
      <w:r w:rsidRPr="00F63435">
        <w:rPr>
          <w:b/>
          <w:bCs/>
          <w:sz w:val="22"/>
          <w:szCs w:val="22"/>
          <w:lang w:val="sr-Latn-ME" w:eastAsia="sr-Latn-ME"/>
        </w:rPr>
        <w:t xml:space="preserve">: </w:t>
      </w:r>
      <w:r w:rsidRPr="00F63435">
        <w:rPr>
          <w:sz w:val="22"/>
          <w:szCs w:val="22"/>
          <w:lang w:val="sr-Latn-ME" w:eastAsia="sr-Latn-ME"/>
        </w:rPr>
        <w:t>Klinička ispitivanja su pokazala interakcije između NSAIL i antidijabetika (sulfonilureja). Iako do sada nisu opisane interakcije između ibuprofena i sulfonil</w:t>
      </w:r>
      <w:r w:rsidR="00B02742" w:rsidRPr="00F63435">
        <w:rPr>
          <w:sz w:val="22"/>
          <w:szCs w:val="22"/>
          <w:lang w:val="sr-Latn-ME" w:eastAsia="sr-Latn-ME"/>
        </w:rPr>
        <w:t>ureja, preporučuje se provjera nivoa</w:t>
      </w:r>
      <w:r w:rsidRPr="00F63435">
        <w:rPr>
          <w:sz w:val="22"/>
          <w:szCs w:val="22"/>
          <w:lang w:val="sr-Latn-ME" w:eastAsia="sr-Latn-ME"/>
        </w:rPr>
        <w:t xml:space="preserve"> glukoze u k</w:t>
      </w:r>
      <w:r w:rsidR="00B02742" w:rsidRPr="00F63435">
        <w:rPr>
          <w:sz w:val="22"/>
          <w:szCs w:val="22"/>
          <w:lang w:val="sr-Latn-ME" w:eastAsia="sr-Latn-ME"/>
        </w:rPr>
        <w:t>rvi kao mjere opreza pri istovreme</w:t>
      </w:r>
      <w:r w:rsidRPr="00F63435">
        <w:rPr>
          <w:sz w:val="22"/>
          <w:szCs w:val="22"/>
          <w:lang w:val="sr-Latn-ME" w:eastAsia="sr-Latn-ME"/>
        </w:rPr>
        <w:t xml:space="preserve">noj primjeni. </w:t>
      </w:r>
    </w:p>
    <w:p w14:paraId="3FEE26A2" w14:textId="77777777" w:rsidR="00221581" w:rsidRPr="00F63435" w:rsidRDefault="0022158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2E4CEE3E" w14:textId="77777777" w:rsidR="00221581" w:rsidRPr="00F63435" w:rsidRDefault="00221581">
      <w:pPr>
        <w:autoSpaceDE w:val="0"/>
        <w:autoSpaceDN w:val="0"/>
        <w:adjustRightInd w:val="0"/>
        <w:spacing w:after="65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Probenecidom i sulfinpirazonom: </w:t>
      </w:r>
      <w:r w:rsidR="00992BDF" w:rsidRPr="00F63435">
        <w:rPr>
          <w:sz w:val="22"/>
          <w:szCs w:val="22"/>
          <w:lang w:val="sr-Latn-ME" w:eastAsia="sr-Latn-ME"/>
        </w:rPr>
        <w:t>L</w:t>
      </w:r>
      <w:r w:rsidRPr="00F63435">
        <w:rPr>
          <w:sz w:val="22"/>
          <w:szCs w:val="22"/>
          <w:lang w:val="sr-Latn-ME" w:eastAsia="sr-Latn-ME"/>
        </w:rPr>
        <w:t>jekovi koji sadrže probe</w:t>
      </w:r>
      <w:r w:rsidR="00B02742" w:rsidRPr="00F63435">
        <w:rPr>
          <w:sz w:val="22"/>
          <w:szCs w:val="22"/>
          <w:lang w:val="sr-Latn-ME" w:eastAsia="sr-Latn-ME"/>
        </w:rPr>
        <w:t>necid i sulfinpirazon mogu odlož</w:t>
      </w:r>
      <w:r w:rsidRPr="00F63435">
        <w:rPr>
          <w:sz w:val="22"/>
          <w:szCs w:val="22"/>
          <w:lang w:val="sr-Latn-ME" w:eastAsia="sr-Latn-ME"/>
        </w:rPr>
        <w:t xml:space="preserve">iti izlučivanje ibuprofena. </w:t>
      </w:r>
    </w:p>
    <w:p w14:paraId="585C8EBF" w14:textId="77777777" w:rsidR="00221581" w:rsidRPr="00F63435" w:rsidRDefault="00221581">
      <w:pPr>
        <w:autoSpaceDE w:val="0"/>
        <w:autoSpaceDN w:val="0"/>
        <w:adjustRightInd w:val="0"/>
        <w:spacing w:after="65"/>
        <w:jc w:val="both"/>
        <w:rPr>
          <w:sz w:val="16"/>
          <w:szCs w:val="16"/>
          <w:lang w:val="sr-Latn-ME" w:eastAsia="sr-Latn-ME"/>
        </w:rPr>
      </w:pPr>
      <w:r w:rsidRPr="00F63435">
        <w:rPr>
          <w:sz w:val="16"/>
          <w:szCs w:val="16"/>
          <w:lang w:val="sr-Latn-ME" w:eastAsia="sr-Latn-ME"/>
        </w:rPr>
        <w:t xml:space="preserve"> </w:t>
      </w:r>
    </w:p>
    <w:p w14:paraId="71DD2780" w14:textId="77777777" w:rsidR="00221581" w:rsidRPr="00F63435" w:rsidRDefault="0022158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Baklofenom: </w:t>
      </w:r>
      <w:r w:rsidRPr="00F63435">
        <w:rPr>
          <w:sz w:val="22"/>
          <w:szCs w:val="22"/>
          <w:lang w:val="sr-Latn-ME" w:eastAsia="sr-Latn-ME"/>
        </w:rPr>
        <w:t>Nakon početka liječenja ibuprofenom</w:t>
      </w:r>
      <w:r w:rsidR="00FA650C" w:rsidRPr="00F63435">
        <w:rPr>
          <w:sz w:val="22"/>
          <w:szCs w:val="22"/>
          <w:lang w:val="sr-Latn-ME" w:eastAsia="sr-Latn-ME"/>
        </w:rPr>
        <w:t>,</w:t>
      </w:r>
      <w:r w:rsidR="00921C1B" w:rsidRPr="00F63435">
        <w:rPr>
          <w:sz w:val="22"/>
          <w:szCs w:val="22"/>
          <w:lang w:val="sr-Latn-ME" w:eastAsia="sr-Latn-ME"/>
        </w:rPr>
        <w:t xml:space="preserve"> može se razviti intoksikacija </w:t>
      </w:r>
      <w:r w:rsidRPr="00F63435">
        <w:rPr>
          <w:sz w:val="22"/>
          <w:szCs w:val="22"/>
          <w:lang w:val="sr-Latn-ME" w:eastAsia="sr-Latn-ME"/>
        </w:rPr>
        <w:t xml:space="preserve">baklofenom. </w:t>
      </w:r>
    </w:p>
    <w:p w14:paraId="4C414BD7" w14:textId="77777777" w:rsidR="00221581" w:rsidRPr="00F63435" w:rsidRDefault="0022158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00075824" w14:textId="77777777" w:rsidR="00221581" w:rsidRPr="00F63435" w:rsidRDefault="0022158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>Ritonavirom</w:t>
      </w:r>
      <w:r w:rsidRPr="00F63435">
        <w:rPr>
          <w:sz w:val="22"/>
          <w:szCs w:val="22"/>
          <w:lang w:val="sr-Latn-ME" w:eastAsia="sr-Latn-ME"/>
        </w:rPr>
        <w:t>: Ritonavir može po</w:t>
      </w:r>
      <w:r w:rsidR="00BA1A90" w:rsidRPr="00F63435">
        <w:rPr>
          <w:sz w:val="22"/>
          <w:szCs w:val="22"/>
          <w:lang w:val="sr-Latn-ME" w:eastAsia="sr-Latn-ME"/>
        </w:rPr>
        <w:t>većati</w:t>
      </w:r>
      <w:r w:rsidRPr="00F63435">
        <w:rPr>
          <w:sz w:val="22"/>
          <w:szCs w:val="22"/>
          <w:lang w:val="sr-Latn-ME" w:eastAsia="sr-Latn-ME"/>
        </w:rPr>
        <w:t xml:space="preserve"> koncentracije NSAIL u plazmi. </w:t>
      </w:r>
    </w:p>
    <w:p w14:paraId="34CD192C" w14:textId="77777777" w:rsidR="00221581" w:rsidRPr="00F63435" w:rsidRDefault="0022158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3B4B7A63" w14:textId="77777777" w:rsidR="00221581" w:rsidRPr="00F63435" w:rsidRDefault="0022158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Aminoglikozidima: </w:t>
      </w:r>
      <w:r w:rsidRPr="00F63435">
        <w:rPr>
          <w:sz w:val="22"/>
          <w:szCs w:val="22"/>
          <w:lang w:val="sr-Latn-ME" w:eastAsia="sr-Latn-ME"/>
        </w:rPr>
        <w:t xml:space="preserve">NSAIL mogu smanjiti izlučivanje aminoglikozida. </w:t>
      </w:r>
    </w:p>
    <w:p w14:paraId="59A3016E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5D7AAE27" w14:textId="77777777" w:rsidR="00221581" w:rsidRPr="00F63435" w:rsidRDefault="00221581" w:rsidP="00D953F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Inhibitorima CYP2C9: </w:t>
      </w:r>
      <w:r w:rsidR="00BA1A90" w:rsidRPr="00F63435">
        <w:rPr>
          <w:sz w:val="22"/>
          <w:szCs w:val="22"/>
          <w:lang w:val="sr-Latn-ME" w:eastAsia="sr-Latn-ME"/>
        </w:rPr>
        <w:t>Istovremen</w:t>
      </w:r>
      <w:r w:rsidRPr="00F63435">
        <w:rPr>
          <w:sz w:val="22"/>
          <w:szCs w:val="22"/>
          <w:lang w:val="sr-Latn-ME" w:eastAsia="sr-Latn-ME"/>
        </w:rPr>
        <w:t>a primjena ibuprofena i inhibitora CYP2C9 može povećati izloženost ibuprofenu (CYP2C9 supstrat). U ispitivanjima s</w:t>
      </w:r>
      <w:r w:rsidR="00BA1A90" w:rsidRPr="00F63435">
        <w:rPr>
          <w:sz w:val="22"/>
          <w:szCs w:val="22"/>
          <w:lang w:val="sr-Latn-ME" w:eastAsia="sr-Latn-ME"/>
        </w:rPr>
        <w:t>a</w:t>
      </w:r>
      <w:r w:rsidRPr="00F63435">
        <w:rPr>
          <w:sz w:val="22"/>
          <w:szCs w:val="22"/>
          <w:lang w:val="sr-Latn-ME" w:eastAsia="sr-Latn-ME"/>
        </w:rPr>
        <w:t xml:space="preserve"> vorikonazolom i flukonazol</w:t>
      </w:r>
      <w:r w:rsidR="00992BDF" w:rsidRPr="00F63435">
        <w:rPr>
          <w:sz w:val="22"/>
          <w:szCs w:val="22"/>
          <w:lang w:val="sr-Latn-ME" w:eastAsia="sr-Latn-ME"/>
        </w:rPr>
        <w:t>om (inhibitorima CYP2C9), utvrđe</w:t>
      </w:r>
      <w:r w:rsidRPr="00F63435">
        <w:rPr>
          <w:sz w:val="22"/>
          <w:szCs w:val="22"/>
          <w:lang w:val="sr-Latn-ME" w:eastAsia="sr-Latn-ME"/>
        </w:rPr>
        <w:t>na je povećana izloženost S (+) ibuprofenu za približno 80-100%. Treba razmotriti sma</w:t>
      </w:r>
      <w:r w:rsidR="00992BDF" w:rsidRPr="00F63435">
        <w:rPr>
          <w:sz w:val="22"/>
          <w:szCs w:val="22"/>
          <w:lang w:val="sr-Latn-ME" w:eastAsia="sr-Latn-ME"/>
        </w:rPr>
        <w:t>njenje doze ibuprofena pri istovremenoj</w:t>
      </w:r>
      <w:r w:rsidRPr="00F63435">
        <w:rPr>
          <w:sz w:val="22"/>
          <w:szCs w:val="22"/>
          <w:lang w:val="sr-Latn-ME" w:eastAsia="sr-Latn-ME"/>
        </w:rPr>
        <w:t xml:space="preserve"> primjeni s potentnim CYP2C9 inhibitorima, naročito kada se visoke doze ibuprofena primjenuju s</w:t>
      </w:r>
      <w:r w:rsidR="00BA1A90" w:rsidRPr="00F63435">
        <w:rPr>
          <w:sz w:val="22"/>
          <w:szCs w:val="22"/>
          <w:lang w:val="sr-Latn-ME" w:eastAsia="sr-Latn-ME"/>
        </w:rPr>
        <w:t>a</w:t>
      </w:r>
      <w:r w:rsidRPr="00F63435">
        <w:rPr>
          <w:sz w:val="22"/>
          <w:szCs w:val="22"/>
          <w:lang w:val="sr-Latn-ME" w:eastAsia="sr-Latn-ME"/>
        </w:rPr>
        <w:t xml:space="preserve"> vorikonazolom ili flukanozolom. </w:t>
      </w:r>
    </w:p>
    <w:p w14:paraId="4677FC2A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0411A39D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Kaptoprilom: </w:t>
      </w:r>
      <w:r w:rsidRPr="00F63435">
        <w:rPr>
          <w:sz w:val="22"/>
          <w:szCs w:val="22"/>
          <w:lang w:val="sr-Latn-ME" w:eastAsia="sr-Latn-ME"/>
        </w:rPr>
        <w:t xml:space="preserve">Eksperimentalna ispitivanja ukazuju na to da ibuprofen inhibira </w:t>
      </w:r>
      <w:r w:rsidR="00BA1A90" w:rsidRPr="00F63435">
        <w:rPr>
          <w:sz w:val="22"/>
          <w:szCs w:val="22"/>
          <w:lang w:val="sr-Latn-ME" w:eastAsia="sr-Latn-ME"/>
        </w:rPr>
        <w:t>dejstvo</w:t>
      </w:r>
      <w:r w:rsidRPr="00F63435">
        <w:rPr>
          <w:sz w:val="22"/>
          <w:szCs w:val="22"/>
          <w:lang w:val="sr-Latn-ME" w:eastAsia="sr-Latn-ME"/>
        </w:rPr>
        <w:t xml:space="preserve"> kap</w:t>
      </w:r>
      <w:r w:rsidR="005842F2" w:rsidRPr="00F63435">
        <w:rPr>
          <w:sz w:val="22"/>
          <w:szCs w:val="22"/>
          <w:lang w:val="sr-Latn-ME" w:eastAsia="sr-Latn-ME"/>
        </w:rPr>
        <w:t>toprila na izlučivanje natrijuma.</w:t>
      </w:r>
    </w:p>
    <w:p w14:paraId="33BE7509" w14:textId="77777777" w:rsidR="00221581" w:rsidRPr="00F63435" w:rsidRDefault="00221581" w:rsidP="001E234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2C9C9A2F" w14:textId="77777777" w:rsidR="00221581" w:rsidRPr="00F63435" w:rsidRDefault="007F2AED" w:rsidP="001E234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F63435">
        <w:rPr>
          <w:b/>
          <w:bCs/>
          <w:i/>
          <w:iCs/>
          <w:sz w:val="22"/>
          <w:szCs w:val="22"/>
          <w:lang w:val="sr-Latn-ME" w:eastAsia="sr-Latn-ME"/>
        </w:rPr>
        <w:t>H</w:t>
      </w:r>
      <w:r w:rsidR="00221581" w:rsidRPr="00F63435">
        <w:rPr>
          <w:b/>
          <w:bCs/>
          <w:i/>
          <w:iCs/>
          <w:sz w:val="22"/>
          <w:szCs w:val="22"/>
          <w:lang w:val="sr-Latn-ME" w:eastAsia="sr-Latn-ME"/>
        </w:rPr>
        <w:t xml:space="preserve">olestiraminom: </w:t>
      </w:r>
      <w:r w:rsidR="005842F2" w:rsidRPr="00F63435">
        <w:rPr>
          <w:sz w:val="22"/>
          <w:szCs w:val="22"/>
          <w:lang w:val="sr-Latn-ME" w:eastAsia="sr-Latn-ME"/>
        </w:rPr>
        <w:t>Pri istovremenoj</w:t>
      </w:r>
      <w:r w:rsidR="00BA1A90" w:rsidRPr="00F63435">
        <w:rPr>
          <w:sz w:val="22"/>
          <w:szCs w:val="22"/>
          <w:lang w:val="sr-Latn-ME" w:eastAsia="sr-Latn-ME"/>
        </w:rPr>
        <w:t xml:space="preserve"> primjeni ibuprofena i h</w:t>
      </w:r>
      <w:r w:rsidR="00221581" w:rsidRPr="00F63435">
        <w:rPr>
          <w:sz w:val="22"/>
          <w:szCs w:val="22"/>
          <w:lang w:val="sr-Latn-ME" w:eastAsia="sr-Latn-ME"/>
        </w:rPr>
        <w:t>olestiramina</w:t>
      </w:r>
      <w:r w:rsidR="005842F2" w:rsidRPr="00F63435">
        <w:rPr>
          <w:sz w:val="22"/>
          <w:szCs w:val="22"/>
          <w:lang w:val="sr-Latn-ME" w:eastAsia="sr-Latn-ME"/>
        </w:rPr>
        <w:t xml:space="preserve">, </w:t>
      </w:r>
      <w:r w:rsidR="00FA650C" w:rsidRPr="00F63435">
        <w:rPr>
          <w:sz w:val="22"/>
          <w:szCs w:val="22"/>
          <w:lang w:val="sr-Latn-ME" w:eastAsia="sr-Latn-ME"/>
        </w:rPr>
        <w:t xml:space="preserve">resorpcija </w:t>
      </w:r>
      <w:r w:rsidR="005842F2" w:rsidRPr="00F63435">
        <w:rPr>
          <w:sz w:val="22"/>
          <w:szCs w:val="22"/>
          <w:lang w:val="sr-Latn-ME" w:eastAsia="sr-Latn-ME"/>
        </w:rPr>
        <w:t>ibuprofena je odložena i smanjena (25%). L</w:t>
      </w:r>
      <w:r w:rsidR="00221581" w:rsidRPr="00F63435">
        <w:rPr>
          <w:sz w:val="22"/>
          <w:szCs w:val="22"/>
          <w:lang w:val="sr-Latn-ME" w:eastAsia="sr-Latn-ME"/>
        </w:rPr>
        <w:t>jekove treba primjenjivati s</w:t>
      </w:r>
      <w:r w:rsidR="00BA1A90" w:rsidRPr="00F63435">
        <w:rPr>
          <w:sz w:val="22"/>
          <w:szCs w:val="22"/>
          <w:lang w:val="sr-Latn-ME" w:eastAsia="sr-Latn-ME"/>
        </w:rPr>
        <w:t>a</w:t>
      </w:r>
      <w:r w:rsidR="00221581" w:rsidRPr="00F63435">
        <w:rPr>
          <w:sz w:val="22"/>
          <w:szCs w:val="22"/>
          <w:lang w:val="sr-Latn-ME" w:eastAsia="sr-Latn-ME"/>
        </w:rPr>
        <w:t xml:space="preserve"> nekoliko sati razmaka. </w:t>
      </w:r>
    </w:p>
    <w:p w14:paraId="0ED3D498" w14:textId="77777777" w:rsidR="00364F0F" w:rsidRPr="00F63435" w:rsidRDefault="00364F0F" w:rsidP="00D953F0">
      <w:pPr>
        <w:pStyle w:val="ListParagraph"/>
        <w:jc w:val="both"/>
        <w:rPr>
          <w:bCs/>
          <w:sz w:val="22"/>
          <w:szCs w:val="22"/>
          <w:lang w:val="sr-Latn-ME"/>
        </w:rPr>
      </w:pPr>
    </w:p>
    <w:p w14:paraId="6F8F84B0" w14:textId="77777777" w:rsidR="0072020E" w:rsidRPr="00F63435" w:rsidRDefault="0072020E" w:rsidP="00C81AB0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4.6.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="006D20A5" w:rsidRPr="00F63435">
        <w:rPr>
          <w:b/>
          <w:sz w:val="22"/>
          <w:szCs w:val="22"/>
          <w:lang w:val="sr-Latn-ME"/>
        </w:rPr>
        <w:t>Plodnost, trudnoća i dojenje</w:t>
      </w:r>
    </w:p>
    <w:p w14:paraId="6FE239FD" w14:textId="77777777" w:rsidR="002031B3" w:rsidRPr="00F63435" w:rsidRDefault="002031B3" w:rsidP="00A9144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4D78809" w14:textId="77777777" w:rsidR="00CA2199" w:rsidRPr="00F63435" w:rsidRDefault="00AC5146" w:rsidP="001E234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63435">
        <w:rPr>
          <w:bCs/>
          <w:sz w:val="22"/>
          <w:szCs w:val="22"/>
          <w:u w:val="single"/>
          <w:lang w:val="sr-Latn-ME"/>
        </w:rPr>
        <w:t>Trudnoća</w:t>
      </w:r>
    </w:p>
    <w:p w14:paraId="6B8A951D" w14:textId="77777777" w:rsidR="003F21B2" w:rsidRPr="00F63435" w:rsidRDefault="00CA2199" w:rsidP="00D953F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Inhibicija sinteze pr</w:t>
      </w:r>
      <w:r w:rsidR="008D3413" w:rsidRPr="00F63435">
        <w:rPr>
          <w:sz w:val="22"/>
          <w:szCs w:val="22"/>
          <w:lang w:val="sr-Latn-ME"/>
        </w:rPr>
        <w:t>ostaglandina može negativno uti</w:t>
      </w:r>
      <w:r w:rsidRPr="00F63435">
        <w:rPr>
          <w:sz w:val="22"/>
          <w:szCs w:val="22"/>
          <w:lang w:val="sr-Latn-ME"/>
        </w:rPr>
        <w:t xml:space="preserve">cati na trudnoću i/ili embrio-fetalni razvoj. Podaci iz epidemioloških ispitivanja ukazuju na povećan rizik od pobačaja, srčanih malformacija i gastroshize nakon primjene inhibitora sinteze prostaglandina u ranoj trudnoći. Vjeruje se da se rizik povećava s povećanjem doze i trajanjem terapije. Apsolutni rizik od kardiovaskularnih malformacija bio je povećan </w:t>
      </w:r>
      <w:r w:rsidRPr="00F63435">
        <w:rPr>
          <w:sz w:val="22"/>
          <w:szCs w:val="22"/>
          <w:lang w:val="sr-Latn-ME"/>
        </w:rPr>
        <w:lastRenderedPageBreak/>
        <w:t>s m</w:t>
      </w:r>
      <w:r w:rsidR="00376F68" w:rsidRPr="00F63435">
        <w:rPr>
          <w:sz w:val="22"/>
          <w:szCs w:val="22"/>
          <w:lang w:val="sr-Latn-ME"/>
        </w:rPr>
        <w:t xml:space="preserve">anje od 1% na približno 1,5%. Kod </w:t>
      </w:r>
      <w:r w:rsidRPr="00F63435">
        <w:rPr>
          <w:sz w:val="22"/>
          <w:szCs w:val="22"/>
          <w:lang w:val="sr-Latn-ME"/>
        </w:rPr>
        <w:t>životinja se pokazalo da je primjena inhibitora sinteze prostaglandina rezultirala povećanim pre- i post-implantacijskim gubitkom i embr</w:t>
      </w:r>
      <w:r w:rsidR="00376F68" w:rsidRPr="00F63435">
        <w:rPr>
          <w:sz w:val="22"/>
          <w:szCs w:val="22"/>
          <w:lang w:val="sr-Latn-ME"/>
        </w:rPr>
        <w:t xml:space="preserve">io-fetalnom smrtnošću. Uz to, kod </w:t>
      </w:r>
      <w:r w:rsidRPr="00F63435">
        <w:rPr>
          <w:sz w:val="22"/>
          <w:szCs w:val="22"/>
          <w:lang w:val="sr-Latn-ME"/>
        </w:rPr>
        <w:t>životinja kojima su se davali inhibitori sinteze prostaglandina za vrijeme organogeneze, zabilježena je veća učestalost različitih malformacija, uključujući i kardiovaskularne.</w:t>
      </w:r>
    </w:p>
    <w:p w14:paraId="3E875D31" w14:textId="3DD92973" w:rsidR="00CA2199" w:rsidRDefault="00CA2199" w:rsidP="00C5704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 </w:t>
      </w:r>
    </w:p>
    <w:p w14:paraId="75A6419C" w14:textId="7ADD2BB0" w:rsidR="00616150" w:rsidRPr="00D16A63" w:rsidRDefault="00616150" w:rsidP="00FD6E4F">
      <w:pPr>
        <w:jc w:val="both"/>
        <w:rPr>
          <w:szCs w:val="22"/>
        </w:rPr>
      </w:pPr>
      <w:r w:rsidRPr="00E3657F">
        <w:rPr>
          <w:sz w:val="22"/>
          <w:szCs w:val="22"/>
        </w:rPr>
        <w:t>Od 20. nedelje trudnoće pa nadalje, prim</w:t>
      </w:r>
      <w:r w:rsidR="00C5704B">
        <w:rPr>
          <w:sz w:val="22"/>
          <w:szCs w:val="22"/>
        </w:rPr>
        <w:t>j</w:t>
      </w:r>
      <w:r w:rsidRPr="00E3657F">
        <w:rPr>
          <w:sz w:val="22"/>
          <w:szCs w:val="22"/>
        </w:rPr>
        <w:t>ena ibuprofena može uzrokovati oligohidramnio</w:t>
      </w:r>
      <w:r w:rsidR="0036522A">
        <w:rPr>
          <w:sz w:val="22"/>
          <w:szCs w:val="22"/>
        </w:rPr>
        <w:t>n koji je posl</w:t>
      </w:r>
      <w:r w:rsidR="00C5704B">
        <w:rPr>
          <w:sz w:val="22"/>
          <w:szCs w:val="22"/>
        </w:rPr>
        <w:t>j</w:t>
      </w:r>
      <w:r w:rsidR="0036522A">
        <w:rPr>
          <w:sz w:val="22"/>
          <w:szCs w:val="22"/>
        </w:rPr>
        <w:t>edica bubrežne disfunkcije fetusa</w:t>
      </w:r>
      <w:r w:rsidRPr="00E3657F">
        <w:rPr>
          <w:sz w:val="22"/>
          <w:szCs w:val="22"/>
        </w:rPr>
        <w:t>. To može usl</w:t>
      </w:r>
      <w:r w:rsidR="00C5704B">
        <w:rPr>
          <w:sz w:val="22"/>
          <w:szCs w:val="22"/>
        </w:rPr>
        <w:t>ij</w:t>
      </w:r>
      <w:r w:rsidRPr="00E3657F">
        <w:rPr>
          <w:sz w:val="22"/>
          <w:szCs w:val="22"/>
        </w:rPr>
        <w:t>editi ubrzo nakon početka l</w:t>
      </w:r>
      <w:r w:rsidR="00C5704B">
        <w:rPr>
          <w:sz w:val="22"/>
          <w:szCs w:val="22"/>
        </w:rPr>
        <w:t>ij</w:t>
      </w:r>
      <w:r w:rsidRPr="00E3657F">
        <w:rPr>
          <w:sz w:val="22"/>
          <w:szCs w:val="22"/>
        </w:rPr>
        <w:t>ečenja i obično je reverzibilno nakon prekida l</w:t>
      </w:r>
      <w:r w:rsidR="00C5704B">
        <w:rPr>
          <w:sz w:val="22"/>
          <w:szCs w:val="22"/>
        </w:rPr>
        <w:t>ij</w:t>
      </w:r>
      <w:r w:rsidRPr="00E3657F">
        <w:rPr>
          <w:sz w:val="22"/>
          <w:szCs w:val="22"/>
        </w:rPr>
        <w:t xml:space="preserve">ečenja. Dodatno, prijavljeni su slučajevi suženja </w:t>
      </w:r>
      <w:r w:rsidRPr="00E3657F">
        <w:rPr>
          <w:i/>
          <w:sz w:val="22"/>
          <w:szCs w:val="22"/>
        </w:rPr>
        <w:t>ductus arteriosus</w:t>
      </w:r>
      <w:r w:rsidR="0036522A">
        <w:rPr>
          <w:sz w:val="22"/>
          <w:szCs w:val="22"/>
        </w:rPr>
        <w:t>-a</w:t>
      </w:r>
      <w:r w:rsidR="0036522A" w:rsidRPr="0036522A">
        <w:rPr>
          <w:sz w:val="22"/>
          <w:szCs w:val="22"/>
        </w:rPr>
        <w:t xml:space="preserve"> </w:t>
      </w:r>
      <w:r w:rsidR="0036522A">
        <w:rPr>
          <w:sz w:val="22"/>
          <w:szCs w:val="22"/>
        </w:rPr>
        <w:t>nakon l</w:t>
      </w:r>
      <w:r w:rsidR="00C5704B">
        <w:rPr>
          <w:sz w:val="22"/>
          <w:szCs w:val="22"/>
        </w:rPr>
        <w:t>ij</w:t>
      </w:r>
      <w:r w:rsidR="0036522A">
        <w:rPr>
          <w:sz w:val="22"/>
          <w:szCs w:val="22"/>
        </w:rPr>
        <w:t>ečenja</w:t>
      </w:r>
      <w:r w:rsidRPr="00E3657F">
        <w:rPr>
          <w:sz w:val="22"/>
          <w:szCs w:val="22"/>
        </w:rPr>
        <w:t xml:space="preserve"> u drugom tr</w:t>
      </w:r>
      <w:r w:rsidR="002F7261">
        <w:rPr>
          <w:sz w:val="22"/>
          <w:szCs w:val="22"/>
        </w:rPr>
        <w:t>imestr</w:t>
      </w:r>
      <w:r w:rsidRPr="00E3657F">
        <w:rPr>
          <w:sz w:val="22"/>
          <w:szCs w:val="22"/>
        </w:rPr>
        <w:t>u trudnoće</w:t>
      </w:r>
      <w:r w:rsidR="0036522A">
        <w:rPr>
          <w:sz w:val="22"/>
          <w:szCs w:val="22"/>
        </w:rPr>
        <w:t>,</w:t>
      </w:r>
      <w:r w:rsidRPr="00E3657F">
        <w:rPr>
          <w:sz w:val="22"/>
          <w:szCs w:val="22"/>
        </w:rPr>
        <w:t xml:space="preserve"> u kojima je većinom došlo do oporavka nakon prestanka prim</w:t>
      </w:r>
      <w:r w:rsidR="00C5704B">
        <w:rPr>
          <w:sz w:val="22"/>
          <w:szCs w:val="22"/>
        </w:rPr>
        <w:t>j</w:t>
      </w:r>
      <w:r w:rsidRPr="00E3657F">
        <w:rPr>
          <w:sz w:val="22"/>
          <w:szCs w:val="22"/>
        </w:rPr>
        <w:t>ene l</w:t>
      </w:r>
      <w:r w:rsidR="00C5704B">
        <w:rPr>
          <w:sz w:val="22"/>
          <w:szCs w:val="22"/>
        </w:rPr>
        <w:t>ij</w:t>
      </w:r>
      <w:r w:rsidRPr="00E3657F">
        <w:rPr>
          <w:sz w:val="22"/>
          <w:szCs w:val="22"/>
        </w:rPr>
        <w:t>eka. Zbog toga se ibuprofen ne sm</w:t>
      </w:r>
      <w:r w:rsidR="00C5704B">
        <w:rPr>
          <w:sz w:val="22"/>
          <w:szCs w:val="22"/>
        </w:rPr>
        <w:t>ij</w:t>
      </w:r>
      <w:r w:rsidRPr="00E3657F">
        <w:rPr>
          <w:sz w:val="22"/>
          <w:szCs w:val="22"/>
        </w:rPr>
        <w:t>e davati tokom prvog i drugog trimestra trudnoće osim ako nije zaista neophodno. Ako se ibuprofen prim</w:t>
      </w:r>
      <w:r w:rsidR="00C5704B">
        <w:rPr>
          <w:sz w:val="22"/>
          <w:szCs w:val="22"/>
        </w:rPr>
        <w:t>j</w:t>
      </w:r>
      <w:r w:rsidRPr="00E3657F">
        <w:rPr>
          <w:sz w:val="22"/>
          <w:szCs w:val="22"/>
        </w:rPr>
        <w:t>enjuje kod žena koje pokušavaju da zatrudne, ili se prim</w:t>
      </w:r>
      <w:r w:rsidR="00C5704B">
        <w:rPr>
          <w:sz w:val="22"/>
          <w:szCs w:val="22"/>
        </w:rPr>
        <w:t>j</w:t>
      </w:r>
      <w:r w:rsidRPr="00E3657F">
        <w:rPr>
          <w:sz w:val="22"/>
          <w:szCs w:val="22"/>
        </w:rPr>
        <w:t>enjuj</w:t>
      </w:r>
      <w:r w:rsidR="0036522A" w:rsidRPr="0036522A">
        <w:rPr>
          <w:sz w:val="22"/>
          <w:szCs w:val="22"/>
        </w:rPr>
        <w:t>e tokom prvog i drugog trom</w:t>
      </w:r>
      <w:r w:rsidR="00973B56">
        <w:rPr>
          <w:sz w:val="22"/>
          <w:szCs w:val="22"/>
        </w:rPr>
        <w:t>j</w:t>
      </w:r>
      <w:r w:rsidR="0036522A" w:rsidRPr="0036522A">
        <w:rPr>
          <w:sz w:val="22"/>
          <w:szCs w:val="22"/>
        </w:rPr>
        <w:t>e</w:t>
      </w:r>
      <w:r w:rsidR="0036522A">
        <w:rPr>
          <w:sz w:val="22"/>
          <w:szCs w:val="22"/>
        </w:rPr>
        <w:t>sečja</w:t>
      </w:r>
      <w:r w:rsidRPr="00E3657F">
        <w:rPr>
          <w:sz w:val="22"/>
          <w:szCs w:val="22"/>
        </w:rPr>
        <w:t xml:space="preserve"> trudnoće, dozu je potrebno održati što nižom, a trajanje l</w:t>
      </w:r>
      <w:r w:rsidR="00C5704B">
        <w:rPr>
          <w:sz w:val="22"/>
          <w:szCs w:val="22"/>
        </w:rPr>
        <w:t>ij</w:t>
      </w:r>
      <w:r w:rsidRPr="00E3657F">
        <w:rPr>
          <w:sz w:val="22"/>
          <w:szCs w:val="22"/>
        </w:rPr>
        <w:t>ečenja što kraćim. Nakon izlaganja ibuprofenu tokom nekoliko dana od 20. ned</w:t>
      </w:r>
      <w:r w:rsidR="00C5704B">
        <w:rPr>
          <w:sz w:val="22"/>
          <w:szCs w:val="22"/>
        </w:rPr>
        <w:t>j</w:t>
      </w:r>
      <w:r w:rsidRPr="00E3657F">
        <w:rPr>
          <w:sz w:val="22"/>
          <w:szCs w:val="22"/>
        </w:rPr>
        <w:t>elje trudnoće</w:t>
      </w:r>
      <w:r w:rsidR="0036522A">
        <w:rPr>
          <w:sz w:val="22"/>
          <w:szCs w:val="22"/>
        </w:rPr>
        <w:t xml:space="preserve"> pa</w:t>
      </w:r>
      <w:r w:rsidRPr="00E3657F">
        <w:rPr>
          <w:sz w:val="22"/>
          <w:szCs w:val="22"/>
        </w:rPr>
        <w:t xml:space="preserve"> nadalje, treba razmotriti prenatalni monitoring</w:t>
      </w:r>
      <w:r w:rsidR="0036522A">
        <w:rPr>
          <w:sz w:val="22"/>
          <w:szCs w:val="22"/>
        </w:rPr>
        <w:t xml:space="preserve"> radi otkrivanja</w:t>
      </w:r>
      <w:r w:rsidRPr="00E3657F">
        <w:rPr>
          <w:sz w:val="22"/>
          <w:szCs w:val="22"/>
        </w:rPr>
        <w:t xml:space="preserve"> oligohidramniona i suženja </w:t>
      </w:r>
      <w:r w:rsidRPr="00E3657F">
        <w:rPr>
          <w:i/>
          <w:sz w:val="22"/>
          <w:szCs w:val="22"/>
        </w:rPr>
        <w:t>ductus arteriousus</w:t>
      </w:r>
      <w:r w:rsidR="0036522A">
        <w:rPr>
          <w:sz w:val="22"/>
          <w:szCs w:val="22"/>
        </w:rPr>
        <w:t>-a</w:t>
      </w:r>
      <w:r w:rsidR="0036522A" w:rsidRPr="0036522A">
        <w:rPr>
          <w:sz w:val="22"/>
          <w:szCs w:val="22"/>
        </w:rPr>
        <w:t>. Ako se utvrdi oligohidramnio</w:t>
      </w:r>
      <w:r w:rsidR="0036522A">
        <w:rPr>
          <w:sz w:val="22"/>
          <w:szCs w:val="22"/>
        </w:rPr>
        <w:t>n</w:t>
      </w:r>
      <w:r w:rsidRPr="00E3657F">
        <w:rPr>
          <w:sz w:val="22"/>
          <w:szCs w:val="22"/>
        </w:rPr>
        <w:t xml:space="preserve"> ili suženje </w:t>
      </w:r>
      <w:r w:rsidRPr="00E3657F">
        <w:rPr>
          <w:i/>
          <w:sz w:val="22"/>
          <w:szCs w:val="22"/>
        </w:rPr>
        <w:t>ductus arteriousus</w:t>
      </w:r>
      <w:r w:rsidR="0036522A">
        <w:rPr>
          <w:sz w:val="22"/>
          <w:szCs w:val="22"/>
        </w:rPr>
        <w:t>-a</w:t>
      </w:r>
      <w:r w:rsidRPr="00E3657F">
        <w:rPr>
          <w:sz w:val="22"/>
          <w:szCs w:val="22"/>
        </w:rPr>
        <w:t>, potrebno je prekinuti l</w:t>
      </w:r>
      <w:r w:rsidR="00C5704B">
        <w:rPr>
          <w:sz w:val="22"/>
          <w:szCs w:val="22"/>
        </w:rPr>
        <w:t>ij</w:t>
      </w:r>
      <w:r w:rsidRPr="00E3657F">
        <w:rPr>
          <w:sz w:val="22"/>
          <w:szCs w:val="22"/>
        </w:rPr>
        <w:t>ečenje ibuprofenom.</w:t>
      </w:r>
    </w:p>
    <w:p w14:paraId="4F17E32A" w14:textId="77777777" w:rsidR="00616150" w:rsidRPr="00F63435" w:rsidRDefault="00616150" w:rsidP="00D953F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A0EEAC1" w14:textId="77777777" w:rsidR="00CA2199" w:rsidRPr="00F63435" w:rsidRDefault="009D45CA" w:rsidP="00B04B06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Tokom prvog i drugog trimestra </w:t>
      </w:r>
      <w:r w:rsidR="00CA2199" w:rsidRPr="00F63435">
        <w:rPr>
          <w:sz w:val="22"/>
          <w:szCs w:val="22"/>
          <w:lang w:val="sr-Latn-ME"/>
        </w:rPr>
        <w:t xml:space="preserve">trudnoće ibuprofen se ne smije primjenjivati, osim ako je to </w:t>
      </w:r>
      <w:r w:rsidR="001E6A0B" w:rsidRPr="00F63435">
        <w:rPr>
          <w:sz w:val="22"/>
          <w:szCs w:val="22"/>
          <w:lang w:val="sr-Latn-ME"/>
        </w:rPr>
        <w:t>neophodno</w:t>
      </w:r>
      <w:r w:rsidRPr="00F63435">
        <w:rPr>
          <w:sz w:val="22"/>
          <w:szCs w:val="22"/>
          <w:lang w:val="sr-Latn-ME"/>
        </w:rPr>
        <w:t>. Ako se ibuprofen primjenjuje kod</w:t>
      </w:r>
      <w:r w:rsidR="00CA2199" w:rsidRPr="00F63435">
        <w:rPr>
          <w:sz w:val="22"/>
          <w:szCs w:val="22"/>
          <w:lang w:val="sr-Latn-ME"/>
        </w:rPr>
        <w:t xml:space="preserve"> žena k</w:t>
      </w:r>
      <w:r w:rsidR="00A321A4" w:rsidRPr="00F63435">
        <w:rPr>
          <w:sz w:val="22"/>
          <w:szCs w:val="22"/>
          <w:lang w:val="sr-Latn-ME"/>
        </w:rPr>
        <w:t xml:space="preserve">oje pokušavaju </w:t>
      </w:r>
      <w:r w:rsidR="001E6A0B" w:rsidRPr="00F63435">
        <w:rPr>
          <w:sz w:val="22"/>
          <w:szCs w:val="22"/>
          <w:lang w:val="sr-Latn-ME"/>
        </w:rPr>
        <w:t xml:space="preserve">da zatrudne </w:t>
      </w:r>
      <w:r w:rsidRPr="00F63435">
        <w:rPr>
          <w:sz w:val="22"/>
          <w:szCs w:val="22"/>
          <w:lang w:val="sr-Latn-ME"/>
        </w:rPr>
        <w:t>ili to</w:t>
      </w:r>
      <w:r w:rsidR="00CA2199" w:rsidRPr="00F63435">
        <w:rPr>
          <w:sz w:val="22"/>
          <w:szCs w:val="22"/>
          <w:lang w:val="sr-Latn-ME"/>
        </w:rPr>
        <w:t xml:space="preserve">kom prvog i drugog </w:t>
      </w:r>
      <w:r w:rsidR="00A321A4" w:rsidRPr="00F63435">
        <w:rPr>
          <w:sz w:val="22"/>
          <w:szCs w:val="22"/>
          <w:lang w:val="sr-Latn-ME"/>
        </w:rPr>
        <w:t>trimestra</w:t>
      </w:r>
      <w:r w:rsidRPr="00F63435">
        <w:rPr>
          <w:sz w:val="22"/>
          <w:szCs w:val="22"/>
          <w:lang w:val="sr-Latn-ME"/>
        </w:rPr>
        <w:t xml:space="preserve"> </w:t>
      </w:r>
      <w:r w:rsidR="00CA2199" w:rsidRPr="00F63435">
        <w:rPr>
          <w:sz w:val="22"/>
          <w:szCs w:val="22"/>
          <w:lang w:val="sr-Latn-ME"/>
        </w:rPr>
        <w:t>trudnoće, treba primj</w:t>
      </w:r>
      <w:r w:rsidR="00026ED3" w:rsidRPr="00F63435">
        <w:rPr>
          <w:sz w:val="22"/>
          <w:szCs w:val="22"/>
          <w:lang w:val="sr-Latn-ME"/>
        </w:rPr>
        <w:t xml:space="preserve">enjivati najmanje moguće doze </w:t>
      </w:r>
      <w:r w:rsidR="001E6A0B" w:rsidRPr="00F63435">
        <w:rPr>
          <w:sz w:val="22"/>
          <w:szCs w:val="22"/>
          <w:lang w:val="sr-Latn-ME"/>
        </w:rPr>
        <w:t xml:space="preserve">tokom </w:t>
      </w:r>
      <w:r w:rsidR="00CA2199" w:rsidRPr="00F63435">
        <w:rPr>
          <w:sz w:val="22"/>
          <w:szCs w:val="22"/>
          <w:lang w:val="sr-Latn-ME"/>
        </w:rPr>
        <w:t xml:space="preserve">najkraćeg mogućeg perioda. </w:t>
      </w:r>
    </w:p>
    <w:p w14:paraId="5950D2AA" w14:textId="77777777" w:rsidR="00CA2199" w:rsidRPr="00F63435" w:rsidRDefault="00CA2199" w:rsidP="00C81AB0">
      <w:pPr>
        <w:pStyle w:val="Default"/>
        <w:jc w:val="both"/>
        <w:rPr>
          <w:sz w:val="22"/>
          <w:szCs w:val="22"/>
          <w:lang w:val="sr-Latn-ME"/>
        </w:rPr>
      </w:pPr>
    </w:p>
    <w:p w14:paraId="0CAEBAD3" w14:textId="242E6F09" w:rsidR="00CA2199" w:rsidRPr="00F63435" w:rsidRDefault="009D45CA" w:rsidP="00FD6E4F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Tokom trećeg trimestra</w:t>
      </w:r>
      <w:r w:rsidR="00CA2199" w:rsidRPr="00F63435">
        <w:rPr>
          <w:sz w:val="22"/>
          <w:szCs w:val="22"/>
          <w:lang w:val="sr-Latn-ME"/>
        </w:rPr>
        <w:t xml:space="preserve"> trudnoće, svi inhibitori sinteze prostaglandina mogu izložiti</w:t>
      </w:r>
      <w:r w:rsidR="00C5704B">
        <w:rPr>
          <w:sz w:val="22"/>
          <w:szCs w:val="22"/>
          <w:lang w:val="sr-Latn-ME"/>
        </w:rPr>
        <w:t xml:space="preserve"> </w:t>
      </w:r>
      <w:r w:rsidR="00CA2199" w:rsidRPr="00F63435">
        <w:rPr>
          <w:sz w:val="22"/>
          <w:szCs w:val="22"/>
          <w:lang w:val="sr-Latn-ME"/>
        </w:rPr>
        <w:t xml:space="preserve">fetus: </w:t>
      </w:r>
    </w:p>
    <w:p w14:paraId="2641D5D2" w14:textId="0AFA5FF2" w:rsidR="00CA2199" w:rsidRPr="00F63435" w:rsidRDefault="00CA2199" w:rsidP="00CA4BB2">
      <w:pPr>
        <w:pStyle w:val="Default"/>
        <w:spacing w:after="35"/>
        <w:ind w:left="284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-</w:t>
      </w:r>
      <w:r w:rsidR="001E6A0B" w:rsidRPr="00F63435">
        <w:rPr>
          <w:sz w:val="22"/>
          <w:szCs w:val="22"/>
          <w:lang w:val="sr-Latn-ME"/>
        </w:rPr>
        <w:t xml:space="preserve"> </w:t>
      </w:r>
      <w:r w:rsidRPr="00F63435">
        <w:rPr>
          <w:sz w:val="22"/>
          <w:szCs w:val="22"/>
          <w:lang w:val="sr-Latn-ME"/>
        </w:rPr>
        <w:t>kardiopulmonalnoj toksičnosti (</w:t>
      </w:r>
      <w:r w:rsidR="00DE4684">
        <w:rPr>
          <w:sz w:val="22"/>
          <w:szCs w:val="22"/>
          <w:lang w:val="sr-Latn-ME"/>
        </w:rPr>
        <w:t>prevremeno suženje/zatvaranje</w:t>
      </w:r>
      <w:r w:rsidRPr="00F63435">
        <w:rPr>
          <w:sz w:val="22"/>
          <w:szCs w:val="22"/>
          <w:lang w:val="sr-Latn-ME"/>
        </w:rPr>
        <w:t xml:space="preserve"> </w:t>
      </w:r>
      <w:r w:rsidRPr="00F63435">
        <w:rPr>
          <w:i/>
          <w:sz w:val="22"/>
          <w:szCs w:val="22"/>
          <w:lang w:val="sr-Latn-ME"/>
        </w:rPr>
        <w:t>ductus arteriousus</w:t>
      </w:r>
      <w:r w:rsidR="00DE4684">
        <w:rPr>
          <w:i/>
          <w:sz w:val="22"/>
          <w:szCs w:val="22"/>
          <w:lang w:val="sr-Latn-ME"/>
        </w:rPr>
        <w:t>-a</w:t>
      </w:r>
      <w:r w:rsidRPr="00F63435">
        <w:rPr>
          <w:sz w:val="22"/>
          <w:szCs w:val="22"/>
          <w:lang w:val="sr-Latn-ME"/>
        </w:rPr>
        <w:t xml:space="preserve"> i plućn</w:t>
      </w:r>
      <w:r w:rsidR="00DE4684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hipertenzij</w:t>
      </w:r>
      <w:r w:rsidR="00DE4684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>)</w:t>
      </w:r>
      <w:r w:rsidR="004F4350">
        <w:rPr>
          <w:sz w:val="22"/>
          <w:szCs w:val="22"/>
          <w:lang w:val="sr-Latn-ME"/>
        </w:rPr>
        <w:t>;</w:t>
      </w:r>
    </w:p>
    <w:p w14:paraId="46B4905C" w14:textId="0FBFFABB" w:rsidR="00CA2199" w:rsidRPr="00F63435" w:rsidRDefault="00CA2199" w:rsidP="00CA4BB2">
      <w:pPr>
        <w:pStyle w:val="Default"/>
        <w:ind w:left="284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-</w:t>
      </w:r>
      <w:r w:rsidR="001E6A0B" w:rsidRPr="00F63435">
        <w:rPr>
          <w:sz w:val="22"/>
          <w:szCs w:val="22"/>
          <w:lang w:val="sr-Latn-ME"/>
        </w:rPr>
        <w:t xml:space="preserve"> </w:t>
      </w:r>
      <w:r w:rsidR="002F7261">
        <w:rPr>
          <w:sz w:val="22"/>
          <w:szCs w:val="22"/>
          <w:lang w:val="sr-Latn-ME"/>
        </w:rPr>
        <w:t xml:space="preserve">oštećenoj bubrežnoj funkciji </w:t>
      </w:r>
      <w:r w:rsidR="00DE4684">
        <w:rPr>
          <w:sz w:val="22"/>
          <w:szCs w:val="22"/>
          <w:lang w:val="sr-Latn-ME"/>
        </w:rPr>
        <w:t>(vid</w:t>
      </w:r>
      <w:r w:rsidR="00F278B9">
        <w:rPr>
          <w:sz w:val="22"/>
          <w:szCs w:val="22"/>
          <w:lang w:val="sr-Latn-ME"/>
        </w:rPr>
        <w:t>j</w:t>
      </w:r>
      <w:r w:rsidR="00DE4684">
        <w:rPr>
          <w:sz w:val="22"/>
          <w:szCs w:val="22"/>
          <w:lang w:val="sr-Latn-ME"/>
        </w:rPr>
        <w:t>eti prethodno navedeno)</w:t>
      </w:r>
      <w:r w:rsidR="004F4350">
        <w:rPr>
          <w:sz w:val="22"/>
          <w:szCs w:val="22"/>
          <w:lang w:val="sr-Latn-ME"/>
        </w:rPr>
        <w:t>;</w:t>
      </w:r>
    </w:p>
    <w:p w14:paraId="181306AC" w14:textId="77777777" w:rsidR="00CA2199" w:rsidRPr="00F63435" w:rsidRDefault="00CA2199" w:rsidP="00A91448">
      <w:pPr>
        <w:pStyle w:val="Default"/>
        <w:jc w:val="both"/>
        <w:rPr>
          <w:sz w:val="22"/>
          <w:szCs w:val="22"/>
          <w:lang w:val="sr-Latn-ME"/>
        </w:rPr>
      </w:pPr>
    </w:p>
    <w:p w14:paraId="2CF3A185" w14:textId="77777777" w:rsidR="00CA2199" w:rsidRPr="00F63435" w:rsidRDefault="007E5793" w:rsidP="00504B48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i </w:t>
      </w:r>
      <w:r w:rsidR="00CA2199" w:rsidRPr="00F63435">
        <w:rPr>
          <w:sz w:val="22"/>
          <w:szCs w:val="22"/>
          <w:lang w:val="sr-Latn-ME"/>
        </w:rPr>
        <w:t xml:space="preserve">majku i novorođenče, na kraju trudnoće: </w:t>
      </w:r>
    </w:p>
    <w:p w14:paraId="1988252A" w14:textId="377216A5" w:rsidR="00CA2199" w:rsidRPr="00F63435" w:rsidRDefault="00CA2199" w:rsidP="00CA4BB2">
      <w:pPr>
        <w:pStyle w:val="Default"/>
        <w:ind w:left="284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-</w:t>
      </w:r>
      <w:r w:rsidR="001E6A0B" w:rsidRPr="00F63435">
        <w:rPr>
          <w:sz w:val="22"/>
          <w:szCs w:val="22"/>
          <w:lang w:val="sr-Latn-ME"/>
        </w:rPr>
        <w:t xml:space="preserve"> </w:t>
      </w:r>
      <w:r w:rsidRPr="00F63435">
        <w:rPr>
          <w:sz w:val="22"/>
          <w:szCs w:val="22"/>
          <w:lang w:val="sr-Latn-ME"/>
        </w:rPr>
        <w:t>mogućem produženom vremenu krvarenja, antiagregacijskom učinku koji se može javiti čak i kod vrlo niskih doza</w:t>
      </w:r>
      <w:r w:rsidR="00E63013" w:rsidRPr="00F63435">
        <w:rPr>
          <w:sz w:val="22"/>
          <w:szCs w:val="22"/>
          <w:lang w:val="sr-Latn-ME"/>
        </w:rPr>
        <w:t>,</w:t>
      </w:r>
      <w:r w:rsidRPr="00F63435">
        <w:rPr>
          <w:sz w:val="22"/>
          <w:szCs w:val="22"/>
          <w:lang w:val="sr-Latn-ME"/>
        </w:rPr>
        <w:t xml:space="preserve"> </w:t>
      </w:r>
    </w:p>
    <w:p w14:paraId="1706786E" w14:textId="77777777" w:rsidR="00CA2199" w:rsidRPr="00F63435" w:rsidRDefault="00CA2199" w:rsidP="00CA4BB2">
      <w:pPr>
        <w:pStyle w:val="Default"/>
        <w:ind w:left="284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-</w:t>
      </w:r>
      <w:r w:rsidR="001E6A0B" w:rsidRPr="00F63435">
        <w:rPr>
          <w:sz w:val="22"/>
          <w:szCs w:val="22"/>
          <w:lang w:val="sr-Latn-ME"/>
        </w:rPr>
        <w:t xml:space="preserve"> </w:t>
      </w:r>
      <w:r w:rsidRPr="00F63435">
        <w:rPr>
          <w:sz w:val="22"/>
          <w:szCs w:val="22"/>
          <w:lang w:val="sr-Latn-ME"/>
        </w:rPr>
        <w:t>inhibiciji kontrakcija mater</w:t>
      </w:r>
      <w:r w:rsidR="003249C3" w:rsidRPr="00F63435">
        <w:rPr>
          <w:sz w:val="22"/>
          <w:szCs w:val="22"/>
          <w:lang w:val="sr-Latn-ME"/>
        </w:rPr>
        <w:t>ice, što može rezultirati odloženim</w:t>
      </w:r>
      <w:r w:rsidRPr="00F63435">
        <w:rPr>
          <w:sz w:val="22"/>
          <w:szCs w:val="22"/>
          <w:lang w:val="sr-Latn-ME"/>
        </w:rPr>
        <w:t xml:space="preserve"> ili produženim </w:t>
      </w:r>
      <w:r w:rsidR="001E6A0B" w:rsidRPr="00F63435">
        <w:rPr>
          <w:sz w:val="22"/>
          <w:szCs w:val="22"/>
          <w:lang w:val="sr-Latn-ME"/>
        </w:rPr>
        <w:t>porođajem</w:t>
      </w:r>
      <w:r w:rsidRPr="00F63435">
        <w:rPr>
          <w:sz w:val="22"/>
          <w:szCs w:val="22"/>
          <w:lang w:val="sr-Latn-ME"/>
        </w:rPr>
        <w:t xml:space="preserve">. </w:t>
      </w:r>
    </w:p>
    <w:p w14:paraId="6E46C1F7" w14:textId="77777777" w:rsidR="00CA2199" w:rsidRPr="00F63435" w:rsidRDefault="00CA2199">
      <w:pPr>
        <w:pStyle w:val="Default"/>
        <w:jc w:val="both"/>
        <w:rPr>
          <w:sz w:val="22"/>
          <w:szCs w:val="22"/>
          <w:lang w:val="sr-Latn-ME"/>
        </w:rPr>
      </w:pPr>
    </w:p>
    <w:p w14:paraId="2B8C0ECD" w14:textId="4153FC4C" w:rsidR="00CA2199" w:rsidRPr="00F63435" w:rsidRDefault="003249C3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Prema </w:t>
      </w:r>
      <w:r w:rsidR="00CA2199" w:rsidRPr="00F63435">
        <w:rPr>
          <w:sz w:val="22"/>
          <w:szCs w:val="22"/>
          <w:lang w:val="sr-Latn-ME"/>
        </w:rPr>
        <w:t>tome, primjena ibuprofena je kon</w:t>
      </w:r>
      <w:r w:rsidRPr="00F63435">
        <w:rPr>
          <w:sz w:val="22"/>
          <w:szCs w:val="22"/>
          <w:lang w:val="sr-Latn-ME"/>
        </w:rPr>
        <w:t>traindikovana to</w:t>
      </w:r>
      <w:r w:rsidR="00CA2199" w:rsidRPr="00F63435">
        <w:rPr>
          <w:sz w:val="22"/>
          <w:szCs w:val="22"/>
          <w:lang w:val="sr-Latn-ME"/>
        </w:rPr>
        <w:t>kom trećeg t</w:t>
      </w:r>
      <w:r w:rsidRPr="00F63435">
        <w:rPr>
          <w:sz w:val="22"/>
          <w:szCs w:val="22"/>
          <w:lang w:val="sr-Latn-ME"/>
        </w:rPr>
        <w:t>rimestr</w:t>
      </w:r>
      <w:r w:rsidR="00CA2199" w:rsidRPr="00F63435">
        <w:rPr>
          <w:sz w:val="22"/>
          <w:szCs w:val="22"/>
          <w:lang w:val="sr-Latn-ME"/>
        </w:rPr>
        <w:t>a trudnoće</w:t>
      </w:r>
      <w:r w:rsidR="00F278B9">
        <w:rPr>
          <w:sz w:val="22"/>
          <w:szCs w:val="22"/>
          <w:lang w:val="sr-Latn-ME"/>
        </w:rPr>
        <w:t xml:space="preserve"> (vidjeti dio</w:t>
      </w:r>
      <w:r w:rsidR="00DE4684">
        <w:rPr>
          <w:sz w:val="22"/>
          <w:szCs w:val="22"/>
          <w:lang w:val="sr-Latn-ME"/>
        </w:rPr>
        <w:t xml:space="preserve"> 4.3)</w:t>
      </w:r>
      <w:r w:rsidR="00CA2199" w:rsidRPr="00F63435">
        <w:rPr>
          <w:sz w:val="22"/>
          <w:szCs w:val="22"/>
          <w:lang w:val="sr-Latn-ME"/>
        </w:rPr>
        <w:t xml:space="preserve">. </w:t>
      </w:r>
    </w:p>
    <w:p w14:paraId="3720A1DE" w14:textId="77777777" w:rsidR="00CA2199" w:rsidRPr="00F63435" w:rsidRDefault="00CA2199" w:rsidP="001E234A">
      <w:pPr>
        <w:pStyle w:val="Default"/>
        <w:jc w:val="both"/>
        <w:rPr>
          <w:sz w:val="22"/>
          <w:szCs w:val="22"/>
          <w:lang w:val="sr-Latn-ME"/>
        </w:rPr>
      </w:pPr>
    </w:p>
    <w:p w14:paraId="79EEA1DA" w14:textId="77777777" w:rsidR="00CA2199" w:rsidRPr="00F63435" w:rsidRDefault="00CA2199" w:rsidP="001E234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63435">
        <w:rPr>
          <w:sz w:val="22"/>
          <w:szCs w:val="22"/>
          <w:u w:val="single"/>
          <w:lang w:val="sr-Latn-ME"/>
        </w:rPr>
        <w:t xml:space="preserve">Dojenje </w:t>
      </w:r>
    </w:p>
    <w:p w14:paraId="52C43117" w14:textId="77777777" w:rsidR="00CA2199" w:rsidRPr="00F63435" w:rsidRDefault="00CA2199" w:rsidP="001E234A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U ograničenim ispitivanji</w:t>
      </w:r>
      <w:r w:rsidR="00373A26" w:rsidRPr="00F63435">
        <w:rPr>
          <w:sz w:val="22"/>
          <w:szCs w:val="22"/>
          <w:lang w:val="sr-Latn-ME"/>
        </w:rPr>
        <w:t>ma</w:t>
      </w:r>
      <w:r w:rsidR="007E5793" w:rsidRPr="00F63435">
        <w:rPr>
          <w:sz w:val="22"/>
          <w:szCs w:val="22"/>
          <w:lang w:val="sr-Latn-ME"/>
        </w:rPr>
        <w:t>,</w:t>
      </w:r>
      <w:r w:rsidR="00373A26" w:rsidRPr="00F63435">
        <w:rPr>
          <w:sz w:val="22"/>
          <w:szCs w:val="22"/>
          <w:lang w:val="sr-Latn-ME"/>
        </w:rPr>
        <w:t xml:space="preserve"> utvrđ</w:t>
      </w:r>
      <w:r w:rsidRPr="00F63435">
        <w:rPr>
          <w:sz w:val="22"/>
          <w:szCs w:val="22"/>
          <w:lang w:val="sr-Latn-ME"/>
        </w:rPr>
        <w:t>eno je da ibuprofen u majčinom mlijeku postiže vrlo niske koncentracije za koje se pretpostavlja</w:t>
      </w:r>
      <w:r w:rsidR="00373A26" w:rsidRPr="00F63435">
        <w:rPr>
          <w:sz w:val="22"/>
          <w:szCs w:val="22"/>
          <w:lang w:val="sr-Latn-ME"/>
        </w:rPr>
        <w:t xml:space="preserve"> da</w:t>
      </w:r>
      <w:r w:rsidR="008855F9" w:rsidRPr="00F63435">
        <w:rPr>
          <w:sz w:val="22"/>
          <w:szCs w:val="22"/>
          <w:lang w:val="sr-Latn-ME"/>
        </w:rPr>
        <w:t xml:space="preserve"> nemaju štetnog uti</w:t>
      </w:r>
      <w:r w:rsidR="00026ED3" w:rsidRPr="00F63435">
        <w:rPr>
          <w:sz w:val="22"/>
          <w:szCs w:val="22"/>
          <w:lang w:val="sr-Latn-ME"/>
        </w:rPr>
        <w:t>caja na odojče</w:t>
      </w:r>
      <w:r w:rsidR="00373A26" w:rsidRPr="00F63435">
        <w:rPr>
          <w:sz w:val="22"/>
          <w:szCs w:val="22"/>
          <w:lang w:val="sr-Latn-ME"/>
        </w:rPr>
        <w:t>.</w:t>
      </w:r>
      <w:r w:rsidRPr="00F63435">
        <w:rPr>
          <w:sz w:val="22"/>
          <w:szCs w:val="22"/>
          <w:lang w:val="sr-Latn-ME"/>
        </w:rPr>
        <w:t xml:space="preserve"> </w:t>
      </w:r>
    </w:p>
    <w:p w14:paraId="4B9C13CD" w14:textId="77777777" w:rsidR="00CA2199" w:rsidRPr="00F63435" w:rsidRDefault="00CA2199" w:rsidP="001E234A">
      <w:pPr>
        <w:pStyle w:val="Default"/>
        <w:jc w:val="both"/>
        <w:rPr>
          <w:sz w:val="22"/>
          <w:szCs w:val="22"/>
          <w:lang w:val="sr-Latn-ME"/>
        </w:rPr>
      </w:pPr>
    </w:p>
    <w:p w14:paraId="3DB06E26" w14:textId="77777777" w:rsidR="00CA2199" w:rsidRPr="00F63435" w:rsidRDefault="00CA2199" w:rsidP="001E234A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F63435">
        <w:rPr>
          <w:sz w:val="22"/>
          <w:szCs w:val="22"/>
          <w:u w:val="single"/>
          <w:lang w:val="sr-Latn-ME"/>
        </w:rPr>
        <w:t xml:space="preserve">Plodnost </w:t>
      </w:r>
    </w:p>
    <w:p w14:paraId="347E7701" w14:textId="77777777" w:rsidR="00AC5146" w:rsidRPr="00F63435" w:rsidRDefault="00CA2199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Postoje dokazi da </w:t>
      </w:r>
      <w:r w:rsidR="007E5793" w:rsidRPr="00F63435">
        <w:rPr>
          <w:sz w:val="22"/>
          <w:szCs w:val="22"/>
          <w:lang w:val="sr-Latn-ME"/>
        </w:rPr>
        <w:t xml:space="preserve">supstance </w:t>
      </w:r>
      <w:r w:rsidRPr="00F63435">
        <w:rPr>
          <w:sz w:val="22"/>
          <w:szCs w:val="22"/>
          <w:lang w:val="sr-Latn-ME"/>
        </w:rPr>
        <w:t xml:space="preserve">koje inhibiraju ciklooksigenazu/sintezu prostaglandina mogu negativno djelovati na plodnost žena učinkom na ovulaciju. </w:t>
      </w:r>
      <w:r w:rsidR="00373A26" w:rsidRPr="00F63435">
        <w:rPr>
          <w:sz w:val="22"/>
          <w:szCs w:val="22"/>
          <w:lang w:val="sr-Latn-ME"/>
        </w:rPr>
        <w:t>Ovo dejstvo</w:t>
      </w:r>
      <w:r w:rsidRPr="00F63435">
        <w:rPr>
          <w:sz w:val="22"/>
          <w:szCs w:val="22"/>
          <w:lang w:val="sr-Latn-ME"/>
        </w:rPr>
        <w:t xml:space="preserve"> se povlači nakon prestanka terapije.</w:t>
      </w:r>
    </w:p>
    <w:p w14:paraId="72A83AFA" w14:textId="77777777" w:rsidR="00CA2199" w:rsidRPr="00F63435" w:rsidRDefault="00CA2199" w:rsidP="00D953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Vidjeti dio 4.4 vezano </w:t>
      </w:r>
      <w:r w:rsidR="007E5793" w:rsidRPr="00F63435">
        <w:rPr>
          <w:bCs/>
          <w:sz w:val="22"/>
          <w:szCs w:val="22"/>
          <w:lang w:val="sr-Latn-ME"/>
        </w:rPr>
        <w:t xml:space="preserve">za </w:t>
      </w:r>
      <w:r w:rsidRPr="00F63435">
        <w:rPr>
          <w:bCs/>
          <w:sz w:val="22"/>
          <w:szCs w:val="22"/>
          <w:lang w:val="sr-Latn-ME"/>
        </w:rPr>
        <w:t>plodnost kod žena.</w:t>
      </w:r>
    </w:p>
    <w:p w14:paraId="3AEB6BF3" w14:textId="77777777" w:rsidR="00AC5146" w:rsidRPr="00F63435" w:rsidRDefault="00AC5146" w:rsidP="001E23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992F1A" w14:textId="77777777" w:rsidR="00AC5146" w:rsidRPr="00F63435" w:rsidRDefault="00AC5146" w:rsidP="001E234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4.7. </w:t>
      </w:r>
      <w:r w:rsidRPr="00F63435">
        <w:rPr>
          <w:b/>
          <w:bCs/>
          <w:sz w:val="22"/>
          <w:szCs w:val="22"/>
          <w:lang w:val="sr-Latn-ME"/>
        </w:rPr>
        <w:tab/>
      </w:r>
      <w:r w:rsidR="00CB3095" w:rsidRPr="00F63435">
        <w:rPr>
          <w:b/>
          <w:bCs/>
          <w:sz w:val="22"/>
          <w:szCs w:val="22"/>
          <w:lang w:val="sr-Latn-ME"/>
        </w:rPr>
        <w:t>Uticaj na sposobnost</w:t>
      </w:r>
      <w:r w:rsidRPr="00F63435">
        <w:rPr>
          <w:b/>
          <w:bCs/>
          <w:sz w:val="22"/>
          <w:szCs w:val="22"/>
          <w:lang w:val="sr-Latn-ME"/>
        </w:rPr>
        <w:t xml:space="preserve"> upravljanja vozilima i </w:t>
      </w:r>
      <w:r w:rsidR="00E7278D" w:rsidRPr="00F63435">
        <w:rPr>
          <w:b/>
          <w:bCs/>
          <w:sz w:val="22"/>
          <w:szCs w:val="22"/>
          <w:lang w:val="sr-Latn-ME"/>
        </w:rPr>
        <w:t xml:space="preserve">rukovanje </w:t>
      </w:r>
      <w:r w:rsidRPr="00F63435">
        <w:rPr>
          <w:b/>
          <w:bCs/>
          <w:sz w:val="22"/>
          <w:szCs w:val="22"/>
          <w:lang w:val="sr-Latn-ME"/>
        </w:rPr>
        <w:t>mašinama</w:t>
      </w:r>
    </w:p>
    <w:p w14:paraId="33B0F2E1" w14:textId="77777777" w:rsidR="00AC5146" w:rsidRPr="00F63435" w:rsidRDefault="00AC5146" w:rsidP="001E234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6627416" w14:textId="77777777" w:rsidR="00364F0F" w:rsidRPr="00F63435" w:rsidRDefault="00CA2199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Ne očekuje se da uzimanje</w:t>
      </w:r>
      <w:r w:rsidR="00CB3095" w:rsidRPr="00F63435">
        <w:rPr>
          <w:bCs/>
          <w:sz w:val="22"/>
          <w:szCs w:val="22"/>
          <w:lang w:val="sr-Latn-ME"/>
        </w:rPr>
        <w:t xml:space="preserve"> lijeka Nurofen za djecu oralna</w:t>
      </w:r>
      <w:r w:rsidRPr="00F63435">
        <w:rPr>
          <w:bCs/>
          <w:sz w:val="22"/>
          <w:szCs w:val="22"/>
          <w:lang w:val="sr-Latn-ME"/>
        </w:rPr>
        <w:t xml:space="preserve"> </w:t>
      </w:r>
      <w:r w:rsidR="00CB3095" w:rsidRPr="00F63435">
        <w:rPr>
          <w:bCs/>
          <w:sz w:val="22"/>
          <w:szCs w:val="22"/>
          <w:lang w:val="sr-Latn-ME"/>
        </w:rPr>
        <w:t>suspenzija</w:t>
      </w:r>
      <w:r w:rsidRPr="00F63435">
        <w:rPr>
          <w:bCs/>
          <w:sz w:val="22"/>
          <w:szCs w:val="22"/>
          <w:lang w:val="sr-Latn-ME"/>
        </w:rPr>
        <w:t xml:space="preserve"> u preporučeno</w:t>
      </w:r>
      <w:r w:rsidR="004E4067" w:rsidRPr="00F63435">
        <w:rPr>
          <w:bCs/>
          <w:sz w:val="22"/>
          <w:szCs w:val="22"/>
          <w:lang w:val="sr-Latn-ME"/>
        </w:rPr>
        <w:t>j dozi i trajanju liječenja uti</w:t>
      </w:r>
      <w:r w:rsidRPr="00F63435">
        <w:rPr>
          <w:bCs/>
          <w:sz w:val="22"/>
          <w:szCs w:val="22"/>
          <w:lang w:val="sr-Latn-ME"/>
        </w:rPr>
        <w:t xml:space="preserve">če na sposobnost upravljanja vozilima </w:t>
      </w:r>
      <w:r w:rsidR="00CB3095" w:rsidRPr="00F63435">
        <w:rPr>
          <w:bCs/>
          <w:sz w:val="22"/>
          <w:szCs w:val="22"/>
          <w:lang w:val="sr-Latn-ME"/>
        </w:rPr>
        <w:t>i rukovanja</w:t>
      </w:r>
      <w:r w:rsidRPr="00F63435">
        <w:rPr>
          <w:bCs/>
          <w:sz w:val="22"/>
          <w:szCs w:val="22"/>
          <w:lang w:val="sr-Latn-ME"/>
        </w:rPr>
        <w:t xml:space="preserve"> mašinama.</w:t>
      </w:r>
    </w:p>
    <w:p w14:paraId="2A0C3B5F" w14:textId="77777777" w:rsidR="00CA2199" w:rsidRPr="00F63435" w:rsidRDefault="00CA2199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24E7B03" w14:textId="77777777" w:rsidR="00CA2199" w:rsidRPr="00F63435" w:rsidRDefault="0072020E" w:rsidP="00CA2199">
      <w:pPr>
        <w:tabs>
          <w:tab w:val="left" w:pos="540"/>
          <w:tab w:val="left" w:pos="569"/>
        </w:tabs>
        <w:rPr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4.8.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Neželjena dejstva</w:t>
      </w:r>
    </w:p>
    <w:p w14:paraId="07D1F138" w14:textId="77777777" w:rsidR="00CA2199" w:rsidRPr="00F63435" w:rsidRDefault="00CA2199" w:rsidP="00CA2199">
      <w:pPr>
        <w:pStyle w:val="Default"/>
        <w:rPr>
          <w:lang w:val="sr-Latn-ME"/>
        </w:rPr>
      </w:pPr>
    </w:p>
    <w:p w14:paraId="1C1F9DA1" w14:textId="530289AF" w:rsidR="00C52929" w:rsidRPr="00F63435" w:rsidRDefault="00C52929" w:rsidP="00CA2199">
      <w:pPr>
        <w:pStyle w:val="Default"/>
        <w:rPr>
          <w:sz w:val="22"/>
          <w:szCs w:val="22"/>
          <w:u w:val="single"/>
          <w:lang w:val="sr-Latn-ME"/>
        </w:rPr>
      </w:pPr>
      <w:r w:rsidRPr="00F63435">
        <w:rPr>
          <w:sz w:val="22"/>
          <w:szCs w:val="22"/>
          <w:u w:val="single"/>
          <w:lang w:val="sr-Latn-ME"/>
        </w:rPr>
        <w:t>Sažetak bezbjednosnog profila</w:t>
      </w:r>
    </w:p>
    <w:p w14:paraId="03EEEA61" w14:textId="77777777" w:rsidR="00C52929" w:rsidRPr="00F63435" w:rsidRDefault="00C52929" w:rsidP="00CA2199">
      <w:pPr>
        <w:pStyle w:val="Default"/>
        <w:jc w:val="both"/>
        <w:rPr>
          <w:sz w:val="22"/>
          <w:szCs w:val="22"/>
          <w:lang w:val="sr-Latn-ME"/>
        </w:rPr>
      </w:pPr>
    </w:p>
    <w:p w14:paraId="7FA24A40" w14:textId="77777777" w:rsidR="00CA2199" w:rsidRPr="00F63435" w:rsidRDefault="00CB3095" w:rsidP="00CA2199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Spisak</w:t>
      </w:r>
      <w:r w:rsidR="00224A97" w:rsidRPr="00F63435">
        <w:rPr>
          <w:sz w:val="22"/>
          <w:szCs w:val="22"/>
          <w:lang w:val="sr-Latn-ME"/>
        </w:rPr>
        <w:t xml:space="preserve"> sljedećih </w:t>
      </w:r>
      <w:r w:rsidR="00A321A4" w:rsidRPr="00F63435">
        <w:rPr>
          <w:sz w:val="22"/>
          <w:szCs w:val="22"/>
          <w:lang w:val="sr-Latn-ME"/>
        </w:rPr>
        <w:t>neželjenih dejstava</w:t>
      </w:r>
      <w:r w:rsidR="00224A97" w:rsidRPr="00F63435">
        <w:rPr>
          <w:sz w:val="22"/>
          <w:szCs w:val="22"/>
          <w:lang w:val="sr-Latn-ME"/>
        </w:rPr>
        <w:t xml:space="preserve"> obuhvata sva neželjena dejstva zabilježena to</w:t>
      </w:r>
      <w:r w:rsidR="00CA2199" w:rsidRPr="00F63435">
        <w:rPr>
          <w:sz w:val="22"/>
          <w:szCs w:val="22"/>
          <w:lang w:val="sr-Latn-ME"/>
        </w:rPr>
        <w:t>kom primjene ibuprofena,</w:t>
      </w:r>
      <w:r w:rsidR="00224A97" w:rsidRPr="00F63435">
        <w:rPr>
          <w:sz w:val="22"/>
          <w:szCs w:val="22"/>
          <w:lang w:val="sr-Latn-ME"/>
        </w:rPr>
        <w:t xml:space="preserve"> takođe</w:t>
      </w:r>
      <w:r w:rsidR="00CA2199" w:rsidRPr="00F63435">
        <w:rPr>
          <w:sz w:val="22"/>
          <w:szCs w:val="22"/>
          <w:lang w:val="sr-Latn-ME"/>
        </w:rPr>
        <w:t xml:space="preserve"> i on</w:t>
      </w:r>
      <w:r w:rsidR="00C04433" w:rsidRPr="00F63435">
        <w:rPr>
          <w:sz w:val="22"/>
          <w:szCs w:val="22"/>
          <w:lang w:val="sr-Latn-ME"/>
        </w:rPr>
        <w:t>a</w:t>
      </w:r>
      <w:r w:rsidR="00CA2199" w:rsidRPr="00F63435">
        <w:rPr>
          <w:sz w:val="22"/>
          <w:szCs w:val="22"/>
          <w:lang w:val="sr-Latn-ME"/>
        </w:rPr>
        <w:t xml:space="preserve"> koj</w:t>
      </w:r>
      <w:r w:rsidR="00C04433" w:rsidRPr="00F63435">
        <w:rPr>
          <w:sz w:val="22"/>
          <w:szCs w:val="22"/>
          <w:lang w:val="sr-Latn-ME"/>
        </w:rPr>
        <w:t>a</w:t>
      </w:r>
      <w:r w:rsidR="00CA2199" w:rsidRPr="00F63435">
        <w:rPr>
          <w:sz w:val="22"/>
          <w:szCs w:val="22"/>
          <w:lang w:val="sr-Latn-ME"/>
        </w:rPr>
        <w:t xml:space="preserve"> su se pojavil</w:t>
      </w:r>
      <w:r w:rsidR="00C04433" w:rsidRPr="00F63435">
        <w:rPr>
          <w:sz w:val="22"/>
          <w:szCs w:val="22"/>
          <w:lang w:val="sr-Latn-ME"/>
        </w:rPr>
        <w:t>a</w:t>
      </w:r>
      <w:r w:rsidR="00CA2199" w:rsidRPr="00F63435">
        <w:rPr>
          <w:sz w:val="22"/>
          <w:szCs w:val="22"/>
          <w:lang w:val="sr-Latn-ME"/>
        </w:rPr>
        <w:t xml:space="preserve"> pri dugotrajnoj primjeni visokih doza lijeka kod reumatskih </w:t>
      </w:r>
      <w:r w:rsidR="00C04433" w:rsidRPr="00F63435">
        <w:rPr>
          <w:sz w:val="22"/>
          <w:szCs w:val="22"/>
          <w:lang w:val="sr-Latn-ME"/>
        </w:rPr>
        <w:t>pacijenata</w:t>
      </w:r>
      <w:r w:rsidR="00CA2199" w:rsidRPr="00F63435">
        <w:rPr>
          <w:sz w:val="22"/>
          <w:szCs w:val="22"/>
          <w:lang w:val="sr-Latn-ME"/>
        </w:rPr>
        <w:t>.</w:t>
      </w:r>
      <w:r w:rsidR="00C04433" w:rsidRPr="00F63435">
        <w:rPr>
          <w:sz w:val="22"/>
          <w:szCs w:val="22"/>
          <w:lang w:val="sr-Latn-ME"/>
        </w:rPr>
        <w:t xml:space="preserve"> </w:t>
      </w:r>
      <w:r w:rsidR="00224A97" w:rsidRPr="00F63435">
        <w:rPr>
          <w:sz w:val="22"/>
          <w:szCs w:val="22"/>
          <w:lang w:val="sr-Latn-ME"/>
        </w:rPr>
        <w:t>Navedena učestalost koja</w:t>
      </w:r>
      <w:r w:rsidR="0072340C" w:rsidRPr="00F63435">
        <w:rPr>
          <w:sz w:val="22"/>
          <w:szCs w:val="22"/>
          <w:lang w:val="sr-Latn-ME"/>
        </w:rPr>
        <w:t xml:space="preserve"> </w:t>
      </w:r>
      <w:r w:rsidR="00224A97" w:rsidRPr="00F63435">
        <w:rPr>
          <w:sz w:val="22"/>
          <w:szCs w:val="22"/>
          <w:lang w:val="sr-Latn-ME"/>
        </w:rPr>
        <w:t>obuhvat</w:t>
      </w:r>
      <w:r w:rsidR="007C6E41" w:rsidRPr="00F63435">
        <w:rPr>
          <w:sz w:val="22"/>
          <w:szCs w:val="22"/>
          <w:lang w:val="sr-Latn-ME"/>
        </w:rPr>
        <w:t>a i v</w:t>
      </w:r>
      <w:r w:rsidR="008310F5" w:rsidRPr="00F63435">
        <w:rPr>
          <w:sz w:val="22"/>
          <w:szCs w:val="22"/>
          <w:lang w:val="sr-Latn-ME"/>
        </w:rPr>
        <w:t>eoma</w:t>
      </w:r>
      <w:r w:rsidR="007C6E41" w:rsidRPr="00F63435">
        <w:rPr>
          <w:sz w:val="22"/>
          <w:szCs w:val="22"/>
          <w:lang w:val="sr-Latn-ME"/>
        </w:rPr>
        <w:t xml:space="preserve"> rijetka</w:t>
      </w:r>
      <w:r w:rsidR="0072340C" w:rsidRPr="00F63435">
        <w:rPr>
          <w:sz w:val="22"/>
          <w:szCs w:val="22"/>
          <w:lang w:val="sr-Latn-ME"/>
        </w:rPr>
        <w:t xml:space="preserve"> </w:t>
      </w:r>
      <w:r w:rsidR="00CA2199" w:rsidRPr="00F63435">
        <w:rPr>
          <w:sz w:val="22"/>
          <w:szCs w:val="22"/>
          <w:lang w:val="sr-Latn-ME"/>
        </w:rPr>
        <w:t>n</w:t>
      </w:r>
      <w:r w:rsidR="00224A97" w:rsidRPr="00F63435">
        <w:rPr>
          <w:sz w:val="22"/>
          <w:szCs w:val="22"/>
          <w:lang w:val="sr-Latn-ME"/>
        </w:rPr>
        <w:t>eželjena dejstva</w:t>
      </w:r>
      <w:r w:rsidR="00CA2199" w:rsidRPr="00F63435">
        <w:rPr>
          <w:sz w:val="22"/>
          <w:szCs w:val="22"/>
          <w:lang w:val="sr-Latn-ME"/>
        </w:rPr>
        <w:t xml:space="preserve">, odnosi se na kratkotrajnu primjenu oralnih oblika ibuprofena u maksimalnoj dnevnoj dozi do 1200 mg ili supozitorija u dozi do 1800 mg. </w:t>
      </w:r>
    </w:p>
    <w:p w14:paraId="1007703D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</w:p>
    <w:p w14:paraId="086998B9" w14:textId="77777777" w:rsidR="00CA2199" w:rsidRPr="00F63435" w:rsidRDefault="00A321A4" w:rsidP="00CA2199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lastRenderedPageBreak/>
        <w:t>Kod navedenih neželjenih dejstava</w:t>
      </w:r>
      <w:r w:rsidR="00CA2199" w:rsidRPr="00F63435">
        <w:rPr>
          <w:sz w:val="22"/>
          <w:szCs w:val="22"/>
          <w:lang w:val="sr-Latn-ME"/>
        </w:rPr>
        <w:t xml:space="preserve"> treba uze</w:t>
      </w:r>
      <w:r w:rsidRPr="00F63435">
        <w:rPr>
          <w:sz w:val="22"/>
          <w:szCs w:val="22"/>
          <w:lang w:val="sr-Latn-ME"/>
        </w:rPr>
        <w:t>ti u obzir da ona</w:t>
      </w:r>
      <w:r w:rsidR="00224A97" w:rsidRPr="00F63435">
        <w:rPr>
          <w:sz w:val="22"/>
          <w:szCs w:val="22"/>
          <w:lang w:val="sr-Latn-ME"/>
        </w:rPr>
        <w:t xml:space="preserve"> pretežno zavise</w:t>
      </w:r>
      <w:r w:rsidR="00CA2199" w:rsidRPr="00F63435">
        <w:rPr>
          <w:sz w:val="22"/>
          <w:szCs w:val="22"/>
          <w:lang w:val="sr-Latn-ME"/>
        </w:rPr>
        <w:t xml:space="preserve"> o</w:t>
      </w:r>
      <w:r w:rsidR="00224A97" w:rsidRPr="00F63435">
        <w:rPr>
          <w:sz w:val="22"/>
          <w:szCs w:val="22"/>
          <w:lang w:val="sr-Latn-ME"/>
        </w:rPr>
        <w:t>d doze i karakteristika</w:t>
      </w:r>
      <w:r w:rsidR="00CA2199" w:rsidRPr="00F63435">
        <w:rPr>
          <w:sz w:val="22"/>
          <w:szCs w:val="22"/>
          <w:lang w:val="sr-Latn-ME"/>
        </w:rPr>
        <w:t xml:space="preserve"> pojedinog </w:t>
      </w:r>
      <w:r w:rsidR="00224A97" w:rsidRPr="00F63435">
        <w:rPr>
          <w:sz w:val="22"/>
          <w:szCs w:val="22"/>
          <w:lang w:val="sr-Latn-ME"/>
        </w:rPr>
        <w:t>pacijenta</w:t>
      </w:r>
      <w:r w:rsidR="00CA2199" w:rsidRPr="00F63435">
        <w:rPr>
          <w:sz w:val="22"/>
          <w:szCs w:val="22"/>
          <w:lang w:val="sr-Latn-ME"/>
        </w:rPr>
        <w:t xml:space="preserve">. </w:t>
      </w:r>
    </w:p>
    <w:p w14:paraId="5614AC66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Neželjena </w:t>
      </w:r>
      <w:r w:rsidR="00224A97" w:rsidRPr="00F63435">
        <w:rPr>
          <w:sz w:val="22"/>
          <w:szCs w:val="22"/>
          <w:lang w:val="sr-Latn-ME"/>
        </w:rPr>
        <w:t>dejstva koja su zabilježena to</w:t>
      </w:r>
      <w:r w:rsidRPr="00F63435">
        <w:rPr>
          <w:sz w:val="22"/>
          <w:szCs w:val="22"/>
          <w:lang w:val="sr-Latn-ME"/>
        </w:rPr>
        <w:t>kom primjene ibuprofena prikazana su prema sistemima organa i učestalosti. Učestalost je definisana kao: v</w:t>
      </w:r>
      <w:r w:rsidR="008310F5" w:rsidRPr="00F63435">
        <w:rPr>
          <w:sz w:val="22"/>
          <w:szCs w:val="22"/>
          <w:lang w:val="sr-Latn-ME"/>
        </w:rPr>
        <w:t>eoma</w:t>
      </w:r>
      <w:r w:rsidRPr="00F63435">
        <w:rPr>
          <w:sz w:val="22"/>
          <w:szCs w:val="22"/>
          <w:lang w:val="sr-Latn-ME"/>
        </w:rPr>
        <w:t xml:space="preserve"> često (≥ 1/10), često (≥ 1/100 i &lt; 1/10), </w:t>
      </w:r>
      <w:r w:rsidR="008310F5" w:rsidRPr="00F63435">
        <w:rPr>
          <w:sz w:val="22"/>
          <w:szCs w:val="22"/>
          <w:lang w:val="sr-Latn-ME"/>
        </w:rPr>
        <w:t>povremeno</w:t>
      </w:r>
      <w:r w:rsidRPr="00F63435">
        <w:rPr>
          <w:sz w:val="22"/>
          <w:szCs w:val="22"/>
          <w:lang w:val="sr-Latn-ME"/>
        </w:rPr>
        <w:t xml:space="preserve"> (≥ 1/1000 i &lt; 1/100), rijetko (≥ 1/10000 i &lt; 1/1000), v</w:t>
      </w:r>
      <w:r w:rsidR="008310F5" w:rsidRPr="00F63435">
        <w:rPr>
          <w:sz w:val="22"/>
          <w:szCs w:val="22"/>
          <w:lang w:val="sr-Latn-ME"/>
        </w:rPr>
        <w:t>eoma</w:t>
      </w:r>
      <w:r w:rsidRPr="00F63435">
        <w:rPr>
          <w:sz w:val="22"/>
          <w:szCs w:val="22"/>
          <w:lang w:val="sr-Latn-ME"/>
        </w:rPr>
        <w:t xml:space="preserve"> rijetko (&lt; 1/10000) i nepoznato (učestalost se ne može procijeniti iz dostupnih podataka). Unutar </w:t>
      </w:r>
      <w:r w:rsidR="005B29D0" w:rsidRPr="00F63435">
        <w:rPr>
          <w:sz w:val="22"/>
          <w:szCs w:val="22"/>
          <w:lang w:val="sr-Latn-ME"/>
        </w:rPr>
        <w:t xml:space="preserve">svake </w:t>
      </w:r>
      <w:r w:rsidR="00C04433" w:rsidRPr="00F63435">
        <w:rPr>
          <w:sz w:val="22"/>
          <w:szCs w:val="22"/>
          <w:lang w:val="sr-Latn-ME"/>
        </w:rPr>
        <w:t>grupe</w:t>
      </w:r>
      <w:r w:rsidR="005B29D0" w:rsidRPr="00F63435">
        <w:rPr>
          <w:sz w:val="22"/>
          <w:szCs w:val="22"/>
          <w:lang w:val="sr-Latn-ME"/>
        </w:rPr>
        <w:t xml:space="preserve"> po učestalosti, neželjena dejstva</w:t>
      </w:r>
      <w:r w:rsidR="008855F9" w:rsidRPr="00F63435">
        <w:rPr>
          <w:sz w:val="22"/>
          <w:szCs w:val="22"/>
          <w:lang w:val="sr-Latn-ME"/>
        </w:rPr>
        <w:t xml:space="preserve"> su navedena</w:t>
      </w:r>
      <w:r w:rsidRPr="00F63435">
        <w:rPr>
          <w:sz w:val="22"/>
          <w:szCs w:val="22"/>
          <w:lang w:val="sr-Latn-ME"/>
        </w:rPr>
        <w:t xml:space="preserve"> u </w:t>
      </w:r>
      <w:r w:rsidR="008310F5" w:rsidRPr="00F63435">
        <w:rPr>
          <w:sz w:val="22"/>
          <w:szCs w:val="22"/>
          <w:lang w:val="sr-Latn-ME"/>
        </w:rPr>
        <w:t>o</w:t>
      </w:r>
      <w:r w:rsidRPr="00F63435">
        <w:rPr>
          <w:sz w:val="22"/>
          <w:szCs w:val="22"/>
          <w:lang w:val="sr-Latn-ME"/>
        </w:rPr>
        <w:t xml:space="preserve">padajućem nizu prema ozbiljnosti. </w:t>
      </w:r>
    </w:p>
    <w:p w14:paraId="7226B1EC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</w:p>
    <w:p w14:paraId="5184A804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Najčešće </w:t>
      </w:r>
      <w:r w:rsidR="00CB3095" w:rsidRPr="00F63435">
        <w:rPr>
          <w:sz w:val="22"/>
          <w:szCs w:val="22"/>
          <w:lang w:val="sr-Latn-ME"/>
        </w:rPr>
        <w:t>zabilježena</w:t>
      </w:r>
      <w:r w:rsidRPr="00F63435">
        <w:rPr>
          <w:sz w:val="22"/>
          <w:szCs w:val="22"/>
          <w:lang w:val="sr-Latn-ME"/>
        </w:rPr>
        <w:t xml:space="preserve"> neželjena dejstva odnose</w:t>
      </w:r>
      <w:r w:rsidR="00BA502A" w:rsidRPr="00F63435">
        <w:rPr>
          <w:sz w:val="22"/>
          <w:szCs w:val="22"/>
          <w:lang w:val="sr-Latn-ME"/>
        </w:rPr>
        <w:t xml:space="preserve"> se </w:t>
      </w:r>
      <w:r w:rsidR="00CB3095" w:rsidRPr="00F63435">
        <w:rPr>
          <w:sz w:val="22"/>
          <w:szCs w:val="22"/>
          <w:lang w:val="sr-Latn-ME"/>
        </w:rPr>
        <w:t>na</w:t>
      </w:r>
      <w:r w:rsidR="0072340C" w:rsidRPr="00F63435">
        <w:rPr>
          <w:sz w:val="22"/>
          <w:szCs w:val="22"/>
          <w:lang w:val="sr-Latn-ME"/>
        </w:rPr>
        <w:t xml:space="preserve"> digestivni </w:t>
      </w:r>
      <w:r w:rsidR="00BA502A" w:rsidRPr="00F63435">
        <w:rPr>
          <w:sz w:val="22"/>
          <w:szCs w:val="22"/>
          <w:lang w:val="sr-Latn-ME"/>
        </w:rPr>
        <w:t xml:space="preserve">sistem. </w:t>
      </w:r>
      <w:r w:rsidR="005B29D0" w:rsidRPr="00F63435">
        <w:rPr>
          <w:sz w:val="22"/>
          <w:szCs w:val="22"/>
          <w:lang w:val="sr-Latn-ME"/>
        </w:rPr>
        <w:t xml:space="preserve">Neželjena dejstva su uglavnom </w:t>
      </w:r>
      <w:r w:rsidR="00CB3095" w:rsidRPr="00F63435">
        <w:rPr>
          <w:sz w:val="22"/>
          <w:szCs w:val="22"/>
          <w:lang w:val="sr-Latn-ME"/>
        </w:rPr>
        <w:t>dozno zavisna</w:t>
      </w:r>
      <w:r w:rsidRPr="00F63435">
        <w:rPr>
          <w:sz w:val="22"/>
          <w:szCs w:val="22"/>
          <w:lang w:val="sr-Latn-ME"/>
        </w:rPr>
        <w:t xml:space="preserve">, </w:t>
      </w:r>
      <w:r w:rsidR="00CB3095" w:rsidRPr="00F63435">
        <w:rPr>
          <w:sz w:val="22"/>
          <w:szCs w:val="22"/>
          <w:lang w:val="sr-Latn-ME"/>
        </w:rPr>
        <w:t>posebno</w:t>
      </w:r>
      <w:r w:rsidRPr="00F63435">
        <w:rPr>
          <w:sz w:val="22"/>
          <w:szCs w:val="22"/>
          <w:lang w:val="sr-Latn-ME"/>
        </w:rPr>
        <w:t xml:space="preserve"> rizik pojave </w:t>
      </w:r>
      <w:r w:rsidR="00CB3095" w:rsidRPr="00F63435">
        <w:rPr>
          <w:sz w:val="22"/>
          <w:szCs w:val="22"/>
          <w:lang w:val="sr-Latn-ME"/>
        </w:rPr>
        <w:t xml:space="preserve">krvarenja iz </w:t>
      </w:r>
      <w:r w:rsidR="008310F5" w:rsidRPr="00F63435">
        <w:rPr>
          <w:sz w:val="22"/>
          <w:szCs w:val="22"/>
          <w:lang w:val="sr-Latn-ME"/>
        </w:rPr>
        <w:t>digestivnog</w:t>
      </w:r>
      <w:r w:rsidR="00CB3095" w:rsidRPr="00F63435">
        <w:rPr>
          <w:sz w:val="22"/>
          <w:szCs w:val="22"/>
          <w:lang w:val="sr-Latn-ME"/>
        </w:rPr>
        <w:t xml:space="preserve"> sistema</w:t>
      </w:r>
      <w:r w:rsidRPr="00F63435">
        <w:rPr>
          <w:sz w:val="22"/>
          <w:szCs w:val="22"/>
          <w:lang w:val="sr-Latn-ME"/>
        </w:rPr>
        <w:t xml:space="preserve"> koji </w:t>
      </w:r>
      <w:r w:rsidR="00CB3095" w:rsidRPr="00F63435">
        <w:rPr>
          <w:sz w:val="22"/>
          <w:szCs w:val="22"/>
          <w:lang w:val="sr-Latn-ME"/>
        </w:rPr>
        <w:t>zavisi od doze</w:t>
      </w:r>
      <w:r w:rsidR="005B29D0" w:rsidRPr="00F63435">
        <w:rPr>
          <w:sz w:val="22"/>
          <w:szCs w:val="22"/>
          <w:lang w:val="sr-Latn-ME"/>
        </w:rPr>
        <w:t xml:space="preserve"> i </w:t>
      </w:r>
      <w:r w:rsidR="00CB3095" w:rsidRPr="00F63435">
        <w:rPr>
          <w:sz w:val="22"/>
          <w:szCs w:val="22"/>
          <w:lang w:val="sr-Latn-ME"/>
        </w:rPr>
        <w:t xml:space="preserve">dužine </w:t>
      </w:r>
      <w:r w:rsidR="005B29D0" w:rsidRPr="00F63435">
        <w:rPr>
          <w:sz w:val="22"/>
          <w:szCs w:val="22"/>
          <w:lang w:val="sr-Latn-ME"/>
        </w:rPr>
        <w:t>trajanja</w:t>
      </w:r>
      <w:r w:rsidR="00CB3095" w:rsidRPr="00F63435">
        <w:rPr>
          <w:sz w:val="22"/>
          <w:szCs w:val="22"/>
          <w:lang w:val="sr-Latn-ME"/>
        </w:rPr>
        <w:t xml:space="preserve"> terapije</w:t>
      </w:r>
      <w:r w:rsidR="00B02742" w:rsidRPr="00F63435">
        <w:rPr>
          <w:sz w:val="22"/>
          <w:szCs w:val="22"/>
          <w:lang w:val="sr-Latn-ME"/>
        </w:rPr>
        <w:t>. Mogu se javiti peptički ul</w:t>
      </w:r>
      <w:r w:rsidR="008310F5" w:rsidRPr="00F63435">
        <w:rPr>
          <w:sz w:val="22"/>
          <w:szCs w:val="22"/>
          <w:lang w:val="sr-Latn-ME"/>
        </w:rPr>
        <w:t>kusi</w:t>
      </w:r>
      <w:r w:rsidRPr="00F63435">
        <w:rPr>
          <w:sz w:val="22"/>
          <w:szCs w:val="22"/>
          <w:lang w:val="sr-Latn-ME"/>
        </w:rPr>
        <w:t xml:space="preserve">, perforacije ili krvarenje iz </w:t>
      </w:r>
      <w:r w:rsidR="00C04433" w:rsidRPr="00F63435">
        <w:rPr>
          <w:sz w:val="22"/>
          <w:szCs w:val="22"/>
          <w:lang w:val="sr-Latn-ME"/>
        </w:rPr>
        <w:t>digestivnog</w:t>
      </w:r>
      <w:r w:rsidRPr="00F63435">
        <w:rPr>
          <w:sz w:val="22"/>
          <w:szCs w:val="22"/>
          <w:lang w:val="sr-Latn-ME"/>
        </w:rPr>
        <w:t xml:space="preserve"> </w:t>
      </w:r>
      <w:r w:rsidR="00B02742" w:rsidRPr="00F63435">
        <w:rPr>
          <w:sz w:val="22"/>
          <w:szCs w:val="22"/>
          <w:lang w:val="sr-Latn-ME"/>
        </w:rPr>
        <w:t>sistema</w:t>
      </w:r>
      <w:r w:rsidRPr="00F63435">
        <w:rPr>
          <w:sz w:val="22"/>
          <w:szCs w:val="22"/>
          <w:lang w:val="sr-Latn-ME"/>
        </w:rPr>
        <w:t>, ponekad</w:t>
      </w:r>
      <w:r w:rsidR="005B29D0" w:rsidRPr="00F63435">
        <w:rPr>
          <w:sz w:val="22"/>
          <w:szCs w:val="22"/>
          <w:lang w:val="sr-Latn-ME"/>
        </w:rPr>
        <w:t xml:space="preserve"> sa smrtnim ishodom, naročito kod </w:t>
      </w:r>
      <w:r w:rsidRPr="00F63435">
        <w:rPr>
          <w:sz w:val="22"/>
          <w:szCs w:val="22"/>
          <w:lang w:val="sr-Latn-ME"/>
        </w:rPr>
        <w:t>starijih osoba (vidjeti dio 4.4). Nakon primjene zabilježeni su mučnin</w:t>
      </w:r>
      <w:r w:rsidR="005B29D0" w:rsidRPr="00F63435">
        <w:rPr>
          <w:sz w:val="22"/>
          <w:szCs w:val="22"/>
          <w:lang w:val="sr-Latn-ME"/>
        </w:rPr>
        <w:t>a, povraćanje, proli</w:t>
      </w:r>
      <w:r w:rsidRPr="00F63435">
        <w:rPr>
          <w:sz w:val="22"/>
          <w:szCs w:val="22"/>
          <w:lang w:val="sr-Latn-ME"/>
        </w:rPr>
        <w:t xml:space="preserve">v, flatulencija, konstipacija, dispepsija, bol u abdomenu, melena, hematemeza, ulcerativni stomatitis, egzacerbacija kolitisa i Crohnove bolesti (vidjeti dio 4.4). </w:t>
      </w:r>
      <w:r w:rsidR="008310F5" w:rsidRPr="00F63435">
        <w:rPr>
          <w:sz w:val="22"/>
          <w:szCs w:val="22"/>
          <w:lang w:val="sr-Latn-ME"/>
        </w:rPr>
        <w:t>Povremeno</w:t>
      </w:r>
      <w:r w:rsidR="005B29D0" w:rsidRPr="00F63435">
        <w:rPr>
          <w:sz w:val="22"/>
          <w:szCs w:val="22"/>
          <w:lang w:val="sr-Latn-ME"/>
        </w:rPr>
        <w:t xml:space="preserve"> primijećen</w:t>
      </w:r>
      <w:r w:rsidRPr="00F63435">
        <w:rPr>
          <w:sz w:val="22"/>
          <w:szCs w:val="22"/>
          <w:lang w:val="sr-Latn-ME"/>
        </w:rPr>
        <w:t xml:space="preserve"> je gastritis. </w:t>
      </w:r>
    </w:p>
    <w:p w14:paraId="692E6FE7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Edemi, hipertenzija i </w:t>
      </w:r>
      <w:r w:rsidR="008310F5" w:rsidRPr="00F63435">
        <w:rPr>
          <w:sz w:val="22"/>
          <w:szCs w:val="22"/>
          <w:lang w:val="sr-Latn-ME"/>
        </w:rPr>
        <w:t>insuficijencija</w:t>
      </w:r>
      <w:r w:rsidRPr="00F63435">
        <w:rPr>
          <w:sz w:val="22"/>
          <w:szCs w:val="22"/>
          <w:lang w:val="sr-Latn-ME"/>
        </w:rPr>
        <w:t xml:space="preserve"> srca zabi</w:t>
      </w:r>
      <w:r w:rsidR="005B29D0" w:rsidRPr="00F63435">
        <w:rPr>
          <w:sz w:val="22"/>
          <w:szCs w:val="22"/>
          <w:lang w:val="sr-Latn-ME"/>
        </w:rPr>
        <w:t>lježeni su vezano za terapiju l</w:t>
      </w:r>
      <w:r w:rsidRPr="00F63435">
        <w:rPr>
          <w:sz w:val="22"/>
          <w:szCs w:val="22"/>
          <w:lang w:val="sr-Latn-ME"/>
        </w:rPr>
        <w:t xml:space="preserve">jekovima iz </w:t>
      </w:r>
      <w:r w:rsidR="00A321A4" w:rsidRPr="00F63435">
        <w:rPr>
          <w:sz w:val="22"/>
          <w:szCs w:val="22"/>
          <w:lang w:val="sr-Latn-ME"/>
        </w:rPr>
        <w:t>grupe</w:t>
      </w:r>
      <w:r w:rsidRPr="00F63435">
        <w:rPr>
          <w:sz w:val="22"/>
          <w:szCs w:val="22"/>
          <w:lang w:val="sr-Latn-ME"/>
        </w:rPr>
        <w:t xml:space="preserve"> NSAIL. </w:t>
      </w:r>
    </w:p>
    <w:p w14:paraId="3587D194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</w:p>
    <w:p w14:paraId="367FDA61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Klinička ispitivanja upućuju na to da primjena ibuprofena, naročito u visokoj dozi (2400 mg/dan), može biti povezana s blago povećanim rizikom o</w:t>
      </w:r>
      <w:r w:rsidR="00B02742" w:rsidRPr="00F63435">
        <w:rPr>
          <w:sz w:val="22"/>
          <w:szCs w:val="22"/>
          <w:lang w:val="sr-Latn-ME"/>
        </w:rPr>
        <w:t>d arterijskih trombotičnih događ</w:t>
      </w:r>
      <w:r w:rsidRPr="00F63435">
        <w:rPr>
          <w:sz w:val="22"/>
          <w:szCs w:val="22"/>
          <w:lang w:val="sr-Latn-ME"/>
        </w:rPr>
        <w:t>aja (</w:t>
      </w:r>
      <w:r w:rsidR="00B02742" w:rsidRPr="00F63435">
        <w:rPr>
          <w:sz w:val="22"/>
          <w:szCs w:val="22"/>
          <w:lang w:val="sr-Latn-ME"/>
        </w:rPr>
        <w:t>na prim</w:t>
      </w:r>
      <w:r w:rsidR="005B29D0" w:rsidRPr="00F63435">
        <w:rPr>
          <w:sz w:val="22"/>
          <w:szCs w:val="22"/>
          <w:lang w:val="sr-Latn-ME"/>
        </w:rPr>
        <w:t>j</w:t>
      </w:r>
      <w:r w:rsidR="00B02742" w:rsidRPr="00F63435">
        <w:rPr>
          <w:sz w:val="22"/>
          <w:szCs w:val="22"/>
          <w:lang w:val="sr-Latn-ME"/>
        </w:rPr>
        <w:t>er</w:t>
      </w:r>
      <w:r w:rsidRPr="00F63435">
        <w:rPr>
          <w:sz w:val="22"/>
          <w:szCs w:val="22"/>
          <w:lang w:val="sr-Latn-ME"/>
        </w:rPr>
        <w:t xml:space="preserve">, infarkta miokarda ili moždanog udara) (vidjeti dio 4.4). </w:t>
      </w:r>
    </w:p>
    <w:p w14:paraId="61E99D3E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</w:p>
    <w:p w14:paraId="5A4243D7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Zabilježeno je pogoršanje upala povezanih s infekcijama (npr. razvoj nekrotizirajućeg fasciitisa) koje se vremenski poklapalo</w:t>
      </w:r>
      <w:r w:rsidR="005B29D0" w:rsidRPr="00F63435">
        <w:rPr>
          <w:sz w:val="22"/>
          <w:szCs w:val="22"/>
          <w:lang w:val="sr-Latn-ME"/>
        </w:rPr>
        <w:t xml:space="preserve"> s</w:t>
      </w:r>
      <w:r w:rsidR="00A321A4" w:rsidRPr="00F63435">
        <w:rPr>
          <w:sz w:val="22"/>
          <w:szCs w:val="22"/>
          <w:lang w:val="sr-Latn-ME"/>
        </w:rPr>
        <w:t>a</w:t>
      </w:r>
      <w:r w:rsidR="005B29D0" w:rsidRPr="00F63435">
        <w:rPr>
          <w:sz w:val="22"/>
          <w:szCs w:val="22"/>
          <w:lang w:val="sr-Latn-ME"/>
        </w:rPr>
        <w:t xml:space="preserve"> primjenom nesteroidnih </w:t>
      </w:r>
      <w:r w:rsidR="007C31E9" w:rsidRPr="00F63435">
        <w:rPr>
          <w:sz w:val="22"/>
          <w:szCs w:val="22"/>
          <w:lang w:val="sr-Latn-ME"/>
        </w:rPr>
        <w:t>antiinflamatornih</w:t>
      </w:r>
      <w:r w:rsidR="005B29D0" w:rsidRPr="00F63435">
        <w:rPr>
          <w:sz w:val="22"/>
          <w:szCs w:val="22"/>
          <w:lang w:val="sr-Latn-ME"/>
        </w:rPr>
        <w:t xml:space="preserve"> l</w:t>
      </w:r>
      <w:r w:rsidRPr="00F63435">
        <w:rPr>
          <w:sz w:val="22"/>
          <w:szCs w:val="22"/>
          <w:lang w:val="sr-Latn-ME"/>
        </w:rPr>
        <w:t>jekova. Moguće je da je to povezano s</w:t>
      </w:r>
      <w:r w:rsidR="00A321A4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mehanizmom djelovanja nesteroidnih </w:t>
      </w:r>
      <w:r w:rsidR="00E2482D" w:rsidRPr="00F63435">
        <w:rPr>
          <w:sz w:val="22"/>
          <w:szCs w:val="22"/>
          <w:lang w:val="sr-Latn-ME"/>
        </w:rPr>
        <w:t>antiinflamatornih</w:t>
      </w:r>
      <w:r w:rsidR="005B29D0" w:rsidRPr="00F63435">
        <w:rPr>
          <w:sz w:val="22"/>
          <w:szCs w:val="22"/>
          <w:lang w:val="sr-Latn-ME"/>
        </w:rPr>
        <w:t xml:space="preserve"> l</w:t>
      </w:r>
      <w:r w:rsidRPr="00F63435">
        <w:rPr>
          <w:sz w:val="22"/>
          <w:szCs w:val="22"/>
          <w:lang w:val="sr-Latn-ME"/>
        </w:rPr>
        <w:t xml:space="preserve">jekova. </w:t>
      </w:r>
    </w:p>
    <w:p w14:paraId="3B3173A9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</w:p>
    <w:p w14:paraId="732EEB17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Ako se za vrijeme primjene </w:t>
      </w:r>
      <w:r w:rsidR="007C31E9" w:rsidRPr="00F63435">
        <w:rPr>
          <w:sz w:val="22"/>
          <w:szCs w:val="22"/>
          <w:lang w:val="sr-Latn-ME"/>
        </w:rPr>
        <w:t xml:space="preserve">lijeka </w:t>
      </w:r>
      <w:r w:rsidRPr="00F63435">
        <w:rPr>
          <w:sz w:val="22"/>
          <w:szCs w:val="22"/>
          <w:lang w:val="sr-Latn-ME"/>
        </w:rPr>
        <w:t>Nurofen za djecu oraln</w:t>
      </w:r>
      <w:r w:rsidR="007C31E9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suspenzij</w:t>
      </w:r>
      <w:r w:rsidR="007C31E9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pojave ili pogoršaju znakovi infekcije, </w:t>
      </w:r>
      <w:r w:rsidR="005B29D0" w:rsidRPr="00F63435">
        <w:rPr>
          <w:sz w:val="22"/>
          <w:szCs w:val="22"/>
          <w:lang w:val="sr-Latn-ME"/>
        </w:rPr>
        <w:t>pacijentu</w:t>
      </w:r>
      <w:r w:rsidR="00E2482D" w:rsidRPr="00F63435">
        <w:rPr>
          <w:sz w:val="22"/>
          <w:szCs w:val="22"/>
          <w:lang w:val="sr-Latn-ME"/>
        </w:rPr>
        <w:t xml:space="preserve"> se preporučuje da se bez od</w:t>
      </w:r>
      <w:r w:rsidR="005B29D0" w:rsidRPr="00F63435">
        <w:rPr>
          <w:sz w:val="22"/>
          <w:szCs w:val="22"/>
          <w:lang w:val="sr-Latn-ME"/>
        </w:rPr>
        <w:t>laganja obrati ljekar</w:t>
      </w:r>
      <w:r w:rsidRPr="00F63435">
        <w:rPr>
          <w:sz w:val="22"/>
          <w:szCs w:val="22"/>
          <w:lang w:val="sr-Latn-ME"/>
        </w:rPr>
        <w:t xml:space="preserve">u. Potrebno je ispitati postoji li indikacija za antimikrobnu/antibiotsku terapiju. </w:t>
      </w:r>
    </w:p>
    <w:p w14:paraId="69FDC33F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</w:p>
    <w:p w14:paraId="47382552" w14:textId="77777777" w:rsidR="00CA2199" w:rsidRPr="00F63435" w:rsidRDefault="00CA2199" w:rsidP="00CA2199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Kod dugotrajne</w:t>
      </w:r>
      <w:r w:rsidR="005B29D0" w:rsidRPr="00F63435">
        <w:rPr>
          <w:sz w:val="22"/>
          <w:szCs w:val="22"/>
          <w:lang w:val="sr-Latn-ME"/>
        </w:rPr>
        <w:t xml:space="preserve"> terapije, potrebno je redovno </w:t>
      </w:r>
      <w:r w:rsidR="00A321A4" w:rsidRPr="00F63435">
        <w:rPr>
          <w:sz w:val="22"/>
          <w:szCs w:val="22"/>
          <w:lang w:val="sr-Latn-ME"/>
        </w:rPr>
        <w:t>kontrolis</w:t>
      </w:r>
      <w:r w:rsidRPr="00F63435">
        <w:rPr>
          <w:sz w:val="22"/>
          <w:szCs w:val="22"/>
          <w:lang w:val="sr-Latn-ME"/>
        </w:rPr>
        <w:t xml:space="preserve">ati krvnu sliku. </w:t>
      </w:r>
    </w:p>
    <w:p w14:paraId="4FFCA809" w14:textId="77777777" w:rsidR="003F21B2" w:rsidRPr="00F63435" w:rsidRDefault="003F21B2" w:rsidP="00CA2199">
      <w:pPr>
        <w:pStyle w:val="Default"/>
        <w:jc w:val="both"/>
        <w:rPr>
          <w:sz w:val="22"/>
          <w:szCs w:val="22"/>
          <w:lang w:val="sr-Latn-ME"/>
        </w:rPr>
      </w:pPr>
    </w:p>
    <w:p w14:paraId="2AC734AB" w14:textId="77777777" w:rsidR="00CA2199" w:rsidRPr="00F63435" w:rsidRDefault="00A321A4" w:rsidP="00CA2199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>Pacijenta</w:t>
      </w:r>
      <w:r w:rsidR="00CA2199" w:rsidRPr="00F63435">
        <w:rPr>
          <w:sz w:val="22"/>
          <w:szCs w:val="22"/>
          <w:lang w:val="sr-Latn-ME"/>
        </w:rPr>
        <w:t xml:space="preserve"> treba uputiti da u slučaju pojave nekog od simptoma reakcija preosjetljivosti, koji se mogu pojaviti čak i kod prve primjene, prestane uzimati</w:t>
      </w:r>
      <w:r w:rsidR="007C31E9" w:rsidRPr="00F63435">
        <w:rPr>
          <w:sz w:val="22"/>
          <w:szCs w:val="22"/>
          <w:lang w:val="sr-Latn-ME"/>
        </w:rPr>
        <w:t xml:space="preserve"> lijek</w:t>
      </w:r>
      <w:r w:rsidR="00CA2199" w:rsidRPr="00F63435">
        <w:rPr>
          <w:sz w:val="22"/>
          <w:szCs w:val="22"/>
          <w:lang w:val="sr-Latn-ME"/>
        </w:rPr>
        <w:t xml:space="preserve"> Nurof</w:t>
      </w:r>
      <w:r w:rsidRPr="00F63435">
        <w:rPr>
          <w:sz w:val="22"/>
          <w:szCs w:val="22"/>
          <w:lang w:val="sr-Latn-ME"/>
        </w:rPr>
        <w:t>en za djecu oraln</w:t>
      </w:r>
      <w:r w:rsidR="007C31E9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suspenzij</w:t>
      </w:r>
      <w:r w:rsidR="007C31E9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i da</w:t>
      </w:r>
      <w:r w:rsidR="00CA2199" w:rsidRPr="00F63435">
        <w:rPr>
          <w:sz w:val="22"/>
          <w:szCs w:val="22"/>
          <w:lang w:val="sr-Latn-ME"/>
        </w:rPr>
        <w:t xml:space="preserve"> odmah potraži </w:t>
      </w:r>
      <w:r w:rsidR="005B29D0" w:rsidRPr="00F63435">
        <w:rPr>
          <w:sz w:val="22"/>
          <w:szCs w:val="22"/>
          <w:lang w:val="sr-Latn-ME"/>
        </w:rPr>
        <w:t>ljekarsku</w:t>
      </w:r>
      <w:r w:rsidR="00CA2199" w:rsidRPr="00F63435">
        <w:rPr>
          <w:sz w:val="22"/>
          <w:szCs w:val="22"/>
          <w:lang w:val="sr-Latn-ME"/>
        </w:rPr>
        <w:t xml:space="preserve"> pomoć. </w:t>
      </w:r>
    </w:p>
    <w:p w14:paraId="373C3DF7" w14:textId="77777777" w:rsidR="000352D1" w:rsidRPr="00F63435" w:rsidRDefault="005B29D0" w:rsidP="00CA2199">
      <w:pPr>
        <w:jc w:val="both"/>
        <w:rPr>
          <w:rFonts w:eastAsia="Calibri"/>
          <w:sz w:val="22"/>
          <w:szCs w:val="22"/>
          <w:lang w:val="sr-Latn-ME"/>
        </w:rPr>
      </w:pPr>
      <w:r w:rsidRPr="00F63435">
        <w:rPr>
          <w:sz w:val="22"/>
          <w:szCs w:val="22"/>
          <w:lang w:val="sr-Latn-ME"/>
        </w:rPr>
        <w:t xml:space="preserve">Pacijenta </w:t>
      </w:r>
      <w:r w:rsidR="00CA2199" w:rsidRPr="00F63435">
        <w:rPr>
          <w:sz w:val="22"/>
          <w:szCs w:val="22"/>
          <w:lang w:val="sr-Latn-ME"/>
        </w:rPr>
        <w:t>treba uputiti da smjesta prekine</w:t>
      </w:r>
      <w:r w:rsidRPr="00F63435">
        <w:rPr>
          <w:sz w:val="22"/>
          <w:szCs w:val="22"/>
          <w:lang w:val="sr-Latn-ME"/>
        </w:rPr>
        <w:t xml:space="preserve"> primjenu lijeka i obrati se ljekaru</w:t>
      </w:r>
      <w:r w:rsidR="00CA2199" w:rsidRPr="00F63435">
        <w:rPr>
          <w:sz w:val="22"/>
          <w:szCs w:val="22"/>
          <w:lang w:val="sr-Latn-ME"/>
        </w:rPr>
        <w:t xml:space="preserve"> ako se javi jak bol u gornjem dijelu abdomena, melena ili hematemeza.</w:t>
      </w:r>
    </w:p>
    <w:p w14:paraId="1D220F43" w14:textId="77777777" w:rsidR="00CA2199" w:rsidRPr="00F63435" w:rsidRDefault="00CA2199" w:rsidP="00AC514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EB051B6" w14:textId="77777777" w:rsidR="007E1036" w:rsidRPr="00F63435" w:rsidRDefault="00A321A4" w:rsidP="00AC514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>Tabelarni prikaz neželjenih dejstava</w:t>
      </w:r>
      <w:r w:rsidR="00CA2199" w:rsidRPr="00F63435">
        <w:rPr>
          <w:b/>
          <w:bCs/>
          <w:sz w:val="22"/>
          <w:szCs w:val="22"/>
          <w:lang w:val="sr-Latn-ME"/>
        </w:rPr>
        <w:t>:</w:t>
      </w:r>
    </w:p>
    <w:p w14:paraId="0D3B7AD4" w14:textId="77777777" w:rsidR="007E1036" w:rsidRPr="00F63435" w:rsidRDefault="007E1036" w:rsidP="00AC514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tbl>
      <w:tblPr>
        <w:tblW w:w="916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2701"/>
        <w:gridCol w:w="3763"/>
      </w:tblGrid>
      <w:tr w:rsidR="00CA2199" w:rsidRPr="00F63435" w14:paraId="6BDC2076" w14:textId="77777777" w:rsidTr="00AF64F4">
        <w:trPr>
          <w:trHeight w:val="98"/>
        </w:trPr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3C3F9" w14:textId="77777777" w:rsidR="00CA2199" w:rsidRPr="00F63435" w:rsidRDefault="00A321A4" w:rsidP="00CA21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>Organski sistem</w:t>
            </w:r>
            <w:r w:rsidR="00CA2199" w:rsidRPr="00F63435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 xml:space="preserve"> 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200B2" w14:textId="77777777" w:rsidR="00CA2199" w:rsidRPr="00F63435" w:rsidRDefault="00CA2199" w:rsidP="00CA21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 xml:space="preserve">Učestalost 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19351" w14:textId="77777777" w:rsidR="00CA2199" w:rsidRPr="00F63435" w:rsidRDefault="00CB3095" w:rsidP="00CA219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/>
                <w:bCs/>
                <w:color w:val="000000"/>
                <w:sz w:val="22"/>
                <w:szCs w:val="22"/>
                <w:lang w:val="sr-Latn-ME" w:eastAsia="sr-Latn-ME"/>
              </w:rPr>
              <w:t>Neželjena dejstva</w:t>
            </w:r>
          </w:p>
          <w:p w14:paraId="30BD5E6C" w14:textId="77777777" w:rsidR="00CA2199" w:rsidRPr="00F63435" w:rsidRDefault="00CA2199" w:rsidP="00CA21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</w:p>
        </w:tc>
      </w:tr>
      <w:tr w:rsidR="00CA2199" w:rsidRPr="00F63435" w14:paraId="5BAC9F04" w14:textId="77777777" w:rsidTr="00AF64F4">
        <w:trPr>
          <w:trHeight w:val="858"/>
        </w:trPr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36CA" w14:textId="77777777" w:rsidR="00CA2199" w:rsidRPr="00F63435" w:rsidRDefault="00CA2199" w:rsidP="00CA219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Infekcije i infestacije 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0E131" w14:textId="77777777" w:rsidR="00CA2199" w:rsidRPr="00F63435" w:rsidRDefault="00CA2199" w:rsidP="00CA219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V</w:t>
            </w:r>
            <w:r w:rsidR="007C31E9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eoma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rijetko 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BC761" w14:textId="77777777" w:rsidR="00CA2199" w:rsidRPr="00F63435" w:rsidRDefault="00CA2199" w:rsidP="00CA219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Egzacerbacija upala povezanih s</w:t>
            </w:r>
            <w:r w:rsidR="00E2482D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a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infekcijom (npr. razvoj nekroti</w:t>
            </w:r>
            <w:r w:rsidR="00E2482D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zirajućeg fasciitisa), u izuzetni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m slučajevima za vrijeme infekcije varičelom mogu se pojaviti teške kožne infekcije i komplikacije mekog tkiva. </w:t>
            </w:r>
          </w:p>
        </w:tc>
      </w:tr>
      <w:tr w:rsidR="00CA2199" w:rsidRPr="00F63435" w14:paraId="19602533" w14:textId="77777777" w:rsidTr="00FD6E4F">
        <w:trPr>
          <w:trHeight w:val="254"/>
        </w:trPr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85D40F0" w14:textId="77777777" w:rsidR="00CA2199" w:rsidRPr="00F63435" w:rsidRDefault="00CA2199" w:rsidP="00CA21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iCs/>
                <w:color w:val="000000"/>
                <w:sz w:val="22"/>
                <w:szCs w:val="22"/>
                <w:lang w:val="sr-Latn-ME" w:eastAsia="sr-Latn-ME"/>
              </w:rPr>
              <w:t>P</w:t>
            </w:r>
            <w:r w:rsidR="005B29D0" w:rsidRPr="00F63435">
              <w:rPr>
                <w:bCs/>
                <w:iCs/>
                <w:color w:val="000000"/>
                <w:sz w:val="22"/>
                <w:szCs w:val="22"/>
                <w:lang w:val="sr-Latn-ME" w:eastAsia="sr-Latn-ME"/>
              </w:rPr>
              <w:t>oremećaji krvi i limfnog sistema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0DA8D" w14:textId="77777777" w:rsidR="00CA2199" w:rsidRPr="00F63435" w:rsidRDefault="00CA2199" w:rsidP="00CA21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iCs/>
                <w:color w:val="000000"/>
                <w:sz w:val="22"/>
                <w:szCs w:val="22"/>
                <w:lang w:val="sr-Latn-ME" w:eastAsia="sr-Latn-ME"/>
              </w:rPr>
              <w:t>V</w:t>
            </w:r>
            <w:r w:rsidR="007C31E9" w:rsidRPr="00F63435">
              <w:rPr>
                <w:iCs/>
                <w:color w:val="000000"/>
                <w:sz w:val="22"/>
                <w:szCs w:val="22"/>
                <w:lang w:val="sr-Latn-ME" w:eastAsia="sr-Latn-ME"/>
              </w:rPr>
              <w:t>eoma</w:t>
            </w:r>
            <w:r w:rsidRPr="00F63435">
              <w:rPr>
                <w:iCs/>
                <w:color w:val="000000"/>
                <w:sz w:val="22"/>
                <w:szCs w:val="22"/>
                <w:lang w:val="sr-Latn-ME" w:eastAsia="sr-Latn-ME"/>
              </w:rPr>
              <w:t xml:space="preserve"> rijetko 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D493C" w14:textId="77777777" w:rsidR="00CA2199" w:rsidRPr="00F63435" w:rsidRDefault="00CA2199" w:rsidP="00CA21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Hematopoetski poremećaji (anemija, leukopenija, trombocitopenija, pancitopenija, agranulocitoz</w:t>
            </w:r>
            <w:r w:rsidR="00B34241" w:rsidRPr="00F63435">
              <w:rPr>
                <w:color w:val="000000"/>
                <w:sz w:val="22"/>
                <w:szCs w:val="22"/>
                <w:lang w:val="sr-Latn-ME" w:eastAsia="sr-Latn-ME"/>
              </w:rPr>
              <w:t>a). Prvi znakovi su: temperatura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, grlobolja, površinske rane</w:t>
            </w:r>
            <w:r w:rsidR="00EB7FE6"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 u ustima, simptomi slični gripu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, teška iscrpljenost, krvarenje iz nosa i kože te nastajanje modrica. U takvim slučajevima </w:t>
            </w:r>
            <w:r w:rsidR="005B29D0" w:rsidRPr="00F63435">
              <w:rPr>
                <w:color w:val="000000"/>
                <w:sz w:val="22"/>
                <w:szCs w:val="22"/>
                <w:lang w:val="sr-Latn-ME" w:eastAsia="sr-Latn-ME"/>
              </w:rPr>
              <w:t>pacijentu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 treba savjetovati da prekine primjenu ovog lijeka, izbjegava 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lastRenderedPageBreak/>
              <w:t xml:space="preserve">samoliječenje analgeticima i antipireticima te da se obrati </w:t>
            </w:r>
            <w:r w:rsidR="005B29D0" w:rsidRPr="00F63435">
              <w:rPr>
                <w:color w:val="000000"/>
                <w:sz w:val="22"/>
                <w:szCs w:val="22"/>
                <w:lang w:val="sr-Latn-ME" w:eastAsia="sr-Latn-ME"/>
              </w:rPr>
              <w:t>ljekaru.</w:t>
            </w:r>
          </w:p>
          <w:p w14:paraId="6A8F5FEE" w14:textId="77777777" w:rsidR="007F2AED" w:rsidRPr="00F63435" w:rsidRDefault="007F2AED" w:rsidP="00CA21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</w:p>
        </w:tc>
      </w:tr>
      <w:tr w:rsidR="00AF64F4" w:rsidRPr="00F63435" w14:paraId="1779EBDE" w14:textId="77777777" w:rsidTr="00FD6E4F">
        <w:trPr>
          <w:trHeight w:val="303"/>
        </w:trPr>
        <w:tc>
          <w:tcPr>
            <w:tcW w:w="270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7FD30C" w14:textId="77777777" w:rsidR="00AF64F4" w:rsidRPr="00F63435" w:rsidRDefault="00D813F4" w:rsidP="005B29D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lastRenderedPageBreak/>
              <w:t>Poremećaji imuno</w:t>
            </w:r>
            <w:r w:rsidR="007C31E9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g</w:t>
            </w:r>
            <w:r w:rsidR="007E1036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s</w:t>
            </w:r>
            <w:r w:rsidR="005B29D0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istema</w:t>
            </w:r>
          </w:p>
        </w:tc>
        <w:tc>
          <w:tcPr>
            <w:tcW w:w="2701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auto"/>
            </w:tcBorders>
          </w:tcPr>
          <w:p w14:paraId="7AD02BB4" w14:textId="77777777" w:rsidR="00AF64F4" w:rsidRPr="00F63435" w:rsidRDefault="007C31E9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Povremeno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98903" w14:textId="77777777" w:rsidR="00AF64F4" w:rsidRPr="00F63435" w:rsidRDefault="00D813F4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Reakcije preosjetljivosti</w:t>
            </w:r>
            <w:r w:rsidRPr="00F63435">
              <w:rPr>
                <w:bCs/>
                <w:color w:val="000000"/>
                <w:sz w:val="22"/>
                <w:szCs w:val="22"/>
                <w:vertAlign w:val="superscript"/>
                <w:lang w:val="sr-Latn-ME" w:eastAsia="sr-Latn-ME"/>
              </w:rPr>
              <w:t>1</w:t>
            </w:r>
          </w:p>
        </w:tc>
      </w:tr>
      <w:tr w:rsidR="00AF64F4" w:rsidRPr="00F63435" w14:paraId="45C8548D" w14:textId="77777777" w:rsidTr="00FD6E4F">
        <w:trPr>
          <w:trHeight w:val="210"/>
        </w:trPr>
        <w:tc>
          <w:tcPr>
            <w:tcW w:w="270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5A6AD5" w14:textId="77777777" w:rsidR="00AF64F4" w:rsidRPr="00F63435" w:rsidRDefault="00AF64F4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701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6C13649" w14:textId="77777777" w:rsidR="00AF64F4" w:rsidRPr="00F63435" w:rsidRDefault="00AF64F4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C5E3F" w14:textId="77777777" w:rsidR="00AF64F4" w:rsidRPr="00F63435" w:rsidRDefault="005B29D0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Urtikarija i svrab</w:t>
            </w:r>
          </w:p>
        </w:tc>
      </w:tr>
      <w:tr w:rsidR="00AF64F4" w:rsidRPr="004F4350" w14:paraId="6656D9CE" w14:textId="77777777" w:rsidTr="00EA6EF0">
        <w:trPr>
          <w:trHeight w:val="1415"/>
        </w:trPr>
        <w:tc>
          <w:tcPr>
            <w:tcW w:w="2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6091DF" w14:textId="77777777" w:rsidR="00AF64F4" w:rsidRPr="004F4350" w:rsidRDefault="00AF64F4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60C8DA06" w14:textId="77777777" w:rsidR="00AF64F4" w:rsidRPr="004F4350" w:rsidRDefault="00D813F4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4F4350">
              <w:rPr>
                <w:bCs/>
                <w:color w:val="000000"/>
                <w:sz w:val="22"/>
                <w:szCs w:val="22"/>
                <w:lang w:val="sr-Latn-ME" w:eastAsia="sr-Latn-ME"/>
              </w:rPr>
              <w:t>V</w:t>
            </w:r>
            <w:r w:rsidR="007C31E9" w:rsidRPr="004F4350">
              <w:rPr>
                <w:bCs/>
                <w:color w:val="000000"/>
                <w:sz w:val="22"/>
                <w:szCs w:val="22"/>
                <w:lang w:val="sr-Latn-ME" w:eastAsia="sr-Latn-ME"/>
              </w:rPr>
              <w:t>eoma</w:t>
            </w:r>
            <w:r w:rsidRPr="004F4350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rijetko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0F2FF" w14:textId="77777777" w:rsidR="00AF64F4" w:rsidRPr="002B51DE" w:rsidRDefault="00D813F4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436F7A">
              <w:rPr>
                <w:bCs/>
                <w:color w:val="000000"/>
                <w:sz w:val="22"/>
                <w:szCs w:val="22"/>
                <w:lang w:val="sr-Latn-ME" w:eastAsia="sr-Latn-ME"/>
              </w:rPr>
              <w:t>Teške reakcije preosjetljivosti. Simptomi mogu biti: oticanje lica, jezika i grla, dispneja, tahikardija, hipotenzija (anafilaksa, angioedem ili teški šok). Pogoršanje astme.</w:t>
            </w:r>
          </w:p>
        </w:tc>
      </w:tr>
      <w:tr w:rsidR="00D813F4" w:rsidRPr="00F63435" w14:paraId="5E6F156A" w14:textId="77777777" w:rsidTr="00EA6EF0">
        <w:trPr>
          <w:trHeight w:val="933"/>
        </w:trPr>
        <w:tc>
          <w:tcPr>
            <w:tcW w:w="2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2CEEA461" w14:textId="77777777" w:rsidR="00D813F4" w:rsidRPr="00F63435" w:rsidRDefault="00D813F4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A24F055" w14:textId="77777777" w:rsidR="00D813F4" w:rsidRPr="00F63435" w:rsidRDefault="00D813F4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Nepoznato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4D793" w14:textId="77777777" w:rsidR="00D813F4" w:rsidRPr="00F63435" w:rsidRDefault="00D813F4" w:rsidP="005B29D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Reaktivnost </w:t>
            </w:r>
            <w:r w:rsidR="005B29D0" w:rsidRPr="00F63435">
              <w:rPr>
                <w:color w:val="000000"/>
                <w:sz w:val="22"/>
                <w:szCs w:val="22"/>
                <w:lang w:val="sr-Latn-ME" w:eastAsia="sr-Latn-ME"/>
              </w:rPr>
              <w:t>organa za disanje koja obuhvat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a astmu, bronhospazam ili dispneju.</w:t>
            </w:r>
          </w:p>
        </w:tc>
      </w:tr>
      <w:tr w:rsidR="00D813F4" w:rsidRPr="00F63435" w14:paraId="0A47DB4D" w14:textId="77777777" w:rsidTr="00EA6EF0">
        <w:trPr>
          <w:trHeight w:val="303"/>
        </w:trPr>
        <w:tc>
          <w:tcPr>
            <w:tcW w:w="2701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</w:tcPr>
          <w:p w14:paraId="66957CBD" w14:textId="77777777" w:rsidR="00D813F4" w:rsidRPr="00F63435" w:rsidRDefault="00D813F4" w:rsidP="00D813F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Psihijatrijski poremećaji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DF5AD2" w14:textId="77777777" w:rsidR="00D813F4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V</w:t>
            </w:r>
            <w:r w:rsidR="007C31E9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eoma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rijetko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BDCF2" w14:textId="77777777" w:rsidR="00D813F4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Psihotične reakcije, depresija</w:t>
            </w:r>
          </w:p>
        </w:tc>
      </w:tr>
      <w:tr w:rsidR="00EB6573" w:rsidRPr="00F63435" w14:paraId="172D26FD" w14:textId="77777777" w:rsidTr="00EA6EF0">
        <w:trPr>
          <w:trHeight w:val="303"/>
        </w:trPr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B4D2F9" w14:textId="77777777" w:rsidR="00EB6573" w:rsidRPr="00F63435" w:rsidRDefault="00EB6573" w:rsidP="00E248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Poremećaji </w:t>
            </w:r>
            <w:r w:rsidR="00E2482D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nervnog sistema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auto"/>
            </w:tcBorders>
          </w:tcPr>
          <w:p w14:paraId="110E3E33" w14:textId="77777777" w:rsidR="00EB6573" w:rsidRPr="00F63435" w:rsidRDefault="007C31E9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Povremeno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4F6A8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Poremećaji </w:t>
            </w:r>
            <w:r w:rsidR="00E2482D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centralnog nervnog sistema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poput glavobolje, omaglice, nesanice, agitacije, razdražljivosti ili umora</w:t>
            </w:r>
          </w:p>
          <w:p w14:paraId="24276A7E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</w:p>
        </w:tc>
      </w:tr>
      <w:tr w:rsidR="00EB6573" w:rsidRPr="00F63435" w14:paraId="286FB570" w14:textId="77777777" w:rsidTr="00EA6EF0">
        <w:trPr>
          <w:trHeight w:val="477"/>
        </w:trPr>
        <w:tc>
          <w:tcPr>
            <w:tcW w:w="2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3A3D68C4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60E8EB29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V</w:t>
            </w:r>
            <w:r w:rsidR="007C31E9" w:rsidRPr="00F63435">
              <w:rPr>
                <w:color w:val="000000"/>
                <w:sz w:val="22"/>
                <w:szCs w:val="22"/>
                <w:lang w:val="sr-Latn-ME" w:eastAsia="sr-Latn-ME"/>
              </w:rPr>
              <w:t>eoma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 rijetko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27A6E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Aseptički meningitis</w:t>
            </w:r>
            <w:r w:rsidRPr="00F63435">
              <w:rPr>
                <w:color w:val="000000"/>
                <w:sz w:val="22"/>
                <w:szCs w:val="22"/>
                <w:vertAlign w:val="superscript"/>
                <w:lang w:val="sr-Latn-ME" w:eastAsia="sr-Latn-ME"/>
              </w:rPr>
              <w:t>2</w:t>
            </w:r>
          </w:p>
        </w:tc>
      </w:tr>
      <w:tr w:rsidR="00EB6573" w:rsidRPr="00F63435" w14:paraId="5E78E537" w14:textId="77777777" w:rsidTr="00EA6EF0">
        <w:trPr>
          <w:trHeight w:val="30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60905D9B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Poremećaji oka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D63EDEF" w14:textId="77777777" w:rsidR="00EB6573" w:rsidRPr="00F63435" w:rsidRDefault="00BF3C94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Povremeno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BAF83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Poremećaji vida</w:t>
            </w:r>
          </w:p>
        </w:tc>
      </w:tr>
      <w:tr w:rsidR="00EB6573" w:rsidRPr="00F63435" w14:paraId="0D28A38F" w14:textId="77777777" w:rsidTr="00CA7B2D">
        <w:trPr>
          <w:trHeight w:val="30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FE6AC3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Poremećaji uha i labirinta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529760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Rijetko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6243A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Tinitus</w:t>
            </w:r>
          </w:p>
        </w:tc>
      </w:tr>
      <w:tr w:rsidR="00CB5F6D" w:rsidRPr="00F63435" w14:paraId="7B04D2BE" w14:textId="77777777" w:rsidTr="00FD6E4F">
        <w:trPr>
          <w:trHeight w:val="594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6B175A4C" w14:textId="77777777" w:rsidR="00CB5F6D" w:rsidRPr="00F63435" w:rsidRDefault="00CB5F6D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Kardiološki poremećaji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6302953" w14:textId="77777777" w:rsidR="00CB5F6D" w:rsidRDefault="00CB5F6D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Veoma rijetko</w:t>
            </w:r>
          </w:p>
          <w:p w14:paraId="325D103B" w14:textId="77777777" w:rsidR="00CB5F6D" w:rsidRDefault="00CB5F6D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</w:p>
          <w:p w14:paraId="79EFFC08" w14:textId="2368EFCB" w:rsidR="00CB5F6D" w:rsidRPr="00F63435" w:rsidRDefault="00CB5F6D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4CACD" w14:textId="4CAC04EF" w:rsidR="00CB5F6D" w:rsidRPr="00F63435" w:rsidRDefault="00CB5F6D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Insuficijencija srca, palpitacije i edemi, infarkt miokarda</w:t>
            </w:r>
          </w:p>
        </w:tc>
      </w:tr>
      <w:tr w:rsidR="00CB5F6D" w:rsidRPr="00F63435" w14:paraId="7FF4B4A4" w14:textId="77777777" w:rsidTr="00EA6EF0">
        <w:trPr>
          <w:trHeight w:val="308"/>
        </w:trPr>
        <w:tc>
          <w:tcPr>
            <w:tcW w:w="2701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29B929B6" w14:textId="77777777" w:rsidR="00CB5F6D" w:rsidRPr="00F63435" w:rsidRDefault="00CB5F6D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F81E1B4" w14:textId="1A508E5D" w:rsidR="00CB5F6D" w:rsidRPr="00E43275" w:rsidRDefault="00EA6EF0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E43275">
              <w:rPr>
                <w:bCs/>
                <w:color w:val="000000"/>
                <w:sz w:val="22"/>
                <w:szCs w:val="22"/>
                <w:lang w:val="sr-Latn-ME" w:eastAsia="sr-Latn-ME"/>
              </w:rPr>
              <w:t>Nepoznato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C8985" w14:textId="1CEC1493" w:rsidR="00CB5F6D" w:rsidRPr="00E43275" w:rsidRDefault="00EA6EF0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E43275">
              <w:rPr>
                <w:bCs/>
                <w:i/>
                <w:color w:val="000000"/>
                <w:sz w:val="22"/>
                <w:szCs w:val="22"/>
                <w:lang w:val="sr-Latn-ME" w:eastAsia="sr-Latn-ME"/>
              </w:rPr>
              <w:t>Kounis</w:t>
            </w:r>
            <w:r w:rsidRPr="00E43275">
              <w:rPr>
                <w:bCs/>
                <w:color w:val="000000"/>
                <w:sz w:val="22"/>
                <w:szCs w:val="22"/>
                <w:lang w:val="sr-Latn-ME" w:eastAsia="sr-Latn-ME"/>
              </w:rPr>
              <w:t>-ov sindrom</w:t>
            </w:r>
          </w:p>
        </w:tc>
      </w:tr>
      <w:tr w:rsidR="00EB6573" w:rsidRPr="00F63435" w14:paraId="02BFF990" w14:textId="77777777" w:rsidTr="00EA6EF0">
        <w:trPr>
          <w:trHeight w:val="30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0315ACAD" w14:textId="77777777" w:rsidR="00EB6573" w:rsidRPr="00F63435" w:rsidRDefault="00BF3C94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Vaskularni p</w:t>
            </w:r>
            <w:r w:rsidR="00EB6573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oremećaji 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718E20D1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V</w:t>
            </w:r>
            <w:r w:rsidR="00BF3C94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eoma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rijetko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DE610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Hipertenzija, vaskulitis</w:t>
            </w:r>
          </w:p>
        </w:tc>
      </w:tr>
      <w:tr w:rsidR="00EB6573" w:rsidRPr="00F63435" w14:paraId="6DF52BC4" w14:textId="77777777" w:rsidTr="00EA6EF0">
        <w:trPr>
          <w:trHeight w:val="303"/>
        </w:trPr>
        <w:tc>
          <w:tcPr>
            <w:tcW w:w="2701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D5C5A2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auto"/>
            </w:tcBorders>
          </w:tcPr>
          <w:p w14:paraId="390B93CC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Često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1CF95" w14:textId="77777777" w:rsidR="00EB6573" w:rsidRPr="00F63435" w:rsidRDefault="0073496B" w:rsidP="007349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Neželjena dejstva u </w:t>
            </w:r>
            <w:r w:rsidR="004A3545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gastrointestinalnom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traktu</w:t>
            </w:r>
            <w:r w:rsidR="00EB6573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poput bolova u abdomenu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, mučnine i dispepsije, proliv</w:t>
            </w:r>
            <w:r w:rsidR="00EB6573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, flatulencije, konstipacije, žgaravice, povraćanja i blagog krvarenja u </w:t>
            </w:r>
            <w:r w:rsidR="004A3545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gastrointestinalnom</w:t>
            </w:r>
            <w:r w:rsidR="00EB6573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traktu</w:t>
            </w:r>
            <w:r w:rsidR="00EB6573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koje u iz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uzetnim </w:t>
            </w:r>
            <w:r w:rsidR="00EB6573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slučajevima može uzrokovati anemiju.</w:t>
            </w:r>
          </w:p>
        </w:tc>
      </w:tr>
      <w:tr w:rsidR="00EB6573" w:rsidRPr="00F63435" w14:paraId="1899D10E" w14:textId="77777777" w:rsidTr="00EA6EF0">
        <w:trPr>
          <w:trHeight w:val="1415"/>
        </w:trPr>
        <w:tc>
          <w:tcPr>
            <w:tcW w:w="2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9CF796" w14:textId="77777777" w:rsidR="00EB6573" w:rsidRPr="00F63435" w:rsidRDefault="00BF3C94" w:rsidP="007349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Gastrointestinalni p</w:t>
            </w:r>
            <w:r w:rsidR="00EB6573"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oremećaji 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2DD31939" w14:textId="77777777" w:rsidR="00EB6573" w:rsidRPr="00F63435" w:rsidRDefault="00BF3C94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Povremeno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B708F" w14:textId="77777777" w:rsidR="00EB6573" w:rsidRPr="00F63435" w:rsidRDefault="00EB6573" w:rsidP="00C457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Ul</w:t>
            </w:r>
            <w:r w:rsidR="004A3545" w:rsidRPr="00F63435">
              <w:rPr>
                <w:color w:val="000000"/>
                <w:sz w:val="22"/>
                <w:szCs w:val="22"/>
                <w:lang w:val="sr-Latn-ME" w:eastAsia="sr-Latn-ME"/>
              </w:rPr>
              <w:t>kusi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, perforac</w:t>
            </w:r>
            <w:r w:rsidR="00C4576E"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ija ili krvarenje u </w:t>
            </w:r>
            <w:r w:rsidR="004A3545" w:rsidRPr="00F63435">
              <w:rPr>
                <w:color w:val="000000"/>
                <w:sz w:val="22"/>
                <w:szCs w:val="22"/>
                <w:lang w:val="sr-Latn-ME" w:eastAsia="sr-Latn-ME"/>
              </w:rPr>
              <w:t>digestivnom</w:t>
            </w:r>
            <w:r w:rsidR="00C4576E"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 sistem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u, ulcerativni stomatitis, egzacerbacija kolitisa i Crohnove bolesti (vidjeti dio 4.4), gastritis.</w:t>
            </w:r>
          </w:p>
        </w:tc>
      </w:tr>
      <w:tr w:rsidR="00EB6573" w:rsidRPr="00F63435" w14:paraId="1426EEEB" w14:textId="77777777" w:rsidTr="00EA6EF0">
        <w:trPr>
          <w:trHeight w:val="933"/>
        </w:trPr>
        <w:tc>
          <w:tcPr>
            <w:tcW w:w="2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F5B4EA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702A6300" w14:textId="77777777" w:rsidR="00EB6573" w:rsidRPr="00F63435" w:rsidRDefault="00EB6573" w:rsidP="00EB65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V</w:t>
            </w:r>
            <w:r w:rsidR="00BF3C94" w:rsidRPr="00F63435">
              <w:rPr>
                <w:color w:val="000000"/>
                <w:sz w:val="22"/>
                <w:szCs w:val="22"/>
                <w:lang w:val="sr-Latn-ME" w:eastAsia="sr-Latn-ME"/>
              </w:rPr>
              <w:t>eoma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 rijetko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4E9B8" w14:textId="77777777" w:rsidR="00EB6573" w:rsidRPr="00F63435" w:rsidRDefault="00EB6573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Ezofagitis i stvaranje intestinalnih str</w:t>
            </w:r>
            <w:r w:rsidR="004A3545" w:rsidRPr="00F63435">
              <w:rPr>
                <w:color w:val="000000"/>
                <w:sz w:val="22"/>
                <w:szCs w:val="22"/>
                <w:lang w:val="sr-Latn-ME" w:eastAsia="sr-Latn-ME"/>
              </w:rPr>
              <w:t>u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ktura sličnih dijafragmi, pankreatitis.</w:t>
            </w:r>
          </w:p>
        </w:tc>
      </w:tr>
      <w:tr w:rsidR="000E55F1" w:rsidRPr="00F63435" w14:paraId="711C936D" w14:textId="77777777" w:rsidTr="00FD6E4F">
        <w:trPr>
          <w:trHeight w:val="303"/>
        </w:trPr>
        <w:tc>
          <w:tcPr>
            <w:tcW w:w="2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</w:tcPr>
          <w:p w14:paraId="34A87441" w14:textId="77777777" w:rsidR="000E55F1" w:rsidRPr="00F63435" w:rsidRDefault="00BF3C94" w:rsidP="000E55F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Hepatobilijarni p</w:t>
            </w:r>
            <w:r w:rsidR="000E55F1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oremećaji 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80B502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V</w:t>
            </w:r>
            <w:r w:rsidR="00BF3C94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eoma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rijetko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CEDF0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Disfunkcija jetre, oštećenje jetre, posebno pri dugotrajnom liječenju, </w:t>
            </w:r>
            <w:r w:rsidR="004A3545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insuficijencija</w:t>
            </w: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 xml:space="preserve"> jetre, akutni hepatitis.</w:t>
            </w:r>
          </w:p>
          <w:p w14:paraId="3E30CC5B" w14:textId="77777777" w:rsidR="00E2482D" w:rsidRPr="00F63435" w:rsidRDefault="00E2482D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</w:p>
        </w:tc>
      </w:tr>
      <w:tr w:rsidR="000E55F1" w:rsidRPr="00F63435" w14:paraId="245D8C4C" w14:textId="77777777" w:rsidTr="00FD6E4F">
        <w:trPr>
          <w:trHeight w:val="303"/>
        </w:trPr>
        <w:tc>
          <w:tcPr>
            <w:tcW w:w="2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14:paraId="7050AAAA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Poremećaji kože i potkožnog tkiva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03584" w14:textId="77777777" w:rsidR="000E55F1" w:rsidRPr="00F63435" w:rsidRDefault="00BF3C94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Povremeno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1E93C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Različiti kožni osipi</w:t>
            </w:r>
          </w:p>
        </w:tc>
      </w:tr>
      <w:tr w:rsidR="000E55F1" w:rsidRPr="00F63435" w14:paraId="64B6AB5A" w14:textId="77777777" w:rsidTr="00FD6E4F">
        <w:trPr>
          <w:trHeight w:val="1415"/>
        </w:trPr>
        <w:tc>
          <w:tcPr>
            <w:tcW w:w="2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14:paraId="33DC0FDC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593301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V</w:t>
            </w:r>
            <w:r w:rsidR="00BF3C94" w:rsidRPr="00F63435">
              <w:rPr>
                <w:color w:val="000000"/>
                <w:sz w:val="22"/>
                <w:szCs w:val="22"/>
                <w:lang w:val="sr-Latn-ME" w:eastAsia="sr-Latn-ME"/>
              </w:rPr>
              <w:t>eoma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 rijetko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AA804" w14:textId="77777777" w:rsidR="00EA2DAA" w:rsidRDefault="00DE4684" w:rsidP="000E55F1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DE4684">
              <w:rPr>
                <w:noProof/>
                <w:sz w:val="22"/>
                <w:szCs w:val="22"/>
              </w:rPr>
              <w:t xml:space="preserve">Teške kožne </w:t>
            </w:r>
            <w:r>
              <w:rPr>
                <w:noProof/>
                <w:sz w:val="22"/>
                <w:szCs w:val="22"/>
              </w:rPr>
              <w:t>neželjene reakcije</w:t>
            </w:r>
            <w:r w:rsidR="00616150" w:rsidRPr="00E3657F">
              <w:rPr>
                <w:noProof/>
                <w:sz w:val="22"/>
                <w:szCs w:val="22"/>
              </w:rPr>
              <w:t xml:space="preserve"> (SCAR</w:t>
            </w:r>
            <w:r>
              <w:rPr>
                <w:noProof/>
                <w:sz w:val="22"/>
                <w:szCs w:val="22"/>
              </w:rPr>
              <w:t>s</w:t>
            </w:r>
            <w:r w:rsidR="00616150" w:rsidRPr="00E3657F">
              <w:rPr>
                <w:noProof/>
                <w:sz w:val="22"/>
                <w:szCs w:val="22"/>
              </w:rPr>
              <w:t xml:space="preserve">) (uključujući eksfolijativni dermatitis, </w:t>
            </w:r>
            <w:r w:rsidR="00616150" w:rsidRPr="00E3657F">
              <w:rPr>
                <w:i/>
                <w:noProof/>
                <w:sz w:val="22"/>
                <w:szCs w:val="22"/>
              </w:rPr>
              <w:t>Stevens-Johnson</w:t>
            </w:r>
            <w:r>
              <w:rPr>
                <w:noProof/>
                <w:sz w:val="22"/>
                <w:szCs w:val="22"/>
              </w:rPr>
              <w:t>-</w:t>
            </w:r>
            <w:r w:rsidR="00616150" w:rsidRPr="00E3657F">
              <w:rPr>
                <w:noProof/>
                <w:sz w:val="22"/>
                <w:szCs w:val="22"/>
              </w:rPr>
              <w:t>ov sindrom, multiformni eritem i toksičnu epidermalnu nekrolizu)</w:t>
            </w:r>
          </w:p>
          <w:p w14:paraId="04FC78E5" w14:textId="4DA7EDCD" w:rsidR="000E55F1" w:rsidRPr="00F63435" w:rsidRDefault="000E55F1" w:rsidP="000E55F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EA2DAA">
              <w:rPr>
                <w:color w:val="000000"/>
                <w:sz w:val="22"/>
                <w:szCs w:val="22"/>
                <w:lang w:val="sr-Latn-ME" w:eastAsia="sr-Latn-ME"/>
              </w:rPr>
              <w:t>Alopecija</w:t>
            </w:r>
          </w:p>
        </w:tc>
      </w:tr>
      <w:tr w:rsidR="000E55F1" w:rsidRPr="00F63435" w14:paraId="45AD6338" w14:textId="77777777" w:rsidTr="00EA6EF0">
        <w:trPr>
          <w:trHeight w:val="933"/>
        </w:trPr>
        <w:tc>
          <w:tcPr>
            <w:tcW w:w="2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</w:tcPr>
          <w:p w14:paraId="4ED88472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5DE0B4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Nepoznato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24AAF" w14:textId="74C0D420" w:rsidR="000E55F1" w:rsidRPr="00F63435" w:rsidRDefault="000E55F1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Reakcija na lijek s eozinofilijom i sistemskim simptomima (sindrom DRESS</w:t>
            </w:r>
            <w:r w:rsidR="00DE4684">
              <w:rPr>
                <w:color w:val="000000"/>
                <w:sz w:val="22"/>
                <w:szCs w:val="22"/>
                <w:lang w:val="sr-Latn-ME" w:eastAsia="sr-Latn-ME"/>
              </w:rPr>
              <w:t xml:space="preserve"> sindrom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)</w:t>
            </w:r>
          </w:p>
          <w:p w14:paraId="5877E7A0" w14:textId="77777777" w:rsidR="003F21B2" w:rsidRPr="00F63435" w:rsidRDefault="003F21B2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Akutna generalizovana egzantematozna pustuloza (AGEP)</w:t>
            </w:r>
          </w:p>
          <w:p w14:paraId="0AFDCCFB" w14:textId="77777777" w:rsidR="003F21B2" w:rsidRPr="00F63435" w:rsidRDefault="003F21B2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EA2DAA">
              <w:rPr>
                <w:color w:val="000000"/>
                <w:sz w:val="22"/>
                <w:szCs w:val="22"/>
                <w:lang w:val="sr-Latn-ME" w:eastAsia="sr-Latn-ME"/>
              </w:rPr>
              <w:t>Reakcije fotosenzibilnosti</w:t>
            </w:r>
          </w:p>
        </w:tc>
      </w:tr>
      <w:tr w:rsidR="000E55F1" w:rsidRPr="00F63435" w14:paraId="4818032D" w14:textId="77777777" w:rsidTr="00EA6EF0">
        <w:trPr>
          <w:trHeight w:val="933"/>
        </w:trPr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27C4315D" w14:textId="77777777" w:rsidR="000E55F1" w:rsidRPr="00F63435" w:rsidRDefault="000E55F1" w:rsidP="000E55F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Poremećaji bubrega i</w:t>
            </w:r>
            <w:r w:rsidR="00BF3C94"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 urinarnog sistema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68458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Rijetko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FE95B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Rijetko se mogu pojaviti oštećenje tkiva bubrega (papilarna nekroza) i povišena koncentracije mokraćne kiseline u krvi.</w:t>
            </w:r>
          </w:p>
        </w:tc>
      </w:tr>
      <w:tr w:rsidR="000E55F1" w:rsidRPr="00F63435" w14:paraId="53D29855" w14:textId="77777777" w:rsidTr="00EA6EF0">
        <w:trPr>
          <w:trHeight w:val="933"/>
        </w:trPr>
        <w:tc>
          <w:tcPr>
            <w:tcW w:w="270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EBB40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26149" w14:textId="77777777" w:rsidR="000E55F1" w:rsidRPr="00F63435" w:rsidRDefault="000E55F1" w:rsidP="00CA7B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>V</w:t>
            </w:r>
            <w:r w:rsidR="00BF3C94" w:rsidRPr="00F63435">
              <w:rPr>
                <w:color w:val="000000"/>
                <w:sz w:val="22"/>
                <w:szCs w:val="22"/>
                <w:lang w:val="sr-Latn-ME" w:eastAsia="sr-Latn-ME"/>
              </w:rPr>
              <w:t>eoma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 rijetko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B21F6" w14:textId="77777777" w:rsidR="000E55F1" w:rsidRPr="00F63435" w:rsidRDefault="000E55F1" w:rsidP="00E248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Stvaranje edema, naročito </w:t>
            </w:r>
            <w:r w:rsidR="00E2482D" w:rsidRPr="00F63435">
              <w:rPr>
                <w:color w:val="000000"/>
                <w:sz w:val="22"/>
                <w:szCs w:val="22"/>
                <w:lang w:val="sr-Latn-ME" w:eastAsia="sr-Latn-ME"/>
              </w:rPr>
              <w:t>kod pacijenata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 s</w:t>
            </w:r>
            <w:r w:rsidR="00E2482D" w:rsidRPr="00F63435">
              <w:rPr>
                <w:color w:val="000000"/>
                <w:sz w:val="22"/>
                <w:szCs w:val="22"/>
                <w:lang w:val="sr-Latn-ME" w:eastAsia="sr-Latn-ME"/>
              </w:rPr>
              <w:t>a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 arterijskom hipertenzijom ili insuficijencijom bubrega, nefrot</w:t>
            </w:r>
            <w:r w:rsidR="004A3545" w:rsidRPr="00F63435">
              <w:rPr>
                <w:color w:val="000000"/>
                <w:sz w:val="22"/>
                <w:szCs w:val="22"/>
                <w:lang w:val="sr-Latn-ME" w:eastAsia="sr-Latn-ME"/>
              </w:rPr>
              <w:t>ski</w:t>
            </w:r>
            <w:r w:rsidRPr="00F63435">
              <w:rPr>
                <w:color w:val="000000"/>
                <w:sz w:val="22"/>
                <w:szCs w:val="22"/>
                <w:lang w:val="sr-Latn-ME" w:eastAsia="sr-Latn-ME"/>
              </w:rPr>
              <w:t xml:space="preserve"> sindrom, intersticijski nefritis koji može biti praćen akutnom insuficijencijom bubrega</w:t>
            </w:r>
          </w:p>
        </w:tc>
      </w:tr>
      <w:tr w:rsidR="000E55F1" w:rsidRPr="00F63435" w14:paraId="4D41CBB3" w14:textId="77777777" w:rsidTr="000E55F1">
        <w:trPr>
          <w:trHeight w:val="303"/>
        </w:trPr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AD709" w14:textId="77777777" w:rsidR="000E55F1" w:rsidRPr="00F63435" w:rsidRDefault="005A57C7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Ispitivanja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84C28" w14:textId="77777777" w:rsidR="000E55F1" w:rsidRPr="00F63435" w:rsidRDefault="005A57C7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R</w:t>
            </w:r>
            <w:r w:rsidR="000E55F1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ijetko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E9D35" w14:textId="77777777" w:rsidR="000E55F1" w:rsidRPr="00F63435" w:rsidRDefault="005A57C7" w:rsidP="00CA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Latn-ME" w:eastAsia="sr-Latn-ME"/>
              </w:rPr>
            </w:pPr>
            <w:r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Sniženi nivoi hemoglobina</w:t>
            </w:r>
            <w:r w:rsidR="000E55F1" w:rsidRPr="00F63435">
              <w:rPr>
                <w:bCs/>
                <w:color w:val="000000"/>
                <w:sz w:val="22"/>
                <w:szCs w:val="22"/>
                <w:lang w:val="sr-Latn-ME" w:eastAsia="sr-Latn-ME"/>
              </w:rPr>
              <w:t>.</w:t>
            </w:r>
          </w:p>
        </w:tc>
      </w:tr>
    </w:tbl>
    <w:p w14:paraId="70307CDF" w14:textId="77777777" w:rsidR="00CA2199" w:rsidRPr="00F63435" w:rsidRDefault="00CA2199" w:rsidP="00AC514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E81398" w14:textId="77777777" w:rsidR="005A57C7" w:rsidRPr="00F63435" w:rsidRDefault="005A57C7" w:rsidP="005A57C7">
      <w:pPr>
        <w:pStyle w:val="Default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Opis odabranih neželjenih dejstava: </w:t>
      </w:r>
    </w:p>
    <w:p w14:paraId="2E447D7F" w14:textId="77777777" w:rsidR="00DC4B60" w:rsidRPr="00F63435" w:rsidRDefault="00DC4B60" w:rsidP="005A57C7">
      <w:pPr>
        <w:pStyle w:val="Default"/>
        <w:rPr>
          <w:sz w:val="22"/>
          <w:szCs w:val="22"/>
          <w:lang w:val="sr-Latn-ME"/>
        </w:rPr>
      </w:pPr>
    </w:p>
    <w:p w14:paraId="148F2B5C" w14:textId="77777777" w:rsidR="005A57C7" w:rsidRPr="00F63435" w:rsidRDefault="005A57C7" w:rsidP="00E2482D">
      <w:pPr>
        <w:pStyle w:val="Default"/>
        <w:jc w:val="both"/>
        <w:rPr>
          <w:sz w:val="22"/>
          <w:szCs w:val="22"/>
          <w:lang w:val="sr-Latn-ME"/>
        </w:rPr>
      </w:pPr>
      <w:r w:rsidRPr="00F63435">
        <w:rPr>
          <w:szCs w:val="14"/>
          <w:vertAlign w:val="superscript"/>
          <w:lang w:val="sr-Latn-ME"/>
        </w:rPr>
        <w:t xml:space="preserve">1 </w:t>
      </w:r>
      <w:r w:rsidRPr="00F63435">
        <w:rPr>
          <w:sz w:val="22"/>
          <w:szCs w:val="22"/>
          <w:lang w:val="sr-Latn-ME"/>
        </w:rPr>
        <w:t xml:space="preserve">Reakcije preosjetljivosti zabilježene su nakon terapije ibuprofenom. Mogu se sastojati od (a) nespecifičnih alergijskih reakcija i </w:t>
      </w:r>
      <w:r w:rsidR="00E2482D" w:rsidRPr="00F63435">
        <w:rPr>
          <w:sz w:val="22"/>
          <w:szCs w:val="22"/>
          <w:lang w:val="sr-Latn-ME"/>
        </w:rPr>
        <w:t>anafilakse, (b) reaktivnosti disaj</w:t>
      </w:r>
      <w:r w:rsidRPr="00F63435">
        <w:rPr>
          <w:sz w:val="22"/>
          <w:szCs w:val="22"/>
          <w:lang w:val="sr-Latn-ME"/>
        </w:rPr>
        <w:t>nih puteva, uključujući astmu, pogoršanje astme, bronhospazam ili dispneju, ili (c) raznih kožnih reakcija, uključujuć</w:t>
      </w:r>
      <w:r w:rsidR="00E2482D" w:rsidRPr="00F63435">
        <w:rPr>
          <w:sz w:val="22"/>
          <w:szCs w:val="22"/>
          <w:lang w:val="sr-Latn-ME"/>
        </w:rPr>
        <w:t>i različite tipove osipa, svrab</w:t>
      </w:r>
      <w:r w:rsidRPr="00F63435">
        <w:rPr>
          <w:sz w:val="22"/>
          <w:szCs w:val="22"/>
          <w:lang w:val="sr-Latn-ME"/>
        </w:rPr>
        <w:t>, urtik</w:t>
      </w:r>
      <w:r w:rsidR="00E2482D" w:rsidRPr="00F63435">
        <w:rPr>
          <w:sz w:val="22"/>
          <w:szCs w:val="22"/>
          <w:lang w:val="sr-Latn-ME"/>
        </w:rPr>
        <w:t>ariju, purpuru, angioedem i rjeđ</w:t>
      </w:r>
      <w:r w:rsidRPr="00F63435">
        <w:rPr>
          <w:sz w:val="22"/>
          <w:szCs w:val="22"/>
          <w:lang w:val="sr-Latn-ME"/>
        </w:rPr>
        <w:t xml:space="preserve">e, eksfolijativne i bulozne dermatoze (uključujući toksičnu epidermalnu nekrolizu, Stevens-Jonsonov sindrom i eritemu multiforme). </w:t>
      </w:r>
    </w:p>
    <w:p w14:paraId="537F2111" w14:textId="77777777" w:rsidR="005A57C7" w:rsidRPr="00F63435" w:rsidRDefault="005A57C7" w:rsidP="00E2482D">
      <w:pPr>
        <w:pStyle w:val="Default"/>
        <w:jc w:val="both"/>
        <w:rPr>
          <w:sz w:val="22"/>
          <w:szCs w:val="22"/>
          <w:lang w:val="sr-Latn-ME"/>
        </w:rPr>
      </w:pPr>
    </w:p>
    <w:p w14:paraId="4F246F4D" w14:textId="77777777" w:rsidR="00364F0F" w:rsidRPr="00F63435" w:rsidRDefault="005A57C7" w:rsidP="00E248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sz w:val="22"/>
          <w:szCs w:val="14"/>
          <w:vertAlign w:val="superscript"/>
          <w:lang w:val="sr-Latn-ME"/>
        </w:rPr>
        <w:t>2</w:t>
      </w:r>
      <w:r w:rsidRPr="00F63435">
        <w:rPr>
          <w:sz w:val="14"/>
          <w:szCs w:val="14"/>
          <w:lang w:val="sr-Latn-ME"/>
        </w:rPr>
        <w:t xml:space="preserve"> </w:t>
      </w:r>
      <w:r w:rsidRPr="00F63435">
        <w:rPr>
          <w:sz w:val="22"/>
          <w:szCs w:val="22"/>
          <w:lang w:val="sr-Latn-ME"/>
        </w:rPr>
        <w:t>Patogeni mehanizam asept</w:t>
      </w:r>
      <w:r w:rsidR="00ED4232" w:rsidRPr="00F63435">
        <w:rPr>
          <w:sz w:val="22"/>
          <w:szCs w:val="22"/>
          <w:lang w:val="sr-Latn-ME"/>
        </w:rPr>
        <w:t>ičkog meningitisa uzrokovanog l</w:t>
      </w:r>
      <w:r w:rsidRPr="00F63435">
        <w:rPr>
          <w:sz w:val="22"/>
          <w:szCs w:val="22"/>
          <w:lang w:val="sr-Latn-ME"/>
        </w:rPr>
        <w:t>jekovima nije u potpunosti ra</w:t>
      </w:r>
      <w:r w:rsidR="00E2482D" w:rsidRPr="00F63435">
        <w:rPr>
          <w:sz w:val="22"/>
          <w:szCs w:val="22"/>
          <w:lang w:val="sr-Latn-ME"/>
        </w:rPr>
        <w:t>zjašnjen. Međ</w:t>
      </w:r>
      <w:r w:rsidRPr="00F63435">
        <w:rPr>
          <w:sz w:val="22"/>
          <w:szCs w:val="22"/>
          <w:lang w:val="sr-Latn-ME"/>
        </w:rPr>
        <w:t>utim, dostupni podaci o ase</w:t>
      </w:r>
      <w:r w:rsidR="00E2482D" w:rsidRPr="00F63435">
        <w:rPr>
          <w:sz w:val="22"/>
          <w:szCs w:val="22"/>
          <w:lang w:val="sr-Latn-ME"/>
        </w:rPr>
        <w:t xml:space="preserve">ptičkom meningitisu povezanom sa </w:t>
      </w:r>
      <w:r w:rsidRPr="00F63435">
        <w:rPr>
          <w:sz w:val="22"/>
          <w:szCs w:val="22"/>
          <w:lang w:val="sr-Latn-ME"/>
        </w:rPr>
        <w:t>NSAIL ukazuju na imunološku reakciju (zbog vremenske povezanosti s</w:t>
      </w:r>
      <w:r w:rsidR="00E2482D" w:rsidRPr="00F63435">
        <w:rPr>
          <w:sz w:val="22"/>
          <w:szCs w:val="22"/>
          <w:lang w:val="sr-Latn-ME"/>
        </w:rPr>
        <w:t>a</w:t>
      </w:r>
      <w:r w:rsidRPr="00F63435">
        <w:rPr>
          <w:sz w:val="22"/>
          <w:szCs w:val="22"/>
          <w:lang w:val="sr-Latn-ME"/>
        </w:rPr>
        <w:t xml:space="preserve"> uzimanjem lijeka i nestanka simptoma nakon prestanka uzimanja lijeka). Treba napomenuti da su pojedinačni slučajevi simptoma aseptičkog meningitisa (kao što su ukočenost vrata, glavobo</w:t>
      </w:r>
      <w:r w:rsidR="00E2482D" w:rsidRPr="00F63435">
        <w:rPr>
          <w:sz w:val="22"/>
          <w:szCs w:val="22"/>
          <w:lang w:val="sr-Latn-ME"/>
        </w:rPr>
        <w:t>lja, mučnina, povraćanje, groznic</w:t>
      </w:r>
      <w:r w:rsidRPr="00F63435">
        <w:rPr>
          <w:sz w:val="22"/>
          <w:szCs w:val="22"/>
          <w:lang w:val="sr-Latn-ME"/>
        </w:rPr>
        <w:t xml:space="preserve">a ili zamućenje svijesti) primijećeni za vrijeme liječenja ibuprofenom u </w:t>
      </w:r>
      <w:r w:rsidR="00C04433" w:rsidRPr="00F63435">
        <w:rPr>
          <w:sz w:val="22"/>
          <w:szCs w:val="22"/>
          <w:lang w:val="sr-Latn-ME"/>
        </w:rPr>
        <w:t>pacijenata</w:t>
      </w:r>
      <w:r w:rsidRPr="00F63435">
        <w:rPr>
          <w:sz w:val="22"/>
          <w:szCs w:val="22"/>
          <w:lang w:val="sr-Latn-ME"/>
        </w:rPr>
        <w:t xml:space="preserve"> s postojećim autoimunim poremećajima (kao što su sistemski eritemski lupus, m</w:t>
      </w:r>
      <w:r w:rsidR="00C04433" w:rsidRPr="00F63435">
        <w:rPr>
          <w:sz w:val="22"/>
          <w:szCs w:val="22"/>
          <w:lang w:val="sr-Latn-ME"/>
        </w:rPr>
        <w:t>ješovita</w:t>
      </w:r>
      <w:r w:rsidRPr="00F63435">
        <w:rPr>
          <w:sz w:val="22"/>
          <w:szCs w:val="22"/>
          <w:lang w:val="sr-Latn-ME"/>
        </w:rPr>
        <w:t xml:space="preserve"> bolest vezivnog tkiva).</w:t>
      </w:r>
    </w:p>
    <w:p w14:paraId="43CECCEA" w14:textId="77777777" w:rsidR="00AC5146" w:rsidRPr="00F63435" w:rsidRDefault="00AC514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F981515" w14:textId="77777777" w:rsidR="005A23D2" w:rsidRPr="00F63435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F63435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86DABEF" w14:textId="77777777" w:rsidR="005A23D2" w:rsidRPr="00F63435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F63435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F63435">
        <w:rPr>
          <w:rFonts w:eastAsia="Calibri"/>
          <w:sz w:val="22"/>
          <w:szCs w:val="22"/>
          <w:lang w:val="sr-Latn-ME"/>
        </w:rPr>
        <w:t>inuirano praćenje odnosa korist</w:t>
      </w:r>
      <w:r w:rsidRPr="00F63435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F63435">
        <w:rPr>
          <w:rFonts w:eastAsia="Calibri"/>
          <w:sz w:val="22"/>
          <w:szCs w:val="22"/>
          <w:lang w:val="sr-Latn-ME"/>
        </w:rPr>
        <w:t xml:space="preserve"> </w:t>
      </w:r>
      <w:r w:rsidRPr="00F63435">
        <w:rPr>
          <w:rFonts w:eastAsia="Calibri"/>
          <w:sz w:val="22"/>
          <w:szCs w:val="22"/>
          <w:lang w:val="sr-Latn-ME"/>
        </w:rPr>
        <w:t xml:space="preserve">dejstvo ovog lijeka </w:t>
      </w:r>
      <w:r w:rsidR="001F1AF4" w:rsidRPr="00F63435">
        <w:rPr>
          <w:rFonts w:eastAsia="Calibri"/>
          <w:sz w:val="22"/>
          <w:szCs w:val="22"/>
          <w:lang w:val="sr-Latn-ME"/>
        </w:rPr>
        <w:t>Institutu</w:t>
      </w:r>
      <w:r w:rsidRPr="00F63435">
        <w:rPr>
          <w:rFonts w:eastAsia="Calibri"/>
          <w:sz w:val="22"/>
          <w:szCs w:val="22"/>
          <w:lang w:val="sr-Latn-ME"/>
        </w:rPr>
        <w:t xml:space="preserve"> za ljekove i medicinska sredstva Crne Gore (CI</w:t>
      </w:r>
      <w:r w:rsidR="001F1AF4" w:rsidRPr="00F63435">
        <w:rPr>
          <w:rFonts w:eastAsia="Calibri"/>
          <w:sz w:val="22"/>
          <w:szCs w:val="22"/>
          <w:lang w:val="sr-Latn-ME"/>
        </w:rPr>
        <w:t>n</w:t>
      </w:r>
      <w:r w:rsidRPr="00F63435">
        <w:rPr>
          <w:rFonts w:eastAsia="Calibri"/>
          <w:sz w:val="22"/>
          <w:szCs w:val="22"/>
          <w:lang w:val="sr-Latn-ME"/>
        </w:rPr>
        <w:t>M</w:t>
      </w:r>
      <w:r w:rsidR="001F1AF4" w:rsidRPr="00F63435">
        <w:rPr>
          <w:rFonts w:eastAsia="Calibri"/>
          <w:sz w:val="22"/>
          <w:szCs w:val="22"/>
          <w:lang w:val="sr-Latn-ME"/>
        </w:rPr>
        <w:t>ED</w:t>
      </w:r>
      <w:r w:rsidRPr="00F63435">
        <w:rPr>
          <w:rFonts w:eastAsia="Calibri"/>
          <w:sz w:val="22"/>
          <w:szCs w:val="22"/>
          <w:lang w:val="sr-Latn-ME"/>
        </w:rPr>
        <w:t>):</w:t>
      </w:r>
    </w:p>
    <w:p w14:paraId="6269B97A" w14:textId="77777777" w:rsidR="005A23D2" w:rsidRPr="00F63435" w:rsidRDefault="001F1AF4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63435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F63435">
        <w:rPr>
          <w:rFonts w:eastAsia="Calibri"/>
          <w:sz w:val="22"/>
          <w:szCs w:val="22"/>
          <w:lang w:val="sr-Latn-ME"/>
        </w:rPr>
        <w:t>za ljekove i medicinska sredstva Crne Gore</w:t>
      </w:r>
    </w:p>
    <w:p w14:paraId="0CFD6C5E" w14:textId="77777777" w:rsidR="005A23D2" w:rsidRPr="00F6343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63435">
        <w:rPr>
          <w:rFonts w:eastAsia="Calibri"/>
          <w:sz w:val="22"/>
          <w:szCs w:val="22"/>
          <w:lang w:val="sr-Latn-ME"/>
        </w:rPr>
        <w:t>Odjeljenje za farmakovigilancu</w:t>
      </w:r>
    </w:p>
    <w:p w14:paraId="71330CF7" w14:textId="77777777" w:rsidR="00EA5765" w:rsidRPr="00F6343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63435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E85501F" w14:textId="77777777" w:rsidR="00EA5765" w:rsidRPr="00F63435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6B5FA0C8" w14:textId="77777777" w:rsidR="005A23D2" w:rsidRPr="00F6343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63435">
        <w:rPr>
          <w:rFonts w:eastAsia="Calibri"/>
          <w:sz w:val="22"/>
          <w:szCs w:val="22"/>
          <w:lang w:val="sr-Latn-ME"/>
        </w:rPr>
        <w:t>tel: +382 (0) 20 310 280</w:t>
      </w:r>
    </w:p>
    <w:p w14:paraId="4EA80B98" w14:textId="77777777" w:rsidR="00EA5765" w:rsidRPr="00F6343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63435">
        <w:rPr>
          <w:rFonts w:eastAsia="Calibri"/>
          <w:sz w:val="22"/>
          <w:szCs w:val="22"/>
          <w:lang w:val="sr-Latn-ME"/>
        </w:rPr>
        <w:t>fax:</w:t>
      </w:r>
      <w:r w:rsidR="00EA5765" w:rsidRPr="00F63435">
        <w:rPr>
          <w:rFonts w:eastAsia="Calibri"/>
          <w:sz w:val="22"/>
          <w:szCs w:val="22"/>
          <w:lang w:val="sr-Latn-ME"/>
        </w:rPr>
        <w:t xml:space="preserve"> </w:t>
      </w:r>
      <w:r w:rsidRPr="00F63435">
        <w:rPr>
          <w:rFonts w:eastAsia="Calibri"/>
          <w:sz w:val="22"/>
          <w:szCs w:val="22"/>
          <w:lang w:val="sr-Latn-ME"/>
        </w:rPr>
        <w:t>+382 (0) 20 310 581</w:t>
      </w:r>
    </w:p>
    <w:p w14:paraId="1FD1B8A3" w14:textId="77777777" w:rsidR="005A23D2" w:rsidRPr="00F63435" w:rsidRDefault="005F0757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1F1AF4" w:rsidRPr="00F63435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  <w:r w:rsidR="001F1AF4" w:rsidRPr="00F63435">
        <w:rPr>
          <w:rFonts w:eastAsia="Calibri"/>
          <w:color w:val="0000FF"/>
          <w:sz w:val="22"/>
          <w:szCs w:val="22"/>
          <w:u w:val="single"/>
          <w:lang w:val="sr-Latn-ME"/>
        </w:rPr>
        <w:t xml:space="preserve"> </w:t>
      </w:r>
    </w:p>
    <w:p w14:paraId="4BA506B4" w14:textId="77777777" w:rsidR="00EA5765" w:rsidRPr="00F63435" w:rsidRDefault="005F0757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1F1AF4" w:rsidRPr="00F63435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4FEF7CB" w14:textId="4079C324" w:rsidR="005A23D2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63435">
        <w:rPr>
          <w:rFonts w:eastAsia="Calibri"/>
          <w:sz w:val="22"/>
          <w:szCs w:val="22"/>
          <w:lang w:val="sr-Latn-ME"/>
        </w:rPr>
        <w:t>putem IS zdravstvene zaštite</w:t>
      </w:r>
    </w:p>
    <w:p w14:paraId="1A400489" w14:textId="0C392F6E" w:rsidR="00C06196" w:rsidRDefault="00C06196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56E939B7" w14:textId="18B31155" w:rsidR="00C06196" w:rsidRDefault="00C06196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8ACB6D5" w14:textId="606CB786" w:rsidR="00C06196" w:rsidRPr="00F63435" w:rsidRDefault="00C06196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45C981F2" wp14:editId="5E8AFAD4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4D667" w14:textId="77777777" w:rsidR="00836B35" w:rsidRPr="00F63435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151F4F9" w14:textId="77777777" w:rsidR="00CD6F02" w:rsidRPr="00F63435" w:rsidRDefault="0072020E" w:rsidP="002220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4.9.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Predoziranje</w:t>
      </w:r>
      <w:r w:rsidR="002846DB" w:rsidRPr="00F63435">
        <w:rPr>
          <w:b/>
          <w:bCs/>
          <w:sz w:val="22"/>
          <w:szCs w:val="22"/>
          <w:lang w:val="sr-Latn-ME"/>
        </w:rPr>
        <w:t xml:space="preserve"> </w:t>
      </w:r>
    </w:p>
    <w:p w14:paraId="202FE035" w14:textId="77777777" w:rsidR="00CD6F02" w:rsidRPr="00F63435" w:rsidRDefault="00CD6F02" w:rsidP="00B04B0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7B90C5F" w14:textId="77777777" w:rsidR="00364F0F" w:rsidRPr="00F63435" w:rsidRDefault="00ED4232" w:rsidP="00B04B0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Kod</w:t>
      </w:r>
      <w:r w:rsidR="00CA7B2D" w:rsidRPr="00F63435">
        <w:rPr>
          <w:bCs/>
          <w:sz w:val="22"/>
          <w:szCs w:val="22"/>
          <w:lang w:val="sr-Latn-ME"/>
        </w:rPr>
        <w:t xml:space="preserve"> djece, doze iznad 400 mg/kg uzrokuju pojav</w:t>
      </w:r>
      <w:r w:rsidR="00E2482D" w:rsidRPr="00F63435">
        <w:rPr>
          <w:bCs/>
          <w:sz w:val="22"/>
          <w:szCs w:val="22"/>
          <w:lang w:val="sr-Latn-ME"/>
        </w:rPr>
        <w:t>u simptoma predoziranja</w:t>
      </w:r>
      <w:r w:rsidR="00FC6F91" w:rsidRPr="00F63435">
        <w:rPr>
          <w:bCs/>
          <w:sz w:val="22"/>
          <w:szCs w:val="22"/>
          <w:lang w:val="sr-Latn-ME"/>
        </w:rPr>
        <w:t>,</w:t>
      </w:r>
      <w:r w:rsidR="00E2482D" w:rsidRPr="00F63435">
        <w:rPr>
          <w:bCs/>
          <w:sz w:val="22"/>
          <w:szCs w:val="22"/>
          <w:lang w:val="sr-Latn-ME"/>
        </w:rPr>
        <w:t xml:space="preserve"> dok je kod</w:t>
      </w:r>
      <w:r w:rsidR="00CA7B2D" w:rsidRPr="00F63435">
        <w:rPr>
          <w:bCs/>
          <w:sz w:val="22"/>
          <w:szCs w:val="22"/>
          <w:lang w:val="sr-Latn-ME"/>
        </w:rPr>
        <w:t xml:space="preserve"> odraslih taj </w:t>
      </w:r>
      <w:r w:rsidR="00E2482D" w:rsidRPr="00F63435">
        <w:rPr>
          <w:bCs/>
          <w:sz w:val="22"/>
          <w:szCs w:val="22"/>
          <w:lang w:val="sr-Latn-ME"/>
        </w:rPr>
        <w:t>odnos</w:t>
      </w:r>
      <w:r w:rsidR="00CA7B2D" w:rsidRPr="00F63435">
        <w:rPr>
          <w:bCs/>
          <w:sz w:val="22"/>
          <w:szCs w:val="22"/>
          <w:lang w:val="sr-Latn-ME"/>
        </w:rPr>
        <w:t xml:space="preserve"> prekomjerne doze i pojave simptoma manje jasan. Poluvrijeme eliminacije pri predoziranju je 1,5 – 3 sata.</w:t>
      </w:r>
    </w:p>
    <w:p w14:paraId="411C7E6A" w14:textId="77777777" w:rsidR="00CA7B2D" w:rsidRPr="00F63435" w:rsidRDefault="00CA7B2D" w:rsidP="00C81A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2A838B" w14:textId="77777777" w:rsidR="00CA7B2D" w:rsidRPr="00F63435" w:rsidRDefault="00CA7B2D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63435">
        <w:rPr>
          <w:bCs/>
          <w:sz w:val="22"/>
          <w:szCs w:val="22"/>
          <w:u w:val="single"/>
          <w:lang w:val="sr-Latn-ME"/>
        </w:rPr>
        <w:t>Simptomi predoziranja</w:t>
      </w:r>
    </w:p>
    <w:p w14:paraId="63055FEF" w14:textId="77777777" w:rsidR="00CA7B2D" w:rsidRPr="00F63435" w:rsidRDefault="00ED4232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Kod</w:t>
      </w:r>
      <w:r w:rsidR="00CA7B2D" w:rsidRPr="00F63435">
        <w:rPr>
          <w:bCs/>
          <w:sz w:val="22"/>
          <w:szCs w:val="22"/>
          <w:lang w:val="sr-Latn-ME"/>
        </w:rPr>
        <w:t xml:space="preserve"> većine </w:t>
      </w:r>
      <w:r w:rsidR="00FC6F91" w:rsidRPr="00F63435">
        <w:rPr>
          <w:bCs/>
          <w:sz w:val="22"/>
          <w:szCs w:val="22"/>
          <w:lang w:val="sr-Latn-ME"/>
        </w:rPr>
        <w:t xml:space="preserve">pacijenata </w:t>
      </w:r>
      <w:r w:rsidR="00CA7B2D" w:rsidRPr="00F63435">
        <w:rPr>
          <w:bCs/>
          <w:sz w:val="22"/>
          <w:szCs w:val="22"/>
          <w:lang w:val="sr-Latn-ME"/>
        </w:rPr>
        <w:t>je uzimanje prekomjerne doze ibuprofena (nekog od NSAIL) praćeno relativno blagim simptomima</w:t>
      </w:r>
      <w:r w:rsidR="006B69C1" w:rsidRPr="00F63435">
        <w:rPr>
          <w:bCs/>
          <w:sz w:val="22"/>
          <w:szCs w:val="22"/>
          <w:lang w:val="sr-Latn-ME"/>
        </w:rPr>
        <w:t>,</w:t>
      </w:r>
      <w:r w:rsidR="00CA7B2D" w:rsidRPr="00F63435">
        <w:rPr>
          <w:bCs/>
          <w:sz w:val="22"/>
          <w:szCs w:val="22"/>
          <w:lang w:val="sr-Latn-ME"/>
        </w:rPr>
        <w:t xml:space="preserve"> kao što su mučnina, povraćanje, bol u epigas</w:t>
      </w:r>
      <w:r w:rsidR="00EB7FE6" w:rsidRPr="00F63435">
        <w:rPr>
          <w:bCs/>
          <w:sz w:val="22"/>
          <w:szCs w:val="22"/>
          <w:lang w:val="sr-Latn-ME"/>
        </w:rPr>
        <w:t>trijumu,</w:t>
      </w:r>
      <w:r w:rsidRPr="00F63435">
        <w:rPr>
          <w:bCs/>
          <w:sz w:val="22"/>
          <w:szCs w:val="22"/>
          <w:lang w:val="sr-Latn-ME"/>
        </w:rPr>
        <w:t xml:space="preserve"> a ponekad i dijareja</w:t>
      </w:r>
      <w:r w:rsidR="00E2482D" w:rsidRPr="00F63435">
        <w:rPr>
          <w:bCs/>
          <w:sz w:val="22"/>
          <w:szCs w:val="22"/>
          <w:lang w:val="sr-Latn-ME"/>
        </w:rPr>
        <w:t>. Rjeđ</w:t>
      </w:r>
      <w:r w:rsidR="00CA7B2D" w:rsidRPr="00F63435">
        <w:rPr>
          <w:bCs/>
          <w:sz w:val="22"/>
          <w:szCs w:val="22"/>
          <w:lang w:val="sr-Latn-ME"/>
        </w:rPr>
        <w:t>e su prisutni tinitus, glavobolja, a moguće je i krvar</w:t>
      </w:r>
      <w:r w:rsidRPr="00F63435">
        <w:rPr>
          <w:bCs/>
          <w:sz w:val="22"/>
          <w:szCs w:val="22"/>
          <w:lang w:val="sr-Latn-ME"/>
        </w:rPr>
        <w:t xml:space="preserve">enje iz </w:t>
      </w:r>
      <w:r w:rsidR="00FC6F91" w:rsidRPr="00F63435">
        <w:rPr>
          <w:bCs/>
          <w:sz w:val="22"/>
          <w:szCs w:val="22"/>
          <w:lang w:val="sr-Latn-ME"/>
        </w:rPr>
        <w:t xml:space="preserve">digestivnog </w:t>
      </w:r>
      <w:r w:rsidRPr="00F63435">
        <w:rPr>
          <w:bCs/>
          <w:sz w:val="22"/>
          <w:szCs w:val="22"/>
          <w:lang w:val="sr-Latn-ME"/>
        </w:rPr>
        <w:t>trakta. Teža trovanja ljekovima iz grupe</w:t>
      </w:r>
      <w:r w:rsidR="00CA7B2D" w:rsidRPr="00F63435">
        <w:rPr>
          <w:bCs/>
          <w:sz w:val="22"/>
          <w:szCs w:val="22"/>
          <w:lang w:val="sr-Latn-ME"/>
        </w:rPr>
        <w:t xml:space="preserve"> NSAIL praćena su toksičnim </w:t>
      </w:r>
      <w:r w:rsidRPr="00F63435">
        <w:rPr>
          <w:bCs/>
          <w:sz w:val="22"/>
          <w:szCs w:val="22"/>
          <w:lang w:val="sr-Latn-ME"/>
        </w:rPr>
        <w:t>dejstvom</w:t>
      </w:r>
      <w:r w:rsidR="00CA7B2D" w:rsidRPr="00F63435">
        <w:rPr>
          <w:bCs/>
          <w:sz w:val="22"/>
          <w:szCs w:val="22"/>
          <w:lang w:val="sr-Latn-ME"/>
        </w:rPr>
        <w:t xml:space="preserve"> na </w:t>
      </w:r>
      <w:r w:rsidR="00E2482D" w:rsidRPr="00F63435">
        <w:rPr>
          <w:bCs/>
          <w:sz w:val="22"/>
          <w:szCs w:val="22"/>
          <w:lang w:val="sr-Latn-ME"/>
        </w:rPr>
        <w:t xml:space="preserve">centralni nervni sistem </w:t>
      </w:r>
      <w:r w:rsidR="006B69C1" w:rsidRPr="00F63435">
        <w:rPr>
          <w:bCs/>
          <w:sz w:val="22"/>
          <w:szCs w:val="22"/>
          <w:lang w:val="sr-Latn-ME"/>
        </w:rPr>
        <w:t xml:space="preserve">koje </w:t>
      </w:r>
      <w:r w:rsidR="00E2482D" w:rsidRPr="00F63435">
        <w:rPr>
          <w:bCs/>
          <w:sz w:val="22"/>
          <w:szCs w:val="22"/>
          <w:lang w:val="sr-Latn-ME"/>
        </w:rPr>
        <w:t xml:space="preserve">se </w:t>
      </w:r>
      <w:r w:rsidR="006B69C1" w:rsidRPr="00F63435">
        <w:rPr>
          <w:bCs/>
          <w:sz w:val="22"/>
          <w:szCs w:val="22"/>
          <w:lang w:val="sr-Latn-ME"/>
        </w:rPr>
        <w:t xml:space="preserve">manifestuje </w:t>
      </w:r>
      <w:r w:rsidR="00CA7B2D" w:rsidRPr="00F63435">
        <w:rPr>
          <w:bCs/>
          <w:sz w:val="22"/>
          <w:szCs w:val="22"/>
          <w:lang w:val="sr-Latn-ME"/>
        </w:rPr>
        <w:t>pojavom vrtoglavice, smušenosti, ekscitiranosti, dezorijentacije, ponekad konvulzija i kome.</w:t>
      </w:r>
    </w:p>
    <w:p w14:paraId="4DFD1253" w14:textId="6FAC3159" w:rsidR="00CA7B2D" w:rsidRPr="00F63435" w:rsidRDefault="00CA7B2D" w:rsidP="00504B4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63435">
        <w:rPr>
          <w:bCs/>
          <w:sz w:val="22"/>
          <w:szCs w:val="22"/>
          <w:lang w:val="sr-Latn-ME"/>
        </w:rPr>
        <w:t>Prilikom ozbiljnog predoziranja</w:t>
      </w:r>
      <w:r w:rsidR="00FC6F91" w:rsidRPr="00F63435">
        <w:rPr>
          <w:bCs/>
          <w:sz w:val="22"/>
          <w:szCs w:val="22"/>
          <w:lang w:val="sr-Latn-ME"/>
        </w:rPr>
        <w:t>,</w:t>
      </w:r>
      <w:r w:rsidRPr="00F63435">
        <w:rPr>
          <w:bCs/>
          <w:sz w:val="22"/>
          <w:szCs w:val="22"/>
          <w:lang w:val="sr-Latn-ME"/>
        </w:rPr>
        <w:t xml:space="preserve"> može se pojaviti metabolička acidoza. Može doći d</w:t>
      </w:r>
      <w:r w:rsidR="00E2482D" w:rsidRPr="00F63435">
        <w:rPr>
          <w:bCs/>
          <w:sz w:val="22"/>
          <w:szCs w:val="22"/>
          <w:lang w:val="sr-Latn-ME"/>
        </w:rPr>
        <w:t>o produž</w:t>
      </w:r>
      <w:r w:rsidRPr="00F63435">
        <w:rPr>
          <w:bCs/>
          <w:sz w:val="22"/>
          <w:szCs w:val="22"/>
          <w:lang w:val="sr-Latn-ME"/>
        </w:rPr>
        <w:t>enja</w:t>
      </w:r>
      <w:r w:rsidR="00FC6F91" w:rsidRPr="00F63435">
        <w:rPr>
          <w:bCs/>
          <w:sz w:val="22"/>
          <w:szCs w:val="22"/>
          <w:lang w:val="sr-Latn-ME"/>
        </w:rPr>
        <w:t xml:space="preserve"> </w:t>
      </w:r>
      <w:r w:rsidR="00ED4232" w:rsidRPr="00F63435">
        <w:rPr>
          <w:bCs/>
          <w:sz w:val="22"/>
          <w:szCs w:val="22"/>
          <w:lang w:val="sr-Latn-ME"/>
        </w:rPr>
        <w:t>protrombinskog vremena, vjerov</w:t>
      </w:r>
      <w:r w:rsidRPr="00F63435">
        <w:rPr>
          <w:bCs/>
          <w:sz w:val="22"/>
          <w:szCs w:val="22"/>
          <w:lang w:val="sr-Latn-ME"/>
        </w:rPr>
        <w:t xml:space="preserve">atno zbog interferencije s djelovanjem faktora </w:t>
      </w:r>
      <w:r w:rsidR="00FC6F91" w:rsidRPr="00F63435">
        <w:rPr>
          <w:bCs/>
          <w:sz w:val="22"/>
          <w:szCs w:val="22"/>
          <w:lang w:val="sr-Latn-ME"/>
        </w:rPr>
        <w:t>koagulacije</w:t>
      </w:r>
      <w:r w:rsidRPr="00F63435">
        <w:rPr>
          <w:bCs/>
          <w:sz w:val="22"/>
          <w:szCs w:val="22"/>
          <w:lang w:val="sr-Latn-ME"/>
        </w:rPr>
        <w:t xml:space="preserve">, kao i do </w:t>
      </w:r>
      <w:r w:rsidR="00FC6F91" w:rsidRPr="00F63435">
        <w:rPr>
          <w:bCs/>
          <w:sz w:val="22"/>
          <w:szCs w:val="22"/>
          <w:lang w:val="sr-Latn-ME"/>
        </w:rPr>
        <w:t xml:space="preserve">akutne insuficijencije </w:t>
      </w:r>
      <w:r w:rsidRPr="00F63435">
        <w:rPr>
          <w:bCs/>
          <w:sz w:val="22"/>
          <w:szCs w:val="22"/>
          <w:lang w:val="sr-Latn-ME"/>
        </w:rPr>
        <w:t xml:space="preserve">bubrega i težeg oštećenja jetre. </w:t>
      </w:r>
      <w:r w:rsidR="00ED4232" w:rsidRPr="00F63435">
        <w:rPr>
          <w:bCs/>
          <w:sz w:val="22"/>
          <w:szCs w:val="22"/>
          <w:lang w:val="sr-Latn-ME"/>
        </w:rPr>
        <w:t>Pacijenti</w:t>
      </w:r>
      <w:r w:rsidRPr="00F63435">
        <w:rPr>
          <w:bCs/>
          <w:sz w:val="22"/>
          <w:szCs w:val="22"/>
          <w:lang w:val="sr-Latn-ME"/>
        </w:rPr>
        <w:t xml:space="preserve"> s</w:t>
      </w:r>
      <w:r w:rsidR="00503D7D" w:rsidRPr="00F63435">
        <w:rPr>
          <w:bCs/>
          <w:sz w:val="22"/>
          <w:szCs w:val="22"/>
          <w:lang w:val="sr-Latn-ME"/>
        </w:rPr>
        <w:t>a</w:t>
      </w:r>
      <w:r w:rsidRPr="00F63435">
        <w:rPr>
          <w:bCs/>
          <w:sz w:val="22"/>
          <w:szCs w:val="22"/>
          <w:lang w:val="sr-Latn-ME"/>
        </w:rPr>
        <w:t xml:space="preserve"> as</w:t>
      </w:r>
      <w:r w:rsidR="00ED4232" w:rsidRPr="00F63435">
        <w:rPr>
          <w:bCs/>
          <w:sz w:val="22"/>
          <w:szCs w:val="22"/>
          <w:lang w:val="sr-Latn-ME"/>
        </w:rPr>
        <w:t xml:space="preserve">tmom </w:t>
      </w:r>
      <w:r w:rsidR="00FC6F91" w:rsidRPr="00F63435">
        <w:rPr>
          <w:bCs/>
          <w:sz w:val="22"/>
          <w:szCs w:val="22"/>
          <w:lang w:val="sr-Latn-ME"/>
        </w:rPr>
        <w:t xml:space="preserve">su </w:t>
      </w:r>
      <w:r w:rsidR="00ED4232" w:rsidRPr="00F63435">
        <w:rPr>
          <w:bCs/>
          <w:sz w:val="22"/>
          <w:szCs w:val="22"/>
          <w:lang w:val="sr-Latn-ME"/>
        </w:rPr>
        <w:t>posebno osjetljivi</w:t>
      </w:r>
      <w:r w:rsidR="00FC6F91" w:rsidRPr="00F63435">
        <w:rPr>
          <w:bCs/>
          <w:sz w:val="22"/>
          <w:szCs w:val="22"/>
          <w:lang w:val="sr-Latn-ME"/>
        </w:rPr>
        <w:t>,</w:t>
      </w:r>
      <w:r w:rsidR="00ED4232" w:rsidRPr="00F63435">
        <w:rPr>
          <w:bCs/>
          <w:sz w:val="22"/>
          <w:szCs w:val="22"/>
          <w:lang w:val="sr-Latn-ME"/>
        </w:rPr>
        <w:t xml:space="preserve"> te kod </w:t>
      </w:r>
      <w:r w:rsidRPr="00F63435">
        <w:rPr>
          <w:bCs/>
          <w:sz w:val="22"/>
          <w:szCs w:val="22"/>
          <w:lang w:val="sr-Latn-ME"/>
        </w:rPr>
        <w:t>njih svako predoziranje ibuprofenom može provocirati astmatični napad.</w:t>
      </w:r>
    </w:p>
    <w:p w14:paraId="00B4D20C" w14:textId="77777777" w:rsidR="00CA7B2D" w:rsidRPr="00F63435" w:rsidRDefault="00CA7B2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63435">
        <w:rPr>
          <w:bCs/>
          <w:sz w:val="22"/>
          <w:szCs w:val="22"/>
          <w:u w:val="single"/>
          <w:lang w:val="sr-Latn-ME"/>
        </w:rPr>
        <w:t>Liječenje</w:t>
      </w:r>
    </w:p>
    <w:p w14:paraId="33EACC4F" w14:textId="77777777" w:rsidR="00CA7B2D" w:rsidRPr="00F63435" w:rsidRDefault="00CA7B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Ne postoji specifični antidot za ibuprofen.</w:t>
      </w:r>
    </w:p>
    <w:p w14:paraId="51ACC426" w14:textId="77777777" w:rsidR="00CA7B2D" w:rsidRPr="00F63435" w:rsidRDefault="00CA7B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Liječenje je simptomatsko i suportivno, a uklj</w:t>
      </w:r>
      <w:r w:rsidR="00E2482D" w:rsidRPr="00F63435">
        <w:rPr>
          <w:bCs/>
          <w:sz w:val="22"/>
          <w:szCs w:val="22"/>
          <w:lang w:val="sr-Latn-ME"/>
        </w:rPr>
        <w:t>učuje održavanje prohodnosti disaj</w:t>
      </w:r>
      <w:r w:rsidRPr="00F63435">
        <w:rPr>
          <w:bCs/>
          <w:sz w:val="22"/>
          <w:szCs w:val="22"/>
          <w:lang w:val="sr-Latn-ME"/>
        </w:rPr>
        <w:t>nih puteva, održavanje</w:t>
      </w:r>
      <w:r w:rsidR="00FC6F91" w:rsidRPr="00F63435">
        <w:rPr>
          <w:bCs/>
          <w:sz w:val="22"/>
          <w:szCs w:val="22"/>
          <w:lang w:val="sr-Latn-ME"/>
        </w:rPr>
        <w:t xml:space="preserve"> </w:t>
      </w:r>
      <w:r w:rsidRPr="00F63435">
        <w:rPr>
          <w:bCs/>
          <w:sz w:val="22"/>
          <w:szCs w:val="22"/>
          <w:lang w:val="sr-Latn-ME"/>
        </w:rPr>
        <w:t xml:space="preserve">vitalnih funkcija i </w:t>
      </w:r>
      <w:r w:rsidR="00ED4232" w:rsidRPr="00F63435">
        <w:rPr>
          <w:bCs/>
          <w:sz w:val="22"/>
          <w:szCs w:val="22"/>
          <w:lang w:val="sr-Latn-ME"/>
        </w:rPr>
        <w:t>praćenje srčane funkcije. U toku</w:t>
      </w:r>
      <w:r w:rsidRPr="00F63435">
        <w:rPr>
          <w:bCs/>
          <w:sz w:val="22"/>
          <w:szCs w:val="22"/>
          <w:lang w:val="sr-Latn-ME"/>
        </w:rPr>
        <w:t xml:space="preserve"> sat vremena nakon ingestije veće količine suspenzije</w:t>
      </w:r>
      <w:r w:rsidR="006B69C1" w:rsidRPr="00F63435">
        <w:rPr>
          <w:bCs/>
          <w:sz w:val="22"/>
          <w:szCs w:val="22"/>
          <w:lang w:val="sr-Latn-ME"/>
        </w:rPr>
        <w:t>,</w:t>
      </w:r>
      <w:r w:rsidR="00FC6F91" w:rsidRPr="00F63435">
        <w:rPr>
          <w:bCs/>
          <w:sz w:val="22"/>
          <w:szCs w:val="22"/>
          <w:lang w:val="sr-Latn-ME"/>
        </w:rPr>
        <w:t xml:space="preserve"> </w:t>
      </w:r>
      <w:r w:rsidRPr="00F63435">
        <w:rPr>
          <w:bCs/>
          <w:sz w:val="22"/>
          <w:szCs w:val="22"/>
          <w:lang w:val="sr-Latn-ME"/>
        </w:rPr>
        <w:t xml:space="preserve">korisno </w:t>
      </w:r>
      <w:r w:rsidR="00E2482D" w:rsidRPr="00F63435">
        <w:rPr>
          <w:bCs/>
          <w:sz w:val="22"/>
          <w:szCs w:val="22"/>
          <w:lang w:val="sr-Latn-ME"/>
        </w:rPr>
        <w:t xml:space="preserve">je dati </w:t>
      </w:r>
      <w:r w:rsidR="00ED4232" w:rsidRPr="00F63435">
        <w:rPr>
          <w:bCs/>
          <w:sz w:val="22"/>
          <w:szCs w:val="22"/>
          <w:lang w:val="sr-Latn-ME"/>
        </w:rPr>
        <w:t>pacijentu</w:t>
      </w:r>
      <w:r w:rsidR="00E2482D" w:rsidRPr="00F63435">
        <w:rPr>
          <w:bCs/>
          <w:sz w:val="22"/>
          <w:szCs w:val="22"/>
          <w:lang w:val="sr-Latn-ME"/>
        </w:rPr>
        <w:t xml:space="preserve"> aktivni ugalj</w:t>
      </w:r>
      <w:r w:rsidRPr="00F63435">
        <w:rPr>
          <w:bCs/>
          <w:sz w:val="22"/>
          <w:szCs w:val="22"/>
          <w:lang w:val="sr-Latn-ME"/>
        </w:rPr>
        <w:t xml:space="preserve">. U slučaju pojave učestalih i prolongiranih konvulzija, </w:t>
      </w:r>
      <w:r w:rsidR="006B69C1" w:rsidRPr="00F63435">
        <w:rPr>
          <w:bCs/>
          <w:sz w:val="22"/>
          <w:szCs w:val="22"/>
          <w:lang w:val="sr-Latn-ME"/>
        </w:rPr>
        <w:t>pacijentu</w:t>
      </w:r>
      <w:r w:rsidR="00FC6F91" w:rsidRPr="00F63435">
        <w:rPr>
          <w:bCs/>
          <w:sz w:val="22"/>
          <w:szCs w:val="22"/>
          <w:lang w:val="sr-Latn-ME"/>
        </w:rPr>
        <w:t xml:space="preserve"> </w:t>
      </w:r>
      <w:r w:rsidRPr="00F63435">
        <w:rPr>
          <w:bCs/>
          <w:sz w:val="22"/>
          <w:szCs w:val="22"/>
          <w:lang w:val="sr-Latn-ME"/>
        </w:rPr>
        <w:t>treba dati diazepam i lorazepam intravenski, odnosno bronhodilatatore u slučaju pojave bronhospazma.</w:t>
      </w:r>
    </w:p>
    <w:p w14:paraId="1963EF96" w14:textId="77777777" w:rsidR="007E4179" w:rsidRPr="00F63435" w:rsidRDefault="007E417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EB01DE" w14:textId="77777777" w:rsidR="007E4179" w:rsidRPr="00F63435" w:rsidRDefault="007E417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B37A37" w14:textId="77777777" w:rsidR="0072020E" w:rsidRPr="00F63435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5.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FARMAKOLOŠK</w:t>
      </w:r>
      <w:r w:rsidR="000D425A" w:rsidRPr="00F63435">
        <w:rPr>
          <w:b/>
          <w:bCs/>
          <w:sz w:val="22"/>
          <w:szCs w:val="22"/>
          <w:lang w:val="sr-Latn-ME"/>
        </w:rPr>
        <w:t>I</w:t>
      </w:r>
      <w:r w:rsidRPr="00F63435">
        <w:rPr>
          <w:b/>
          <w:bCs/>
          <w:sz w:val="22"/>
          <w:szCs w:val="22"/>
          <w:lang w:val="sr-Latn-ME"/>
        </w:rPr>
        <w:t xml:space="preserve"> PODACI</w:t>
      </w:r>
    </w:p>
    <w:p w14:paraId="7B645E47" w14:textId="77777777" w:rsidR="0072020E" w:rsidRPr="00F63435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81C2E0" w14:textId="77777777" w:rsidR="0072020E" w:rsidRPr="00F63435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5.1.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Farmakodinamski podaci</w:t>
      </w:r>
      <w:r w:rsidR="003A7059" w:rsidRPr="00F63435">
        <w:rPr>
          <w:b/>
          <w:bCs/>
          <w:sz w:val="22"/>
          <w:szCs w:val="22"/>
          <w:lang w:val="sr-Latn-ME"/>
        </w:rPr>
        <w:t xml:space="preserve"> </w:t>
      </w:r>
    </w:p>
    <w:p w14:paraId="111DF999" w14:textId="77777777" w:rsidR="00F45F77" w:rsidRPr="00F63435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FD1D7A" w14:textId="77777777" w:rsidR="00E7278D" w:rsidRPr="00F63435" w:rsidRDefault="00AC5146" w:rsidP="001E23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Farmakoterapijska grupa: nesteroidni antiinflamatorni i antireumatski ljekovi, derivati</w:t>
      </w:r>
      <w:r w:rsidR="007D672E" w:rsidRPr="00F63435">
        <w:rPr>
          <w:bCs/>
          <w:sz w:val="22"/>
          <w:szCs w:val="22"/>
          <w:lang w:val="sr-Latn-ME"/>
        </w:rPr>
        <w:t xml:space="preserve"> propionske kiseline </w:t>
      </w:r>
    </w:p>
    <w:p w14:paraId="1A60A252" w14:textId="77777777" w:rsidR="00E7278D" w:rsidRPr="00F63435" w:rsidRDefault="00E7278D" w:rsidP="001E23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3FE4D5" w14:textId="3BEE044A" w:rsidR="00AC5146" w:rsidRPr="00F63435" w:rsidRDefault="007D672E" w:rsidP="001E23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ATC </w:t>
      </w:r>
      <w:r w:rsidR="00E7278D" w:rsidRPr="00F63435">
        <w:rPr>
          <w:bCs/>
          <w:sz w:val="22"/>
          <w:szCs w:val="22"/>
          <w:lang w:val="sr-Latn-ME"/>
        </w:rPr>
        <w:t>kod</w:t>
      </w:r>
      <w:r w:rsidR="00AC5146" w:rsidRPr="00F63435">
        <w:rPr>
          <w:bCs/>
          <w:sz w:val="22"/>
          <w:szCs w:val="22"/>
          <w:lang w:val="sr-Latn-ME"/>
        </w:rPr>
        <w:t>: M01AE01</w:t>
      </w:r>
    </w:p>
    <w:p w14:paraId="163A65F8" w14:textId="77777777" w:rsidR="00AC5146" w:rsidRPr="00F63435" w:rsidRDefault="00AC5146" w:rsidP="001E23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66A379" w14:textId="77777777" w:rsidR="00AC5146" w:rsidRPr="00F63435" w:rsidRDefault="00AC5146" w:rsidP="002220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Ibuprofen je</w:t>
      </w:r>
      <w:r w:rsidR="0020632F" w:rsidRPr="00F63435">
        <w:rPr>
          <w:bCs/>
          <w:sz w:val="22"/>
          <w:szCs w:val="22"/>
          <w:lang w:val="sr-Latn-ME"/>
        </w:rPr>
        <w:t xml:space="preserve"> derivat</w:t>
      </w:r>
      <w:r w:rsidR="00B94E98" w:rsidRPr="00F63435">
        <w:rPr>
          <w:bCs/>
          <w:sz w:val="22"/>
          <w:szCs w:val="22"/>
          <w:lang w:val="sr-Latn-ME"/>
        </w:rPr>
        <w:t xml:space="preserve"> propionske kiseline iz grupe n</w:t>
      </w:r>
      <w:r w:rsidR="00293A65" w:rsidRPr="00F63435">
        <w:rPr>
          <w:bCs/>
          <w:sz w:val="22"/>
          <w:szCs w:val="22"/>
          <w:lang w:val="sr-Latn-ME"/>
        </w:rPr>
        <w:t>esteroidnih antiinflamatornih l</w:t>
      </w:r>
      <w:r w:rsidR="00B94E98" w:rsidRPr="00F63435">
        <w:rPr>
          <w:bCs/>
          <w:sz w:val="22"/>
          <w:szCs w:val="22"/>
          <w:lang w:val="sr-Latn-ME"/>
        </w:rPr>
        <w:t xml:space="preserve">jekova čiji se mehanizam dejstva temelji na inhibiciji sinteze prostaglandina. </w:t>
      </w:r>
      <w:r w:rsidR="007D672E" w:rsidRPr="00F63435">
        <w:rPr>
          <w:bCs/>
          <w:sz w:val="22"/>
          <w:szCs w:val="22"/>
          <w:lang w:val="sr-Latn-ME"/>
        </w:rPr>
        <w:t xml:space="preserve">Kod </w:t>
      </w:r>
      <w:r w:rsidR="00B94E98" w:rsidRPr="00F63435">
        <w:rPr>
          <w:bCs/>
          <w:sz w:val="22"/>
          <w:szCs w:val="22"/>
          <w:lang w:val="sr-Latn-ME"/>
        </w:rPr>
        <w:t xml:space="preserve">ljudi, ibuprofen smanjuje </w:t>
      </w:r>
      <w:r w:rsidR="003B6DBF" w:rsidRPr="00F63435">
        <w:rPr>
          <w:bCs/>
          <w:sz w:val="22"/>
          <w:szCs w:val="22"/>
          <w:lang w:val="sr-Latn-ME"/>
        </w:rPr>
        <w:t xml:space="preserve">upalni </w:t>
      </w:r>
      <w:r w:rsidR="00B94E98" w:rsidRPr="00F63435">
        <w:rPr>
          <w:bCs/>
          <w:sz w:val="22"/>
          <w:szCs w:val="22"/>
          <w:lang w:val="sr-Latn-ME"/>
        </w:rPr>
        <w:t>bol, otok i snižava povišenu t</w:t>
      </w:r>
      <w:r w:rsidR="00C74449" w:rsidRPr="00F63435">
        <w:rPr>
          <w:bCs/>
          <w:sz w:val="22"/>
          <w:szCs w:val="22"/>
          <w:lang w:val="sr-Latn-ME"/>
        </w:rPr>
        <w:t>j</w:t>
      </w:r>
      <w:r w:rsidR="00B94E98" w:rsidRPr="00F63435">
        <w:rPr>
          <w:bCs/>
          <w:sz w:val="22"/>
          <w:szCs w:val="22"/>
          <w:lang w:val="sr-Latn-ME"/>
        </w:rPr>
        <w:t>elesnu temperaturu. Takođe, reverzibilno inhibira agregaciju trombocita.</w:t>
      </w:r>
    </w:p>
    <w:p w14:paraId="519A44A1" w14:textId="77777777" w:rsidR="00B94E98" w:rsidRPr="00F63435" w:rsidRDefault="00B94E98" w:rsidP="00B04B0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47AF01" w14:textId="77777777" w:rsidR="00B94E98" w:rsidRPr="00F63435" w:rsidRDefault="00B94E98" w:rsidP="00C81A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Klinička efikasnost ibuprofena dokazana je kod simptomatskog liječenja blagih do umjerenih bolova</w:t>
      </w:r>
      <w:r w:rsidR="003B6DBF" w:rsidRPr="00F63435">
        <w:rPr>
          <w:bCs/>
          <w:sz w:val="22"/>
          <w:szCs w:val="22"/>
          <w:lang w:val="sr-Latn-ME"/>
        </w:rPr>
        <w:t>,</w:t>
      </w:r>
      <w:r w:rsidRPr="00F63435">
        <w:rPr>
          <w:bCs/>
          <w:sz w:val="22"/>
          <w:szCs w:val="22"/>
          <w:lang w:val="sr-Latn-ME"/>
        </w:rPr>
        <w:t xml:space="preserve"> kao što su zubobolja i glavobolja</w:t>
      </w:r>
      <w:r w:rsidR="003B6DBF" w:rsidRPr="00F63435">
        <w:rPr>
          <w:bCs/>
          <w:sz w:val="22"/>
          <w:szCs w:val="22"/>
          <w:lang w:val="sr-Latn-ME"/>
        </w:rPr>
        <w:t>,</w:t>
      </w:r>
      <w:r w:rsidRPr="00F63435">
        <w:rPr>
          <w:bCs/>
          <w:sz w:val="22"/>
          <w:szCs w:val="22"/>
          <w:lang w:val="sr-Latn-ME"/>
        </w:rPr>
        <w:t xml:space="preserve"> i kod simptomatskog liječenja groznice. Analgetska doza za djecu je 7 do 10 mg/kg po dozi</w:t>
      </w:r>
      <w:r w:rsidR="003B6DBF" w:rsidRPr="00F63435">
        <w:rPr>
          <w:bCs/>
          <w:sz w:val="22"/>
          <w:szCs w:val="22"/>
          <w:lang w:val="sr-Latn-ME"/>
        </w:rPr>
        <w:t>,</w:t>
      </w:r>
      <w:r w:rsidRPr="00F63435">
        <w:rPr>
          <w:bCs/>
          <w:sz w:val="22"/>
          <w:szCs w:val="22"/>
          <w:lang w:val="sr-Latn-ME"/>
        </w:rPr>
        <w:t xml:space="preserve"> sa maksimalnom dozom od 30 mg/kg/dan.</w:t>
      </w:r>
    </w:p>
    <w:p w14:paraId="27117D06" w14:textId="77777777" w:rsidR="00AC5146" w:rsidRPr="00F63435" w:rsidRDefault="00AC5146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F629D7" w14:textId="77777777" w:rsidR="00B94E98" w:rsidRPr="00F63435" w:rsidRDefault="00B94E98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Eksperimentalni podaci </w:t>
      </w:r>
      <w:r w:rsidR="00CB3095" w:rsidRPr="00F63435">
        <w:rPr>
          <w:bCs/>
          <w:sz w:val="22"/>
          <w:szCs w:val="22"/>
          <w:lang w:val="sr-Latn-ME"/>
        </w:rPr>
        <w:t>ukazuju</w:t>
      </w:r>
      <w:r w:rsidRPr="00F63435">
        <w:rPr>
          <w:bCs/>
          <w:sz w:val="22"/>
          <w:szCs w:val="22"/>
          <w:lang w:val="sr-Latn-ME"/>
        </w:rPr>
        <w:t xml:space="preserve"> da ibuprofen može </w:t>
      </w:r>
      <w:r w:rsidR="00CB3095" w:rsidRPr="00F63435">
        <w:rPr>
          <w:bCs/>
          <w:sz w:val="22"/>
          <w:szCs w:val="22"/>
          <w:lang w:val="sr-Latn-ME"/>
        </w:rPr>
        <w:t>da inhibira dejstvo</w:t>
      </w:r>
      <w:r w:rsidRPr="00F63435">
        <w:rPr>
          <w:bCs/>
          <w:sz w:val="22"/>
          <w:szCs w:val="22"/>
          <w:lang w:val="sr-Latn-ME"/>
        </w:rPr>
        <w:t xml:space="preserve"> niske doze</w:t>
      </w:r>
      <w:r w:rsidR="00CB3095" w:rsidRPr="00F63435">
        <w:rPr>
          <w:bCs/>
          <w:sz w:val="22"/>
          <w:szCs w:val="22"/>
          <w:lang w:val="sr-Latn-ME"/>
        </w:rPr>
        <w:t xml:space="preserve"> </w:t>
      </w:r>
      <w:r w:rsidRPr="00F63435">
        <w:rPr>
          <w:bCs/>
          <w:sz w:val="22"/>
          <w:szCs w:val="22"/>
          <w:lang w:val="sr-Latn-ME"/>
        </w:rPr>
        <w:t>acetilsalicilne kise</w:t>
      </w:r>
      <w:r w:rsidR="00CB3095" w:rsidRPr="00F63435">
        <w:rPr>
          <w:bCs/>
          <w:sz w:val="22"/>
          <w:szCs w:val="22"/>
          <w:lang w:val="sr-Latn-ME"/>
        </w:rPr>
        <w:t>line na agregaciju trombocita kada</w:t>
      </w:r>
      <w:r w:rsidRPr="00F63435">
        <w:rPr>
          <w:bCs/>
          <w:sz w:val="22"/>
          <w:szCs w:val="22"/>
          <w:lang w:val="sr-Latn-ME"/>
        </w:rPr>
        <w:t xml:space="preserve"> se oba lijeka </w:t>
      </w:r>
      <w:r w:rsidR="00CB3095" w:rsidRPr="00F63435">
        <w:rPr>
          <w:bCs/>
          <w:sz w:val="22"/>
          <w:szCs w:val="22"/>
          <w:lang w:val="sr-Latn-ME"/>
        </w:rPr>
        <w:t>koriste</w:t>
      </w:r>
      <w:r w:rsidRPr="00F63435">
        <w:rPr>
          <w:bCs/>
          <w:sz w:val="22"/>
          <w:szCs w:val="22"/>
          <w:lang w:val="sr-Latn-ME"/>
        </w:rPr>
        <w:t xml:space="preserve"> istovremeno. Određena ispitivanja farmakodinamike pokazuju da je </w:t>
      </w:r>
      <w:r w:rsidR="00A54396" w:rsidRPr="00F63435">
        <w:rPr>
          <w:bCs/>
          <w:sz w:val="22"/>
          <w:szCs w:val="22"/>
          <w:lang w:val="sr-Latn-ME"/>
        </w:rPr>
        <w:t>prim</w:t>
      </w:r>
      <w:r w:rsidR="001703F1" w:rsidRPr="00F63435">
        <w:rPr>
          <w:bCs/>
          <w:sz w:val="22"/>
          <w:szCs w:val="22"/>
          <w:lang w:val="sr-Latn-ME"/>
        </w:rPr>
        <w:t>ij</w:t>
      </w:r>
      <w:r w:rsidR="00A54396" w:rsidRPr="00F63435">
        <w:rPr>
          <w:bCs/>
          <w:sz w:val="22"/>
          <w:szCs w:val="22"/>
          <w:lang w:val="sr-Latn-ME"/>
        </w:rPr>
        <w:t>ećen</w:t>
      </w:r>
      <w:r w:rsidRPr="00F63435">
        <w:rPr>
          <w:bCs/>
          <w:sz w:val="22"/>
          <w:szCs w:val="22"/>
          <w:lang w:val="sr-Latn-ME"/>
        </w:rPr>
        <w:t xml:space="preserve"> smanjen</w:t>
      </w:r>
      <w:r w:rsidR="00A54396" w:rsidRPr="00F63435">
        <w:rPr>
          <w:bCs/>
          <w:sz w:val="22"/>
          <w:szCs w:val="22"/>
          <w:lang w:val="sr-Latn-ME"/>
        </w:rPr>
        <w:t xml:space="preserve"> učinak acetilsalicil</w:t>
      </w:r>
      <w:r w:rsidRPr="00F63435">
        <w:rPr>
          <w:bCs/>
          <w:sz w:val="22"/>
          <w:szCs w:val="22"/>
          <w:lang w:val="sr-Latn-ME"/>
        </w:rPr>
        <w:t>ne kiseline na stvaranje tromboksana ili agregaciju trombocita kada se jednokratna</w:t>
      </w:r>
      <w:r w:rsidR="00A54396" w:rsidRPr="00F63435">
        <w:rPr>
          <w:bCs/>
          <w:sz w:val="22"/>
          <w:szCs w:val="22"/>
          <w:lang w:val="sr-Latn-ME"/>
        </w:rPr>
        <w:t xml:space="preserve"> doza ibuprofena od 400 mg prim</w:t>
      </w:r>
      <w:r w:rsidR="003B6DBF" w:rsidRPr="00F63435">
        <w:rPr>
          <w:bCs/>
          <w:sz w:val="22"/>
          <w:szCs w:val="22"/>
          <w:lang w:val="sr-Latn-ME"/>
        </w:rPr>
        <w:t>i</w:t>
      </w:r>
      <w:r w:rsidRPr="00F63435">
        <w:rPr>
          <w:bCs/>
          <w:sz w:val="22"/>
          <w:szCs w:val="22"/>
          <w:lang w:val="sr-Latn-ME"/>
        </w:rPr>
        <w:t xml:space="preserve">jeni unutar 8 sati </w:t>
      </w:r>
      <w:r w:rsidR="00A54396" w:rsidRPr="00F63435">
        <w:rPr>
          <w:bCs/>
          <w:sz w:val="22"/>
          <w:szCs w:val="22"/>
          <w:lang w:val="sr-Latn-ME"/>
        </w:rPr>
        <w:t xml:space="preserve">prije ili unutar </w:t>
      </w:r>
      <w:r w:rsidRPr="00F63435">
        <w:rPr>
          <w:bCs/>
          <w:sz w:val="22"/>
          <w:szCs w:val="22"/>
          <w:lang w:val="sr-Latn-ME"/>
        </w:rPr>
        <w:t>30 minut</w:t>
      </w:r>
      <w:r w:rsidR="00A54396" w:rsidRPr="00F63435">
        <w:rPr>
          <w:bCs/>
          <w:sz w:val="22"/>
          <w:szCs w:val="22"/>
          <w:lang w:val="sr-Latn-ME"/>
        </w:rPr>
        <w:t>a nakon uzimanja acetilsalicil</w:t>
      </w:r>
      <w:r w:rsidRPr="00F63435">
        <w:rPr>
          <w:bCs/>
          <w:sz w:val="22"/>
          <w:szCs w:val="22"/>
          <w:lang w:val="sr-Latn-ME"/>
        </w:rPr>
        <w:t>ne kiseline s</w:t>
      </w:r>
      <w:r w:rsidR="00A54396" w:rsidRPr="00F63435">
        <w:rPr>
          <w:bCs/>
          <w:sz w:val="22"/>
          <w:szCs w:val="22"/>
          <w:lang w:val="sr-Latn-ME"/>
        </w:rPr>
        <w:t>a trenutnim oslobađ</w:t>
      </w:r>
      <w:r w:rsidRPr="00F63435">
        <w:rPr>
          <w:bCs/>
          <w:sz w:val="22"/>
          <w:szCs w:val="22"/>
          <w:lang w:val="sr-Latn-ME"/>
        </w:rPr>
        <w:t>anjem (81 mg). Iako postoji nesigurnost ekstrapolacije ovih podataka na kliničku</w:t>
      </w:r>
      <w:r w:rsidR="00A54396" w:rsidRPr="00F63435">
        <w:rPr>
          <w:bCs/>
          <w:sz w:val="22"/>
          <w:szCs w:val="22"/>
          <w:lang w:val="sr-Latn-ME"/>
        </w:rPr>
        <w:t xml:space="preserve"> praksu, mogućnost da će redovn</w:t>
      </w:r>
      <w:r w:rsidRPr="00F63435">
        <w:rPr>
          <w:bCs/>
          <w:sz w:val="22"/>
          <w:szCs w:val="22"/>
          <w:lang w:val="sr-Latn-ME"/>
        </w:rPr>
        <w:t>a, dugotrajna primjena ibuprofena možda s</w:t>
      </w:r>
      <w:r w:rsidR="00A54396" w:rsidRPr="00F63435">
        <w:rPr>
          <w:bCs/>
          <w:sz w:val="22"/>
          <w:szCs w:val="22"/>
          <w:lang w:val="sr-Latn-ME"/>
        </w:rPr>
        <w:t>manjiti kardioprotektiv</w:t>
      </w:r>
      <w:r w:rsidR="00293A65" w:rsidRPr="00F63435">
        <w:rPr>
          <w:bCs/>
          <w:sz w:val="22"/>
          <w:szCs w:val="22"/>
          <w:lang w:val="sr-Latn-ME"/>
        </w:rPr>
        <w:t>n</w:t>
      </w:r>
      <w:r w:rsidR="00A54396" w:rsidRPr="00F63435">
        <w:rPr>
          <w:bCs/>
          <w:sz w:val="22"/>
          <w:szCs w:val="22"/>
          <w:lang w:val="sr-Latn-ME"/>
        </w:rPr>
        <w:t>o dejstvo</w:t>
      </w:r>
      <w:r w:rsidRPr="00F63435">
        <w:rPr>
          <w:bCs/>
          <w:sz w:val="22"/>
          <w:szCs w:val="22"/>
          <w:lang w:val="sr-Latn-ME"/>
        </w:rPr>
        <w:t xml:space="preserve"> niske doze acetilsalicilne kiseline </w:t>
      </w:r>
      <w:r w:rsidR="00A54396" w:rsidRPr="00F63435">
        <w:rPr>
          <w:bCs/>
          <w:sz w:val="22"/>
          <w:szCs w:val="22"/>
          <w:lang w:val="sr-Latn-ME"/>
        </w:rPr>
        <w:t xml:space="preserve">se ne </w:t>
      </w:r>
      <w:r w:rsidR="00A54396" w:rsidRPr="00F63435">
        <w:rPr>
          <w:bCs/>
          <w:sz w:val="22"/>
          <w:szCs w:val="22"/>
          <w:lang w:val="sr-Latn-ME"/>
        </w:rPr>
        <w:lastRenderedPageBreak/>
        <w:t>može</w:t>
      </w:r>
      <w:r w:rsidRPr="00F63435">
        <w:rPr>
          <w:bCs/>
          <w:sz w:val="22"/>
          <w:szCs w:val="22"/>
          <w:lang w:val="sr-Latn-ME"/>
        </w:rPr>
        <w:t xml:space="preserve"> isključiti. Smatra se da pri povremenom uzimanju ibuprofena klinički značajan učinak nije </w:t>
      </w:r>
      <w:r w:rsidR="00A54396" w:rsidRPr="00F63435">
        <w:rPr>
          <w:bCs/>
          <w:sz w:val="22"/>
          <w:szCs w:val="22"/>
          <w:lang w:val="sr-Latn-ME"/>
        </w:rPr>
        <w:t>vjerov</w:t>
      </w:r>
      <w:r w:rsidRPr="00F63435">
        <w:rPr>
          <w:bCs/>
          <w:sz w:val="22"/>
          <w:szCs w:val="22"/>
          <w:lang w:val="sr-Latn-ME"/>
        </w:rPr>
        <w:t>atan (vidjeti dio 4.5).</w:t>
      </w:r>
    </w:p>
    <w:p w14:paraId="52B01511" w14:textId="77777777" w:rsidR="00AC5146" w:rsidRPr="00F63435" w:rsidRDefault="00AC5146" w:rsidP="001E23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24FF99" w14:textId="77777777" w:rsidR="00AC5146" w:rsidRPr="00F63435" w:rsidRDefault="00AC5146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5.2. </w:t>
      </w:r>
      <w:r w:rsidRPr="00F63435">
        <w:rPr>
          <w:b/>
          <w:bCs/>
          <w:sz w:val="22"/>
          <w:szCs w:val="22"/>
          <w:lang w:val="sr-Latn-ME"/>
        </w:rPr>
        <w:tab/>
        <w:t>Farmakokinetički podaci</w:t>
      </w:r>
    </w:p>
    <w:p w14:paraId="4E6E62ED" w14:textId="77777777" w:rsidR="00AC5146" w:rsidRPr="00F63435" w:rsidRDefault="00AC5146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D60FD6" w14:textId="77777777" w:rsidR="00A54396" w:rsidRPr="00F63435" w:rsidRDefault="00A54396" w:rsidP="002220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Ibuprofen se nakon primjene brzo </w:t>
      </w:r>
      <w:r w:rsidR="00D00775" w:rsidRPr="00F63435">
        <w:rPr>
          <w:bCs/>
          <w:sz w:val="22"/>
          <w:szCs w:val="22"/>
          <w:lang w:val="sr-Latn-ME"/>
        </w:rPr>
        <w:t xml:space="preserve">resorbuje </w:t>
      </w:r>
      <w:r w:rsidRPr="00F63435">
        <w:rPr>
          <w:bCs/>
          <w:sz w:val="22"/>
          <w:szCs w:val="22"/>
          <w:lang w:val="sr-Latn-ME"/>
        </w:rPr>
        <w:t>i distribuira po</w:t>
      </w:r>
      <w:r w:rsidR="00AC5146" w:rsidRPr="00F63435">
        <w:rPr>
          <w:bCs/>
          <w:sz w:val="22"/>
          <w:szCs w:val="22"/>
          <w:lang w:val="sr-Latn-ME"/>
        </w:rPr>
        <w:t xml:space="preserve"> cijelom tijelu. Izlučivanje </w:t>
      </w:r>
      <w:r w:rsidRPr="00F63435">
        <w:rPr>
          <w:bCs/>
          <w:sz w:val="22"/>
          <w:szCs w:val="22"/>
          <w:lang w:val="sr-Latn-ME"/>
        </w:rPr>
        <w:t xml:space="preserve">putem bubrega </w:t>
      </w:r>
      <w:r w:rsidR="00AC5146" w:rsidRPr="00F63435">
        <w:rPr>
          <w:bCs/>
          <w:sz w:val="22"/>
          <w:szCs w:val="22"/>
          <w:lang w:val="sr-Latn-ME"/>
        </w:rPr>
        <w:t xml:space="preserve">je brzo </w:t>
      </w:r>
      <w:r w:rsidRPr="00F63435">
        <w:rPr>
          <w:bCs/>
          <w:sz w:val="22"/>
          <w:szCs w:val="22"/>
          <w:lang w:val="sr-Latn-ME"/>
        </w:rPr>
        <w:t>i potpuno</w:t>
      </w:r>
      <w:r w:rsidR="00AC5146" w:rsidRPr="00F63435">
        <w:rPr>
          <w:bCs/>
          <w:sz w:val="22"/>
          <w:szCs w:val="22"/>
          <w:lang w:val="sr-Latn-ME"/>
        </w:rPr>
        <w:t xml:space="preserve">. </w:t>
      </w:r>
    </w:p>
    <w:p w14:paraId="5E2A7A9A" w14:textId="77777777" w:rsidR="00A54396" w:rsidRPr="00F63435" w:rsidRDefault="00AC5146" w:rsidP="002220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Mak</w:t>
      </w:r>
      <w:r w:rsidR="00ED4232" w:rsidRPr="00F63435">
        <w:rPr>
          <w:bCs/>
          <w:sz w:val="22"/>
          <w:szCs w:val="22"/>
          <w:lang w:val="sr-Latn-ME"/>
        </w:rPr>
        <w:t>simalne</w:t>
      </w:r>
      <w:r w:rsidRPr="00F63435">
        <w:rPr>
          <w:bCs/>
          <w:sz w:val="22"/>
          <w:szCs w:val="22"/>
          <w:lang w:val="sr-Latn-ME"/>
        </w:rPr>
        <w:t xml:space="preserve"> koncentracije </w:t>
      </w:r>
      <w:r w:rsidR="00ED4232" w:rsidRPr="00F63435">
        <w:rPr>
          <w:bCs/>
          <w:sz w:val="22"/>
          <w:szCs w:val="22"/>
          <w:lang w:val="sr-Latn-ME"/>
        </w:rPr>
        <w:t xml:space="preserve">u </w:t>
      </w:r>
      <w:r w:rsidR="00A54396" w:rsidRPr="00F63435">
        <w:rPr>
          <w:bCs/>
          <w:sz w:val="22"/>
          <w:szCs w:val="22"/>
          <w:lang w:val="sr-Latn-ME"/>
        </w:rPr>
        <w:t>serumu</w:t>
      </w:r>
      <w:r w:rsidR="00ED4232" w:rsidRPr="00F63435">
        <w:rPr>
          <w:bCs/>
          <w:sz w:val="22"/>
          <w:szCs w:val="22"/>
          <w:lang w:val="sr-Latn-ME"/>
        </w:rPr>
        <w:t xml:space="preserve"> </w:t>
      </w:r>
      <w:r w:rsidR="00A54396" w:rsidRPr="00F63435">
        <w:rPr>
          <w:bCs/>
          <w:sz w:val="22"/>
          <w:szCs w:val="22"/>
          <w:lang w:val="sr-Latn-ME"/>
        </w:rPr>
        <w:t>se p</w:t>
      </w:r>
      <w:r w:rsidRPr="00F63435">
        <w:rPr>
          <w:bCs/>
          <w:sz w:val="22"/>
          <w:szCs w:val="22"/>
          <w:lang w:val="sr-Latn-ME"/>
        </w:rPr>
        <w:t xml:space="preserve">ostižu </w:t>
      </w:r>
      <w:r w:rsidR="00A54396" w:rsidRPr="00F63435">
        <w:rPr>
          <w:bCs/>
          <w:sz w:val="22"/>
          <w:szCs w:val="22"/>
          <w:lang w:val="sr-Latn-ME"/>
        </w:rPr>
        <w:t>45 minuta nakon uzimanja na prazan želudac. Kada se uzima uz jelo, m</w:t>
      </w:r>
      <w:r w:rsidR="001703F1" w:rsidRPr="00F63435">
        <w:rPr>
          <w:bCs/>
          <w:sz w:val="22"/>
          <w:szCs w:val="22"/>
          <w:lang w:val="sr-Latn-ME"/>
        </w:rPr>
        <w:t>aksimalne koncentracije su zabilj</w:t>
      </w:r>
      <w:r w:rsidR="00A54396" w:rsidRPr="00F63435">
        <w:rPr>
          <w:bCs/>
          <w:sz w:val="22"/>
          <w:szCs w:val="22"/>
          <w:lang w:val="sr-Latn-ME"/>
        </w:rPr>
        <w:t xml:space="preserve">ežene otprilike </w:t>
      </w:r>
      <w:r w:rsidRPr="00F63435">
        <w:rPr>
          <w:bCs/>
          <w:sz w:val="22"/>
          <w:szCs w:val="22"/>
          <w:lang w:val="sr-Latn-ME"/>
        </w:rPr>
        <w:t>1-2 sata</w:t>
      </w:r>
      <w:r w:rsidR="00A54396" w:rsidRPr="00F63435">
        <w:rPr>
          <w:bCs/>
          <w:sz w:val="22"/>
          <w:szCs w:val="22"/>
          <w:lang w:val="sr-Latn-ME"/>
        </w:rPr>
        <w:t xml:space="preserve"> nakon uzimanja. Ova vremena mogu varirati s obzirom na </w:t>
      </w:r>
      <w:r w:rsidR="00D00775" w:rsidRPr="00F63435">
        <w:rPr>
          <w:bCs/>
          <w:sz w:val="22"/>
          <w:szCs w:val="22"/>
          <w:lang w:val="sr-Latn-ME"/>
        </w:rPr>
        <w:t xml:space="preserve">farmaceutski </w:t>
      </w:r>
      <w:r w:rsidR="00A54396" w:rsidRPr="00F63435">
        <w:rPr>
          <w:bCs/>
          <w:sz w:val="22"/>
          <w:szCs w:val="22"/>
          <w:lang w:val="sr-Latn-ME"/>
        </w:rPr>
        <w:t xml:space="preserve">oblik </w:t>
      </w:r>
      <w:r w:rsidR="00D00775" w:rsidRPr="00F63435">
        <w:rPr>
          <w:bCs/>
          <w:sz w:val="22"/>
          <w:szCs w:val="22"/>
          <w:lang w:val="sr-Latn-ME"/>
        </w:rPr>
        <w:t>lijeka</w:t>
      </w:r>
      <w:r w:rsidR="00A54396" w:rsidRPr="00F63435">
        <w:rPr>
          <w:bCs/>
          <w:sz w:val="22"/>
          <w:szCs w:val="22"/>
          <w:lang w:val="sr-Latn-ME"/>
        </w:rPr>
        <w:t>.</w:t>
      </w:r>
    </w:p>
    <w:p w14:paraId="1EAE5B83" w14:textId="77777777" w:rsidR="00A54396" w:rsidRPr="00F63435" w:rsidRDefault="00A54396" w:rsidP="00B04B0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Poluvrijeme </w:t>
      </w:r>
      <w:r w:rsidR="00D00775" w:rsidRPr="00F63435">
        <w:rPr>
          <w:bCs/>
          <w:sz w:val="22"/>
          <w:szCs w:val="22"/>
          <w:lang w:val="sr-Latn-ME"/>
        </w:rPr>
        <w:t xml:space="preserve">eliminacije </w:t>
      </w:r>
      <w:r w:rsidRPr="00F63435">
        <w:rPr>
          <w:bCs/>
          <w:sz w:val="22"/>
          <w:szCs w:val="22"/>
          <w:lang w:val="sr-Latn-ME"/>
        </w:rPr>
        <w:t>je približno 2 sata.</w:t>
      </w:r>
    </w:p>
    <w:p w14:paraId="21F963D8" w14:textId="77777777" w:rsidR="00A54396" w:rsidRPr="00F63435" w:rsidRDefault="00A54396" w:rsidP="00C81A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78123C" w14:textId="77777777" w:rsidR="00A54396" w:rsidRPr="00F63435" w:rsidRDefault="00A54396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U ograničenim ispitivanjima</w:t>
      </w:r>
      <w:r w:rsidR="00D00775" w:rsidRPr="00F63435">
        <w:rPr>
          <w:bCs/>
          <w:sz w:val="22"/>
          <w:szCs w:val="22"/>
          <w:lang w:val="sr-Latn-ME"/>
        </w:rPr>
        <w:t>,</w:t>
      </w:r>
      <w:r w:rsidRPr="00F63435">
        <w:rPr>
          <w:bCs/>
          <w:sz w:val="22"/>
          <w:szCs w:val="22"/>
          <w:lang w:val="sr-Latn-ME"/>
        </w:rPr>
        <w:t xml:space="preserve"> zabilježeno je da se ibuprofen u majčinom mlijeku nalazi u vrlo niskim</w:t>
      </w:r>
      <w:r w:rsidR="00A27AA9" w:rsidRPr="00F63435">
        <w:rPr>
          <w:bCs/>
          <w:sz w:val="22"/>
          <w:szCs w:val="22"/>
          <w:lang w:val="sr-Latn-ME"/>
        </w:rPr>
        <w:t xml:space="preserve"> </w:t>
      </w:r>
      <w:r w:rsidRPr="00F63435">
        <w:rPr>
          <w:bCs/>
          <w:sz w:val="22"/>
          <w:szCs w:val="22"/>
          <w:lang w:val="sr-Latn-ME"/>
        </w:rPr>
        <w:t>koncentracijama.</w:t>
      </w:r>
    </w:p>
    <w:p w14:paraId="54606D8C" w14:textId="77777777" w:rsidR="00AC5146" w:rsidRPr="00F63435" w:rsidRDefault="00A54396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Nisu vršena posebna farmakokinetička ispitivanja </w:t>
      </w:r>
      <w:r w:rsidR="00D00775" w:rsidRPr="00F63435">
        <w:rPr>
          <w:bCs/>
          <w:sz w:val="22"/>
          <w:szCs w:val="22"/>
          <w:lang w:val="sr-Latn-ME"/>
        </w:rPr>
        <w:t>kod djece</w:t>
      </w:r>
      <w:r w:rsidRPr="00F63435">
        <w:rPr>
          <w:bCs/>
          <w:sz w:val="22"/>
          <w:szCs w:val="22"/>
          <w:lang w:val="sr-Latn-ME"/>
        </w:rPr>
        <w:t>. Međutim, farmakokinetički parametri kod djece uporedivi su s</w:t>
      </w:r>
      <w:r w:rsidR="00A27AA9" w:rsidRPr="00F63435">
        <w:rPr>
          <w:bCs/>
          <w:sz w:val="22"/>
          <w:szCs w:val="22"/>
          <w:lang w:val="sr-Latn-ME"/>
        </w:rPr>
        <w:t>a</w:t>
      </w:r>
      <w:r w:rsidRPr="00F63435">
        <w:rPr>
          <w:bCs/>
          <w:sz w:val="22"/>
          <w:szCs w:val="22"/>
          <w:lang w:val="sr-Latn-ME"/>
        </w:rPr>
        <w:t xml:space="preserve"> onima kod odraslih.</w:t>
      </w:r>
    </w:p>
    <w:p w14:paraId="1257877A" w14:textId="77777777" w:rsidR="00A54396" w:rsidRPr="00F63435" w:rsidRDefault="00A54396" w:rsidP="00A914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F51136" w14:textId="77777777" w:rsidR="00AC5146" w:rsidRPr="00F63435" w:rsidRDefault="00AC5146" w:rsidP="001E23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5.3. </w:t>
      </w:r>
      <w:r w:rsidRPr="00F63435">
        <w:rPr>
          <w:b/>
          <w:bCs/>
          <w:sz w:val="22"/>
          <w:szCs w:val="22"/>
          <w:lang w:val="sr-Latn-ME"/>
        </w:rPr>
        <w:tab/>
        <w:t xml:space="preserve">Pretklinički podaci o bezbjednosti </w:t>
      </w:r>
    </w:p>
    <w:p w14:paraId="4EA21FCE" w14:textId="77777777" w:rsidR="00AC5146" w:rsidRPr="00F63435" w:rsidRDefault="00AC5146" w:rsidP="001E23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AAFDD9" w14:textId="77777777" w:rsidR="00AC5146" w:rsidRPr="00F63435" w:rsidRDefault="00D00775" w:rsidP="001E234A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F63435">
        <w:rPr>
          <w:bCs/>
          <w:sz w:val="22"/>
          <w:szCs w:val="22"/>
          <w:lang w:val="sr-Latn-ME"/>
        </w:rPr>
        <w:t>Nema pretkliničkih podataka o bezbjednosti primjene značajnih za pacijenta.</w:t>
      </w:r>
    </w:p>
    <w:p w14:paraId="06D949C6" w14:textId="77777777" w:rsidR="00A205C5" w:rsidRPr="00F63435" w:rsidRDefault="00A205C5" w:rsidP="002220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8EFDF89" w14:textId="3F220B6E" w:rsidR="00F03A07" w:rsidRPr="00F63435" w:rsidRDefault="00F03A07" w:rsidP="002220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81D412C" w14:textId="2A17F7A8" w:rsidR="0013158B" w:rsidRPr="00F63435" w:rsidRDefault="0013158B" w:rsidP="002220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484BBCC" w14:textId="0BE91567" w:rsidR="0013158B" w:rsidRPr="00F63435" w:rsidRDefault="0013158B" w:rsidP="002220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7E6DA00" w14:textId="77777777" w:rsidR="0013158B" w:rsidRPr="00F63435" w:rsidRDefault="0013158B" w:rsidP="002220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55F63DD" w14:textId="77777777" w:rsidR="0072020E" w:rsidRPr="00F6343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6.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FARMACEUTSKI PODACI</w:t>
      </w:r>
    </w:p>
    <w:p w14:paraId="3786C7A3" w14:textId="77777777" w:rsidR="00836B35" w:rsidRPr="00F634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A59474" w14:textId="77777777" w:rsidR="0072020E" w:rsidRPr="00F6343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6.1.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Lista pomoćnih supstanci</w:t>
      </w:r>
      <w:r w:rsidR="002E0135" w:rsidRPr="00F63435">
        <w:rPr>
          <w:b/>
          <w:bCs/>
          <w:sz w:val="22"/>
          <w:szCs w:val="22"/>
          <w:lang w:val="sr-Latn-ME"/>
        </w:rPr>
        <w:t xml:space="preserve"> (ekscipijenasa)</w:t>
      </w:r>
    </w:p>
    <w:p w14:paraId="133CF09F" w14:textId="77777777" w:rsidR="0024248F" w:rsidRPr="00F63435" w:rsidRDefault="00C2290E" w:rsidP="00C229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</w:t>
      </w:r>
    </w:p>
    <w:p w14:paraId="23E7CC5F" w14:textId="77777777" w:rsidR="00C2290E" w:rsidRPr="00F63435" w:rsidRDefault="0024248F" w:rsidP="00C229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</w:t>
      </w:r>
      <w:r w:rsidR="00C2290E" w:rsidRPr="00F63435">
        <w:rPr>
          <w:bCs/>
          <w:sz w:val="22"/>
          <w:szCs w:val="22"/>
          <w:lang w:val="sr-Latn-ME"/>
        </w:rPr>
        <w:t>Limunska kis</w:t>
      </w:r>
      <w:r w:rsidR="00972B04" w:rsidRPr="00F63435">
        <w:rPr>
          <w:bCs/>
          <w:sz w:val="22"/>
          <w:szCs w:val="22"/>
          <w:lang w:val="sr-Latn-ME"/>
        </w:rPr>
        <w:t>j</w:t>
      </w:r>
      <w:r w:rsidR="00C2290E" w:rsidRPr="00F63435">
        <w:rPr>
          <w:bCs/>
          <w:sz w:val="22"/>
          <w:szCs w:val="22"/>
          <w:lang w:val="sr-Latn-ME"/>
        </w:rPr>
        <w:t>elina</w:t>
      </w:r>
      <w:r w:rsidRPr="00F63435">
        <w:rPr>
          <w:bCs/>
          <w:sz w:val="22"/>
          <w:szCs w:val="22"/>
          <w:lang w:val="sr-Latn-ME"/>
        </w:rPr>
        <w:t>,</w:t>
      </w:r>
      <w:r w:rsidR="00C2290E" w:rsidRPr="00F63435">
        <w:rPr>
          <w:bCs/>
          <w:sz w:val="22"/>
          <w:szCs w:val="22"/>
          <w:lang w:val="sr-Latn-ME"/>
        </w:rPr>
        <w:t xml:space="preserve"> monohidrat</w:t>
      </w:r>
    </w:p>
    <w:p w14:paraId="0E980C5E" w14:textId="77777777" w:rsidR="00364F0F" w:rsidRPr="00F63435" w:rsidRDefault="00C2290E" w:rsidP="00C2290E">
      <w:pPr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Natrijum citrat</w:t>
      </w:r>
    </w:p>
    <w:p w14:paraId="7A1F19EF" w14:textId="77777777" w:rsidR="00C2290E" w:rsidRPr="00F63435" w:rsidRDefault="00C2290E" w:rsidP="00C229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Natrijum hlorid</w:t>
      </w:r>
    </w:p>
    <w:p w14:paraId="1632D0F9" w14:textId="77777777" w:rsidR="00C2290E" w:rsidRPr="00F63435" w:rsidRDefault="00C2290E" w:rsidP="00C229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</w:t>
      </w:r>
      <w:r w:rsidR="009F2D99" w:rsidRPr="00F63435">
        <w:rPr>
          <w:bCs/>
          <w:sz w:val="22"/>
          <w:szCs w:val="22"/>
          <w:lang w:val="sr-Latn-ME"/>
        </w:rPr>
        <w:t>S</w:t>
      </w:r>
      <w:r w:rsidRPr="00F63435">
        <w:rPr>
          <w:bCs/>
          <w:sz w:val="22"/>
          <w:szCs w:val="22"/>
          <w:lang w:val="sr-Latn-ME"/>
        </w:rPr>
        <w:t>aharin</w:t>
      </w:r>
      <w:r w:rsidR="009F2D99" w:rsidRPr="00F63435">
        <w:rPr>
          <w:bCs/>
          <w:sz w:val="22"/>
          <w:szCs w:val="22"/>
          <w:lang w:val="sr-Latn-ME"/>
        </w:rPr>
        <w:t xml:space="preserve"> natrijum</w:t>
      </w:r>
    </w:p>
    <w:p w14:paraId="3687B0B5" w14:textId="77777777" w:rsidR="00AD00F7" w:rsidRPr="00F63435" w:rsidRDefault="00C2290E" w:rsidP="00C229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Domifen bromid </w:t>
      </w:r>
    </w:p>
    <w:p w14:paraId="0E92D7D7" w14:textId="77777777" w:rsidR="00C2290E" w:rsidRPr="00F63435" w:rsidRDefault="00C2290E" w:rsidP="00C229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Prečišćena voda</w:t>
      </w:r>
    </w:p>
    <w:p w14:paraId="326EFC8B" w14:textId="77777777" w:rsidR="00AC5146" w:rsidRPr="00F63435" w:rsidRDefault="00C2290E" w:rsidP="00AC514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</w:t>
      </w:r>
      <w:r w:rsidR="00AC5146" w:rsidRPr="00F63435">
        <w:rPr>
          <w:bCs/>
          <w:sz w:val="22"/>
          <w:szCs w:val="22"/>
          <w:lang w:val="sr-Latn-ME"/>
        </w:rPr>
        <w:t>Polisorbat 80</w:t>
      </w:r>
    </w:p>
    <w:p w14:paraId="66DB2521" w14:textId="77777777" w:rsidR="00AC5146" w:rsidRPr="00F63435" w:rsidRDefault="00C2290E" w:rsidP="00AC514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</w:t>
      </w:r>
      <w:r w:rsidR="00BF5398" w:rsidRPr="00F63435">
        <w:rPr>
          <w:bCs/>
          <w:sz w:val="22"/>
          <w:szCs w:val="22"/>
          <w:lang w:val="sr-Latn-ME"/>
        </w:rPr>
        <w:t>M</w:t>
      </w:r>
      <w:r w:rsidR="00AC5146" w:rsidRPr="00F63435">
        <w:rPr>
          <w:bCs/>
          <w:sz w:val="22"/>
          <w:szCs w:val="22"/>
          <w:lang w:val="sr-Latn-ME"/>
        </w:rPr>
        <w:t>altitol</w:t>
      </w:r>
      <w:r w:rsidR="00BF5398" w:rsidRPr="00F63435">
        <w:rPr>
          <w:bCs/>
          <w:sz w:val="22"/>
          <w:szCs w:val="22"/>
          <w:lang w:val="sr-Latn-ME"/>
        </w:rPr>
        <w:t>, tečni</w:t>
      </w:r>
    </w:p>
    <w:p w14:paraId="002C4B84" w14:textId="77777777" w:rsidR="00AC5146" w:rsidRPr="00F63435" w:rsidRDefault="00C2290E" w:rsidP="00AC514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</w:t>
      </w:r>
      <w:r w:rsidR="00AC5146" w:rsidRPr="00F63435">
        <w:rPr>
          <w:bCs/>
          <w:sz w:val="22"/>
          <w:szCs w:val="22"/>
          <w:lang w:val="sr-Latn-ME"/>
        </w:rPr>
        <w:t>Ksantan guma</w:t>
      </w:r>
    </w:p>
    <w:p w14:paraId="3E59C957" w14:textId="77777777" w:rsidR="00AC5146" w:rsidRPr="00F63435" w:rsidRDefault="00C2290E" w:rsidP="00AC514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</w:t>
      </w:r>
      <w:r w:rsidR="00AC5146" w:rsidRPr="00F63435">
        <w:rPr>
          <w:bCs/>
          <w:sz w:val="22"/>
          <w:szCs w:val="22"/>
          <w:lang w:val="sr-Latn-ME"/>
        </w:rPr>
        <w:t>Aroma pomorandže</w:t>
      </w:r>
      <w:r w:rsidR="00BF5398" w:rsidRPr="00F63435">
        <w:rPr>
          <w:bCs/>
          <w:sz w:val="22"/>
          <w:szCs w:val="22"/>
          <w:lang w:val="sr-Latn-ME"/>
        </w:rPr>
        <w:t xml:space="preserve"> </w:t>
      </w:r>
    </w:p>
    <w:p w14:paraId="158DE5E7" w14:textId="77777777" w:rsidR="00C2290E" w:rsidRPr="00F63435" w:rsidRDefault="00C2290E" w:rsidP="00C229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 Glicerol</w:t>
      </w:r>
    </w:p>
    <w:p w14:paraId="7FB981DE" w14:textId="77777777" w:rsidR="00A15C38" w:rsidRPr="00F63435" w:rsidRDefault="00A15C38" w:rsidP="00A15C3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B80F46" w14:textId="77777777" w:rsidR="0072020E" w:rsidRPr="00F6343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6.2.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Inkompatibilnost</w:t>
      </w:r>
      <w:r w:rsidR="002846DB" w:rsidRPr="00F63435">
        <w:rPr>
          <w:b/>
          <w:bCs/>
          <w:sz w:val="22"/>
          <w:szCs w:val="22"/>
          <w:lang w:val="sr-Latn-ME"/>
        </w:rPr>
        <w:t>i</w:t>
      </w:r>
    </w:p>
    <w:p w14:paraId="522E9A04" w14:textId="77777777" w:rsidR="0024248F" w:rsidRPr="00F63435" w:rsidRDefault="0024248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0D75E06" w14:textId="77777777" w:rsidR="0072020E" w:rsidRPr="00F63435" w:rsidRDefault="00AC514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Nisu poznate.</w:t>
      </w:r>
    </w:p>
    <w:p w14:paraId="413EEC76" w14:textId="77777777" w:rsidR="00364F0F" w:rsidRPr="00F63435" w:rsidRDefault="00364F0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602545E" w14:textId="77777777" w:rsidR="0072020E" w:rsidRPr="00F6343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>6.3.</w:t>
      </w:r>
      <w:r w:rsidR="00C05DF8" w:rsidRPr="00F63435">
        <w:rPr>
          <w:b/>
          <w:bCs/>
          <w:sz w:val="22"/>
          <w:szCs w:val="22"/>
          <w:lang w:val="sr-Latn-ME"/>
        </w:rPr>
        <w:t xml:space="preserve">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Rok upotrebe</w:t>
      </w:r>
    </w:p>
    <w:p w14:paraId="426B6A66" w14:textId="77777777" w:rsidR="001D53A4" w:rsidRPr="00F63435" w:rsidRDefault="001D53A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DD9323" w14:textId="77777777" w:rsidR="0072020E" w:rsidRPr="00F63435" w:rsidRDefault="0020632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3</w:t>
      </w:r>
      <w:r w:rsidR="00364F0F" w:rsidRPr="00F63435">
        <w:rPr>
          <w:bCs/>
          <w:sz w:val="22"/>
          <w:szCs w:val="22"/>
          <w:lang w:val="sr-Latn-ME"/>
        </w:rPr>
        <w:t xml:space="preserve"> godine</w:t>
      </w:r>
    </w:p>
    <w:p w14:paraId="28627584" w14:textId="77777777" w:rsidR="00AC5146" w:rsidRPr="00F63435" w:rsidRDefault="00AC5146" w:rsidP="00AC514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 xml:space="preserve">Rok upotrebe nakon </w:t>
      </w:r>
      <w:r w:rsidR="0020632F" w:rsidRPr="00F63435">
        <w:rPr>
          <w:bCs/>
          <w:sz w:val="22"/>
          <w:szCs w:val="22"/>
          <w:lang w:val="sr-Latn-ME"/>
        </w:rPr>
        <w:t xml:space="preserve">prvog </w:t>
      </w:r>
      <w:r w:rsidRPr="00F63435">
        <w:rPr>
          <w:bCs/>
          <w:sz w:val="22"/>
          <w:szCs w:val="22"/>
          <w:lang w:val="sr-Latn-ME"/>
        </w:rPr>
        <w:t>otvaranj</w:t>
      </w:r>
      <w:r w:rsidR="00BF5398" w:rsidRPr="00F63435">
        <w:rPr>
          <w:bCs/>
          <w:sz w:val="22"/>
          <w:szCs w:val="22"/>
          <w:lang w:val="sr-Latn-ME"/>
        </w:rPr>
        <w:t>a</w:t>
      </w:r>
      <w:r w:rsidR="0020632F" w:rsidRPr="00F63435">
        <w:rPr>
          <w:bCs/>
          <w:sz w:val="22"/>
          <w:szCs w:val="22"/>
          <w:lang w:val="sr-Latn-ME"/>
        </w:rPr>
        <w:t xml:space="preserve"> lijeka</w:t>
      </w:r>
      <w:r w:rsidRPr="00F63435">
        <w:rPr>
          <w:bCs/>
          <w:sz w:val="22"/>
          <w:szCs w:val="22"/>
          <w:lang w:val="sr-Latn-ME"/>
        </w:rPr>
        <w:t>: 6 mjeseci</w:t>
      </w:r>
      <w:r w:rsidR="001D53A4" w:rsidRPr="00F63435">
        <w:rPr>
          <w:bCs/>
          <w:sz w:val="22"/>
          <w:szCs w:val="22"/>
          <w:lang w:val="sr-Latn-ME"/>
        </w:rPr>
        <w:t>.</w:t>
      </w:r>
    </w:p>
    <w:p w14:paraId="64430D96" w14:textId="77777777" w:rsidR="00364F0F" w:rsidRPr="00F63435" w:rsidRDefault="00364F0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B6D1C04" w14:textId="77777777" w:rsidR="0072020E" w:rsidRPr="00F6343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6.4.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F63435">
        <w:rPr>
          <w:b/>
          <w:bCs/>
          <w:sz w:val="22"/>
          <w:szCs w:val="22"/>
          <w:lang w:val="sr-Latn-ME"/>
        </w:rPr>
        <w:t xml:space="preserve"> lijeka</w:t>
      </w:r>
    </w:p>
    <w:p w14:paraId="23D8AE34" w14:textId="77777777" w:rsidR="001D53A4" w:rsidRPr="00F63435" w:rsidRDefault="001D53A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9FD855" w14:textId="77777777" w:rsidR="00364F0F" w:rsidRPr="00F63435" w:rsidRDefault="0020632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Čuvati na temperaturi do 25</w:t>
      </w:r>
      <w:r w:rsidR="00AC5146" w:rsidRPr="00F63435">
        <w:rPr>
          <w:bCs/>
          <w:sz w:val="22"/>
          <w:szCs w:val="22"/>
          <w:lang w:val="sr-Latn-ME"/>
        </w:rPr>
        <w:t>°C</w:t>
      </w:r>
      <w:r w:rsidR="00AE588A" w:rsidRPr="00F63435">
        <w:rPr>
          <w:bCs/>
          <w:sz w:val="22"/>
          <w:szCs w:val="22"/>
          <w:lang w:val="sr-Latn-ME"/>
        </w:rPr>
        <w:t>.</w:t>
      </w:r>
    </w:p>
    <w:p w14:paraId="713B0DBE" w14:textId="77777777" w:rsidR="00311612" w:rsidRPr="00F63435" w:rsidRDefault="0031161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8B1C33" w14:textId="77777777" w:rsidR="0072020E" w:rsidRPr="00F6343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6.5.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="002846DB" w:rsidRPr="00F63435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F63435">
        <w:rPr>
          <w:b/>
          <w:bCs/>
          <w:sz w:val="22"/>
          <w:szCs w:val="22"/>
          <w:lang w:val="sr-Latn-ME"/>
        </w:rPr>
        <w:t>pakovanja</w:t>
      </w:r>
      <w:r w:rsidR="00C06864" w:rsidRPr="00F63435">
        <w:rPr>
          <w:b/>
          <w:bCs/>
          <w:sz w:val="22"/>
          <w:szCs w:val="22"/>
          <w:lang w:val="sr-Latn-ME"/>
        </w:rPr>
        <w:t xml:space="preserve"> </w:t>
      </w:r>
    </w:p>
    <w:p w14:paraId="50C592D7" w14:textId="77777777" w:rsidR="00BF5398" w:rsidRPr="00F63435" w:rsidRDefault="00BF5398" w:rsidP="007605A0">
      <w:pPr>
        <w:jc w:val="both"/>
        <w:rPr>
          <w:bCs/>
          <w:sz w:val="22"/>
          <w:szCs w:val="22"/>
          <w:lang w:val="sr-Latn-ME"/>
        </w:rPr>
      </w:pPr>
    </w:p>
    <w:p w14:paraId="469F126E" w14:textId="77777777" w:rsidR="0020632F" w:rsidRPr="00F63435" w:rsidRDefault="0020632F" w:rsidP="0020632F">
      <w:pPr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lastRenderedPageBreak/>
        <w:t>Bo</w:t>
      </w:r>
      <w:r w:rsidR="007E4179" w:rsidRPr="00F63435">
        <w:rPr>
          <w:bCs/>
          <w:sz w:val="22"/>
          <w:szCs w:val="22"/>
          <w:lang w:val="sr-Latn-ME"/>
        </w:rPr>
        <w:t>ca</w:t>
      </w:r>
      <w:r w:rsidRPr="00F63435">
        <w:rPr>
          <w:bCs/>
          <w:sz w:val="22"/>
          <w:szCs w:val="22"/>
          <w:lang w:val="sr-Latn-ME"/>
        </w:rPr>
        <w:t xml:space="preserve"> od polietilen tereftalata (PET), tamnosmeđe boje, sa nastavkom za špric od polietilena niske gustine i sigurnosnim zatvaračem za djecu ("child-resistant closure").</w:t>
      </w:r>
    </w:p>
    <w:p w14:paraId="5F92E079" w14:textId="77777777" w:rsidR="0020632F" w:rsidRPr="00F63435" w:rsidRDefault="0020632F" w:rsidP="0020632F">
      <w:pPr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Veličina pakovanja: bo</w:t>
      </w:r>
      <w:r w:rsidR="007E4179" w:rsidRPr="00F63435">
        <w:rPr>
          <w:bCs/>
          <w:sz w:val="22"/>
          <w:szCs w:val="22"/>
          <w:lang w:val="sr-Latn-ME"/>
        </w:rPr>
        <w:t>ca</w:t>
      </w:r>
      <w:r w:rsidRPr="00F63435">
        <w:rPr>
          <w:bCs/>
          <w:sz w:val="22"/>
          <w:szCs w:val="22"/>
          <w:lang w:val="sr-Latn-ME"/>
        </w:rPr>
        <w:t xml:space="preserve"> sa 100 ml suspenzije, u kutiji.</w:t>
      </w:r>
    </w:p>
    <w:p w14:paraId="20BA6BFC" w14:textId="77777777" w:rsidR="0020632F" w:rsidRPr="00F63435" w:rsidRDefault="0020632F" w:rsidP="0020632F">
      <w:pPr>
        <w:jc w:val="both"/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U pakovanju je priložen graduisan špric za doziranje, volumena od 5 ml, a sastoji se od polipropilenskog t</w:t>
      </w:r>
      <w:r w:rsidR="00972B04" w:rsidRPr="00F63435">
        <w:rPr>
          <w:bCs/>
          <w:sz w:val="22"/>
          <w:szCs w:val="22"/>
          <w:lang w:val="sr-Latn-ME"/>
        </w:rPr>
        <w:t>ij</w:t>
      </w:r>
      <w:r w:rsidRPr="00F63435">
        <w:rPr>
          <w:bCs/>
          <w:sz w:val="22"/>
          <w:szCs w:val="22"/>
          <w:lang w:val="sr-Latn-ME"/>
        </w:rPr>
        <w:t>ela i polietilenskog klipa.</w:t>
      </w:r>
    </w:p>
    <w:p w14:paraId="2ACD56D9" w14:textId="77777777" w:rsidR="00364F0F" w:rsidRPr="00F63435" w:rsidRDefault="00364F0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289946E" w14:textId="77777777" w:rsidR="002846DB" w:rsidRPr="00F6343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6.6.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F63435">
        <w:rPr>
          <w:b/>
          <w:bCs/>
          <w:sz w:val="22"/>
          <w:szCs w:val="22"/>
          <w:lang w:val="sr-Latn-ME"/>
        </w:rPr>
        <w:t xml:space="preserve"> </w:t>
      </w:r>
      <w:r w:rsidR="00310F03" w:rsidRPr="00F63435">
        <w:rPr>
          <w:b/>
          <w:bCs/>
          <w:sz w:val="22"/>
          <w:szCs w:val="22"/>
          <w:lang w:val="sr-Latn-ME"/>
        </w:rPr>
        <w:t>(i druga uputs</w:t>
      </w:r>
      <w:r w:rsidR="00972B04" w:rsidRPr="00F63435">
        <w:rPr>
          <w:b/>
          <w:bCs/>
          <w:sz w:val="22"/>
          <w:szCs w:val="22"/>
          <w:lang w:val="sr-Latn-ME"/>
        </w:rPr>
        <w:t>t</w:t>
      </w:r>
      <w:r w:rsidR="00310F03" w:rsidRPr="00F63435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3101263" w14:textId="77777777" w:rsidR="00B66A70" w:rsidRPr="00F63435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A9E0BF2" w14:textId="77777777" w:rsidR="00AC5146" w:rsidRPr="00F63435" w:rsidRDefault="00AC5146" w:rsidP="00AC5146">
      <w:pPr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Neupotrebljeni lijek se uništava u skladu sa važećim propisima.</w:t>
      </w:r>
    </w:p>
    <w:p w14:paraId="4C3D34A8" w14:textId="77777777" w:rsidR="000D729E" w:rsidRPr="00F63435" w:rsidRDefault="000D72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319E087" w14:textId="77777777" w:rsidR="00972B04" w:rsidRPr="00F63435" w:rsidRDefault="00972B0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2C79087" w14:textId="77777777" w:rsidR="00C61BE0" w:rsidRPr="00F6343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7.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NOSILAC DOZVOLE</w:t>
      </w:r>
      <w:r w:rsidR="00483928" w:rsidRPr="00F63435">
        <w:rPr>
          <w:b/>
          <w:bCs/>
          <w:sz w:val="22"/>
          <w:szCs w:val="22"/>
          <w:lang w:val="sr-Latn-ME"/>
        </w:rPr>
        <w:t xml:space="preserve"> </w:t>
      </w:r>
    </w:p>
    <w:p w14:paraId="6D00840D" w14:textId="77777777" w:rsidR="00F6078D" w:rsidRPr="00F63435" w:rsidRDefault="00F6078D" w:rsidP="000D729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D6CE0C" w14:textId="089E8667" w:rsidR="00F6078D" w:rsidRPr="00F63435" w:rsidRDefault="00F6078D" w:rsidP="000D729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Cs/>
          <w:sz w:val="22"/>
          <w:szCs w:val="22"/>
          <w:lang w:val="sr-Latn-ME"/>
        </w:rPr>
        <w:t>NE</w:t>
      </w:r>
      <w:r w:rsidR="009312B1">
        <w:rPr>
          <w:bCs/>
          <w:sz w:val="22"/>
          <w:szCs w:val="22"/>
          <w:lang w:val="sr-Latn-ME"/>
        </w:rPr>
        <w:t>LT MNE</w:t>
      </w:r>
    </w:p>
    <w:p w14:paraId="16AB8EC9" w14:textId="03B47E55" w:rsidR="000D729E" w:rsidRPr="00F63435" w:rsidRDefault="009312B1" w:rsidP="000D729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Bulevar 21.maj 140</w:t>
      </w:r>
      <w:r w:rsidR="00DD6155" w:rsidRPr="00F63435">
        <w:rPr>
          <w:bCs/>
          <w:sz w:val="22"/>
          <w:szCs w:val="22"/>
          <w:lang w:val="sr-Latn-ME"/>
        </w:rPr>
        <w:t xml:space="preserve">, </w:t>
      </w:r>
      <w:r w:rsidR="00B748A2">
        <w:rPr>
          <w:bCs/>
          <w:sz w:val="22"/>
          <w:szCs w:val="22"/>
          <w:lang w:val="sr-Latn-ME"/>
        </w:rPr>
        <w:t xml:space="preserve">81000 </w:t>
      </w:r>
      <w:r w:rsidR="00DD6155" w:rsidRPr="00F63435">
        <w:rPr>
          <w:bCs/>
          <w:sz w:val="22"/>
          <w:szCs w:val="22"/>
          <w:lang w:val="sr-Latn-ME"/>
        </w:rPr>
        <w:t>Podgorica, Crna Gora</w:t>
      </w:r>
    </w:p>
    <w:p w14:paraId="4E916220" w14:textId="77777777" w:rsidR="00DD6155" w:rsidRPr="00F63435" w:rsidRDefault="00DD6155" w:rsidP="000D729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6E4CCD" w14:textId="77777777" w:rsidR="00972B04" w:rsidRPr="00F63435" w:rsidRDefault="00972B04" w:rsidP="000D729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8532E2" w14:textId="77777777" w:rsidR="00136805" w:rsidRPr="00F63435" w:rsidRDefault="0072020E" w:rsidP="0013680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8.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>BROJ DOZVOLE</w:t>
      </w:r>
      <w:r w:rsidR="008A6D43" w:rsidRPr="00F63435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4FDDCD8" w14:textId="77777777" w:rsidR="00136805" w:rsidRPr="00F63435" w:rsidRDefault="0013680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0E3504" w14:textId="471D829F" w:rsidR="009C51B8" w:rsidRPr="00F63435" w:rsidRDefault="007778FE" w:rsidP="009C51B8">
      <w:pPr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2030/21/874 - 3037</w:t>
      </w:r>
    </w:p>
    <w:p w14:paraId="1E14BFAF" w14:textId="77777777" w:rsidR="00083D2E" w:rsidRPr="00F63435" w:rsidRDefault="00083D2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D0A5F43" w14:textId="77777777" w:rsidR="00972B04" w:rsidRPr="00F63435" w:rsidRDefault="00972B0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F55A24" w14:textId="77777777" w:rsidR="0072020E" w:rsidRPr="00F6343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9.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Pr="00F63435">
        <w:rPr>
          <w:b/>
          <w:bCs/>
          <w:sz w:val="22"/>
          <w:szCs w:val="22"/>
          <w:lang w:val="sr-Latn-ME"/>
        </w:rPr>
        <w:t xml:space="preserve">DATUM </w:t>
      </w:r>
      <w:r w:rsidR="00C05DF8" w:rsidRPr="00F63435">
        <w:rPr>
          <w:b/>
          <w:bCs/>
          <w:sz w:val="22"/>
          <w:szCs w:val="22"/>
          <w:lang w:val="sr-Latn-ME"/>
        </w:rPr>
        <w:t xml:space="preserve">PRVE </w:t>
      </w:r>
      <w:r w:rsidR="008A6D43" w:rsidRPr="00F63435">
        <w:rPr>
          <w:b/>
          <w:bCs/>
          <w:sz w:val="22"/>
          <w:szCs w:val="22"/>
          <w:lang w:val="sr-Latn-ME"/>
        </w:rPr>
        <w:t>DOZVOLE</w:t>
      </w:r>
      <w:r w:rsidR="00C05DF8" w:rsidRPr="00F63435">
        <w:rPr>
          <w:b/>
          <w:bCs/>
          <w:sz w:val="22"/>
          <w:szCs w:val="22"/>
          <w:lang w:val="sr-Latn-ME"/>
        </w:rPr>
        <w:t>/OBNOVE DOZVOLE</w:t>
      </w:r>
      <w:r w:rsidR="008A6D43" w:rsidRPr="00F63435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C8FF7E3" w14:textId="77777777" w:rsidR="00836B35" w:rsidRPr="00F634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A258D04" w14:textId="06E83877" w:rsidR="009C51B8" w:rsidRPr="00F63435" w:rsidRDefault="007778FE" w:rsidP="009C51B8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22.07.2021. godine</w:t>
      </w:r>
    </w:p>
    <w:p w14:paraId="7D9FAC37" w14:textId="77777777" w:rsidR="00083D2E" w:rsidRPr="00F63435" w:rsidRDefault="00083D2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19EAB0B" w14:textId="77777777" w:rsidR="00972B04" w:rsidRPr="00F63435" w:rsidRDefault="00972B0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14C8F1" w14:textId="77777777" w:rsidR="003F6A59" w:rsidRPr="00F63435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F63435">
        <w:rPr>
          <w:b/>
          <w:bCs/>
          <w:sz w:val="22"/>
          <w:szCs w:val="22"/>
          <w:lang w:val="sr-Latn-ME"/>
        </w:rPr>
        <w:t xml:space="preserve">10. </w:t>
      </w:r>
      <w:r w:rsidR="00480FB1" w:rsidRPr="00F63435">
        <w:rPr>
          <w:b/>
          <w:bCs/>
          <w:sz w:val="22"/>
          <w:szCs w:val="22"/>
          <w:lang w:val="sr-Latn-ME"/>
        </w:rPr>
        <w:tab/>
      </w:r>
      <w:r w:rsidR="002846DB" w:rsidRPr="00F63435">
        <w:rPr>
          <w:b/>
          <w:bCs/>
          <w:sz w:val="22"/>
          <w:szCs w:val="22"/>
          <w:lang w:val="sr-Latn-ME"/>
        </w:rPr>
        <w:t>D</w:t>
      </w:r>
      <w:r w:rsidR="00EC2532" w:rsidRPr="00F63435">
        <w:rPr>
          <w:b/>
          <w:bCs/>
          <w:sz w:val="22"/>
          <w:szCs w:val="22"/>
          <w:lang w:val="sr-Latn-ME"/>
        </w:rPr>
        <w:t xml:space="preserve">ATUM REVIZIJE TEKSTA </w:t>
      </w:r>
    </w:p>
    <w:p w14:paraId="0B6DC0D0" w14:textId="77777777" w:rsidR="003F6A59" w:rsidRPr="00F63435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DEE17F" w14:textId="7D7B3D39" w:rsidR="003F6A59" w:rsidRPr="00B86B6A" w:rsidRDefault="00B86B6A" w:rsidP="00B86B6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Januar, 2025. godine</w:t>
      </w:r>
      <w:bookmarkStart w:id="0" w:name="_GoBack"/>
      <w:bookmarkEnd w:id="0"/>
    </w:p>
    <w:sectPr w:rsidR="003F6A59" w:rsidRPr="00B86B6A" w:rsidSect="00EF3B86">
      <w:footerReference w:type="default" r:id="rId12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1011A" w14:textId="77777777" w:rsidR="005F0757" w:rsidRDefault="005F0757">
      <w:r>
        <w:separator/>
      </w:r>
    </w:p>
  </w:endnote>
  <w:endnote w:type="continuationSeparator" w:id="0">
    <w:p w14:paraId="32E21DD7" w14:textId="77777777" w:rsidR="005F0757" w:rsidRDefault="005F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90DA0" w14:textId="12BAD12D" w:rsidR="002F7261" w:rsidRPr="001E234A" w:rsidRDefault="002F7261" w:rsidP="00B23F69">
    <w:pPr>
      <w:pStyle w:val="Footer"/>
      <w:jc w:val="center"/>
      <w:rPr>
        <w:sz w:val="20"/>
        <w:szCs w:val="20"/>
      </w:rPr>
    </w:pPr>
    <w:r w:rsidRPr="001E234A">
      <w:rPr>
        <w:sz w:val="20"/>
        <w:szCs w:val="20"/>
      </w:rPr>
      <w:fldChar w:fldCharType="begin"/>
    </w:r>
    <w:r w:rsidRPr="001E234A">
      <w:rPr>
        <w:sz w:val="20"/>
        <w:szCs w:val="20"/>
      </w:rPr>
      <w:instrText xml:space="preserve"> PAGE </w:instrText>
    </w:r>
    <w:r w:rsidRPr="001E234A">
      <w:rPr>
        <w:sz w:val="20"/>
        <w:szCs w:val="20"/>
      </w:rPr>
      <w:fldChar w:fldCharType="separate"/>
    </w:r>
    <w:r w:rsidR="00B86B6A">
      <w:rPr>
        <w:noProof/>
        <w:sz w:val="20"/>
        <w:szCs w:val="20"/>
      </w:rPr>
      <w:t>14</w:t>
    </w:r>
    <w:r w:rsidRPr="001E234A">
      <w:rPr>
        <w:sz w:val="20"/>
        <w:szCs w:val="20"/>
      </w:rPr>
      <w:fldChar w:fldCharType="end"/>
    </w:r>
    <w:r w:rsidRPr="001E234A">
      <w:rPr>
        <w:sz w:val="20"/>
        <w:szCs w:val="20"/>
      </w:rPr>
      <w:t xml:space="preserve"> / </w:t>
    </w:r>
    <w:r w:rsidRPr="001E234A">
      <w:rPr>
        <w:sz w:val="20"/>
        <w:szCs w:val="20"/>
      </w:rPr>
      <w:fldChar w:fldCharType="begin"/>
    </w:r>
    <w:r w:rsidRPr="001E234A">
      <w:rPr>
        <w:sz w:val="20"/>
        <w:szCs w:val="20"/>
      </w:rPr>
      <w:instrText xml:space="preserve"> NUMPAGES </w:instrText>
    </w:r>
    <w:r w:rsidRPr="001E234A">
      <w:rPr>
        <w:sz w:val="20"/>
        <w:szCs w:val="20"/>
      </w:rPr>
      <w:fldChar w:fldCharType="separate"/>
    </w:r>
    <w:r w:rsidR="00B86B6A">
      <w:rPr>
        <w:noProof/>
        <w:sz w:val="20"/>
        <w:szCs w:val="20"/>
      </w:rPr>
      <w:t>14</w:t>
    </w:r>
    <w:r w:rsidRPr="001E234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626DD" w14:textId="77777777" w:rsidR="005F0757" w:rsidRDefault="005F0757">
      <w:r>
        <w:separator/>
      </w:r>
    </w:p>
  </w:footnote>
  <w:footnote w:type="continuationSeparator" w:id="0">
    <w:p w14:paraId="6E75311D" w14:textId="77777777" w:rsidR="005F0757" w:rsidRDefault="005F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pt;height:13.5pt;visibility:visible" o:bullet="t">
        <v:imagedata r:id="rId1" o:title="BT_1000x858px"/>
      </v:shape>
    </w:pict>
  </w:numPicBullet>
  <w:abstractNum w:abstractNumId="0" w15:restartNumberingAfterBreak="0">
    <w:nsid w:val="014E4798"/>
    <w:multiLevelType w:val="hybridMultilevel"/>
    <w:tmpl w:val="2568751E"/>
    <w:lvl w:ilvl="0" w:tplc="FD5A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4F2FF1"/>
    <w:multiLevelType w:val="hybridMultilevel"/>
    <w:tmpl w:val="CE985D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E452C"/>
    <w:multiLevelType w:val="hybridMultilevel"/>
    <w:tmpl w:val="D5E09E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3A41492"/>
    <w:multiLevelType w:val="hybridMultilevel"/>
    <w:tmpl w:val="A52E7F02"/>
    <w:lvl w:ilvl="0" w:tplc="E50C8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F9E0241"/>
    <w:multiLevelType w:val="hybridMultilevel"/>
    <w:tmpl w:val="548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66A4"/>
    <w:multiLevelType w:val="hybridMultilevel"/>
    <w:tmpl w:val="E5EAE704"/>
    <w:lvl w:ilvl="0" w:tplc="F7145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435CEA"/>
    <w:multiLevelType w:val="hybridMultilevel"/>
    <w:tmpl w:val="9E56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52E75"/>
    <w:multiLevelType w:val="hybridMultilevel"/>
    <w:tmpl w:val="E8EA0E08"/>
    <w:lvl w:ilvl="0" w:tplc="F7145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F4B82"/>
    <w:multiLevelType w:val="hybridMultilevel"/>
    <w:tmpl w:val="FE28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12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18"/>
  </w:num>
  <w:num w:numId="11">
    <w:abstractNumId w:val="6"/>
  </w:num>
  <w:num w:numId="12">
    <w:abstractNumId w:val="16"/>
  </w:num>
  <w:num w:numId="13">
    <w:abstractNumId w:val="13"/>
  </w:num>
  <w:num w:numId="14">
    <w:abstractNumId w:val="19"/>
  </w:num>
  <w:num w:numId="15">
    <w:abstractNumId w:val="8"/>
  </w:num>
  <w:num w:numId="16">
    <w:abstractNumId w:val="14"/>
  </w:num>
  <w:num w:numId="17">
    <w:abstractNumId w:val="11"/>
  </w:num>
  <w:num w:numId="18">
    <w:abstractNumId w:val="17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1DCB"/>
    <w:rsid w:val="00007452"/>
    <w:rsid w:val="00014805"/>
    <w:rsid w:val="00015692"/>
    <w:rsid w:val="000176CA"/>
    <w:rsid w:val="00025B61"/>
    <w:rsid w:val="0002650C"/>
    <w:rsid w:val="00026ED3"/>
    <w:rsid w:val="000352D1"/>
    <w:rsid w:val="00036FA0"/>
    <w:rsid w:val="0003793F"/>
    <w:rsid w:val="00051F1C"/>
    <w:rsid w:val="00055A1E"/>
    <w:rsid w:val="00057E35"/>
    <w:rsid w:val="00063A2C"/>
    <w:rsid w:val="00063B85"/>
    <w:rsid w:val="00063BF4"/>
    <w:rsid w:val="00076726"/>
    <w:rsid w:val="00080303"/>
    <w:rsid w:val="00083D2E"/>
    <w:rsid w:val="000A3F58"/>
    <w:rsid w:val="000B2458"/>
    <w:rsid w:val="000B5C40"/>
    <w:rsid w:val="000B5F94"/>
    <w:rsid w:val="000C7A66"/>
    <w:rsid w:val="000D2343"/>
    <w:rsid w:val="000D27E3"/>
    <w:rsid w:val="000D3449"/>
    <w:rsid w:val="000D425A"/>
    <w:rsid w:val="000D60CC"/>
    <w:rsid w:val="000D729E"/>
    <w:rsid w:val="000E09ED"/>
    <w:rsid w:val="000E2084"/>
    <w:rsid w:val="000E55F1"/>
    <w:rsid w:val="000E6F55"/>
    <w:rsid w:val="000E7BB7"/>
    <w:rsid w:val="000F77FA"/>
    <w:rsid w:val="00105BC3"/>
    <w:rsid w:val="00107BF7"/>
    <w:rsid w:val="00121FF3"/>
    <w:rsid w:val="001265E1"/>
    <w:rsid w:val="00126F53"/>
    <w:rsid w:val="0013158B"/>
    <w:rsid w:val="00136805"/>
    <w:rsid w:val="00137A05"/>
    <w:rsid w:val="0014766D"/>
    <w:rsid w:val="001536CC"/>
    <w:rsid w:val="001703F1"/>
    <w:rsid w:val="00186162"/>
    <w:rsid w:val="001A3FBA"/>
    <w:rsid w:val="001A5518"/>
    <w:rsid w:val="001B1C6A"/>
    <w:rsid w:val="001C1263"/>
    <w:rsid w:val="001C1417"/>
    <w:rsid w:val="001C4819"/>
    <w:rsid w:val="001D53A4"/>
    <w:rsid w:val="001E0203"/>
    <w:rsid w:val="001E234A"/>
    <w:rsid w:val="001E339C"/>
    <w:rsid w:val="001E390B"/>
    <w:rsid w:val="001E6A0B"/>
    <w:rsid w:val="001E72C5"/>
    <w:rsid w:val="001F0731"/>
    <w:rsid w:val="001F1AF4"/>
    <w:rsid w:val="001F42FB"/>
    <w:rsid w:val="001F719A"/>
    <w:rsid w:val="002031B3"/>
    <w:rsid w:val="0020632F"/>
    <w:rsid w:val="00215931"/>
    <w:rsid w:val="00221581"/>
    <w:rsid w:val="002220ED"/>
    <w:rsid w:val="00224A97"/>
    <w:rsid w:val="00227BDB"/>
    <w:rsid w:val="00234CB1"/>
    <w:rsid w:val="002352F8"/>
    <w:rsid w:val="0024248F"/>
    <w:rsid w:val="002510A5"/>
    <w:rsid w:val="002549E3"/>
    <w:rsid w:val="00254A0A"/>
    <w:rsid w:val="00255218"/>
    <w:rsid w:val="00266046"/>
    <w:rsid w:val="00275C1D"/>
    <w:rsid w:val="002768B2"/>
    <w:rsid w:val="00282863"/>
    <w:rsid w:val="002846DB"/>
    <w:rsid w:val="00284CCD"/>
    <w:rsid w:val="00286D4A"/>
    <w:rsid w:val="0029244C"/>
    <w:rsid w:val="00293A65"/>
    <w:rsid w:val="002961B8"/>
    <w:rsid w:val="00297D95"/>
    <w:rsid w:val="002B1C03"/>
    <w:rsid w:val="002B51DE"/>
    <w:rsid w:val="002C4FD4"/>
    <w:rsid w:val="002C6637"/>
    <w:rsid w:val="002E0135"/>
    <w:rsid w:val="002E260D"/>
    <w:rsid w:val="002E37A5"/>
    <w:rsid w:val="002E6D8E"/>
    <w:rsid w:val="002F7261"/>
    <w:rsid w:val="00310F03"/>
    <w:rsid w:val="00311612"/>
    <w:rsid w:val="00311B79"/>
    <w:rsid w:val="003247D2"/>
    <w:rsid w:val="003249C3"/>
    <w:rsid w:val="00326653"/>
    <w:rsid w:val="0033467A"/>
    <w:rsid w:val="003426F3"/>
    <w:rsid w:val="003445C1"/>
    <w:rsid w:val="00345BF2"/>
    <w:rsid w:val="00355B61"/>
    <w:rsid w:val="00362686"/>
    <w:rsid w:val="00364F0F"/>
    <w:rsid w:val="0036522A"/>
    <w:rsid w:val="00371510"/>
    <w:rsid w:val="00373A26"/>
    <w:rsid w:val="00376F68"/>
    <w:rsid w:val="003928E5"/>
    <w:rsid w:val="00396DFD"/>
    <w:rsid w:val="003A7059"/>
    <w:rsid w:val="003B6DBF"/>
    <w:rsid w:val="003B7A36"/>
    <w:rsid w:val="003C17AB"/>
    <w:rsid w:val="003C7823"/>
    <w:rsid w:val="003D30ED"/>
    <w:rsid w:val="003D6070"/>
    <w:rsid w:val="003D7A10"/>
    <w:rsid w:val="003E1DCC"/>
    <w:rsid w:val="003E1DFD"/>
    <w:rsid w:val="003E21F4"/>
    <w:rsid w:val="003E2268"/>
    <w:rsid w:val="003F21B2"/>
    <w:rsid w:val="003F5C6F"/>
    <w:rsid w:val="003F6A59"/>
    <w:rsid w:val="00400C26"/>
    <w:rsid w:val="00403FE2"/>
    <w:rsid w:val="004044FE"/>
    <w:rsid w:val="004065C8"/>
    <w:rsid w:val="00411B4B"/>
    <w:rsid w:val="00415BEE"/>
    <w:rsid w:val="00416C20"/>
    <w:rsid w:val="00424FC5"/>
    <w:rsid w:val="00427738"/>
    <w:rsid w:val="00427F85"/>
    <w:rsid w:val="004306C6"/>
    <w:rsid w:val="00436F42"/>
    <w:rsid w:val="00436F7A"/>
    <w:rsid w:val="004378B4"/>
    <w:rsid w:val="004436CE"/>
    <w:rsid w:val="00451314"/>
    <w:rsid w:val="00452D05"/>
    <w:rsid w:val="00452E9D"/>
    <w:rsid w:val="004534C7"/>
    <w:rsid w:val="004626FE"/>
    <w:rsid w:val="004671AA"/>
    <w:rsid w:val="00480FB1"/>
    <w:rsid w:val="00483928"/>
    <w:rsid w:val="004839A0"/>
    <w:rsid w:val="0049081F"/>
    <w:rsid w:val="00494BAE"/>
    <w:rsid w:val="004A3545"/>
    <w:rsid w:val="004A715C"/>
    <w:rsid w:val="004A7171"/>
    <w:rsid w:val="004B2C4E"/>
    <w:rsid w:val="004B316C"/>
    <w:rsid w:val="004B46F7"/>
    <w:rsid w:val="004B525A"/>
    <w:rsid w:val="004C25B1"/>
    <w:rsid w:val="004D43C9"/>
    <w:rsid w:val="004D6103"/>
    <w:rsid w:val="004E0D1F"/>
    <w:rsid w:val="004E3BCE"/>
    <w:rsid w:val="004E4067"/>
    <w:rsid w:val="004E42CA"/>
    <w:rsid w:val="004E4AD6"/>
    <w:rsid w:val="004F0E97"/>
    <w:rsid w:val="004F3AE6"/>
    <w:rsid w:val="004F4350"/>
    <w:rsid w:val="00503D7D"/>
    <w:rsid w:val="00504B48"/>
    <w:rsid w:val="005122D3"/>
    <w:rsid w:val="00515C21"/>
    <w:rsid w:val="005218A5"/>
    <w:rsid w:val="00530BD7"/>
    <w:rsid w:val="00533D78"/>
    <w:rsid w:val="0053786A"/>
    <w:rsid w:val="00537FA3"/>
    <w:rsid w:val="00545942"/>
    <w:rsid w:val="00545CD2"/>
    <w:rsid w:val="005476F3"/>
    <w:rsid w:val="00552796"/>
    <w:rsid w:val="00552B9C"/>
    <w:rsid w:val="005611A6"/>
    <w:rsid w:val="005622E1"/>
    <w:rsid w:val="005647F8"/>
    <w:rsid w:val="00564A14"/>
    <w:rsid w:val="00572342"/>
    <w:rsid w:val="00572527"/>
    <w:rsid w:val="00573E40"/>
    <w:rsid w:val="005755A4"/>
    <w:rsid w:val="00575DC2"/>
    <w:rsid w:val="00576348"/>
    <w:rsid w:val="005763F9"/>
    <w:rsid w:val="00580A1B"/>
    <w:rsid w:val="005842F2"/>
    <w:rsid w:val="00596E1E"/>
    <w:rsid w:val="005A0A36"/>
    <w:rsid w:val="005A0B2E"/>
    <w:rsid w:val="005A19A5"/>
    <w:rsid w:val="005A23D2"/>
    <w:rsid w:val="005A36CB"/>
    <w:rsid w:val="005A57C7"/>
    <w:rsid w:val="005A6DE8"/>
    <w:rsid w:val="005B29D0"/>
    <w:rsid w:val="005B389A"/>
    <w:rsid w:val="005B3FCF"/>
    <w:rsid w:val="005B480E"/>
    <w:rsid w:val="005B49B8"/>
    <w:rsid w:val="005B5602"/>
    <w:rsid w:val="005B587C"/>
    <w:rsid w:val="005C0741"/>
    <w:rsid w:val="005C35FC"/>
    <w:rsid w:val="005C5EF4"/>
    <w:rsid w:val="005D75FE"/>
    <w:rsid w:val="005E2E0B"/>
    <w:rsid w:val="005E6D8A"/>
    <w:rsid w:val="005E7A7D"/>
    <w:rsid w:val="005F0757"/>
    <w:rsid w:val="00615591"/>
    <w:rsid w:val="00615FA7"/>
    <w:rsid w:val="00616150"/>
    <w:rsid w:val="00641698"/>
    <w:rsid w:val="00642F9E"/>
    <w:rsid w:val="006467F5"/>
    <w:rsid w:val="00646BD1"/>
    <w:rsid w:val="00656171"/>
    <w:rsid w:val="006561C2"/>
    <w:rsid w:val="006575E9"/>
    <w:rsid w:val="00665A83"/>
    <w:rsid w:val="006713B8"/>
    <w:rsid w:val="00671CB3"/>
    <w:rsid w:val="00674930"/>
    <w:rsid w:val="00674BAF"/>
    <w:rsid w:val="00682200"/>
    <w:rsid w:val="00695701"/>
    <w:rsid w:val="006A1497"/>
    <w:rsid w:val="006B0BD1"/>
    <w:rsid w:val="006B69C1"/>
    <w:rsid w:val="006D112B"/>
    <w:rsid w:val="006D20A5"/>
    <w:rsid w:val="006D37BF"/>
    <w:rsid w:val="006D4CE4"/>
    <w:rsid w:val="006D5B02"/>
    <w:rsid w:val="006D798A"/>
    <w:rsid w:val="006D7EBF"/>
    <w:rsid w:val="006E639A"/>
    <w:rsid w:val="006E7092"/>
    <w:rsid w:val="006E7FE8"/>
    <w:rsid w:val="00702E22"/>
    <w:rsid w:val="0071606C"/>
    <w:rsid w:val="0072020E"/>
    <w:rsid w:val="0072340C"/>
    <w:rsid w:val="007278FA"/>
    <w:rsid w:val="0073496B"/>
    <w:rsid w:val="00735B5B"/>
    <w:rsid w:val="007456DF"/>
    <w:rsid w:val="007469CF"/>
    <w:rsid w:val="0075218F"/>
    <w:rsid w:val="007605A0"/>
    <w:rsid w:val="00760D17"/>
    <w:rsid w:val="00763FAE"/>
    <w:rsid w:val="00766501"/>
    <w:rsid w:val="007778FE"/>
    <w:rsid w:val="00786071"/>
    <w:rsid w:val="00786144"/>
    <w:rsid w:val="007A0FC7"/>
    <w:rsid w:val="007A3ECB"/>
    <w:rsid w:val="007A46D3"/>
    <w:rsid w:val="007B1733"/>
    <w:rsid w:val="007C31E9"/>
    <w:rsid w:val="007C5A63"/>
    <w:rsid w:val="007C6E41"/>
    <w:rsid w:val="007C725E"/>
    <w:rsid w:val="007D672E"/>
    <w:rsid w:val="007E1036"/>
    <w:rsid w:val="007E3D46"/>
    <w:rsid w:val="007E4179"/>
    <w:rsid w:val="007E5793"/>
    <w:rsid w:val="007F2AED"/>
    <w:rsid w:val="00805A4B"/>
    <w:rsid w:val="00817EE5"/>
    <w:rsid w:val="00824AB9"/>
    <w:rsid w:val="008310F5"/>
    <w:rsid w:val="00836B35"/>
    <w:rsid w:val="00843BDE"/>
    <w:rsid w:val="00855F63"/>
    <w:rsid w:val="0086363A"/>
    <w:rsid w:val="008674D5"/>
    <w:rsid w:val="00873230"/>
    <w:rsid w:val="00875DCF"/>
    <w:rsid w:val="00883FBE"/>
    <w:rsid w:val="008855F9"/>
    <w:rsid w:val="00886083"/>
    <w:rsid w:val="00886A97"/>
    <w:rsid w:val="00891EBD"/>
    <w:rsid w:val="0089705C"/>
    <w:rsid w:val="008A6D43"/>
    <w:rsid w:val="008B3426"/>
    <w:rsid w:val="008B491E"/>
    <w:rsid w:val="008C1A28"/>
    <w:rsid w:val="008C2E98"/>
    <w:rsid w:val="008C4FDB"/>
    <w:rsid w:val="008C6927"/>
    <w:rsid w:val="008D07F2"/>
    <w:rsid w:val="008D3413"/>
    <w:rsid w:val="008E49BD"/>
    <w:rsid w:val="008E53E9"/>
    <w:rsid w:val="008E5771"/>
    <w:rsid w:val="008F4C14"/>
    <w:rsid w:val="00905D9F"/>
    <w:rsid w:val="00906537"/>
    <w:rsid w:val="00911E01"/>
    <w:rsid w:val="009135C9"/>
    <w:rsid w:val="00921C1B"/>
    <w:rsid w:val="00922B1C"/>
    <w:rsid w:val="009312B1"/>
    <w:rsid w:val="009359E5"/>
    <w:rsid w:val="00940B9B"/>
    <w:rsid w:val="00947339"/>
    <w:rsid w:val="0095676E"/>
    <w:rsid w:val="00956983"/>
    <w:rsid w:val="00961BB6"/>
    <w:rsid w:val="00963CF0"/>
    <w:rsid w:val="00964BB1"/>
    <w:rsid w:val="00972B04"/>
    <w:rsid w:val="00973B56"/>
    <w:rsid w:val="009775D9"/>
    <w:rsid w:val="0099247A"/>
    <w:rsid w:val="00992BDF"/>
    <w:rsid w:val="00992E0E"/>
    <w:rsid w:val="00995E11"/>
    <w:rsid w:val="00997175"/>
    <w:rsid w:val="009A1847"/>
    <w:rsid w:val="009B062A"/>
    <w:rsid w:val="009B4F31"/>
    <w:rsid w:val="009C2A59"/>
    <w:rsid w:val="009C51B8"/>
    <w:rsid w:val="009D256B"/>
    <w:rsid w:val="009D45CA"/>
    <w:rsid w:val="009D47FF"/>
    <w:rsid w:val="009E579D"/>
    <w:rsid w:val="009E7C6F"/>
    <w:rsid w:val="009F1793"/>
    <w:rsid w:val="009F2D23"/>
    <w:rsid w:val="009F2D99"/>
    <w:rsid w:val="00A01D69"/>
    <w:rsid w:val="00A02335"/>
    <w:rsid w:val="00A15C38"/>
    <w:rsid w:val="00A205C5"/>
    <w:rsid w:val="00A20D56"/>
    <w:rsid w:val="00A23502"/>
    <w:rsid w:val="00A27AA9"/>
    <w:rsid w:val="00A321A4"/>
    <w:rsid w:val="00A46C9A"/>
    <w:rsid w:val="00A52AB8"/>
    <w:rsid w:val="00A54396"/>
    <w:rsid w:val="00A619F3"/>
    <w:rsid w:val="00A62A73"/>
    <w:rsid w:val="00A6383D"/>
    <w:rsid w:val="00A73746"/>
    <w:rsid w:val="00A77A65"/>
    <w:rsid w:val="00A82A12"/>
    <w:rsid w:val="00A87FF6"/>
    <w:rsid w:val="00A90A78"/>
    <w:rsid w:val="00A91448"/>
    <w:rsid w:val="00AA0A3B"/>
    <w:rsid w:val="00AA13E2"/>
    <w:rsid w:val="00AB0347"/>
    <w:rsid w:val="00AB222D"/>
    <w:rsid w:val="00AB4892"/>
    <w:rsid w:val="00AB50CA"/>
    <w:rsid w:val="00AC5146"/>
    <w:rsid w:val="00AC53CE"/>
    <w:rsid w:val="00AD00F7"/>
    <w:rsid w:val="00AD2193"/>
    <w:rsid w:val="00AD2A57"/>
    <w:rsid w:val="00AD7F7C"/>
    <w:rsid w:val="00AE009F"/>
    <w:rsid w:val="00AE14E7"/>
    <w:rsid w:val="00AE2AA6"/>
    <w:rsid w:val="00AE588A"/>
    <w:rsid w:val="00AF2366"/>
    <w:rsid w:val="00AF2AC7"/>
    <w:rsid w:val="00AF3EDC"/>
    <w:rsid w:val="00AF64F4"/>
    <w:rsid w:val="00AF6DD6"/>
    <w:rsid w:val="00AF71CF"/>
    <w:rsid w:val="00AF74CE"/>
    <w:rsid w:val="00B02742"/>
    <w:rsid w:val="00B04B06"/>
    <w:rsid w:val="00B17094"/>
    <w:rsid w:val="00B208DB"/>
    <w:rsid w:val="00B23F69"/>
    <w:rsid w:val="00B25D30"/>
    <w:rsid w:val="00B33ED5"/>
    <w:rsid w:val="00B34241"/>
    <w:rsid w:val="00B36115"/>
    <w:rsid w:val="00B51063"/>
    <w:rsid w:val="00B51C6E"/>
    <w:rsid w:val="00B60619"/>
    <w:rsid w:val="00B66A70"/>
    <w:rsid w:val="00B67366"/>
    <w:rsid w:val="00B7025F"/>
    <w:rsid w:val="00B748A2"/>
    <w:rsid w:val="00B80EE1"/>
    <w:rsid w:val="00B8318A"/>
    <w:rsid w:val="00B84135"/>
    <w:rsid w:val="00B86B6A"/>
    <w:rsid w:val="00B86E58"/>
    <w:rsid w:val="00B86F80"/>
    <w:rsid w:val="00B94E98"/>
    <w:rsid w:val="00BA18BA"/>
    <w:rsid w:val="00BA1A90"/>
    <w:rsid w:val="00BA502A"/>
    <w:rsid w:val="00BB0F70"/>
    <w:rsid w:val="00BD0003"/>
    <w:rsid w:val="00BD172A"/>
    <w:rsid w:val="00BD21EC"/>
    <w:rsid w:val="00BE06FE"/>
    <w:rsid w:val="00BF0AEC"/>
    <w:rsid w:val="00BF3C94"/>
    <w:rsid w:val="00BF5398"/>
    <w:rsid w:val="00C04433"/>
    <w:rsid w:val="00C04D34"/>
    <w:rsid w:val="00C05DF8"/>
    <w:rsid w:val="00C06196"/>
    <w:rsid w:val="00C06864"/>
    <w:rsid w:val="00C10F54"/>
    <w:rsid w:val="00C14B44"/>
    <w:rsid w:val="00C16D3E"/>
    <w:rsid w:val="00C17E84"/>
    <w:rsid w:val="00C20FB4"/>
    <w:rsid w:val="00C2290E"/>
    <w:rsid w:val="00C23D8D"/>
    <w:rsid w:val="00C37AA3"/>
    <w:rsid w:val="00C37BA4"/>
    <w:rsid w:val="00C37FD7"/>
    <w:rsid w:val="00C40FA9"/>
    <w:rsid w:val="00C43419"/>
    <w:rsid w:val="00C44CF3"/>
    <w:rsid w:val="00C4576E"/>
    <w:rsid w:val="00C50CF2"/>
    <w:rsid w:val="00C52929"/>
    <w:rsid w:val="00C5704B"/>
    <w:rsid w:val="00C61BE0"/>
    <w:rsid w:val="00C668C8"/>
    <w:rsid w:val="00C7087D"/>
    <w:rsid w:val="00C70B0E"/>
    <w:rsid w:val="00C74449"/>
    <w:rsid w:val="00C773CA"/>
    <w:rsid w:val="00C81AB0"/>
    <w:rsid w:val="00C83785"/>
    <w:rsid w:val="00C94C0D"/>
    <w:rsid w:val="00C97741"/>
    <w:rsid w:val="00CA06E6"/>
    <w:rsid w:val="00CA1FEB"/>
    <w:rsid w:val="00CA2199"/>
    <w:rsid w:val="00CA4BB2"/>
    <w:rsid w:val="00CA7B2D"/>
    <w:rsid w:val="00CB3095"/>
    <w:rsid w:val="00CB5F6D"/>
    <w:rsid w:val="00CC49AA"/>
    <w:rsid w:val="00CC7E03"/>
    <w:rsid w:val="00CD0C79"/>
    <w:rsid w:val="00CD4F85"/>
    <w:rsid w:val="00CD6F02"/>
    <w:rsid w:val="00CE246D"/>
    <w:rsid w:val="00CE483D"/>
    <w:rsid w:val="00CE6945"/>
    <w:rsid w:val="00CF07A0"/>
    <w:rsid w:val="00CF3E03"/>
    <w:rsid w:val="00D00775"/>
    <w:rsid w:val="00D0082A"/>
    <w:rsid w:val="00D131AC"/>
    <w:rsid w:val="00D21455"/>
    <w:rsid w:val="00D23D1C"/>
    <w:rsid w:val="00D26C3F"/>
    <w:rsid w:val="00D40BE4"/>
    <w:rsid w:val="00D42300"/>
    <w:rsid w:val="00D454A9"/>
    <w:rsid w:val="00D47634"/>
    <w:rsid w:val="00D5729F"/>
    <w:rsid w:val="00D709B3"/>
    <w:rsid w:val="00D7135C"/>
    <w:rsid w:val="00D74F55"/>
    <w:rsid w:val="00D813F4"/>
    <w:rsid w:val="00D91D3F"/>
    <w:rsid w:val="00D953F0"/>
    <w:rsid w:val="00DA2ED6"/>
    <w:rsid w:val="00DB4A4E"/>
    <w:rsid w:val="00DB76B8"/>
    <w:rsid w:val="00DC2EA1"/>
    <w:rsid w:val="00DC4B60"/>
    <w:rsid w:val="00DC6DFC"/>
    <w:rsid w:val="00DD3205"/>
    <w:rsid w:val="00DD6155"/>
    <w:rsid w:val="00DD6AAF"/>
    <w:rsid w:val="00DD768B"/>
    <w:rsid w:val="00DE3F5C"/>
    <w:rsid w:val="00DE4684"/>
    <w:rsid w:val="00DF15BC"/>
    <w:rsid w:val="00DF1D20"/>
    <w:rsid w:val="00E04464"/>
    <w:rsid w:val="00E10127"/>
    <w:rsid w:val="00E158D9"/>
    <w:rsid w:val="00E17C9B"/>
    <w:rsid w:val="00E21324"/>
    <w:rsid w:val="00E246B9"/>
    <w:rsid w:val="00E2482D"/>
    <w:rsid w:val="00E31FEA"/>
    <w:rsid w:val="00E358A2"/>
    <w:rsid w:val="00E3657F"/>
    <w:rsid w:val="00E43275"/>
    <w:rsid w:val="00E45169"/>
    <w:rsid w:val="00E47787"/>
    <w:rsid w:val="00E51C30"/>
    <w:rsid w:val="00E63013"/>
    <w:rsid w:val="00E64180"/>
    <w:rsid w:val="00E65EED"/>
    <w:rsid w:val="00E7278D"/>
    <w:rsid w:val="00E73C44"/>
    <w:rsid w:val="00E74AEE"/>
    <w:rsid w:val="00E868E5"/>
    <w:rsid w:val="00E9237A"/>
    <w:rsid w:val="00E939FA"/>
    <w:rsid w:val="00EA2DAA"/>
    <w:rsid w:val="00EA5765"/>
    <w:rsid w:val="00EA6EF0"/>
    <w:rsid w:val="00EB6573"/>
    <w:rsid w:val="00EB782B"/>
    <w:rsid w:val="00EB7FE6"/>
    <w:rsid w:val="00EC2532"/>
    <w:rsid w:val="00EC5FF5"/>
    <w:rsid w:val="00ED4232"/>
    <w:rsid w:val="00ED52BD"/>
    <w:rsid w:val="00ED7812"/>
    <w:rsid w:val="00EE0951"/>
    <w:rsid w:val="00EE24BE"/>
    <w:rsid w:val="00EE3EEE"/>
    <w:rsid w:val="00EE6052"/>
    <w:rsid w:val="00EF3B86"/>
    <w:rsid w:val="00EF59B1"/>
    <w:rsid w:val="00F00CB9"/>
    <w:rsid w:val="00F03A07"/>
    <w:rsid w:val="00F155DF"/>
    <w:rsid w:val="00F16C0E"/>
    <w:rsid w:val="00F17A9E"/>
    <w:rsid w:val="00F278B9"/>
    <w:rsid w:val="00F302F6"/>
    <w:rsid w:val="00F317E9"/>
    <w:rsid w:val="00F34554"/>
    <w:rsid w:val="00F45F77"/>
    <w:rsid w:val="00F5167F"/>
    <w:rsid w:val="00F51863"/>
    <w:rsid w:val="00F52258"/>
    <w:rsid w:val="00F6078D"/>
    <w:rsid w:val="00F63435"/>
    <w:rsid w:val="00F76418"/>
    <w:rsid w:val="00F80A5A"/>
    <w:rsid w:val="00F8570A"/>
    <w:rsid w:val="00F91C7B"/>
    <w:rsid w:val="00F962DF"/>
    <w:rsid w:val="00FA650C"/>
    <w:rsid w:val="00FA660E"/>
    <w:rsid w:val="00FB063C"/>
    <w:rsid w:val="00FB3B71"/>
    <w:rsid w:val="00FC2D9E"/>
    <w:rsid w:val="00FC49AB"/>
    <w:rsid w:val="00FC6F91"/>
    <w:rsid w:val="00FC7E64"/>
    <w:rsid w:val="00FD252D"/>
    <w:rsid w:val="00FD4E24"/>
    <w:rsid w:val="00FD5710"/>
    <w:rsid w:val="00FD640C"/>
    <w:rsid w:val="00FD6E4F"/>
    <w:rsid w:val="00FE0C15"/>
    <w:rsid w:val="00FE5ACD"/>
    <w:rsid w:val="00FF0F05"/>
    <w:rsid w:val="00FF5F82"/>
    <w:rsid w:val="00FF6240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69C682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156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customStyle="1" w:styleId="SPCText">
    <w:name w:val="SPC Text"/>
    <w:basedOn w:val="Normal"/>
    <w:rsid w:val="00364F0F"/>
    <w:pPr>
      <w:spacing w:before="120" w:after="120" w:line="240" w:lineRule="atLeast"/>
      <w:ind w:left="567"/>
      <w:jc w:val="both"/>
    </w:pPr>
    <w:rPr>
      <w:rFonts w:ascii="Arial" w:hAnsi="Arial" w:cs="Arial"/>
      <w:sz w:val="20"/>
      <w:szCs w:val="20"/>
      <w:lang w:val="en-GB" w:eastAsia="de-DE"/>
    </w:rPr>
  </w:style>
  <w:style w:type="paragraph" w:customStyle="1" w:styleId="Default">
    <w:name w:val="Default"/>
    <w:rsid w:val="00364F0F"/>
    <w:pPr>
      <w:autoSpaceDE w:val="0"/>
      <w:autoSpaceDN w:val="0"/>
      <w:adjustRightInd w:val="0"/>
    </w:pPr>
    <w:rPr>
      <w:lang w:val="en-US" w:eastAsia="en-US"/>
    </w:rPr>
  </w:style>
  <w:style w:type="table" w:styleId="TableGrid">
    <w:name w:val="Table Grid"/>
    <w:basedOn w:val="TableNormal"/>
    <w:uiPriority w:val="59"/>
    <w:rsid w:val="00364F0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64F0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C725E"/>
    <w:pPr>
      <w:ind w:left="720"/>
      <w:contextualSpacing/>
    </w:pPr>
  </w:style>
  <w:style w:type="character" w:styleId="Hyperlink">
    <w:name w:val="Hyperlink"/>
    <w:basedOn w:val="DefaultParagraphFont"/>
    <w:rsid w:val="001F1AF4"/>
    <w:rPr>
      <w:color w:val="0563C1" w:themeColor="hyperlink"/>
      <w:u w:val="single"/>
    </w:rPr>
  </w:style>
  <w:style w:type="paragraph" w:customStyle="1" w:styleId="Style">
    <w:name w:val="Style"/>
    <w:rsid w:val="001E234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156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ADF81-E292-44EF-9056-FBDA43BC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5679</Words>
  <Characters>32376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37980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Aleksandra Ljumović</cp:lastModifiedBy>
  <cp:revision>2</cp:revision>
  <dcterms:created xsi:type="dcterms:W3CDTF">2025-01-31T12:00:00Z</dcterms:created>
  <dcterms:modified xsi:type="dcterms:W3CDTF">2025-01-31T12:00:00Z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