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9432D" w14:textId="77777777" w:rsidR="002510A5" w:rsidRPr="00616B65" w:rsidRDefault="002510A5" w:rsidP="002510A5">
      <w:pPr>
        <w:jc w:val="center"/>
        <w:rPr>
          <w:b/>
          <w:bCs/>
          <w:iCs/>
          <w:sz w:val="22"/>
          <w:szCs w:val="22"/>
          <w:u w:val="single"/>
          <w:lang w:val="sr-Latn-ME"/>
        </w:rPr>
      </w:pPr>
      <w:r w:rsidRPr="00616B65">
        <w:rPr>
          <w:b/>
          <w:bCs/>
          <w:iCs/>
          <w:sz w:val="22"/>
          <w:szCs w:val="22"/>
          <w:u w:val="single"/>
          <w:lang w:val="sr-Latn-ME"/>
        </w:rPr>
        <w:t>SAŽETAK KARAKTERISTIKA LIJEKA</w:t>
      </w:r>
    </w:p>
    <w:p w14:paraId="4872E0A7" w14:textId="77777777" w:rsidR="002510A5" w:rsidRPr="00616B65" w:rsidRDefault="002510A5" w:rsidP="002510A5">
      <w:pPr>
        <w:rPr>
          <w:b/>
          <w:bCs/>
          <w:i/>
          <w:iCs/>
          <w:sz w:val="22"/>
          <w:szCs w:val="22"/>
          <w:u w:val="single"/>
          <w:lang w:val="sr-Latn-ME"/>
        </w:rPr>
      </w:pPr>
    </w:p>
    <w:p w14:paraId="7004A046" w14:textId="77777777" w:rsidR="003C17AB" w:rsidRPr="00616B65" w:rsidRDefault="003C17AB" w:rsidP="00F5167F">
      <w:pPr>
        <w:tabs>
          <w:tab w:val="left" w:pos="540"/>
          <w:tab w:val="left" w:pos="569"/>
        </w:tabs>
        <w:rPr>
          <w:noProof/>
          <w:sz w:val="22"/>
          <w:szCs w:val="22"/>
          <w:lang w:val="sr-Latn-ME"/>
        </w:rPr>
      </w:pPr>
    </w:p>
    <w:p w14:paraId="7C858F2B" w14:textId="77777777" w:rsidR="00C37FD7" w:rsidRPr="00616B65" w:rsidRDefault="00C37FD7" w:rsidP="00F5167F">
      <w:pPr>
        <w:tabs>
          <w:tab w:val="left" w:pos="540"/>
          <w:tab w:val="left" w:pos="569"/>
        </w:tabs>
        <w:rPr>
          <w:bCs/>
          <w:sz w:val="22"/>
          <w:szCs w:val="22"/>
          <w:lang w:val="sr-Latn-ME"/>
        </w:rPr>
      </w:pPr>
    </w:p>
    <w:p w14:paraId="2AD25AA3" w14:textId="77777777" w:rsidR="00411B4B" w:rsidRPr="00616B65" w:rsidRDefault="00411B4B" w:rsidP="00F5167F">
      <w:pPr>
        <w:tabs>
          <w:tab w:val="left" w:pos="540"/>
          <w:tab w:val="left" w:pos="569"/>
        </w:tabs>
        <w:rPr>
          <w:b/>
          <w:bCs/>
          <w:sz w:val="22"/>
          <w:szCs w:val="22"/>
          <w:lang w:val="sr-Latn-ME"/>
        </w:rPr>
      </w:pPr>
      <w:r w:rsidRPr="00616B65">
        <w:rPr>
          <w:b/>
          <w:bCs/>
          <w:sz w:val="22"/>
          <w:szCs w:val="22"/>
          <w:lang w:val="sr-Latn-ME"/>
        </w:rPr>
        <w:t>1.</w:t>
      </w:r>
      <w:r w:rsidR="00F5167F" w:rsidRPr="00616B65">
        <w:rPr>
          <w:b/>
          <w:bCs/>
          <w:sz w:val="22"/>
          <w:szCs w:val="22"/>
          <w:lang w:val="sr-Latn-ME"/>
        </w:rPr>
        <w:tab/>
      </w:r>
      <w:r w:rsidR="002846DB" w:rsidRPr="00616B65">
        <w:rPr>
          <w:b/>
          <w:bCs/>
          <w:sz w:val="22"/>
          <w:szCs w:val="22"/>
          <w:lang w:val="sr-Latn-ME"/>
        </w:rPr>
        <w:t xml:space="preserve">NAZIV </w:t>
      </w:r>
      <w:r w:rsidRPr="00616B65">
        <w:rPr>
          <w:b/>
          <w:bCs/>
          <w:sz w:val="22"/>
          <w:szCs w:val="22"/>
          <w:lang w:val="sr-Latn-ME"/>
        </w:rPr>
        <w:t>LIJEKA</w:t>
      </w:r>
    </w:p>
    <w:p w14:paraId="62EBD5FC" w14:textId="77777777" w:rsidR="00EC2532" w:rsidRPr="00616B65" w:rsidRDefault="00EC2532">
      <w:pPr>
        <w:rPr>
          <w:sz w:val="22"/>
          <w:szCs w:val="22"/>
          <w:lang w:val="sr-Latn-ME"/>
        </w:rPr>
      </w:pPr>
    </w:p>
    <w:p w14:paraId="3512AB0D" w14:textId="1AA2F7D3" w:rsidR="008D6F3D" w:rsidRPr="00616B65" w:rsidRDefault="008D6F3D" w:rsidP="008D6F3D">
      <w:pPr>
        <w:jc w:val="both"/>
        <w:rPr>
          <w:sz w:val="22"/>
          <w:szCs w:val="22"/>
          <w:lang w:val="sr-Latn-ME"/>
        </w:rPr>
      </w:pPr>
      <w:r w:rsidRPr="00616B65">
        <w:rPr>
          <w:sz w:val="22"/>
          <w:szCs w:val="22"/>
          <w:lang w:val="sr-Latn-ME"/>
        </w:rPr>
        <w:t>Dimetex, 120 mg, gastrorezistentn</w:t>
      </w:r>
      <w:r w:rsidR="00A12353" w:rsidRPr="00616B65">
        <w:rPr>
          <w:sz w:val="22"/>
          <w:szCs w:val="22"/>
          <w:lang w:val="sr-Latn-ME"/>
        </w:rPr>
        <w:t>a</w:t>
      </w:r>
      <w:r w:rsidRPr="00616B65">
        <w:rPr>
          <w:sz w:val="22"/>
          <w:szCs w:val="22"/>
          <w:lang w:val="sr-Latn-ME"/>
        </w:rPr>
        <w:t xml:space="preserve"> kapsul</w:t>
      </w:r>
      <w:r w:rsidR="00A12353" w:rsidRPr="00616B65">
        <w:rPr>
          <w:sz w:val="22"/>
          <w:szCs w:val="22"/>
          <w:lang w:val="sr-Latn-ME"/>
        </w:rPr>
        <w:t>a</w:t>
      </w:r>
      <w:r w:rsidRPr="00616B65">
        <w:rPr>
          <w:sz w:val="22"/>
          <w:szCs w:val="22"/>
          <w:lang w:val="sr-Latn-ME"/>
        </w:rPr>
        <w:t>, tvrd</w:t>
      </w:r>
      <w:r w:rsidR="00A12353" w:rsidRPr="00616B65">
        <w:rPr>
          <w:sz w:val="22"/>
          <w:szCs w:val="22"/>
          <w:lang w:val="sr-Latn-ME"/>
        </w:rPr>
        <w:t>a</w:t>
      </w:r>
      <w:r w:rsidRPr="00616B65">
        <w:rPr>
          <w:sz w:val="22"/>
          <w:szCs w:val="22"/>
          <w:lang w:val="sr-Latn-ME"/>
        </w:rPr>
        <w:t xml:space="preserve"> </w:t>
      </w:r>
    </w:p>
    <w:p w14:paraId="36B2DA09" w14:textId="2EA6F7B2" w:rsidR="000D425A" w:rsidRPr="00616B65" w:rsidRDefault="008D6F3D" w:rsidP="008D6F3D">
      <w:pPr>
        <w:jc w:val="both"/>
        <w:rPr>
          <w:sz w:val="22"/>
          <w:szCs w:val="22"/>
          <w:lang w:val="sr-Latn-ME"/>
        </w:rPr>
      </w:pPr>
      <w:r w:rsidRPr="00616B65">
        <w:rPr>
          <w:sz w:val="22"/>
          <w:szCs w:val="22"/>
          <w:lang w:val="sr-Latn-ME"/>
        </w:rPr>
        <w:t>Dimetex, 240 mg, gastrorezistentn</w:t>
      </w:r>
      <w:r w:rsidR="00A12353" w:rsidRPr="00616B65">
        <w:rPr>
          <w:sz w:val="22"/>
          <w:szCs w:val="22"/>
          <w:lang w:val="sr-Latn-ME"/>
        </w:rPr>
        <w:t>a</w:t>
      </w:r>
      <w:r w:rsidRPr="00616B65">
        <w:rPr>
          <w:sz w:val="22"/>
          <w:szCs w:val="22"/>
          <w:lang w:val="sr-Latn-ME"/>
        </w:rPr>
        <w:t xml:space="preserve"> kapsul</w:t>
      </w:r>
      <w:r w:rsidR="00A12353" w:rsidRPr="00616B65">
        <w:rPr>
          <w:sz w:val="22"/>
          <w:szCs w:val="22"/>
          <w:lang w:val="sr-Latn-ME"/>
        </w:rPr>
        <w:t>a</w:t>
      </w:r>
      <w:r w:rsidRPr="00616B65">
        <w:rPr>
          <w:sz w:val="22"/>
          <w:szCs w:val="22"/>
          <w:lang w:val="sr-Latn-ME"/>
        </w:rPr>
        <w:t>, tvrd</w:t>
      </w:r>
      <w:r w:rsidR="00A12353" w:rsidRPr="00616B65">
        <w:rPr>
          <w:sz w:val="22"/>
          <w:szCs w:val="22"/>
          <w:lang w:val="sr-Latn-ME"/>
        </w:rPr>
        <w:t>a</w:t>
      </w:r>
    </w:p>
    <w:p w14:paraId="648042E0" w14:textId="77777777" w:rsidR="008D6F3D" w:rsidRPr="00616B65" w:rsidRDefault="008D6F3D">
      <w:pPr>
        <w:rPr>
          <w:bCs/>
          <w:sz w:val="22"/>
          <w:szCs w:val="22"/>
          <w:lang w:val="sr-Latn-ME"/>
        </w:rPr>
      </w:pPr>
    </w:p>
    <w:p w14:paraId="066369FC" w14:textId="4AC24C4C" w:rsidR="006D20A5" w:rsidRPr="00616B65" w:rsidRDefault="006D20A5" w:rsidP="006D20A5">
      <w:pPr>
        <w:rPr>
          <w:sz w:val="22"/>
          <w:szCs w:val="22"/>
          <w:lang w:val="sr-Latn-ME"/>
        </w:rPr>
      </w:pPr>
      <w:r w:rsidRPr="00616B65">
        <w:rPr>
          <w:sz w:val="22"/>
          <w:szCs w:val="22"/>
          <w:lang w:val="sr-Latn-ME"/>
        </w:rPr>
        <w:t>INN:</w:t>
      </w:r>
      <w:r w:rsidR="008D6F3D" w:rsidRPr="00616B65">
        <w:rPr>
          <w:sz w:val="22"/>
          <w:szCs w:val="22"/>
          <w:lang w:val="sr-Latn-ME"/>
        </w:rPr>
        <w:t xml:space="preserve"> dimetil fumarat</w:t>
      </w:r>
    </w:p>
    <w:p w14:paraId="2EE58C70" w14:textId="77777777" w:rsidR="006D20A5" w:rsidRPr="00616B65" w:rsidRDefault="006D20A5">
      <w:pPr>
        <w:rPr>
          <w:bCs/>
          <w:sz w:val="22"/>
          <w:szCs w:val="22"/>
          <w:lang w:val="sr-Latn-ME"/>
        </w:rPr>
      </w:pPr>
    </w:p>
    <w:p w14:paraId="37497EC1" w14:textId="77777777" w:rsidR="00530BD7" w:rsidRPr="00616B65" w:rsidRDefault="00530BD7">
      <w:pPr>
        <w:rPr>
          <w:bCs/>
          <w:sz w:val="22"/>
          <w:szCs w:val="22"/>
          <w:lang w:val="sr-Latn-ME"/>
        </w:rPr>
      </w:pPr>
    </w:p>
    <w:p w14:paraId="19907254" w14:textId="77777777" w:rsidR="00411B4B" w:rsidRPr="00616B65" w:rsidRDefault="00411B4B" w:rsidP="00F5167F">
      <w:pPr>
        <w:tabs>
          <w:tab w:val="left" w:pos="540"/>
          <w:tab w:val="left" w:pos="569"/>
        </w:tabs>
        <w:rPr>
          <w:b/>
          <w:bCs/>
          <w:sz w:val="22"/>
          <w:szCs w:val="22"/>
          <w:lang w:val="sr-Latn-ME"/>
        </w:rPr>
      </w:pPr>
      <w:r w:rsidRPr="00616B65">
        <w:rPr>
          <w:b/>
          <w:bCs/>
          <w:sz w:val="22"/>
          <w:szCs w:val="22"/>
          <w:lang w:val="sr-Latn-ME"/>
        </w:rPr>
        <w:t xml:space="preserve">2. </w:t>
      </w:r>
      <w:r w:rsidR="00F5167F" w:rsidRPr="00616B65">
        <w:rPr>
          <w:b/>
          <w:bCs/>
          <w:sz w:val="22"/>
          <w:szCs w:val="22"/>
          <w:lang w:val="sr-Latn-ME"/>
        </w:rPr>
        <w:tab/>
      </w:r>
      <w:r w:rsidRPr="00616B65">
        <w:rPr>
          <w:b/>
          <w:bCs/>
          <w:sz w:val="22"/>
          <w:szCs w:val="22"/>
          <w:lang w:val="sr-Latn-ME"/>
        </w:rPr>
        <w:t>KVALITATIVNI I KVANTITATIVNI SASTAV</w:t>
      </w:r>
    </w:p>
    <w:p w14:paraId="557ECD8A" w14:textId="77777777" w:rsidR="005A0B2E" w:rsidRPr="00616B65" w:rsidRDefault="005A0B2E">
      <w:pPr>
        <w:rPr>
          <w:sz w:val="22"/>
          <w:szCs w:val="22"/>
          <w:lang w:val="sr-Latn-ME"/>
        </w:rPr>
      </w:pPr>
    </w:p>
    <w:p w14:paraId="76A5DDF1" w14:textId="1AC46C86" w:rsidR="008D6F3D" w:rsidRPr="00616B65" w:rsidRDefault="008D6F3D" w:rsidP="008D6F3D">
      <w:pPr>
        <w:jc w:val="both"/>
        <w:rPr>
          <w:sz w:val="22"/>
          <w:szCs w:val="22"/>
          <w:u w:val="single"/>
          <w:lang w:val="sr-Latn-ME"/>
        </w:rPr>
      </w:pPr>
      <w:r w:rsidRPr="00616B65">
        <w:rPr>
          <w:sz w:val="22"/>
          <w:szCs w:val="22"/>
          <w:u w:val="single"/>
          <w:lang w:val="sr-Latn-ME"/>
        </w:rPr>
        <w:t>Dimetex, 120 mg, gastrorezistentn</w:t>
      </w:r>
      <w:r w:rsidR="00A12353" w:rsidRPr="00616B65">
        <w:rPr>
          <w:sz w:val="22"/>
          <w:szCs w:val="22"/>
          <w:u w:val="single"/>
          <w:lang w:val="sr-Latn-ME"/>
        </w:rPr>
        <w:t>a</w:t>
      </w:r>
      <w:r w:rsidRPr="00616B65">
        <w:rPr>
          <w:sz w:val="22"/>
          <w:szCs w:val="22"/>
          <w:u w:val="single"/>
          <w:lang w:val="sr-Latn-ME"/>
        </w:rPr>
        <w:t xml:space="preserve"> kapsul</w:t>
      </w:r>
      <w:r w:rsidR="00A12353" w:rsidRPr="00616B65">
        <w:rPr>
          <w:sz w:val="22"/>
          <w:szCs w:val="22"/>
          <w:u w:val="single"/>
          <w:lang w:val="sr-Latn-ME"/>
        </w:rPr>
        <w:t>a</w:t>
      </w:r>
      <w:r w:rsidRPr="00616B65">
        <w:rPr>
          <w:sz w:val="22"/>
          <w:szCs w:val="22"/>
          <w:u w:val="single"/>
          <w:lang w:val="sr-Latn-ME"/>
        </w:rPr>
        <w:t>, tvrd</w:t>
      </w:r>
      <w:r w:rsidR="00A12353" w:rsidRPr="00616B65">
        <w:rPr>
          <w:sz w:val="22"/>
          <w:szCs w:val="22"/>
          <w:u w:val="single"/>
          <w:lang w:val="sr-Latn-ME"/>
        </w:rPr>
        <w:t>a</w:t>
      </w:r>
    </w:p>
    <w:p w14:paraId="544050F3" w14:textId="3954C4CA" w:rsidR="008D6F3D" w:rsidRPr="00616B65" w:rsidRDefault="008D6F3D" w:rsidP="008D6F3D">
      <w:pPr>
        <w:jc w:val="both"/>
        <w:rPr>
          <w:sz w:val="22"/>
          <w:szCs w:val="22"/>
          <w:lang w:val="sr-Latn-ME"/>
        </w:rPr>
      </w:pPr>
      <w:r w:rsidRPr="00616B65">
        <w:rPr>
          <w:sz w:val="22"/>
          <w:szCs w:val="22"/>
          <w:lang w:val="sr-Latn-ME"/>
        </w:rPr>
        <w:t xml:space="preserve">Jedna gastrorezistentna kapsula, tvrda sadrži 120 mg </w:t>
      </w:r>
      <w:r w:rsidR="002635CF" w:rsidRPr="00616B65">
        <w:rPr>
          <w:sz w:val="22"/>
          <w:szCs w:val="22"/>
          <w:lang w:val="sr-Latn-ME"/>
        </w:rPr>
        <w:t>dimetil fumarat</w:t>
      </w:r>
      <w:r w:rsidRPr="00616B65">
        <w:rPr>
          <w:sz w:val="22"/>
          <w:szCs w:val="22"/>
          <w:lang w:val="sr-Latn-ME"/>
        </w:rPr>
        <w:t>a.</w:t>
      </w:r>
    </w:p>
    <w:p w14:paraId="426E516B" w14:textId="77777777" w:rsidR="008D6F3D" w:rsidRPr="00616B65" w:rsidRDefault="008D6F3D" w:rsidP="008D6F3D">
      <w:pPr>
        <w:jc w:val="both"/>
        <w:rPr>
          <w:sz w:val="22"/>
          <w:szCs w:val="22"/>
          <w:lang w:val="sr-Latn-ME"/>
        </w:rPr>
      </w:pPr>
    </w:p>
    <w:p w14:paraId="1D36593A" w14:textId="7C64412C" w:rsidR="008D6F3D" w:rsidRPr="00616B65" w:rsidRDefault="008D6F3D" w:rsidP="008D6F3D">
      <w:pPr>
        <w:jc w:val="both"/>
        <w:rPr>
          <w:sz w:val="22"/>
          <w:szCs w:val="22"/>
          <w:u w:val="single"/>
          <w:lang w:val="sr-Latn-ME"/>
        </w:rPr>
      </w:pPr>
      <w:r w:rsidRPr="00616B65">
        <w:rPr>
          <w:sz w:val="22"/>
          <w:szCs w:val="22"/>
          <w:u w:val="single"/>
          <w:lang w:val="sr-Latn-ME"/>
        </w:rPr>
        <w:t>Dimetex, 240 mg, gastrorezistentn</w:t>
      </w:r>
      <w:r w:rsidR="00A12353" w:rsidRPr="00616B65">
        <w:rPr>
          <w:sz w:val="22"/>
          <w:szCs w:val="22"/>
          <w:u w:val="single"/>
          <w:lang w:val="sr-Latn-ME"/>
        </w:rPr>
        <w:t>a</w:t>
      </w:r>
      <w:r w:rsidRPr="00616B65">
        <w:rPr>
          <w:sz w:val="22"/>
          <w:szCs w:val="22"/>
          <w:u w:val="single"/>
          <w:lang w:val="sr-Latn-ME"/>
        </w:rPr>
        <w:t xml:space="preserve"> kapsul</w:t>
      </w:r>
      <w:r w:rsidR="00A12353" w:rsidRPr="00616B65">
        <w:rPr>
          <w:sz w:val="22"/>
          <w:szCs w:val="22"/>
          <w:u w:val="single"/>
          <w:lang w:val="sr-Latn-ME"/>
        </w:rPr>
        <w:t>a</w:t>
      </w:r>
      <w:r w:rsidRPr="00616B65">
        <w:rPr>
          <w:sz w:val="22"/>
          <w:szCs w:val="22"/>
          <w:u w:val="single"/>
          <w:lang w:val="sr-Latn-ME"/>
        </w:rPr>
        <w:t>, tvrd</w:t>
      </w:r>
      <w:r w:rsidR="00A12353" w:rsidRPr="00616B65">
        <w:rPr>
          <w:sz w:val="22"/>
          <w:szCs w:val="22"/>
          <w:u w:val="single"/>
          <w:lang w:val="sr-Latn-ME"/>
        </w:rPr>
        <w:t>a</w:t>
      </w:r>
    </w:p>
    <w:p w14:paraId="6A821137" w14:textId="34E91FE3" w:rsidR="008D6F3D" w:rsidRPr="00616B65" w:rsidRDefault="008D6F3D" w:rsidP="008D6F3D">
      <w:pPr>
        <w:jc w:val="both"/>
        <w:rPr>
          <w:sz w:val="22"/>
          <w:szCs w:val="22"/>
          <w:lang w:val="sr-Latn-ME"/>
        </w:rPr>
      </w:pPr>
      <w:r w:rsidRPr="00616B65">
        <w:rPr>
          <w:sz w:val="22"/>
          <w:szCs w:val="22"/>
          <w:lang w:val="sr-Latn-ME"/>
        </w:rPr>
        <w:t xml:space="preserve">Jedna gastrorezistentna kapsula, tvrda sadrži 240 mg </w:t>
      </w:r>
      <w:r w:rsidR="002635CF" w:rsidRPr="00616B65">
        <w:rPr>
          <w:sz w:val="22"/>
          <w:szCs w:val="22"/>
          <w:lang w:val="sr-Latn-ME"/>
        </w:rPr>
        <w:t>dimetil fumarat</w:t>
      </w:r>
      <w:r w:rsidRPr="00616B65">
        <w:rPr>
          <w:sz w:val="22"/>
          <w:szCs w:val="22"/>
          <w:lang w:val="sr-Latn-ME"/>
        </w:rPr>
        <w:t>a.</w:t>
      </w:r>
    </w:p>
    <w:p w14:paraId="6A6A4CC2" w14:textId="77777777" w:rsidR="008D6F3D" w:rsidRPr="00616B65" w:rsidRDefault="008D6F3D" w:rsidP="008D6F3D">
      <w:pPr>
        <w:jc w:val="both"/>
        <w:rPr>
          <w:sz w:val="22"/>
          <w:szCs w:val="22"/>
          <w:lang w:val="sr-Latn-ME"/>
        </w:rPr>
      </w:pPr>
    </w:p>
    <w:p w14:paraId="7CA01CD7" w14:textId="1ADB4ECA" w:rsidR="0003793F" w:rsidRPr="00616B65" w:rsidRDefault="0003793F" w:rsidP="008D6F3D">
      <w:pPr>
        <w:jc w:val="both"/>
        <w:rPr>
          <w:sz w:val="22"/>
          <w:szCs w:val="22"/>
          <w:lang w:val="sr-Latn-ME"/>
        </w:rPr>
      </w:pPr>
      <w:r w:rsidRPr="00616B65">
        <w:rPr>
          <w:sz w:val="22"/>
          <w:szCs w:val="22"/>
          <w:lang w:val="sr-Latn-ME"/>
        </w:rPr>
        <w:t>Za spisak svih ekscipijenasa, pogledati dio 6.1.</w:t>
      </w:r>
    </w:p>
    <w:p w14:paraId="257F7206" w14:textId="77777777" w:rsidR="0003793F" w:rsidRPr="00616B65" w:rsidRDefault="0003793F">
      <w:pPr>
        <w:rPr>
          <w:sz w:val="22"/>
          <w:szCs w:val="22"/>
          <w:lang w:val="sr-Latn-ME"/>
        </w:rPr>
      </w:pPr>
    </w:p>
    <w:p w14:paraId="254604DB" w14:textId="77777777" w:rsidR="00C37FD7" w:rsidRPr="00616B65" w:rsidRDefault="00C37FD7">
      <w:pPr>
        <w:rPr>
          <w:sz w:val="22"/>
          <w:szCs w:val="22"/>
          <w:lang w:val="sr-Latn-ME"/>
        </w:rPr>
      </w:pPr>
    </w:p>
    <w:p w14:paraId="0A3513A3" w14:textId="77777777" w:rsidR="00411B4B" w:rsidRPr="00616B65" w:rsidRDefault="00411B4B" w:rsidP="005A340E">
      <w:pPr>
        <w:tabs>
          <w:tab w:val="left" w:pos="540"/>
          <w:tab w:val="left" w:pos="569"/>
        </w:tabs>
        <w:jc w:val="both"/>
        <w:rPr>
          <w:b/>
          <w:bCs/>
          <w:sz w:val="22"/>
          <w:szCs w:val="22"/>
          <w:lang w:val="sr-Latn-ME"/>
        </w:rPr>
      </w:pPr>
      <w:r w:rsidRPr="00616B65">
        <w:rPr>
          <w:b/>
          <w:bCs/>
          <w:sz w:val="22"/>
          <w:szCs w:val="22"/>
          <w:lang w:val="sr-Latn-ME"/>
        </w:rPr>
        <w:t xml:space="preserve">3. </w:t>
      </w:r>
      <w:r w:rsidR="00F5167F" w:rsidRPr="00616B65">
        <w:rPr>
          <w:b/>
          <w:bCs/>
          <w:sz w:val="22"/>
          <w:szCs w:val="22"/>
          <w:lang w:val="sr-Latn-ME"/>
        </w:rPr>
        <w:tab/>
      </w:r>
      <w:r w:rsidRPr="00616B65">
        <w:rPr>
          <w:b/>
          <w:bCs/>
          <w:sz w:val="22"/>
          <w:szCs w:val="22"/>
          <w:lang w:val="sr-Latn-ME"/>
        </w:rPr>
        <w:t>FARMACEUTSKI OBLIK</w:t>
      </w:r>
      <w:r w:rsidR="009F2D23" w:rsidRPr="00616B65">
        <w:rPr>
          <w:b/>
          <w:bCs/>
          <w:sz w:val="22"/>
          <w:szCs w:val="22"/>
          <w:lang w:val="sr-Latn-ME"/>
        </w:rPr>
        <w:t xml:space="preserve"> </w:t>
      </w:r>
    </w:p>
    <w:p w14:paraId="313F1208" w14:textId="77777777" w:rsidR="00411B4B" w:rsidRPr="00616B65" w:rsidRDefault="00411B4B" w:rsidP="005A340E">
      <w:pPr>
        <w:jc w:val="both"/>
        <w:rPr>
          <w:bCs/>
          <w:sz w:val="22"/>
          <w:szCs w:val="22"/>
          <w:lang w:val="sr-Latn-ME"/>
        </w:rPr>
      </w:pPr>
    </w:p>
    <w:p w14:paraId="617CEEB4" w14:textId="77777777" w:rsidR="008D6F3D" w:rsidRPr="00616B65" w:rsidRDefault="008D6F3D" w:rsidP="00C31FAA">
      <w:pPr>
        <w:jc w:val="both"/>
        <w:rPr>
          <w:bCs/>
          <w:sz w:val="22"/>
          <w:szCs w:val="22"/>
          <w:lang w:val="sr-Latn-ME"/>
        </w:rPr>
      </w:pPr>
      <w:r w:rsidRPr="00616B65">
        <w:rPr>
          <w:bCs/>
          <w:sz w:val="22"/>
          <w:szCs w:val="22"/>
          <w:lang w:val="sr-Latn-ME"/>
        </w:rPr>
        <w:t>Gastrorezistentna kapsula, tvrda</w:t>
      </w:r>
    </w:p>
    <w:p w14:paraId="10DE5020" w14:textId="77777777" w:rsidR="008D6F3D" w:rsidRPr="00616B65" w:rsidRDefault="008D6F3D" w:rsidP="0023493E">
      <w:pPr>
        <w:jc w:val="both"/>
        <w:rPr>
          <w:bCs/>
          <w:sz w:val="22"/>
          <w:szCs w:val="22"/>
          <w:lang w:val="sr-Latn-ME"/>
        </w:rPr>
      </w:pPr>
    </w:p>
    <w:p w14:paraId="3BB4A235" w14:textId="77777777" w:rsidR="008D6F3D" w:rsidRPr="00616B65" w:rsidRDefault="008D6F3D">
      <w:pPr>
        <w:jc w:val="both"/>
        <w:rPr>
          <w:bCs/>
          <w:sz w:val="22"/>
          <w:szCs w:val="22"/>
          <w:u w:val="single"/>
          <w:lang w:val="sr-Latn-ME"/>
        </w:rPr>
      </w:pPr>
      <w:r w:rsidRPr="00616B65">
        <w:rPr>
          <w:bCs/>
          <w:sz w:val="22"/>
          <w:szCs w:val="22"/>
          <w:u w:val="single"/>
          <w:lang w:val="sr-Latn-ME"/>
        </w:rPr>
        <w:t>Dimetex, 120 mg, gastrorezistentna kapsula, tvrda</w:t>
      </w:r>
    </w:p>
    <w:p w14:paraId="22C89469" w14:textId="205F00EC" w:rsidR="008D6F3D" w:rsidRPr="00616B65" w:rsidRDefault="008D6F3D">
      <w:pPr>
        <w:jc w:val="both"/>
        <w:rPr>
          <w:bCs/>
          <w:sz w:val="22"/>
          <w:szCs w:val="22"/>
          <w:lang w:val="sr-Latn-ME"/>
        </w:rPr>
      </w:pPr>
      <w:r w:rsidRPr="00616B65">
        <w:rPr>
          <w:bCs/>
          <w:sz w:val="22"/>
          <w:szCs w:val="22"/>
          <w:lang w:val="sr-Latn-ME"/>
        </w:rPr>
        <w:t>Tvrd</w:t>
      </w:r>
      <w:r w:rsidR="00A12353" w:rsidRPr="00616B65">
        <w:rPr>
          <w:bCs/>
          <w:sz w:val="22"/>
          <w:szCs w:val="22"/>
          <w:lang w:val="sr-Latn-ME"/>
        </w:rPr>
        <w:t>a</w:t>
      </w:r>
      <w:r w:rsidRPr="00616B65">
        <w:rPr>
          <w:bCs/>
          <w:sz w:val="22"/>
          <w:szCs w:val="22"/>
          <w:lang w:val="sr-Latn-ME"/>
        </w:rPr>
        <w:t xml:space="preserve"> želatinsk</w:t>
      </w:r>
      <w:r w:rsidR="00A12353" w:rsidRPr="00616B65">
        <w:rPr>
          <w:bCs/>
          <w:sz w:val="22"/>
          <w:szCs w:val="22"/>
          <w:lang w:val="sr-Latn-ME"/>
        </w:rPr>
        <w:t>a</w:t>
      </w:r>
      <w:r w:rsidRPr="00616B65">
        <w:rPr>
          <w:bCs/>
          <w:sz w:val="22"/>
          <w:szCs w:val="22"/>
          <w:lang w:val="sr-Latn-ME"/>
        </w:rPr>
        <w:t xml:space="preserve"> kapsul</w:t>
      </w:r>
      <w:r w:rsidR="00A12353" w:rsidRPr="00616B65">
        <w:rPr>
          <w:bCs/>
          <w:sz w:val="22"/>
          <w:szCs w:val="22"/>
          <w:lang w:val="sr-Latn-ME"/>
        </w:rPr>
        <w:t>a sa zelenom neprozirnom kapicom i bijelim neprozirnim tijelom</w:t>
      </w:r>
      <w:r w:rsidRPr="00616B65">
        <w:rPr>
          <w:bCs/>
          <w:sz w:val="22"/>
          <w:szCs w:val="22"/>
          <w:lang w:val="sr-Latn-ME"/>
        </w:rPr>
        <w:t>,</w:t>
      </w:r>
      <w:r w:rsidR="00A12353" w:rsidRPr="00616B65">
        <w:rPr>
          <w:bCs/>
          <w:sz w:val="22"/>
          <w:szCs w:val="22"/>
          <w:lang w:val="sr-Latn-ME"/>
        </w:rPr>
        <w:t xml:space="preserve"> dužine</w:t>
      </w:r>
      <w:r w:rsidRPr="00616B65">
        <w:rPr>
          <w:bCs/>
          <w:sz w:val="22"/>
          <w:szCs w:val="22"/>
          <w:lang w:val="sr-Latn-ME"/>
        </w:rPr>
        <w:t xml:space="preserve"> 21,4 mm, s</w:t>
      </w:r>
      <w:r w:rsidR="00A12353" w:rsidRPr="00616B65">
        <w:rPr>
          <w:bCs/>
          <w:sz w:val="22"/>
          <w:szCs w:val="22"/>
          <w:lang w:val="sr-Latn-ME"/>
        </w:rPr>
        <w:t xml:space="preserve"> utisnutom oznakom</w:t>
      </w:r>
      <w:r w:rsidRPr="00616B65">
        <w:rPr>
          <w:bCs/>
          <w:sz w:val="22"/>
          <w:szCs w:val="22"/>
          <w:lang w:val="sr-Latn-ME"/>
        </w:rPr>
        <w:t xml:space="preserve"> „DMF 120” </w:t>
      </w:r>
      <w:r w:rsidR="00A12353" w:rsidRPr="00616B65">
        <w:rPr>
          <w:bCs/>
          <w:sz w:val="22"/>
          <w:szCs w:val="22"/>
          <w:lang w:val="sr-Latn-ME"/>
        </w:rPr>
        <w:t xml:space="preserve">crnim mastilom </w:t>
      </w:r>
      <w:r w:rsidRPr="00616B65">
        <w:rPr>
          <w:bCs/>
          <w:sz w:val="22"/>
          <w:szCs w:val="22"/>
          <w:lang w:val="sr-Latn-ME"/>
        </w:rPr>
        <w:t>na tijelu kapsule</w:t>
      </w:r>
      <w:r w:rsidR="00A12353" w:rsidRPr="00616B65">
        <w:rPr>
          <w:bCs/>
          <w:sz w:val="22"/>
          <w:szCs w:val="22"/>
          <w:lang w:val="sr-Latn-ME"/>
        </w:rPr>
        <w:t xml:space="preserve">, koja sadrži deset </w:t>
      </w:r>
      <w:r w:rsidRPr="00616B65">
        <w:rPr>
          <w:bCs/>
          <w:sz w:val="22"/>
          <w:szCs w:val="22"/>
          <w:lang w:val="sr-Latn-ME"/>
        </w:rPr>
        <w:t>bijel</w:t>
      </w:r>
      <w:r w:rsidR="00A12353" w:rsidRPr="00616B65">
        <w:rPr>
          <w:bCs/>
          <w:sz w:val="22"/>
          <w:szCs w:val="22"/>
          <w:lang w:val="sr-Latn-ME"/>
        </w:rPr>
        <w:t>ih</w:t>
      </w:r>
      <w:r w:rsidRPr="00616B65">
        <w:rPr>
          <w:bCs/>
          <w:sz w:val="22"/>
          <w:szCs w:val="22"/>
          <w:lang w:val="sr-Latn-ME"/>
        </w:rPr>
        <w:t xml:space="preserve"> do skoro bijel</w:t>
      </w:r>
      <w:r w:rsidR="00A12353" w:rsidRPr="00616B65">
        <w:rPr>
          <w:bCs/>
          <w:sz w:val="22"/>
          <w:szCs w:val="22"/>
          <w:lang w:val="sr-Latn-ME"/>
        </w:rPr>
        <w:t>ih</w:t>
      </w:r>
      <w:r w:rsidRPr="00616B65">
        <w:rPr>
          <w:bCs/>
          <w:sz w:val="22"/>
          <w:szCs w:val="22"/>
          <w:lang w:val="sr-Latn-ME"/>
        </w:rPr>
        <w:t xml:space="preserve"> </w:t>
      </w:r>
      <w:r w:rsidR="00A12353" w:rsidRPr="00616B65">
        <w:rPr>
          <w:bCs/>
          <w:sz w:val="22"/>
          <w:szCs w:val="22"/>
          <w:lang w:val="sr-Latn-ME"/>
        </w:rPr>
        <w:t xml:space="preserve">mini </w:t>
      </w:r>
      <w:r w:rsidRPr="00616B65">
        <w:rPr>
          <w:bCs/>
          <w:sz w:val="22"/>
          <w:szCs w:val="22"/>
          <w:lang w:val="sr-Latn-ME"/>
        </w:rPr>
        <w:t>tablet</w:t>
      </w:r>
      <w:r w:rsidR="00A12353" w:rsidRPr="00616B65">
        <w:rPr>
          <w:bCs/>
          <w:sz w:val="22"/>
          <w:szCs w:val="22"/>
          <w:lang w:val="sr-Latn-ME"/>
        </w:rPr>
        <w:t>a</w:t>
      </w:r>
      <w:r w:rsidRPr="00616B65">
        <w:rPr>
          <w:bCs/>
          <w:sz w:val="22"/>
          <w:szCs w:val="22"/>
          <w:lang w:val="sr-Latn-ME"/>
        </w:rPr>
        <w:t>.</w:t>
      </w:r>
    </w:p>
    <w:p w14:paraId="03F23AD1" w14:textId="77777777" w:rsidR="008D6F3D" w:rsidRPr="00616B65" w:rsidRDefault="008D6F3D">
      <w:pPr>
        <w:jc w:val="both"/>
        <w:rPr>
          <w:bCs/>
          <w:sz w:val="22"/>
          <w:szCs w:val="22"/>
          <w:lang w:val="sr-Latn-ME"/>
        </w:rPr>
      </w:pPr>
    </w:p>
    <w:p w14:paraId="7EC72004" w14:textId="77777777" w:rsidR="008D6F3D" w:rsidRPr="00616B65" w:rsidRDefault="008D6F3D">
      <w:pPr>
        <w:jc w:val="both"/>
        <w:rPr>
          <w:bCs/>
          <w:sz w:val="22"/>
          <w:szCs w:val="22"/>
          <w:u w:val="single"/>
          <w:lang w:val="sr-Latn-ME"/>
        </w:rPr>
      </w:pPr>
      <w:r w:rsidRPr="00616B65">
        <w:rPr>
          <w:bCs/>
          <w:sz w:val="22"/>
          <w:szCs w:val="22"/>
          <w:u w:val="single"/>
          <w:lang w:val="sr-Latn-ME"/>
        </w:rPr>
        <w:t>Dimetex, 240 mg, gastrorezistentna kapsula, tvrda</w:t>
      </w:r>
    </w:p>
    <w:p w14:paraId="1985378F" w14:textId="03CFDF15" w:rsidR="008D6F3D" w:rsidRPr="00616B65" w:rsidRDefault="008D6F3D">
      <w:pPr>
        <w:jc w:val="both"/>
        <w:rPr>
          <w:bCs/>
          <w:sz w:val="22"/>
          <w:szCs w:val="22"/>
          <w:lang w:val="sr-Latn-ME"/>
        </w:rPr>
      </w:pPr>
      <w:r w:rsidRPr="00616B65">
        <w:rPr>
          <w:bCs/>
          <w:sz w:val="22"/>
          <w:szCs w:val="22"/>
          <w:lang w:val="sr-Latn-ME"/>
        </w:rPr>
        <w:t>Tvrd</w:t>
      </w:r>
      <w:r w:rsidR="00A12353" w:rsidRPr="00616B65">
        <w:rPr>
          <w:bCs/>
          <w:sz w:val="22"/>
          <w:szCs w:val="22"/>
          <w:lang w:val="sr-Latn-ME"/>
        </w:rPr>
        <w:t>a</w:t>
      </w:r>
      <w:r w:rsidRPr="00616B65">
        <w:rPr>
          <w:bCs/>
          <w:sz w:val="22"/>
          <w:szCs w:val="22"/>
          <w:lang w:val="sr-Latn-ME"/>
        </w:rPr>
        <w:t xml:space="preserve"> želatinsk</w:t>
      </w:r>
      <w:r w:rsidR="00A12353" w:rsidRPr="00616B65">
        <w:rPr>
          <w:bCs/>
          <w:sz w:val="22"/>
          <w:szCs w:val="22"/>
          <w:lang w:val="sr-Latn-ME"/>
        </w:rPr>
        <w:t>a</w:t>
      </w:r>
      <w:r w:rsidRPr="00616B65">
        <w:rPr>
          <w:bCs/>
          <w:sz w:val="22"/>
          <w:szCs w:val="22"/>
          <w:lang w:val="sr-Latn-ME"/>
        </w:rPr>
        <w:t xml:space="preserve"> kapsul</w:t>
      </w:r>
      <w:r w:rsidR="00A12353" w:rsidRPr="00616B65">
        <w:rPr>
          <w:bCs/>
          <w:sz w:val="22"/>
          <w:szCs w:val="22"/>
          <w:lang w:val="sr-Latn-ME"/>
        </w:rPr>
        <w:t>a sa zelenom neprozirnom kapicom i tijelom</w:t>
      </w:r>
      <w:r w:rsidRPr="00616B65">
        <w:rPr>
          <w:bCs/>
          <w:sz w:val="22"/>
          <w:szCs w:val="22"/>
          <w:lang w:val="sr-Latn-ME"/>
        </w:rPr>
        <w:t>,</w:t>
      </w:r>
      <w:r w:rsidR="00A12353" w:rsidRPr="00616B65">
        <w:rPr>
          <w:bCs/>
          <w:sz w:val="22"/>
          <w:szCs w:val="22"/>
          <w:lang w:val="sr-Latn-ME"/>
        </w:rPr>
        <w:t xml:space="preserve"> dužine</w:t>
      </w:r>
      <w:r w:rsidRPr="00616B65">
        <w:rPr>
          <w:bCs/>
          <w:sz w:val="22"/>
          <w:szCs w:val="22"/>
          <w:lang w:val="sr-Latn-ME"/>
        </w:rPr>
        <w:t xml:space="preserve"> 2</w:t>
      </w:r>
      <w:r w:rsidR="00A12353" w:rsidRPr="00616B65">
        <w:rPr>
          <w:bCs/>
          <w:sz w:val="22"/>
          <w:szCs w:val="22"/>
          <w:lang w:val="sr-Latn-ME"/>
        </w:rPr>
        <w:t>3</w:t>
      </w:r>
      <w:r w:rsidRPr="00616B65">
        <w:rPr>
          <w:bCs/>
          <w:sz w:val="22"/>
          <w:szCs w:val="22"/>
          <w:lang w:val="sr-Latn-ME"/>
        </w:rPr>
        <w:t>,</w:t>
      </w:r>
      <w:r w:rsidR="00A12353" w:rsidRPr="00616B65">
        <w:rPr>
          <w:bCs/>
          <w:sz w:val="22"/>
          <w:szCs w:val="22"/>
          <w:lang w:val="sr-Latn-ME"/>
        </w:rPr>
        <w:t>2</w:t>
      </w:r>
      <w:r w:rsidRPr="00616B65">
        <w:rPr>
          <w:bCs/>
          <w:sz w:val="22"/>
          <w:szCs w:val="22"/>
          <w:lang w:val="sr-Latn-ME"/>
        </w:rPr>
        <w:t xml:space="preserve"> mm, s</w:t>
      </w:r>
      <w:r w:rsidR="00A12353" w:rsidRPr="00616B65">
        <w:rPr>
          <w:bCs/>
          <w:sz w:val="22"/>
          <w:szCs w:val="22"/>
          <w:lang w:val="sr-Latn-ME"/>
        </w:rPr>
        <w:t xml:space="preserve"> utisnutom oznakom „DMF 240” </w:t>
      </w:r>
      <w:r w:rsidRPr="00616B65">
        <w:rPr>
          <w:bCs/>
          <w:sz w:val="22"/>
          <w:szCs w:val="22"/>
          <w:lang w:val="sr-Latn-ME"/>
        </w:rPr>
        <w:t>crnim mastilom na tijelu kapsule</w:t>
      </w:r>
      <w:r w:rsidR="00A12353" w:rsidRPr="00616B65">
        <w:rPr>
          <w:bCs/>
          <w:sz w:val="22"/>
          <w:szCs w:val="22"/>
          <w:lang w:val="sr-Latn-ME"/>
        </w:rPr>
        <w:t xml:space="preserve">, koja sadrži dvadeset </w:t>
      </w:r>
      <w:r w:rsidRPr="00616B65">
        <w:rPr>
          <w:bCs/>
          <w:sz w:val="22"/>
          <w:szCs w:val="22"/>
          <w:lang w:val="sr-Latn-ME"/>
        </w:rPr>
        <w:t>bijel</w:t>
      </w:r>
      <w:r w:rsidR="00A12353" w:rsidRPr="00616B65">
        <w:rPr>
          <w:bCs/>
          <w:sz w:val="22"/>
          <w:szCs w:val="22"/>
          <w:lang w:val="sr-Latn-ME"/>
        </w:rPr>
        <w:t>ih</w:t>
      </w:r>
      <w:r w:rsidRPr="00616B65">
        <w:rPr>
          <w:bCs/>
          <w:sz w:val="22"/>
          <w:szCs w:val="22"/>
          <w:lang w:val="sr-Latn-ME"/>
        </w:rPr>
        <w:t xml:space="preserve"> do skoro bijel</w:t>
      </w:r>
      <w:r w:rsidR="00A12353" w:rsidRPr="00616B65">
        <w:rPr>
          <w:bCs/>
          <w:sz w:val="22"/>
          <w:szCs w:val="22"/>
          <w:lang w:val="sr-Latn-ME"/>
        </w:rPr>
        <w:t>ih</w:t>
      </w:r>
      <w:r w:rsidRPr="00616B65">
        <w:rPr>
          <w:bCs/>
          <w:sz w:val="22"/>
          <w:szCs w:val="22"/>
          <w:lang w:val="sr-Latn-ME"/>
        </w:rPr>
        <w:t xml:space="preserve"> </w:t>
      </w:r>
      <w:r w:rsidR="00A12353" w:rsidRPr="00616B65">
        <w:rPr>
          <w:bCs/>
          <w:sz w:val="22"/>
          <w:szCs w:val="22"/>
          <w:lang w:val="sr-Latn-ME"/>
        </w:rPr>
        <w:t xml:space="preserve">mini </w:t>
      </w:r>
      <w:r w:rsidRPr="00616B65">
        <w:rPr>
          <w:bCs/>
          <w:sz w:val="22"/>
          <w:szCs w:val="22"/>
          <w:lang w:val="sr-Latn-ME"/>
        </w:rPr>
        <w:t>tablet</w:t>
      </w:r>
      <w:r w:rsidR="00A12353" w:rsidRPr="00616B65">
        <w:rPr>
          <w:bCs/>
          <w:sz w:val="22"/>
          <w:szCs w:val="22"/>
          <w:lang w:val="sr-Latn-ME"/>
        </w:rPr>
        <w:t>a</w:t>
      </w:r>
      <w:r w:rsidRPr="00616B65">
        <w:rPr>
          <w:bCs/>
          <w:sz w:val="22"/>
          <w:szCs w:val="22"/>
          <w:lang w:val="sr-Latn-ME"/>
        </w:rPr>
        <w:t>.</w:t>
      </w:r>
    </w:p>
    <w:p w14:paraId="4CE90673" w14:textId="77777777" w:rsidR="00C31FAA" w:rsidRPr="00616B65" w:rsidRDefault="00C31FAA">
      <w:pPr>
        <w:jc w:val="both"/>
        <w:rPr>
          <w:bCs/>
          <w:sz w:val="22"/>
          <w:szCs w:val="22"/>
          <w:lang w:val="sr-Latn-ME"/>
        </w:rPr>
      </w:pPr>
    </w:p>
    <w:p w14:paraId="5BA39120" w14:textId="77777777" w:rsidR="00EC2532" w:rsidRPr="00616B65" w:rsidRDefault="00EC2532" w:rsidP="005A340E">
      <w:pPr>
        <w:jc w:val="both"/>
        <w:rPr>
          <w:bCs/>
          <w:sz w:val="22"/>
          <w:szCs w:val="22"/>
          <w:lang w:val="sr-Latn-ME"/>
        </w:rPr>
      </w:pPr>
    </w:p>
    <w:p w14:paraId="2D0358C2" w14:textId="77777777" w:rsidR="00411B4B" w:rsidRPr="00616B65" w:rsidRDefault="00411B4B" w:rsidP="005A340E">
      <w:pPr>
        <w:tabs>
          <w:tab w:val="left" w:pos="540"/>
          <w:tab w:val="left" w:pos="569"/>
        </w:tabs>
        <w:jc w:val="both"/>
        <w:rPr>
          <w:b/>
          <w:bCs/>
          <w:sz w:val="22"/>
          <w:szCs w:val="22"/>
          <w:lang w:val="sr-Latn-ME"/>
        </w:rPr>
      </w:pPr>
      <w:r w:rsidRPr="00616B65">
        <w:rPr>
          <w:b/>
          <w:bCs/>
          <w:sz w:val="22"/>
          <w:szCs w:val="22"/>
          <w:lang w:val="sr-Latn-ME"/>
        </w:rPr>
        <w:t xml:space="preserve">4. </w:t>
      </w:r>
      <w:r w:rsidR="00480FB1" w:rsidRPr="00616B65">
        <w:rPr>
          <w:b/>
          <w:bCs/>
          <w:sz w:val="22"/>
          <w:szCs w:val="22"/>
          <w:lang w:val="sr-Latn-ME"/>
        </w:rPr>
        <w:tab/>
      </w:r>
      <w:r w:rsidRPr="00616B65">
        <w:rPr>
          <w:b/>
          <w:bCs/>
          <w:sz w:val="22"/>
          <w:szCs w:val="22"/>
          <w:lang w:val="sr-Latn-ME"/>
        </w:rPr>
        <w:t>KLINIČKI PODACI</w:t>
      </w:r>
    </w:p>
    <w:p w14:paraId="7470E609" w14:textId="77777777" w:rsidR="00CD6F02" w:rsidRPr="00616B65" w:rsidRDefault="00CD6F02" w:rsidP="005A340E">
      <w:pPr>
        <w:tabs>
          <w:tab w:val="left" w:pos="540"/>
          <w:tab w:val="left" w:pos="569"/>
        </w:tabs>
        <w:jc w:val="both"/>
        <w:rPr>
          <w:bCs/>
          <w:sz w:val="22"/>
          <w:szCs w:val="22"/>
          <w:lang w:val="sr-Latn-ME"/>
        </w:rPr>
      </w:pPr>
    </w:p>
    <w:p w14:paraId="2A35E620" w14:textId="77777777" w:rsidR="00411B4B" w:rsidRPr="00616B65" w:rsidRDefault="00411B4B" w:rsidP="005A340E">
      <w:pPr>
        <w:tabs>
          <w:tab w:val="left" w:pos="540"/>
          <w:tab w:val="left" w:pos="569"/>
        </w:tabs>
        <w:jc w:val="both"/>
        <w:rPr>
          <w:b/>
          <w:bCs/>
          <w:sz w:val="22"/>
          <w:szCs w:val="22"/>
          <w:lang w:val="sr-Latn-ME"/>
        </w:rPr>
      </w:pPr>
      <w:r w:rsidRPr="00616B65">
        <w:rPr>
          <w:b/>
          <w:bCs/>
          <w:sz w:val="22"/>
          <w:szCs w:val="22"/>
          <w:lang w:val="sr-Latn-ME"/>
        </w:rPr>
        <w:t xml:space="preserve">4.1. </w:t>
      </w:r>
      <w:r w:rsidR="00480FB1" w:rsidRPr="00616B65">
        <w:rPr>
          <w:b/>
          <w:bCs/>
          <w:sz w:val="22"/>
          <w:szCs w:val="22"/>
          <w:lang w:val="sr-Latn-ME"/>
        </w:rPr>
        <w:tab/>
      </w:r>
      <w:r w:rsidRPr="00616B65">
        <w:rPr>
          <w:b/>
          <w:bCs/>
          <w:sz w:val="22"/>
          <w:szCs w:val="22"/>
          <w:lang w:val="sr-Latn-ME"/>
        </w:rPr>
        <w:t>Terapijske indikacije</w:t>
      </w:r>
    </w:p>
    <w:p w14:paraId="70CA2107" w14:textId="77777777" w:rsidR="00411B4B" w:rsidRPr="00616B65" w:rsidRDefault="00411B4B" w:rsidP="005A340E">
      <w:pPr>
        <w:tabs>
          <w:tab w:val="left" w:pos="540"/>
          <w:tab w:val="left" w:pos="569"/>
        </w:tabs>
        <w:jc w:val="both"/>
        <w:rPr>
          <w:bCs/>
          <w:sz w:val="22"/>
          <w:szCs w:val="22"/>
          <w:lang w:val="sr-Latn-ME"/>
        </w:rPr>
      </w:pPr>
    </w:p>
    <w:p w14:paraId="4DBFC33E" w14:textId="1937DE05" w:rsidR="008D6F3D" w:rsidRPr="00616B65" w:rsidRDefault="008D6F3D" w:rsidP="00C31FAA">
      <w:pPr>
        <w:tabs>
          <w:tab w:val="left" w:pos="540"/>
          <w:tab w:val="left" w:pos="569"/>
        </w:tabs>
        <w:jc w:val="both"/>
        <w:rPr>
          <w:bCs/>
          <w:sz w:val="22"/>
          <w:szCs w:val="22"/>
          <w:lang w:val="sr-Latn-ME"/>
        </w:rPr>
      </w:pPr>
      <w:r w:rsidRPr="00616B65">
        <w:rPr>
          <w:bCs/>
          <w:sz w:val="22"/>
          <w:szCs w:val="22"/>
          <w:lang w:val="sr-Latn-ME"/>
        </w:rPr>
        <w:t>Lijek Dimetex je indikovan za liječenje odraslih i pedijatrijskih pacijenata uzrasta 13 i više godina sa relapsno-remitentnom multiplom sklerozom (RRMS).</w:t>
      </w:r>
    </w:p>
    <w:p w14:paraId="359BCD9C" w14:textId="77777777" w:rsidR="008D6F3D" w:rsidRPr="00616B65" w:rsidRDefault="008D6F3D" w:rsidP="005A340E">
      <w:pPr>
        <w:tabs>
          <w:tab w:val="left" w:pos="540"/>
          <w:tab w:val="left" w:pos="569"/>
        </w:tabs>
        <w:jc w:val="both"/>
        <w:rPr>
          <w:bCs/>
          <w:sz w:val="22"/>
          <w:szCs w:val="22"/>
          <w:lang w:val="sr-Latn-ME"/>
        </w:rPr>
      </w:pPr>
    </w:p>
    <w:p w14:paraId="15620DB8" w14:textId="77777777" w:rsidR="00411B4B" w:rsidRPr="00616B65" w:rsidRDefault="00411B4B" w:rsidP="005A340E">
      <w:pPr>
        <w:tabs>
          <w:tab w:val="left" w:pos="540"/>
          <w:tab w:val="left" w:pos="569"/>
        </w:tabs>
        <w:jc w:val="both"/>
        <w:rPr>
          <w:b/>
          <w:bCs/>
          <w:sz w:val="22"/>
          <w:szCs w:val="22"/>
          <w:lang w:val="sr-Latn-ME"/>
        </w:rPr>
      </w:pPr>
      <w:r w:rsidRPr="00616B65">
        <w:rPr>
          <w:b/>
          <w:bCs/>
          <w:sz w:val="22"/>
          <w:szCs w:val="22"/>
          <w:lang w:val="sr-Latn-ME"/>
        </w:rPr>
        <w:t xml:space="preserve">4.2. </w:t>
      </w:r>
      <w:r w:rsidR="00480FB1" w:rsidRPr="00616B65">
        <w:rPr>
          <w:b/>
          <w:bCs/>
          <w:sz w:val="22"/>
          <w:szCs w:val="22"/>
          <w:lang w:val="sr-Latn-ME"/>
        </w:rPr>
        <w:tab/>
      </w:r>
      <w:r w:rsidRPr="00616B65">
        <w:rPr>
          <w:b/>
          <w:bCs/>
          <w:sz w:val="22"/>
          <w:szCs w:val="22"/>
          <w:lang w:val="sr-Latn-ME"/>
        </w:rPr>
        <w:t>Doziranje i način primjene</w:t>
      </w:r>
    </w:p>
    <w:p w14:paraId="6DB50F34" w14:textId="77777777" w:rsidR="0072020E" w:rsidRPr="00616B65" w:rsidRDefault="0072020E" w:rsidP="005A340E">
      <w:pPr>
        <w:tabs>
          <w:tab w:val="left" w:pos="540"/>
          <w:tab w:val="left" w:pos="569"/>
        </w:tabs>
        <w:jc w:val="both"/>
        <w:rPr>
          <w:bCs/>
          <w:sz w:val="22"/>
          <w:szCs w:val="22"/>
          <w:lang w:val="sr-Latn-ME"/>
        </w:rPr>
      </w:pPr>
    </w:p>
    <w:p w14:paraId="6B86B19F" w14:textId="58ADEAF0" w:rsidR="008D6F3D" w:rsidRPr="00616B65" w:rsidRDefault="008D6F3D" w:rsidP="005A340E">
      <w:pPr>
        <w:tabs>
          <w:tab w:val="left" w:pos="540"/>
          <w:tab w:val="left" w:pos="569"/>
        </w:tabs>
        <w:jc w:val="both"/>
        <w:rPr>
          <w:bCs/>
          <w:sz w:val="22"/>
          <w:szCs w:val="22"/>
          <w:lang w:val="sr-Latn-ME"/>
        </w:rPr>
      </w:pPr>
      <w:r w:rsidRPr="00616B65">
        <w:rPr>
          <w:bCs/>
          <w:sz w:val="22"/>
          <w:szCs w:val="22"/>
          <w:lang w:val="sr-Latn-ME"/>
        </w:rPr>
        <w:t xml:space="preserve">Terapiju treba započeti pod nadzorom ljekara sa iskustvom u </w:t>
      </w:r>
      <w:r w:rsidR="00C31FAA" w:rsidRPr="00616B65">
        <w:rPr>
          <w:bCs/>
          <w:sz w:val="22"/>
          <w:szCs w:val="22"/>
          <w:lang w:val="sr-Latn-ME"/>
        </w:rPr>
        <w:t>l</w:t>
      </w:r>
      <w:r w:rsidRPr="00616B65">
        <w:rPr>
          <w:bCs/>
          <w:sz w:val="22"/>
          <w:szCs w:val="22"/>
          <w:lang w:val="sr-Latn-ME"/>
        </w:rPr>
        <w:t>iječenju multiple skleroze.</w:t>
      </w:r>
    </w:p>
    <w:p w14:paraId="006E4717" w14:textId="77777777" w:rsidR="008D6F3D" w:rsidRPr="00616B65" w:rsidRDefault="008D6F3D" w:rsidP="005A340E">
      <w:pPr>
        <w:tabs>
          <w:tab w:val="left" w:pos="540"/>
          <w:tab w:val="left" w:pos="569"/>
        </w:tabs>
        <w:jc w:val="both"/>
        <w:rPr>
          <w:bCs/>
          <w:sz w:val="22"/>
          <w:szCs w:val="22"/>
          <w:lang w:val="sr-Latn-ME"/>
        </w:rPr>
      </w:pPr>
    </w:p>
    <w:p w14:paraId="5615230B" w14:textId="77777777" w:rsidR="00452E9D" w:rsidRPr="00616B65" w:rsidRDefault="00452E9D" w:rsidP="005A340E">
      <w:pPr>
        <w:tabs>
          <w:tab w:val="left" w:pos="540"/>
          <w:tab w:val="left" w:pos="569"/>
        </w:tabs>
        <w:jc w:val="both"/>
        <w:rPr>
          <w:bCs/>
          <w:sz w:val="22"/>
          <w:szCs w:val="22"/>
          <w:u w:val="single"/>
          <w:lang w:val="sr-Latn-ME"/>
        </w:rPr>
      </w:pPr>
      <w:r w:rsidRPr="00616B65">
        <w:rPr>
          <w:bCs/>
          <w:sz w:val="22"/>
          <w:szCs w:val="22"/>
          <w:u w:val="single"/>
          <w:lang w:val="sr-Latn-ME"/>
        </w:rPr>
        <w:t>Doziranje</w:t>
      </w:r>
    </w:p>
    <w:p w14:paraId="03EE3F3B" w14:textId="77777777" w:rsidR="00452E9D" w:rsidRPr="00616B65" w:rsidRDefault="00452E9D" w:rsidP="005A340E">
      <w:pPr>
        <w:tabs>
          <w:tab w:val="left" w:pos="540"/>
          <w:tab w:val="left" w:pos="569"/>
        </w:tabs>
        <w:jc w:val="both"/>
        <w:rPr>
          <w:bCs/>
          <w:sz w:val="22"/>
          <w:szCs w:val="22"/>
          <w:u w:val="single"/>
          <w:lang w:val="sr-Latn-ME"/>
        </w:rPr>
      </w:pPr>
    </w:p>
    <w:p w14:paraId="2AB13677" w14:textId="231AEFE0" w:rsidR="008D6F3D" w:rsidRPr="00616B65" w:rsidRDefault="008D6F3D" w:rsidP="00C31FAA">
      <w:pPr>
        <w:tabs>
          <w:tab w:val="left" w:pos="540"/>
          <w:tab w:val="left" w:pos="569"/>
        </w:tabs>
        <w:jc w:val="both"/>
        <w:rPr>
          <w:bCs/>
          <w:sz w:val="22"/>
          <w:szCs w:val="22"/>
          <w:lang w:val="sr-Latn-ME"/>
        </w:rPr>
      </w:pPr>
      <w:r w:rsidRPr="00616B65">
        <w:rPr>
          <w:bCs/>
          <w:sz w:val="22"/>
          <w:szCs w:val="22"/>
          <w:lang w:val="sr-Latn-ME"/>
        </w:rPr>
        <w:t>Početna doza je 120 mg dva puta dnevno. Nakon 7 dana, dozu treba povećati na preporučenu dozu održavanja od 240 mg dva puta dnevno (</w:t>
      </w:r>
      <w:r w:rsidR="00C31FAA" w:rsidRPr="00616B65">
        <w:rPr>
          <w:bCs/>
          <w:sz w:val="22"/>
          <w:szCs w:val="22"/>
          <w:lang w:val="sr-Latn-ME"/>
        </w:rPr>
        <w:t xml:space="preserve">vidjeti </w:t>
      </w:r>
      <w:r w:rsidRPr="00616B65">
        <w:rPr>
          <w:bCs/>
          <w:sz w:val="22"/>
          <w:szCs w:val="22"/>
          <w:lang w:val="sr-Latn-ME"/>
        </w:rPr>
        <w:t>dio 4.4).</w:t>
      </w:r>
    </w:p>
    <w:p w14:paraId="6B834FC4" w14:textId="77777777" w:rsidR="008D6F3D" w:rsidRPr="00616B65" w:rsidRDefault="008D6F3D" w:rsidP="0023493E">
      <w:pPr>
        <w:tabs>
          <w:tab w:val="left" w:pos="540"/>
          <w:tab w:val="left" w:pos="569"/>
        </w:tabs>
        <w:jc w:val="both"/>
        <w:rPr>
          <w:bCs/>
          <w:sz w:val="22"/>
          <w:szCs w:val="22"/>
          <w:lang w:val="sr-Latn-ME"/>
        </w:rPr>
      </w:pPr>
    </w:p>
    <w:p w14:paraId="2797F88F" w14:textId="2FDB6109" w:rsidR="008D6F3D" w:rsidRPr="00616B65" w:rsidRDefault="008D6F3D" w:rsidP="0023493E">
      <w:pPr>
        <w:tabs>
          <w:tab w:val="left" w:pos="540"/>
          <w:tab w:val="left" w:pos="569"/>
        </w:tabs>
        <w:jc w:val="both"/>
        <w:rPr>
          <w:bCs/>
          <w:sz w:val="22"/>
          <w:szCs w:val="22"/>
          <w:lang w:val="sr-Latn-ME"/>
        </w:rPr>
      </w:pPr>
      <w:r w:rsidRPr="00616B65">
        <w:rPr>
          <w:bCs/>
          <w:sz w:val="22"/>
          <w:szCs w:val="22"/>
          <w:lang w:val="sr-Latn-ME"/>
        </w:rPr>
        <w:t>Pacijent ne treba da uzima duplu dozu kako bi nadoknadio propuštenu dozu. Pacijent smije uzeti propuštenu dozu samo ako je između doza proteklo 4 sata. U suprotnom, potrebno je sačekati sl</w:t>
      </w:r>
      <w:r w:rsidR="00C31FAA" w:rsidRPr="00616B65">
        <w:rPr>
          <w:bCs/>
          <w:sz w:val="22"/>
          <w:szCs w:val="22"/>
          <w:lang w:val="sr-Latn-ME"/>
        </w:rPr>
        <w:t>j</w:t>
      </w:r>
      <w:r w:rsidRPr="00616B65">
        <w:rPr>
          <w:bCs/>
          <w:sz w:val="22"/>
          <w:szCs w:val="22"/>
          <w:lang w:val="sr-Latn-ME"/>
        </w:rPr>
        <w:t>edeće doziranje.</w:t>
      </w:r>
    </w:p>
    <w:p w14:paraId="0C273E39" w14:textId="77777777" w:rsidR="008D6F3D" w:rsidRPr="00616B65" w:rsidRDefault="008D6F3D" w:rsidP="008D6F3D">
      <w:pPr>
        <w:tabs>
          <w:tab w:val="left" w:pos="540"/>
          <w:tab w:val="left" w:pos="569"/>
        </w:tabs>
        <w:jc w:val="both"/>
        <w:rPr>
          <w:bCs/>
          <w:sz w:val="22"/>
          <w:szCs w:val="22"/>
          <w:lang w:val="sr-Latn-ME"/>
        </w:rPr>
      </w:pPr>
      <w:r w:rsidRPr="00616B65">
        <w:rPr>
          <w:bCs/>
          <w:sz w:val="22"/>
          <w:szCs w:val="22"/>
          <w:lang w:val="sr-Latn-ME"/>
        </w:rPr>
        <w:lastRenderedPageBreak/>
        <w:t xml:space="preserve"> </w:t>
      </w:r>
    </w:p>
    <w:p w14:paraId="588AD3FE" w14:textId="5B71336C" w:rsidR="008D6F3D" w:rsidRPr="00616B65" w:rsidRDefault="008D6F3D" w:rsidP="00C31FAA">
      <w:pPr>
        <w:tabs>
          <w:tab w:val="left" w:pos="540"/>
          <w:tab w:val="left" w:pos="569"/>
        </w:tabs>
        <w:jc w:val="both"/>
        <w:rPr>
          <w:bCs/>
          <w:sz w:val="22"/>
          <w:szCs w:val="22"/>
          <w:lang w:val="sr-Latn-ME"/>
        </w:rPr>
      </w:pPr>
      <w:r w:rsidRPr="00616B65">
        <w:rPr>
          <w:bCs/>
          <w:sz w:val="22"/>
          <w:szCs w:val="22"/>
          <w:lang w:val="sr-Latn-ME"/>
        </w:rPr>
        <w:t xml:space="preserve">Privremeno smanjenje doze na 120 mg dva puta dnevno može smanjiti pojavu naleta crvenila praćenih </w:t>
      </w:r>
      <w:r w:rsidR="00B75503" w:rsidRPr="00616B65">
        <w:rPr>
          <w:bCs/>
          <w:sz w:val="22"/>
          <w:szCs w:val="22"/>
          <w:lang w:val="sr-Latn-ME"/>
        </w:rPr>
        <w:t>osjećaj</w:t>
      </w:r>
      <w:r w:rsidRPr="00616B65">
        <w:rPr>
          <w:bCs/>
          <w:sz w:val="22"/>
          <w:szCs w:val="22"/>
          <w:lang w:val="sr-Latn-ME"/>
        </w:rPr>
        <w:t>em vrućine i gastrointestinalnih neželjenih reakcija. U okviru mjesec dana mora se nastavi</w:t>
      </w:r>
      <w:r w:rsidR="00C31FAA" w:rsidRPr="00616B65">
        <w:rPr>
          <w:bCs/>
          <w:sz w:val="22"/>
          <w:szCs w:val="22"/>
          <w:lang w:val="sr-Latn-ME"/>
        </w:rPr>
        <w:t>ti</w:t>
      </w:r>
      <w:r w:rsidRPr="00616B65">
        <w:rPr>
          <w:bCs/>
          <w:sz w:val="22"/>
          <w:szCs w:val="22"/>
          <w:lang w:val="sr-Latn-ME"/>
        </w:rPr>
        <w:t xml:space="preserve"> sa preporučenom dozom održavanja od 240 mg dva puta dnevno.</w:t>
      </w:r>
    </w:p>
    <w:p w14:paraId="60F39575" w14:textId="77777777" w:rsidR="008D6F3D" w:rsidRPr="00616B65" w:rsidRDefault="008D6F3D" w:rsidP="0023493E">
      <w:pPr>
        <w:tabs>
          <w:tab w:val="left" w:pos="540"/>
          <w:tab w:val="left" w:pos="569"/>
        </w:tabs>
        <w:jc w:val="both"/>
        <w:rPr>
          <w:bCs/>
          <w:sz w:val="22"/>
          <w:szCs w:val="22"/>
          <w:lang w:val="sr-Latn-ME"/>
        </w:rPr>
      </w:pPr>
    </w:p>
    <w:p w14:paraId="7BB98FB4" w14:textId="331A70CE" w:rsidR="008D6F3D" w:rsidRPr="00616B65" w:rsidRDefault="008D6F3D" w:rsidP="0023493E">
      <w:pPr>
        <w:tabs>
          <w:tab w:val="left" w:pos="540"/>
          <w:tab w:val="left" w:pos="569"/>
        </w:tabs>
        <w:jc w:val="both"/>
        <w:rPr>
          <w:bCs/>
          <w:sz w:val="22"/>
          <w:szCs w:val="22"/>
          <w:lang w:val="sr-Latn-ME"/>
        </w:rPr>
      </w:pPr>
      <w:r w:rsidRPr="00616B65">
        <w:rPr>
          <w:bCs/>
          <w:sz w:val="22"/>
          <w:szCs w:val="22"/>
          <w:lang w:val="sr-Latn-ME"/>
        </w:rPr>
        <w:t>Lijek Dimetex treba uzimati sa hranom (</w:t>
      </w:r>
      <w:r w:rsidR="00C31FAA" w:rsidRPr="00616B65">
        <w:rPr>
          <w:bCs/>
          <w:sz w:val="22"/>
          <w:szCs w:val="22"/>
          <w:lang w:val="sr-Latn-ME"/>
        </w:rPr>
        <w:t xml:space="preserve">vidjeti </w:t>
      </w:r>
      <w:r w:rsidRPr="00616B65">
        <w:rPr>
          <w:bCs/>
          <w:sz w:val="22"/>
          <w:szCs w:val="22"/>
          <w:lang w:val="sr-Latn-ME"/>
        </w:rPr>
        <w:t xml:space="preserve">dio 5.2). Uzimanje lijeka Dimetex sa hranom može poboljšati podnošljivost kod pacijenata koji imaju nalete crvenila praćene </w:t>
      </w:r>
      <w:r w:rsidR="00B75503" w:rsidRPr="00616B65">
        <w:rPr>
          <w:bCs/>
          <w:sz w:val="22"/>
          <w:szCs w:val="22"/>
          <w:lang w:val="sr-Latn-ME"/>
        </w:rPr>
        <w:t>osjećaj</w:t>
      </w:r>
      <w:r w:rsidRPr="00616B65">
        <w:rPr>
          <w:bCs/>
          <w:sz w:val="22"/>
          <w:szCs w:val="22"/>
          <w:lang w:val="sr-Latn-ME"/>
        </w:rPr>
        <w:t>em vrućine ili gastrointestinalne neželjene reakcije (</w:t>
      </w:r>
      <w:r w:rsidR="00C31FAA" w:rsidRPr="00616B65">
        <w:rPr>
          <w:bCs/>
          <w:sz w:val="22"/>
          <w:szCs w:val="22"/>
          <w:lang w:val="sr-Latn-ME"/>
        </w:rPr>
        <w:t xml:space="preserve">vidjeti </w:t>
      </w:r>
      <w:r w:rsidRPr="00616B65">
        <w:rPr>
          <w:bCs/>
          <w:sz w:val="22"/>
          <w:szCs w:val="22"/>
          <w:lang w:val="sr-Latn-ME"/>
        </w:rPr>
        <w:t>djelove 4.4, 4.5 i 4.8).</w:t>
      </w:r>
    </w:p>
    <w:p w14:paraId="18CAE34E" w14:textId="77777777" w:rsidR="008D6F3D" w:rsidRPr="00616B65" w:rsidRDefault="008D6F3D">
      <w:pPr>
        <w:tabs>
          <w:tab w:val="left" w:pos="540"/>
          <w:tab w:val="left" w:pos="569"/>
        </w:tabs>
        <w:jc w:val="both"/>
        <w:rPr>
          <w:bCs/>
          <w:i/>
          <w:iCs/>
          <w:sz w:val="22"/>
          <w:szCs w:val="22"/>
          <w:lang w:val="sr-Latn-ME"/>
        </w:rPr>
      </w:pPr>
    </w:p>
    <w:p w14:paraId="69804238" w14:textId="77777777" w:rsidR="008D6F3D" w:rsidRPr="00616B65" w:rsidRDefault="008D6F3D">
      <w:pPr>
        <w:tabs>
          <w:tab w:val="left" w:pos="540"/>
          <w:tab w:val="left" w:pos="569"/>
        </w:tabs>
        <w:jc w:val="both"/>
        <w:rPr>
          <w:bCs/>
          <w:i/>
          <w:iCs/>
          <w:sz w:val="22"/>
          <w:szCs w:val="22"/>
          <w:lang w:val="sr-Latn-ME"/>
        </w:rPr>
      </w:pPr>
      <w:r w:rsidRPr="00616B65">
        <w:rPr>
          <w:bCs/>
          <w:i/>
          <w:iCs/>
          <w:sz w:val="22"/>
          <w:szCs w:val="22"/>
          <w:lang w:val="sr-Latn-ME"/>
        </w:rPr>
        <w:t>Posebne populacije</w:t>
      </w:r>
    </w:p>
    <w:p w14:paraId="600816BE" w14:textId="77777777" w:rsidR="008D6F3D" w:rsidRPr="00616B65" w:rsidRDefault="008D6F3D">
      <w:pPr>
        <w:tabs>
          <w:tab w:val="left" w:pos="540"/>
          <w:tab w:val="left" w:pos="569"/>
        </w:tabs>
        <w:jc w:val="both"/>
        <w:rPr>
          <w:bCs/>
          <w:i/>
          <w:iCs/>
          <w:sz w:val="22"/>
          <w:szCs w:val="22"/>
          <w:lang w:val="sr-Latn-ME"/>
        </w:rPr>
      </w:pPr>
    </w:p>
    <w:p w14:paraId="3A7EE501" w14:textId="315D5390" w:rsidR="008D6F3D" w:rsidRPr="00616B65" w:rsidRDefault="008D6F3D">
      <w:pPr>
        <w:tabs>
          <w:tab w:val="left" w:pos="540"/>
          <w:tab w:val="left" w:pos="569"/>
        </w:tabs>
        <w:jc w:val="both"/>
        <w:rPr>
          <w:bCs/>
          <w:sz w:val="22"/>
          <w:szCs w:val="22"/>
          <w:lang w:val="sr-Latn-ME"/>
        </w:rPr>
      </w:pPr>
      <w:r w:rsidRPr="00616B65">
        <w:rPr>
          <w:bCs/>
          <w:i/>
          <w:iCs/>
          <w:sz w:val="22"/>
          <w:szCs w:val="22"/>
          <w:lang w:val="sr-Latn-ME"/>
        </w:rPr>
        <w:t>Stariji pacijenti</w:t>
      </w:r>
    </w:p>
    <w:p w14:paraId="31241DA6" w14:textId="18664D7B" w:rsidR="008D6F3D" w:rsidRPr="00616B65" w:rsidRDefault="008D6F3D">
      <w:pPr>
        <w:tabs>
          <w:tab w:val="left" w:pos="540"/>
          <w:tab w:val="left" w:pos="569"/>
        </w:tabs>
        <w:jc w:val="both"/>
        <w:rPr>
          <w:bCs/>
          <w:sz w:val="22"/>
          <w:szCs w:val="22"/>
          <w:lang w:val="sr-Latn-ME"/>
        </w:rPr>
      </w:pPr>
      <w:r w:rsidRPr="00616B65">
        <w:rPr>
          <w:bCs/>
          <w:sz w:val="22"/>
          <w:szCs w:val="22"/>
          <w:lang w:val="sr-Latn-ME"/>
        </w:rPr>
        <w:t>U kliničkim ispitivanjima sa lijekom Dimetex bila je ograničena izloženost pacijenata uzrasta od 55 godina i starijih i nije bio uključen dovoljan broj pacijenata uzrasta od 65 godina i starijih kako bi bilo moguće utvrditi da li pacijenti ovog uzrasta reaguju drugačije od mlađih pacijenata (</w:t>
      </w:r>
      <w:r w:rsidR="00C31FAA"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5.2). Prema načinu djelovanja aktivne supstance nema teorijskih razloga za prilagođavanje doze kod starijih osoba.</w:t>
      </w:r>
    </w:p>
    <w:p w14:paraId="51922B51" w14:textId="77777777" w:rsidR="008D6F3D" w:rsidRPr="00616B65" w:rsidRDefault="008D6F3D">
      <w:pPr>
        <w:tabs>
          <w:tab w:val="left" w:pos="540"/>
          <w:tab w:val="left" w:pos="569"/>
        </w:tabs>
        <w:jc w:val="both"/>
        <w:rPr>
          <w:bCs/>
          <w:sz w:val="22"/>
          <w:szCs w:val="22"/>
          <w:lang w:val="sr-Latn-ME"/>
        </w:rPr>
      </w:pPr>
    </w:p>
    <w:p w14:paraId="33610CB2" w14:textId="387B0B57" w:rsidR="008D6F3D" w:rsidRPr="00616B65" w:rsidRDefault="008D6F3D">
      <w:pPr>
        <w:tabs>
          <w:tab w:val="left" w:pos="540"/>
          <w:tab w:val="left" w:pos="569"/>
        </w:tabs>
        <w:jc w:val="both"/>
        <w:rPr>
          <w:bCs/>
          <w:i/>
          <w:iCs/>
          <w:sz w:val="22"/>
          <w:szCs w:val="22"/>
          <w:lang w:val="sr-Latn-ME"/>
        </w:rPr>
      </w:pPr>
      <w:r w:rsidRPr="00616B65">
        <w:rPr>
          <w:bCs/>
          <w:i/>
          <w:iCs/>
          <w:sz w:val="22"/>
          <w:szCs w:val="22"/>
          <w:lang w:val="sr-Latn-ME"/>
        </w:rPr>
        <w:t>Oštećenje funkcije bubrega i jetre</w:t>
      </w:r>
    </w:p>
    <w:p w14:paraId="2D30D2EB" w14:textId="35BF4F65" w:rsidR="008D6F3D" w:rsidRPr="00616B65" w:rsidRDefault="008D6F3D">
      <w:pPr>
        <w:tabs>
          <w:tab w:val="left" w:pos="540"/>
          <w:tab w:val="left" w:pos="569"/>
        </w:tabs>
        <w:jc w:val="both"/>
        <w:rPr>
          <w:bCs/>
          <w:sz w:val="22"/>
          <w:szCs w:val="22"/>
          <w:lang w:val="sr-Latn-ME"/>
        </w:rPr>
      </w:pPr>
      <w:r w:rsidRPr="00616B65">
        <w:rPr>
          <w:bCs/>
          <w:sz w:val="22"/>
          <w:szCs w:val="22"/>
          <w:lang w:val="sr-Latn-ME"/>
        </w:rPr>
        <w:t>Lijek Dimetex nije ispitivan kod pacijenata sa oštećenjem funkcije bubrega ili jetre. Na osnovu kliničkih farmakoloških ispitivanja, nije potrebno prilagođavanje doze (</w:t>
      </w:r>
      <w:r w:rsidR="00C31FAA"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5.2). Oprez je potreban kod terapije pacijenata sa teškim oštećenjem funkcije bubrega ili teškim oštećenjem funkcije jetre (</w:t>
      </w:r>
      <w:r w:rsidR="00C31FAA"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4.4).</w:t>
      </w:r>
    </w:p>
    <w:p w14:paraId="45185B6F" w14:textId="77777777" w:rsidR="008D6F3D" w:rsidRPr="00616B65" w:rsidRDefault="008D6F3D">
      <w:pPr>
        <w:tabs>
          <w:tab w:val="left" w:pos="540"/>
          <w:tab w:val="left" w:pos="569"/>
        </w:tabs>
        <w:jc w:val="both"/>
        <w:rPr>
          <w:bCs/>
          <w:sz w:val="22"/>
          <w:szCs w:val="22"/>
          <w:lang w:val="sr-Latn-ME"/>
        </w:rPr>
      </w:pPr>
    </w:p>
    <w:p w14:paraId="776845F1" w14:textId="636EED62" w:rsidR="008D6F3D" w:rsidRPr="00616B65" w:rsidRDefault="008D6F3D">
      <w:pPr>
        <w:tabs>
          <w:tab w:val="left" w:pos="540"/>
          <w:tab w:val="left" w:pos="569"/>
        </w:tabs>
        <w:jc w:val="both"/>
        <w:rPr>
          <w:bCs/>
          <w:i/>
          <w:iCs/>
          <w:sz w:val="22"/>
          <w:szCs w:val="22"/>
          <w:lang w:val="sr-Latn-ME"/>
        </w:rPr>
      </w:pPr>
      <w:r w:rsidRPr="00616B65">
        <w:rPr>
          <w:bCs/>
          <w:i/>
          <w:iCs/>
          <w:sz w:val="22"/>
          <w:szCs w:val="22"/>
          <w:lang w:val="sr-Latn-ME"/>
        </w:rPr>
        <w:t>Pedijatrijska populacija</w:t>
      </w:r>
    </w:p>
    <w:p w14:paraId="76502443" w14:textId="4138165E" w:rsidR="008D6F3D" w:rsidRPr="00616B65" w:rsidRDefault="008D6F3D">
      <w:pPr>
        <w:tabs>
          <w:tab w:val="left" w:pos="540"/>
          <w:tab w:val="left" w:pos="569"/>
        </w:tabs>
        <w:jc w:val="both"/>
        <w:rPr>
          <w:bCs/>
          <w:sz w:val="22"/>
          <w:szCs w:val="22"/>
          <w:lang w:val="sr-Latn-ME"/>
        </w:rPr>
      </w:pPr>
      <w:r w:rsidRPr="00616B65">
        <w:rPr>
          <w:bCs/>
          <w:sz w:val="22"/>
          <w:szCs w:val="22"/>
          <w:lang w:val="sr-Latn-ME"/>
        </w:rPr>
        <w:t xml:space="preserve">Doziranje je isto kod odraslih i pedijatrijskih pacijenata od 13 godina i starijih. Trenutno dostupni podaci opisani su u </w:t>
      </w:r>
      <w:r w:rsidR="006A5377" w:rsidRPr="00616B65">
        <w:rPr>
          <w:bCs/>
          <w:sz w:val="22"/>
          <w:szCs w:val="22"/>
          <w:lang w:val="sr-Latn-ME"/>
        </w:rPr>
        <w:t>djelovima</w:t>
      </w:r>
      <w:r w:rsidRPr="00616B65">
        <w:rPr>
          <w:bCs/>
          <w:sz w:val="22"/>
          <w:szCs w:val="22"/>
          <w:lang w:val="sr-Latn-ME"/>
        </w:rPr>
        <w:t xml:space="preserve"> 4.4, 4.8, 5.1 i 5.2. </w:t>
      </w:r>
    </w:p>
    <w:p w14:paraId="0E0CF286" w14:textId="30C60783" w:rsidR="008D6F3D" w:rsidRPr="00616B65" w:rsidRDefault="008D6F3D">
      <w:pPr>
        <w:tabs>
          <w:tab w:val="left" w:pos="540"/>
          <w:tab w:val="left" w:pos="569"/>
        </w:tabs>
        <w:jc w:val="both"/>
        <w:rPr>
          <w:bCs/>
          <w:sz w:val="22"/>
          <w:szCs w:val="22"/>
          <w:lang w:val="sr-Latn-ME"/>
        </w:rPr>
      </w:pPr>
      <w:r w:rsidRPr="00616B65">
        <w:rPr>
          <w:bCs/>
          <w:sz w:val="22"/>
          <w:szCs w:val="22"/>
          <w:lang w:val="sr-Latn-ME"/>
        </w:rPr>
        <w:t>Dostupni su ograničeni podaci o prim</w:t>
      </w:r>
      <w:r w:rsidR="006A5377" w:rsidRPr="00616B65">
        <w:rPr>
          <w:bCs/>
          <w:sz w:val="22"/>
          <w:szCs w:val="22"/>
          <w:lang w:val="sr-Latn-ME"/>
        </w:rPr>
        <w:t>j</w:t>
      </w:r>
      <w:r w:rsidRPr="00616B65">
        <w:rPr>
          <w:bCs/>
          <w:sz w:val="22"/>
          <w:szCs w:val="22"/>
          <w:lang w:val="sr-Latn-ME"/>
        </w:rPr>
        <w:t>eni l</w:t>
      </w:r>
      <w:r w:rsidR="006A5377" w:rsidRPr="00616B65">
        <w:rPr>
          <w:bCs/>
          <w:sz w:val="22"/>
          <w:szCs w:val="22"/>
          <w:lang w:val="sr-Latn-ME"/>
        </w:rPr>
        <w:t>ij</w:t>
      </w:r>
      <w:r w:rsidRPr="00616B65">
        <w:rPr>
          <w:bCs/>
          <w:sz w:val="22"/>
          <w:szCs w:val="22"/>
          <w:lang w:val="sr-Latn-ME"/>
        </w:rPr>
        <w:t>eka kod d</w:t>
      </w:r>
      <w:r w:rsidR="006A5377" w:rsidRPr="00616B65">
        <w:rPr>
          <w:bCs/>
          <w:sz w:val="22"/>
          <w:szCs w:val="22"/>
          <w:lang w:val="sr-Latn-ME"/>
        </w:rPr>
        <w:t>j</w:t>
      </w:r>
      <w:r w:rsidRPr="00616B65">
        <w:rPr>
          <w:bCs/>
          <w:sz w:val="22"/>
          <w:szCs w:val="22"/>
          <w:lang w:val="sr-Latn-ME"/>
        </w:rPr>
        <w:t>ece između 10 i 12 godina starosti. Bezb</w:t>
      </w:r>
      <w:r w:rsidR="006A5377" w:rsidRPr="00616B65">
        <w:rPr>
          <w:bCs/>
          <w:sz w:val="22"/>
          <w:szCs w:val="22"/>
          <w:lang w:val="sr-Latn-ME"/>
        </w:rPr>
        <w:t>j</w:t>
      </w:r>
      <w:r w:rsidRPr="00616B65">
        <w:rPr>
          <w:bCs/>
          <w:sz w:val="22"/>
          <w:szCs w:val="22"/>
          <w:lang w:val="sr-Latn-ME"/>
        </w:rPr>
        <w:t>ednost i efikasnost prim</w:t>
      </w:r>
      <w:r w:rsidR="006A5377" w:rsidRPr="00616B65">
        <w:rPr>
          <w:bCs/>
          <w:sz w:val="22"/>
          <w:szCs w:val="22"/>
          <w:lang w:val="sr-Latn-ME"/>
        </w:rPr>
        <w:t>j</w:t>
      </w:r>
      <w:r w:rsidRPr="00616B65">
        <w:rPr>
          <w:bCs/>
          <w:sz w:val="22"/>
          <w:szCs w:val="22"/>
          <w:lang w:val="sr-Latn-ME"/>
        </w:rPr>
        <w:t>ene l</w:t>
      </w:r>
      <w:r w:rsidR="006A5377" w:rsidRPr="00616B65">
        <w:rPr>
          <w:bCs/>
          <w:sz w:val="22"/>
          <w:szCs w:val="22"/>
          <w:lang w:val="sr-Latn-ME"/>
        </w:rPr>
        <w:t>ij</w:t>
      </w:r>
      <w:r w:rsidRPr="00616B65">
        <w:rPr>
          <w:bCs/>
          <w:sz w:val="22"/>
          <w:szCs w:val="22"/>
          <w:lang w:val="sr-Latn-ME"/>
        </w:rPr>
        <w:t>eka Dimetex kod d</w:t>
      </w:r>
      <w:r w:rsidR="006A5377" w:rsidRPr="00616B65">
        <w:rPr>
          <w:bCs/>
          <w:sz w:val="22"/>
          <w:szCs w:val="22"/>
          <w:lang w:val="sr-Latn-ME"/>
        </w:rPr>
        <w:t>j</w:t>
      </w:r>
      <w:r w:rsidRPr="00616B65">
        <w:rPr>
          <w:bCs/>
          <w:sz w:val="22"/>
          <w:szCs w:val="22"/>
          <w:lang w:val="sr-Latn-ME"/>
        </w:rPr>
        <w:t>ece mlađe od 10 godina ni</w:t>
      </w:r>
      <w:r w:rsidR="0023493E" w:rsidRPr="00616B65">
        <w:rPr>
          <w:bCs/>
          <w:sz w:val="22"/>
          <w:szCs w:val="22"/>
          <w:lang w:val="sr-Latn-ME"/>
        </w:rPr>
        <w:t>je</w:t>
      </w:r>
      <w:r w:rsidRPr="00616B65">
        <w:rPr>
          <w:bCs/>
          <w:sz w:val="22"/>
          <w:szCs w:val="22"/>
          <w:lang w:val="sr-Latn-ME"/>
        </w:rPr>
        <w:t>su još utvrđene.</w:t>
      </w:r>
    </w:p>
    <w:p w14:paraId="7B8D5706" w14:textId="77777777" w:rsidR="008D6F3D" w:rsidRPr="00616B65" w:rsidRDefault="008D6F3D" w:rsidP="005A340E">
      <w:pPr>
        <w:tabs>
          <w:tab w:val="left" w:pos="540"/>
          <w:tab w:val="left" w:pos="569"/>
        </w:tabs>
        <w:jc w:val="both"/>
        <w:rPr>
          <w:bCs/>
          <w:sz w:val="22"/>
          <w:szCs w:val="22"/>
          <w:u w:val="single"/>
          <w:lang w:val="sr-Latn-ME"/>
        </w:rPr>
      </w:pPr>
    </w:p>
    <w:p w14:paraId="65FC72ED" w14:textId="77777777" w:rsidR="00452E9D" w:rsidRPr="00616B65" w:rsidRDefault="00452E9D" w:rsidP="005A340E">
      <w:pPr>
        <w:tabs>
          <w:tab w:val="left" w:pos="540"/>
          <w:tab w:val="left" w:pos="569"/>
        </w:tabs>
        <w:jc w:val="both"/>
        <w:rPr>
          <w:bCs/>
          <w:sz w:val="22"/>
          <w:szCs w:val="22"/>
          <w:u w:val="single"/>
          <w:lang w:val="sr-Latn-ME"/>
        </w:rPr>
      </w:pPr>
      <w:r w:rsidRPr="00616B65">
        <w:rPr>
          <w:bCs/>
          <w:sz w:val="22"/>
          <w:szCs w:val="22"/>
          <w:u w:val="single"/>
          <w:lang w:val="sr-Latn-ME"/>
        </w:rPr>
        <w:t>Način primjene</w:t>
      </w:r>
    </w:p>
    <w:p w14:paraId="2EEF482B" w14:textId="77777777" w:rsidR="006A5377" w:rsidRPr="00616B65" w:rsidRDefault="006A5377" w:rsidP="005A340E">
      <w:pPr>
        <w:tabs>
          <w:tab w:val="left" w:pos="540"/>
          <w:tab w:val="left" w:pos="569"/>
        </w:tabs>
        <w:jc w:val="both"/>
        <w:rPr>
          <w:bCs/>
          <w:sz w:val="22"/>
          <w:szCs w:val="22"/>
          <w:u w:val="single"/>
          <w:lang w:val="sr-Latn-ME"/>
        </w:rPr>
      </w:pPr>
    </w:p>
    <w:p w14:paraId="62B9CFC4" w14:textId="6A65A11C" w:rsidR="006A5377" w:rsidRPr="00616B65" w:rsidRDefault="006A5377" w:rsidP="005A340E">
      <w:pPr>
        <w:tabs>
          <w:tab w:val="left" w:pos="540"/>
          <w:tab w:val="left" w:pos="569"/>
        </w:tabs>
        <w:jc w:val="both"/>
        <w:rPr>
          <w:bCs/>
          <w:sz w:val="22"/>
          <w:szCs w:val="22"/>
          <w:lang w:val="sr-Latn-ME"/>
        </w:rPr>
      </w:pPr>
      <w:r w:rsidRPr="00616B65">
        <w:rPr>
          <w:bCs/>
          <w:sz w:val="22"/>
          <w:szCs w:val="22"/>
          <w:lang w:val="sr-Latn-ME"/>
        </w:rPr>
        <w:t>Lijek Dimetex je namijenjen za oralnu primjenu.</w:t>
      </w:r>
    </w:p>
    <w:p w14:paraId="0D647AF5" w14:textId="77777777" w:rsidR="006A5377" w:rsidRPr="00616B65" w:rsidRDefault="006A5377" w:rsidP="005A340E">
      <w:pPr>
        <w:tabs>
          <w:tab w:val="left" w:pos="540"/>
          <w:tab w:val="left" w:pos="569"/>
        </w:tabs>
        <w:jc w:val="both"/>
        <w:rPr>
          <w:bCs/>
          <w:sz w:val="22"/>
          <w:szCs w:val="22"/>
          <w:lang w:val="sr-Latn-ME"/>
        </w:rPr>
      </w:pPr>
    </w:p>
    <w:p w14:paraId="20D1ECA7" w14:textId="129F0A21" w:rsidR="00452E9D" w:rsidRPr="00616B65" w:rsidRDefault="006A5377" w:rsidP="00C31FAA">
      <w:pPr>
        <w:tabs>
          <w:tab w:val="left" w:pos="540"/>
          <w:tab w:val="left" w:pos="569"/>
        </w:tabs>
        <w:jc w:val="both"/>
        <w:rPr>
          <w:bCs/>
          <w:sz w:val="22"/>
          <w:szCs w:val="22"/>
          <w:lang w:val="sr-Latn-ME"/>
        </w:rPr>
      </w:pPr>
      <w:r w:rsidRPr="00616B65">
        <w:rPr>
          <w:bCs/>
          <w:sz w:val="22"/>
          <w:szCs w:val="22"/>
          <w:lang w:val="sr-Latn-ME"/>
        </w:rPr>
        <w:t>Kapsulu treba progutati cijelu. Kapsula ili njen sadržaj se ne smij</w:t>
      </w:r>
      <w:r w:rsidR="005627AA" w:rsidRPr="00616B65">
        <w:rPr>
          <w:bCs/>
          <w:sz w:val="22"/>
          <w:szCs w:val="22"/>
          <w:lang w:val="sr-Latn-ME"/>
        </w:rPr>
        <w:t>e</w:t>
      </w:r>
      <w:r w:rsidRPr="00616B65">
        <w:rPr>
          <w:bCs/>
          <w:sz w:val="22"/>
          <w:szCs w:val="22"/>
          <w:lang w:val="sr-Latn-ME"/>
        </w:rPr>
        <w:t xml:space="preserve"> drobiti, dijeliti, rastvoriti, sisati ili žvakati, jer </w:t>
      </w:r>
      <w:r w:rsidR="004F2717" w:rsidRPr="00616B65">
        <w:rPr>
          <w:bCs/>
          <w:sz w:val="22"/>
          <w:szCs w:val="22"/>
          <w:lang w:val="sr-Latn-ME"/>
        </w:rPr>
        <w:t xml:space="preserve">gastrorezistentni </w:t>
      </w:r>
      <w:r w:rsidRPr="00616B65">
        <w:rPr>
          <w:bCs/>
          <w:sz w:val="22"/>
          <w:szCs w:val="22"/>
          <w:lang w:val="sr-Latn-ME"/>
        </w:rPr>
        <w:t>omotač mi</w:t>
      </w:r>
      <w:r w:rsidR="004F2717" w:rsidRPr="00616B65">
        <w:rPr>
          <w:bCs/>
          <w:sz w:val="22"/>
          <w:szCs w:val="22"/>
          <w:lang w:val="sr-Latn-ME"/>
        </w:rPr>
        <w:t>ni</w:t>
      </w:r>
      <w:r w:rsidRPr="00616B65">
        <w:rPr>
          <w:bCs/>
          <w:sz w:val="22"/>
          <w:szCs w:val="22"/>
          <w:lang w:val="sr-Latn-ME"/>
        </w:rPr>
        <w:t xml:space="preserve"> tableta spr</w:t>
      </w:r>
      <w:r w:rsidR="004F2717" w:rsidRPr="00616B65">
        <w:rPr>
          <w:bCs/>
          <w:sz w:val="22"/>
          <w:szCs w:val="22"/>
          <w:lang w:val="sr-Latn-ME"/>
        </w:rPr>
        <w:t>j</w:t>
      </w:r>
      <w:r w:rsidRPr="00616B65">
        <w:rPr>
          <w:bCs/>
          <w:sz w:val="22"/>
          <w:szCs w:val="22"/>
          <w:lang w:val="sr-Latn-ME"/>
        </w:rPr>
        <w:t>ečava iritirajuće dejstvo na crijeva.</w:t>
      </w:r>
    </w:p>
    <w:p w14:paraId="57CA308D" w14:textId="77777777" w:rsidR="006A5377" w:rsidRPr="00616B65" w:rsidRDefault="006A5377" w:rsidP="0023493E">
      <w:pPr>
        <w:tabs>
          <w:tab w:val="left" w:pos="540"/>
          <w:tab w:val="left" w:pos="569"/>
        </w:tabs>
        <w:jc w:val="both"/>
        <w:rPr>
          <w:bCs/>
          <w:sz w:val="22"/>
          <w:szCs w:val="22"/>
          <w:lang w:val="sr-Latn-ME"/>
        </w:rPr>
      </w:pPr>
    </w:p>
    <w:p w14:paraId="3070947E" w14:textId="77777777" w:rsidR="00411B4B" w:rsidRPr="00616B65" w:rsidRDefault="00411B4B" w:rsidP="005A340E">
      <w:pPr>
        <w:tabs>
          <w:tab w:val="left" w:pos="540"/>
          <w:tab w:val="left" w:pos="569"/>
        </w:tabs>
        <w:jc w:val="both"/>
        <w:rPr>
          <w:b/>
          <w:bCs/>
          <w:sz w:val="22"/>
          <w:szCs w:val="22"/>
          <w:lang w:val="sr-Latn-ME"/>
        </w:rPr>
      </w:pPr>
      <w:r w:rsidRPr="00616B65">
        <w:rPr>
          <w:b/>
          <w:bCs/>
          <w:sz w:val="22"/>
          <w:szCs w:val="22"/>
          <w:lang w:val="sr-Latn-ME"/>
        </w:rPr>
        <w:t xml:space="preserve">4.3. </w:t>
      </w:r>
      <w:r w:rsidR="00480FB1" w:rsidRPr="00616B65">
        <w:rPr>
          <w:b/>
          <w:bCs/>
          <w:sz w:val="22"/>
          <w:szCs w:val="22"/>
          <w:lang w:val="sr-Latn-ME"/>
        </w:rPr>
        <w:tab/>
      </w:r>
      <w:r w:rsidRPr="00616B65">
        <w:rPr>
          <w:b/>
          <w:bCs/>
          <w:sz w:val="22"/>
          <w:szCs w:val="22"/>
          <w:lang w:val="sr-Latn-ME"/>
        </w:rPr>
        <w:t>Kontraindikacije</w:t>
      </w:r>
    </w:p>
    <w:p w14:paraId="7417FB5A" w14:textId="77777777" w:rsidR="006A5377" w:rsidRPr="00616B65" w:rsidRDefault="006A5377" w:rsidP="005A340E">
      <w:pPr>
        <w:tabs>
          <w:tab w:val="left" w:pos="540"/>
          <w:tab w:val="left" w:pos="569"/>
        </w:tabs>
        <w:jc w:val="both"/>
        <w:rPr>
          <w:b/>
          <w:bCs/>
          <w:sz w:val="22"/>
          <w:szCs w:val="22"/>
          <w:lang w:val="sr-Latn-ME"/>
        </w:rPr>
      </w:pPr>
    </w:p>
    <w:p w14:paraId="20306715" w14:textId="77777777" w:rsidR="0023493E" w:rsidRPr="00616B65" w:rsidRDefault="006A5377" w:rsidP="00C31FAA">
      <w:pPr>
        <w:tabs>
          <w:tab w:val="left" w:pos="540"/>
          <w:tab w:val="left" w:pos="569"/>
        </w:tabs>
        <w:jc w:val="both"/>
        <w:rPr>
          <w:bCs/>
          <w:sz w:val="22"/>
          <w:szCs w:val="22"/>
          <w:lang w:val="sr-Latn-ME"/>
        </w:rPr>
      </w:pPr>
      <w:r w:rsidRPr="00616B65">
        <w:rPr>
          <w:bCs/>
          <w:sz w:val="22"/>
          <w:szCs w:val="22"/>
          <w:lang w:val="sr-Latn-ME"/>
        </w:rPr>
        <w:t>Preosjetljivost na aktivnu supstancu ili na bilo koju od pomoćnih supstanci navedenih u dijelu 6.1.</w:t>
      </w:r>
    </w:p>
    <w:p w14:paraId="60D7E93D" w14:textId="77777777" w:rsidR="0023493E" w:rsidRPr="00616B65" w:rsidRDefault="0023493E" w:rsidP="00C31FAA">
      <w:pPr>
        <w:tabs>
          <w:tab w:val="left" w:pos="540"/>
          <w:tab w:val="left" w:pos="569"/>
        </w:tabs>
        <w:jc w:val="both"/>
        <w:rPr>
          <w:bCs/>
          <w:sz w:val="22"/>
          <w:szCs w:val="22"/>
          <w:lang w:val="sr-Latn-ME"/>
        </w:rPr>
      </w:pPr>
    </w:p>
    <w:p w14:paraId="69FD66BC" w14:textId="7A545925" w:rsidR="0072020E" w:rsidRPr="00616B65" w:rsidRDefault="006A5377" w:rsidP="00C31FAA">
      <w:pPr>
        <w:tabs>
          <w:tab w:val="left" w:pos="540"/>
          <w:tab w:val="left" w:pos="569"/>
        </w:tabs>
        <w:jc w:val="both"/>
        <w:rPr>
          <w:bCs/>
          <w:sz w:val="22"/>
          <w:szCs w:val="22"/>
          <w:lang w:val="sr-Latn-ME"/>
        </w:rPr>
      </w:pPr>
      <w:r w:rsidRPr="00616B65">
        <w:rPr>
          <w:bCs/>
          <w:sz w:val="22"/>
          <w:szCs w:val="22"/>
          <w:lang w:val="sr-Latn-ME"/>
        </w:rPr>
        <w:t>Suspektna ili potvrđena progresivna multifokalna leukoencefalopatija (PML).</w:t>
      </w:r>
    </w:p>
    <w:p w14:paraId="255BC473" w14:textId="77777777" w:rsidR="006A5377" w:rsidRPr="00616B65" w:rsidRDefault="006A5377" w:rsidP="005A340E">
      <w:pPr>
        <w:tabs>
          <w:tab w:val="left" w:pos="540"/>
          <w:tab w:val="left" w:pos="569"/>
        </w:tabs>
        <w:jc w:val="both"/>
        <w:rPr>
          <w:bCs/>
          <w:sz w:val="22"/>
          <w:szCs w:val="22"/>
          <w:lang w:val="sr-Latn-ME"/>
        </w:rPr>
      </w:pPr>
    </w:p>
    <w:p w14:paraId="395B26A5" w14:textId="77777777" w:rsidR="00411B4B" w:rsidRPr="00616B65" w:rsidRDefault="00411B4B" w:rsidP="005A340E">
      <w:pPr>
        <w:tabs>
          <w:tab w:val="left" w:pos="540"/>
          <w:tab w:val="left" w:pos="569"/>
        </w:tabs>
        <w:jc w:val="both"/>
        <w:rPr>
          <w:b/>
          <w:bCs/>
          <w:sz w:val="22"/>
          <w:szCs w:val="22"/>
          <w:lang w:val="sr-Latn-ME"/>
        </w:rPr>
      </w:pPr>
      <w:r w:rsidRPr="00616B65">
        <w:rPr>
          <w:b/>
          <w:bCs/>
          <w:sz w:val="22"/>
          <w:szCs w:val="22"/>
          <w:lang w:val="sr-Latn-ME"/>
        </w:rPr>
        <w:t xml:space="preserve">4.4. </w:t>
      </w:r>
      <w:r w:rsidR="00480FB1" w:rsidRPr="00616B65">
        <w:rPr>
          <w:b/>
          <w:bCs/>
          <w:sz w:val="22"/>
          <w:szCs w:val="22"/>
          <w:lang w:val="sr-Latn-ME"/>
        </w:rPr>
        <w:tab/>
      </w:r>
      <w:r w:rsidRPr="00616B65">
        <w:rPr>
          <w:b/>
          <w:bCs/>
          <w:sz w:val="22"/>
          <w:szCs w:val="22"/>
          <w:lang w:val="sr-Latn-ME"/>
        </w:rPr>
        <w:t>Posebna upozorenja i mjere opreza pri upotrebi lijeka</w:t>
      </w:r>
    </w:p>
    <w:p w14:paraId="78E65471" w14:textId="77777777" w:rsidR="0072020E" w:rsidRPr="00616B65" w:rsidRDefault="0072020E" w:rsidP="005A340E">
      <w:pPr>
        <w:tabs>
          <w:tab w:val="left" w:pos="540"/>
          <w:tab w:val="left" w:pos="569"/>
        </w:tabs>
        <w:jc w:val="both"/>
        <w:rPr>
          <w:bCs/>
          <w:sz w:val="22"/>
          <w:szCs w:val="22"/>
          <w:lang w:val="sr-Latn-ME"/>
        </w:rPr>
      </w:pPr>
    </w:p>
    <w:p w14:paraId="0D216B2B" w14:textId="77777777" w:rsidR="006A5377" w:rsidRPr="00616B65" w:rsidRDefault="006A5377" w:rsidP="00C31FAA">
      <w:pPr>
        <w:tabs>
          <w:tab w:val="left" w:pos="540"/>
          <w:tab w:val="left" w:pos="569"/>
        </w:tabs>
        <w:jc w:val="both"/>
        <w:rPr>
          <w:bCs/>
          <w:sz w:val="22"/>
          <w:szCs w:val="22"/>
          <w:u w:val="single"/>
          <w:lang w:val="sr-Latn-ME"/>
        </w:rPr>
      </w:pPr>
      <w:r w:rsidRPr="00616B65">
        <w:rPr>
          <w:bCs/>
          <w:sz w:val="22"/>
          <w:szCs w:val="22"/>
          <w:u w:val="single"/>
          <w:lang w:val="sr-Latn-ME"/>
        </w:rPr>
        <w:t>Krvne/laboratorijske analize</w:t>
      </w:r>
    </w:p>
    <w:p w14:paraId="561900B9" w14:textId="77777777" w:rsidR="006A5377" w:rsidRPr="00616B65" w:rsidRDefault="006A5377" w:rsidP="0023493E">
      <w:pPr>
        <w:tabs>
          <w:tab w:val="left" w:pos="540"/>
          <w:tab w:val="left" w:pos="569"/>
        </w:tabs>
        <w:jc w:val="both"/>
        <w:rPr>
          <w:bCs/>
          <w:sz w:val="22"/>
          <w:szCs w:val="22"/>
          <w:lang w:val="sr-Latn-ME"/>
        </w:rPr>
      </w:pPr>
    </w:p>
    <w:p w14:paraId="183DAA94" w14:textId="10ECD362" w:rsidR="006A5377" w:rsidRPr="00616B65" w:rsidRDefault="006A5377">
      <w:pPr>
        <w:tabs>
          <w:tab w:val="left" w:pos="540"/>
          <w:tab w:val="left" w:pos="569"/>
        </w:tabs>
        <w:jc w:val="both"/>
        <w:rPr>
          <w:bCs/>
          <w:sz w:val="22"/>
          <w:szCs w:val="22"/>
          <w:lang w:val="sr-Latn-ME"/>
        </w:rPr>
      </w:pPr>
      <w:r w:rsidRPr="00616B65">
        <w:rPr>
          <w:bCs/>
          <w:sz w:val="22"/>
          <w:szCs w:val="22"/>
          <w:lang w:val="sr-Latn-ME"/>
        </w:rPr>
        <w:t xml:space="preserve">U kliničkim ispitivanjima kod osoba na terapiji </w:t>
      </w:r>
      <w:r w:rsidR="002635CF" w:rsidRPr="00616B65">
        <w:rPr>
          <w:bCs/>
          <w:sz w:val="22"/>
          <w:szCs w:val="22"/>
          <w:lang w:val="sr-Latn-ME"/>
        </w:rPr>
        <w:t>dimetil fumarat</w:t>
      </w:r>
      <w:r w:rsidRPr="00616B65">
        <w:rPr>
          <w:bCs/>
          <w:sz w:val="22"/>
          <w:szCs w:val="22"/>
          <w:lang w:val="sr-Latn-ME"/>
        </w:rPr>
        <w:t>om primijećene su promjene u vrijednostima laboratorijskih analiza za ispitivanje funkcije bubrega (</w:t>
      </w:r>
      <w:r w:rsidR="0023493E"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4.8). Ni</w:t>
      </w:r>
      <w:r w:rsidR="0023493E" w:rsidRPr="00616B65">
        <w:rPr>
          <w:bCs/>
          <w:sz w:val="22"/>
          <w:szCs w:val="22"/>
          <w:lang w:val="sr-Latn-ME"/>
        </w:rPr>
        <w:t>je</w:t>
      </w:r>
      <w:r w:rsidRPr="00616B65">
        <w:rPr>
          <w:bCs/>
          <w:sz w:val="22"/>
          <w:szCs w:val="22"/>
          <w:lang w:val="sr-Latn-ME"/>
        </w:rPr>
        <w:t>su poznate kliničke implikacije ovih promjena. Procjena funkcije bubrega (npr. koncentracije kreatinina, azotne uree u krvi, analiza urina) se preporučuje prije započinjanja terapije, nakon 3 i 6 mjeseci terapije, a nakon toga svakih 6 do 12 mjeseci i kako je klinički indikovano.</w:t>
      </w:r>
    </w:p>
    <w:p w14:paraId="10C59C6D" w14:textId="77777777" w:rsidR="006A5377" w:rsidRPr="00616B65" w:rsidRDefault="006A5377">
      <w:pPr>
        <w:tabs>
          <w:tab w:val="left" w:pos="540"/>
          <w:tab w:val="left" w:pos="569"/>
        </w:tabs>
        <w:jc w:val="both"/>
        <w:rPr>
          <w:bCs/>
          <w:sz w:val="22"/>
          <w:szCs w:val="22"/>
          <w:lang w:val="sr-Latn-ME"/>
        </w:rPr>
      </w:pPr>
    </w:p>
    <w:p w14:paraId="598B595C" w14:textId="3EC1DFB0" w:rsidR="006A5377" w:rsidRPr="00616B65" w:rsidRDefault="006A5377">
      <w:pPr>
        <w:tabs>
          <w:tab w:val="left" w:pos="540"/>
          <w:tab w:val="left" w:pos="569"/>
        </w:tabs>
        <w:jc w:val="both"/>
        <w:rPr>
          <w:bCs/>
          <w:sz w:val="22"/>
          <w:szCs w:val="22"/>
          <w:lang w:val="sr-Latn-ME"/>
        </w:rPr>
      </w:pPr>
      <w:r w:rsidRPr="00616B65">
        <w:rPr>
          <w:bCs/>
          <w:sz w:val="22"/>
          <w:szCs w:val="22"/>
          <w:lang w:val="sr-Latn-ME"/>
        </w:rPr>
        <w:t xml:space="preserve">Terapija </w:t>
      </w:r>
      <w:r w:rsidR="002635CF" w:rsidRPr="00616B65">
        <w:rPr>
          <w:bCs/>
          <w:sz w:val="22"/>
          <w:szCs w:val="22"/>
          <w:lang w:val="sr-Latn-ME"/>
        </w:rPr>
        <w:t>dimetil fumarat</w:t>
      </w:r>
      <w:r w:rsidRPr="00616B65">
        <w:rPr>
          <w:bCs/>
          <w:sz w:val="22"/>
          <w:szCs w:val="22"/>
          <w:lang w:val="sr-Latn-ME"/>
        </w:rPr>
        <w:t>om može dovesti do oštećenja funkcije jetre usl</w:t>
      </w:r>
      <w:r w:rsidR="0023493E" w:rsidRPr="00616B65">
        <w:rPr>
          <w:bCs/>
          <w:sz w:val="22"/>
          <w:szCs w:val="22"/>
          <w:lang w:val="sr-Latn-ME"/>
        </w:rPr>
        <w:t>j</w:t>
      </w:r>
      <w:r w:rsidRPr="00616B65">
        <w:rPr>
          <w:bCs/>
          <w:sz w:val="22"/>
          <w:szCs w:val="22"/>
          <w:lang w:val="sr-Latn-ME"/>
        </w:rPr>
        <w:t>ed primjene lijeka, uključujući povećanje vrijednosti enzima jetre (≥ 3 puta iznad gornje granice normale (GGN)) i povećanje koncentracije</w:t>
      </w:r>
      <w:r w:rsidR="008F6036" w:rsidRPr="00616B65">
        <w:rPr>
          <w:bCs/>
          <w:sz w:val="22"/>
          <w:szCs w:val="22"/>
          <w:lang w:val="sr-Latn-ME"/>
        </w:rPr>
        <w:t xml:space="preserve"> </w:t>
      </w:r>
      <w:r w:rsidRPr="00616B65">
        <w:rPr>
          <w:bCs/>
          <w:sz w:val="22"/>
          <w:szCs w:val="22"/>
          <w:lang w:val="sr-Latn-ME"/>
        </w:rPr>
        <w:t>ukupnog bilirubina (≥ 2 GGN). Te prom</w:t>
      </w:r>
      <w:r w:rsidR="008F6036" w:rsidRPr="00616B65">
        <w:rPr>
          <w:bCs/>
          <w:sz w:val="22"/>
          <w:szCs w:val="22"/>
          <w:lang w:val="sr-Latn-ME"/>
        </w:rPr>
        <w:t>j</w:t>
      </w:r>
      <w:r w:rsidRPr="00616B65">
        <w:rPr>
          <w:bCs/>
          <w:sz w:val="22"/>
          <w:szCs w:val="22"/>
          <w:lang w:val="sr-Latn-ME"/>
        </w:rPr>
        <w:t>ene mogu nastupiti odmah, nakon nekoliko ned</w:t>
      </w:r>
      <w:r w:rsidR="0023493E" w:rsidRPr="00616B65">
        <w:rPr>
          <w:bCs/>
          <w:sz w:val="22"/>
          <w:szCs w:val="22"/>
          <w:lang w:val="sr-Latn-ME"/>
        </w:rPr>
        <w:t>j</w:t>
      </w:r>
      <w:r w:rsidRPr="00616B65">
        <w:rPr>
          <w:bCs/>
          <w:sz w:val="22"/>
          <w:szCs w:val="22"/>
          <w:lang w:val="sr-Latn-ME"/>
        </w:rPr>
        <w:t>elja ili nakon dužeg vremena. Povlačenje neželjenih reakcija prim</w:t>
      </w:r>
      <w:r w:rsidR="008F6036" w:rsidRPr="00616B65">
        <w:rPr>
          <w:bCs/>
          <w:sz w:val="22"/>
          <w:szCs w:val="22"/>
          <w:lang w:val="sr-Latn-ME"/>
        </w:rPr>
        <w:t>ij</w:t>
      </w:r>
      <w:r w:rsidRPr="00616B65">
        <w:rPr>
          <w:bCs/>
          <w:sz w:val="22"/>
          <w:szCs w:val="22"/>
          <w:lang w:val="sr-Latn-ME"/>
        </w:rPr>
        <w:t>ećeno je nakon prekida l</w:t>
      </w:r>
      <w:r w:rsidR="008F6036" w:rsidRPr="00616B65">
        <w:rPr>
          <w:bCs/>
          <w:sz w:val="22"/>
          <w:szCs w:val="22"/>
          <w:lang w:val="sr-Latn-ME"/>
        </w:rPr>
        <w:t>ij</w:t>
      </w:r>
      <w:r w:rsidRPr="00616B65">
        <w:rPr>
          <w:bCs/>
          <w:sz w:val="22"/>
          <w:szCs w:val="22"/>
          <w:lang w:val="sr-Latn-ME"/>
        </w:rPr>
        <w:t xml:space="preserve">ečenja. </w:t>
      </w:r>
      <w:r w:rsidRPr="00616B65">
        <w:rPr>
          <w:bCs/>
          <w:sz w:val="22"/>
          <w:szCs w:val="22"/>
          <w:lang w:val="sr-Latn-ME"/>
        </w:rPr>
        <w:lastRenderedPageBreak/>
        <w:t>Pr</w:t>
      </w:r>
      <w:r w:rsidR="008F6036" w:rsidRPr="00616B65">
        <w:rPr>
          <w:bCs/>
          <w:sz w:val="22"/>
          <w:szCs w:val="22"/>
          <w:lang w:val="sr-Latn-ME"/>
        </w:rPr>
        <w:t>ij</w:t>
      </w:r>
      <w:r w:rsidRPr="00616B65">
        <w:rPr>
          <w:bCs/>
          <w:sz w:val="22"/>
          <w:szCs w:val="22"/>
          <w:lang w:val="sr-Latn-ME"/>
        </w:rPr>
        <w:t>e započinjanja terapije i tokom terapije preporučuje se određivanje vr</w:t>
      </w:r>
      <w:r w:rsidR="008F6036" w:rsidRPr="00616B65">
        <w:rPr>
          <w:bCs/>
          <w:sz w:val="22"/>
          <w:szCs w:val="22"/>
          <w:lang w:val="sr-Latn-ME"/>
        </w:rPr>
        <w:t>ij</w:t>
      </w:r>
      <w:r w:rsidRPr="00616B65">
        <w:rPr>
          <w:bCs/>
          <w:sz w:val="22"/>
          <w:szCs w:val="22"/>
          <w:lang w:val="sr-Latn-ME"/>
        </w:rPr>
        <w:t>ednosti aminotransferaza u serumu (npr. alanin aminotransferaze (ALT), aspartat aminotransferaze (AST)) i koncentracije ukupnog bilirubina, kako je klinički indikovano.</w:t>
      </w:r>
    </w:p>
    <w:p w14:paraId="51EFF7BC" w14:textId="77777777" w:rsidR="006A5377" w:rsidRPr="00616B65" w:rsidRDefault="006A5377">
      <w:pPr>
        <w:tabs>
          <w:tab w:val="left" w:pos="540"/>
          <w:tab w:val="left" w:pos="569"/>
        </w:tabs>
        <w:jc w:val="both"/>
        <w:rPr>
          <w:bCs/>
          <w:sz w:val="22"/>
          <w:szCs w:val="22"/>
          <w:lang w:val="sr-Latn-ME"/>
        </w:rPr>
      </w:pPr>
    </w:p>
    <w:p w14:paraId="7DFFD4EA" w14:textId="687622A7" w:rsidR="006A5377" w:rsidRPr="00616B65" w:rsidRDefault="006A5377">
      <w:pPr>
        <w:tabs>
          <w:tab w:val="left" w:pos="540"/>
          <w:tab w:val="left" w:pos="569"/>
        </w:tabs>
        <w:jc w:val="both"/>
        <w:rPr>
          <w:bCs/>
          <w:sz w:val="22"/>
          <w:szCs w:val="22"/>
          <w:lang w:val="sr-Latn-ME"/>
        </w:rPr>
      </w:pPr>
      <w:r w:rsidRPr="00616B65">
        <w:rPr>
          <w:bCs/>
          <w:sz w:val="22"/>
          <w:szCs w:val="22"/>
          <w:lang w:val="sr-Latn-ME"/>
        </w:rPr>
        <w:t>Pacijenti na terapiji l</w:t>
      </w:r>
      <w:r w:rsidR="008F6036" w:rsidRPr="00616B65">
        <w:rPr>
          <w:bCs/>
          <w:sz w:val="22"/>
          <w:szCs w:val="22"/>
          <w:lang w:val="sr-Latn-ME"/>
        </w:rPr>
        <w:t>ij</w:t>
      </w:r>
      <w:r w:rsidRPr="00616B65">
        <w:rPr>
          <w:bCs/>
          <w:sz w:val="22"/>
          <w:szCs w:val="22"/>
          <w:lang w:val="sr-Latn-ME"/>
        </w:rPr>
        <w:t>ekom Dimetex mogu razviti limfopeniju (</w:t>
      </w:r>
      <w:r w:rsidR="0023493E"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4.8). Pr</w:t>
      </w:r>
      <w:r w:rsidR="008F6036" w:rsidRPr="00616B65">
        <w:rPr>
          <w:bCs/>
          <w:sz w:val="22"/>
          <w:szCs w:val="22"/>
          <w:lang w:val="sr-Latn-ME"/>
        </w:rPr>
        <w:t>ij</w:t>
      </w:r>
      <w:r w:rsidRPr="00616B65">
        <w:rPr>
          <w:bCs/>
          <w:sz w:val="22"/>
          <w:szCs w:val="22"/>
          <w:lang w:val="sr-Latn-ME"/>
        </w:rPr>
        <w:t>e započinjanja terapije l</w:t>
      </w:r>
      <w:r w:rsidR="008F6036" w:rsidRPr="00616B65">
        <w:rPr>
          <w:bCs/>
          <w:sz w:val="22"/>
          <w:szCs w:val="22"/>
          <w:lang w:val="sr-Latn-ME"/>
        </w:rPr>
        <w:t>ij</w:t>
      </w:r>
      <w:r w:rsidRPr="00616B65">
        <w:rPr>
          <w:bCs/>
          <w:sz w:val="22"/>
          <w:szCs w:val="22"/>
          <w:lang w:val="sr-Latn-ME"/>
        </w:rPr>
        <w:t>ekom Dimetex mora se prov</w:t>
      </w:r>
      <w:r w:rsidR="008F6036" w:rsidRPr="00616B65">
        <w:rPr>
          <w:bCs/>
          <w:sz w:val="22"/>
          <w:szCs w:val="22"/>
          <w:lang w:val="sr-Latn-ME"/>
        </w:rPr>
        <w:t>j</w:t>
      </w:r>
      <w:r w:rsidRPr="00616B65">
        <w:rPr>
          <w:bCs/>
          <w:sz w:val="22"/>
          <w:szCs w:val="22"/>
          <w:lang w:val="sr-Latn-ME"/>
        </w:rPr>
        <w:t>eriti kompletna krvna slika, uključujući limfocite. Ako se utvrdi da je broj limfocita ispod normalnog raspona, potrebno je uraditi detaljnu analizu potencijalnih uzroka pr</w:t>
      </w:r>
      <w:r w:rsidR="008F6036" w:rsidRPr="00616B65">
        <w:rPr>
          <w:bCs/>
          <w:sz w:val="22"/>
          <w:szCs w:val="22"/>
          <w:lang w:val="sr-Latn-ME"/>
        </w:rPr>
        <w:t>ij</w:t>
      </w:r>
      <w:r w:rsidRPr="00616B65">
        <w:rPr>
          <w:bCs/>
          <w:sz w:val="22"/>
          <w:szCs w:val="22"/>
          <w:lang w:val="sr-Latn-ME"/>
        </w:rPr>
        <w:t>e započinjanja terapije l</w:t>
      </w:r>
      <w:r w:rsidR="008F6036" w:rsidRPr="00616B65">
        <w:rPr>
          <w:bCs/>
          <w:sz w:val="22"/>
          <w:szCs w:val="22"/>
          <w:lang w:val="sr-Latn-ME"/>
        </w:rPr>
        <w:t>ij</w:t>
      </w:r>
      <w:r w:rsidRPr="00616B65">
        <w:rPr>
          <w:bCs/>
          <w:sz w:val="22"/>
          <w:szCs w:val="22"/>
          <w:lang w:val="sr-Latn-ME"/>
        </w:rPr>
        <w:t xml:space="preserve">ekom Dimetex. </w:t>
      </w:r>
      <w:r w:rsidR="002635CF" w:rsidRPr="00616B65">
        <w:rPr>
          <w:bCs/>
          <w:sz w:val="22"/>
          <w:szCs w:val="22"/>
          <w:lang w:val="sr-Latn-ME"/>
        </w:rPr>
        <w:t>Dimetil fumarat</w:t>
      </w:r>
      <w:r w:rsidRPr="00616B65">
        <w:rPr>
          <w:bCs/>
          <w:sz w:val="22"/>
          <w:szCs w:val="22"/>
          <w:lang w:val="sr-Latn-ME"/>
        </w:rPr>
        <w:t xml:space="preserve"> nije ispitivan kod pacijenata sa već postojećim malim brojem limfocita pa je potreban oprez pri l</w:t>
      </w:r>
      <w:r w:rsidR="008F6036" w:rsidRPr="00616B65">
        <w:rPr>
          <w:bCs/>
          <w:sz w:val="22"/>
          <w:szCs w:val="22"/>
          <w:lang w:val="sr-Latn-ME"/>
        </w:rPr>
        <w:t>ij</w:t>
      </w:r>
      <w:r w:rsidRPr="00616B65">
        <w:rPr>
          <w:bCs/>
          <w:sz w:val="22"/>
          <w:szCs w:val="22"/>
          <w:lang w:val="sr-Latn-ME"/>
        </w:rPr>
        <w:t>ečenju ovih pacijenata.</w:t>
      </w:r>
    </w:p>
    <w:p w14:paraId="5A980B3E" w14:textId="77777777" w:rsidR="006A5377" w:rsidRPr="00616B65" w:rsidRDefault="006A5377">
      <w:pPr>
        <w:tabs>
          <w:tab w:val="left" w:pos="540"/>
          <w:tab w:val="left" w:pos="569"/>
        </w:tabs>
        <w:jc w:val="both"/>
        <w:rPr>
          <w:bCs/>
          <w:sz w:val="22"/>
          <w:szCs w:val="22"/>
          <w:lang w:val="sr-Latn-ME"/>
        </w:rPr>
      </w:pPr>
    </w:p>
    <w:p w14:paraId="15F43BA4" w14:textId="171C4885" w:rsidR="006A5377" w:rsidRPr="00616B65" w:rsidRDefault="006A5377">
      <w:pPr>
        <w:tabs>
          <w:tab w:val="left" w:pos="540"/>
          <w:tab w:val="left" w:pos="569"/>
        </w:tabs>
        <w:jc w:val="both"/>
        <w:rPr>
          <w:bCs/>
          <w:sz w:val="22"/>
          <w:szCs w:val="22"/>
          <w:lang w:val="sr-Latn-ME"/>
        </w:rPr>
      </w:pPr>
      <w:r w:rsidRPr="00616B65">
        <w:rPr>
          <w:bCs/>
          <w:sz w:val="22"/>
          <w:szCs w:val="22"/>
          <w:lang w:val="sr-Latn-ME"/>
        </w:rPr>
        <w:t>Terapija l</w:t>
      </w:r>
      <w:r w:rsidR="008F6036" w:rsidRPr="00616B65">
        <w:rPr>
          <w:bCs/>
          <w:sz w:val="22"/>
          <w:szCs w:val="22"/>
          <w:lang w:val="sr-Latn-ME"/>
        </w:rPr>
        <w:t>ij</w:t>
      </w:r>
      <w:r w:rsidRPr="00616B65">
        <w:rPr>
          <w:bCs/>
          <w:sz w:val="22"/>
          <w:szCs w:val="22"/>
          <w:lang w:val="sr-Latn-ME"/>
        </w:rPr>
        <w:t>ekom Dimetex se ne sm</w:t>
      </w:r>
      <w:r w:rsidR="0023493E" w:rsidRPr="00616B65">
        <w:rPr>
          <w:bCs/>
          <w:sz w:val="22"/>
          <w:szCs w:val="22"/>
          <w:lang w:val="sr-Latn-ME"/>
        </w:rPr>
        <w:t>ij</w:t>
      </w:r>
      <w:r w:rsidRPr="00616B65">
        <w:rPr>
          <w:bCs/>
          <w:sz w:val="22"/>
          <w:szCs w:val="22"/>
          <w:lang w:val="sr-Latn-ME"/>
        </w:rPr>
        <w:t>e započinjati kod pacijenata sa teškom limfopenijom (broj limfocita &lt; 0,5 × 10</w:t>
      </w:r>
      <w:r w:rsidRPr="00616B65">
        <w:rPr>
          <w:bCs/>
          <w:sz w:val="22"/>
          <w:szCs w:val="22"/>
          <w:vertAlign w:val="superscript"/>
          <w:lang w:val="sr-Latn-ME"/>
        </w:rPr>
        <w:t>9</w:t>
      </w:r>
      <w:r w:rsidRPr="00616B65">
        <w:rPr>
          <w:bCs/>
          <w:sz w:val="22"/>
          <w:szCs w:val="22"/>
          <w:lang w:val="sr-Latn-ME"/>
        </w:rPr>
        <w:t>/</w:t>
      </w:r>
      <w:r w:rsidR="0023493E" w:rsidRPr="00616B65">
        <w:rPr>
          <w:bCs/>
          <w:sz w:val="22"/>
          <w:szCs w:val="22"/>
          <w:lang w:val="sr-Latn-ME"/>
        </w:rPr>
        <w:t>l</w:t>
      </w:r>
      <w:r w:rsidRPr="00616B65">
        <w:rPr>
          <w:bCs/>
          <w:sz w:val="22"/>
          <w:szCs w:val="22"/>
          <w:lang w:val="sr-Latn-ME"/>
        </w:rPr>
        <w:t>).</w:t>
      </w:r>
    </w:p>
    <w:p w14:paraId="55A0CE8E" w14:textId="3865AB6A" w:rsidR="006A5377" w:rsidRPr="00616B65" w:rsidRDefault="006A5377">
      <w:pPr>
        <w:tabs>
          <w:tab w:val="left" w:pos="540"/>
          <w:tab w:val="left" w:pos="569"/>
        </w:tabs>
        <w:jc w:val="both"/>
        <w:rPr>
          <w:bCs/>
          <w:sz w:val="22"/>
          <w:szCs w:val="22"/>
          <w:lang w:val="sr-Latn-ME"/>
        </w:rPr>
      </w:pPr>
      <w:r w:rsidRPr="00616B65">
        <w:rPr>
          <w:bCs/>
          <w:sz w:val="22"/>
          <w:szCs w:val="22"/>
          <w:lang w:val="sr-Latn-ME"/>
        </w:rPr>
        <w:t>Kompletna krvna slika, uključujući limfocite, mora se prov</w:t>
      </w:r>
      <w:r w:rsidR="004F2717" w:rsidRPr="00616B65">
        <w:rPr>
          <w:bCs/>
          <w:sz w:val="22"/>
          <w:szCs w:val="22"/>
          <w:lang w:val="sr-Latn-ME"/>
        </w:rPr>
        <w:t>j</w:t>
      </w:r>
      <w:r w:rsidRPr="00616B65">
        <w:rPr>
          <w:bCs/>
          <w:sz w:val="22"/>
          <w:szCs w:val="22"/>
          <w:lang w:val="sr-Latn-ME"/>
        </w:rPr>
        <w:t>eravati svaka 3 m</w:t>
      </w:r>
      <w:r w:rsidR="008F6036" w:rsidRPr="00616B65">
        <w:rPr>
          <w:bCs/>
          <w:sz w:val="22"/>
          <w:szCs w:val="22"/>
          <w:lang w:val="sr-Latn-ME"/>
        </w:rPr>
        <w:t>j</w:t>
      </w:r>
      <w:r w:rsidRPr="00616B65">
        <w:rPr>
          <w:bCs/>
          <w:sz w:val="22"/>
          <w:szCs w:val="22"/>
          <w:lang w:val="sr-Latn-ME"/>
        </w:rPr>
        <w:t>eseca nakon početka terapije.</w:t>
      </w:r>
    </w:p>
    <w:p w14:paraId="1520FE79" w14:textId="77777777" w:rsidR="006A5377" w:rsidRPr="00616B65" w:rsidRDefault="006A5377">
      <w:pPr>
        <w:tabs>
          <w:tab w:val="left" w:pos="540"/>
          <w:tab w:val="left" w:pos="569"/>
        </w:tabs>
        <w:jc w:val="both"/>
        <w:rPr>
          <w:bCs/>
          <w:sz w:val="22"/>
          <w:szCs w:val="22"/>
          <w:lang w:val="sr-Latn-ME"/>
        </w:rPr>
      </w:pPr>
    </w:p>
    <w:p w14:paraId="2DCF161D" w14:textId="071025CD" w:rsidR="006A5377" w:rsidRPr="00616B65" w:rsidRDefault="006A5377">
      <w:pPr>
        <w:tabs>
          <w:tab w:val="left" w:pos="540"/>
          <w:tab w:val="left" w:pos="569"/>
        </w:tabs>
        <w:jc w:val="both"/>
        <w:rPr>
          <w:bCs/>
          <w:sz w:val="22"/>
          <w:szCs w:val="22"/>
          <w:lang w:val="sr-Latn-ME"/>
        </w:rPr>
      </w:pPr>
      <w:r w:rsidRPr="00616B65">
        <w:rPr>
          <w:bCs/>
          <w:sz w:val="22"/>
          <w:szCs w:val="22"/>
          <w:lang w:val="sr-Latn-ME"/>
        </w:rPr>
        <w:t>Zbog povećanog rizika od progresivne multifokalne leukoencefalopatije (PML), kod pacijenata sa limfopenijom preporučuju se sl</w:t>
      </w:r>
      <w:r w:rsidR="0023493E" w:rsidRPr="00616B65">
        <w:rPr>
          <w:bCs/>
          <w:sz w:val="22"/>
          <w:szCs w:val="22"/>
          <w:lang w:val="sr-Latn-ME"/>
        </w:rPr>
        <w:t>j</w:t>
      </w:r>
      <w:r w:rsidRPr="00616B65">
        <w:rPr>
          <w:bCs/>
          <w:sz w:val="22"/>
          <w:szCs w:val="22"/>
          <w:lang w:val="sr-Latn-ME"/>
        </w:rPr>
        <w:t>edeće dodatne m</w:t>
      </w:r>
      <w:r w:rsidR="008F6036" w:rsidRPr="00616B65">
        <w:rPr>
          <w:bCs/>
          <w:sz w:val="22"/>
          <w:szCs w:val="22"/>
          <w:lang w:val="sr-Latn-ME"/>
        </w:rPr>
        <w:t>j</w:t>
      </w:r>
      <w:r w:rsidRPr="00616B65">
        <w:rPr>
          <w:bCs/>
          <w:sz w:val="22"/>
          <w:szCs w:val="22"/>
          <w:lang w:val="sr-Latn-ME"/>
        </w:rPr>
        <w:t>ere opreza:</w:t>
      </w:r>
    </w:p>
    <w:p w14:paraId="7C902C2D" w14:textId="3316E6B7" w:rsidR="006A5377" w:rsidRPr="00616B65" w:rsidRDefault="006A5377" w:rsidP="005A340E">
      <w:pPr>
        <w:tabs>
          <w:tab w:val="left" w:pos="540"/>
          <w:tab w:val="left" w:pos="569"/>
        </w:tabs>
        <w:ind w:left="567" w:hanging="567"/>
        <w:jc w:val="both"/>
        <w:rPr>
          <w:bCs/>
          <w:sz w:val="22"/>
          <w:szCs w:val="22"/>
          <w:lang w:val="sr-Latn-ME"/>
        </w:rPr>
      </w:pPr>
      <w:r w:rsidRPr="00616B65">
        <w:rPr>
          <w:bCs/>
          <w:sz w:val="22"/>
          <w:szCs w:val="22"/>
          <w:lang w:val="sr-Latn-ME"/>
        </w:rPr>
        <w:t>•</w:t>
      </w:r>
      <w:r w:rsidRPr="00616B65">
        <w:rPr>
          <w:bCs/>
          <w:sz w:val="22"/>
          <w:szCs w:val="22"/>
          <w:lang w:val="sr-Latn-ME"/>
        </w:rPr>
        <w:tab/>
        <w:t xml:space="preserve">Terapiju </w:t>
      </w:r>
      <w:r w:rsidR="008F6036" w:rsidRPr="00616B65">
        <w:rPr>
          <w:bCs/>
          <w:sz w:val="22"/>
          <w:szCs w:val="22"/>
          <w:lang w:val="sr-Latn-ME"/>
        </w:rPr>
        <w:t>lijek</w:t>
      </w:r>
      <w:r w:rsidRPr="00616B65">
        <w:rPr>
          <w:bCs/>
          <w:sz w:val="22"/>
          <w:szCs w:val="22"/>
          <w:lang w:val="sr-Latn-ME"/>
        </w:rPr>
        <w:t>om Dimetex potrebno je prekinuti kod pacijenata sa dugotrajnom teškom limfopenijom (broj limfocita &lt; 0,5 x 10</w:t>
      </w:r>
      <w:r w:rsidRPr="00616B65">
        <w:rPr>
          <w:bCs/>
          <w:sz w:val="22"/>
          <w:szCs w:val="22"/>
          <w:vertAlign w:val="superscript"/>
          <w:lang w:val="sr-Latn-ME"/>
        </w:rPr>
        <w:t>9</w:t>
      </w:r>
      <w:r w:rsidRPr="00616B65">
        <w:rPr>
          <w:bCs/>
          <w:sz w:val="22"/>
          <w:szCs w:val="22"/>
          <w:lang w:val="sr-Latn-ME"/>
        </w:rPr>
        <w:t>/</w:t>
      </w:r>
      <w:r w:rsidR="0023493E" w:rsidRPr="00616B65">
        <w:rPr>
          <w:bCs/>
          <w:sz w:val="22"/>
          <w:szCs w:val="22"/>
          <w:lang w:val="sr-Latn-ME"/>
        </w:rPr>
        <w:t>l</w:t>
      </w:r>
      <w:r w:rsidRPr="00616B65">
        <w:rPr>
          <w:bCs/>
          <w:sz w:val="22"/>
          <w:szCs w:val="22"/>
          <w:lang w:val="sr-Latn-ME"/>
        </w:rPr>
        <w:t>) koja traje duže od 6 m</w:t>
      </w:r>
      <w:r w:rsidR="008F6036" w:rsidRPr="00616B65">
        <w:rPr>
          <w:bCs/>
          <w:sz w:val="22"/>
          <w:szCs w:val="22"/>
          <w:lang w:val="sr-Latn-ME"/>
        </w:rPr>
        <w:t>j</w:t>
      </w:r>
      <w:r w:rsidRPr="00616B65">
        <w:rPr>
          <w:bCs/>
          <w:sz w:val="22"/>
          <w:szCs w:val="22"/>
          <w:lang w:val="sr-Latn-ME"/>
        </w:rPr>
        <w:t>eseci.</w:t>
      </w:r>
    </w:p>
    <w:p w14:paraId="41FBABCA" w14:textId="109DD080" w:rsidR="006A5377" w:rsidRPr="00616B65" w:rsidRDefault="006A5377" w:rsidP="0023493E">
      <w:pPr>
        <w:tabs>
          <w:tab w:val="left" w:pos="540"/>
          <w:tab w:val="left" w:pos="569"/>
        </w:tabs>
        <w:ind w:left="567" w:hanging="567"/>
        <w:jc w:val="both"/>
        <w:rPr>
          <w:bCs/>
          <w:sz w:val="22"/>
          <w:szCs w:val="22"/>
          <w:lang w:val="sr-Latn-ME"/>
        </w:rPr>
      </w:pPr>
      <w:r w:rsidRPr="00616B65">
        <w:rPr>
          <w:bCs/>
          <w:sz w:val="22"/>
          <w:szCs w:val="22"/>
          <w:lang w:val="sr-Latn-ME"/>
        </w:rPr>
        <w:t>•</w:t>
      </w:r>
      <w:r w:rsidRPr="00616B65">
        <w:rPr>
          <w:bCs/>
          <w:sz w:val="22"/>
          <w:szCs w:val="22"/>
          <w:lang w:val="sr-Latn-ME"/>
        </w:rPr>
        <w:tab/>
        <w:t>Odnos koristi i rizika terapije l</w:t>
      </w:r>
      <w:r w:rsidR="008F6036" w:rsidRPr="00616B65">
        <w:rPr>
          <w:bCs/>
          <w:sz w:val="22"/>
          <w:szCs w:val="22"/>
          <w:lang w:val="sr-Latn-ME"/>
        </w:rPr>
        <w:t>ij</w:t>
      </w:r>
      <w:r w:rsidRPr="00616B65">
        <w:rPr>
          <w:bCs/>
          <w:sz w:val="22"/>
          <w:szCs w:val="22"/>
          <w:lang w:val="sr-Latn-ME"/>
        </w:rPr>
        <w:t>ekom Dimetex treba razmotriti kod pacijenata sa neprekidnim um</w:t>
      </w:r>
      <w:r w:rsidR="008F6036" w:rsidRPr="00616B65">
        <w:rPr>
          <w:bCs/>
          <w:sz w:val="22"/>
          <w:szCs w:val="22"/>
          <w:lang w:val="sr-Latn-ME"/>
        </w:rPr>
        <w:t>j</w:t>
      </w:r>
      <w:r w:rsidRPr="00616B65">
        <w:rPr>
          <w:bCs/>
          <w:sz w:val="22"/>
          <w:szCs w:val="22"/>
          <w:lang w:val="sr-Latn-ME"/>
        </w:rPr>
        <w:t>erenim smanjenjem apsolutnog broja limfocita ≥ 0,5 x 10</w:t>
      </w:r>
      <w:r w:rsidRPr="00616B65">
        <w:rPr>
          <w:bCs/>
          <w:sz w:val="22"/>
          <w:szCs w:val="22"/>
          <w:vertAlign w:val="superscript"/>
          <w:lang w:val="sr-Latn-ME"/>
        </w:rPr>
        <w:t>9</w:t>
      </w:r>
      <w:r w:rsidRPr="00616B65">
        <w:rPr>
          <w:bCs/>
          <w:sz w:val="22"/>
          <w:szCs w:val="22"/>
          <w:lang w:val="sr-Latn-ME"/>
        </w:rPr>
        <w:t>/L i &lt; 0,8 x 10</w:t>
      </w:r>
      <w:r w:rsidRPr="00616B65">
        <w:rPr>
          <w:bCs/>
          <w:sz w:val="22"/>
          <w:szCs w:val="22"/>
          <w:vertAlign w:val="superscript"/>
          <w:lang w:val="sr-Latn-ME"/>
        </w:rPr>
        <w:t>9</w:t>
      </w:r>
      <w:r w:rsidRPr="00616B65">
        <w:rPr>
          <w:bCs/>
          <w:sz w:val="22"/>
          <w:szCs w:val="22"/>
          <w:lang w:val="sr-Latn-ME"/>
        </w:rPr>
        <w:t>/</w:t>
      </w:r>
      <w:r w:rsidR="0023493E" w:rsidRPr="00616B65">
        <w:rPr>
          <w:bCs/>
          <w:sz w:val="22"/>
          <w:szCs w:val="22"/>
          <w:lang w:val="sr-Latn-ME"/>
        </w:rPr>
        <w:t>l</w:t>
      </w:r>
      <w:r w:rsidRPr="00616B65">
        <w:rPr>
          <w:bCs/>
          <w:sz w:val="22"/>
          <w:szCs w:val="22"/>
          <w:lang w:val="sr-Latn-ME"/>
        </w:rPr>
        <w:t xml:space="preserve"> u trajanju dužem od 6 m</w:t>
      </w:r>
      <w:r w:rsidR="008F6036" w:rsidRPr="00616B65">
        <w:rPr>
          <w:bCs/>
          <w:sz w:val="22"/>
          <w:szCs w:val="22"/>
          <w:lang w:val="sr-Latn-ME"/>
        </w:rPr>
        <w:t>j</w:t>
      </w:r>
      <w:r w:rsidRPr="00616B65">
        <w:rPr>
          <w:bCs/>
          <w:sz w:val="22"/>
          <w:szCs w:val="22"/>
          <w:lang w:val="sr-Latn-ME"/>
        </w:rPr>
        <w:t>eseci</w:t>
      </w:r>
    </w:p>
    <w:p w14:paraId="6EFA3E85" w14:textId="1154860F" w:rsidR="006A5377" w:rsidRPr="00616B65" w:rsidRDefault="006A5377" w:rsidP="0023493E">
      <w:pPr>
        <w:tabs>
          <w:tab w:val="left" w:pos="540"/>
          <w:tab w:val="left" w:pos="569"/>
        </w:tabs>
        <w:ind w:left="567" w:hanging="567"/>
        <w:jc w:val="both"/>
        <w:rPr>
          <w:bCs/>
          <w:sz w:val="22"/>
          <w:szCs w:val="22"/>
          <w:lang w:val="sr-Latn-ME"/>
        </w:rPr>
      </w:pPr>
      <w:r w:rsidRPr="00616B65">
        <w:rPr>
          <w:bCs/>
          <w:sz w:val="22"/>
          <w:szCs w:val="22"/>
          <w:lang w:val="sr-Latn-ME"/>
        </w:rPr>
        <w:t>•</w:t>
      </w:r>
      <w:r w:rsidRPr="00616B65">
        <w:rPr>
          <w:bCs/>
          <w:sz w:val="22"/>
          <w:szCs w:val="22"/>
          <w:lang w:val="sr-Latn-ME"/>
        </w:rPr>
        <w:tab/>
        <w:t>Kod pacijenata sa brojem limfocita ispod donje granice normalnih vr</w:t>
      </w:r>
      <w:r w:rsidR="008F6036" w:rsidRPr="00616B65">
        <w:rPr>
          <w:bCs/>
          <w:sz w:val="22"/>
          <w:szCs w:val="22"/>
          <w:lang w:val="sr-Latn-ME"/>
        </w:rPr>
        <w:t>ij</w:t>
      </w:r>
      <w:r w:rsidRPr="00616B65">
        <w:rPr>
          <w:bCs/>
          <w:sz w:val="22"/>
          <w:szCs w:val="22"/>
          <w:lang w:val="sr-Latn-ME"/>
        </w:rPr>
        <w:t>ednosti definisane referentnim rasponom lokalne laboratorije, preporučuje se redovno praćenje apsolutnog broja limfocita. Treba razmotriti dodatne faktore koji mogu povećati individualni rizik od PML (</w:t>
      </w:r>
      <w:r w:rsidR="0023493E" w:rsidRPr="00616B65">
        <w:rPr>
          <w:bCs/>
          <w:sz w:val="22"/>
          <w:szCs w:val="22"/>
          <w:lang w:val="sr-Latn-ME"/>
        </w:rPr>
        <w:t xml:space="preserve">vidjeti </w:t>
      </w:r>
      <w:r w:rsidR="008F6036" w:rsidRPr="00616B65">
        <w:rPr>
          <w:bCs/>
          <w:sz w:val="22"/>
          <w:szCs w:val="22"/>
          <w:lang w:val="sr-Latn-ME"/>
        </w:rPr>
        <w:t>di</w:t>
      </w:r>
      <w:r w:rsidRPr="00616B65">
        <w:rPr>
          <w:bCs/>
          <w:sz w:val="22"/>
          <w:szCs w:val="22"/>
          <w:lang w:val="sr-Latn-ME"/>
        </w:rPr>
        <w:t>o o PML nastavku).</w:t>
      </w:r>
    </w:p>
    <w:p w14:paraId="113D61DD" w14:textId="77777777" w:rsidR="006A5377" w:rsidRPr="00616B65" w:rsidRDefault="006A5377" w:rsidP="0023493E">
      <w:pPr>
        <w:tabs>
          <w:tab w:val="left" w:pos="540"/>
          <w:tab w:val="left" w:pos="569"/>
        </w:tabs>
        <w:jc w:val="both"/>
        <w:rPr>
          <w:bCs/>
          <w:sz w:val="22"/>
          <w:szCs w:val="22"/>
          <w:lang w:val="sr-Latn-ME"/>
        </w:rPr>
      </w:pPr>
    </w:p>
    <w:p w14:paraId="7AE02456" w14:textId="17BD4DF1" w:rsidR="006A5377" w:rsidRPr="00616B65" w:rsidRDefault="006A5377">
      <w:pPr>
        <w:tabs>
          <w:tab w:val="left" w:pos="540"/>
          <w:tab w:val="left" w:pos="569"/>
        </w:tabs>
        <w:jc w:val="both"/>
        <w:rPr>
          <w:bCs/>
          <w:sz w:val="22"/>
          <w:szCs w:val="22"/>
          <w:lang w:val="sr-Latn-ME"/>
        </w:rPr>
      </w:pPr>
      <w:r w:rsidRPr="00616B65">
        <w:rPr>
          <w:bCs/>
          <w:sz w:val="22"/>
          <w:szCs w:val="22"/>
          <w:lang w:val="sr-Latn-ME"/>
        </w:rPr>
        <w:t>Broj limfocita treba pratiti do oporavka. Nakon oporavka i u odsustvu alternativnih opcija l</w:t>
      </w:r>
      <w:r w:rsidR="008F6036" w:rsidRPr="00616B65">
        <w:rPr>
          <w:bCs/>
          <w:sz w:val="22"/>
          <w:szCs w:val="22"/>
          <w:lang w:val="sr-Latn-ME"/>
        </w:rPr>
        <w:t>ij</w:t>
      </w:r>
      <w:r w:rsidRPr="00616B65">
        <w:rPr>
          <w:bCs/>
          <w:sz w:val="22"/>
          <w:szCs w:val="22"/>
          <w:lang w:val="sr-Latn-ME"/>
        </w:rPr>
        <w:t>ečenja, odluka da li će se ponovo početi sa prim</w:t>
      </w:r>
      <w:r w:rsidR="008F6036" w:rsidRPr="00616B65">
        <w:rPr>
          <w:bCs/>
          <w:sz w:val="22"/>
          <w:szCs w:val="22"/>
          <w:lang w:val="sr-Latn-ME"/>
        </w:rPr>
        <w:t>j</w:t>
      </w:r>
      <w:r w:rsidRPr="00616B65">
        <w:rPr>
          <w:bCs/>
          <w:sz w:val="22"/>
          <w:szCs w:val="22"/>
          <w:lang w:val="sr-Latn-ME"/>
        </w:rPr>
        <w:t>enom l</w:t>
      </w:r>
      <w:r w:rsidR="008F6036" w:rsidRPr="00616B65">
        <w:rPr>
          <w:bCs/>
          <w:sz w:val="22"/>
          <w:szCs w:val="22"/>
          <w:lang w:val="sr-Latn-ME"/>
        </w:rPr>
        <w:t>ij</w:t>
      </w:r>
      <w:r w:rsidRPr="00616B65">
        <w:rPr>
          <w:bCs/>
          <w:sz w:val="22"/>
          <w:szCs w:val="22"/>
          <w:lang w:val="sr-Latn-ME"/>
        </w:rPr>
        <w:t>eka Dimetex nakon prekida l</w:t>
      </w:r>
      <w:r w:rsidR="008F6036" w:rsidRPr="00616B65">
        <w:rPr>
          <w:bCs/>
          <w:sz w:val="22"/>
          <w:szCs w:val="22"/>
          <w:lang w:val="sr-Latn-ME"/>
        </w:rPr>
        <w:t>ij</w:t>
      </w:r>
      <w:r w:rsidRPr="00616B65">
        <w:rPr>
          <w:bCs/>
          <w:sz w:val="22"/>
          <w:szCs w:val="22"/>
          <w:lang w:val="sr-Latn-ME"/>
        </w:rPr>
        <w:t>ečenja treba da bude zasnovana na kliničkoj proc</w:t>
      </w:r>
      <w:r w:rsidR="008F6036" w:rsidRPr="00616B65">
        <w:rPr>
          <w:bCs/>
          <w:sz w:val="22"/>
          <w:szCs w:val="22"/>
          <w:lang w:val="sr-Latn-ME"/>
        </w:rPr>
        <w:t>j</w:t>
      </w:r>
      <w:r w:rsidRPr="00616B65">
        <w:rPr>
          <w:bCs/>
          <w:sz w:val="22"/>
          <w:szCs w:val="22"/>
          <w:lang w:val="sr-Latn-ME"/>
        </w:rPr>
        <w:t>eni.</w:t>
      </w:r>
    </w:p>
    <w:p w14:paraId="03DEFB45" w14:textId="77777777" w:rsidR="006A5377" w:rsidRPr="00616B65" w:rsidRDefault="006A5377">
      <w:pPr>
        <w:tabs>
          <w:tab w:val="left" w:pos="540"/>
          <w:tab w:val="left" w:pos="569"/>
        </w:tabs>
        <w:jc w:val="both"/>
        <w:rPr>
          <w:bCs/>
          <w:sz w:val="22"/>
          <w:szCs w:val="22"/>
          <w:lang w:val="sr-Latn-ME"/>
        </w:rPr>
      </w:pPr>
    </w:p>
    <w:p w14:paraId="1C5A3BA5"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Magnetna rezonanca (MR)</w:t>
      </w:r>
    </w:p>
    <w:p w14:paraId="135E5F50" w14:textId="77777777" w:rsidR="008F6036" w:rsidRPr="00616B65" w:rsidRDefault="008F6036">
      <w:pPr>
        <w:tabs>
          <w:tab w:val="left" w:pos="540"/>
          <w:tab w:val="left" w:pos="569"/>
        </w:tabs>
        <w:jc w:val="both"/>
        <w:rPr>
          <w:bCs/>
          <w:sz w:val="22"/>
          <w:szCs w:val="22"/>
          <w:u w:val="single"/>
          <w:lang w:val="sr-Latn-ME"/>
        </w:rPr>
      </w:pPr>
    </w:p>
    <w:p w14:paraId="4CAED78C" w14:textId="733C0369" w:rsidR="006A5377" w:rsidRPr="00616B65" w:rsidRDefault="006A5377">
      <w:pPr>
        <w:tabs>
          <w:tab w:val="left" w:pos="540"/>
          <w:tab w:val="left" w:pos="569"/>
        </w:tabs>
        <w:jc w:val="both"/>
        <w:rPr>
          <w:bCs/>
          <w:sz w:val="22"/>
          <w:szCs w:val="22"/>
          <w:lang w:val="sr-Latn-ME"/>
        </w:rPr>
      </w:pPr>
      <w:r w:rsidRPr="00616B65">
        <w:rPr>
          <w:bCs/>
          <w:sz w:val="22"/>
          <w:szCs w:val="22"/>
          <w:lang w:val="sr-Latn-ME"/>
        </w:rPr>
        <w:t>Pr</w:t>
      </w:r>
      <w:r w:rsidR="008F6036" w:rsidRPr="00616B65">
        <w:rPr>
          <w:bCs/>
          <w:sz w:val="22"/>
          <w:szCs w:val="22"/>
          <w:lang w:val="sr-Latn-ME"/>
        </w:rPr>
        <w:t>ij</w:t>
      </w:r>
      <w:r w:rsidRPr="00616B65">
        <w:rPr>
          <w:bCs/>
          <w:sz w:val="22"/>
          <w:szCs w:val="22"/>
          <w:lang w:val="sr-Latn-ME"/>
        </w:rPr>
        <w:t>e započinjanja terapije l</w:t>
      </w:r>
      <w:r w:rsidR="008F6036" w:rsidRPr="00616B65">
        <w:rPr>
          <w:bCs/>
          <w:sz w:val="22"/>
          <w:szCs w:val="22"/>
          <w:lang w:val="sr-Latn-ME"/>
        </w:rPr>
        <w:t>ij</w:t>
      </w:r>
      <w:r w:rsidRPr="00616B65">
        <w:rPr>
          <w:bCs/>
          <w:sz w:val="22"/>
          <w:szCs w:val="22"/>
          <w:lang w:val="sr-Latn-ME"/>
        </w:rPr>
        <w:t>ekom Dimetex, početni MR nalaz (urađen obično u okviru 3 m</w:t>
      </w:r>
      <w:r w:rsidR="008F6036" w:rsidRPr="00616B65">
        <w:rPr>
          <w:bCs/>
          <w:sz w:val="22"/>
          <w:szCs w:val="22"/>
          <w:lang w:val="sr-Latn-ME"/>
        </w:rPr>
        <w:t>j</w:t>
      </w:r>
      <w:r w:rsidRPr="00616B65">
        <w:rPr>
          <w:bCs/>
          <w:sz w:val="22"/>
          <w:szCs w:val="22"/>
          <w:lang w:val="sr-Latn-ME"/>
        </w:rPr>
        <w:t>eseca), treba da bude dostupan kao referenca. Potrebu za daljim MR snimanjem treba razmotriti u skladu sa nacionalnim i lokalnim preporukama. MR snimanje se može smatrati kao d</w:t>
      </w:r>
      <w:r w:rsidR="008F6036" w:rsidRPr="00616B65">
        <w:rPr>
          <w:bCs/>
          <w:sz w:val="22"/>
          <w:szCs w:val="22"/>
          <w:lang w:val="sr-Latn-ME"/>
        </w:rPr>
        <w:t>i</w:t>
      </w:r>
      <w:r w:rsidRPr="00616B65">
        <w:rPr>
          <w:bCs/>
          <w:sz w:val="22"/>
          <w:szCs w:val="22"/>
          <w:lang w:val="sr-Latn-ME"/>
        </w:rPr>
        <w:t>o pojačanog nadzora kod pacijenata za koje se smatra da imaju povećan rizik od PML-a. U slučaju kliničke sumnje na PML, treba odmah uraditi MR pregled u dijagnostičke svrhe.</w:t>
      </w:r>
    </w:p>
    <w:p w14:paraId="6A8FEEF2" w14:textId="77777777" w:rsidR="006A5377" w:rsidRPr="00616B65" w:rsidRDefault="006A5377">
      <w:pPr>
        <w:tabs>
          <w:tab w:val="left" w:pos="540"/>
          <w:tab w:val="left" w:pos="569"/>
        </w:tabs>
        <w:jc w:val="both"/>
        <w:rPr>
          <w:bCs/>
          <w:sz w:val="22"/>
          <w:szCs w:val="22"/>
          <w:lang w:val="sr-Latn-ME"/>
        </w:rPr>
      </w:pPr>
    </w:p>
    <w:p w14:paraId="2ECEB8FE"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Progresivna multifokalna leukoencefalopatija (PML)</w:t>
      </w:r>
    </w:p>
    <w:p w14:paraId="4B9BC483" w14:textId="77777777" w:rsidR="006A5377" w:rsidRPr="00616B65" w:rsidRDefault="006A5377">
      <w:pPr>
        <w:tabs>
          <w:tab w:val="left" w:pos="540"/>
          <w:tab w:val="left" w:pos="569"/>
        </w:tabs>
        <w:jc w:val="both"/>
        <w:rPr>
          <w:bCs/>
          <w:sz w:val="22"/>
          <w:szCs w:val="22"/>
          <w:lang w:val="sr-Latn-ME"/>
        </w:rPr>
      </w:pPr>
    </w:p>
    <w:p w14:paraId="31CEA012" w14:textId="72A7B2D4" w:rsidR="006A5377" w:rsidRPr="00616B65" w:rsidRDefault="006A5377">
      <w:pPr>
        <w:tabs>
          <w:tab w:val="left" w:pos="540"/>
          <w:tab w:val="left" w:pos="569"/>
        </w:tabs>
        <w:jc w:val="both"/>
        <w:rPr>
          <w:bCs/>
          <w:sz w:val="22"/>
          <w:szCs w:val="22"/>
          <w:lang w:val="sr-Latn-ME"/>
        </w:rPr>
      </w:pPr>
      <w:r w:rsidRPr="00616B65">
        <w:rPr>
          <w:bCs/>
          <w:sz w:val="22"/>
          <w:szCs w:val="22"/>
          <w:lang w:val="sr-Latn-ME"/>
        </w:rPr>
        <w:t>PML je prijavljena kod pacijenata na terapiji l</w:t>
      </w:r>
      <w:r w:rsidR="008F6036" w:rsidRPr="00616B65">
        <w:rPr>
          <w:bCs/>
          <w:sz w:val="22"/>
          <w:szCs w:val="22"/>
          <w:lang w:val="sr-Latn-ME"/>
        </w:rPr>
        <w:t>ij</w:t>
      </w:r>
      <w:r w:rsidRPr="00616B65">
        <w:rPr>
          <w:bCs/>
          <w:sz w:val="22"/>
          <w:szCs w:val="22"/>
          <w:lang w:val="sr-Latn-ME"/>
        </w:rPr>
        <w:t>ekom Dimetex (</w:t>
      </w:r>
      <w:r w:rsidR="0023493E"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4.8). PML je oportunistička infekcija uzrokovana John-Cunningham virusom (JCV), koja može imati smrtni ishod ili može dovesti do teškog invaliditeta.</w:t>
      </w:r>
    </w:p>
    <w:p w14:paraId="5EDF9B25" w14:textId="77777777" w:rsidR="006A5377" w:rsidRPr="00616B65" w:rsidRDefault="006A5377">
      <w:pPr>
        <w:tabs>
          <w:tab w:val="left" w:pos="540"/>
          <w:tab w:val="left" w:pos="569"/>
        </w:tabs>
        <w:jc w:val="both"/>
        <w:rPr>
          <w:bCs/>
          <w:sz w:val="22"/>
          <w:szCs w:val="22"/>
          <w:lang w:val="sr-Latn-ME"/>
        </w:rPr>
      </w:pPr>
    </w:p>
    <w:p w14:paraId="434FB4A8" w14:textId="42D0BBE6" w:rsidR="006A5377" w:rsidRPr="00616B65" w:rsidRDefault="006A5377">
      <w:pPr>
        <w:tabs>
          <w:tab w:val="left" w:pos="540"/>
          <w:tab w:val="left" w:pos="569"/>
        </w:tabs>
        <w:jc w:val="both"/>
        <w:rPr>
          <w:bCs/>
          <w:sz w:val="22"/>
          <w:szCs w:val="22"/>
          <w:lang w:val="sr-Latn-ME"/>
        </w:rPr>
      </w:pPr>
      <w:r w:rsidRPr="00616B65">
        <w:rPr>
          <w:bCs/>
          <w:sz w:val="22"/>
          <w:szCs w:val="22"/>
          <w:lang w:val="sr-Latn-ME"/>
        </w:rPr>
        <w:t>Do slučajeva PML došlo je tokom prim</w:t>
      </w:r>
      <w:r w:rsidR="008F6036" w:rsidRPr="00616B65">
        <w:rPr>
          <w:bCs/>
          <w:sz w:val="22"/>
          <w:szCs w:val="22"/>
          <w:lang w:val="sr-Latn-ME"/>
        </w:rPr>
        <w:t>j</w:t>
      </w:r>
      <w:r w:rsidRPr="00616B65">
        <w:rPr>
          <w:bCs/>
          <w:sz w:val="22"/>
          <w:szCs w:val="22"/>
          <w:lang w:val="sr-Latn-ME"/>
        </w:rPr>
        <w:t xml:space="preserve">ene </w:t>
      </w:r>
      <w:r w:rsidR="002635CF" w:rsidRPr="00616B65">
        <w:rPr>
          <w:bCs/>
          <w:sz w:val="22"/>
          <w:szCs w:val="22"/>
          <w:lang w:val="sr-Latn-ME"/>
        </w:rPr>
        <w:t>dimetil fumarat</w:t>
      </w:r>
      <w:r w:rsidRPr="00616B65">
        <w:rPr>
          <w:bCs/>
          <w:sz w:val="22"/>
          <w:szCs w:val="22"/>
          <w:lang w:val="sr-Latn-ME"/>
        </w:rPr>
        <w:t>a i drugih l</w:t>
      </w:r>
      <w:r w:rsidR="008F6036" w:rsidRPr="00616B65">
        <w:rPr>
          <w:bCs/>
          <w:sz w:val="22"/>
          <w:szCs w:val="22"/>
          <w:lang w:val="sr-Latn-ME"/>
        </w:rPr>
        <w:t>j</w:t>
      </w:r>
      <w:r w:rsidRPr="00616B65">
        <w:rPr>
          <w:bCs/>
          <w:sz w:val="22"/>
          <w:szCs w:val="22"/>
          <w:lang w:val="sr-Latn-ME"/>
        </w:rPr>
        <w:t>ekova koji sadrže fumarate u stanju limfopenije (broj limfocita ispod donje granice normalnih vr</w:t>
      </w:r>
      <w:r w:rsidR="008F6036" w:rsidRPr="00616B65">
        <w:rPr>
          <w:bCs/>
          <w:sz w:val="22"/>
          <w:szCs w:val="22"/>
          <w:lang w:val="sr-Latn-ME"/>
        </w:rPr>
        <w:t>ij</w:t>
      </w:r>
      <w:r w:rsidRPr="00616B65">
        <w:rPr>
          <w:bCs/>
          <w:sz w:val="22"/>
          <w:szCs w:val="22"/>
          <w:lang w:val="sr-Latn-ME"/>
        </w:rPr>
        <w:t>ednosti). Čini se da dugotrajna um</w:t>
      </w:r>
      <w:r w:rsidR="008F6036" w:rsidRPr="00616B65">
        <w:rPr>
          <w:bCs/>
          <w:sz w:val="22"/>
          <w:szCs w:val="22"/>
          <w:lang w:val="sr-Latn-ME"/>
        </w:rPr>
        <w:t>j</w:t>
      </w:r>
      <w:r w:rsidRPr="00616B65">
        <w:rPr>
          <w:bCs/>
          <w:sz w:val="22"/>
          <w:szCs w:val="22"/>
          <w:lang w:val="sr-Latn-ME"/>
        </w:rPr>
        <w:t xml:space="preserve">erena do teška limfopenija povećava rizik </w:t>
      </w:r>
      <w:r w:rsidR="006F1B97" w:rsidRPr="00616B65">
        <w:rPr>
          <w:bCs/>
          <w:sz w:val="22"/>
          <w:szCs w:val="22"/>
          <w:lang w:val="sr-Latn-ME"/>
        </w:rPr>
        <w:t>od</w:t>
      </w:r>
      <w:r w:rsidRPr="00616B65">
        <w:rPr>
          <w:bCs/>
          <w:sz w:val="22"/>
          <w:szCs w:val="22"/>
          <w:lang w:val="sr-Latn-ME"/>
        </w:rPr>
        <w:t xml:space="preserve"> nastanak</w:t>
      </w:r>
      <w:r w:rsidR="006F1B97" w:rsidRPr="00616B65">
        <w:rPr>
          <w:bCs/>
          <w:sz w:val="22"/>
          <w:szCs w:val="22"/>
          <w:lang w:val="sr-Latn-ME"/>
        </w:rPr>
        <w:t>a</w:t>
      </w:r>
      <w:r w:rsidRPr="00616B65">
        <w:rPr>
          <w:bCs/>
          <w:sz w:val="22"/>
          <w:szCs w:val="22"/>
          <w:lang w:val="sr-Latn-ME"/>
        </w:rPr>
        <w:t xml:space="preserve"> PML uz istovremenu prim</w:t>
      </w:r>
      <w:r w:rsidR="008F6036" w:rsidRPr="00616B65">
        <w:rPr>
          <w:bCs/>
          <w:sz w:val="22"/>
          <w:szCs w:val="22"/>
          <w:lang w:val="sr-Latn-ME"/>
        </w:rPr>
        <w:t>j</w:t>
      </w:r>
      <w:r w:rsidRPr="00616B65">
        <w:rPr>
          <w:bCs/>
          <w:sz w:val="22"/>
          <w:szCs w:val="22"/>
          <w:lang w:val="sr-Latn-ME"/>
        </w:rPr>
        <w:t>enu l</w:t>
      </w:r>
      <w:r w:rsidR="008F6036" w:rsidRPr="00616B65">
        <w:rPr>
          <w:bCs/>
          <w:sz w:val="22"/>
          <w:szCs w:val="22"/>
          <w:lang w:val="sr-Latn-ME"/>
        </w:rPr>
        <w:t>ij</w:t>
      </w:r>
      <w:r w:rsidRPr="00616B65">
        <w:rPr>
          <w:bCs/>
          <w:sz w:val="22"/>
          <w:szCs w:val="22"/>
          <w:lang w:val="sr-Latn-ME"/>
        </w:rPr>
        <w:t>eka Dimetex, ali se rizik ne može isključiti ni kod pacijenata sa blagom limfopenijom.</w:t>
      </w:r>
    </w:p>
    <w:p w14:paraId="3D6E74B9" w14:textId="177D8645" w:rsidR="004F2717" w:rsidRPr="00616B65" w:rsidRDefault="006A5377">
      <w:pPr>
        <w:tabs>
          <w:tab w:val="left" w:pos="540"/>
          <w:tab w:val="left" w:pos="569"/>
        </w:tabs>
        <w:jc w:val="both"/>
        <w:rPr>
          <w:bCs/>
          <w:sz w:val="22"/>
          <w:szCs w:val="22"/>
          <w:lang w:val="sr-Latn-ME"/>
        </w:rPr>
      </w:pPr>
      <w:r w:rsidRPr="00616B65">
        <w:rPr>
          <w:bCs/>
          <w:sz w:val="22"/>
          <w:szCs w:val="22"/>
          <w:lang w:val="sr-Latn-ME"/>
        </w:rPr>
        <w:t>Dodatni faktori koji bi mogli doprin</w:t>
      </w:r>
      <w:r w:rsidR="006F1B97" w:rsidRPr="00616B65">
        <w:rPr>
          <w:bCs/>
          <w:sz w:val="22"/>
          <w:szCs w:val="22"/>
          <w:lang w:val="sr-Latn-ME"/>
        </w:rPr>
        <w:t>ij</w:t>
      </w:r>
      <w:r w:rsidRPr="00616B65">
        <w:rPr>
          <w:bCs/>
          <w:sz w:val="22"/>
          <w:szCs w:val="22"/>
          <w:lang w:val="sr-Latn-ME"/>
        </w:rPr>
        <w:t xml:space="preserve">eti povećanom riziku </w:t>
      </w:r>
      <w:r w:rsidR="006F1B97" w:rsidRPr="00616B65">
        <w:rPr>
          <w:bCs/>
          <w:sz w:val="22"/>
          <w:szCs w:val="22"/>
          <w:lang w:val="sr-Latn-ME"/>
        </w:rPr>
        <w:t>od</w:t>
      </w:r>
      <w:r w:rsidRPr="00616B65">
        <w:rPr>
          <w:bCs/>
          <w:sz w:val="22"/>
          <w:szCs w:val="22"/>
          <w:lang w:val="sr-Latn-ME"/>
        </w:rPr>
        <w:t xml:space="preserve"> nastanak</w:t>
      </w:r>
      <w:r w:rsidR="006F1B97" w:rsidRPr="00616B65">
        <w:rPr>
          <w:bCs/>
          <w:sz w:val="22"/>
          <w:szCs w:val="22"/>
          <w:lang w:val="sr-Latn-ME"/>
        </w:rPr>
        <w:t>a</w:t>
      </w:r>
      <w:r w:rsidRPr="00616B65">
        <w:rPr>
          <w:bCs/>
          <w:sz w:val="22"/>
          <w:szCs w:val="22"/>
          <w:lang w:val="sr-Latn-ME"/>
        </w:rPr>
        <w:t xml:space="preserve"> PML u stanju limfopenije su:</w:t>
      </w:r>
    </w:p>
    <w:p w14:paraId="5744E0CD" w14:textId="43E23760" w:rsidR="004F2717" w:rsidRPr="00616B65" w:rsidRDefault="006A5377" w:rsidP="005A340E">
      <w:pPr>
        <w:pStyle w:val="ListParagraph"/>
        <w:numPr>
          <w:ilvl w:val="0"/>
          <w:numId w:val="12"/>
        </w:numPr>
        <w:tabs>
          <w:tab w:val="left" w:pos="540"/>
          <w:tab w:val="left" w:pos="569"/>
        </w:tabs>
        <w:ind w:left="360"/>
        <w:jc w:val="both"/>
        <w:rPr>
          <w:bCs/>
          <w:sz w:val="22"/>
          <w:szCs w:val="22"/>
          <w:lang w:val="sr-Latn-ME"/>
        </w:rPr>
      </w:pPr>
      <w:r w:rsidRPr="00616B65">
        <w:rPr>
          <w:bCs/>
          <w:sz w:val="22"/>
          <w:szCs w:val="22"/>
          <w:lang w:val="sr-Latn-ME"/>
        </w:rPr>
        <w:t>trajanje terapije l</w:t>
      </w:r>
      <w:r w:rsidR="008F6036" w:rsidRPr="00616B65">
        <w:rPr>
          <w:bCs/>
          <w:sz w:val="22"/>
          <w:szCs w:val="22"/>
          <w:lang w:val="sr-Latn-ME"/>
        </w:rPr>
        <w:t>ij</w:t>
      </w:r>
      <w:r w:rsidRPr="00616B65">
        <w:rPr>
          <w:bCs/>
          <w:sz w:val="22"/>
          <w:szCs w:val="22"/>
          <w:lang w:val="sr-Latn-ME"/>
        </w:rPr>
        <w:t>ekom Dimetex. Slučajevi PML su se pojavili nakon približno 1 do 5 godina</w:t>
      </w:r>
      <w:r w:rsidR="004F2717" w:rsidRPr="00616B65">
        <w:rPr>
          <w:bCs/>
          <w:sz w:val="22"/>
          <w:szCs w:val="22"/>
          <w:lang w:val="sr-Latn-ME"/>
        </w:rPr>
        <w:t xml:space="preserve"> </w:t>
      </w:r>
      <w:r w:rsidRPr="00616B65">
        <w:rPr>
          <w:bCs/>
          <w:sz w:val="22"/>
          <w:szCs w:val="22"/>
          <w:lang w:val="sr-Latn-ME"/>
        </w:rPr>
        <w:t>terapije,</w:t>
      </w:r>
      <w:r w:rsidR="008F6036" w:rsidRPr="00616B65">
        <w:rPr>
          <w:bCs/>
          <w:sz w:val="22"/>
          <w:szCs w:val="22"/>
          <w:lang w:val="sr-Latn-ME"/>
        </w:rPr>
        <w:t xml:space="preserve"> </w:t>
      </w:r>
      <w:r w:rsidRPr="00616B65">
        <w:rPr>
          <w:bCs/>
          <w:sz w:val="22"/>
          <w:szCs w:val="22"/>
          <w:lang w:val="sr-Latn-ME"/>
        </w:rPr>
        <w:t>mada tačna povezanost sa trajanjem terapije nije poznata;</w:t>
      </w:r>
    </w:p>
    <w:p w14:paraId="49109925" w14:textId="2A2A4150" w:rsidR="004F2717" w:rsidRPr="00616B65" w:rsidRDefault="006A5377" w:rsidP="005A340E">
      <w:pPr>
        <w:pStyle w:val="ListParagraph"/>
        <w:numPr>
          <w:ilvl w:val="0"/>
          <w:numId w:val="12"/>
        </w:numPr>
        <w:tabs>
          <w:tab w:val="left" w:pos="540"/>
          <w:tab w:val="left" w:pos="569"/>
        </w:tabs>
        <w:ind w:left="360"/>
        <w:jc w:val="both"/>
        <w:rPr>
          <w:bCs/>
          <w:sz w:val="22"/>
          <w:szCs w:val="22"/>
          <w:lang w:val="sr-Latn-ME"/>
        </w:rPr>
      </w:pPr>
      <w:r w:rsidRPr="00616B65">
        <w:rPr>
          <w:bCs/>
          <w:sz w:val="22"/>
          <w:szCs w:val="22"/>
          <w:lang w:val="sr-Latn-ME"/>
        </w:rPr>
        <w:t>značajna smanjenja broja T ćelija CD4+ i naročito CD8+, koje su važne za imunsku odbranu (</w:t>
      </w:r>
      <w:r w:rsidR="006F1B97"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4.8);</w:t>
      </w:r>
    </w:p>
    <w:p w14:paraId="71E5E40C" w14:textId="457F78EF" w:rsidR="006A5377" w:rsidRPr="00616B65" w:rsidRDefault="006A5377" w:rsidP="005A340E">
      <w:pPr>
        <w:pStyle w:val="ListParagraph"/>
        <w:numPr>
          <w:ilvl w:val="0"/>
          <w:numId w:val="12"/>
        </w:numPr>
        <w:tabs>
          <w:tab w:val="left" w:pos="540"/>
          <w:tab w:val="left" w:pos="569"/>
        </w:tabs>
        <w:ind w:left="360"/>
        <w:jc w:val="both"/>
        <w:rPr>
          <w:sz w:val="22"/>
          <w:szCs w:val="22"/>
          <w:lang w:val="sr-Latn-ME"/>
        </w:rPr>
      </w:pPr>
      <w:r w:rsidRPr="00616B65">
        <w:rPr>
          <w:sz w:val="22"/>
          <w:szCs w:val="22"/>
          <w:lang w:val="sr-Latn-ME"/>
        </w:rPr>
        <w:t>prethodna imunosupresivna ili imunomodulatorna terapija (</w:t>
      </w:r>
      <w:r w:rsidR="006F1B97" w:rsidRPr="00616B65">
        <w:rPr>
          <w:sz w:val="22"/>
          <w:szCs w:val="22"/>
          <w:lang w:val="sr-Latn-ME"/>
        </w:rPr>
        <w:t xml:space="preserve">vidjeti </w:t>
      </w:r>
      <w:r w:rsidRPr="00616B65">
        <w:rPr>
          <w:sz w:val="22"/>
          <w:szCs w:val="22"/>
          <w:lang w:val="sr-Latn-ME"/>
        </w:rPr>
        <w:t>u nastavku).</w:t>
      </w:r>
    </w:p>
    <w:p w14:paraId="1B6A9014" w14:textId="77777777" w:rsidR="006A5377" w:rsidRPr="00616B65" w:rsidRDefault="006A5377">
      <w:pPr>
        <w:tabs>
          <w:tab w:val="left" w:pos="540"/>
          <w:tab w:val="left" w:pos="569"/>
        </w:tabs>
        <w:jc w:val="both"/>
        <w:rPr>
          <w:bCs/>
          <w:sz w:val="22"/>
          <w:szCs w:val="22"/>
          <w:lang w:val="sr-Latn-ME"/>
        </w:rPr>
      </w:pPr>
    </w:p>
    <w:p w14:paraId="62262282" w14:textId="7E8679F2" w:rsidR="006A5377" w:rsidRPr="00616B65" w:rsidRDefault="006A5377">
      <w:pPr>
        <w:tabs>
          <w:tab w:val="left" w:pos="540"/>
          <w:tab w:val="left" w:pos="569"/>
        </w:tabs>
        <w:jc w:val="both"/>
        <w:rPr>
          <w:bCs/>
          <w:sz w:val="22"/>
          <w:szCs w:val="22"/>
          <w:lang w:val="sr-Latn-ME"/>
        </w:rPr>
      </w:pPr>
      <w:r w:rsidRPr="00616B65">
        <w:rPr>
          <w:bCs/>
          <w:sz w:val="22"/>
          <w:szCs w:val="22"/>
          <w:lang w:val="sr-Latn-ME"/>
        </w:rPr>
        <w:lastRenderedPageBreak/>
        <w:t>L</w:t>
      </w:r>
      <w:r w:rsidR="008F6036" w:rsidRPr="00616B65">
        <w:rPr>
          <w:bCs/>
          <w:sz w:val="22"/>
          <w:szCs w:val="22"/>
          <w:lang w:val="sr-Latn-ME"/>
        </w:rPr>
        <w:t>j</w:t>
      </w:r>
      <w:r w:rsidRPr="00616B65">
        <w:rPr>
          <w:bCs/>
          <w:sz w:val="22"/>
          <w:szCs w:val="22"/>
          <w:lang w:val="sr-Latn-ME"/>
        </w:rPr>
        <w:t>ekari moraju proc</w:t>
      </w:r>
      <w:r w:rsidR="008F6036" w:rsidRPr="00616B65">
        <w:rPr>
          <w:bCs/>
          <w:sz w:val="22"/>
          <w:szCs w:val="22"/>
          <w:lang w:val="sr-Latn-ME"/>
        </w:rPr>
        <w:t>ij</w:t>
      </w:r>
      <w:r w:rsidRPr="00616B65">
        <w:rPr>
          <w:bCs/>
          <w:sz w:val="22"/>
          <w:szCs w:val="22"/>
          <w:lang w:val="sr-Latn-ME"/>
        </w:rPr>
        <w:t>eniti stanje svojih pacijenata kako bi utvrdili da li simptomi ukazuju na neurološku disfunkciju i, ako je tako, da li su ti simptomi tipični za MS ili možda ukazuju na PML.</w:t>
      </w:r>
    </w:p>
    <w:p w14:paraId="6C06CDDC" w14:textId="77777777" w:rsidR="006A5377" w:rsidRPr="00616B65" w:rsidRDefault="006A5377">
      <w:pPr>
        <w:tabs>
          <w:tab w:val="left" w:pos="540"/>
          <w:tab w:val="left" w:pos="569"/>
        </w:tabs>
        <w:jc w:val="both"/>
        <w:rPr>
          <w:bCs/>
          <w:sz w:val="22"/>
          <w:szCs w:val="22"/>
          <w:lang w:val="sr-Latn-ME"/>
        </w:rPr>
      </w:pPr>
    </w:p>
    <w:p w14:paraId="5C145BB1" w14:textId="464F3088" w:rsidR="006A5377" w:rsidRPr="00616B65" w:rsidRDefault="006A5377">
      <w:pPr>
        <w:tabs>
          <w:tab w:val="left" w:pos="540"/>
          <w:tab w:val="left" w:pos="569"/>
        </w:tabs>
        <w:jc w:val="both"/>
        <w:rPr>
          <w:bCs/>
          <w:sz w:val="22"/>
          <w:szCs w:val="22"/>
          <w:lang w:val="sr-Latn-ME"/>
        </w:rPr>
      </w:pPr>
      <w:r w:rsidRPr="00616B65">
        <w:rPr>
          <w:bCs/>
          <w:sz w:val="22"/>
          <w:szCs w:val="22"/>
          <w:lang w:val="sr-Latn-ME"/>
        </w:rPr>
        <w:t>Kod pojave prvog znaka ili simptoma koji ukazuje na PML, treba prekinuti prim</w:t>
      </w:r>
      <w:r w:rsidR="008F6036" w:rsidRPr="00616B65">
        <w:rPr>
          <w:bCs/>
          <w:sz w:val="22"/>
          <w:szCs w:val="22"/>
          <w:lang w:val="sr-Latn-ME"/>
        </w:rPr>
        <w:t>j</w:t>
      </w:r>
      <w:r w:rsidRPr="00616B65">
        <w:rPr>
          <w:bCs/>
          <w:sz w:val="22"/>
          <w:szCs w:val="22"/>
          <w:lang w:val="sr-Latn-ME"/>
        </w:rPr>
        <w:t>enu l</w:t>
      </w:r>
      <w:r w:rsidR="008F6036" w:rsidRPr="00616B65">
        <w:rPr>
          <w:bCs/>
          <w:sz w:val="22"/>
          <w:szCs w:val="22"/>
          <w:lang w:val="sr-Latn-ME"/>
        </w:rPr>
        <w:t>ij</w:t>
      </w:r>
      <w:r w:rsidRPr="00616B65">
        <w:rPr>
          <w:bCs/>
          <w:sz w:val="22"/>
          <w:szCs w:val="22"/>
          <w:lang w:val="sr-Latn-ME"/>
        </w:rPr>
        <w:t>eka Dimetex i sprovesti odgovarajuće dijagnostičke proc</w:t>
      </w:r>
      <w:r w:rsidR="008F6036" w:rsidRPr="00616B65">
        <w:rPr>
          <w:bCs/>
          <w:sz w:val="22"/>
          <w:szCs w:val="22"/>
          <w:lang w:val="sr-Latn-ME"/>
        </w:rPr>
        <w:t>j</w:t>
      </w:r>
      <w:r w:rsidRPr="00616B65">
        <w:rPr>
          <w:bCs/>
          <w:sz w:val="22"/>
          <w:szCs w:val="22"/>
          <w:lang w:val="sr-Latn-ME"/>
        </w:rPr>
        <w:t>ene, uključujući utvrđivanje DNK JCV u cerebrospinalnoj tečnosti metodom kvantitativne lančane reakcije polimeraze (PCR). Simptomi PML mogu biti slični onima kod relapsa MS. Tipični simptomi povezani sa PML su raznovrsni, razvijaju se danima do ned</w:t>
      </w:r>
      <w:r w:rsidR="006F1B97" w:rsidRPr="00616B65">
        <w:rPr>
          <w:bCs/>
          <w:sz w:val="22"/>
          <w:szCs w:val="22"/>
          <w:lang w:val="sr-Latn-ME"/>
        </w:rPr>
        <w:t>j</w:t>
      </w:r>
      <w:r w:rsidRPr="00616B65">
        <w:rPr>
          <w:bCs/>
          <w:sz w:val="22"/>
          <w:szCs w:val="22"/>
          <w:lang w:val="sr-Latn-ME"/>
        </w:rPr>
        <w:t>eljama, a uključuju progresivnu slabost na jednoj strani t</w:t>
      </w:r>
      <w:r w:rsidR="008F6036" w:rsidRPr="00616B65">
        <w:rPr>
          <w:bCs/>
          <w:sz w:val="22"/>
          <w:szCs w:val="22"/>
          <w:lang w:val="sr-Latn-ME"/>
        </w:rPr>
        <w:t>ij</w:t>
      </w:r>
      <w:r w:rsidRPr="00616B65">
        <w:rPr>
          <w:bCs/>
          <w:sz w:val="22"/>
          <w:szCs w:val="22"/>
          <w:lang w:val="sr-Latn-ME"/>
        </w:rPr>
        <w:t>ela ili nespretnost udova, poremećaj vida i prom</w:t>
      </w:r>
      <w:r w:rsidR="008F6036" w:rsidRPr="00616B65">
        <w:rPr>
          <w:bCs/>
          <w:sz w:val="22"/>
          <w:szCs w:val="22"/>
          <w:lang w:val="sr-Latn-ME"/>
        </w:rPr>
        <w:t>j</w:t>
      </w:r>
      <w:r w:rsidRPr="00616B65">
        <w:rPr>
          <w:bCs/>
          <w:sz w:val="22"/>
          <w:szCs w:val="22"/>
          <w:lang w:val="sr-Latn-ME"/>
        </w:rPr>
        <w:t>ene u razmišljanju, pamćenju i orijentaciji što dovodi do konfuzije i prom</w:t>
      </w:r>
      <w:r w:rsidR="008F6036" w:rsidRPr="00616B65">
        <w:rPr>
          <w:bCs/>
          <w:sz w:val="22"/>
          <w:szCs w:val="22"/>
          <w:lang w:val="sr-Latn-ME"/>
        </w:rPr>
        <w:t>j</w:t>
      </w:r>
      <w:r w:rsidRPr="00616B65">
        <w:rPr>
          <w:bCs/>
          <w:sz w:val="22"/>
          <w:szCs w:val="22"/>
          <w:lang w:val="sr-Latn-ME"/>
        </w:rPr>
        <w:t>ene ličnosti. L</w:t>
      </w:r>
      <w:r w:rsidR="008F6036" w:rsidRPr="00616B65">
        <w:rPr>
          <w:bCs/>
          <w:sz w:val="22"/>
          <w:szCs w:val="22"/>
          <w:lang w:val="sr-Latn-ME"/>
        </w:rPr>
        <w:t>j</w:t>
      </w:r>
      <w:r w:rsidRPr="00616B65">
        <w:rPr>
          <w:bCs/>
          <w:sz w:val="22"/>
          <w:szCs w:val="22"/>
          <w:lang w:val="sr-Latn-ME"/>
        </w:rPr>
        <w:t>ekari moraju obratiti posebnu pažnju na simptome koji ukazuju na PML, a koje pacijent možda neće prim</w:t>
      </w:r>
      <w:r w:rsidR="008F6036" w:rsidRPr="00616B65">
        <w:rPr>
          <w:bCs/>
          <w:sz w:val="22"/>
          <w:szCs w:val="22"/>
          <w:lang w:val="sr-Latn-ME"/>
        </w:rPr>
        <w:t>ij</w:t>
      </w:r>
      <w:r w:rsidRPr="00616B65">
        <w:rPr>
          <w:bCs/>
          <w:sz w:val="22"/>
          <w:szCs w:val="22"/>
          <w:lang w:val="sr-Latn-ME"/>
        </w:rPr>
        <w:t>etiti. Pacijente takođe treba sav</w:t>
      </w:r>
      <w:r w:rsidR="008F6036" w:rsidRPr="00616B65">
        <w:rPr>
          <w:bCs/>
          <w:sz w:val="22"/>
          <w:szCs w:val="22"/>
          <w:lang w:val="sr-Latn-ME"/>
        </w:rPr>
        <w:t>j</w:t>
      </w:r>
      <w:r w:rsidRPr="00616B65">
        <w:rPr>
          <w:bCs/>
          <w:sz w:val="22"/>
          <w:szCs w:val="22"/>
          <w:lang w:val="sr-Latn-ME"/>
        </w:rPr>
        <w:t>etovati da obav</w:t>
      </w:r>
      <w:r w:rsidR="008F6036" w:rsidRPr="00616B65">
        <w:rPr>
          <w:bCs/>
          <w:sz w:val="22"/>
          <w:szCs w:val="22"/>
          <w:lang w:val="sr-Latn-ME"/>
        </w:rPr>
        <w:t>ij</w:t>
      </w:r>
      <w:r w:rsidRPr="00616B65">
        <w:rPr>
          <w:bCs/>
          <w:sz w:val="22"/>
          <w:szCs w:val="22"/>
          <w:lang w:val="sr-Latn-ME"/>
        </w:rPr>
        <w:t>este svog partnera ili n</w:t>
      </w:r>
      <w:r w:rsidR="006F1B97" w:rsidRPr="00616B65">
        <w:rPr>
          <w:bCs/>
          <w:sz w:val="22"/>
          <w:szCs w:val="22"/>
          <w:lang w:val="sr-Latn-ME"/>
        </w:rPr>
        <w:t>j</w:t>
      </w:r>
      <w:r w:rsidRPr="00616B65">
        <w:rPr>
          <w:bCs/>
          <w:sz w:val="22"/>
          <w:szCs w:val="22"/>
          <w:lang w:val="sr-Latn-ME"/>
        </w:rPr>
        <w:t>egovatelje o svom l</w:t>
      </w:r>
      <w:r w:rsidR="008F6036" w:rsidRPr="00616B65">
        <w:rPr>
          <w:bCs/>
          <w:sz w:val="22"/>
          <w:szCs w:val="22"/>
          <w:lang w:val="sr-Latn-ME"/>
        </w:rPr>
        <w:t>ij</w:t>
      </w:r>
      <w:r w:rsidRPr="00616B65">
        <w:rPr>
          <w:bCs/>
          <w:sz w:val="22"/>
          <w:szCs w:val="22"/>
          <w:lang w:val="sr-Latn-ME"/>
        </w:rPr>
        <w:t>ečenju, jer oni mogu prim</w:t>
      </w:r>
      <w:r w:rsidR="006F1B97" w:rsidRPr="00616B65">
        <w:rPr>
          <w:bCs/>
          <w:sz w:val="22"/>
          <w:szCs w:val="22"/>
          <w:lang w:val="sr-Latn-ME"/>
        </w:rPr>
        <w:t>ij</w:t>
      </w:r>
      <w:r w:rsidRPr="00616B65">
        <w:rPr>
          <w:bCs/>
          <w:sz w:val="22"/>
          <w:szCs w:val="22"/>
          <w:lang w:val="sr-Latn-ME"/>
        </w:rPr>
        <w:t>etiti simptome kojih pacijent nije sv</w:t>
      </w:r>
      <w:r w:rsidR="008F6036" w:rsidRPr="00616B65">
        <w:rPr>
          <w:bCs/>
          <w:sz w:val="22"/>
          <w:szCs w:val="22"/>
          <w:lang w:val="sr-Latn-ME"/>
        </w:rPr>
        <w:t>j</w:t>
      </w:r>
      <w:r w:rsidRPr="00616B65">
        <w:rPr>
          <w:bCs/>
          <w:sz w:val="22"/>
          <w:szCs w:val="22"/>
          <w:lang w:val="sr-Latn-ME"/>
        </w:rPr>
        <w:t>estan.</w:t>
      </w:r>
    </w:p>
    <w:p w14:paraId="140E8F5D" w14:textId="77777777" w:rsidR="006A5377" w:rsidRPr="00616B65" w:rsidRDefault="006A5377">
      <w:pPr>
        <w:tabs>
          <w:tab w:val="left" w:pos="540"/>
          <w:tab w:val="left" w:pos="569"/>
        </w:tabs>
        <w:jc w:val="both"/>
        <w:rPr>
          <w:bCs/>
          <w:sz w:val="22"/>
          <w:szCs w:val="22"/>
          <w:lang w:val="sr-Latn-ME"/>
        </w:rPr>
      </w:pPr>
    </w:p>
    <w:p w14:paraId="0D9E9225" w14:textId="38CE8FFE" w:rsidR="006A5377" w:rsidRPr="00616B65" w:rsidRDefault="006A5377">
      <w:pPr>
        <w:tabs>
          <w:tab w:val="left" w:pos="540"/>
          <w:tab w:val="left" w:pos="569"/>
        </w:tabs>
        <w:jc w:val="both"/>
        <w:rPr>
          <w:bCs/>
          <w:sz w:val="22"/>
          <w:szCs w:val="22"/>
          <w:lang w:val="sr-Latn-ME"/>
        </w:rPr>
      </w:pPr>
      <w:r w:rsidRPr="00616B65">
        <w:rPr>
          <w:bCs/>
          <w:sz w:val="22"/>
          <w:szCs w:val="22"/>
          <w:lang w:val="sr-Latn-ME"/>
        </w:rPr>
        <w:t>PML se može javiti samo u prisustvu JCV infekcije. Potrebno je uzeti u obzir da uticaj limfopenije na preciznost testiranja na anti-JCV antit</w:t>
      </w:r>
      <w:r w:rsidR="006F1B97" w:rsidRPr="00616B65">
        <w:rPr>
          <w:bCs/>
          <w:sz w:val="22"/>
          <w:szCs w:val="22"/>
          <w:lang w:val="sr-Latn-ME"/>
        </w:rPr>
        <w:t>ij</w:t>
      </w:r>
      <w:r w:rsidRPr="00616B65">
        <w:rPr>
          <w:bCs/>
          <w:sz w:val="22"/>
          <w:szCs w:val="22"/>
          <w:lang w:val="sr-Latn-ME"/>
        </w:rPr>
        <w:t xml:space="preserve">ela u serumu nije ispitan kod pacijenata koji su na terapiji </w:t>
      </w:r>
      <w:r w:rsidR="002635CF" w:rsidRPr="00616B65">
        <w:rPr>
          <w:bCs/>
          <w:sz w:val="22"/>
          <w:szCs w:val="22"/>
          <w:lang w:val="sr-Latn-ME"/>
        </w:rPr>
        <w:t>dimetil fumarat</w:t>
      </w:r>
      <w:r w:rsidRPr="00616B65">
        <w:rPr>
          <w:bCs/>
          <w:sz w:val="22"/>
          <w:szCs w:val="22"/>
          <w:lang w:val="sr-Latn-ME"/>
        </w:rPr>
        <w:t>om. Potrebno je imati na umu i da negativan test na anti-JCV antit</w:t>
      </w:r>
      <w:r w:rsidR="006F1B97" w:rsidRPr="00616B65">
        <w:rPr>
          <w:bCs/>
          <w:sz w:val="22"/>
          <w:szCs w:val="22"/>
          <w:lang w:val="sr-Latn-ME"/>
        </w:rPr>
        <w:t>ij</w:t>
      </w:r>
      <w:r w:rsidRPr="00616B65">
        <w:rPr>
          <w:bCs/>
          <w:sz w:val="22"/>
          <w:szCs w:val="22"/>
          <w:lang w:val="sr-Latn-ME"/>
        </w:rPr>
        <w:t>ela (u prisustvu normalnog broja limfocita) ne isključuje mogućnost naknadne JCV infekcije.</w:t>
      </w:r>
    </w:p>
    <w:p w14:paraId="17594121" w14:textId="77777777" w:rsidR="006A5377" w:rsidRPr="00616B65" w:rsidRDefault="006A5377">
      <w:pPr>
        <w:tabs>
          <w:tab w:val="left" w:pos="540"/>
          <w:tab w:val="left" w:pos="569"/>
        </w:tabs>
        <w:jc w:val="both"/>
        <w:rPr>
          <w:bCs/>
          <w:sz w:val="22"/>
          <w:szCs w:val="22"/>
          <w:lang w:val="sr-Latn-ME"/>
        </w:rPr>
      </w:pPr>
    </w:p>
    <w:p w14:paraId="56243E7E" w14:textId="77D42964" w:rsidR="006A5377" w:rsidRPr="00616B65" w:rsidRDefault="006A5377">
      <w:pPr>
        <w:tabs>
          <w:tab w:val="left" w:pos="540"/>
          <w:tab w:val="left" w:pos="569"/>
        </w:tabs>
        <w:jc w:val="both"/>
        <w:rPr>
          <w:bCs/>
          <w:sz w:val="22"/>
          <w:szCs w:val="22"/>
          <w:lang w:val="sr-Latn-ME"/>
        </w:rPr>
      </w:pPr>
      <w:r w:rsidRPr="00616B65">
        <w:rPr>
          <w:bCs/>
          <w:sz w:val="22"/>
          <w:szCs w:val="22"/>
          <w:lang w:val="sr-Latn-ME"/>
        </w:rPr>
        <w:t>Ako se kod pacijenta razvije PML, treba trajno prekinuti terapiju l</w:t>
      </w:r>
      <w:r w:rsidR="008F6036" w:rsidRPr="00616B65">
        <w:rPr>
          <w:bCs/>
          <w:sz w:val="22"/>
          <w:szCs w:val="22"/>
          <w:lang w:val="sr-Latn-ME"/>
        </w:rPr>
        <w:t>ij</w:t>
      </w:r>
      <w:r w:rsidRPr="00616B65">
        <w:rPr>
          <w:bCs/>
          <w:sz w:val="22"/>
          <w:szCs w:val="22"/>
          <w:lang w:val="sr-Latn-ME"/>
        </w:rPr>
        <w:t>ekom Dimetex.</w:t>
      </w:r>
    </w:p>
    <w:p w14:paraId="683FAABD" w14:textId="77777777" w:rsidR="008F6036" w:rsidRPr="00616B65" w:rsidRDefault="008F6036">
      <w:pPr>
        <w:tabs>
          <w:tab w:val="left" w:pos="540"/>
          <w:tab w:val="left" w:pos="569"/>
        </w:tabs>
        <w:jc w:val="both"/>
        <w:rPr>
          <w:bCs/>
          <w:sz w:val="22"/>
          <w:szCs w:val="22"/>
          <w:lang w:val="sr-Latn-ME"/>
        </w:rPr>
      </w:pPr>
    </w:p>
    <w:p w14:paraId="477E47C2" w14:textId="13D4BC0B"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Prethodne imunosupresivne ili imunomodulatorne terapije</w:t>
      </w:r>
    </w:p>
    <w:p w14:paraId="48407D78" w14:textId="3498F164" w:rsidR="008F6036" w:rsidRPr="00616B65" w:rsidRDefault="008F6036">
      <w:pPr>
        <w:tabs>
          <w:tab w:val="left" w:pos="540"/>
          <w:tab w:val="left" w:pos="569"/>
        </w:tabs>
        <w:jc w:val="both"/>
        <w:rPr>
          <w:bCs/>
          <w:sz w:val="22"/>
          <w:szCs w:val="22"/>
          <w:u w:val="single"/>
          <w:lang w:val="sr-Latn-ME"/>
        </w:rPr>
      </w:pPr>
    </w:p>
    <w:p w14:paraId="5293AB1A" w14:textId="58324145" w:rsidR="006A5377" w:rsidRPr="00616B65" w:rsidRDefault="006A5377">
      <w:pPr>
        <w:tabs>
          <w:tab w:val="left" w:pos="540"/>
          <w:tab w:val="left" w:pos="569"/>
        </w:tabs>
        <w:jc w:val="both"/>
        <w:rPr>
          <w:bCs/>
          <w:sz w:val="22"/>
          <w:szCs w:val="22"/>
          <w:lang w:val="sr-Latn-ME"/>
        </w:rPr>
      </w:pPr>
      <w:r w:rsidRPr="00616B65">
        <w:rPr>
          <w:bCs/>
          <w:sz w:val="22"/>
          <w:szCs w:val="22"/>
          <w:lang w:val="sr-Latn-ME"/>
        </w:rPr>
        <w:t>Ni</w:t>
      </w:r>
      <w:r w:rsidR="006F1B97" w:rsidRPr="00616B65">
        <w:rPr>
          <w:bCs/>
          <w:sz w:val="22"/>
          <w:szCs w:val="22"/>
          <w:lang w:val="sr-Latn-ME"/>
        </w:rPr>
        <w:t>je</w:t>
      </w:r>
      <w:r w:rsidRPr="00616B65">
        <w:rPr>
          <w:bCs/>
          <w:sz w:val="22"/>
          <w:szCs w:val="22"/>
          <w:lang w:val="sr-Latn-ME"/>
        </w:rPr>
        <w:t>su sprovedena ispitivanja proc</w:t>
      </w:r>
      <w:r w:rsidR="008F6036" w:rsidRPr="00616B65">
        <w:rPr>
          <w:bCs/>
          <w:sz w:val="22"/>
          <w:szCs w:val="22"/>
          <w:lang w:val="sr-Latn-ME"/>
        </w:rPr>
        <w:t>j</w:t>
      </w:r>
      <w:r w:rsidRPr="00616B65">
        <w:rPr>
          <w:bCs/>
          <w:sz w:val="22"/>
          <w:szCs w:val="22"/>
          <w:lang w:val="sr-Latn-ME"/>
        </w:rPr>
        <w:t>ene efikasnosti i bezb</w:t>
      </w:r>
      <w:r w:rsidR="008F6036" w:rsidRPr="00616B65">
        <w:rPr>
          <w:bCs/>
          <w:sz w:val="22"/>
          <w:szCs w:val="22"/>
          <w:lang w:val="sr-Latn-ME"/>
        </w:rPr>
        <w:t>j</w:t>
      </w:r>
      <w:r w:rsidRPr="00616B65">
        <w:rPr>
          <w:bCs/>
          <w:sz w:val="22"/>
          <w:szCs w:val="22"/>
          <w:lang w:val="sr-Latn-ME"/>
        </w:rPr>
        <w:t>ednosti l</w:t>
      </w:r>
      <w:r w:rsidR="008F6036" w:rsidRPr="00616B65">
        <w:rPr>
          <w:bCs/>
          <w:sz w:val="22"/>
          <w:szCs w:val="22"/>
          <w:lang w:val="sr-Latn-ME"/>
        </w:rPr>
        <w:t>ij</w:t>
      </w:r>
      <w:r w:rsidRPr="00616B65">
        <w:rPr>
          <w:bCs/>
          <w:sz w:val="22"/>
          <w:szCs w:val="22"/>
          <w:lang w:val="sr-Latn-ME"/>
        </w:rPr>
        <w:t>eka Dimetex kod pacijenata koji prelaze sa druge terapije koja modifikuje tok bolesti, na l</w:t>
      </w:r>
      <w:r w:rsidR="008F6036" w:rsidRPr="00616B65">
        <w:rPr>
          <w:bCs/>
          <w:sz w:val="22"/>
          <w:szCs w:val="22"/>
          <w:lang w:val="sr-Latn-ME"/>
        </w:rPr>
        <w:t>ij</w:t>
      </w:r>
      <w:r w:rsidRPr="00616B65">
        <w:rPr>
          <w:bCs/>
          <w:sz w:val="22"/>
          <w:szCs w:val="22"/>
          <w:lang w:val="sr-Latn-ME"/>
        </w:rPr>
        <w:t>ek Dimetex. Prethodna imunosupresivna terapija može doprin</w:t>
      </w:r>
      <w:r w:rsidR="006F1B97" w:rsidRPr="00616B65">
        <w:rPr>
          <w:bCs/>
          <w:sz w:val="22"/>
          <w:szCs w:val="22"/>
          <w:lang w:val="sr-Latn-ME"/>
        </w:rPr>
        <w:t>ij</w:t>
      </w:r>
      <w:r w:rsidRPr="00616B65">
        <w:rPr>
          <w:bCs/>
          <w:sz w:val="22"/>
          <w:szCs w:val="22"/>
          <w:lang w:val="sr-Latn-ME"/>
        </w:rPr>
        <w:t xml:space="preserve">eti razvoju PML kod pacijenata koji su na terapiji </w:t>
      </w:r>
      <w:r w:rsidR="002635CF" w:rsidRPr="00616B65">
        <w:rPr>
          <w:bCs/>
          <w:sz w:val="22"/>
          <w:szCs w:val="22"/>
          <w:lang w:val="sr-Latn-ME"/>
        </w:rPr>
        <w:t>dimetil fumarat</w:t>
      </w:r>
      <w:r w:rsidRPr="00616B65">
        <w:rPr>
          <w:bCs/>
          <w:sz w:val="22"/>
          <w:szCs w:val="22"/>
          <w:lang w:val="sr-Latn-ME"/>
        </w:rPr>
        <w:t>om.</w:t>
      </w:r>
    </w:p>
    <w:p w14:paraId="0617E52E" w14:textId="77777777" w:rsidR="006A5377" w:rsidRPr="00616B65" w:rsidRDefault="006A5377">
      <w:pPr>
        <w:tabs>
          <w:tab w:val="left" w:pos="540"/>
          <w:tab w:val="left" w:pos="569"/>
        </w:tabs>
        <w:jc w:val="both"/>
        <w:rPr>
          <w:bCs/>
          <w:sz w:val="22"/>
          <w:szCs w:val="22"/>
          <w:lang w:val="sr-Latn-ME"/>
        </w:rPr>
      </w:pPr>
    </w:p>
    <w:p w14:paraId="5DBFDC4B" w14:textId="27CD03ED" w:rsidR="006A5377" w:rsidRPr="00616B65" w:rsidRDefault="006A5377">
      <w:pPr>
        <w:tabs>
          <w:tab w:val="left" w:pos="540"/>
          <w:tab w:val="left" w:pos="569"/>
        </w:tabs>
        <w:jc w:val="both"/>
        <w:rPr>
          <w:bCs/>
          <w:sz w:val="22"/>
          <w:szCs w:val="22"/>
          <w:lang w:val="sr-Latn-ME"/>
        </w:rPr>
      </w:pPr>
      <w:r w:rsidRPr="00616B65">
        <w:rPr>
          <w:bCs/>
          <w:sz w:val="22"/>
          <w:szCs w:val="22"/>
          <w:lang w:val="sr-Latn-ME"/>
        </w:rPr>
        <w:t>Slučajevi PML su zab</w:t>
      </w:r>
      <w:r w:rsidR="008F6036" w:rsidRPr="00616B65">
        <w:rPr>
          <w:bCs/>
          <w:sz w:val="22"/>
          <w:szCs w:val="22"/>
          <w:lang w:val="sr-Latn-ME"/>
        </w:rPr>
        <w:t>i</w:t>
      </w:r>
      <w:r w:rsidRPr="00616B65">
        <w:rPr>
          <w:bCs/>
          <w:sz w:val="22"/>
          <w:szCs w:val="22"/>
          <w:lang w:val="sr-Latn-ME"/>
        </w:rPr>
        <w:t>l</w:t>
      </w:r>
      <w:r w:rsidR="008F6036" w:rsidRPr="00616B65">
        <w:rPr>
          <w:bCs/>
          <w:sz w:val="22"/>
          <w:szCs w:val="22"/>
          <w:lang w:val="sr-Latn-ME"/>
        </w:rPr>
        <w:t>j</w:t>
      </w:r>
      <w:r w:rsidRPr="00616B65">
        <w:rPr>
          <w:bCs/>
          <w:sz w:val="22"/>
          <w:szCs w:val="22"/>
          <w:lang w:val="sr-Latn-ME"/>
        </w:rPr>
        <w:t>eženi kod pacijenata koji su prethodno bili na terapiji natalizumabom, za koje je PML utvrđeni rizik. L</w:t>
      </w:r>
      <w:r w:rsidR="008F6036" w:rsidRPr="00616B65">
        <w:rPr>
          <w:bCs/>
          <w:sz w:val="22"/>
          <w:szCs w:val="22"/>
          <w:lang w:val="sr-Latn-ME"/>
        </w:rPr>
        <w:t>j</w:t>
      </w:r>
      <w:r w:rsidRPr="00616B65">
        <w:rPr>
          <w:bCs/>
          <w:sz w:val="22"/>
          <w:szCs w:val="22"/>
          <w:lang w:val="sr-Latn-ME"/>
        </w:rPr>
        <w:t>ekari moraju imati na umu da slučajevi PML do kojih je došlo nakon nedavnog prekida  terapije natalizumabom možda ne uključuju limfopeniju.</w:t>
      </w:r>
    </w:p>
    <w:p w14:paraId="24730722" w14:textId="77777777" w:rsidR="006A5377" w:rsidRPr="00616B65" w:rsidRDefault="006A5377">
      <w:pPr>
        <w:tabs>
          <w:tab w:val="left" w:pos="540"/>
          <w:tab w:val="left" w:pos="569"/>
        </w:tabs>
        <w:jc w:val="both"/>
        <w:rPr>
          <w:bCs/>
          <w:sz w:val="22"/>
          <w:szCs w:val="22"/>
          <w:lang w:val="sr-Latn-ME"/>
        </w:rPr>
      </w:pPr>
    </w:p>
    <w:p w14:paraId="6BE56DAE" w14:textId="7FA2852B" w:rsidR="006A5377" w:rsidRPr="00616B65" w:rsidRDefault="006A5377">
      <w:pPr>
        <w:tabs>
          <w:tab w:val="left" w:pos="540"/>
          <w:tab w:val="left" w:pos="569"/>
        </w:tabs>
        <w:jc w:val="both"/>
        <w:rPr>
          <w:bCs/>
          <w:sz w:val="22"/>
          <w:szCs w:val="22"/>
          <w:lang w:val="sr-Latn-ME"/>
        </w:rPr>
      </w:pPr>
      <w:r w:rsidRPr="00616B65">
        <w:rPr>
          <w:bCs/>
          <w:sz w:val="22"/>
          <w:szCs w:val="22"/>
          <w:lang w:val="sr-Latn-ME"/>
        </w:rPr>
        <w:t>Pored toga, do većine potvrđenih slučajeva PML povezanih sa l</w:t>
      </w:r>
      <w:r w:rsidR="008F6036" w:rsidRPr="00616B65">
        <w:rPr>
          <w:bCs/>
          <w:sz w:val="22"/>
          <w:szCs w:val="22"/>
          <w:lang w:val="sr-Latn-ME"/>
        </w:rPr>
        <w:t>ij</w:t>
      </w:r>
      <w:r w:rsidRPr="00616B65">
        <w:rPr>
          <w:bCs/>
          <w:sz w:val="22"/>
          <w:szCs w:val="22"/>
          <w:lang w:val="sr-Latn-ME"/>
        </w:rPr>
        <w:t>ekom Dimetex došlo je kod pacijenata koji su prethodno primali imunomodulatornu terapiju.</w:t>
      </w:r>
    </w:p>
    <w:p w14:paraId="5BAD8D3E" w14:textId="77777777" w:rsidR="006A5377" w:rsidRPr="00616B65" w:rsidRDefault="006A5377">
      <w:pPr>
        <w:tabs>
          <w:tab w:val="left" w:pos="540"/>
          <w:tab w:val="left" w:pos="569"/>
        </w:tabs>
        <w:jc w:val="both"/>
        <w:rPr>
          <w:bCs/>
          <w:sz w:val="22"/>
          <w:szCs w:val="22"/>
          <w:lang w:val="sr-Latn-ME"/>
        </w:rPr>
      </w:pPr>
    </w:p>
    <w:p w14:paraId="2C10660E" w14:textId="6F49149A" w:rsidR="006A5377" w:rsidRPr="00616B65" w:rsidRDefault="006A5377">
      <w:pPr>
        <w:tabs>
          <w:tab w:val="left" w:pos="540"/>
          <w:tab w:val="left" w:pos="569"/>
        </w:tabs>
        <w:jc w:val="both"/>
        <w:rPr>
          <w:bCs/>
          <w:sz w:val="22"/>
          <w:szCs w:val="22"/>
          <w:lang w:val="sr-Latn-ME"/>
        </w:rPr>
      </w:pPr>
      <w:r w:rsidRPr="00616B65">
        <w:rPr>
          <w:bCs/>
          <w:sz w:val="22"/>
          <w:szCs w:val="22"/>
          <w:lang w:val="sr-Latn-ME"/>
        </w:rPr>
        <w:t>Kada pacijent prelazi sa druge terapije koja modifikuje tok bolesti na l</w:t>
      </w:r>
      <w:r w:rsidR="008F6036" w:rsidRPr="00616B65">
        <w:rPr>
          <w:bCs/>
          <w:sz w:val="22"/>
          <w:szCs w:val="22"/>
          <w:lang w:val="sr-Latn-ME"/>
        </w:rPr>
        <w:t>ij</w:t>
      </w:r>
      <w:r w:rsidRPr="00616B65">
        <w:rPr>
          <w:bCs/>
          <w:sz w:val="22"/>
          <w:szCs w:val="22"/>
          <w:lang w:val="sr-Latn-ME"/>
        </w:rPr>
        <w:t>ek Dimetex, treba razmotriti poluvr</w:t>
      </w:r>
      <w:r w:rsidR="008F6036" w:rsidRPr="00616B65">
        <w:rPr>
          <w:bCs/>
          <w:sz w:val="22"/>
          <w:szCs w:val="22"/>
          <w:lang w:val="sr-Latn-ME"/>
        </w:rPr>
        <w:t>ij</w:t>
      </w:r>
      <w:r w:rsidRPr="00616B65">
        <w:rPr>
          <w:bCs/>
          <w:sz w:val="22"/>
          <w:szCs w:val="22"/>
          <w:lang w:val="sr-Latn-ME"/>
        </w:rPr>
        <w:t>eme eliminacije i mehanizam d</w:t>
      </w:r>
      <w:r w:rsidR="008F6036" w:rsidRPr="00616B65">
        <w:rPr>
          <w:bCs/>
          <w:sz w:val="22"/>
          <w:szCs w:val="22"/>
          <w:lang w:val="sr-Latn-ME"/>
        </w:rPr>
        <w:t>j</w:t>
      </w:r>
      <w:r w:rsidRPr="00616B65">
        <w:rPr>
          <w:bCs/>
          <w:sz w:val="22"/>
          <w:szCs w:val="22"/>
          <w:lang w:val="sr-Latn-ME"/>
        </w:rPr>
        <w:t>elovanja druge terapije, kako bi se izb</w:t>
      </w:r>
      <w:r w:rsidR="008F6036" w:rsidRPr="00616B65">
        <w:rPr>
          <w:bCs/>
          <w:sz w:val="22"/>
          <w:szCs w:val="22"/>
          <w:lang w:val="sr-Latn-ME"/>
        </w:rPr>
        <w:t>j</w:t>
      </w:r>
      <w:r w:rsidRPr="00616B65">
        <w:rPr>
          <w:bCs/>
          <w:sz w:val="22"/>
          <w:szCs w:val="22"/>
          <w:lang w:val="sr-Latn-ME"/>
        </w:rPr>
        <w:t>egao aditivan imuni efekat, dok se istovremeno smanjuje rizik od reaktivacije MS-a.</w:t>
      </w:r>
    </w:p>
    <w:p w14:paraId="74E67F35" w14:textId="6705A4B9" w:rsidR="006A5377" w:rsidRPr="00616B65" w:rsidRDefault="006A5377">
      <w:pPr>
        <w:tabs>
          <w:tab w:val="left" w:pos="540"/>
          <w:tab w:val="left" w:pos="569"/>
        </w:tabs>
        <w:jc w:val="both"/>
        <w:rPr>
          <w:bCs/>
          <w:sz w:val="22"/>
          <w:szCs w:val="22"/>
          <w:lang w:val="sr-Latn-ME"/>
        </w:rPr>
      </w:pPr>
      <w:r w:rsidRPr="00616B65">
        <w:rPr>
          <w:bCs/>
          <w:sz w:val="22"/>
          <w:szCs w:val="22"/>
          <w:lang w:val="sr-Latn-ME"/>
        </w:rPr>
        <w:t>Preporučuje se analiza kompletne krvne slike pr</w:t>
      </w:r>
      <w:r w:rsidR="008F6036" w:rsidRPr="00616B65">
        <w:rPr>
          <w:bCs/>
          <w:sz w:val="22"/>
          <w:szCs w:val="22"/>
          <w:lang w:val="sr-Latn-ME"/>
        </w:rPr>
        <w:t>ij</w:t>
      </w:r>
      <w:r w:rsidRPr="00616B65">
        <w:rPr>
          <w:bCs/>
          <w:sz w:val="22"/>
          <w:szCs w:val="22"/>
          <w:lang w:val="sr-Latn-ME"/>
        </w:rPr>
        <w:t>e započinjanja prim</w:t>
      </w:r>
      <w:r w:rsidR="008F6036" w:rsidRPr="00616B65">
        <w:rPr>
          <w:bCs/>
          <w:sz w:val="22"/>
          <w:szCs w:val="22"/>
          <w:lang w:val="sr-Latn-ME"/>
        </w:rPr>
        <w:t>j</w:t>
      </w:r>
      <w:r w:rsidRPr="00616B65">
        <w:rPr>
          <w:bCs/>
          <w:sz w:val="22"/>
          <w:szCs w:val="22"/>
          <w:lang w:val="sr-Latn-ME"/>
        </w:rPr>
        <w:t>ene l</w:t>
      </w:r>
      <w:r w:rsidR="008F6036" w:rsidRPr="00616B65">
        <w:rPr>
          <w:bCs/>
          <w:sz w:val="22"/>
          <w:szCs w:val="22"/>
          <w:lang w:val="sr-Latn-ME"/>
        </w:rPr>
        <w:t>ij</w:t>
      </w:r>
      <w:r w:rsidRPr="00616B65">
        <w:rPr>
          <w:bCs/>
          <w:sz w:val="22"/>
          <w:szCs w:val="22"/>
          <w:lang w:val="sr-Latn-ME"/>
        </w:rPr>
        <w:t>eka Dimetex i redovno tokom terapije (</w:t>
      </w:r>
      <w:r w:rsidR="006F1B97"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„Krvne/laboratorijske analize” u prethodnom tekstu).</w:t>
      </w:r>
    </w:p>
    <w:p w14:paraId="49AB0DF0" w14:textId="77777777" w:rsidR="006A5377" w:rsidRPr="00616B65" w:rsidRDefault="006A5377">
      <w:pPr>
        <w:tabs>
          <w:tab w:val="left" w:pos="540"/>
          <w:tab w:val="left" w:pos="569"/>
        </w:tabs>
        <w:jc w:val="both"/>
        <w:rPr>
          <w:bCs/>
          <w:sz w:val="22"/>
          <w:szCs w:val="22"/>
          <w:lang w:val="sr-Latn-ME"/>
        </w:rPr>
      </w:pPr>
    </w:p>
    <w:p w14:paraId="4242896D"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Teško oštećenje funkcije bubrega i jetre</w:t>
      </w:r>
    </w:p>
    <w:p w14:paraId="0D9F0141" w14:textId="5821247E" w:rsidR="006A5377" w:rsidRPr="00616B65" w:rsidRDefault="006A5377">
      <w:pPr>
        <w:tabs>
          <w:tab w:val="left" w:pos="540"/>
          <w:tab w:val="left" w:pos="569"/>
        </w:tabs>
        <w:jc w:val="both"/>
        <w:rPr>
          <w:bCs/>
          <w:sz w:val="22"/>
          <w:szCs w:val="22"/>
          <w:lang w:val="sr-Latn-ME"/>
        </w:rPr>
      </w:pPr>
    </w:p>
    <w:p w14:paraId="27FFC83F" w14:textId="5E8D4CCF" w:rsidR="006A5377" w:rsidRPr="00616B65" w:rsidRDefault="006A5377">
      <w:pPr>
        <w:tabs>
          <w:tab w:val="left" w:pos="540"/>
          <w:tab w:val="left" w:pos="569"/>
        </w:tabs>
        <w:jc w:val="both"/>
        <w:rPr>
          <w:bCs/>
          <w:sz w:val="22"/>
          <w:szCs w:val="22"/>
          <w:lang w:val="sr-Latn-ME"/>
        </w:rPr>
      </w:pPr>
      <w:r w:rsidRPr="00616B65">
        <w:rPr>
          <w:bCs/>
          <w:sz w:val="22"/>
          <w:szCs w:val="22"/>
          <w:lang w:val="sr-Latn-ME"/>
        </w:rPr>
        <w:t>Lijek Dimetex nije ispitivan kod pacijenata sa teškim oštećenjem funkcije bubrega ili jetre, pa je potreban oprez pri liječenju ovih pacijenata (</w:t>
      </w:r>
      <w:r w:rsidR="006F1B97"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4.2).</w:t>
      </w:r>
    </w:p>
    <w:p w14:paraId="1AB1E41E" w14:textId="77777777" w:rsidR="006A5377" w:rsidRPr="00616B65" w:rsidRDefault="006A5377">
      <w:pPr>
        <w:tabs>
          <w:tab w:val="left" w:pos="540"/>
          <w:tab w:val="left" w:pos="569"/>
        </w:tabs>
        <w:jc w:val="both"/>
        <w:rPr>
          <w:bCs/>
          <w:sz w:val="22"/>
          <w:szCs w:val="22"/>
          <w:lang w:val="sr-Latn-ME"/>
        </w:rPr>
      </w:pPr>
    </w:p>
    <w:p w14:paraId="35891476"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Teška aktivna bolest gastrointestinalnog trakta</w:t>
      </w:r>
    </w:p>
    <w:p w14:paraId="66E2CA3B" w14:textId="05B72A8B" w:rsidR="006A5377" w:rsidRPr="00616B65" w:rsidRDefault="006A5377">
      <w:pPr>
        <w:tabs>
          <w:tab w:val="left" w:pos="540"/>
          <w:tab w:val="left" w:pos="569"/>
        </w:tabs>
        <w:jc w:val="both"/>
        <w:rPr>
          <w:bCs/>
          <w:sz w:val="22"/>
          <w:szCs w:val="22"/>
          <w:lang w:val="sr-Latn-ME"/>
        </w:rPr>
      </w:pPr>
    </w:p>
    <w:p w14:paraId="257531B2" w14:textId="08DC2FCA" w:rsidR="006A5377" w:rsidRPr="00616B65" w:rsidRDefault="006A5377">
      <w:pPr>
        <w:tabs>
          <w:tab w:val="left" w:pos="540"/>
          <w:tab w:val="left" w:pos="569"/>
        </w:tabs>
        <w:jc w:val="both"/>
        <w:rPr>
          <w:bCs/>
          <w:sz w:val="22"/>
          <w:szCs w:val="22"/>
          <w:lang w:val="sr-Latn-ME"/>
        </w:rPr>
      </w:pPr>
      <w:r w:rsidRPr="00616B65">
        <w:rPr>
          <w:bCs/>
          <w:sz w:val="22"/>
          <w:szCs w:val="22"/>
          <w:lang w:val="sr-Latn-ME"/>
        </w:rPr>
        <w:t>Lijek Dimetex nije ispitivan kod pacijenata sa teškom aktivnom bolešću gastrointestinalnog trakta, pa je potreban oprez pri liječenju ovih pacijenata.</w:t>
      </w:r>
    </w:p>
    <w:p w14:paraId="1C004199" w14:textId="77777777" w:rsidR="006A5377" w:rsidRPr="00616B65" w:rsidRDefault="006A5377">
      <w:pPr>
        <w:tabs>
          <w:tab w:val="left" w:pos="540"/>
          <w:tab w:val="left" w:pos="569"/>
        </w:tabs>
        <w:jc w:val="both"/>
        <w:rPr>
          <w:bCs/>
          <w:sz w:val="22"/>
          <w:szCs w:val="22"/>
          <w:lang w:val="sr-Latn-ME"/>
        </w:rPr>
      </w:pPr>
    </w:p>
    <w:p w14:paraId="50E14C71" w14:textId="7B3771E6"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 xml:space="preserve">Naleti crvenila praćeni </w:t>
      </w:r>
      <w:r w:rsidR="00B75503" w:rsidRPr="00616B65">
        <w:rPr>
          <w:bCs/>
          <w:sz w:val="22"/>
          <w:szCs w:val="22"/>
          <w:u w:val="single"/>
          <w:lang w:val="sr-Latn-ME"/>
        </w:rPr>
        <w:t>osjećaj</w:t>
      </w:r>
      <w:r w:rsidRPr="00616B65">
        <w:rPr>
          <w:bCs/>
          <w:sz w:val="22"/>
          <w:szCs w:val="22"/>
          <w:u w:val="single"/>
          <w:lang w:val="sr-Latn-ME"/>
        </w:rPr>
        <w:t>em vrućine</w:t>
      </w:r>
    </w:p>
    <w:p w14:paraId="564A7175" w14:textId="4C28361C" w:rsidR="006A5377" w:rsidRPr="00616B65" w:rsidRDefault="006A5377">
      <w:pPr>
        <w:tabs>
          <w:tab w:val="left" w:pos="540"/>
          <w:tab w:val="left" w:pos="569"/>
        </w:tabs>
        <w:jc w:val="both"/>
        <w:rPr>
          <w:bCs/>
          <w:sz w:val="22"/>
          <w:szCs w:val="22"/>
          <w:u w:val="single"/>
          <w:lang w:val="sr-Latn-ME"/>
        </w:rPr>
      </w:pPr>
    </w:p>
    <w:p w14:paraId="36A850E6" w14:textId="41108A31" w:rsidR="006A5377" w:rsidRPr="00616B65" w:rsidRDefault="006A5377">
      <w:pPr>
        <w:tabs>
          <w:tab w:val="left" w:pos="540"/>
          <w:tab w:val="left" w:pos="569"/>
        </w:tabs>
        <w:jc w:val="both"/>
        <w:rPr>
          <w:bCs/>
          <w:sz w:val="22"/>
          <w:szCs w:val="22"/>
          <w:lang w:val="sr-Latn-ME"/>
        </w:rPr>
      </w:pPr>
      <w:r w:rsidRPr="00616B65">
        <w:rPr>
          <w:bCs/>
          <w:sz w:val="22"/>
          <w:szCs w:val="22"/>
          <w:lang w:val="sr-Latn-ME"/>
        </w:rPr>
        <w:t>U kliničkim ispitivanjima kod 34% pacijenata na terapiji lijekom Dimetex pojavili su se naleti crvenila praćeni osjećajem vrućine. Kod većine pacijenata bili su blagog ili umjerenog intenziteta. Podaci iz ispitivanja kod zdravih ispitanika ukazuju na to da je pojava naleta crvenila praćenih osjećajem vrućine povezana sa dimetil fumaratom najv</w:t>
      </w:r>
      <w:r w:rsidR="004F2717" w:rsidRPr="00616B65">
        <w:rPr>
          <w:bCs/>
          <w:sz w:val="22"/>
          <w:szCs w:val="22"/>
          <w:lang w:val="sr-Latn-ME"/>
        </w:rPr>
        <w:t>j</w:t>
      </w:r>
      <w:r w:rsidRPr="00616B65">
        <w:rPr>
          <w:bCs/>
          <w:sz w:val="22"/>
          <w:szCs w:val="22"/>
          <w:lang w:val="sr-Latn-ME"/>
        </w:rPr>
        <w:t xml:space="preserve">erovatnije posredovana prostaglandinima. Kratkotrajna primjena 75 mg acetilsalicilne kiseline bez </w:t>
      </w:r>
      <w:r w:rsidR="004F2717" w:rsidRPr="00616B65">
        <w:rPr>
          <w:bCs/>
          <w:sz w:val="22"/>
          <w:szCs w:val="22"/>
          <w:lang w:val="sr-Latn-ME"/>
        </w:rPr>
        <w:t>gastr</w:t>
      </w:r>
      <w:r w:rsidRPr="00616B65">
        <w:rPr>
          <w:bCs/>
          <w:sz w:val="22"/>
          <w:szCs w:val="22"/>
          <w:lang w:val="sr-Latn-ME"/>
        </w:rPr>
        <w:t>orezistentnog omotača može imati povoljan efekat kod pacijenata sa nepodnošljivim naletima crvenila praćenih osjećajem vrućine (</w:t>
      </w:r>
      <w:r w:rsidR="006F1B97"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4.5). U dva ispitivanja kod </w:t>
      </w:r>
      <w:r w:rsidRPr="00616B65">
        <w:rPr>
          <w:bCs/>
          <w:sz w:val="22"/>
          <w:szCs w:val="22"/>
          <w:lang w:val="sr-Latn-ME"/>
        </w:rPr>
        <w:lastRenderedPageBreak/>
        <w:t>zdravih ispitanika, smanjile su se učestalost i ozbiljnost naleta crvenila praćenih osjećajem vrućine u periodu doziranja.</w:t>
      </w:r>
    </w:p>
    <w:p w14:paraId="723468BC" w14:textId="77777777" w:rsidR="006A5377" w:rsidRPr="00616B65" w:rsidRDefault="006A5377">
      <w:pPr>
        <w:tabs>
          <w:tab w:val="left" w:pos="540"/>
          <w:tab w:val="left" w:pos="569"/>
        </w:tabs>
        <w:jc w:val="both"/>
        <w:rPr>
          <w:bCs/>
          <w:sz w:val="22"/>
          <w:szCs w:val="22"/>
          <w:lang w:val="sr-Latn-ME"/>
        </w:rPr>
      </w:pPr>
    </w:p>
    <w:p w14:paraId="5FA2E4B0" w14:textId="3292451B" w:rsidR="006A5377" w:rsidRPr="00616B65" w:rsidRDefault="006A5377">
      <w:pPr>
        <w:tabs>
          <w:tab w:val="left" w:pos="540"/>
          <w:tab w:val="left" w:pos="569"/>
        </w:tabs>
        <w:jc w:val="both"/>
        <w:rPr>
          <w:bCs/>
          <w:sz w:val="22"/>
          <w:szCs w:val="22"/>
          <w:lang w:val="sr-Latn-ME"/>
        </w:rPr>
      </w:pPr>
      <w:r w:rsidRPr="00616B65">
        <w:rPr>
          <w:bCs/>
          <w:sz w:val="22"/>
          <w:szCs w:val="22"/>
          <w:lang w:val="sr-Latn-ME"/>
        </w:rPr>
        <w:t>U kliničkim ispitivanjima</w:t>
      </w:r>
      <w:r w:rsidR="00F97E79" w:rsidRPr="00616B65">
        <w:rPr>
          <w:bCs/>
          <w:sz w:val="22"/>
          <w:szCs w:val="22"/>
          <w:lang w:val="sr-Latn-ME"/>
        </w:rPr>
        <w:t>,</w:t>
      </w:r>
      <w:r w:rsidRPr="00616B65">
        <w:rPr>
          <w:bCs/>
          <w:sz w:val="22"/>
          <w:szCs w:val="22"/>
          <w:lang w:val="sr-Latn-ME"/>
        </w:rPr>
        <w:t xml:space="preserve"> 3 od ukupno 2</w:t>
      </w:r>
      <w:r w:rsidR="00F97E79" w:rsidRPr="00616B65">
        <w:rPr>
          <w:bCs/>
          <w:sz w:val="22"/>
          <w:szCs w:val="22"/>
          <w:lang w:val="sr-Latn-ME"/>
        </w:rPr>
        <w:t xml:space="preserve"> </w:t>
      </w:r>
      <w:r w:rsidRPr="00616B65">
        <w:rPr>
          <w:bCs/>
          <w:sz w:val="22"/>
          <w:szCs w:val="22"/>
          <w:lang w:val="sr-Latn-ME"/>
        </w:rPr>
        <w:t xml:space="preserve">560 pacijenata na terapiji </w:t>
      </w:r>
      <w:r w:rsidR="002635CF" w:rsidRPr="00616B65">
        <w:rPr>
          <w:bCs/>
          <w:sz w:val="22"/>
          <w:szCs w:val="22"/>
          <w:lang w:val="sr-Latn-ME"/>
        </w:rPr>
        <w:t>dimetil fumarat</w:t>
      </w:r>
      <w:r w:rsidRPr="00616B65">
        <w:rPr>
          <w:bCs/>
          <w:sz w:val="22"/>
          <w:szCs w:val="22"/>
          <w:lang w:val="sr-Latn-ME"/>
        </w:rPr>
        <w:t xml:space="preserve">om, imali su ozbiljne simptome naleta crvenila praćenih </w:t>
      </w:r>
      <w:r w:rsidR="00B75503" w:rsidRPr="00616B65">
        <w:rPr>
          <w:bCs/>
          <w:sz w:val="22"/>
          <w:szCs w:val="22"/>
          <w:lang w:val="sr-Latn-ME"/>
        </w:rPr>
        <w:t>osjećaj</w:t>
      </w:r>
      <w:r w:rsidRPr="00616B65">
        <w:rPr>
          <w:bCs/>
          <w:sz w:val="22"/>
          <w:szCs w:val="22"/>
          <w:lang w:val="sr-Latn-ME"/>
        </w:rPr>
        <w:t>em vrućine, koji su v</w:t>
      </w:r>
      <w:r w:rsidR="00F97E79" w:rsidRPr="00616B65">
        <w:rPr>
          <w:bCs/>
          <w:sz w:val="22"/>
          <w:szCs w:val="22"/>
          <w:lang w:val="sr-Latn-ME"/>
        </w:rPr>
        <w:t>j</w:t>
      </w:r>
      <w:r w:rsidRPr="00616B65">
        <w:rPr>
          <w:bCs/>
          <w:sz w:val="22"/>
          <w:szCs w:val="22"/>
          <w:lang w:val="sr-Latn-ME"/>
        </w:rPr>
        <w:t>erovatno bili reakcije preos</w:t>
      </w:r>
      <w:r w:rsidR="00F97E79" w:rsidRPr="00616B65">
        <w:rPr>
          <w:bCs/>
          <w:sz w:val="22"/>
          <w:szCs w:val="22"/>
          <w:lang w:val="sr-Latn-ME"/>
        </w:rPr>
        <w:t>j</w:t>
      </w:r>
      <w:r w:rsidRPr="00616B65">
        <w:rPr>
          <w:bCs/>
          <w:sz w:val="22"/>
          <w:szCs w:val="22"/>
          <w:lang w:val="sr-Latn-ME"/>
        </w:rPr>
        <w:t>etljivosti ili anafilaktičke reakcije. Ti događaji ni</w:t>
      </w:r>
      <w:r w:rsidR="00F97E79" w:rsidRPr="00616B65">
        <w:rPr>
          <w:bCs/>
          <w:sz w:val="22"/>
          <w:szCs w:val="22"/>
          <w:lang w:val="sr-Latn-ME"/>
        </w:rPr>
        <w:t>je</w:t>
      </w:r>
      <w:r w:rsidRPr="00616B65">
        <w:rPr>
          <w:bCs/>
          <w:sz w:val="22"/>
          <w:szCs w:val="22"/>
          <w:lang w:val="sr-Latn-ME"/>
        </w:rPr>
        <w:t xml:space="preserve">su bili opasni po život, ali su iziskivali hospitalizaciju. Propisivači i pacijenti treba da obrate pažnju na tu mogućnost u slučaju pojave teških reakcija crvenila uz </w:t>
      </w:r>
      <w:r w:rsidR="00B75503" w:rsidRPr="00616B65">
        <w:rPr>
          <w:bCs/>
          <w:sz w:val="22"/>
          <w:szCs w:val="22"/>
          <w:lang w:val="sr-Latn-ME"/>
        </w:rPr>
        <w:t>osjećaj</w:t>
      </w:r>
      <w:r w:rsidRPr="00616B65">
        <w:rPr>
          <w:bCs/>
          <w:sz w:val="22"/>
          <w:szCs w:val="22"/>
          <w:lang w:val="sr-Latn-ME"/>
        </w:rPr>
        <w:t xml:space="preserve"> vrućine (</w:t>
      </w:r>
      <w:r w:rsidR="00F97E79" w:rsidRPr="00616B65">
        <w:rPr>
          <w:bCs/>
          <w:sz w:val="22"/>
          <w:szCs w:val="22"/>
          <w:lang w:val="sr-Latn-ME"/>
        </w:rPr>
        <w:t xml:space="preserve">vidjeti  </w:t>
      </w:r>
      <w:r w:rsidR="00B75503" w:rsidRPr="00616B65">
        <w:rPr>
          <w:bCs/>
          <w:sz w:val="22"/>
          <w:szCs w:val="22"/>
          <w:lang w:val="sr-Latn-ME"/>
        </w:rPr>
        <w:t>djelove</w:t>
      </w:r>
      <w:r w:rsidR="00F97E79" w:rsidRPr="00616B65">
        <w:rPr>
          <w:bCs/>
          <w:sz w:val="22"/>
          <w:szCs w:val="22"/>
          <w:lang w:val="sr-Latn-ME"/>
        </w:rPr>
        <w:t xml:space="preserve"> </w:t>
      </w:r>
      <w:r w:rsidRPr="00616B65">
        <w:rPr>
          <w:bCs/>
          <w:sz w:val="22"/>
          <w:szCs w:val="22"/>
          <w:lang w:val="sr-Latn-ME"/>
        </w:rPr>
        <w:t>4.2, 4.5 i 4.8).</w:t>
      </w:r>
    </w:p>
    <w:p w14:paraId="072C1F77" w14:textId="77777777" w:rsidR="006A5377" w:rsidRPr="00616B65" w:rsidRDefault="006A5377">
      <w:pPr>
        <w:tabs>
          <w:tab w:val="left" w:pos="540"/>
          <w:tab w:val="left" w:pos="569"/>
        </w:tabs>
        <w:jc w:val="both"/>
        <w:rPr>
          <w:bCs/>
          <w:sz w:val="22"/>
          <w:szCs w:val="22"/>
          <w:lang w:val="sr-Latn-ME"/>
        </w:rPr>
      </w:pPr>
    </w:p>
    <w:p w14:paraId="42BFBE72"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Anafilaktičke reakcije</w:t>
      </w:r>
    </w:p>
    <w:p w14:paraId="50F9E751" w14:textId="2C9407E6" w:rsidR="006A5377" w:rsidRPr="00616B65" w:rsidRDefault="006A5377">
      <w:pPr>
        <w:tabs>
          <w:tab w:val="left" w:pos="540"/>
          <w:tab w:val="left" w:pos="569"/>
        </w:tabs>
        <w:jc w:val="both"/>
        <w:rPr>
          <w:bCs/>
          <w:sz w:val="22"/>
          <w:szCs w:val="22"/>
          <w:lang w:val="sr-Latn-ME"/>
        </w:rPr>
      </w:pPr>
    </w:p>
    <w:p w14:paraId="1E2BE858" w14:textId="3071E557" w:rsidR="006A5377" w:rsidRPr="00616B65" w:rsidRDefault="006A5377">
      <w:pPr>
        <w:tabs>
          <w:tab w:val="left" w:pos="540"/>
          <w:tab w:val="left" w:pos="569"/>
        </w:tabs>
        <w:jc w:val="both"/>
        <w:rPr>
          <w:bCs/>
          <w:sz w:val="22"/>
          <w:szCs w:val="22"/>
          <w:lang w:val="sr-Latn-ME"/>
        </w:rPr>
      </w:pPr>
      <w:r w:rsidRPr="00616B65">
        <w:rPr>
          <w:bCs/>
          <w:sz w:val="22"/>
          <w:szCs w:val="22"/>
          <w:lang w:val="sr-Latn-ME"/>
        </w:rPr>
        <w:t xml:space="preserve">Nakon stavljanja lijeka u promet prijavljeni su slučajevi anafilakse/anafilaktoidne reakcije nakon primjene lijeka Dimetex. Simptomi mogu uključivati dispneju, hipoksiju, hipotenziju, angioedem, osip ili urtikariju. Mehanizam kojim </w:t>
      </w:r>
      <w:r w:rsidR="002635CF" w:rsidRPr="00616B65">
        <w:rPr>
          <w:bCs/>
          <w:sz w:val="22"/>
          <w:szCs w:val="22"/>
          <w:lang w:val="sr-Latn-ME"/>
        </w:rPr>
        <w:t>dimetil fumarat</w:t>
      </w:r>
      <w:r w:rsidRPr="00616B65">
        <w:rPr>
          <w:bCs/>
          <w:sz w:val="22"/>
          <w:szCs w:val="22"/>
          <w:lang w:val="sr-Latn-ME"/>
        </w:rPr>
        <w:t xml:space="preserve"> izaziva anafilaksu nije poznat. Te reakcije uglavnom nastaju nakon primjene prve doze, ali se takođe mogu pojaviti u bilo kom trenutku tokom terapije i mogu biti ozbiljne i životno ugrožavajuće. Pacijente je potrebno savjetovati da prekinu sa primjenom lijeka Dimetex i da potraže hitnu medicinsku pomoć ukoliko primijete znake ili simptome anafilakse. Ne smije se ponovno započeti terapija (</w:t>
      </w:r>
      <w:r w:rsidR="00F97E79"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4.8).</w:t>
      </w:r>
    </w:p>
    <w:p w14:paraId="157D2A40" w14:textId="77777777" w:rsidR="006A5377" w:rsidRPr="00616B65" w:rsidRDefault="006A5377">
      <w:pPr>
        <w:tabs>
          <w:tab w:val="left" w:pos="540"/>
          <w:tab w:val="left" w:pos="569"/>
        </w:tabs>
        <w:jc w:val="both"/>
        <w:rPr>
          <w:bCs/>
          <w:sz w:val="22"/>
          <w:szCs w:val="22"/>
          <w:lang w:val="sr-Latn-ME"/>
        </w:rPr>
      </w:pPr>
    </w:p>
    <w:p w14:paraId="7DCA8827"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Infekcije</w:t>
      </w:r>
    </w:p>
    <w:p w14:paraId="5DD63521" w14:textId="15974AB9" w:rsidR="006A5377" w:rsidRPr="00616B65" w:rsidRDefault="006A5377">
      <w:pPr>
        <w:tabs>
          <w:tab w:val="left" w:pos="540"/>
          <w:tab w:val="left" w:pos="569"/>
        </w:tabs>
        <w:jc w:val="both"/>
        <w:rPr>
          <w:bCs/>
          <w:sz w:val="22"/>
          <w:szCs w:val="22"/>
          <w:lang w:val="sr-Latn-ME"/>
        </w:rPr>
      </w:pPr>
    </w:p>
    <w:p w14:paraId="7DC121A7" w14:textId="1C780DDA" w:rsidR="006A5377" w:rsidRPr="00616B65" w:rsidRDefault="006A5377">
      <w:pPr>
        <w:tabs>
          <w:tab w:val="left" w:pos="540"/>
          <w:tab w:val="left" w:pos="569"/>
        </w:tabs>
        <w:jc w:val="both"/>
        <w:rPr>
          <w:bCs/>
          <w:sz w:val="22"/>
          <w:szCs w:val="22"/>
          <w:lang w:val="sr-Latn-ME"/>
        </w:rPr>
      </w:pPr>
      <w:r w:rsidRPr="00616B65">
        <w:rPr>
          <w:bCs/>
          <w:sz w:val="22"/>
          <w:szCs w:val="22"/>
          <w:lang w:val="sr-Latn-ME"/>
        </w:rPr>
        <w:t xml:space="preserve">U placebo kontrolisanim ispitivanjima faze </w:t>
      </w:r>
      <w:r w:rsidR="00F97E79" w:rsidRPr="00616B65">
        <w:rPr>
          <w:bCs/>
          <w:sz w:val="22"/>
          <w:szCs w:val="22"/>
          <w:lang w:val="sr-Latn-ME"/>
        </w:rPr>
        <w:t>III</w:t>
      </w:r>
      <w:r w:rsidRPr="00616B65">
        <w:rPr>
          <w:bCs/>
          <w:sz w:val="22"/>
          <w:szCs w:val="22"/>
          <w:lang w:val="sr-Latn-ME"/>
        </w:rPr>
        <w:t xml:space="preserve"> učestalost infekcija (60% u odnosu na 58%) i teških infekcija (2% u odnosu na 2%) bila je slična kod pacijenata koji su bili na terapiji lijekom Dimetex ili placebom.</w:t>
      </w:r>
    </w:p>
    <w:p w14:paraId="75350EBB" w14:textId="44B83677" w:rsidR="006A5377" w:rsidRPr="00616B65" w:rsidRDefault="006A5377">
      <w:pPr>
        <w:tabs>
          <w:tab w:val="left" w:pos="540"/>
          <w:tab w:val="left" w:pos="569"/>
        </w:tabs>
        <w:jc w:val="both"/>
        <w:rPr>
          <w:bCs/>
          <w:sz w:val="22"/>
          <w:szCs w:val="22"/>
          <w:lang w:val="sr-Latn-ME"/>
        </w:rPr>
      </w:pPr>
      <w:r w:rsidRPr="00616B65">
        <w:rPr>
          <w:bCs/>
          <w:sz w:val="22"/>
          <w:szCs w:val="22"/>
          <w:lang w:val="sr-Latn-ME"/>
        </w:rPr>
        <w:t>Međutim, ako pacijent razvije tešku infekciju zbog imunomodulatornih svojstava lijeka Dimetex (</w:t>
      </w:r>
      <w:r w:rsidR="00F97E79"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5.1), mora se razmotriti prekid liječenja lijekom Dimetex i procijeniti potencijalna korist i rizik prije ponovnog započinjanja terapije. Pacijenti koji primaju dimetil fumarat moraju biti upućeni da ljekaru prijave simptome infekcije. Pacijenti sa teškim infekcijama ne smiju započeti terapiju lijekom Dimetex sve dok se infekcija(e) ne sanira.</w:t>
      </w:r>
    </w:p>
    <w:p w14:paraId="0F8320EF" w14:textId="77777777" w:rsidR="006A5377" w:rsidRPr="00616B65" w:rsidRDefault="006A5377">
      <w:pPr>
        <w:tabs>
          <w:tab w:val="left" w:pos="540"/>
          <w:tab w:val="left" w:pos="569"/>
        </w:tabs>
        <w:jc w:val="both"/>
        <w:rPr>
          <w:bCs/>
          <w:sz w:val="22"/>
          <w:szCs w:val="22"/>
          <w:lang w:val="sr-Latn-ME"/>
        </w:rPr>
      </w:pPr>
    </w:p>
    <w:p w14:paraId="34933430" w14:textId="6BB59786" w:rsidR="006A5377" w:rsidRPr="00616B65" w:rsidRDefault="006A5377">
      <w:pPr>
        <w:tabs>
          <w:tab w:val="left" w:pos="540"/>
          <w:tab w:val="left" w:pos="569"/>
        </w:tabs>
        <w:jc w:val="both"/>
        <w:rPr>
          <w:bCs/>
          <w:sz w:val="22"/>
          <w:szCs w:val="22"/>
          <w:lang w:val="sr-Latn-ME"/>
        </w:rPr>
      </w:pPr>
      <w:r w:rsidRPr="00616B65">
        <w:rPr>
          <w:bCs/>
          <w:sz w:val="22"/>
          <w:szCs w:val="22"/>
          <w:lang w:val="sr-Latn-ME"/>
        </w:rPr>
        <w:t>Nije zabilježena povećana učestalost teških infekcija kod pacijenata sa brojem limfocita &lt; 0,8 x 10</w:t>
      </w:r>
      <w:r w:rsidRPr="00616B65">
        <w:rPr>
          <w:bCs/>
          <w:sz w:val="22"/>
          <w:szCs w:val="22"/>
          <w:vertAlign w:val="superscript"/>
          <w:lang w:val="sr-Latn-ME"/>
        </w:rPr>
        <w:t>9</w:t>
      </w:r>
      <w:r w:rsidRPr="00616B65">
        <w:rPr>
          <w:bCs/>
          <w:sz w:val="22"/>
          <w:szCs w:val="22"/>
          <w:lang w:val="sr-Latn-ME"/>
        </w:rPr>
        <w:t>/</w:t>
      </w:r>
      <w:r w:rsidR="00F97E79" w:rsidRPr="00616B65">
        <w:rPr>
          <w:bCs/>
          <w:sz w:val="22"/>
          <w:szCs w:val="22"/>
          <w:lang w:val="sr-Latn-ME"/>
        </w:rPr>
        <w:t xml:space="preserve">l </w:t>
      </w:r>
      <w:r w:rsidRPr="00616B65">
        <w:rPr>
          <w:bCs/>
          <w:sz w:val="22"/>
          <w:szCs w:val="22"/>
          <w:lang w:val="sr-Latn-ME"/>
        </w:rPr>
        <w:t>ili &lt; 0,5 x 10</w:t>
      </w:r>
      <w:r w:rsidRPr="00616B65">
        <w:rPr>
          <w:bCs/>
          <w:sz w:val="22"/>
          <w:szCs w:val="22"/>
          <w:vertAlign w:val="superscript"/>
          <w:lang w:val="sr-Latn-ME"/>
        </w:rPr>
        <w:t>9</w:t>
      </w:r>
      <w:r w:rsidRPr="00616B65">
        <w:rPr>
          <w:bCs/>
          <w:sz w:val="22"/>
          <w:szCs w:val="22"/>
          <w:lang w:val="sr-Latn-ME"/>
        </w:rPr>
        <w:t>/</w:t>
      </w:r>
      <w:r w:rsidR="00F97E79" w:rsidRPr="00616B65">
        <w:rPr>
          <w:bCs/>
          <w:sz w:val="22"/>
          <w:szCs w:val="22"/>
          <w:lang w:val="sr-Latn-ME"/>
        </w:rPr>
        <w:t>l</w:t>
      </w:r>
      <w:r w:rsidRPr="00616B65">
        <w:rPr>
          <w:bCs/>
          <w:sz w:val="22"/>
          <w:szCs w:val="22"/>
          <w:lang w:val="sr-Latn-ME"/>
        </w:rPr>
        <w:t xml:space="preserve"> (</w:t>
      </w:r>
      <w:r w:rsidR="00F97E79"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4.8). Ako se terapija nastavi u prisustvu umjerene do teške produžene limfopenije, rizik od oportunističke infekcije, uključujući PML ne može biti isključen (</w:t>
      </w:r>
      <w:r w:rsidR="00F97E79"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4.4, </w:t>
      </w:r>
      <w:r w:rsidR="00F97E79" w:rsidRPr="00616B65">
        <w:rPr>
          <w:bCs/>
          <w:sz w:val="22"/>
          <w:szCs w:val="22"/>
          <w:lang w:val="sr-Latn-ME"/>
        </w:rPr>
        <w:t>pas</w:t>
      </w:r>
      <w:r w:rsidR="004F2717" w:rsidRPr="00616B65">
        <w:rPr>
          <w:bCs/>
          <w:sz w:val="22"/>
          <w:szCs w:val="22"/>
          <w:lang w:val="sr-Latn-ME"/>
        </w:rPr>
        <w:t>u</w:t>
      </w:r>
      <w:r w:rsidR="00F97E79" w:rsidRPr="00616B65">
        <w:rPr>
          <w:bCs/>
          <w:sz w:val="22"/>
          <w:szCs w:val="22"/>
          <w:lang w:val="sr-Latn-ME"/>
        </w:rPr>
        <w:t xml:space="preserve">s </w:t>
      </w:r>
      <w:r w:rsidRPr="00616B65">
        <w:rPr>
          <w:bCs/>
          <w:sz w:val="22"/>
          <w:szCs w:val="22"/>
          <w:lang w:val="sr-Latn-ME"/>
        </w:rPr>
        <w:t>PML).</w:t>
      </w:r>
    </w:p>
    <w:p w14:paraId="0E45D43B" w14:textId="77777777" w:rsidR="006A5377" w:rsidRPr="00616B65" w:rsidRDefault="006A5377">
      <w:pPr>
        <w:tabs>
          <w:tab w:val="left" w:pos="540"/>
          <w:tab w:val="left" w:pos="569"/>
        </w:tabs>
        <w:jc w:val="both"/>
        <w:rPr>
          <w:bCs/>
          <w:sz w:val="22"/>
          <w:szCs w:val="22"/>
          <w:lang w:val="sr-Latn-ME"/>
        </w:rPr>
      </w:pPr>
    </w:p>
    <w:p w14:paraId="27EB9727"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Herpes zoster infekcije</w:t>
      </w:r>
    </w:p>
    <w:p w14:paraId="14128418" w14:textId="7D3910BA" w:rsidR="006A5377" w:rsidRPr="00616B65" w:rsidRDefault="006A5377">
      <w:pPr>
        <w:tabs>
          <w:tab w:val="left" w:pos="540"/>
          <w:tab w:val="left" w:pos="569"/>
        </w:tabs>
        <w:jc w:val="both"/>
        <w:rPr>
          <w:bCs/>
          <w:sz w:val="22"/>
          <w:szCs w:val="22"/>
          <w:lang w:val="sr-Latn-ME"/>
        </w:rPr>
      </w:pPr>
    </w:p>
    <w:p w14:paraId="256246CA" w14:textId="3082D1E9" w:rsidR="006A5377" w:rsidRPr="00616B65" w:rsidRDefault="006A5377">
      <w:pPr>
        <w:tabs>
          <w:tab w:val="left" w:pos="540"/>
          <w:tab w:val="left" w:pos="569"/>
        </w:tabs>
        <w:jc w:val="both"/>
        <w:rPr>
          <w:bCs/>
          <w:sz w:val="22"/>
          <w:szCs w:val="22"/>
          <w:lang w:val="sr-Latn-ME"/>
        </w:rPr>
      </w:pPr>
      <w:r w:rsidRPr="00616B65">
        <w:rPr>
          <w:bCs/>
          <w:sz w:val="22"/>
          <w:szCs w:val="22"/>
          <w:lang w:val="sr-Latn-ME"/>
        </w:rPr>
        <w:t>Tokom primjene lijeka Dimetex pojavili su se slučajevi herpes zostera. Većina slučajeva nije bila ozbiljne prirode, ali prijavljeni su i ozbiljni slučajevi, uključujući diseminovani oblik herpes zoster infekcije, očni herpes zoster, ušni herpes zoster, neurološku herpes zoster infekciju, meningoencefalitis uzrokovan herpes zosterom i meningomijelitis uzrokovan herpes zosterom. Ovi događaji se mogu pojaviti u bilo kom trenutku tokom terapije. Pacijente koji uzimaju lijek Dimetex potrebno je pratiti zbog pojave znakova i simptoma herpes zostera, naročito ako je istovremeno prisutna i limfocitopenija. U slučaju pojave infekcije herpes zosterom, potrebno je primijeniti odgovarajuću terapiju. Kod pacijenata sa ozbiljnim herpes zoster infekcijama potrebno je razmotriti prekid terapije lijekom Dimetex dok se infekcija ne izliječi (</w:t>
      </w:r>
      <w:r w:rsidR="00F97E79"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4.8).</w:t>
      </w:r>
    </w:p>
    <w:p w14:paraId="46428475" w14:textId="77777777" w:rsidR="006A5377" w:rsidRPr="00616B65" w:rsidRDefault="006A5377">
      <w:pPr>
        <w:tabs>
          <w:tab w:val="left" w:pos="540"/>
          <w:tab w:val="left" w:pos="569"/>
        </w:tabs>
        <w:jc w:val="both"/>
        <w:rPr>
          <w:bCs/>
          <w:sz w:val="22"/>
          <w:szCs w:val="22"/>
          <w:lang w:val="sr-Latn-ME"/>
        </w:rPr>
      </w:pPr>
    </w:p>
    <w:p w14:paraId="00E04484"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Započinjanje terapije</w:t>
      </w:r>
    </w:p>
    <w:p w14:paraId="36B11E6C" w14:textId="3730CFF6" w:rsidR="006A5377" w:rsidRPr="00616B65" w:rsidRDefault="006A5377">
      <w:pPr>
        <w:tabs>
          <w:tab w:val="left" w:pos="540"/>
          <w:tab w:val="left" w:pos="569"/>
        </w:tabs>
        <w:jc w:val="both"/>
        <w:rPr>
          <w:bCs/>
          <w:sz w:val="22"/>
          <w:szCs w:val="22"/>
          <w:lang w:val="sr-Latn-ME"/>
        </w:rPr>
      </w:pPr>
    </w:p>
    <w:p w14:paraId="43E8DDFE" w14:textId="25BBB695" w:rsidR="006A5377" w:rsidRPr="00616B65" w:rsidRDefault="006A5377">
      <w:pPr>
        <w:tabs>
          <w:tab w:val="left" w:pos="540"/>
          <w:tab w:val="left" w:pos="569"/>
        </w:tabs>
        <w:jc w:val="both"/>
        <w:rPr>
          <w:bCs/>
          <w:sz w:val="22"/>
          <w:szCs w:val="22"/>
          <w:lang w:val="sr-Latn-ME"/>
        </w:rPr>
      </w:pPr>
      <w:r w:rsidRPr="00616B65">
        <w:rPr>
          <w:bCs/>
          <w:sz w:val="22"/>
          <w:szCs w:val="22"/>
          <w:lang w:val="sr-Latn-ME"/>
        </w:rPr>
        <w:t xml:space="preserve">Terapiju lijekom Dimetex treba započeti postepeno kako bi se smanjila pojava naleta crvenila praćenih </w:t>
      </w:r>
      <w:r w:rsidR="00B75503" w:rsidRPr="00616B65">
        <w:rPr>
          <w:bCs/>
          <w:sz w:val="22"/>
          <w:szCs w:val="22"/>
          <w:lang w:val="sr-Latn-ME"/>
        </w:rPr>
        <w:t>osjećaj</w:t>
      </w:r>
      <w:r w:rsidRPr="00616B65">
        <w:rPr>
          <w:bCs/>
          <w:sz w:val="22"/>
          <w:szCs w:val="22"/>
          <w:lang w:val="sr-Latn-ME"/>
        </w:rPr>
        <w:t>em vrućine i gastrointestinalnih neželjenih reakcija (</w:t>
      </w:r>
      <w:r w:rsidR="00F97E79" w:rsidRPr="00616B65">
        <w:rPr>
          <w:bCs/>
          <w:sz w:val="22"/>
          <w:szCs w:val="22"/>
          <w:lang w:val="sr-Latn-ME"/>
        </w:rPr>
        <w:t xml:space="preserve">vidjeti </w:t>
      </w:r>
      <w:r w:rsidR="008F6036" w:rsidRPr="00616B65">
        <w:rPr>
          <w:bCs/>
          <w:sz w:val="22"/>
          <w:szCs w:val="22"/>
          <w:lang w:val="sr-Latn-ME"/>
        </w:rPr>
        <w:t>dio</w:t>
      </w:r>
      <w:r w:rsidRPr="00616B65">
        <w:rPr>
          <w:bCs/>
          <w:sz w:val="22"/>
          <w:szCs w:val="22"/>
          <w:lang w:val="sr-Latn-ME"/>
        </w:rPr>
        <w:t xml:space="preserve"> 4.2).</w:t>
      </w:r>
    </w:p>
    <w:p w14:paraId="57992686" w14:textId="77777777" w:rsidR="006A5377" w:rsidRPr="00616B65" w:rsidRDefault="006A5377">
      <w:pPr>
        <w:tabs>
          <w:tab w:val="left" w:pos="540"/>
          <w:tab w:val="left" w:pos="569"/>
        </w:tabs>
        <w:jc w:val="both"/>
        <w:rPr>
          <w:bCs/>
          <w:sz w:val="22"/>
          <w:szCs w:val="22"/>
          <w:lang w:val="sr-Latn-ME"/>
        </w:rPr>
      </w:pPr>
    </w:p>
    <w:p w14:paraId="2967C6EF" w14:textId="77777777"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Fanconi-jev sindrom</w:t>
      </w:r>
    </w:p>
    <w:p w14:paraId="0D479A04" w14:textId="19199845" w:rsidR="006A5377" w:rsidRPr="00616B65" w:rsidRDefault="006A5377">
      <w:pPr>
        <w:tabs>
          <w:tab w:val="left" w:pos="540"/>
          <w:tab w:val="left" w:pos="569"/>
        </w:tabs>
        <w:jc w:val="both"/>
        <w:rPr>
          <w:bCs/>
          <w:sz w:val="22"/>
          <w:szCs w:val="22"/>
          <w:lang w:val="sr-Latn-ME"/>
        </w:rPr>
      </w:pPr>
    </w:p>
    <w:p w14:paraId="0F53AA93" w14:textId="3D1D02D4" w:rsidR="006A5377" w:rsidRPr="00616B65" w:rsidRDefault="006A5377">
      <w:pPr>
        <w:tabs>
          <w:tab w:val="left" w:pos="540"/>
          <w:tab w:val="left" w:pos="569"/>
        </w:tabs>
        <w:jc w:val="both"/>
        <w:rPr>
          <w:bCs/>
          <w:sz w:val="22"/>
          <w:szCs w:val="22"/>
          <w:lang w:val="sr-Latn-ME"/>
        </w:rPr>
      </w:pPr>
      <w:r w:rsidRPr="00616B65">
        <w:rPr>
          <w:bCs/>
          <w:sz w:val="22"/>
          <w:szCs w:val="22"/>
          <w:lang w:val="sr-Latn-ME"/>
        </w:rPr>
        <w:t>Prijavljeni su slučajevi Fanconi-jevog sindroma povezani sa prim</w:t>
      </w:r>
      <w:r w:rsidR="00F97E79" w:rsidRPr="00616B65">
        <w:rPr>
          <w:bCs/>
          <w:sz w:val="22"/>
          <w:szCs w:val="22"/>
          <w:lang w:val="sr-Latn-ME"/>
        </w:rPr>
        <w:t>j</w:t>
      </w:r>
      <w:r w:rsidRPr="00616B65">
        <w:rPr>
          <w:bCs/>
          <w:sz w:val="22"/>
          <w:szCs w:val="22"/>
          <w:lang w:val="sr-Latn-ME"/>
        </w:rPr>
        <w:t xml:space="preserve">enom lijeka koji sadrži </w:t>
      </w:r>
      <w:r w:rsidR="002635CF" w:rsidRPr="00616B65">
        <w:rPr>
          <w:bCs/>
          <w:sz w:val="22"/>
          <w:szCs w:val="22"/>
          <w:lang w:val="sr-Latn-ME"/>
        </w:rPr>
        <w:t>dimetil fumarat</w:t>
      </w:r>
      <w:r w:rsidRPr="00616B65">
        <w:rPr>
          <w:bCs/>
          <w:sz w:val="22"/>
          <w:szCs w:val="22"/>
          <w:lang w:val="sr-Latn-ME"/>
        </w:rPr>
        <w:t xml:space="preserve"> u kombinaciji sa drugim estrima fumarne kiseline. Rano dijagnostikovanje Fanconi-jevog sindroma i prekid terapije dimetil fumaratom važni su za spr</w:t>
      </w:r>
      <w:r w:rsidR="004F2717" w:rsidRPr="00616B65">
        <w:rPr>
          <w:bCs/>
          <w:sz w:val="22"/>
          <w:szCs w:val="22"/>
          <w:lang w:val="sr-Latn-ME"/>
        </w:rPr>
        <w:t>j</w:t>
      </w:r>
      <w:r w:rsidRPr="00616B65">
        <w:rPr>
          <w:bCs/>
          <w:sz w:val="22"/>
          <w:szCs w:val="22"/>
          <w:lang w:val="sr-Latn-ME"/>
        </w:rPr>
        <w:t xml:space="preserve">ečavanje nastanka oštećenja funkcije </w:t>
      </w:r>
      <w:r w:rsidRPr="00616B65">
        <w:rPr>
          <w:bCs/>
          <w:sz w:val="22"/>
          <w:szCs w:val="22"/>
          <w:lang w:val="sr-Latn-ME"/>
        </w:rPr>
        <w:lastRenderedPageBreak/>
        <w:t>bubrega i osteomalacije, jer je ovaj sindrom obično reverzibilan. Njegovi najvažniji znakovi su: proteinurija, glikozurija (uz normalne koncentracije šećera u krvi), hiperaminoacidurija i fosfaturija (može biti prisutna istovremeno sa hipofosfatemijom). Progresija može uključivati simptome kao što su poliurija, polidipsija i slabost proksimalnih mišića. U rijetkim slučajevima može se pojaviti hipofosfatemijska osteomalacija sa nelokalizovanim bolovima u kostima, povećane vrijednosti alkalne fosfataze u serumu i stres frakturama. Važno je imati na umu da se Fanconi-jev sindrom može pojaviti i bez povećane vrijednosti kreatinina ili smanjene brzine glomerularne filtracije. U slučaju pojave nejasnih simptoma, potrebno je uzeti u obzir Fanconi-jev sindrom i sprovesti odgovarajuća ispitivanja.</w:t>
      </w:r>
    </w:p>
    <w:p w14:paraId="138CE9CA" w14:textId="77777777" w:rsidR="006A5377" w:rsidRPr="00616B65" w:rsidRDefault="006A5377">
      <w:pPr>
        <w:tabs>
          <w:tab w:val="left" w:pos="540"/>
          <w:tab w:val="left" w:pos="569"/>
        </w:tabs>
        <w:jc w:val="both"/>
        <w:rPr>
          <w:bCs/>
          <w:sz w:val="22"/>
          <w:szCs w:val="22"/>
          <w:lang w:val="sr-Latn-ME"/>
        </w:rPr>
      </w:pPr>
    </w:p>
    <w:p w14:paraId="17C37C22" w14:textId="4EE3CEC4" w:rsidR="006A5377" w:rsidRPr="00616B65" w:rsidRDefault="006A5377">
      <w:pPr>
        <w:tabs>
          <w:tab w:val="left" w:pos="540"/>
          <w:tab w:val="left" w:pos="569"/>
        </w:tabs>
        <w:jc w:val="both"/>
        <w:rPr>
          <w:bCs/>
          <w:sz w:val="22"/>
          <w:szCs w:val="22"/>
          <w:u w:val="single"/>
          <w:lang w:val="sr-Latn-ME"/>
        </w:rPr>
      </w:pPr>
      <w:r w:rsidRPr="00616B65">
        <w:rPr>
          <w:bCs/>
          <w:sz w:val="22"/>
          <w:szCs w:val="22"/>
          <w:u w:val="single"/>
          <w:lang w:val="sr-Latn-ME"/>
        </w:rPr>
        <w:t>Pedijatrijska populacija</w:t>
      </w:r>
    </w:p>
    <w:p w14:paraId="14800441" w14:textId="77777777" w:rsidR="004F2717" w:rsidRPr="00616B65" w:rsidRDefault="004F2717">
      <w:pPr>
        <w:tabs>
          <w:tab w:val="left" w:pos="540"/>
          <w:tab w:val="left" w:pos="569"/>
        </w:tabs>
        <w:jc w:val="both"/>
        <w:rPr>
          <w:bCs/>
          <w:sz w:val="22"/>
          <w:szCs w:val="22"/>
          <w:u w:val="single"/>
          <w:lang w:val="sr-Latn-ME"/>
        </w:rPr>
      </w:pPr>
    </w:p>
    <w:p w14:paraId="13A293A1" w14:textId="2D582AED" w:rsidR="006A5377" w:rsidRPr="00616B65" w:rsidRDefault="006A5377">
      <w:pPr>
        <w:tabs>
          <w:tab w:val="left" w:pos="540"/>
          <w:tab w:val="left" w:pos="569"/>
        </w:tabs>
        <w:jc w:val="both"/>
        <w:rPr>
          <w:bCs/>
          <w:sz w:val="22"/>
          <w:szCs w:val="22"/>
          <w:lang w:val="sr-Latn-ME"/>
        </w:rPr>
      </w:pPr>
      <w:r w:rsidRPr="00616B65">
        <w:rPr>
          <w:bCs/>
          <w:sz w:val="22"/>
          <w:szCs w:val="22"/>
          <w:lang w:val="sr-Latn-ME"/>
        </w:rPr>
        <w:t>Bezb</w:t>
      </w:r>
      <w:r w:rsidR="002635CF" w:rsidRPr="00616B65">
        <w:rPr>
          <w:bCs/>
          <w:sz w:val="22"/>
          <w:szCs w:val="22"/>
          <w:lang w:val="sr-Latn-ME"/>
        </w:rPr>
        <w:t>j</w:t>
      </w:r>
      <w:r w:rsidRPr="00616B65">
        <w:rPr>
          <w:bCs/>
          <w:sz w:val="22"/>
          <w:szCs w:val="22"/>
          <w:lang w:val="sr-Latn-ME"/>
        </w:rPr>
        <w:t xml:space="preserve">ednosni profil je kvalitativno sličan kod pedijatrijskih pacijenata u poređenju sa odraslima i samim tim upozorenja i mjere opreza važe i za pedijatrijske pacijente. Za kvantitativne razlike u bezbjednosnom profilu </w:t>
      </w:r>
      <w:r w:rsidR="00F97E79" w:rsidRPr="00616B65">
        <w:rPr>
          <w:bCs/>
          <w:sz w:val="22"/>
          <w:szCs w:val="22"/>
          <w:lang w:val="sr-Latn-ME"/>
        </w:rPr>
        <w:t xml:space="preserve">vidjeti </w:t>
      </w:r>
      <w:r w:rsidRPr="00616B65">
        <w:rPr>
          <w:bCs/>
          <w:sz w:val="22"/>
          <w:szCs w:val="22"/>
          <w:lang w:val="sr-Latn-ME"/>
        </w:rPr>
        <w:t>dio 4.8.</w:t>
      </w:r>
    </w:p>
    <w:p w14:paraId="5B9CC2AA" w14:textId="77777777" w:rsidR="00F97E79" w:rsidRPr="00616B65" w:rsidRDefault="00F97E79">
      <w:pPr>
        <w:tabs>
          <w:tab w:val="left" w:pos="540"/>
          <w:tab w:val="left" w:pos="569"/>
        </w:tabs>
        <w:jc w:val="both"/>
        <w:rPr>
          <w:bCs/>
          <w:sz w:val="22"/>
          <w:szCs w:val="22"/>
          <w:lang w:val="sr-Latn-ME"/>
        </w:rPr>
      </w:pPr>
    </w:p>
    <w:p w14:paraId="412FDECF" w14:textId="2A7393CD" w:rsidR="006A5377" w:rsidRPr="00616B65" w:rsidRDefault="006A5377">
      <w:pPr>
        <w:tabs>
          <w:tab w:val="left" w:pos="540"/>
          <w:tab w:val="left" w:pos="569"/>
        </w:tabs>
        <w:jc w:val="both"/>
        <w:rPr>
          <w:bCs/>
          <w:sz w:val="22"/>
          <w:szCs w:val="22"/>
          <w:lang w:val="sr-Latn-ME"/>
        </w:rPr>
      </w:pPr>
      <w:r w:rsidRPr="00616B65">
        <w:rPr>
          <w:bCs/>
          <w:sz w:val="22"/>
          <w:szCs w:val="22"/>
          <w:lang w:val="sr-Latn-ME"/>
        </w:rPr>
        <w:t>Dugo</w:t>
      </w:r>
      <w:r w:rsidR="00F97E79" w:rsidRPr="00616B65">
        <w:rPr>
          <w:bCs/>
          <w:sz w:val="22"/>
          <w:szCs w:val="22"/>
          <w:lang w:val="sr-Latn-ME"/>
        </w:rPr>
        <w:t>trajna</w:t>
      </w:r>
      <w:r w:rsidRPr="00616B65">
        <w:rPr>
          <w:bCs/>
          <w:sz w:val="22"/>
          <w:szCs w:val="22"/>
          <w:lang w:val="sr-Latn-ME"/>
        </w:rPr>
        <w:t xml:space="preserve"> bezbjednost lijeka Dimetex u pedijatrijskoj populaciji još nije utvrđena</w:t>
      </w:r>
    </w:p>
    <w:p w14:paraId="082A5A5F" w14:textId="77777777" w:rsidR="00057E35" w:rsidRPr="00616B65" w:rsidRDefault="00057E35" w:rsidP="005A340E">
      <w:pPr>
        <w:tabs>
          <w:tab w:val="left" w:pos="540"/>
          <w:tab w:val="left" w:pos="569"/>
        </w:tabs>
        <w:jc w:val="both"/>
        <w:rPr>
          <w:bCs/>
          <w:sz w:val="22"/>
          <w:szCs w:val="22"/>
          <w:lang w:val="sr-Latn-ME"/>
        </w:rPr>
      </w:pPr>
    </w:p>
    <w:p w14:paraId="5BD9A06A" w14:textId="77777777" w:rsidR="00411B4B" w:rsidRPr="00616B65" w:rsidRDefault="00411B4B" w:rsidP="005A340E">
      <w:pPr>
        <w:tabs>
          <w:tab w:val="left" w:pos="540"/>
          <w:tab w:val="left" w:pos="569"/>
        </w:tabs>
        <w:jc w:val="both"/>
        <w:rPr>
          <w:b/>
          <w:bCs/>
          <w:sz w:val="22"/>
          <w:szCs w:val="22"/>
          <w:lang w:val="sr-Latn-ME"/>
        </w:rPr>
      </w:pPr>
      <w:r w:rsidRPr="00616B65">
        <w:rPr>
          <w:b/>
          <w:bCs/>
          <w:sz w:val="22"/>
          <w:szCs w:val="22"/>
          <w:lang w:val="sr-Latn-ME"/>
        </w:rPr>
        <w:t>4.5.</w:t>
      </w:r>
      <w:r w:rsidR="000D60CC" w:rsidRPr="00616B65">
        <w:rPr>
          <w:b/>
          <w:bCs/>
          <w:sz w:val="22"/>
          <w:szCs w:val="22"/>
          <w:lang w:val="sr-Latn-ME"/>
        </w:rPr>
        <w:tab/>
      </w:r>
      <w:r w:rsidRPr="00616B65">
        <w:rPr>
          <w:b/>
          <w:bCs/>
          <w:sz w:val="22"/>
          <w:szCs w:val="22"/>
          <w:lang w:val="sr-Latn-ME"/>
        </w:rPr>
        <w:t>Interakcije sa drugim ljekovima i druge vrste interakcija</w:t>
      </w:r>
    </w:p>
    <w:p w14:paraId="700257F7" w14:textId="77777777" w:rsidR="008F6036" w:rsidRPr="00616B65" w:rsidRDefault="008F6036" w:rsidP="005A340E">
      <w:pPr>
        <w:tabs>
          <w:tab w:val="left" w:pos="540"/>
          <w:tab w:val="left" w:pos="569"/>
        </w:tabs>
        <w:jc w:val="both"/>
        <w:rPr>
          <w:b/>
          <w:bCs/>
          <w:sz w:val="22"/>
          <w:szCs w:val="22"/>
          <w:lang w:val="sr-Latn-ME"/>
        </w:rPr>
      </w:pPr>
    </w:p>
    <w:p w14:paraId="4C29651A" w14:textId="422C4B04" w:rsidR="008F6036" w:rsidRPr="00616B65" w:rsidRDefault="008F6036" w:rsidP="00C31FAA">
      <w:pPr>
        <w:tabs>
          <w:tab w:val="left" w:pos="540"/>
          <w:tab w:val="left" w:pos="569"/>
        </w:tabs>
        <w:jc w:val="both"/>
        <w:rPr>
          <w:bCs/>
          <w:sz w:val="22"/>
          <w:szCs w:val="22"/>
          <w:lang w:val="sr-Latn-ME"/>
        </w:rPr>
      </w:pPr>
      <w:r w:rsidRPr="00616B65">
        <w:rPr>
          <w:bCs/>
          <w:sz w:val="22"/>
          <w:szCs w:val="22"/>
          <w:lang w:val="sr-Latn-ME"/>
        </w:rPr>
        <w:t>Lijek Dimetex nije ispitivan u kombinaciji sa antineoplastičnim ili imunosupresivnim terapijama pa je zbog toga potreban oprez tokom istovremene primjene. U kliničkim ispitivanjima multiple skleroze, istovremeno liječenje relapsa kratkotrajnom intravenskom primjenom kortikosteroida nije bilo povezano sa klinički relevantnim porastom infekcije.</w:t>
      </w:r>
    </w:p>
    <w:p w14:paraId="6B187201" w14:textId="77777777" w:rsidR="008F6036" w:rsidRPr="00616B65" w:rsidRDefault="008F6036" w:rsidP="0023493E">
      <w:pPr>
        <w:tabs>
          <w:tab w:val="left" w:pos="540"/>
          <w:tab w:val="left" w:pos="569"/>
        </w:tabs>
        <w:jc w:val="both"/>
        <w:rPr>
          <w:bCs/>
          <w:sz w:val="22"/>
          <w:szCs w:val="22"/>
          <w:lang w:val="sr-Latn-ME"/>
        </w:rPr>
      </w:pPr>
    </w:p>
    <w:p w14:paraId="23DA8F38" w14:textId="124B27DC" w:rsidR="008F6036" w:rsidRPr="00616B65" w:rsidRDefault="008F6036">
      <w:pPr>
        <w:tabs>
          <w:tab w:val="left" w:pos="540"/>
          <w:tab w:val="left" w:pos="569"/>
        </w:tabs>
        <w:jc w:val="both"/>
        <w:rPr>
          <w:bCs/>
          <w:sz w:val="22"/>
          <w:szCs w:val="22"/>
          <w:lang w:val="sr-Latn-ME"/>
        </w:rPr>
      </w:pPr>
      <w:r w:rsidRPr="00616B65">
        <w:rPr>
          <w:bCs/>
          <w:sz w:val="22"/>
          <w:szCs w:val="22"/>
          <w:lang w:val="sr-Latn-ME"/>
        </w:rPr>
        <w:t xml:space="preserve">Tokom terapije lijekom Dimetex može se razmotriti istovremena vakcinacija mrtvim vakcinama prema nacionalnom programu vakcinisanja. U kliničkom ispitivanju koje je uključivalo 71 pacijenta sa relapsno-remitentnom multiplom sklerozom, pacijenti koji su primali </w:t>
      </w:r>
      <w:r w:rsidR="002635CF" w:rsidRPr="00616B65">
        <w:rPr>
          <w:bCs/>
          <w:sz w:val="22"/>
          <w:szCs w:val="22"/>
          <w:lang w:val="sr-Latn-ME"/>
        </w:rPr>
        <w:t>dimetil fumarat</w:t>
      </w:r>
      <w:r w:rsidRPr="00616B65">
        <w:rPr>
          <w:bCs/>
          <w:sz w:val="22"/>
          <w:szCs w:val="22"/>
          <w:lang w:val="sr-Latn-ME"/>
        </w:rPr>
        <w:t>a u dozi od 240 mg dva</w:t>
      </w:r>
      <w:r w:rsidR="00E45151" w:rsidRPr="00616B65">
        <w:rPr>
          <w:bCs/>
          <w:sz w:val="22"/>
          <w:szCs w:val="22"/>
          <w:lang w:val="sr-Latn-ME"/>
        </w:rPr>
        <w:t xml:space="preserve"> </w:t>
      </w:r>
      <w:r w:rsidRPr="00616B65">
        <w:rPr>
          <w:bCs/>
          <w:sz w:val="22"/>
          <w:szCs w:val="22"/>
          <w:lang w:val="sr-Latn-ME"/>
        </w:rPr>
        <w:t>put</w:t>
      </w:r>
      <w:r w:rsidR="00E45151" w:rsidRPr="00616B65">
        <w:rPr>
          <w:bCs/>
          <w:sz w:val="22"/>
          <w:szCs w:val="22"/>
          <w:lang w:val="sr-Latn-ME"/>
        </w:rPr>
        <w:t>a</w:t>
      </w:r>
      <w:r w:rsidRPr="00616B65">
        <w:rPr>
          <w:bCs/>
          <w:sz w:val="22"/>
          <w:szCs w:val="22"/>
          <w:lang w:val="sr-Latn-ME"/>
        </w:rPr>
        <w:t xml:space="preserve"> dnevno tokom najmanje 6 </w:t>
      </w:r>
      <w:r w:rsidR="00C44275" w:rsidRPr="00616B65">
        <w:rPr>
          <w:bCs/>
          <w:sz w:val="22"/>
          <w:szCs w:val="22"/>
          <w:lang w:val="sr-Latn-ME"/>
        </w:rPr>
        <w:t>mjesec</w:t>
      </w:r>
      <w:r w:rsidRPr="00616B65">
        <w:rPr>
          <w:bCs/>
          <w:sz w:val="22"/>
          <w:szCs w:val="22"/>
          <w:lang w:val="sr-Latn-ME"/>
        </w:rPr>
        <w:t>i (n=38) ili nepegilovani interferon tokom najmanje 3 mjeseca (n=33) razvili su uporediv imunski odgovor (definisan kao povećanje titra nakon vakcinisanja za ≥ 2 puta u odnosu na onaj pr</w:t>
      </w:r>
      <w:r w:rsidR="00E45151" w:rsidRPr="00616B65">
        <w:rPr>
          <w:bCs/>
          <w:sz w:val="22"/>
          <w:szCs w:val="22"/>
          <w:lang w:val="sr-Latn-ME"/>
        </w:rPr>
        <w:t>ij</w:t>
      </w:r>
      <w:r w:rsidRPr="00616B65">
        <w:rPr>
          <w:bCs/>
          <w:sz w:val="22"/>
          <w:szCs w:val="22"/>
          <w:lang w:val="sr-Latn-ME"/>
        </w:rPr>
        <w:t>e vakcinisanja) na toksoid tetanusa (recall antigen) i polisaharidnu konjugovanu vakcinu protiv meningokoka tipa C (novi antigen), dok je imunski odgovor na različite serotipove nekonjugovane 23-valentne polisaharidne vakcine protiv pneumokoka (antigen nezavisan od T ćelija) varirao u ob</w:t>
      </w:r>
      <w:r w:rsidR="00E45151" w:rsidRPr="00616B65">
        <w:rPr>
          <w:bCs/>
          <w:sz w:val="22"/>
          <w:szCs w:val="22"/>
          <w:lang w:val="sr-Latn-ME"/>
        </w:rPr>
        <w:t>j</w:t>
      </w:r>
      <w:r w:rsidRPr="00616B65">
        <w:rPr>
          <w:bCs/>
          <w:sz w:val="22"/>
          <w:szCs w:val="22"/>
          <w:lang w:val="sr-Latn-ME"/>
        </w:rPr>
        <w:t>e terapijske grupe. Pozitivan imunski odgovor definisan kao povećanje titra antit</w:t>
      </w:r>
      <w:r w:rsidR="004F2717" w:rsidRPr="00616B65">
        <w:rPr>
          <w:bCs/>
          <w:sz w:val="22"/>
          <w:szCs w:val="22"/>
          <w:lang w:val="sr-Latn-ME"/>
        </w:rPr>
        <w:t>ij</w:t>
      </w:r>
      <w:r w:rsidRPr="00616B65">
        <w:rPr>
          <w:bCs/>
          <w:sz w:val="22"/>
          <w:szCs w:val="22"/>
          <w:lang w:val="sr-Latn-ME"/>
        </w:rPr>
        <w:t>ela za ≥ 4 puta na te tri vakcine, postignut je kod manjeg broja pacijenata u ob</w:t>
      </w:r>
      <w:r w:rsidR="00E45151" w:rsidRPr="00616B65">
        <w:rPr>
          <w:bCs/>
          <w:sz w:val="22"/>
          <w:szCs w:val="22"/>
          <w:lang w:val="sr-Latn-ME"/>
        </w:rPr>
        <w:t>j</w:t>
      </w:r>
      <w:r w:rsidRPr="00616B65">
        <w:rPr>
          <w:bCs/>
          <w:sz w:val="22"/>
          <w:szCs w:val="22"/>
          <w:lang w:val="sr-Latn-ME"/>
        </w:rPr>
        <w:t>e terapijske grupe. Zabilje</w:t>
      </w:r>
      <w:r w:rsidR="004F2717" w:rsidRPr="00616B65">
        <w:rPr>
          <w:bCs/>
          <w:sz w:val="22"/>
          <w:szCs w:val="22"/>
          <w:lang w:val="sr-Latn-ME"/>
        </w:rPr>
        <w:t>ž</w:t>
      </w:r>
      <w:r w:rsidRPr="00616B65">
        <w:rPr>
          <w:bCs/>
          <w:sz w:val="22"/>
          <w:szCs w:val="22"/>
          <w:lang w:val="sr-Latn-ME"/>
        </w:rPr>
        <w:t>en je nešto veći broj pacijenata sa odgovorom na toksoid tetanusa i pneumokokni polisaharid serotipa 3 u grupi koja je primala nepegilovani interferon.</w:t>
      </w:r>
    </w:p>
    <w:p w14:paraId="12B51EC1" w14:textId="77777777" w:rsidR="008F6036" w:rsidRPr="00616B65" w:rsidRDefault="008F6036">
      <w:pPr>
        <w:tabs>
          <w:tab w:val="left" w:pos="540"/>
          <w:tab w:val="left" w:pos="569"/>
        </w:tabs>
        <w:jc w:val="both"/>
        <w:rPr>
          <w:bCs/>
          <w:sz w:val="22"/>
          <w:szCs w:val="22"/>
          <w:lang w:val="sr-Latn-ME"/>
        </w:rPr>
      </w:pPr>
    </w:p>
    <w:p w14:paraId="4969898F" w14:textId="6844EF6C" w:rsidR="008F6036" w:rsidRPr="00616B65" w:rsidRDefault="008F6036">
      <w:pPr>
        <w:tabs>
          <w:tab w:val="left" w:pos="540"/>
          <w:tab w:val="left" w:pos="569"/>
        </w:tabs>
        <w:jc w:val="both"/>
        <w:rPr>
          <w:bCs/>
          <w:sz w:val="22"/>
          <w:szCs w:val="22"/>
          <w:lang w:val="sr-Latn-ME"/>
        </w:rPr>
      </w:pPr>
      <w:r w:rsidRPr="00616B65">
        <w:rPr>
          <w:bCs/>
          <w:sz w:val="22"/>
          <w:szCs w:val="22"/>
          <w:lang w:val="sr-Latn-ME"/>
        </w:rPr>
        <w:t>Nema dostupnih kliničkih podataka o efikasnosti i bezbjednosti živih atenuisanih vakcina kod pacijenata koji uzimaju lijek Dimetex. Žive vakcine mogu predstavljati povećan rizik od kliničke infekcije i ne treba ih davati pacijentima na terapiji lijekom Dimetex, osim u izuzetnim slučajevima, kada se smatra da je ovaj potencijalni rizik manji od rizika za pojedinca ako se ne vakciniše.</w:t>
      </w:r>
    </w:p>
    <w:p w14:paraId="70CF1CAC" w14:textId="77777777" w:rsidR="008F6036" w:rsidRPr="00616B65" w:rsidRDefault="008F6036">
      <w:pPr>
        <w:tabs>
          <w:tab w:val="left" w:pos="540"/>
          <w:tab w:val="left" w:pos="569"/>
        </w:tabs>
        <w:jc w:val="both"/>
        <w:rPr>
          <w:bCs/>
          <w:sz w:val="22"/>
          <w:szCs w:val="22"/>
          <w:lang w:val="sr-Latn-ME"/>
        </w:rPr>
      </w:pPr>
    </w:p>
    <w:p w14:paraId="548BD7A3" w14:textId="61FFFE85" w:rsidR="008F6036" w:rsidRPr="00616B65" w:rsidRDefault="008F6036">
      <w:pPr>
        <w:tabs>
          <w:tab w:val="left" w:pos="540"/>
          <w:tab w:val="left" w:pos="569"/>
        </w:tabs>
        <w:jc w:val="both"/>
        <w:rPr>
          <w:bCs/>
          <w:sz w:val="22"/>
          <w:szCs w:val="22"/>
          <w:lang w:val="sr-Latn-ME"/>
        </w:rPr>
      </w:pPr>
      <w:r w:rsidRPr="00616B65">
        <w:rPr>
          <w:bCs/>
          <w:sz w:val="22"/>
          <w:szCs w:val="22"/>
          <w:lang w:val="sr-Latn-ME"/>
        </w:rPr>
        <w:t>Tokom terapije lijekom Dimetex treba izb</w:t>
      </w:r>
      <w:r w:rsidR="00E45151" w:rsidRPr="00616B65">
        <w:rPr>
          <w:bCs/>
          <w:sz w:val="22"/>
          <w:szCs w:val="22"/>
          <w:lang w:val="sr-Latn-ME"/>
        </w:rPr>
        <w:t>j</w:t>
      </w:r>
      <w:r w:rsidRPr="00616B65">
        <w:rPr>
          <w:bCs/>
          <w:sz w:val="22"/>
          <w:szCs w:val="22"/>
          <w:lang w:val="sr-Latn-ME"/>
        </w:rPr>
        <w:t>egavati istovremenu upotrebu (topikalnu ili sistemsku) drugih derivata fumarne kiseline.</w:t>
      </w:r>
    </w:p>
    <w:p w14:paraId="13DC6A73" w14:textId="77777777" w:rsidR="008F6036" w:rsidRPr="00616B65" w:rsidRDefault="008F6036">
      <w:pPr>
        <w:tabs>
          <w:tab w:val="left" w:pos="540"/>
          <w:tab w:val="left" w:pos="569"/>
        </w:tabs>
        <w:jc w:val="both"/>
        <w:rPr>
          <w:bCs/>
          <w:sz w:val="22"/>
          <w:szCs w:val="22"/>
          <w:lang w:val="sr-Latn-ME"/>
        </w:rPr>
      </w:pPr>
    </w:p>
    <w:p w14:paraId="09EC7647" w14:textId="60722A60" w:rsidR="008F6036" w:rsidRPr="00616B65" w:rsidRDefault="008F6036">
      <w:pPr>
        <w:tabs>
          <w:tab w:val="left" w:pos="540"/>
          <w:tab w:val="left" w:pos="569"/>
        </w:tabs>
        <w:jc w:val="both"/>
        <w:rPr>
          <w:bCs/>
          <w:sz w:val="22"/>
          <w:szCs w:val="22"/>
          <w:lang w:val="sr-Latn-ME"/>
        </w:rPr>
      </w:pPr>
      <w:r w:rsidRPr="00616B65">
        <w:rPr>
          <w:bCs/>
          <w:sz w:val="22"/>
          <w:szCs w:val="22"/>
          <w:lang w:val="sr-Latn-ME"/>
        </w:rPr>
        <w:t xml:space="preserve">Kod ljudi, esteraze intenzivno metabolišu </w:t>
      </w:r>
      <w:r w:rsidR="002635CF" w:rsidRPr="00616B65">
        <w:rPr>
          <w:bCs/>
          <w:sz w:val="22"/>
          <w:szCs w:val="22"/>
          <w:lang w:val="sr-Latn-ME"/>
        </w:rPr>
        <w:t>dimetil fumarat</w:t>
      </w:r>
      <w:r w:rsidRPr="00616B65">
        <w:rPr>
          <w:bCs/>
          <w:sz w:val="22"/>
          <w:szCs w:val="22"/>
          <w:lang w:val="sr-Latn-ME"/>
        </w:rPr>
        <w:t xml:space="preserve"> pr</w:t>
      </w:r>
      <w:r w:rsidR="00E45151" w:rsidRPr="00616B65">
        <w:rPr>
          <w:bCs/>
          <w:sz w:val="22"/>
          <w:szCs w:val="22"/>
          <w:lang w:val="sr-Latn-ME"/>
        </w:rPr>
        <w:t>ij</w:t>
      </w:r>
      <w:r w:rsidRPr="00616B65">
        <w:rPr>
          <w:bCs/>
          <w:sz w:val="22"/>
          <w:szCs w:val="22"/>
          <w:lang w:val="sr-Latn-ME"/>
        </w:rPr>
        <w:t>e nego što dođe u sistemsku cirkulaciju i dalji metabolizam se odvija kroz ciklus trikarboksilne kiseline, bez posredovanja sistema citohroma P450 (CYP). Ni</w:t>
      </w:r>
      <w:r w:rsidR="00E45151" w:rsidRPr="00616B65">
        <w:rPr>
          <w:bCs/>
          <w:sz w:val="22"/>
          <w:szCs w:val="22"/>
          <w:lang w:val="sr-Latn-ME"/>
        </w:rPr>
        <w:t>je</w:t>
      </w:r>
      <w:r w:rsidRPr="00616B65">
        <w:rPr>
          <w:bCs/>
          <w:sz w:val="22"/>
          <w:szCs w:val="22"/>
          <w:lang w:val="sr-Latn-ME"/>
        </w:rPr>
        <w:t xml:space="preserve">su identifikovane potencijalne opasnosti od interakcije ljekova u </w:t>
      </w:r>
      <w:r w:rsidRPr="00616B65">
        <w:rPr>
          <w:bCs/>
          <w:i/>
          <w:sz w:val="22"/>
          <w:szCs w:val="22"/>
          <w:lang w:val="sr-Latn-ME"/>
        </w:rPr>
        <w:t>in vitro</w:t>
      </w:r>
      <w:r w:rsidRPr="00616B65">
        <w:rPr>
          <w:bCs/>
          <w:sz w:val="22"/>
          <w:szCs w:val="22"/>
          <w:lang w:val="sr-Latn-ME"/>
        </w:rPr>
        <w:t xml:space="preserve"> ispitivanjima inhibicije i indukcije CYP-a, ispitivanju p-glikoproteina ili ispitivanjima vezivanja </w:t>
      </w:r>
      <w:r w:rsidR="002635CF" w:rsidRPr="00616B65">
        <w:rPr>
          <w:bCs/>
          <w:sz w:val="22"/>
          <w:szCs w:val="22"/>
          <w:lang w:val="sr-Latn-ME"/>
        </w:rPr>
        <w:t>dimetil fumarat</w:t>
      </w:r>
      <w:r w:rsidRPr="00616B65">
        <w:rPr>
          <w:bCs/>
          <w:sz w:val="22"/>
          <w:szCs w:val="22"/>
          <w:lang w:val="sr-Latn-ME"/>
        </w:rPr>
        <w:t>a i monometil</w:t>
      </w:r>
      <w:r w:rsidR="004412C0" w:rsidRPr="00616B65">
        <w:rPr>
          <w:bCs/>
          <w:sz w:val="22"/>
          <w:szCs w:val="22"/>
          <w:lang w:val="sr-Latn-ME"/>
        </w:rPr>
        <w:t xml:space="preserve"> </w:t>
      </w:r>
      <w:r w:rsidRPr="00616B65">
        <w:rPr>
          <w:bCs/>
          <w:sz w:val="22"/>
          <w:szCs w:val="22"/>
          <w:lang w:val="sr-Latn-ME"/>
        </w:rPr>
        <w:t xml:space="preserve">fumarata (primarni metabolit </w:t>
      </w:r>
      <w:r w:rsidR="002635CF" w:rsidRPr="00616B65">
        <w:rPr>
          <w:bCs/>
          <w:sz w:val="22"/>
          <w:szCs w:val="22"/>
          <w:lang w:val="sr-Latn-ME"/>
        </w:rPr>
        <w:t>dimetil fumarat</w:t>
      </w:r>
      <w:r w:rsidRPr="00616B65">
        <w:rPr>
          <w:bCs/>
          <w:sz w:val="22"/>
          <w:szCs w:val="22"/>
          <w:lang w:val="sr-Latn-ME"/>
        </w:rPr>
        <w:t>a) za proteine.</w:t>
      </w:r>
    </w:p>
    <w:p w14:paraId="4F82339F" w14:textId="77777777" w:rsidR="008F6036" w:rsidRPr="00616B65" w:rsidRDefault="008F6036">
      <w:pPr>
        <w:tabs>
          <w:tab w:val="left" w:pos="540"/>
          <w:tab w:val="left" w:pos="569"/>
        </w:tabs>
        <w:jc w:val="both"/>
        <w:rPr>
          <w:bCs/>
          <w:sz w:val="22"/>
          <w:szCs w:val="22"/>
          <w:lang w:val="sr-Latn-ME"/>
        </w:rPr>
      </w:pPr>
    </w:p>
    <w:p w14:paraId="51032C95" w14:textId="5B2E62E8" w:rsidR="008F6036" w:rsidRPr="00616B65" w:rsidRDefault="008F6036">
      <w:pPr>
        <w:tabs>
          <w:tab w:val="left" w:pos="540"/>
          <w:tab w:val="left" w:pos="569"/>
        </w:tabs>
        <w:jc w:val="both"/>
        <w:rPr>
          <w:bCs/>
          <w:sz w:val="22"/>
          <w:szCs w:val="22"/>
          <w:lang w:val="sr-Latn-ME"/>
        </w:rPr>
      </w:pPr>
      <w:r w:rsidRPr="00616B65">
        <w:rPr>
          <w:bCs/>
          <w:sz w:val="22"/>
          <w:szCs w:val="22"/>
          <w:lang w:val="sr-Latn-ME"/>
        </w:rPr>
        <w:t xml:space="preserve">Uobičajeno primjenjivani ljekovi kod pacijenata sa multiplom sklerozom, intramuskularni interferon beta-1a i glatiramer acetat, klinički su ispitani na potencijalne interakcije sa </w:t>
      </w:r>
      <w:r w:rsidR="002635CF" w:rsidRPr="00616B65">
        <w:rPr>
          <w:bCs/>
          <w:sz w:val="22"/>
          <w:szCs w:val="22"/>
          <w:lang w:val="sr-Latn-ME"/>
        </w:rPr>
        <w:t>dimetil fumarat</w:t>
      </w:r>
      <w:r w:rsidRPr="00616B65">
        <w:rPr>
          <w:bCs/>
          <w:sz w:val="22"/>
          <w:szCs w:val="22"/>
          <w:lang w:val="sr-Latn-ME"/>
        </w:rPr>
        <w:t>om i pokazalo se da ni</w:t>
      </w:r>
      <w:r w:rsidR="00E45151" w:rsidRPr="00616B65">
        <w:rPr>
          <w:bCs/>
          <w:sz w:val="22"/>
          <w:szCs w:val="22"/>
          <w:lang w:val="sr-Latn-ME"/>
        </w:rPr>
        <w:t>je</w:t>
      </w:r>
      <w:r w:rsidRPr="00616B65">
        <w:rPr>
          <w:bCs/>
          <w:sz w:val="22"/>
          <w:szCs w:val="22"/>
          <w:lang w:val="sr-Latn-ME"/>
        </w:rPr>
        <w:t xml:space="preserve">su promijenili farmakokinetički profil </w:t>
      </w:r>
      <w:r w:rsidR="002635CF" w:rsidRPr="00616B65">
        <w:rPr>
          <w:bCs/>
          <w:sz w:val="22"/>
          <w:szCs w:val="22"/>
          <w:lang w:val="sr-Latn-ME"/>
        </w:rPr>
        <w:t>dimetil fumarat</w:t>
      </w:r>
      <w:r w:rsidRPr="00616B65">
        <w:rPr>
          <w:bCs/>
          <w:sz w:val="22"/>
          <w:szCs w:val="22"/>
          <w:lang w:val="sr-Latn-ME"/>
        </w:rPr>
        <w:t>a.</w:t>
      </w:r>
    </w:p>
    <w:p w14:paraId="01D23776" w14:textId="77777777" w:rsidR="008F6036" w:rsidRPr="00616B65" w:rsidRDefault="008F6036">
      <w:pPr>
        <w:tabs>
          <w:tab w:val="left" w:pos="540"/>
          <w:tab w:val="left" w:pos="569"/>
        </w:tabs>
        <w:jc w:val="both"/>
        <w:rPr>
          <w:bCs/>
          <w:sz w:val="22"/>
          <w:szCs w:val="22"/>
          <w:lang w:val="sr-Latn-ME"/>
        </w:rPr>
      </w:pPr>
    </w:p>
    <w:p w14:paraId="78A6497C" w14:textId="0748A444" w:rsidR="008F6036" w:rsidRPr="00616B65" w:rsidRDefault="008F6036">
      <w:pPr>
        <w:tabs>
          <w:tab w:val="left" w:pos="540"/>
          <w:tab w:val="left" w:pos="569"/>
        </w:tabs>
        <w:jc w:val="both"/>
        <w:rPr>
          <w:bCs/>
          <w:sz w:val="22"/>
          <w:szCs w:val="22"/>
          <w:lang w:val="sr-Latn-ME"/>
        </w:rPr>
      </w:pPr>
      <w:r w:rsidRPr="00616B65">
        <w:rPr>
          <w:bCs/>
          <w:sz w:val="22"/>
          <w:szCs w:val="22"/>
          <w:lang w:val="sr-Latn-ME"/>
        </w:rPr>
        <w:t xml:space="preserve">Dokazi iz ispitivanja na zdravim ispitanicima ukazuju na to da je pojava naleta crvenila praćenih </w:t>
      </w:r>
      <w:r w:rsidR="00B75503" w:rsidRPr="00616B65">
        <w:rPr>
          <w:bCs/>
          <w:sz w:val="22"/>
          <w:szCs w:val="22"/>
          <w:lang w:val="sr-Latn-ME"/>
        </w:rPr>
        <w:t>osjećaj</w:t>
      </w:r>
      <w:r w:rsidRPr="00616B65">
        <w:rPr>
          <w:bCs/>
          <w:sz w:val="22"/>
          <w:szCs w:val="22"/>
          <w:lang w:val="sr-Latn-ME"/>
        </w:rPr>
        <w:t>em vrućine povezana sa lijekom Dimetex najv</w:t>
      </w:r>
      <w:r w:rsidR="004F2717" w:rsidRPr="00616B65">
        <w:rPr>
          <w:bCs/>
          <w:sz w:val="22"/>
          <w:szCs w:val="22"/>
          <w:lang w:val="sr-Latn-ME"/>
        </w:rPr>
        <w:t>j</w:t>
      </w:r>
      <w:r w:rsidRPr="00616B65">
        <w:rPr>
          <w:bCs/>
          <w:sz w:val="22"/>
          <w:szCs w:val="22"/>
          <w:lang w:val="sr-Latn-ME"/>
        </w:rPr>
        <w:t xml:space="preserve">erovatnije posredovana prostaglandinima. U dva </w:t>
      </w:r>
      <w:r w:rsidRPr="00616B65">
        <w:rPr>
          <w:bCs/>
          <w:sz w:val="22"/>
          <w:szCs w:val="22"/>
          <w:lang w:val="sr-Latn-ME"/>
        </w:rPr>
        <w:lastRenderedPageBreak/>
        <w:t xml:space="preserve">ispitivanja na zdravim ispitanicima, primjena 325 mg (ili ekvivalenta) acetilsalicilne kiseline bez </w:t>
      </w:r>
      <w:r w:rsidR="004F2717" w:rsidRPr="00616B65">
        <w:rPr>
          <w:bCs/>
          <w:sz w:val="22"/>
          <w:szCs w:val="22"/>
          <w:lang w:val="sr-Latn-ME"/>
        </w:rPr>
        <w:t>gatro</w:t>
      </w:r>
      <w:r w:rsidRPr="00616B65">
        <w:rPr>
          <w:bCs/>
          <w:sz w:val="22"/>
          <w:szCs w:val="22"/>
          <w:lang w:val="sr-Latn-ME"/>
        </w:rPr>
        <w:t>rezistentnog omotača, 30 minuta prije primjene lijeka Dimetex, tokom 4 dana odnosno tokom 4 ned</w:t>
      </w:r>
      <w:r w:rsidR="00E45151" w:rsidRPr="00616B65">
        <w:rPr>
          <w:bCs/>
          <w:sz w:val="22"/>
          <w:szCs w:val="22"/>
          <w:lang w:val="sr-Latn-ME"/>
        </w:rPr>
        <w:t>j</w:t>
      </w:r>
      <w:r w:rsidRPr="00616B65">
        <w:rPr>
          <w:bCs/>
          <w:sz w:val="22"/>
          <w:szCs w:val="22"/>
          <w:lang w:val="sr-Latn-ME"/>
        </w:rPr>
        <w:t>elje doziranja, nije prom</w:t>
      </w:r>
      <w:r w:rsidR="004F2717" w:rsidRPr="00616B65">
        <w:rPr>
          <w:bCs/>
          <w:sz w:val="22"/>
          <w:szCs w:val="22"/>
          <w:lang w:val="sr-Latn-ME"/>
        </w:rPr>
        <w:t>ij</w:t>
      </w:r>
      <w:r w:rsidRPr="00616B65">
        <w:rPr>
          <w:bCs/>
          <w:sz w:val="22"/>
          <w:szCs w:val="22"/>
          <w:lang w:val="sr-Latn-ME"/>
        </w:rPr>
        <w:t>enila farmakokinetički profil lijeka Dimetex. Kod pacijenata sa relapsno-remitentnom multiplom sklerozom potrebno je razmotriti moguće rizike povezane sa upotrebom acetilsalicilne kiseline pr</w:t>
      </w:r>
      <w:r w:rsidR="00E45151" w:rsidRPr="00616B65">
        <w:rPr>
          <w:bCs/>
          <w:sz w:val="22"/>
          <w:szCs w:val="22"/>
          <w:lang w:val="sr-Latn-ME"/>
        </w:rPr>
        <w:t>ij</w:t>
      </w:r>
      <w:r w:rsidRPr="00616B65">
        <w:rPr>
          <w:bCs/>
          <w:sz w:val="22"/>
          <w:szCs w:val="22"/>
          <w:lang w:val="sr-Latn-ME"/>
        </w:rPr>
        <w:t>e nego što se ona prim</w:t>
      </w:r>
      <w:r w:rsidR="00E45151" w:rsidRPr="00616B65">
        <w:rPr>
          <w:bCs/>
          <w:sz w:val="22"/>
          <w:szCs w:val="22"/>
          <w:lang w:val="sr-Latn-ME"/>
        </w:rPr>
        <w:t>ij</w:t>
      </w:r>
      <w:r w:rsidRPr="00616B65">
        <w:rPr>
          <w:bCs/>
          <w:sz w:val="22"/>
          <w:szCs w:val="22"/>
          <w:lang w:val="sr-Latn-ME"/>
        </w:rPr>
        <w:t>eni istovremeno sa lijekom Dimetex. Dugotrajna (&gt;</w:t>
      </w:r>
      <w:r w:rsidR="00E45151" w:rsidRPr="00616B65">
        <w:rPr>
          <w:bCs/>
          <w:sz w:val="22"/>
          <w:szCs w:val="22"/>
          <w:lang w:val="sr-Latn-ME"/>
        </w:rPr>
        <w:t xml:space="preserve"> </w:t>
      </w:r>
      <w:r w:rsidRPr="00616B65">
        <w:rPr>
          <w:bCs/>
          <w:sz w:val="22"/>
          <w:szCs w:val="22"/>
          <w:lang w:val="sr-Latn-ME"/>
        </w:rPr>
        <w:t>4 ned</w:t>
      </w:r>
      <w:r w:rsidR="00E45151" w:rsidRPr="00616B65">
        <w:rPr>
          <w:bCs/>
          <w:sz w:val="22"/>
          <w:szCs w:val="22"/>
          <w:lang w:val="sr-Latn-ME"/>
        </w:rPr>
        <w:t>j</w:t>
      </w:r>
      <w:r w:rsidRPr="00616B65">
        <w:rPr>
          <w:bCs/>
          <w:sz w:val="22"/>
          <w:szCs w:val="22"/>
          <w:lang w:val="sr-Latn-ME"/>
        </w:rPr>
        <w:t>elje) neprekidna upotreba acetilsalicilne kiseline nije ispitana (</w:t>
      </w:r>
      <w:r w:rsidR="00E45151" w:rsidRPr="00616B65">
        <w:rPr>
          <w:bCs/>
          <w:sz w:val="22"/>
          <w:szCs w:val="22"/>
          <w:lang w:val="sr-Latn-ME"/>
        </w:rPr>
        <w:t xml:space="preserve">vidjeti </w:t>
      </w:r>
      <w:r w:rsidR="00B75503" w:rsidRPr="00616B65">
        <w:rPr>
          <w:bCs/>
          <w:sz w:val="22"/>
          <w:szCs w:val="22"/>
          <w:lang w:val="sr-Latn-ME"/>
        </w:rPr>
        <w:t>djelove</w:t>
      </w:r>
      <w:r w:rsidR="00E45151" w:rsidRPr="00616B65">
        <w:rPr>
          <w:bCs/>
          <w:sz w:val="22"/>
          <w:szCs w:val="22"/>
          <w:lang w:val="sr-Latn-ME"/>
        </w:rPr>
        <w:t xml:space="preserve"> </w:t>
      </w:r>
      <w:r w:rsidRPr="00616B65">
        <w:rPr>
          <w:bCs/>
          <w:sz w:val="22"/>
          <w:szCs w:val="22"/>
          <w:lang w:val="sr-Latn-ME"/>
        </w:rPr>
        <w:t>4.4 i 4.8).</w:t>
      </w:r>
    </w:p>
    <w:p w14:paraId="1E5E0CEB" w14:textId="0B7943FC" w:rsidR="008F6036" w:rsidRPr="00616B65" w:rsidRDefault="008F6036">
      <w:pPr>
        <w:tabs>
          <w:tab w:val="left" w:pos="540"/>
          <w:tab w:val="left" w:pos="569"/>
        </w:tabs>
        <w:jc w:val="both"/>
        <w:rPr>
          <w:bCs/>
          <w:sz w:val="22"/>
          <w:szCs w:val="22"/>
          <w:lang w:val="sr-Latn-ME"/>
        </w:rPr>
      </w:pPr>
      <w:r w:rsidRPr="00616B65">
        <w:rPr>
          <w:bCs/>
          <w:sz w:val="22"/>
          <w:szCs w:val="22"/>
          <w:lang w:val="sr-Latn-ME"/>
        </w:rPr>
        <w:t xml:space="preserve">Istovremena terapija nefrotoksičnim ljekovima (kao što su aminoglikozidi, diuretici, nesteroidni antiinflamatorni ljekovi ili litijum) može povećati potencijal neželjenih reakcija na bubrege (npr. proteinuriju, </w:t>
      </w:r>
      <w:r w:rsidR="00E45151" w:rsidRPr="00616B65">
        <w:rPr>
          <w:bCs/>
          <w:sz w:val="22"/>
          <w:szCs w:val="22"/>
          <w:lang w:val="sr-Latn-ME"/>
        </w:rPr>
        <w:t xml:space="preserve">vidjeti </w:t>
      </w:r>
      <w:r w:rsidR="00B75503" w:rsidRPr="00616B65">
        <w:rPr>
          <w:bCs/>
          <w:sz w:val="22"/>
          <w:szCs w:val="22"/>
          <w:lang w:val="sr-Latn-ME"/>
        </w:rPr>
        <w:t>dio</w:t>
      </w:r>
      <w:r w:rsidRPr="00616B65">
        <w:rPr>
          <w:bCs/>
          <w:sz w:val="22"/>
          <w:szCs w:val="22"/>
          <w:lang w:val="sr-Latn-ME"/>
        </w:rPr>
        <w:t xml:space="preserve"> 4.8) kod pacijenata koji uzimaju </w:t>
      </w:r>
      <w:r w:rsidR="002635CF" w:rsidRPr="00616B65">
        <w:rPr>
          <w:bCs/>
          <w:sz w:val="22"/>
          <w:szCs w:val="22"/>
          <w:lang w:val="sr-Latn-ME"/>
        </w:rPr>
        <w:t>dimetil fumarat</w:t>
      </w:r>
      <w:r w:rsidRPr="00616B65">
        <w:rPr>
          <w:bCs/>
          <w:sz w:val="22"/>
          <w:szCs w:val="22"/>
          <w:lang w:val="sr-Latn-ME"/>
        </w:rPr>
        <w:t xml:space="preserve"> (</w:t>
      </w:r>
      <w:r w:rsidR="00E45151" w:rsidRPr="00616B65">
        <w:rPr>
          <w:bCs/>
          <w:sz w:val="22"/>
          <w:szCs w:val="22"/>
          <w:lang w:val="sr-Latn-ME"/>
        </w:rPr>
        <w:t xml:space="preserve">vidjeti </w:t>
      </w:r>
      <w:r w:rsidR="00B75503" w:rsidRPr="00616B65">
        <w:rPr>
          <w:bCs/>
          <w:sz w:val="22"/>
          <w:szCs w:val="22"/>
          <w:lang w:val="sr-Latn-ME"/>
        </w:rPr>
        <w:t>dio</w:t>
      </w:r>
      <w:r w:rsidRPr="00616B65">
        <w:rPr>
          <w:bCs/>
          <w:sz w:val="22"/>
          <w:szCs w:val="22"/>
          <w:lang w:val="sr-Latn-ME"/>
        </w:rPr>
        <w:t xml:space="preserve"> 4.4 Krvne/laboratorijske analize).</w:t>
      </w:r>
    </w:p>
    <w:p w14:paraId="192248F3" w14:textId="77777777" w:rsidR="008F6036" w:rsidRPr="00616B65" w:rsidRDefault="008F6036">
      <w:pPr>
        <w:tabs>
          <w:tab w:val="left" w:pos="540"/>
          <w:tab w:val="left" w:pos="569"/>
        </w:tabs>
        <w:jc w:val="both"/>
        <w:rPr>
          <w:bCs/>
          <w:sz w:val="22"/>
          <w:szCs w:val="22"/>
          <w:lang w:val="sr-Latn-ME"/>
        </w:rPr>
      </w:pPr>
    </w:p>
    <w:p w14:paraId="535540E2" w14:textId="4631CB40" w:rsidR="008F6036" w:rsidRPr="00616B65" w:rsidRDefault="008F6036">
      <w:pPr>
        <w:tabs>
          <w:tab w:val="left" w:pos="540"/>
          <w:tab w:val="left" w:pos="569"/>
        </w:tabs>
        <w:jc w:val="both"/>
        <w:rPr>
          <w:bCs/>
          <w:sz w:val="22"/>
          <w:szCs w:val="22"/>
          <w:lang w:val="sr-Latn-ME"/>
        </w:rPr>
      </w:pPr>
      <w:r w:rsidRPr="00616B65">
        <w:rPr>
          <w:bCs/>
          <w:sz w:val="22"/>
          <w:szCs w:val="22"/>
          <w:lang w:val="sr-Latn-ME"/>
        </w:rPr>
        <w:t xml:space="preserve">Konzumiranje umjerenih količina alkohola nije imalo uticaja na izloženost </w:t>
      </w:r>
      <w:r w:rsidR="002635CF" w:rsidRPr="00616B65">
        <w:rPr>
          <w:bCs/>
          <w:sz w:val="22"/>
          <w:szCs w:val="22"/>
          <w:lang w:val="sr-Latn-ME"/>
        </w:rPr>
        <w:t>dimetil fumarat</w:t>
      </w:r>
      <w:r w:rsidRPr="00616B65">
        <w:rPr>
          <w:bCs/>
          <w:sz w:val="22"/>
          <w:szCs w:val="22"/>
          <w:lang w:val="sr-Latn-ME"/>
        </w:rPr>
        <w:t>a i nije bilo povezano sa povećanjem neželjenih reakcija. Konzumiranje velikih količina jakih alkoholnih pića (više od 30 vol. % alkohola) treba izb</w:t>
      </w:r>
      <w:r w:rsidR="00E45151" w:rsidRPr="00616B65">
        <w:rPr>
          <w:bCs/>
          <w:sz w:val="22"/>
          <w:szCs w:val="22"/>
          <w:lang w:val="sr-Latn-ME"/>
        </w:rPr>
        <w:t>j</w:t>
      </w:r>
      <w:r w:rsidRPr="00616B65">
        <w:rPr>
          <w:bCs/>
          <w:sz w:val="22"/>
          <w:szCs w:val="22"/>
          <w:lang w:val="sr-Latn-ME"/>
        </w:rPr>
        <w:t>egavati sat vremena nakon uzimanja lijeka Dimetex, jer alkohol može dovesti do povećanja učestalosti gastrointestinalnih neželjenih reakcija.</w:t>
      </w:r>
    </w:p>
    <w:p w14:paraId="08A6F732" w14:textId="77777777" w:rsidR="008F6036" w:rsidRPr="00616B65" w:rsidRDefault="008F6036">
      <w:pPr>
        <w:tabs>
          <w:tab w:val="left" w:pos="540"/>
          <w:tab w:val="left" w:pos="569"/>
        </w:tabs>
        <w:jc w:val="both"/>
        <w:rPr>
          <w:bCs/>
          <w:i/>
          <w:sz w:val="22"/>
          <w:szCs w:val="22"/>
          <w:lang w:val="sr-Latn-ME"/>
        </w:rPr>
      </w:pPr>
    </w:p>
    <w:p w14:paraId="0865EB85" w14:textId="51B4FB38" w:rsidR="008F6036" w:rsidRPr="00616B65" w:rsidRDefault="008F6036">
      <w:pPr>
        <w:tabs>
          <w:tab w:val="left" w:pos="540"/>
          <w:tab w:val="left" w:pos="569"/>
        </w:tabs>
        <w:jc w:val="both"/>
        <w:rPr>
          <w:bCs/>
          <w:sz w:val="22"/>
          <w:szCs w:val="22"/>
          <w:lang w:val="sr-Latn-ME"/>
        </w:rPr>
      </w:pPr>
      <w:r w:rsidRPr="00616B65">
        <w:rPr>
          <w:bCs/>
          <w:i/>
          <w:sz w:val="22"/>
          <w:szCs w:val="22"/>
          <w:lang w:val="sr-Latn-ME"/>
        </w:rPr>
        <w:t>In vitro</w:t>
      </w:r>
      <w:r w:rsidRPr="00616B65">
        <w:rPr>
          <w:bCs/>
          <w:sz w:val="22"/>
          <w:szCs w:val="22"/>
          <w:lang w:val="sr-Latn-ME"/>
        </w:rPr>
        <w:t xml:space="preserve"> ispitivanja indukcije CYP-a ni</w:t>
      </w:r>
      <w:r w:rsidR="00E45151" w:rsidRPr="00616B65">
        <w:rPr>
          <w:bCs/>
          <w:sz w:val="22"/>
          <w:szCs w:val="22"/>
          <w:lang w:val="sr-Latn-ME"/>
        </w:rPr>
        <w:t>je</w:t>
      </w:r>
      <w:r w:rsidRPr="00616B65">
        <w:rPr>
          <w:bCs/>
          <w:sz w:val="22"/>
          <w:szCs w:val="22"/>
          <w:lang w:val="sr-Latn-ME"/>
        </w:rPr>
        <w:t xml:space="preserve">su pokazala interakciju između lijeka Dimetex i oralnih kontraceptiva. U jednom </w:t>
      </w:r>
      <w:r w:rsidRPr="00616B65">
        <w:rPr>
          <w:bCs/>
          <w:i/>
          <w:sz w:val="22"/>
          <w:szCs w:val="22"/>
          <w:lang w:val="sr-Latn-ME"/>
        </w:rPr>
        <w:t>in vivo</w:t>
      </w:r>
      <w:r w:rsidRPr="00616B65">
        <w:rPr>
          <w:bCs/>
          <w:sz w:val="22"/>
          <w:szCs w:val="22"/>
          <w:lang w:val="sr-Latn-ME"/>
        </w:rPr>
        <w:t xml:space="preserve"> ispitivanju istovremena primjena lijeka Dimetex sa kombinovanim oralnim kontraceptivima (norgestimat i etinilestradiol) nije značajno prom</w:t>
      </w:r>
      <w:r w:rsidR="00E45151" w:rsidRPr="00616B65">
        <w:rPr>
          <w:bCs/>
          <w:sz w:val="22"/>
          <w:szCs w:val="22"/>
          <w:lang w:val="sr-Latn-ME"/>
        </w:rPr>
        <w:t>ij</w:t>
      </w:r>
      <w:r w:rsidRPr="00616B65">
        <w:rPr>
          <w:bCs/>
          <w:sz w:val="22"/>
          <w:szCs w:val="22"/>
          <w:lang w:val="sr-Latn-ME"/>
        </w:rPr>
        <w:t>enila izloženost oralnim kontraceptivima. Iako ni</w:t>
      </w:r>
      <w:r w:rsidR="00E45151" w:rsidRPr="00616B65">
        <w:rPr>
          <w:bCs/>
          <w:sz w:val="22"/>
          <w:szCs w:val="22"/>
          <w:lang w:val="sr-Latn-ME"/>
        </w:rPr>
        <w:t>je</w:t>
      </w:r>
      <w:r w:rsidRPr="00616B65">
        <w:rPr>
          <w:bCs/>
          <w:sz w:val="22"/>
          <w:szCs w:val="22"/>
          <w:lang w:val="sr-Latn-ME"/>
        </w:rPr>
        <w:t>su sprovedena ispitivanja interakcija sa oralnim kontraceptivima koji sadrže druge progestagene, uticaj lijeka Dimetex na izloženost ovim kontraceptivima se ne očekuje.</w:t>
      </w:r>
    </w:p>
    <w:p w14:paraId="49090331" w14:textId="77777777" w:rsidR="008F6036" w:rsidRPr="00616B65" w:rsidRDefault="008F6036">
      <w:pPr>
        <w:tabs>
          <w:tab w:val="left" w:pos="540"/>
          <w:tab w:val="left" w:pos="569"/>
        </w:tabs>
        <w:jc w:val="both"/>
        <w:rPr>
          <w:bCs/>
          <w:sz w:val="22"/>
          <w:szCs w:val="22"/>
          <w:lang w:val="sr-Latn-ME"/>
        </w:rPr>
      </w:pPr>
    </w:p>
    <w:p w14:paraId="79CC3947" w14:textId="77777777" w:rsidR="008F6036" w:rsidRPr="00616B65" w:rsidRDefault="008F6036">
      <w:pPr>
        <w:tabs>
          <w:tab w:val="left" w:pos="540"/>
          <w:tab w:val="left" w:pos="569"/>
        </w:tabs>
        <w:jc w:val="both"/>
        <w:rPr>
          <w:bCs/>
          <w:sz w:val="22"/>
          <w:szCs w:val="22"/>
          <w:u w:val="single"/>
          <w:lang w:val="sr-Latn-ME"/>
        </w:rPr>
      </w:pPr>
      <w:r w:rsidRPr="00616B65">
        <w:rPr>
          <w:bCs/>
          <w:sz w:val="22"/>
          <w:szCs w:val="22"/>
          <w:u w:val="single"/>
          <w:lang w:val="sr-Latn-ME"/>
        </w:rPr>
        <w:t>Pedijatrijska populacija</w:t>
      </w:r>
    </w:p>
    <w:p w14:paraId="2ABE47C3" w14:textId="77777777" w:rsidR="008F6036" w:rsidRPr="00616B65" w:rsidRDefault="008F6036">
      <w:pPr>
        <w:tabs>
          <w:tab w:val="left" w:pos="540"/>
          <w:tab w:val="left" w:pos="569"/>
        </w:tabs>
        <w:jc w:val="both"/>
        <w:rPr>
          <w:bCs/>
          <w:sz w:val="22"/>
          <w:szCs w:val="22"/>
          <w:lang w:val="sr-Latn-ME"/>
        </w:rPr>
      </w:pPr>
    </w:p>
    <w:p w14:paraId="46EBDB4C" w14:textId="60D3DE20" w:rsidR="0072020E" w:rsidRPr="00616B65" w:rsidRDefault="008F6036">
      <w:pPr>
        <w:tabs>
          <w:tab w:val="left" w:pos="540"/>
          <w:tab w:val="left" w:pos="569"/>
        </w:tabs>
        <w:jc w:val="both"/>
        <w:rPr>
          <w:bCs/>
          <w:sz w:val="22"/>
          <w:szCs w:val="22"/>
          <w:lang w:val="sr-Latn-ME"/>
        </w:rPr>
      </w:pPr>
      <w:r w:rsidRPr="00616B65">
        <w:rPr>
          <w:bCs/>
          <w:sz w:val="22"/>
          <w:szCs w:val="22"/>
          <w:lang w:val="sr-Latn-ME"/>
        </w:rPr>
        <w:t>Ispitivanja interakcija vršena su samo kod odraslih.</w:t>
      </w:r>
    </w:p>
    <w:p w14:paraId="274F8BD6" w14:textId="77777777" w:rsidR="008F6036" w:rsidRPr="00616B65" w:rsidRDefault="008F6036" w:rsidP="005A340E">
      <w:pPr>
        <w:tabs>
          <w:tab w:val="left" w:pos="540"/>
          <w:tab w:val="left" w:pos="569"/>
        </w:tabs>
        <w:jc w:val="both"/>
        <w:rPr>
          <w:bCs/>
          <w:sz w:val="22"/>
          <w:szCs w:val="22"/>
          <w:lang w:val="sr-Latn-ME"/>
        </w:rPr>
      </w:pPr>
    </w:p>
    <w:p w14:paraId="6148D5D0" w14:textId="77777777" w:rsidR="0072020E" w:rsidRPr="00616B65" w:rsidRDefault="0072020E" w:rsidP="005A340E">
      <w:pPr>
        <w:tabs>
          <w:tab w:val="left" w:pos="540"/>
          <w:tab w:val="left" w:pos="569"/>
        </w:tabs>
        <w:jc w:val="both"/>
        <w:rPr>
          <w:b/>
          <w:sz w:val="22"/>
          <w:szCs w:val="22"/>
          <w:lang w:val="sr-Latn-ME"/>
        </w:rPr>
      </w:pPr>
      <w:r w:rsidRPr="00616B65">
        <w:rPr>
          <w:b/>
          <w:bCs/>
          <w:sz w:val="22"/>
          <w:szCs w:val="22"/>
          <w:lang w:val="sr-Latn-ME"/>
        </w:rPr>
        <w:t xml:space="preserve">4.6. </w:t>
      </w:r>
      <w:r w:rsidR="00480FB1" w:rsidRPr="00616B65">
        <w:rPr>
          <w:b/>
          <w:bCs/>
          <w:sz w:val="22"/>
          <w:szCs w:val="22"/>
          <w:lang w:val="sr-Latn-ME"/>
        </w:rPr>
        <w:tab/>
      </w:r>
      <w:r w:rsidR="006D20A5" w:rsidRPr="00616B65">
        <w:rPr>
          <w:b/>
          <w:sz w:val="22"/>
          <w:szCs w:val="22"/>
          <w:lang w:val="sr-Latn-ME"/>
        </w:rPr>
        <w:t>Plodnost, trudnoća i dojenje</w:t>
      </w:r>
    </w:p>
    <w:p w14:paraId="423F7949" w14:textId="77777777" w:rsidR="002031B3" w:rsidRPr="00616B65" w:rsidRDefault="002031B3" w:rsidP="005A340E">
      <w:pPr>
        <w:tabs>
          <w:tab w:val="left" w:pos="540"/>
          <w:tab w:val="left" w:pos="569"/>
        </w:tabs>
        <w:jc w:val="both"/>
        <w:rPr>
          <w:sz w:val="22"/>
          <w:szCs w:val="22"/>
          <w:u w:val="single"/>
          <w:lang w:val="sr-Latn-ME"/>
        </w:rPr>
      </w:pPr>
    </w:p>
    <w:p w14:paraId="181CAE81" w14:textId="77777777" w:rsidR="002031B3" w:rsidRPr="00616B65" w:rsidRDefault="002031B3" w:rsidP="005A340E">
      <w:pPr>
        <w:tabs>
          <w:tab w:val="left" w:pos="540"/>
          <w:tab w:val="left" w:pos="569"/>
        </w:tabs>
        <w:jc w:val="both"/>
        <w:rPr>
          <w:sz w:val="22"/>
          <w:szCs w:val="22"/>
          <w:u w:val="single"/>
          <w:lang w:val="sr-Latn-ME"/>
        </w:rPr>
      </w:pPr>
      <w:r w:rsidRPr="00616B65">
        <w:rPr>
          <w:sz w:val="22"/>
          <w:szCs w:val="22"/>
          <w:u w:val="single"/>
          <w:lang w:val="sr-Latn-ME"/>
        </w:rPr>
        <w:t>Plodnost</w:t>
      </w:r>
    </w:p>
    <w:p w14:paraId="1F5F3B32" w14:textId="7F4F32A2" w:rsidR="002031B3" w:rsidRPr="00616B65" w:rsidRDefault="00B75503" w:rsidP="00C31FAA">
      <w:pPr>
        <w:tabs>
          <w:tab w:val="left" w:pos="540"/>
          <w:tab w:val="left" w:pos="569"/>
        </w:tabs>
        <w:jc w:val="both"/>
        <w:rPr>
          <w:sz w:val="22"/>
          <w:szCs w:val="22"/>
          <w:lang w:val="sr-Latn-ME"/>
        </w:rPr>
      </w:pPr>
      <w:r w:rsidRPr="00616B65">
        <w:rPr>
          <w:sz w:val="22"/>
          <w:szCs w:val="22"/>
          <w:lang w:val="sr-Latn-ME"/>
        </w:rPr>
        <w:t xml:space="preserve">Nema dostupnih podataka o dejstvu </w:t>
      </w:r>
      <w:r w:rsidR="002635CF" w:rsidRPr="00616B65">
        <w:rPr>
          <w:sz w:val="22"/>
          <w:szCs w:val="22"/>
          <w:lang w:val="sr-Latn-ME"/>
        </w:rPr>
        <w:t>dimetil fumarat</w:t>
      </w:r>
      <w:r w:rsidRPr="00616B65">
        <w:rPr>
          <w:sz w:val="22"/>
          <w:szCs w:val="22"/>
          <w:lang w:val="sr-Latn-ME"/>
        </w:rPr>
        <w:t xml:space="preserve">a na plodnost kod ljudi. Podaci iz pretkliničkih ispitivanja ne ukazuju na to da bi </w:t>
      </w:r>
      <w:r w:rsidR="002635CF" w:rsidRPr="00616B65">
        <w:rPr>
          <w:sz w:val="22"/>
          <w:szCs w:val="22"/>
          <w:lang w:val="sr-Latn-ME"/>
        </w:rPr>
        <w:t>dimetil fumarat</w:t>
      </w:r>
      <w:r w:rsidRPr="00616B65">
        <w:rPr>
          <w:sz w:val="22"/>
          <w:szCs w:val="22"/>
          <w:lang w:val="sr-Latn-ME"/>
        </w:rPr>
        <w:t xml:space="preserve"> mogao biti povezan sa povećanim rizikom od smanjenja plodnosti (</w:t>
      </w:r>
      <w:r w:rsidR="00E45151" w:rsidRPr="00616B65">
        <w:rPr>
          <w:sz w:val="22"/>
          <w:szCs w:val="22"/>
          <w:lang w:val="sr-Latn-ME"/>
        </w:rPr>
        <w:t xml:space="preserve">vidjeti </w:t>
      </w:r>
      <w:r w:rsidRPr="00616B65">
        <w:rPr>
          <w:sz w:val="22"/>
          <w:szCs w:val="22"/>
          <w:lang w:val="sr-Latn-ME"/>
        </w:rPr>
        <w:t>dio 5.3).</w:t>
      </w:r>
    </w:p>
    <w:p w14:paraId="46C7B44F" w14:textId="77777777" w:rsidR="00B75503" w:rsidRPr="00616B65" w:rsidRDefault="00B75503" w:rsidP="005A340E">
      <w:pPr>
        <w:tabs>
          <w:tab w:val="left" w:pos="540"/>
          <w:tab w:val="left" w:pos="569"/>
        </w:tabs>
        <w:jc w:val="both"/>
        <w:rPr>
          <w:sz w:val="22"/>
          <w:szCs w:val="22"/>
          <w:u w:val="single"/>
          <w:lang w:val="sr-Latn-ME"/>
        </w:rPr>
      </w:pPr>
    </w:p>
    <w:p w14:paraId="236EA6B6" w14:textId="77777777" w:rsidR="007A3ECB" w:rsidRPr="00616B65" w:rsidRDefault="007A3ECB" w:rsidP="005A340E">
      <w:pPr>
        <w:tabs>
          <w:tab w:val="left" w:pos="540"/>
          <w:tab w:val="left" w:pos="569"/>
        </w:tabs>
        <w:jc w:val="both"/>
        <w:rPr>
          <w:sz w:val="22"/>
          <w:szCs w:val="22"/>
          <w:u w:val="single"/>
          <w:lang w:val="sr-Latn-ME"/>
        </w:rPr>
      </w:pPr>
      <w:r w:rsidRPr="00616B65">
        <w:rPr>
          <w:sz w:val="22"/>
          <w:szCs w:val="22"/>
          <w:u w:val="single"/>
          <w:lang w:val="sr-Latn-ME"/>
        </w:rPr>
        <w:t>Trudnoća</w:t>
      </w:r>
    </w:p>
    <w:p w14:paraId="66FE5AC6" w14:textId="3B055A37" w:rsidR="002031B3" w:rsidRPr="00616B65" w:rsidRDefault="00B75503" w:rsidP="00C31FAA">
      <w:pPr>
        <w:tabs>
          <w:tab w:val="left" w:pos="540"/>
          <w:tab w:val="left" w:pos="569"/>
        </w:tabs>
        <w:jc w:val="both"/>
        <w:rPr>
          <w:sz w:val="22"/>
          <w:szCs w:val="22"/>
          <w:lang w:val="sr-Latn-ME"/>
        </w:rPr>
      </w:pPr>
      <w:r w:rsidRPr="00616B65">
        <w:rPr>
          <w:sz w:val="22"/>
          <w:szCs w:val="22"/>
          <w:lang w:val="sr-Latn-ME"/>
        </w:rPr>
        <w:t xml:space="preserve">Nema dostupnih podataka ili su podaci o primjeni </w:t>
      </w:r>
      <w:r w:rsidR="002635CF" w:rsidRPr="00616B65">
        <w:rPr>
          <w:sz w:val="22"/>
          <w:szCs w:val="22"/>
          <w:lang w:val="sr-Latn-ME"/>
        </w:rPr>
        <w:t>dimetil fumarat</w:t>
      </w:r>
      <w:r w:rsidRPr="00616B65">
        <w:rPr>
          <w:sz w:val="22"/>
          <w:szCs w:val="22"/>
          <w:lang w:val="sr-Latn-ME"/>
        </w:rPr>
        <w:t>a kod trudnica ograničeni. Ispitivanja na životinjama pokazala su reproduktivnu toksičnost (</w:t>
      </w:r>
      <w:r w:rsidR="00E45151" w:rsidRPr="00616B65">
        <w:rPr>
          <w:sz w:val="22"/>
          <w:szCs w:val="22"/>
          <w:lang w:val="sr-Latn-ME"/>
        </w:rPr>
        <w:t xml:space="preserve">vidjeti </w:t>
      </w:r>
      <w:r w:rsidRPr="00616B65">
        <w:rPr>
          <w:sz w:val="22"/>
          <w:szCs w:val="22"/>
          <w:lang w:val="sr-Latn-ME"/>
        </w:rPr>
        <w:t>dio 5.3). Ne preporučuje se upotreba lijeka Dimetex tokom trudnoće, niti kod žena u reproduktivnom periodu koje ne koriste odgovarajuće mjere kontracepcije (</w:t>
      </w:r>
      <w:r w:rsidR="00960933" w:rsidRPr="00616B65">
        <w:rPr>
          <w:sz w:val="22"/>
          <w:szCs w:val="22"/>
          <w:lang w:val="sr-Latn-ME"/>
        </w:rPr>
        <w:t xml:space="preserve">vidjeti </w:t>
      </w:r>
      <w:r w:rsidRPr="00616B65">
        <w:rPr>
          <w:sz w:val="22"/>
          <w:szCs w:val="22"/>
          <w:lang w:val="sr-Latn-ME"/>
        </w:rPr>
        <w:t>dio 4.5). Lijek Dimetex se može primjenjivati tokom trudnoće samo ako je to neophodno i ako potencijalna korist opravdava potencijalni rizik za fetus.</w:t>
      </w:r>
    </w:p>
    <w:p w14:paraId="085DA6E5" w14:textId="77777777" w:rsidR="00B75503" w:rsidRPr="00616B65" w:rsidRDefault="00B75503" w:rsidP="005A340E">
      <w:pPr>
        <w:tabs>
          <w:tab w:val="left" w:pos="540"/>
          <w:tab w:val="left" w:pos="569"/>
        </w:tabs>
        <w:jc w:val="both"/>
        <w:rPr>
          <w:sz w:val="22"/>
          <w:szCs w:val="22"/>
          <w:u w:val="single"/>
          <w:lang w:val="sr-Latn-ME"/>
        </w:rPr>
      </w:pPr>
    </w:p>
    <w:p w14:paraId="46ED42C8" w14:textId="77777777" w:rsidR="0072020E" w:rsidRPr="00616B65" w:rsidRDefault="007A3ECB" w:rsidP="005A340E">
      <w:pPr>
        <w:tabs>
          <w:tab w:val="left" w:pos="540"/>
          <w:tab w:val="left" w:pos="569"/>
        </w:tabs>
        <w:jc w:val="both"/>
        <w:rPr>
          <w:sz w:val="22"/>
          <w:szCs w:val="22"/>
          <w:u w:val="single"/>
          <w:lang w:val="sr-Latn-ME"/>
        </w:rPr>
      </w:pPr>
      <w:r w:rsidRPr="00616B65">
        <w:rPr>
          <w:sz w:val="22"/>
          <w:szCs w:val="22"/>
          <w:u w:val="single"/>
          <w:lang w:val="sr-Latn-ME"/>
        </w:rPr>
        <w:t xml:space="preserve">Dojenje </w:t>
      </w:r>
    </w:p>
    <w:p w14:paraId="27906944" w14:textId="7444EB12" w:rsidR="00B75503" w:rsidRPr="00616B65" w:rsidRDefault="00B75503" w:rsidP="00C31FAA">
      <w:pPr>
        <w:tabs>
          <w:tab w:val="left" w:pos="540"/>
          <w:tab w:val="left" w:pos="569"/>
        </w:tabs>
        <w:jc w:val="both"/>
        <w:rPr>
          <w:sz w:val="22"/>
          <w:szCs w:val="22"/>
          <w:lang w:val="sr-Latn-ME"/>
        </w:rPr>
      </w:pPr>
      <w:r w:rsidRPr="00616B65">
        <w:rPr>
          <w:sz w:val="22"/>
          <w:szCs w:val="22"/>
          <w:lang w:val="sr-Latn-ME"/>
        </w:rPr>
        <w:t xml:space="preserve">Nije poznato da li se </w:t>
      </w:r>
      <w:r w:rsidR="002635CF" w:rsidRPr="00616B65">
        <w:rPr>
          <w:sz w:val="22"/>
          <w:szCs w:val="22"/>
          <w:lang w:val="sr-Latn-ME"/>
        </w:rPr>
        <w:t>dimetil fumarat</w:t>
      </w:r>
      <w:r w:rsidRPr="00616B65">
        <w:rPr>
          <w:sz w:val="22"/>
          <w:szCs w:val="22"/>
          <w:lang w:val="sr-Latn-ME"/>
        </w:rPr>
        <w:t xml:space="preserve"> ili njegovi metaboliti izlučuju u majčino mlijeko. Ne može se isključiti rizik za novorođenče/odojče. Potrebno je odlučiti treba li prekinuti dojenje ili terapiju lijekom Dimetex. Potrebno je uzeti u obzir korist dojenja za dijete i korist terapije za ženu.</w:t>
      </w:r>
    </w:p>
    <w:p w14:paraId="1727DF3B" w14:textId="77777777" w:rsidR="00227BDB" w:rsidRPr="00616B65" w:rsidRDefault="00227BDB" w:rsidP="005A340E">
      <w:pPr>
        <w:tabs>
          <w:tab w:val="left" w:pos="540"/>
          <w:tab w:val="left" w:pos="569"/>
        </w:tabs>
        <w:ind w:left="540" w:hanging="540"/>
        <w:jc w:val="both"/>
        <w:rPr>
          <w:b/>
          <w:bCs/>
          <w:sz w:val="22"/>
          <w:szCs w:val="22"/>
          <w:lang w:val="sr-Latn-ME"/>
        </w:rPr>
      </w:pPr>
    </w:p>
    <w:p w14:paraId="6FAB9579" w14:textId="77777777" w:rsidR="0072020E" w:rsidRPr="00616B65" w:rsidRDefault="0072020E" w:rsidP="005A340E">
      <w:pPr>
        <w:tabs>
          <w:tab w:val="left" w:pos="540"/>
          <w:tab w:val="left" w:pos="569"/>
        </w:tabs>
        <w:ind w:left="540" w:hanging="540"/>
        <w:jc w:val="both"/>
        <w:rPr>
          <w:b/>
          <w:bCs/>
          <w:sz w:val="22"/>
          <w:szCs w:val="22"/>
          <w:lang w:val="sr-Latn-ME"/>
        </w:rPr>
      </w:pPr>
      <w:r w:rsidRPr="00616B65">
        <w:rPr>
          <w:b/>
          <w:bCs/>
          <w:sz w:val="22"/>
          <w:szCs w:val="22"/>
          <w:lang w:val="sr-Latn-ME"/>
        </w:rPr>
        <w:t xml:space="preserve">4.7. </w:t>
      </w:r>
      <w:r w:rsidR="00480FB1" w:rsidRPr="00616B65">
        <w:rPr>
          <w:b/>
          <w:bCs/>
          <w:sz w:val="22"/>
          <w:szCs w:val="22"/>
          <w:lang w:val="sr-Latn-ME"/>
        </w:rPr>
        <w:tab/>
      </w:r>
      <w:r w:rsidRPr="00616B65">
        <w:rPr>
          <w:b/>
          <w:bCs/>
          <w:sz w:val="22"/>
          <w:szCs w:val="22"/>
          <w:lang w:val="sr-Latn-ME"/>
        </w:rPr>
        <w:t xml:space="preserve">Uticaj na </w:t>
      </w:r>
      <w:r w:rsidR="002031B3" w:rsidRPr="00616B65">
        <w:rPr>
          <w:b/>
          <w:bCs/>
          <w:sz w:val="22"/>
          <w:szCs w:val="22"/>
          <w:lang w:val="sr-Latn-ME"/>
        </w:rPr>
        <w:t xml:space="preserve">sposobnost </w:t>
      </w:r>
      <w:r w:rsidR="00F34554" w:rsidRPr="00616B65">
        <w:rPr>
          <w:b/>
          <w:bCs/>
          <w:sz w:val="22"/>
          <w:szCs w:val="22"/>
          <w:lang w:val="sr-Latn-ME"/>
        </w:rPr>
        <w:t>upravljanja vozili</w:t>
      </w:r>
      <w:r w:rsidRPr="00616B65">
        <w:rPr>
          <w:b/>
          <w:bCs/>
          <w:sz w:val="22"/>
          <w:szCs w:val="22"/>
          <w:lang w:val="sr-Latn-ME"/>
        </w:rPr>
        <w:t>m</w:t>
      </w:r>
      <w:r w:rsidR="00F34554" w:rsidRPr="00616B65">
        <w:rPr>
          <w:b/>
          <w:bCs/>
          <w:sz w:val="22"/>
          <w:szCs w:val="22"/>
          <w:lang w:val="sr-Latn-ME"/>
        </w:rPr>
        <w:t>a</w:t>
      </w:r>
      <w:r w:rsidRPr="00616B65">
        <w:rPr>
          <w:b/>
          <w:bCs/>
          <w:sz w:val="22"/>
          <w:szCs w:val="22"/>
          <w:lang w:val="sr-Latn-ME"/>
        </w:rPr>
        <w:t xml:space="preserve"> i </w:t>
      </w:r>
      <w:r w:rsidR="000D3449" w:rsidRPr="00616B65">
        <w:rPr>
          <w:b/>
          <w:bCs/>
          <w:sz w:val="22"/>
          <w:szCs w:val="22"/>
          <w:lang w:val="sr-Latn-ME"/>
        </w:rPr>
        <w:t xml:space="preserve">rukovanje </w:t>
      </w:r>
      <w:r w:rsidRPr="00616B65">
        <w:rPr>
          <w:b/>
          <w:bCs/>
          <w:sz w:val="22"/>
          <w:szCs w:val="22"/>
          <w:lang w:val="sr-Latn-ME"/>
        </w:rPr>
        <w:t>mašinama</w:t>
      </w:r>
    </w:p>
    <w:p w14:paraId="7B825FE3" w14:textId="77777777" w:rsidR="00B75503" w:rsidRPr="00616B65" w:rsidRDefault="00B75503" w:rsidP="00C31FAA">
      <w:pPr>
        <w:tabs>
          <w:tab w:val="left" w:pos="540"/>
          <w:tab w:val="left" w:pos="569"/>
        </w:tabs>
        <w:jc w:val="both"/>
        <w:rPr>
          <w:sz w:val="22"/>
          <w:szCs w:val="22"/>
          <w:lang w:val="sr-Latn-ME"/>
        </w:rPr>
      </w:pPr>
    </w:p>
    <w:p w14:paraId="24924842" w14:textId="5FF3025C" w:rsidR="0072020E" w:rsidRPr="00616B65" w:rsidRDefault="00B75503" w:rsidP="0023493E">
      <w:pPr>
        <w:tabs>
          <w:tab w:val="left" w:pos="540"/>
          <w:tab w:val="left" w:pos="569"/>
        </w:tabs>
        <w:jc w:val="both"/>
        <w:rPr>
          <w:sz w:val="22"/>
          <w:szCs w:val="22"/>
          <w:lang w:val="sr-Latn-ME"/>
        </w:rPr>
      </w:pPr>
      <w:r w:rsidRPr="00616B65">
        <w:rPr>
          <w:sz w:val="22"/>
          <w:szCs w:val="22"/>
          <w:lang w:val="sr-Latn-ME"/>
        </w:rPr>
        <w:t>Lijek Dimetex nema ili ima zanemarljiv uticaj na sposobnost upravljanja vozilima i rukovanja mašinama. Ni</w:t>
      </w:r>
      <w:r w:rsidR="00960933" w:rsidRPr="00616B65">
        <w:rPr>
          <w:sz w:val="22"/>
          <w:szCs w:val="22"/>
          <w:lang w:val="sr-Latn-ME"/>
        </w:rPr>
        <w:t>je</w:t>
      </w:r>
      <w:r w:rsidRPr="00616B65">
        <w:rPr>
          <w:sz w:val="22"/>
          <w:szCs w:val="22"/>
          <w:lang w:val="sr-Latn-ME"/>
        </w:rPr>
        <w:t>su sprovedena ispitivanja uticaja na sposobnost upravljanja vozilima i rukovanja mašinama, ali se tokom kliničkih studija ni</w:t>
      </w:r>
      <w:r w:rsidR="00960933" w:rsidRPr="00616B65">
        <w:rPr>
          <w:sz w:val="22"/>
          <w:szCs w:val="22"/>
          <w:lang w:val="sr-Latn-ME"/>
        </w:rPr>
        <w:t>je</w:t>
      </w:r>
      <w:r w:rsidRPr="00616B65">
        <w:rPr>
          <w:sz w:val="22"/>
          <w:szCs w:val="22"/>
          <w:lang w:val="sr-Latn-ME"/>
        </w:rPr>
        <w:t>su javili efekti koji bi uticali na ove sposobnosti.</w:t>
      </w:r>
    </w:p>
    <w:p w14:paraId="56D0A6E2" w14:textId="77777777" w:rsidR="00B75503" w:rsidRPr="00616B65" w:rsidRDefault="00B75503">
      <w:pPr>
        <w:tabs>
          <w:tab w:val="left" w:pos="540"/>
          <w:tab w:val="left" w:pos="569"/>
        </w:tabs>
        <w:jc w:val="both"/>
        <w:rPr>
          <w:sz w:val="22"/>
          <w:szCs w:val="22"/>
          <w:lang w:val="sr-Latn-ME"/>
        </w:rPr>
      </w:pPr>
    </w:p>
    <w:p w14:paraId="1AEAC4DA" w14:textId="77777777" w:rsidR="0072020E" w:rsidRPr="00616B65" w:rsidRDefault="0072020E" w:rsidP="005A340E">
      <w:pPr>
        <w:tabs>
          <w:tab w:val="left" w:pos="540"/>
          <w:tab w:val="left" w:pos="569"/>
        </w:tabs>
        <w:jc w:val="both"/>
        <w:rPr>
          <w:b/>
          <w:bCs/>
          <w:sz w:val="22"/>
          <w:szCs w:val="22"/>
          <w:lang w:val="sr-Latn-ME"/>
        </w:rPr>
      </w:pPr>
      <w:r w:rsidRPr="00616B65">
        <w:rPr>
          <w:b/>
          <w:bCs/>
          <w:sz w:val="22"/>
          <w:szCs w:val="22"/>
          <w:lang w:val="sr-Latn-ME"/>
        </w:rPr>
        <w:t xml:space="preserve">4.8. </w:t>
      </w:r>
      <w:r w:rsidR="00480FB1" w:rsidRPr="00616B65">
        <w:rPr>
          <w:b/>
          <w:bCs/>
          <w:sz w:val="22"/>
          <w:szCs w:val="22"/>
          <w:lang w:val="sr-Latn-ME"/>
        </w:rPr>
        <w:tab/>
      </w:r>
      <w:r w:rsidRPr="00616B65">
        <w:rPr>
          <w:b/>
          <w:bCs/>
          <w:sz w:val="22"/>
          <w:szCs w:val="22"/>
          <w:lang w:val="sr-Latn-ME"/>
        </w:rPr>
        <w:t>Neželjena dejstva</w:t>
      </w:r>
    </w:p>
    <w:p w14:paraId="4F8D26D8" w14:textId="77777777" w:rsidR="00B75503" w:rsidRPr="00616B65" w:rsidRDefault="00B75503" w:rsidP="005A340E">
      <w:pPr>
        <w:tabs>
          <w:tab w:val="left" w:pos="540"/>
          <w:tab w:val="left" w:pos="569"/>
        </w:tabs>
        <w:jc w:val="both"/>
        <w:rPr>
          <w:b/>
          <w:bCs/>
          <w:sz w:val="22"/>
          <w:szCs w:val="22"/>
          <w:lang w:val="sr-Latn-ME"/>
        </w:rPr>
      </w:pPr>
    </w:p>
    <w:p w14:paraId="71143ED7" w14:textId="751806E7" w:rsidR="00B75503" w:rsidRPr="00616B65" w:rsidRDefault="00B75503" w:rsidP="005A340E">
      <w:pPr>
        <w:tabs>
          <w:tab w:val="left" w:pos="540"/>
          <w:tab w:val="left" w:pos="569"/>
        </w:tabs>
        <w:jc w:val="both"/>
        <w:rPr>
          <w:sz w:val="22"/>
          <w:szCs w:val="22"/>
          <w:u w:val="single"/>
          <w:lang w:val="sr-Latn-ME"/>
        </w:rPr>
      </w:pPr>
      <w:r w:rsidRPr="00616B65">
        <w:rPr>
          <w:sz w:val="22"/>
          <w:szCs w:val="22"/>
          <w:u w:val="single"/>
          <w:lang w:val="sr-Latn-ME"/>
        </w:rPr>
        <w:t>Sažetak bezbjednosnog profila</w:t>
      </w:r>
    </w:p>
    <w:p w14:paraId="30BBB2FF" w14:textId="77777777" w:rsidR="00B75503" w:rsidRPr="00616B65" w:rsidRDefault="00B75503" w:rsidP="00C31FAA">
      <w:pPr>
        <w:tabs>
          <w:tab w:val="left" w:pos="540"/>
          <w:tab w:val="left" w:pos="569"/>
        </w:tabs>
        <w:jc w:val="both"/>
        <w:rPr>
          <w:sz w:val="22"/>
          <w:szCs w:val="22"/>
          <w:lang w:val="sr-Latn-ME"/>
        </w:rPr>
      </w:pPr>
    </w:p>
    <w:p w14:paraId="3125D66A" w14:textId="5762CAF1" w:rsidR="00B75503" w:rsidRPr="00616B65" w:rsidRDefault="00B75503" w:rsidP="00C31FAA">
      <w:pPr>
        <w:tabs>
          <w:tab w:val="left" w:pos="540"/>
          <w:tab w:val="left" w:pos="569"/>
        </w:tabs>
        <w:jc w:val="both"/>
        <w:rPr>
          <w:sz w:val="22"/>
          <w:szCs w:val="22"/>
          <w:lang w:val="sr-Latn-ME"/>
        </w:rPr>
      </w:pPr>
      <w:r w:rsidRPr="00616B65">
        <w:rPr>
          <w:sz w:val="22"/>
          <w:szCs w:val="22"/>
          <w:lang w:val="sr-Latn-ME"/>
        </w:rPr>
        <w:t xml:space="preserve">Najčešće neželjene reakcije (učestalost ≥ 10%) kod pacijenata na terapiji </w:t>
      </w:r>
      <w:r w:rsidR="002635CF" w:rsidRPr="00616B65">
        <w:rPr>
          <w:sz w:val="22"/>
          <w:szCs w:val="22"/>
          <w:lang w:val="sr-Latn-ME"/>
        </w:rPr>
        <w:t>dimetil fumarat</w:t>
      </w:r>
      <w:r w:rsidRPr="00616B65">
        <w:rPr>
          <w:sz w:val="22"/>
          <w:szCs w:val="22"/>
          <w:lang w:val="sr-Latn-ME"/>
        </w:rPr>
        <w:t xml:space="preserve">om su bile naleti crvenila praćeni osjećajem vrućine i gastrointestinalne tegobe (npr. proliv, mučnina, bol u </w:t>
      </w:r>
      <w:r w:rsidRPr="00616B65">
        <w:rPr>
          <w:sz w:val="22"/>
          <w:szCs w:val="22"/>
          <w:lang w:val="sr-Latn-ME"/>
        </w:rPr>
        <w:lastRenderedPageBreak/>
        <w:t xml:space="preserve">stomaku, bol u gornjem dijelu stomaka). Naleti crvenila praćeni osjećajem vrućine i gastrointestinalne tegobe imaju tendenciju da se jave rano tokom terapije (prvenstveno tokom prvog </w:t>
      </w:r>
      <w:r w:rsidR="00C44275" w:rsidRPr="00616B65">
        <w:rPr>
          <w:sz w:val="22"/>
          <w:szCs w:val="22"/>
          <w:lang w:val="sr-Latn-ME"/>
        </w:rPr>
        <w:t>mjesec</w:t>
      </w:r>
      <w:r w:rsidRPr="00616B65">
        <w:rPr>
          <w:sz w:val="22"/>
          <w:szCs w:val="22"/>
          <w:lang w:val="sr-Latn-ME"/>
        </w:rPr>
        <w:t>a), a pacijenti kod kojih se pojave naleti crvenila praćeni osjećajem vrućine i gastrointestinalne tegobe, mogu i dalje da ih povremeno imaju tokom čitavog perioda trajanja terapije lijekom Dimetex. Najčešće prijavljene neželjene reakcije koje su dovele do prekida (učestalost &gt; 1%) kod pacijenata na terapiji lijekom Dimetex su naleti crvenila praćeni osjećajem vrućine (3%) i gastrointestinalne tegobe (4%).</w:t>
      </w:r>
    </w:p>
    <w:p w14:paraId="139F5C87" w14:textId="77777777" w:rsidR="00B75503" w:rsidRPr="00616B65" w:rsidRDefault="00B75503" w:rsidP="0023493E">
      <w:pPr>
        <w:tabs>
          <w:tab w:val="left" w:pos="540"/>
          <w:tab w:val="left" w:pos="569"/>
        </w:tabs>
        <w:jc w:val="both"/>
        <w:rPr>
          <w:sz w:val="22"/>
          <w:szCs w:val="22"/>
          <w:lang w:val="sr-Latn-ME"/>
        </w:rPr>
      </w:pPr>
    </w:p>
    <w:p w14:paraId="63AD6D79" w14:textId="71CA6ED9" w:rsidR="00B75503" w:rsidRPr="00616B65" w:rsidRDefault="00B75503">
      <w:pPr>
        <w:tabs>
          <w:tab w:val="left" w:pos="540"/>
          <w:tab w:val="left" w:pos="569"/>
        </w:tabs>
        <w:jc w:val="both"/>
        <w:rPr>
          <w:sz w:val="22"/>
          <w:szCs w:val="22"/>
          <w:lang w:val="sr-Latn-ME"/>
        </w:rPr>
      </w:pPr>
      <w:r w:rsidRPr="00616B65">
        <w:rPr>
          <w:sz w:val="22"/>
          <w:szCs w:val="22"/>
          <w:lang w:val="sr-Latn-ME"/>
        </w:rPr>
        <w:t>U placebo kontrolisanim i nekontrolisanim kliničkim ispitivanjima, ukupno 2468 pacijenata primalo je lijek Dimetex i bili su praćeni tokom perioda do 4 godine, sa ukupnom izloženošću koja je ekvivalentna 3588 pacijenata–godina. Približno 1056 pacijenata primalo je više od 2 godine terapiju lijekom Dimetex. Iskustvo u nekontrolisanim kliničkim ispitivanjima u skladu je sa iskustvom dobijenim u placebo kontrolisanim kliničkim ispitivanjima.</w:t>
      </w:r>
    </w:p>
    <w:p w14:paraId="0F4DB146" w14:textId="77777777" w:rsidR="00B75503" w:rsidRPr="00616B65" w:rsidRDefault="00B75503">
      <w:pPr>
        <w:tabs>
          <w:tab w:val="left" w:pos="540"/>
          <w:tab w:val="left" w:pos="569"/>
        </w:tabs>
        <w:jc w:val="both"/>
        <w:rPr>
          <w:sz w:val="22"/>
          <w:szCs w:val="22"/>
          <w:lang w:val="sr-Latn-ME"/>
        </w:rPr>
      </w:pPr>
    </w:p>
    <w:p w14:paraId="329676A3" w14:textId="77777777" w:rsidR="00B75503" w:rsidRPr="00616B65" w:rsidRDefault="00B75503">
      <w:pPr>
        <w:tabs>
          <w:tab w:val="left" w:pos="540"/>
          <w:tab w:val="left" w:pos="569"/>
        </w:tabs>
        <w:jc w:val="both"/>
        <w:rPr>
          <w:sz w:val="22"/>
          <w:szCs w:val="22"/>
          <w:u w:val="single"/>
          <w:lang w:val="sr-Latn-ME"/>
        </w:rPr>
      </w:pPr>
      <w:r w:rsidRPr="00616B65">
        <w:rPr>
          <w:sz w:val="22"/>
          <w:szCs w:val="22"/>
          <w:u w:val="single"/>
          <w:lang w:val="sr-Latn-ME"/>
        </w:rPr>
        <w:t>Tabelarni prikaz neželjenih reakcija</w:t>
      </w:r>
    </w:p>
    <w:p w14:paraId="51522B7F" w14:textId="77777777" w:rsidR="00B75503" w:rsidRPr="00616B65" w:rsidRDefault="00B75503">
      <w:pPr>
        <w:tabs>
          <w:tab w:val="left" w:pos="540"/>
          <w:tab w:val="left" w:pos="569"/>
        </w:tabs>
        <w:jc w:val="both"/>
        <w:rPr>
          <w:sz w:val="22"/>
          <w:szCs w:val="22"/>
          <w:lang w:val="sr-Latn-ME"/>
        </w:rPr>
      </w:pPr>
    </w:p>
    <w:p w14:paraId="585B90A2" w14:textId="06CA74CE" w:rsidR="00B75503" w:rsidRPr="00616B65" w:rsidRDefault="00B75503">
      <w:pPr>
        <w:tabs>
          <w:tab w:val="left" w:pos="540"/>
          <w:tab w:val="left" w:pos="569"/>
        </w:tabs>
        <w:jc w:val="both"/>
        <w:rPr>
          <w:sz w:val="22"/>
          <w:szCs w:val="22"/>
          <w:lang w:val="sr-Latn-ME"/>
        </w:rPr>
      </w:pPr>
      <w:r w:rsidRPr="00616B65">
        <w:rPr>
          <w:sz w:val="22"/>
          <w:szCs w:val="22"/>
          <w:lang w:val="sr-Latn-ME"/>
        </w:rPr>
        <w:t xml:space="preserve">Neželjene reakcije, koje proizilaze iz kliničkih studija, postmarketinških studija </w:t>
      </w:r>
      <w:r w:rsidR="00D23DB7" w:rsidRPr="00616B65">
        <w:rPr>
          <w:sz w:val="22"/>
          <w:szCs w:val="22"/>
          <w:lang w:val="sr-Latn-ME"/>
        </w:rPr>
        <w:t>bezbjednost</w:t>
      </w:r>
      <w:r w:rsidRPr="00616B65">
        <w:rPr>
          <w:sz w:val="22"/>
          <w:szCs w:val="22"/>
          <w:lang w:val="sr-Latn-ME"/>
        </w:rPr>
        <w:t>i i spontanog prijavljivanja prikazane su u tabeli u nastavku.</w:t>
      </w:r>
    </w:p>
    <w:p w14:paraId="4BC88D76" w14:textId="77777777" w:rsidR="00B75503" w:rsidRPr="00616B65" w:rsidRDefault="00B75503">
      <w:pPr>
        <w:tabs>
          <w:tab w:val="left" w:pos="540"/>
          <w:tab w:val="left" w:pos="569"/>
        </w:tabs>
        <w:jc w:val="both"/>
        <w:rPr>
          <w:sz w:val="22"/>
          <w:szCs w:val="22"/>
          <w:lang w:val="sr-Latn-ME"/>
        </w:rPr>
      </w:pPr>
    </w:p>
    <w:p w14:paraId="67E7D64F" w14:textId="1FD90264" w:rsidR="00B75503" w:rsidRPr="00616B65" w:rsidRDefault="00B75503">
      <w:pPr>
        <w:tabs>
          <w:tab w:val="left" w:pos="540"/>
          <w:tab w:val="left" w:pos="569"/>
        </w:tabs>
        <w:jc w:val="both"/>
        <w:rPr>
          <w:sz w:val="22"/>
          <w:szCs w:val="22"/>
          <w:lang w:val="sr-Latn-ME"/>
        </w:rPr>
      </w:pPr>
      <w:r w:rsidRPr="00616B65">
        <w:rPr>
          <w:sz w:val="22"/>
          <w:szCs w:val="22"/>
          <w:lang w:val="sr-Latn-ME"/>
        </w:rPr>
        <w:t>Neželjene reakcije su prikazane po preporučenoj MedDRA terminologiji prema MedDRA klasifikaciji sistema organa. Učestalost neželjenih reakcija je izražena prema sl</w:t>
      </w:r>
      <w:r w:rsidR="00960933" w:rsidRPr="00616B65">
        <w:rPr>
          <w:sz w:val="22"/>
          <w:szCs w:val="22"/>
          <w:lang w:val="sr-Latn-ME"/>
        </w:rPr>
        <w:t>j</w:t>
      </w:r>
      <w:r w:rsidRPr="00616B65">
        <w:rPr>
          <w:sz w:val="22"/>
          <w:szCs w:val="22"/>
          <w:lang w:val="sr-Latn-ME"/>
        </w:rPr>
        <w:t>edećim kategorijama:</w:t>
      </w:r>
    </w:p>
    <w:p w14:paraId="44158ADC" w14:textId="77777777" w:rsidR="00B75503" w:rsidRPr="00616B65" w:rsidRDefault="00B75503">
      <w:pPr>
        <w:tabs>
          <w:tab w:val="left" w:pos="540"/>
          <w:tab w:val="left" w:pos="569"/>
        </w:tabs>
        <w:jc w:val="both"/>
        <w:rPr>
          <w:sz w:val="22"/>
          <w:szCs w:val="22"/>
          <w:lang w:val="sr-Latn-ME"/>
        </w:rPr>
      </w:pPr>
      <w:r w:rsidRPr="00616B65">
        <w:rPr>
          <w:sz w:val="22"/>
          <w:szCs w:val="22"/>
          <w:lang w:val="sr-Latn-ME"/>
        </w:rPr>
        <w:t>-</w:t>
      </w:r>
      <w:r w:rsidRPr="00616B65">
        <w:rPr>
          <w:sz w:val="22"/>
          <w:szCs w:val="22"/>
          <w:lang w:val="sr-Latn-ME"/>
        </w:rPr>
        <w:tab/>
        <w:t>veoma često (≥ 1/10)</w:t>
      </w:r>
    </w:p>
    <w:p w14:paraId="097D04EC" w14:textId="77777777" w:rsidR="00B75503" w:rsidRPr="00616B65" w:rsidRDefault="00B75503">
      <w:pPr>
        <w:tabs>
          <w:tab w:val="left" w:pos="540"/>
          <w:tab w:val="left" w:pos="569"/>
        </w:tabs>
        <w:jc w:val="both"/>
        <w:rPr>
          <w:sz w:val="22"/>
          <w:szCs w:val="22"/>
          <w:lang w:val="sr-Latn-ME"/>
        </w:rPr>
      </w:pPr>
      <w:r w:rsidRPr="00616B65">
        <w:rPr>
          <w:sz w:val="22"/>
          <w:szCs w:val="22"/>
          <w:lang w:val="sr-Latn-ME"/>
        </w:rPr>
        <w:t>-</w:t>
      </w:r>
      <w:r w:rsidRPr="00616B65">
        <w:rPr>
          <w:sz w:val="22"/>
          <w:szCs w:val="22"/>
          <w:lang w:val="sr-Latn-ME"/>
        </w:rPr>
        <w:tab/>
        <w:t>često (≥ 1/100 do &lt; 1/10)</w:t>
      </w:r>
    </w:p>
    <w:p w14:paraId="1C3293E6" w14:textId="77777777" w:rsidR="00B75503" w:rsidRPr="00616B65" w:rsidRDefault="00B75503">
      <w:pPr>
        <w:tabs>
          <w:tab w:val="left" w:pos="540"/>
          <w:tab w:val="left" w:pos="569"/>
        </w:tabs>
        <w:jc w:val="both"/>
        <w:rPr>
          <w:sz w:val="22"/>
          <w:szCs w:val="22"/>
          <w:lang w:val="sr-Latn-ME"/>
        </w:rPr>
      </w:pPr>
      <w:r w:rsidRPr="00616B65">
        <w:rPr>
          <w:sz w:val="22"/>
          <w:szCs w:val="22"/>
          <w:lang w:val="sr-Latn-ME"/>
        </w:rPr>
        <w:t>-</w:t>
      </w:r>
      <w:r w:rsidRPr="00616B65">
        <w:rPr>
          <w:sz w:val="22"/>
          <w:szCs w:val="22"/>
          <w:lang w:val="sr-Latn-ME"/>
        </w:rPr>
        <w:tab/>
        <w:t>povremeno (≥ 1/1000 do &lt; 1/100)</w:t>
      </w:r>
    </w:p>
    <w:p w14:paraId="5B60A0F1" w14:textId="66BAFB54" w:rsidR="00B75503" w:rsidRPr="00616B65" w:rsidRDefault="00B75503">
      <w:pPr>
        <w:tabs>
          <w:tab w:val="left" w:pos="540"/>
          <w:tab w:val="left" w:pos="569"/>
        </w:tabs>
        <w:jc w:val="both"/>
        <w:rPr>
          <w:sz w:val="22"/>
          <w:szCs w:val="22"/>
          <w:lang w:val="sr-Latn-ME"/>
        </w:rPr>
      </w:pPr>
      <w:r w:rsidRPr="00616B65">
        <w:rPr>
          <w:sz w:val="22"/>
          <w:szCs w:val="22"/>
          <w:lang w:val="sr-Latn-ME"/>
        </w:rPr>
        <w:t>-</w:t>
      </w:r>
      <w:r w:rsidRPr="00616B65">
        <w:rPr>
          <w:sz w:val="22"/>
          <w:szCs w:val="22"/>
          <w:lang w:val="sr-Latn-ME"/>
        </w:rPr>
        <w:tab/>
        <w:t>rijetko (≥ 1/10</w:t>
      </w:r>
      <w:r w:rsidR="00960933" w:rsidRPr="00616B65">
        <w:rPr>
          <w:sz w:val="22"/>
          <w:szCs w:val="22"/>
          <w:lang w:val="sr-Latn-ME"/>
        </w:rPr>
        <w:t xml:space="preserve"> </w:t>
      </w:r>
      <w:r w:rsidRPr="00616B65">
        <w:rPr>
          <w:sz w:val="22"/>
          <w:szCs w:val="22"/>
          <w:lang w:val="sr-Latn-ME"/>
        </w:rPr>
        <w:t>000 do &lt; 1/1000)</w:t>
      </w:r>
    </w:p>
    <w:p w14:paraId="250B14D8" w14:textId="4292D3A3" w:rsidR="00B75503" w:rsidRPr="00616B65" w:rsidRDefault="00B75503">
      <w:pPr>
        <w:tabs>
          <w:tab w:val="left" w:pos="540"/>
          <w:tab w:val="left" w:pos="569"/>
        </w:tabs>
        <w:jc w:val="both"/>
        <w:rPr>
          <w:sz w:val="22"/>
          <w:szCs w:val="22"/>
          <w:lang w:val="sr-Latn-ME"/>
        </w:rPr>
      </w:pPr>
      <w:r w:rsidRPr="00616B65">
        <w:rPr>
          <w:sz w:val="22"/>
          <w:szCs w:val="22"/>
          <w:lang w:val="sr-Latn-ME"/>
        </w:rPr>
        <w:t>-</w:t>
      </w:r>
      <w:r w:rsidRPr="00616B65">
        <w:rPr>
          <w:sz w:val="22"/>
          <w:szCs w:val="22"/>
          <w:lang w:val="sr-Latn-ME"/>
        </w:rPr>
        <w:tab/>
        <w:t>veoma rijetko (&lt; 1/10</w:t>
      </w:r>
      <w:r w:rsidR="00960933" w:rsidRPr="00616B65">
        <w:rPr>
          <w:sz w:val="22"/>
          <w:szCs w:val="22"/>
          <w:lang w:val="sr-Latn-ME"/>
        </w:rPr>
        <w:t xml:space="preserve"> </w:t>
      </w:r>
      <w:r w:rsidRPr="00616B65">
        <w:rPr>
          <w:sz w:val="22"/>
          <w:szCs w:val="22"/>
          <w:lang w:val="sr-Latn-ME"/>
        </w:rPr>
        <w:t>000)</w:t>
      </w:r>
    </w:p>
    <w:p w14:paraId="352B6D66" w14:textId="2603D18D" w:rsidR="00B75503" w:rsidRPr="00616B65" w:rsidRDefault="00B75503">
      <w:pPr>
        <w:tabs>
          <w:tab w:val="left" w:pos="540"/>
          <w:tab w:val="left" w:pos="569"/>
        </w:tabs>
        <w:jc w:val="both"/>
        <w:rPr>
          <w:sz w:val="22"/>
          <w:szCs w:val="22"/>
          <w:lang w:val="sr-Latn-ME"/>
        </w:rPr>
      </w:pPr>
      <w:r w:rsidRPr="00616B65">
        <w:rPr>
          <w:sz w:val="22"/>
          <w:szCs w:val="22"/>
          <w:lang w:val="sr-Latn-ME"/>
        </w:rPr>
        <w:t>-</w:t>
      </w:r>
      <w:r w:rsidRPr="00616B65">
        <w:rPr>
          <w:sz w:val="22"/>
          <w:szCs w:val="22"/>
          <w:lang w:val="sr-Latn-ME"/>
        </w:rPr>
        <w:tab/>
        <w:t>nepoznata učestalost (ne može se procijeniti na osnovu dostupnih podataka)</w:t>
      </w:r>
    </w:p>
    <w:p w14:paraId="5E10AE1B" w14:textId="77777777" w:rsidR="00B75503" w:rsidRPr="00616B65" w:rsidRDefault="00B75503" w:rsidP="00B75503">
      <w:pPr>
        <w:tabs>
          <w:tab w:val="left" w:pos="540"/>
          <w:tab w:val="left" w:pos="569"/>
        </w:tabs>
        <w:jc w:val="both"/>
        <w:rPr>
          <w:sz w:val="22"/>
          <w:szCs w:val="22"/>
          <w:lang w:val="sr-Latn-ME"/>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3120"/>
        <w:gridCol w:w="2812"/>
      </w:tblGrid>
      <w:tr w:rsidR="00B75503" w:rsidRPr="00616B65" w14:paraId="3A58337C" w14:textId="77777777" w:rsidTr="00B75503">
        <w:trPr>
          <w:trHeight w:val="503"/>
        </w:trPr>
        <w:tc>
          <w:tcPr>
            <w:tcW w:w="3248" w:type="dxa"/>
          </w:tcPr>
          <w:p w14:paraId="458AECF0" w14:textId="77777777" w:rsidR="00B75503" w:rsidRPr="00616B65" w:rsidRDefault="00B75503" w:rsidP="00C31FAA">
            <w:pPr>
              <w:pStyle w:val="TableParagraph"/>
              <w:spacing w:line="249" w:lineRule="exact"/>
              <w:rPr>
                <w:b/>
                <w:lang w:val="sr-Latn-ME"/>
              </w:rPr>
            </w:pPr>
            <w:r w:rsidRPr="00616B65">
              <w:rPr>
                <w:b/>
                <w:lang w:val="sr-Latn-ME"/>
              </w:rPr>
              <w:t>MedDRA</w:t>
            </w:r>
            <w:r w:rsidRPr="00616B65">
              <w:rPr>
                <w:b/>
                <w:spacing w:val="-9"/>
                <w:lang w:val="sr-Latn-ME"/>
              </w:rPr>
              <w:t xml:space="preserve"> </w:t>
            </w:r>
            <w:r w:rsidRPr="00616B65">
              <w:rPr>
                <w:b/>
                <w:lang w:val="sr-Latn-ME"/>
              </w:rPr>
              <w:t>klasifikacija</w:t>
            </w:r>
            <w:r w:rsidRPr="00616B65">
              <w:rPr>
                <w:b/>
                <w:spacing w:val="-4"/>
                <w:lang w:val="sr-Latn-ME"/>
              </w:rPr>
              <w:t xml:space="preserve"> </w:t>
            </w:r>
            <w:r w:rsidRPr="00616B65">
              <w:rPr>
                <w:b/>
                <w:lang w:val="sr-Latn-ME"/>
              </w:rPr>
              <w:t>sistema</w:t>
            </w:r>
          </w:p>
          <w:p w14:paraId="7DB0927E" w14:textId="77777777" w:rsidR="00B75503" w:rsidRPr="00616B65" w:rsidRDefault="00B75503" w:rsidP="00C31FAA">
            <w:pPr>
              <w:pStyle w:val="TableParagraph"/>
              <w:spacing w:before="1" w:line="233" w:lineRule="exact"/>
              <w:rPr>
                <w:b/>
                <w:lang w:val="sr-Latn-ME"/>
              </w:rPr>
            </w:pPr>
            <w:r w:rsidRPr="00616B65">
              <w:rPr>
                <w:b/>
                <w:lang w:val="sr-Latn-ME"/>
              </w:rPr>
              <w:t>organa</w:t>
            </w:r>
          </w:p>
        </w:tc>
        <w:tc>
          <w:tcPr>
            <w:tcW w:w="3120" w:type="dxa"/>
          </w:tcPr>
          <w:p w14:paraId="79F0EDC5" w14:textId="77777777" w:rsidR="00B75503" w:rsidRPr="00616B65" w:rsidRDefault="00B75503" w:rsidP="00C31FAA">
            <w:pPr>
              <w:pStyle w:val="TableParagraph"/>
              <w:spacing w:before="121" w:line="240" w:lineRule="auto"/>
              <w:rPr>
                <w:b/>
                <w:lang w:val="sr-Latn-ME"/>
              </w:rPr>
            </w:pPr>
            <w:r w:rsidRPr="00616B65">
              <w:rPr>
                <w:b/>
                <w:lang w:val="sr-Latn-ME"/>
              </w:rPr>
              <w:t>Neželjena</w:t>
            </w:r>
            <w:r w:rsidRPr="00616B65">
              <w:rPr>
                <w:b/>
                <w:spacing w:val="-6"/>
                <w:lang w:val="sr-Latn-ME"/>
              </w:rPr>
              <w:t xml:space="preserve"> </w:t>
            </w:r>
            <w:r w:rsidRPr="00616B65">
              <w:rPr>
                <w:b/>
                <w:lang w:val="sr-Latn-ME"/>
              </w:rPr>
              <w:t>reakcija</w:t>
            </w:r>
          </w:p>
        </w:tc>
        <w:tc>
          <w:tcPr>
            <w:tcW w:w="2812" w:type="dxa"/>
          </w:tcPr>
          <w:p w14:paraId="2ADEA477" w14:textId="77777777" w:rsidR="00B75503" w:rsidRPr="00616B65" w:rsidRDefault="00B75503" w:rsidP="00C31FAA">
            <w:pPr>
              <w:pStyle w:val="TableParagraph"/>
              <w:spacing w:before="121" w:line="240" w:lineRule="auto"/>
              <w:rPr>
                <w:b/>
                <w:lang w:val="sr-Latn-ME"/>
              </w:rPr>
            </w:pPr>
            <w:r w:rsidRPr="00616B65">
              <w:rPr>
                <w:b/>
                <w:lang w:val="sr-Latn-ME"/>
              </w:rPr>
              <w:t>Kategorija</w:t>
            </w:r>
            <w:r w:rsidRPr="00616B65">
              <w:rPr>
                <w:b/>
                <w:spacing w:val="-7"/>
                <w:lang w:val="sr-Latn-ME"/>
              </w:rPr>
              <w:t xml:space="preserve"> </w:t>
            </w:r>
            <w:r w:rsidRPr="00616B65">
              <w:rPr>
                <w:b/>
                <w:lang w:val="sr-Latn-ME"/>
              </w:rPr>
              <w:t>učestalosti</w:t>
            </w:r>
          </w:p>
        </w:tc>
      </w:tr>
      <w:tr w:rsidR="00B75503" w:rsidRPr="00616B65" w14:paraId="7DF051A3" w14:textId="77777777" w:rsidTr="00B75503">
        <w:trPr>
          <w:trHeight w:val="253"/>
        </w:trPr>
        <w:tc>
          <w:tcPr>
            <w:tcW w:w="3248" w:type="dxa"/>
            <w:vMerge w:val="restart"/>
          </w:tcPr>
          <w:p w14:paraId="64BBF61C" w14:textId="77777777" w:rsidR="00B75503" w:rsidRPr="00616B65" w:rsidRDefault="00B75503" w:rsidP="00C31FAA">
            <w:pPr>
              <w:pStyle w:val="TableParagraph"/>
              <w:spacing w:line="244" w:lineRule="exact"/>
              <w:rPr>
                <w:lang w:val="sr-Latn-ME"/>
              </w:rPr>
            </w:pPr>
            <w:r w:rsidRPr="00616B65">
              <w:rPr>
                <w:lang w:val="sr-Latn-ME"/>
              </w:rPr>
              <w:t>Infekcije</w:t>
            </w:r>
            <w:r w:rsidRPr="00616B65">
              <w:rPr>
                <w:spacing w:val="-5"/>
                <w:lang w:val="sr-Latn-ME"/>
              </w:rPr>
              <w:t xml:space="preserve"> </w:t>
            </w:r>
            <w:r w:rsidRPr="00616B65">
              <w:rPr>
                <w:lang w:val="sr-Latn-ME"/>
              </w:rPr>
              <w:t>i</w:t>
            </w:r>
            <w:r w:rsidRPr="00616B65">
              <w:rPr>
                <w:spacing w:val="-5"/>
                <w:lang w:val="sr-Latn-ME"/>
              </w:rPr>
              <w:t xml:space="preserve"> </w:t>
            </w:r>
            <w:r w:rsidRPr="00616B65">
              <w:rPr>
                <w:lang w:val="sr-Latn-ME"/>
              </w:rPr>
              <w:t>infestacije</w:t>
            </w:r>
          </w:p>
        </w:tc>
        <w:tc>
          <w:tcPr>
            <w:tcW w:w="3120" w:type="dxa"/>
          </w:tcPr>
          <w:p w14:paraId="19DD76C0" w14:textId="77777777" w:rsidR="00B75503" w:rsidRPr="00616B65" w:rsidRDefault="00B75503" w:rsidP="00C31FAA">
            <w:pPr>
              <w:pStyle w:val="TableParagraph"/>
              <w:rPr>
                <w:lang w:val="sr-Latn-ME"/>
              </w:rPr>
            </w:pPr>
            <w:r w:rsidRPr="00616B65">
              <w:rPr>
                <w:lang w:val="sr-Latn-ME"/>
              </w:rPr>
              <w:t>gastroenteritis</w:t>
            </w:r>
          </w:p>
        </w:tc>
        <w:tc>
          <w:tcPr>
            <w:tcW w:w="2812" w:type="dxa"/>
          </w:tcPr>
          <w:p w14:paraId="602170C6" w14:textId="77777777" w:rsidR="00B75503" w:rsidRPr="00616B65" w:rsidRDefault="00B75503" w:rsidP="00C31FAA">
            <w:pPr>
              <w:pStyle w:val="TableParagraph"/>
              <w:rPr>
                <w:lang w:val="sr-Latn-ME"/>
              </w:rPr>
            </w:pPr>
            <w:r w:rsidRPr="00616B65">
              <w:rPr>
                <w:lang w:val="sr-Latn-ME"/>
              </w:rPr>
              <w:t>Često</w:t>
            </w:r>
          </w:p>
        </w:tc>
      </w:tr>
      <w:tr w:rsidR="00B75503" w:rsidRPr="00616B65" w14:paraId="285241FD" w14:textId="77777777" w:rsidTr="00B75503">
        <w:trPr>
          <w:trHeight w:val="508"/>
        </w:trPr>
        <w:tc>
          <w:tcPr>
            <w:tcW w:w="3248" w:type="dxa"/>
            <w:vMerge/>
            <w:tcBorders>
              <w:top w:val="nil"/>
            </w:tcBorders>
          </w:tcPr>
          <w:p w14:paraId="0778E822" w14:textId="77777777" w:rsidR="00B75503" w:rsidRPr="00616B65" w:rsidRDefault="00B75503" w:rsidP="00C31FAA">
            <w:pPr>
              <w:rPr>
                <w:sz w:val="22"/>
                <w:szCs w:val="22"/>
                <w:lang w:val="sr-Latn-ME"/>
              </w:rPr>
            </w:pPr>
          </w:p>
        </w:tc>
        <w:tc>
          <w:tcPr>
            <w:tcW w:w="3120" w:type="dxa"/>
          </w:tcPr>
          <w:p w14:paraId="446E1507" w14:textId="77777777" w:rsidR="00B75503" w:rsidRPr="00616B65" w:rsidRDefault="00B75503" w:rsidP="00C31FAA">
            <w:pPr>
              <w:pStyle w:val="TableParagraph"/>
              <w:spacing w:line="244" w:lineRule="exact"/>
              <w:rPr>
                <w:lang w:val="sr-Latn-ME"/>
              </w:rPr>
            </w:pPr>
            <w:r w:rsidRPr="00616B65">
              <w:rPr>
                <w:lang w:val="sr-Latn-ME"/>
              </w:rPr>
              <w:t>progresivna</w:t>
            </w:r>
            <w:r w:rsidRPr="00616B65">
              <w:rPr>
                <w:spacing w:val="-5"/>
                <w:lang w:val="sr-Latn-ME"/>
              </w:rPr>
              <w:t xml:space="preserve"> </w:t>
            </w:r>
            <w:r w:rsidRPr="00616B65">
              <w:rPr>
                <w:lang w:val="sr-Latn-ME"/>
              </w:rPr>
              <w:t>multifokalna</w:t>
            </w:r>
          </w:p>
          <w:p w14:paraId="4E297B9E" w14:textId="77777777" w:rsidR="00B75503" w:rsidRPr="00616B65" w:rsidRDefault="00B75503" w:rsidP="00C31FAA">
            <w:pPr>
              <w:pStyle w:val="TableParagraph"/>
              <w:spacing w:before="1" w:line="243" w:lineRule="exact"/>
              <w:rPr>
                <w:lang w:val="sr-Latn-ME"/>
              </w:rPr>
            </w:pPr>
            <w:r w:rsidRPr="00616B65">
              <w:rPr>
                <w:lang w:val="sr-Latn-ME"/>
              </w:rPr>
              <w:t>leukoencefalopatija</w:t>
            </w:r>
            <w:r w:rsidRPr="00616B65">
              <w:rPr>
                <w:spacing w:val="-8"/>
                <w:lang w:val="sr-Latn-ME"/>
              </w:rPr>
              <w:t xml:space="preserve"> </w:t>
            </w:r>
            <w:r w:rsidRPr="00616B65">
              <w:rPr>
                <w:lang w:val="sr-Latn-ME"/>
              </w:rPr>
              <w:t>(PML)</w:t>
            </w:r>
          </w:p>
        </w:tc>
        <w:tc>
          <w:tcPr>
            <w:tcW w:w="2812" w:type="dxa"/>
          </w:tcPr>
          <w:p w14:paraId="28784094" w14:textId="77777777" w:rsidR="00B75503" w:rsidRPr="00616B65" w:rsidRDefault="00B75503" w:rsidP="00C31FAA">
            <w:pPr>
              <w:pStyle w:val="TableParagraph"/>
              <w:spacing w:before="121" w:line="240" w:lineRule="auto"/>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7E16C84E" w14:textId="77777777" w:rsidTr="00B75503">
        <w:trPr>
          <w:trHeight w:val="249"/>
        </w:trPr>
        <w:tc>
          <w:tcPr>
            <w:tcW w:w="3248" w:type="dxa"/>
            <w:vMerge/>
            <w:tcBorders>
              <w:top w:val="nil"/>
            </w:tcBorders>
          </w:tcPr>
          <w:p w14:paraId="76BA40AD" w14:textId="77777777" w:rsidR="00B75503" w:rsidRPr="00616B65" w:rsidRDefault="00B75503" w:rsidP="00C31FAA">
            <w:pPr>
              <w:rPr>
                <w:sz w:val="22"/>
                <w:szCs w:val="22"/>
                <w:lang w:val="sr-Latn-ME"/>
              </w:rPr>
            </w:pPr>
          </w:p>
        </w:tc>
        <w:tc>
          <w:tcPr>
            <w:tcW w:w="3120" w:type="dxa"/>
          </w:tcPr>
          <w:p w14:paraId="62502EC6" w14:textId="77777777" w:rsidR="00B75503" w:rsidRPr="00616B65" w:rsidRDefault="00B75503" w:rsidP="00C31FAA">
            <w:pPr>
              <w:pStyle w:val="TableParagraph"/>
              <w:spacing w:line="229" w:lineRule="exact"/>
              <w:rPr>
                <w:lang w:val="sr-Latn-ME"/>
              </w:rPr>
            </w:pPr>
            <w:r w:rsidRPr="00616B65">
              <w:rPr>
                <w:lang w:val="sr-Latn-ME"/>
              </w:rPr>
              <w:t>herpes</w:t>
            </w:r>
            <w:r w:rsidRPr="00616B65">
              <w:rPr>
                <w:spacing w:val="-5"/>
                <w:lang w:val="sr-Latn-ME"/>
              </w:rPr>
              <w:t xml:space="preserve"> </w:t>
            </w:r>
            <w:r w:rsidRPr="00616B65">
              <w:rPr>
                <w:lang w:val="sr-Latn-ME"/>
              </w:rPr>
              <w:t>zoster</w:t>
            </w:r>
          </w:p>
        </w:tc>
        <w:tc>
          <w:tcPr>
            <w:tcW w:w="2812" w:type="dxa"/>
          </w:tcPr>
          <w:p w14:paraId="391F3A92" w14:textId="77777777" w:rsidR="00B75503" w:rsidRPr="00616B65" w:rsidRDefault="00B75503" w:rsidP="00C31FAA">
            <w:pPr>
              <w:pStyle w:val="TableParagraph"/>
              <w:spacing w:line="229" w:lineRule="exact"/>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3BF331C6" w14:textId="77777777" w:rsidTr="00B75503">
        <w:trPr>
          <w:trHeight w:val="253"/>
        </w:trPr>
        <w:tc>
          <w:tcPr>
            <w:tcW w:w="3248" w:type="dxa"/>
            <w:vMerge w:val="restart"/>
          </w:tcPr>
          <w:p w14:paraId="4B0F4D4C" w14:textId="77777777" w:rsidR="00B75503" w:rsidRPr="00616B65" w:rsidRDefault="00B75503" w:rsidP="00C31FAA">
            <w:pPr>
              <w:pStyle w:val="TableParagraph"/>
              <w:spacing w:line="242" w:lineRule="auto"/>
              <w:ind w:right="727"/>
              <w:rPr>
                <w:lang w:val="sr-Latn-ME"/>
              </w:rPr>
            </w:pPr>
            <w:r w:rsidRPr="00616B65">
              <w:rPr>
                <w:lang w:val="sr-Latn-ME"/>
              </w:rPr>
              <w:t>Poremećaji</w:t>
            </w:r>
            <w:r w:rsidRPr="00616B65">
              <w:rPr>
                <w:spacing w:val="-5"/>
                <w:lang w:val="sr-Latn-ME"/>
              </w:rPr>
              <w:t xml:space="preserve"> </w:t>
            </w:r>
            <w:r w:rsidRPr="00616B65">
              <w:rPr>
                <w:lang w:val="sr-Latn-ME"/>
              </w:rPr>
              <w:t>krvi</w:t>
            </w:r>
            <w:r w:rsidRPr="00616B65">
              <w:rPr>
                <w:spacing w:val="-5"/>
                <w:lang w:val="sr-Latn-ME"/>
              </w:rPr>
              <w:t xml:space="preserve"> </w:t>
            </w:r>
            <w:r w:rsidRPr="00616B65">
              <w:rPr>
                <w:lang w:val="sr-Latn-ME"/>
              </w:rPr>
              <w:t>i</w:t>
            </w:r>
            <w:r w:rsidRPr="00616B65">
              <w:rPr>
                <w:spacing w:val="-4"/>
                <w:lang w:val="sr-Latn-ME"/>
              </w:rPr>
              <w:t xml:space="preserve"> </w:t>
            </w:r>
            <w:r w:rsidRPr="00616B65">
              <w:rPr>
                <w:lang w:val="sr-Latn-ME"/>
              </w:rPr>
              <w:t>limfnog</w:t>
            </w:r>
            <w:r w:rsidRPr="00616B65">
              <w:rPr>
                <w:spacing w:val="-52"/>
                <w:lang w:val="sr-Latn-ME"/>
              </w:rPr>
              <w:t xml:space="preserve"> </w:t>
            </w:r>
            <w:r w:rsidRPr="00616B65">
              <w:rPr>
                <w:lang w:val="sr-Latn-ME"/>
              </w:rPr>
              <w:t>sistema</w:t>
            </w:r>
          </w:p>
        </w:tc>
        <w:tc>
          <w:tcPr>
            <w:tcW w:w="3120" w:type="dxa"/>
          </w:tcPr>
          <w:p w14:paraId="25154B48" w14:textId="77777777" w:rsidR="00B75503" w:rsidRPr="00616B65" w:rsidRDefault="00B75503" w:rsidP="00C31FAA">
            <w:pPr>
              <w:pStyle w:val="TableParagraph"/>
              <w:rPr>
                <w:lang w:val="sr-Latn-ME"/>
              </w:rPr>
            </w:pPr>
            <w:r w:rsidRPr="00616B65">
              <w:rPr>
                <w:lang w:val="sr-Latn-ME"/>
              </w:rPr>
              <w:t>limfopenija</w:t>
            </w:r>
          </w:p>
        </w:tc>
        <w:tc>
          <w:tcPr>
            <w:tcW w:w="2812" w:type="dxa"/>
          </w:tcPr>
          <w:p w14:paraId="3CF5C77F" w14:textId="77777777" w:rsidR="00B75503" w:rsidRPr="00616B65" w:rsidRDefault="00B75503" w:rsidP="00C31FAA">
            <w:pPr>
              <w:pStyle w:val="TableParagraph"/>
              <w:rPr>
                <w:lang w:val="sr-Latn-ME"/>
              </w:rPr>
            </w:pPr>
            <w:r w:rsidRPr="00616B65">
              <w:rPr>
                <w:lang w:val="sr-Latn-ME"/>
              </w:rPr>
              <w:t>Često</w:t>
            </w:r>
          </w:p>
        </w:tc>
      </w:tr>
      <w:tr w:rsidR="00B75503" w:rsidRPr="00616B65" w14:paraId="1D6D545D" w14:textId="77777777" w:rsidTr="00B75503">
        <w:trPr>
          <w:trHeight w:val="253"/>
        </w:trPr>
        <w:tc>
          <w:tcPr>
            <w:tcW w:w="3248" w:type="dxa"/>
            <w:vMerge/>
            <w:tcBorders>
              <w:top w:val="nil"/>
            </w:tcBorders>
          </w:tcPr>
          <w:p w14:paraId="7BC93C36" w14:textId="77777777" w:rsidR="00B75503" w:rsidRPr="00616B65" w:rsidRDefault="00B75503" w:rsidP="00C31FAA">
            <w:pPr>
              <w:rPr>
                <w:sz w:val="22"/>
                <w:szCs w:val="22"/>
                <w:lang w:val="sr-Latn-ME"/>
              </w:rPr>
            </w:pPr>
          </w:p>
        </w:tc>
        <w:tc>
          <w:tcPr>
            <w:tcW w:w="3120" w:type="dxa"/>
          </w:tcPr>
          <w:p w14:paraId="7217E82A" w14:textId="77777777" w:rsidR="00B75503" w:rsidRPr="00616B65" w:rsidRDefault="00B75503" w:rsidP="00C31FAA">
            <w:pPr>
              <w:pStyle w:val="TableParagraph"/>
              <w:rPr>
                <w:lang w:val="sr-Latn-ME"/>
              </w:rPr>
            </w:pPr>
            <w:r w:rsidRPr="00616B65">
              <w:rPr>
                <w:lang w:val="sr-Latn-ME"/>
              </w:rPr>
              <w:t>leukopenija</w:t>
            </w:r>
          </w:p>
        </w:tc>
        <w:tc>
          <w:tcPr>
            <w:tcW w:w="2812" w:type="dxa"/>
          </w:tcPr>
          <w:p w14:paraId="1A32798A" w14:textId="77777777" w:rsidR="00B75503" w:rsidRPr="00616B65" w:rsidRDefault="00B75503" w:rsidP="00C31FAA">
            <w:pPr>
              <w:pStyle w:val="TableParagraph"/>
              <w:rPr>
                <w:lang w:val="sr-Latn-ME"/>
              </w:rPr>
            </w:pPr>
            <w:r w:rsidRPr="00616B65">
              <w:rPr>
                <w:lang w:val="sr-Latn-ME"/>
              </w:rPr>
              <w:t>Često</w:t>
            </w:r>
          </w:p>
        </w:tc>
      </w:tr>
      <w:tr w:rsidR="00B75503" w:rsidRPr="00616B65" w14:paraId="1F178AFD" w14:textId="77777777" w:rsidTr="00B75503">
        <w:trPr>
          <w:trHeight w:val="253"/>
        </w:trPr>
        <w:tc>
          <w:tcPr>
            <w:tcW w:w="3248" w:type="dxa"/>
            <w:vMerge/>
            <w:tcBorders>
              <w:top w:val="nil"/>
            </w:tcBorders>
          </w:tcPr>
          <w:p w14:paraId="064A343A" w14:textId="77777777" w:rsidR="00B75503" w:rsidRPr="00616B65" w:rsidRDefault="00B75503" w:rsidP="00C31FAA">
            <w:pPr>
              <w:rPr>
                <w:sz w:val="22"/>
                <w:szCs w:val="22"/>
                <w:lang w:val="sr-Latn-ME"/>
              </w:rPr>
            </w:pPr>
          </w:p>
        </w:tc>
        <w:tc>
          <w:tcPr>
            <w:tcW w:w="3120" w:type="dxa"/>
          </w:tcPr>
          <w:p w14:paraId="67C250A3" w14:textId="77777777" w:rsidR="00B75503" w:rsidRPr="00616B65" w:rsidRDefault="00B75503" w:rsidP="00C31FAA">
            <w:pPr>
              <w:pStyle w:val="TableParagraph"/>
              <w:rPr>
                <w:lang w:val="sr-Latn-ME"/>
              </w:rPr>
            </w:pPr>
            <w:r w:rsidRPr="00616B65">
              <w:rPr>
                <w:lang w:val="sr-Latn-ME"/>
              </w:rPr>
              <w:t>trombocitopenija</w:t>
            </w:r>
          </w:p>
        </w:tc>
        <w:tc>
          <w:tcPr>
            <w:tcW w:w="2812" w:type="dxa"/>
          </w:tcPr>
          <w:p w14:paraId="249C6691" w14:textId="77777777" w:rsidR="00B75503" w:rsidRPr="00616B65" w:rsidRDefault="00B75503" w:rsidP="00C31FAA">
            <w:pPr>
              <w:pStyle w:val="TableParagraph"/>
              <w:rPr>
                <w:lang w:val="sr-Latn-ME"/>
              </w:rPr>
            </w:pPr>
            <w:r w:rsidRPr="00616B65">
              <w:rPr>
                <w:lang w:val="sr-Latn-ME"/>
              </w:rPr>
              <w:t>Povremeno</w:t>
            </w:r>
          </w:p>
        </w:tc>
      </w:tr>
      <w:tr w:rsidR="00B75503" w:rsidRPr="00616B65" w14:paraId="563AEE99" w14:textId="77777777" w:rsidTr="00B75503">
        <w:trPr>
          <w:trHeight w:val="254"/>
        </w:trPr>
        <w:tc>
          <w:tcPr>
            <w:tcW w:w="3248" w:type="dxa"/>
            <w:vMerge w:val="restart"/>
          </w:tcPr>
          <w:p w14:paraId="653BDC3B" w14:textId="2D01C621" w:rsidR="00B75503" w:rsidRPr="00616B65" w:rsidRDefault="00B75503" w:rsidP="00C31FAA">
            <w:pPr>
              <w:pStyle w:val="TableParagraph"/>
              <w:spacing w:line="244" w:lineRule="exact"/>
              <w:rPr>
                <w:lang w:val="sr-Latn-ME"/>
              </w:rPr>
            </w:pPr>
            <w:r w:rsidRPr="00616B65">
              <w:rPr>
                <w:lang w:val="sr-Latn-ME"/>
              </w:rPr>
              <w:t>Poremećaji</w:t>
            </w:r>
            <w:r w:rsidRPr="00616B65">
              <w:rPr>
                <w:spacing w:val="-6"/>
                <w:lang w:val="sr-Latn-ME"/>
              </w:rPr>
              <w:t xml:space="preserve"> </w:t>
            </w:r>
            <w:r w:rsidRPr="00616B65">
              <w:rPr>
                <w:lang w:val="sr-Latn-ME"/>
              </w:rPr>
              <w:t>imunog</w:t>
            </w:r>
            <w:r w:rsidRPr="00616B65">
              <w:rPr>
                <w:spacing w:val="-5"/>
                <w:lang w:val="sr-Latn-ME"/>
              </w:rPr>
              <w:t xml:space="preserve"> </w:t>
            </w:r>
            <w:r w:rsidRPr="00616B65">
              <w:rPr>
                <w:lang w:val="sr-Latn-ME"/>
              </w:rPr>
              <w:t>sistema</w:t>
            </w:r>
          </w:p>
        </w:tc>
        <w:tc>
          <w:tcPr>
            <w:tcW w:w="3120" w:type="dxa"/>
          </w:tcPr>
          <w:p w14:paraId="447CB8D9" w14:textId="25B343DB" w:rsidR="00B75503" w:rsidRPr="00616B65" w:rsidRDefault="00B75503" w:rsidP="00C31FAA">
            <w:pPr>
              <w:pStyle w:val="TableParagraph"/>
              <w:rPr>
                <w:lang w:val="sr-Latn-ME"/>
              </w:rPr>
            </w:pPr>
            <w:r w:rsidRPr="00616B65">
              <w:rPr>
                <w:lang w:val="sr-Latn-ME"/>
              </w:rPr>
              <w:t>preosjetljivost</w:t>
            </w:r>
          </w:p>
        </w:tc>
        <w:tc>
          <w:tcPr>
            <w:tcW w:w="2812" w:type="dxa"/>
          </w:tcPr>
          <w:p w14:paraId="7FCC2882" w14:textId="77777777" w:rsidR="00B75503" w:rsidRPr="00616B65" w:rsidRDefault="00B75503" w:rsidP="00C31FAA">
            <w:pPr>
              <w:pStyle w:val="TableParagraph"/>
              <w:rPr>
                <w:lang w:val="sr-Latn-ME"/>
              </w:rPr>
            </w:pPr>
            <w:r w:rsidRPr="00616B65">
              <w:rPr>
                <w:lang w:val="sr-Latn-ME"/>
              </w:rPr>
              <w:t>Povremeno</w:t>
            </w:r>
          </w:p>
        </w:tc>
      </w:tr>
      <w:tr w:rsidR="00B75503" w:rsidRPr="00616B65" w14:paraId="0A45CD21" w14:textId="77777777" w:rsidTr="00B75503">
        <w:trPr>
          <w:trHeight w:val="249"/>
        </w:trPr>
        <w:tc>
          <w:tcPr>
            <w:tcW w:w="3248" w:type="dxa"/>
            <w:vMerge/>
            <w:tcBorders>
              <w:top w:val="nil"/>
            </w:tcBorders>
          </w:tcPr>
          <w:p w14:paraId="2DE048A9" w14:textId="77777777" w:rsidR="00B75503" w:rsidRPr="00616B65" w:rsidRDefault="00B75503" w:rsidP="00C31FAA">
            <w:pPr>
              <w:rPr>
                <w:sz w:val="22"/>
                <w:szCs w:val="22"/>
                <w:lang w:val="sr-Latn-ME"/>
              </w:rPr>
            </w:pPr>
          </w:p>
        </w:tc>
        <w:tc>
          <w:tcPr>
            <w:tcW w:w="3120" w:type="dxa"/>
          </w:tcPr>
          <w:p w14:paraId="10505683" w14:textId="77777777" w:rsidR="00B75503" w:rsidRPr="00616B65" w:rsidRDefault="00B75503" w:rsidP="00C31FAA">
            <w:pPr>
              <w:pStyle w:val="TableParagraph"/>
              <w:spacing w:line="229" w:lineRule="exact"/>
              <w:rPr>
                <w:lang w:val="sr-Latn-ME"/>
              </w:rPr>
            </w:pPr>
            <w:r w:rsidRPr="00616B65">
              <w:rPr>
                <w:lang w:val="sr-Latn-ME"/>
              </w:rPr>
              <w:t>anafilaksa</w:t>
            </w:r>
          </w:p>
        </w:tc>
        <w:tc>
          <w:tcPr>
            <w:tcW w:w="2812" w:type="dxa"/>
          </w:tcPr>
          <w:p w14:paraId="75138E44" w14:textId="77777777" w:rsidR="00B75503" w:rsidRPr="00616B65" w:rsidRDefault="00B75503" w:rsidP="00C31FAA">
            <w:pPr>
              <w:pStyle w:val="TableParagraph"/>
              <w:spacing w:line="229" w:lineRule="exact"/>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54117E23" w14:textId="77777777" w:rsidTr="00B75503">
        <w:trPr>
          <w:trHeight w:val="253"/>
        </w:trPr>
        <w:tc>
          <w:tcPr>
            <w:tcW w:w="3248" w:type="dxa"/>
            <w:vMerge/>
            <w:tcBorders>
              <w:top w:val="nil"/>
            </w:tcBorders>
          </w:tcPr>
          <w:p w14:paraId="32DB195F" w14:textId="77777777" w:rsidR="00B75503" w:rsidRPr="00616B65" w:rsidRDefault="00B75503" w:rsidP="00C31FAA">
            <w:pPr>
              <w:rPr>
                <w:sz w:val="22"/>
                <w:szCs w:val="22"/>
                <w:lang w:val="sr-Latn-ME"/>
              </w:rPr>
            </w:pPr>
          </w:p>
        </w:tc>
        <w:tc>
          <w:tcPr>
            <w:tcW w:w="3120" w:type="dxa"/>
          </w:tcPr>
          <w:p w14:paraId="1A6915B3" w14:textId="77777777" w:rsidR="00B75503" w:rsidRPr="00616B65" w:rsidRDefault="00B75503" w:rsidP="00C31FAA">
            <w:pPr>
              <w:pStyle w:val="TableParagraph"/>
              <w:rPr>
                <w:lang w:val="sr-Latn-ME"/>
              </w:rPr>
            </w:pPr>
            <w:r w:rsidRPr="00616B65">
              <w:rPr>
                <w:lang w:val="sr-Latn-ME"/>
              </w:rPr>
              <w:t>dispneja</w:t>
            </w:r>
          </w:p>
        </w:tc>
        <w:tc>
          <w:tcPr>
            <w:tcW w:w="2812" w:type="dxa"/>
          </w:tcPr>
          <w:p w14:paraId="4C7232BE" w14:textId="77777777" w:rsidR="00B75503" w:rsidRPr="00616B65" w:rsidRDefault="00B75503" w:rsidP="00C31FAA">
            <w:pPr>
              <w:pStyle w:val="TableParagraph"/>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7EA67765" w14:textId="77777777" w:rsidTr="00B75503">
        <w:trPr>
          <w:trHeight w:val="253"/>
        </w:trPr>
        <w:tc>
          <w:tcPr>
            <w:tcW w:w="3248" w:type="dxa"/>
            <w:vMerge/>
            <w:tcBorders>
              <w:top w:val="nil"/>
            </w:tcBorders>
          </w:tcPr>
          <w:p w14:paraId="3E20D9C2" w14:textId="77777777" w:rsidR="00B75503" w:rsidRPr="00616B65" w:rsidRDefault="00B75503" w:rsidP="00C31FAA">
            <w:pPr>
              <w:rPr>
                <w:sz w:val="22"/>
                <w:szCs w:val="22"/>
                <w:lang w:val="sr-Latn-ME"/>
              </w:rPr>
            </w:pPr>
          </w:p>
        </w:tc>
        <w:tc>
          <w:tcPr>
            <w:tcW w:w="3120" w:type="dxa"/>
          </w:tcPr>
          <w:p w14:paraId="0D4EC78A" w14:textId="77777777" w:rsidR="00B75503" w:rsidRPr="00616B65" w:rsidRDefault="00B75503" w:rsidP="00C31FAA">
            <w:pPr>
              <w:pStyle w:val="TableParagraph"/>
              <w:rPr>
                <w:lang w:val="sr-Latn-ME"/>
              </w:rPr>
            </w:pPr>
            <w:r w:rsidRPr="00616B65">
              <w:rPr>
                <w:lang w:val="sr-Latn-ME"/>
              </w:rPr>
              <w:t>hipoksija</w:t>
            </w:r>
          </w:p>
        </w:tc>
        <w:tc>
          <w:tcPr>
            <w:tcW w:w="2812" w:type="dxa"/>
          </w:tcPr>
          <w:p w14:paraId="2249A75E" w14:textId="77777777" w:rsidR="00B75503" w:rsidRPr="00616B65" w:rsidRDefault="00B75503" w:rsidP="00C31FAA">
            <w:pPr>
              <w:pStyle w:val="TableParagraph"/>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46AB6FDE" w14:textId="77777777" w:rsidTr="00B75503">
        <w:trPr>
          <w:trHeight w:val="254"/>
        </w:trPr>
        <w:tc>
          <w:tcPr>
            <w:tcW w:w="3248" w:type="dxa"/>
            <w:vMerge/>
            <w:tcBorders>
              <w:top w:val="nil"/>
            </w:tcBorders>
          </w:tcPr>
          <w:p w14:paraId="533F4B03" w14:textId="77777777" w:rsidR="00B75503" w:rsidRPr="00616B65" w:rsidRDefault="00B75503" w:rsidP="00C31FAA">
            <w:pPr>
              <w:rPr>
                <w:sz w:val="22"/>
                <w:szCs w:val="22"/>
                <w:lang w:val="sr-Latn-ME"/>
              </w:rPr>
            </w:pPr>
          </w:p>
        </w:tc>
        <w:tc>
          <w:tcPr>
            <w:tcW w:w="3120" w:type="dxa"/>
          </w:tcPr>
          <w:p w14:paraId="3E2D8C87" w14:textId="77777777" w:rsidR="00B75503" w:rsidRPr="00616B65" w:rsidRDefault="00B75503" w:rsidP="00C31FAA">
            <w:pPr>
              <w:pStyle w:val="TableParagraph"/>
              <w:rPr>
                <w:lang w:val="sr-Latn-ME"/>
              </w:rPr>
            </w:pPr>
            <w:r w:rsidRPr="00616B65">
              <w:rPr>
                <w:lang w:val="sr-Latn-ME"/>
              </w:rPr>
              <w:t>hipotenzija</w:t>
            </w:r>
          </w:p>
        </w:tc>
        <w:tc>
          <w:tcPr>
            <w:tcW w:w="2812" w:type="dxa"/>
          </w:tcPr>
          <w:p w14:paraId="7474FA18" w14:textId="77777777" w:rsidR="00B75503" w:rsidRPr="00616B65" w:rsidRDefault="00B75503" w:rsidP="00C31FAA">
            <w:pPr>
              <w:pStyle w:val="TableParagraph"/>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768F63EC" w14:textId="77777777" w:rsidTr="00B75503">
        <w:trPr>
          <w:trHeight w:val="402"/>
        </w:trPr>
        <w:tc>
          <w:tcPr>
            <w:tcW w:w="3248" w:type="dxa"/>
            <w:vMerge/>
            <w:tcBorders>
              <w:top w:val="nil"/>
            </w:tcBorders>
          </w:tcPr>
          <w:p w14:paraId="39EF68F2" w14:textId="77777777" w:rsidR="00B75503" w:rsidRPr="00616B65" w:rsidRDefault="00B75503" w:rsidP="00C31FAA">
            <w:pPr>
              <w:rPr>
                <w:sz w:val="22"/>
                <w:szCs w:val="22"/>
                <w:lang w:val="sr-Latn-ME"/>
              </w:rPr>
            </w:pPr>
          </w:p>
        </w:tc>
        <w:tc>
          <w:tcPr>
            <w:tcW w:w="3120" w:type="dxa"/>
          </w:tcPr>
          <w:p w14:paraId="3099E8D4" w14:textId="77777777" w:rsidR="00B75503" w:rsidRPr="00616B65" w:rsidRDefault="00B75503" w:rsidP="00C31FAA">
            <w:pPr>
              <w:pStyle w:val="TableParagraph"/>
              <w:spacing w:line="244" w:lineRule="exact"/>
              <w:rPr>
                <w:lang w:val="sr-Latn-ME"/>
              </w:rPr>
            </w:pPr>
            <w:r w:rsidRPr="00616B65">
              <w:rPr>
                <w:lang w:val="sr-Latn-ME"/>
              </w:rPr>
              <w:t>angioedem</w:t>
            </w:r>
          </w:p>
        </w:tc>
        <w:tc>
          <w:tcPr>
            <w:tcW w:w="2812" w:type="dxa"/>
          </w:tcPr>
          <w:p w14:paraId="1B85C97C" w14:textId="77777777" w:rsidR="00B75503" w:rsidRPr="00616B65" w:rsidRDefault="00B75503" w:rsidP="00C31FAA">
            <w:pPr>
              <w:pStyle w:val="TableParagraph"/>
              <w:spacing w:line="244" w:lineRule="exact"/>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43685843" w14:textId="77777777" w:rsidTr="00B75503">
        <w:trPr>
          <w:trHeight w:val="253"/>
        </w:trPr>
        <w:tc>
          <w:tcPr>
            <w:tcW w:w="3248" w:type="dxa"/>
          </w:tcPr>
          <w:p w14:paraId="75F958AE" w14:textId="77777777" w:rsidR="00B75503" w:rsidRPr="00616B65" w:rsidRDefault="00B75503" w:rsidP="00C31FAA">
            <w:pPr>
              <w:pStyle w:val="TableParagraph"/>
              <w:rPr>
                <w:lang w:val="sr-Latn-ME"/>
              </w:rPr>
            </w:pPr>
            <w:r w:rsidRPr="00616B65">
              <w:rPr>
                <w:lang w:val="sr-Latn-ME"/>
              </w:rPr>
              <w:t>Poremećaji</w:t>
            </w:r>
            <w:r w:rsidRPr="00616B65">
              <w:rPr>
                <w:spacing w:val="-6"/>
                <w:lang w:val="sr-Latn-ME"/>
              </w:rPr>
              <w:t xml:space="preserve"> </w:t>
            </w:r>
            <w:r w:rsidRPr="00616B65">
              <w:rPr>
                <w:lang w:val="sr-Latn-ME"/>
              </w:rPr>
              <w:t>nervnog</w:t>
            </w:r>
            <w:r w:rsidRPr="00616B65">
              <w:rPr>
                <w:spacing w:val="-5"/>
                <w:lang w:val="sr-Latn-ME"/>
              </w:rPr>
              <w:t xml:space="preserve"> </w:t>
            </w:r>
            <w:r w:rsidRPr="00616B65">
              <w:rPr>
                <w:lang w:val="sr-Latn-ME"/>
              </w:rPr>
              <w:t>sistema</w:t>
            </w:r>
          </w:p>
        </w:tc>
        <w:tc>
          <w:tcPr>
            <w:tcW w:w="3120" w:type="dxa"/>
          </w:tcPr>
          <w:p w14:paraId="79CC0677" w14:textId="45B1A576" w:rsidR="00B75503" w:rsidRPr="00616B65" w:rsidRDefault="00B75503" w:rsidP="00C31FAA">
            <w:pPr>
              <w:pStyle w:val="TableParagraph"/>
              <w:rPr>
                <w:lang w:val="sr-Latn-ME"/>
              </w:rPr>
            </w:pPr>
            <w:r w:rsidRPr="00616B65">
              <w:rPr>
                <w:lang w:val="sr-Latn-ME"/>
              </w:rPr>
              <w:t>osjećaj</w:t>
            </w:r>
            <w:r w:rsidRPr="00616B65">
              <w:rPr>
                <w:spacing w:val="-6"/>
                <w:lang w:val="sr-Latn-ME"/>
              </w:rPr>
              <w:t xml:space="preserve"> </w:t>
            </w:r>
            <w:r w:rsidRPr="00616B65">
              <w:rPr>
                <w:lang w:val="sr-Latn-ME"/>
              </w:rPr>
              <w:t>žarenja</w:t>
            </w:r>
          </w:p>
        </w:tc>
        <w:tc>
          <w:tcPr>
            <w:tcW w:w="2812" w:type="dxa"/>
          </w:tcPr>
          <w:p w14:paraId="2320FBCB" w14:textId="77777777" w:rsidR="00B75503" w:rsidRPr="00616B65" w:rsidRDefault="00B75503" w:rsidP="00C31FAA">
            <w:pPr>
              <w:pStyle w:val="TableParagraph"/>
              <w:rPr>
                <w:lang w:val="sr-Latn-ME"/>
              </w:rPr>
            </w:pPr>
            <w:r w:rsidRPr="00616B65">
              <w:rPr>
                <w:lang w:val="sr-Latn-ME"/>
              </w:rPr>
              <w:t>Često</w:t>
            </w:r>
          </w:p>
        </w:tc>
      </w:tr>
      <w:tr w:rsidR="00B75503" w:rsidRPr="00616B65" w14:paraId="67A900FB" w14:textId="77777777" w:rsidTr="00B75503">
        <w:trPr>
          <w:trHeight w:val="508"/>
        </w:trPr>
        <w:tc>
          <w:tcPr>
            <w:tcW w:w="3248" w:type="dxa"/>
            <w:vMerge w:val="restart"/>
          </w:tcPr>
          <w:p w14:paraId="150EE10D" w14:textId="77777777" w:rsidR="00B75503" w:rsidRPr="00616B65" w:rsidRDefault="00B75503" w:rsidP="00C31FAA">
            <w:pPr>
              <w:pStyle w:val="TableParagraph"/>
              <w:spacing w:line="244" w:lineRule="exact"/>
              <w:rPr>
                <w:lang w:val="sr-Latn-ME"/>
              </w:rPr>
            </w:pPr>
            <w:r w:rsidRPr="00616B65">
              <w:rPr>
                <w:lang w:val="sr-Latn-ME"/>
              </w:rPr>
              <w:t>Vaskularni</w:t>
            </w:r>
            <w:r w:rsidRPr="00616B65">
              <w:rPr>
                <w:spacing w:val="-7"/>
                <w:lang w:val="sr-Latn-ME"/>
              </w:rPr>
              <w:t xml:space="preserve"> </w:t>
            </w:r>
            <w:r w:rsidRPr="00616B65">
              <w:rPr>
                <w:lang w:val="sr-Latn-ME"/>
              </w:rPr>
              <w:t>poremećaji</w:t>
            </w:r>
          </w:p>
        </w:tc>
        <w:tc>
          <w:tcPr>
            <w:tcW w:w="3120" w:type="dxa"/>
          </w:tcPr>
          <w:p w14:paraId="76DC79F9" w14:textId="75A15E9B" w:rsidR="00B75503" w:rsidRPr="00616B65" w:rsidRDefault="00B75503" w:rsidP="00C31FAA">
            <w:pPr>
              <w:pStyle w:val="TableParagraph"/>
              <w:spacing w:line="244" w:lineRule="exact"/>
              <w:rPr>
                <w:lang w:val="sr-Latn-ME"/>
              </w:rPr>
            </w:pPr>
            <w:r w:rsidRPr="00616B65">
              <w:rPr>
                <w:lang w:val="sr-Latn-ME"/>
              </w:rPr>
              <w:t>naleti</w:t>
            </w:r>
            <w:r w:rsidRPr="00616B65">
              <w:rPr>
                <w:spacing w:val="-5"/>
                <w:lang w:val="sr-Latn-ME"/>
              </w:rPr>
              <w:t xml:space="preserve"> </w:t>
            </w:r>
            <w:r w:rsidRPr="00616B65">
              <w:rPr>
                <w:lang w:val="sr-Latn-ME"/>
              </w:rPr>
              <w:t>crvenila</w:t>
            </w:r>
            <w:r w:rsidRPr="00616B65">
              <w:rPr>
                <w:spacing w:val="-5"/>
                <w:lang w:val="sr-Latn-ME"/>
              </w:rPr>
              <w:t xml:space="preserve"> </w:t>
            </w:r>
            <w:r w:rsidRPr="00616B65">
              <w:rPr>
                <w:lang w:val="sr-Latn-ME"/>
              </w:rPr>
              <w:t>praćeni</w:t>
            </w:r>
            <w:r w:rsidRPr="00616B65">
              <w:rPr>
                <w:spacing w:val="-5"/>
                <w:lang w:val="sr-Latn-ME"/>
              </w:rPr>
              <w:t xml:space="preserve"> </w:t>
            </w:r>
            <w:r w:rsidRPr="00616B65">
              <w:rPr>
                <w:lang w:val="sr-Latn-ME"/>
              </w:rPr>
              <w:t>osjećajem</w:t>
            </w:r>
          </w:p>
          <w:p w14:paraId="034045E3" w14:textId="77777777" w:rsidR="00B75503" w:rsidRPr="00616B65" w:rsidRDefault="00B75503" w:rsidP="00C31FAA">
            <w:pPr>
              <w:pStyle w:val="TableParagraph"/>
              <w:spacing w:before="1" w:line="243" w:lineRule="exact"/>
              <w:rPr>
                <w:lang w:val="sr-Latn-ME"/>
              </w:rPr>
            </w:pPr>
            <w:r w:rsidRPr="00616B65">
              <w:rPr>
                <w:lang w:val="sr-Latn-ME"/>
              </w:rPr>
              <w:t>vrućine</w:t>
            </w:r>
          </w:p>
        </w:tc>
        <w:tc>
          <w:tcPr>
            <w:tcW w:w="2812" w:type="dxa"/>
          </w:tcPr>
          <w:p w14:paraId="53C5D5D4" w14:textId="77777777" w:rsidR="00B75503" w:rsidRPr="00616B65" w:rsidRDefault="00B75503" w:rsidP="00C31FAA">
            <w:pPr>
              <w:pStyle w:val="TableParagraph"/>
              <w:spacing w:before="121" w:line="240" w:lineRule="auto"/>
              <w:rPr>
                <w:lang w:val="sr-Latn-ME"/>
              </w:rPr>
            </w:pPr>
            <w:r w:rsidRPr="00616B65">
              <w:rPr>
                <w:lang w:val="sr-Latn-ME"/>
              </w:rPr>
              <w:t>Veoma</w:t>
            </w:r>
            <w:r w:rsidRPr="00616B65">
              <w:rPr>
                <w:spacing w:val="-4"/>
                <w:lang w:val="sr-Latn-ME"/>
              </w:rPr>
              <w:t xml:space="preserve"> </w:t>
            </w:r>
            <w:r w:rsidRPr="00616B65">
              <w:rPr>
                <w:lang w:val="sr-Latn-ME"/>
              </w:rPr>
              <w:t>često</w:t>
            </w:r>
          </w:p>
        </w:tc>
      </w:tr>
      <w:tr w:rsidR="00B75503" w:rsidRPr="00616B65" w14:paraId="090F1A47" w14:textId="77777777" w:rsidTr="00B75503">
        <w:trPr>
          <w:trHeight w:val="249"/>
        </w:trPr>
        <w:tc>
          <w:tcPr>
            <w:tcW w:w="3248" w:type="dxa"/>
            <w:vMerge/>
            <w:tcBorders>
              <w:top w:val="nil"/>
            </w:tcBorders>
          </w:tcPr>
          <w:p w14:paraId="59977B4B" w14:textId="77777777" w:rsidR="00B75503" w:rsidRPr="00616B65" w:rsidRDefault="00B75503" w:rsidP="00C31FAA">
            <w:pPr>
              <w:rPr>
                <w:sz w:val="22"/>
                <w:szCs w:val="22"/>
                <w:lang w:val="sr-Latn-ME"/>
              </w:rPr>
            </w:pPr>
          </w:p>
        </w:tc>
        <w:tc>
          <w:tcPr>
            <w:tcW w:w="3120" w:type="dxa"/>
          </w:tcPr>
          <w:p w14:paraId="2361CB7B" w14:textId="77777777" w:rsidR="00B75503" w:rsidRPr="00616B65" w:rsidRDefault="00B75503" w:rsidP="00C31FAA">
            <w:pPr>
              <w:pStyle w:val="TableParagraph"/>
              <w:spacing w:line="229" w:lineRule="exact"/>
              <w:rPr>
                <w:lang w:val="sr-Latn-ME"/>
              </w:rPr>
            </w:pPr>
            <w:r w:rsidRPr="00616B65">
              <w:rPr>
                <w:lang w:val="sr-Latn-ME"/>
              </w:rPr>
              <w:t>naleti</w:t>
            </w:r>
            <w:r w:rsidRPr="00616B65">
              <w:rPr>
                <w:spacing w:val="-8"/>
                <w:lang w:val="sr-Latn-ME"/>
              </w:rPr>
              <w:t xml:space="preserve"> </w:t>
            </w:r>
            <w:r w:rsidRPr="00616B65">
              <w:rPr>
                <w:lang w:val="sr-Latn-ME"/>
              </w:rPr>
              <w:t>vrućine</w:t>
            </w:r>
          </w:p>
        </w:tc>
        <w:tc>
          <w:tcPr>
            <w:tcW w:w="2812" w:type="dxa"/>
          </w:tcPr>
          <w:p w14:paraId="79C80259" w14:textId="77777777" w:rsidR="00B75503" w:rsidRPr="00616B65" w:rsidRDefault="00B75503" w:rsidP="00C31FAA">
            <w:pPr>
              <w:pStyle w:val="TableParagraph"/>
              <w:spacing w:line="229" w:lineRule="exact"/>
              <w:rPr>
                <w:lang w:val="sr-Latn-ME"/>
              </w:rPr>
            </w:pPr>
            <w:r w:rsidRPr="00616B65">
              <w:rPr>
                <w:lang w:val="sr-Latn-ME"/>
              </w:rPr>
              <w:t>Često</w:t>
            </w:r>
          </w:p>
        </w:tc>
      </w:tr>
      <w:tr w:rsidR="00181B2D" w:rsidRPr="00616B65" w14:paraId="269FA1D4" w14:textId="77777777" w:rsidTr="00B75503">
        <w:trPr>
          <w:trHeight w:val="253"/>
        </w:trPr>
        <w:tc>
          <w:tcPr>
            <w:tcW w:w="3248" w:type="dxa"/>
          </w:tcPr>
          <w:p w14:paraId="79558021" w14:textId="1A55EFBF" w:rsidR="00181B2D" w:rsidRPr="00616B65" w:rsidRDefault="00231CB4" w:rsidP="00181B2D">
            <w:pPr>
              <w:autoSpaceDE w:val="0"/>
              <w:autoSpaceDN w:val="0"/>
              <w:adjustRightInd w:val="0"/>
              <w:rPr>
                <w:sz w:val="22"/>
                <w:szCs w:val="22"/>
                <w:lang w:val="sr-Latn-ME"/>
              </w:rPr>
            </w:pPr>
            <w:r w:rsidRPr="00616B65">
              <w:rPr>
                <w:sz w:val="22"/>
                <w:szCs w:val="22"/>
                <w:lang w:val="sr-Latn-ME"/>
              </w:rPr>
              <w:t xml:space="preserve">  </w:t>
            </w:r>
            <w:r w:rsidR="00181B2D" w:rsidRPr="00616B65">
              <w:rPr>
                <w:sz w:val="22"/>
                <w:szCs w:val="22"/>
                <w:lang w:val="sr-Latn-ME"/>
              </w:rPr>
              <w:t>Respirat</w:t>
            </w:r>
            <w:r w:rsidR="004F2717" w:rsidRPr="00616B65">
              <w:rPr>
                <w:sz w:val="22"/>
                <w:szCs w:val="22"/>
                <w:lang w:val="sr-Latn-ME"/>
              </w:rPr>
              <w:t>orni</w:t>
            </w:r>
            <w:r w:rsidR="00181B2D" w:rsidRPr="00616B65">
              <w:rPr>
                <w:sz w:val="22"/>
                <w:szCs w:val="22"/>
                <w:lang w:val="sr-Latn-ME"/>
              </w:rPr>
              <w:t>, t</w:t>
            </w:r>
            <w:r w:rsidR="004F2717" w:rsidRPr="00616B65">
              <w:rPr>
                <w:sz w:val="22"/>
                <w:szCs w:val="22"/>
                <w:lang w:val="sr-Latn-ME"/>
              </w:rPr>
              <w:t>orakalni</w:t>
            </w:r>
            <w:r w:rsidR="00181B2D" w:rsidRPr="00616B65">
              <w:rPr>
                <w:sz w:val="22"/>
                <w:szCs w:val="22"/>
                <w:lang w:val="sr-Latn-ME"/>
              </w:rPr>
              <w:t xml:space="preserve"> </w:t>
            </w:r>
            <w:r w:rsidR="004F2717" w:rsidRPr="00616B65">
              <w:rPr>
                <w:sz w:val="22"/>
                <w:szCs w:val="22"/>
                <w:lang w:val="sr-Latn-ME"/>
              </w:rPr>
              <w:t>i</w:t>
            </w:r>
          </w:p>
          <w:p w14:paraId="23CB095B" w14:textId="6DDB2FAD" w:rsidR="00181B2D" w:rsidRPr="00616B65" w:rsidRDefault="00231CB4" w:rsidP="005A340E">
            <w:pPr>
              <w:pStyle w:val="TableParagraph"/>
              <w:spacing w:line="249" w:lineRule="exact"/>
              <w:ind w:left="0"/>
              <w:rPr>
                <w:lang w:val="sr-Latn-ME"/>
              </w:rPr>
            </w:pPr>
            <w:r w:rsidRPr="00616B65">
              <w:rPr>
                <w:lang w:val="sr-Latn-ME"/>
              </w:rPr>
              <w:t xml:space="preserve">  </w:t>
            </w:r>
            <w:r w:rsidR="00181B2D" w:rsidRPr="00616B65">
              <w:rPr>
                <w:lang w:val="sr-Latn-ME"/>
              </w:rPr>
              <w:t>medi</w:t>
            </w:r>
            <w:r w:rsidRPr="00616B65">
              <w:rPr>
                <w:lang w:val="sr-Latn-ME"/>
              </w:rPr>
              <w:t>j</w:t>
            </w:r>
            <w:r w:rsidR="00181B2D" w:rsidRPr="00616B65">
              <w:rPr>
                <w:lang w:val="sr-Latn-ME"/>
              </w:rPr>
              <w:t>astinal</w:t>
            </w:r>
            <w:r w:rsidRPr="00616B65">
              <w:rPr>
                <w:lang w:val="sr-Latn-ME"/>
              </w:rPr>
              <w:t>ni</w:t>
            </w:r>
            <w:r w:rsidR="00181B2D" w:rsidRPr="00616B65">
              <w:rPr>
                <w:lang w:val="sr-Latn-ME"/>
              </w:rPr>
              <w:t xml:space="preserve"> </w:t>
            </w:r>
            <w:r w:rsidRPr="00616B65">
              <w:rPr>
                <w:lang w:val="sr-Latn-ME"/>
              </w:rPr>
              <w:t>poremećaji</w:t>
            </w:r>
          </w:p>
        </w:tc>
        <w:tc>
          <w:tcPr>
            <w:tcW w:w="3120" w:type="dxa"/>
          </w:tcPr>
          <w:p w14:paraId="3F32B084" w14:textId="0CC0F005" w:rsidR="00181B2D" w:rsidRPr="00616B65" w:rsidRDefault="00231CB4" w:rsidP="004412C0">
            <w:pPr>
              <w:pStyle w:val="TableParagraph"/>
              <w:rPr>
                <w:lang w:val="sr-Latn-ME"/>
              </w:rPr>
            </w:pPr>
            <w:r w:rsidRPr="00616B65">
              <w:rPr>
                <w:lang w:val="sr-Latn-ME"/>
              </w:rPr>
              <w:t>rinoreja</w:t>
            </w:r>
          </w:p>
        </w:tc>
        <w:tc>
          <w:tcPr>
            <w:tcW w:w="2812" w:type="dxa"/>
          </w:tcPr>
          <w:p w14:paraId="16AA843C" w14:textId="60C4A025" w:rsidR="00181B2D" w:rsidRPr="00616B65" w:rsidRDefault="00231CB4" w:rsidP="00C31FAA">
            <w:pPr>
              <w:pStyle w:val="TableParagraph"/>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23E19BB8" w14:textId="77777777" w:rsidTr="00B75503">
        <w:trPr>
          <w:trHeight w:val="253"/>
        </w:trPr>
        <w:tc>
          <w:tcPr>
            <w:tcW w:w="3248" w:type="dxa"/>
            <w:vMerge w:val="restart"/>
          </w:tcPr>
          <w:p w14:paraId="236FD8B5" w14:textId="77777777" w:rsidR="00B75503" w:rsidRPr="00616B65" w:rsidRDefault="00B75503" w:rsidP="00C31FAA">
            <w:pPr>
              <w:pStyle w:val="TableParagraph"/>
              <w:spacing w:line="249" w:lineRule="exact"/>
              <w:rPr>
                <w:lang w:val="sr-Latn-ME"/>
              </w:rPr>
            </w:pPr>
            <w:r w:rsidRPr="00616B65">
              <w:rPr>
                <w:lang w:val="sr-Latn-ME"/>
              </w:rPr>
              <w:t>Gastrointestinalni</w:t>
            </w:r>
            <w:r w:rsidRPr="00616B65">
              <w:rPr>
                <w:spacing w:val="-9"/>
                <w:lang w:val="sr-Latn-ME"/>
              </w:rPr>
              <w:t xml:space="preserve"> </w:t>
            </w:r>
            <w:r w:rsidRPr="00616B65">
              <w:rPr>
                <w:lang w:val="sr-Latn-ME"/>
              </w:rPr>
              <w:t>poremećaji</w:t>
            </w:r>
          </w:p>
        </w:tc>
        <w:tc>
          <w:tcPr>
            <w:tcW w:w="3120" w:type="dxa"/>
          </w:tcPr>
          <w:p w14:paraId="14D9531A" w14:textId="77777777" w:rsidR="00B75503" w:rsidRPr="00616B65" w:rsidRDefault="00B75503" w:rsidP="00C31FAA">
            <w:pPr>
              <w:pStyle w:val="TableParagraph"/>
              <w:rPr>
                <w:lang w:val="sr-Latn-ME"/>
              </w:rPr>
            </w:pPr>
            <w:r w:rsidRPr="00616B65">
              <w:rPr>
                <w:lang w:val="sr-Latn-ME"/>
              </w:rPr>
              <w:t>proliv</w:t>
            </w:r>
          </w:p>
        </w:tc>
        <w:tc>
          <w:tcPr>
            <w:tcW w:w="2812" w:type="dxa"/>
          </w:tcPr>
          <w:p w14:paraId="7055BA86" w14:textId="77777777" w:rsidR="00B75503" w:rsidRPr="00616B65" w:rsidRDefault="00B75503" w:rsidP="00C31FAA">
            <w:pPr>
              <w:pStyle w:val="TableParagraph"/>
              <w:rPr>
                <w:lang w:val="sr-Latn-ME"/>
              </w:rPr>
            </w:pPr>
            <w:r w:rsidRPr="00616B65">
              <w:rPr>
                <w:lang w:val="sr-Latn-ME"/>
              </w:rPr>
              <w:t>Veoma</w:t>
            </w:r>
            <w:r w:rsidRPr="00616B65">
              <w:rPr>
                <w:spacing w:val="-4"/>
                <w:lang w:val="sr-Latn-ME"/>
              </w:rPr>
              <w:t xml:space="preserve"> </w:t>
            </w:r>
            <w:r w:rsidRPr="00616B65">
              <w:rPr>
                <w:lang w:val="sr-Latn-ME"/>
              </w:rPr>
              <w:t>često</w:t>
            </w:r>
          </w:p>
        </w:tc>
      </w:tr>
      <w:tr w:rsidR="00B75503" w:rsidRPr="00616B65" w14:paraId="5DEDC1A1" w14:textId="77777777" w:rsidTr="00B75503">
        <w:trPr>
          <w:trHeight w:val="253"/>
        </w:trPr>
        <w:tc>
          <w:tcPr>
            <w:tcW w:w="3248" w:type="dxa"/>
            <w:vMerge/>
            <w:tcBorders>
              <w:top w:val="nil"/>
            </w:tcBorders>
          </w:tcPr>
          <w:p w14:paraId="211FB132" w14:textId="77777777" w:rsidR="00B75503" w:rsidRPr="00616B65" w:rsidRDefault="00B75503" w:rsidP="00C31FAA">
            <w:pPr>
              <w:rPr>
                <w:sz w:val="22"/>
                <w:szCs w:val="22"/>
                <w:lang w:val="sr-Latn-ME"/>
              </w:rPr>
            </w:pPr>
          </w:p>
        </w:tc>
        <w:tc>
          <w:tcPr>
            <w:tcW w:w="3120" w:type="dxa"/>
          </w:tcPr>
          <w:p w14:paraId="57DD8C5A" w14:textId="77777777" w:rsidR="00B75503" w:rsidRPr="00616B65" w:rsidRDefault="00B75503" w:rsidP="00C31FAA">
            <w:pPr>
              <w:pStyle w:val="TableParagraph"/>
              <w:rPr>
                <w:lang w:val="sr-Latn-ME"/>
              </w:rPr>
            </w:pPr>
            <w:r w:rsidRPr="00616B65">
              <w:rPr>
                <w:lang w:val="sr-Latn-ME"/>
              </w:rPr>
              <w:t>mučnina</w:t>
            </w:r>
          </w:p>
        </w:tc>
        <w:tc>
          <w:tcPr>
            <w:tcW w:w="2812" w:type="dxa"/>
          </w:tcPr>
          <w:p w14:paraId="695E3395" w14:textId="77777777" w:rsidR="00B75503" w:rsidRPr="00616B65" w:rsidRDefault="00B75503" w:rsidP="00C31FAA">
            <w:pPr>
              <w:pStyle w:val="TableParagraph"/>
              <w:rPr>
                <w:lang w:val="sr-Latn-ME"/>
              </w:rPr>
            </w:pPr>
            <w:r w:rsidRPr="00616B65">
              <w:rPr>
                <w:lang w:val="sr-Latn-ME"/>
              </w:rPr>
              <w:t>Veoma</w:t>
            </w:r>
            <w:r w:rsidRPr="00616B65">
              <w:rPr>
                <w:spacing w:val="-4"/>
                <w:lang w:val="sr-Latn-ME"/>
              </w:rPr>
              <w:t xml:space="preserve"> </w:t>
            </w:r>
            <w:r w:rsidRPr="00616B65">
              <w:rPr>
                <w:lang w:val="sr-Latn-ME"/>
              </w:rPr>
              <w:t>često</w:t>
            </w:r>
          </w:p>
        </w:tc>
      </w:tr>
      <w:tr w:rsidR="00B75503" w:rsidRPr="00616B65" w14:paraId="2E630287" w14:textId="77777777" w:rsidTr="00B75503">
        <w:trPr>
          <w:trHeight w:val="253"/>
        </w:trPr>
        <w:tc>
          <w:tcPr>
            <w:tcW w:w="3248" w:type="dxa"/>
            <w:vMerge/>
            <w:tcBorders>
              <w:top w:val="nil"/>
            </w:tcBorders>
          </w:tcPr>
          <w:p w14:paraId="052A29EA" w14:textId="77777777" w:rsidR="00B75503" w:rsidRPr="00616B65" w:rsidRDefault="00B75503" w:rsidP="00C31FAA">
            <w:pPr>
              <w:rPr>
                <w:sz w:val="22"/>
                <w:szCs w:val="22"/>
                <w:lang w:val="sr-Latn-ME"/>
              </w:rPr>
            </w:pPr>
          </w:p>
        </w:tc>
        <w:tc>
          <w:tcPr>
            <w:tcW w:w="3120" w:type="dxa"/>
          </w:tcPr>
          <w:p w14:paraId="3D96A31D" w14:textId="5492FAFB" w:rsidR="00B75503" w:rsidRPr="00616B65" w:rsidRDefault="00B75503" w:rsidP="00C31FAA">
            <w:pPr>
              <w:pStyle w:val="TableParagraph"/>
              <w:rPr>
                <w:lang w:val="sr-Latn-ME"/>
              </w:rPr>
            </w:pPr>
            <w:r w:rsidRPr="00616B65">
              <w:rPr>
                <w:lang w:val="sr-Latn-ME"/>
              </w:rPr>
              <w:t>bol</w:t>
            </w:r>
            <w:r w:rsidRPr="00616B65">
              <w:rPr>
                <w:spacing w:val="-3"/>
                <w:lang w:val="sr-Latn-ME"/>
              </w:rPr>
              <w:t xml:space="preserve"> </w:t>
            </w:r>
            <w:r w:rsidRPr="00616B65">
              <w:rPr>
                <w:lang w:val="sr-Latn-ME"/>
              </w:rPr>
              <w:t>u</w:t>
            </w:r>
            <w:r w:rsidRPr="00616B65">
              <w:rPr>
                <w:spacing w:val="-3"/>
                <w:lang w:val="sr-Latn-ME"/>
              </w:rPr>
              <w:t xml:space="preserve"> </w:t>
            </w:r>
            <w:r w:rsidRPr="00616B65">
              <w:rPr>
                <w:lang w:val="sr-Latn-ME"/>
              </w:rPr>
              <w:t>gornjem</w:t>
            </w:r>
            <w:r w:rsidRPr="00616B65">
              <w:rPr>
                <w:spacing w:val="-3"/>
                <w:lang w:val="sr-Latn-ME"/>
              </w:rPr>
              <w:t xml:space="preserve"> </w:t>
            </w:r>
            <w:r w:rsidRPr="00616B65">
              <w:rPr>
                <w:lang w:val="sr-Latn-ME"/>
              </w:rPr>
              <w:t>dijelu</w:t>
            </w:r>
            <w:r w:rsidRPr="00616B65">
              <w:rPr>
                <w:spacing w:val="-3"/>
                <w:lang w:val="sr-Latn-ME"/>
              </w:rPr>
              <w:t xml:space="preserve"> </w:t>
            </w:r>
            <w:r w:rsidRPr="00616B65">
              <w:rPr>
                <w:lang w:val="sr-Latn-ME"/>
              </w:rPr>
              <w:t>stomaka</w:t>
            </w:r>
          </w:p>
        </w:tc>
        <w:tc>
          <w:tcPr>
            <w:tcW w:w="2812" w:type="dxa"/>
          </w:tcPr>
          <w:p w14:paraId="56FC76B6" w14:textId="77777777" w:rsidR="00B75503" w:rsidRPr="00616B65" w:rsidRDefault="00B75503" w:rsidP="00C31FAA">
            <w:pPr>
              <w:pStyle w:val="TableParagraph"/>
              <w:rPr>
                <w:lang w:val="sr-Latn-ME"/>
              </w:rPr>
            </w:pPr>
            <w:r w:rsidRPr="00616B65">
              <w:rPr>
                <w:lang w:val="sr-Latn-ME"/>
              </w:rPr>
              <w:t>Veoma</w:t>
            </w:r>
            <w:r w:rsidRPr="00616B65">
              <w:rPr>
                <w:spacing w:val="-4"/>
                <w:lang w:val="sr-Latn-ME"/>
              </w:rPr>
              <w:t xml:space="preserve"> </w:t>
            </w:r>
            <w:r w:rsidRPr="00616B65">
              <w:rPr>
                <w:lang w:val="sr-Latn-ME"/>
              </w:rPr>
              <w:t>često</w:t>
            </w:r>
          </w:p>
        </w:tc>
      </w:tr>
      <w:tr w:rsidR="00B75503" w:rsidRPr="00616B65" w14:paraId="18C6883B" w14:textId="77777777" w:rsidTr="00B75503">
        <w:trPr>
          <w:trHeight w:val="254"/>
        </w:trPr>
        <w:tc>
          <w:tcPr>
            <w:tcW w:w="3248" w:type="dxa"/>
            <w:vMerge/>
            <w:tcBorders>
              <w:top w:val="nil"/>
            </w:tcBorders>
          </w:tcPr>
          <w:p w14:paraId="2764C9CA" w14:textId="77777777" w:rsidR="00B75503" w:rsidRPr="00616B65" w:rsidRDefault="00B75503" w:rsidP="00C31FAA">
            <w:pPr>
              <w:rPr>
                <w:sz w:val="22"/>
                <w:szCs w:val="22"/>
                <w:lang w:val="sr-Latn-ME"/>
              </w:rPr>
            </w:pPr>
          </w:p>
        </w:tc>
        <w:tc>
          <w:tcPr>
            <w:tcW w:w="3120" w:type="dxa"/>
          </w:tcPr>
          <w:p w14:paraId="609E0E91" w14:textId="77777777" w:rsidR="00B75503" w:rsidRPr="00616B65" w:rsidRDefault="00B75503" w:rsidP="00C31FAA">
            <w:pPr>
              <w:pStyle w:val="TableParagraph"/>
              <w:rPr>
                <w:lang w:val="sr-Latn-ME"/>
              </w:rPr>
            </w:pPr>
            <w:r w:rsidRPr="00616B65">
              <w:rPr>
                <w:lang w:val="sr-Latn-ME"/>
              </w:rPr>
              <w:t>bol</w:t>
            </w:r>
            <w:r w:rsidRPr="00616B65">
              <w:rPr>
                <w:spacing w:val="-4"/>
                <w:lang w:val="sr-Latn-ME"/>
              </w:rPr>
              <w:t xml:space="preserve"> </w:t>
            </w:r>
            <w:r w:rsidRPr="00616B65">
              <w:rPr>
                <w:lang w:val="sr-Latn-ME"/>
              </w:rPr>
              <w:t>u</w:t>
            </w:r>
            <w:r w:rsidRPr="00616B65">
              <w:rPr>
                <w:spacing w:val="-3"/>
                <w:lang w:val="sr-Latn-ME"/>
              </w:rPr>
              <w:t xml:space="preserve"> </w:t>
            </w:r>
            <w:r w:rsidRPr="00616B65">
              <w:rPr>
                <w:lang w:val="sr-Latn-ME"/>
              </w:rPr>
              <w:t>stomaku</w:t>
            </w:r>
          </w:p>
        </w:tc>
        <w:tc>
          <w:tcPr>
            <w:tcW w:w="2812" w:type="dxa"/>
          </w:tcPr>
          <w:p w14:paraId="2AA1B5C1" w14:textId="77777777" w:rsidR="00B75503" w:rsidRPr="00616B65" w:rsidRDefault="00B75503" w:rsidP="00C31FAA">
            <w:pPr>
              <w:pStyle w:val="TableParagraph"/>
              <w:rPr>
                <w:lang w:val="sr-Latn-ME"/>
              </w:rPr>
            </w:pPr>
            <w:r w:rsidRPr="00616B65">
              <w:rPr>
                <w:lang w:val="sr-Latn-ME"/>
              </w:rPr>
              <w:t>Veoma</w:t>
            </w:r>
            <w:r w:rsidRPr="00616B65">
              <w:rPr>
                <w:spacing w:val="-1"/>
                <w:lang w:val="sr-Latn-ME"/>
              </w:rPr>
              <w:t xml:space="preserve"> </w:t>
            </w:r>
            <w:r w:rsidRPr="00616B65">
              <w:rPr>
                <w:lang w:val="sr-Latn-ME"/>
              </w:rPr>
              <w:t>često</w:t>
            </w:r>
          </w:p>
        </w:tc>
      </w:tr>
      <w:tr w:rsidR="00B75503" w:rsidRPr="00616B65" w14:paraId="63E2F52C" w14:textId="77777777" w:rsidTr="00B75503">
        <w:trPr>
          <w:trHeight w:val="249"/>
        </w:trPr>
        <w:tc>
          <w:tcPr>
            <w:tcW w:w="3248" w:type="dxa"/>
            <w:vMerge/>
            <w:tcBorders>
              <w:top w:val="nil"/>
            </w:tcBorders>
          </w:tcPr>
          <w:p w14:paraId="1364EE1E" w14:textId="77777777" w:rsidR="00B75503" w:rsidRPr="00616B65" w:rsidRDefault="00B75503" w:rsidP="00C31FAA">
            <w:pPr>
              <w:rPr>
                <w:sz w:val="22"/>
                <w:szCs w:val="22"/>
                <w:lang w:val="sr-Latn-ME"/>
              </w:rPr>
            </w:pPr>
          </w:p>
        </w:tc>
        <w:tc>
          <w:tcPr>
            <w:tcW w:w="3120" w:type="dxa"/>
          </w:tcPr>
          <w:p w14:paraId="220FAE98" w14:textId="77777777" w:rsidR="00B75503" w:rsidRPr="00616B65" w:rsidRDefault="00B75503" w:rsidP="00C31FAA">
            <w:pPr>
              <w:pStyle w:val="TableParagraph"/>
              <w:spacing w:line="229" w:lineRule="exact"/>
              <w:rPr>
                <w:lang w:val="sr-Latn-ME"/>
              </w:rPr>
            </w:pPr>
            <w:r w:rsidRPr="00616B65">
              <w:rPr>
                <w:lang w:val="sr-Latn-ME"/>
              </w:rPr>
              <w:t>povraćanje</w:t>
            </w:r>
          </w:p>
        </w:tc>
        <w:tc>
          <w:tcPr>
            <w:tcW w:w="2812" w:type="dxa"/>
          </w:tcPr>
          <w:p w14:paraId="4EA9D1D0" w14:textId="77777777" w:rsidR="00B75503" w:rsidRPr="00616B65" w:rsidRDefault="00B75503" w:rsidP="00C31FAA">
            <w:pPr>
              <w:pStyle w:val="TableParagraph"/>
              <w:spacing w:line="229" w:lineRule="exact"/>
              <w:rPr>
                <w:lang w:val="sr-Latn-ME"/>
              </w:rPr>
            </w:pPr>
            <w:r w:rsidRPr="00616B65">
              <w:rPr>
                <w:lang w:val="sr-Latn-ME"/>
              </w:rPr>
              <w:t>Često</w:t>
            </w:r>
          </w:p>
        </w:tc>
      </w:tr>
      <w:tr w:rsidR="00B75503" w:rsidRPr="00616B65" w14:paraId="19C2C671" w14:textId="77777777" w:rsidTr="00B75503">
        <w:trPr>
          <w:trHeight w:val="253"/>
        </w:trPr>
        <w:tc>
          <w:tcPr>
            <w:tcW w:w="3248" w:type="dxa"/>
            <w:vMerge/>
            <w:tcBorders>
              <w:top w:val="nil"/>
            </w:tcBorders>
          </w:tcPr>
          <w:p w14:paraId="14E4864F" w14:textId="77777777" w:rsidR="00B75503" w:rsidRPr="00616B65" w:rsidRDefault="00B75503" w:rsidP="00C31FAA">
            <w:pPr>
              <w:rPr>
                <w:sz w:val="22"/>
                <w:szCs w:val="22"/>
                <w:lang w:val="sr-Latn-ME"/>
              </w:rPr>
            </w:pPr>
          </w:p>
        </w:tc>
        <w:tc>
          <w:tcPr>
            <w:tcW w:w="3120" w:type="dxa"/>
          </w:tcPr>
          <w:p w14:paraId="1E0138B4" w14:textId="77777777" w:rsidR="00B75503" w:rsidRPr="00616B65" w:rsidRDefault="00B75503" w:rsidP="00C31FAA">
            <w:pPr>
              <w:pStyle w:val="TableParagraph"/>
              <w:rPr>
                <w:lang w:val="sr-Latn-ME"/>
              </w:rPr>
            </w:pPr>
            <w:r w:rsidRPr="00616B65">
              <w:rPr>
                <w:lang w:val="sr-Latn-ME"/>
              </w:rPr>
              <w:t>dispepsija</w:t>
            </w:r>
          </w:p>
        </w:tc>
        <w:tc>
          <w:tcPr>
            <w:tcW w:w="2812" w:type="dxa"/>
          </w:tcPr>
          <w:p w14:paraId="2FE9071E" w14:textId="77777777" w:rsidR="00B75503" w:rsidRPr="00616B65" w:rsidRDefault="00B75503" w:rsidP="00C31FAA">
            <w:pPr>
              <w:pStyle w:val="TableParagraph"/>
              <w:rPr>
                <w:lang w:val="sr-Latn-ME"/>
              </w:rPr>
            </w:pPr>
            <w:r w:rsidRPr="00616B65">
              <w:rPr>
                <w:lang w:val="sr-Latn-ME"/>
              </w:rPr>
              <w:t>Često</w:t>
            </w:r>
          </w:p>
        </w:tc>
      </w:tr>
      <w:tr w:rsidR="00B75503" w:rsidRPr="00616B65" w14:paraId="008855BA" w14:textId="77777777" w:rsidTr="00B75503">
        <w:trPr>
          <w:trHeight w:val="254"/>
        </w:trPr>
        <w:tc>
          <w:tcPr>
            <w:tcW w:w="3248" w:type="dxa"/>
            <w:vMerge/>
            <w:tcBorders>
              <w:top w:val="nil"/>
            </w:tcBorders>
          </w:tcPr>
          <w:p w14:paraId="6043ADE6" w14:textId="77777777" w:rsidR="00B75503" w:rsidRPr="00616B65" w:rsidRDefault="00B75503" w:rsidP="00C31FAA">
            <w:pPr>
              <w:rPr>
                <w:sz w:val="22"/>
                <w:szCs w:val="22"/>
                <w:lang w:val="sr-Latn-ME"/>
              </w:rPr>
            </w:pPr>
          </w:p>
        </w:tc>
        <w:tc>
          <w:tcPr>
            <w:tcW w:w="3120" w:type="dxa"/>
          </w:tcPr>
          <w:p w14:paraId="1F732A05" w14:textId="77777777" w:rsidR="00B75503" w:rsidRPr="00616B65" w:rsidRDefault="00B75503" w:rsidP="00C31FAA">
            <w:pPr>
              <w:pStyle w:val="TableParagraph"/>
              <w:rPr>
                <w:lang w:val="sr-Latn-ME"/>
              </w:rPr>
            </w:pPr>
            <w:r w:rsidRPr="00616B65">
              <w:rPr>
                <w:lang w:val="sr-Latn-ME"/>
              </w:rPr>
              <w:t>gastritis</w:t>
            </w:r>
          </w:p>
        </w:tc>
        <w:tc>
          <w:tcPr>
            <w:tcW w:w="2812" w:type="dxa"/>
          </w:tcPr>
          <w:p w14:paraId="201FD703" w14:textId="77777777" w:rsidR="00B75503" w:rsidRPr="00616B65" w:rsidRDefault="00B75503" w:rsidP="00C31FAA">
            <w:pPr>
              <w:pStyle w:val="TableParagraph"/>
              <w:rPr>
                <w:lang w:val="sr-Latn-ME"/>
              </w:rPr>
            </w:pPr>
            <w:r w:rsidRPr="00616B65">
              <w:rPr>
                <w:lang w:val="sr-Latn-ME"/>
              </w:rPr>
              <w:t>Često</w:t>
            </w:r>
          </w:p>
        </w:tc>
      </w:tr>
      <w:tr w:rsidR="00B75503" w:rsidRPr="00616B65" w14:paraId="6D4EB798" w14:textId="77777777" w:rsidTr="00B75503">
        <w:trPr>
          <w:trHeight w:val="254"/>
        </w:trPr>
        <w:tc>
          <w:tcPr>
            <w:tcW w:w="3248" w:type="dxa"/>
            <w:vMerge/>
            <w:tcBorders>
              <w:top w:val="nil"/>
            </w:tcBorders>
          </w:tcPr>
          <w:p w14:paraId="094D6690" w14:textId="77777777" w:rsidR="00B75503" w:rsidRPr="00616B65" w:rsidRDefault="00B75503" w:rsidP="00C31FAA">
            <w:pPr>
              <w:rPr>
                <w:sz w:val="22"/>
                <w:szCs w:val="22"/>
                <w:lang w:val="sr-Latn-ME"/>
              </w:rPr>
            </w:pPr>
          </w:p>
        </w:tc>
        <w:tc>
          <w:tcPr>
            <w:tcW w:w="3120" w:type="dxa"/>
          </w:tcPr>
          <w:p w14:paraId="7964594F" w14:textId="77777777" w:rsidR="00B75503" w:rsidRPr="00616B65" w:rsidRDefault="00B75503" w:rsidP="00C31FAA">
            <w:pPr>
              <w:pStyle w:val="TableParagraph"/>
              <w:rPr>
                <w:lang w:val="sr-Latn-ME"/>
              </w:rPr>
            </w:pPr>
            <w:r w:rsidRPr="00616B65">
              <w:rPr>
                <w:lang w:val="sr-Latn-ME"/>
              </w:rPr>
              <w:t>gastrointestinalni</w:t>
            </w:r>
            <w:r w:rsidRPr="00616B65">
              <w:rPr>
                <w:spacing w:val="-7"/>
                <w:lang w:val="sr-Latn-ME"/>
              </w:rPr>
              <w:t xml:space="preserve"> </w:t>
            </w:r>
            <w:r w:rsidRPr="00616B65">
              <w:rPr>
                <w:lang w:val="sr-Latn-ME"/>
              </w:rPr>
              <w:t>poremećaj</w:t>
            </w:r>
          </w:p>
        </w:tc>
        <w:tc>
          <w:tcPr>
            <w:tcW w:w="2812" w:type="dxa"/>
          </w:tcPr>
          <w:p w14:paraId="19C31D7B" w14:textId="77777777" w:rsidR="00B75503" w:rsidRPr="00616B65" w:rsidRDefault="00B75503" w:rsidP="00C31FAA">
            <w:pPr>
              <w:pStyle w:val="TableParagraph"/>
              <w:rPr>
                <w:lang w:val="sr-Latn-ME"/>
              </w:rPr>
            </w:pPr>
            <w:r w:rsidRPr="00616B65">
              <w:rPr>
                <w:lang w:val="sr-Latn-ME"/>
              </w:rPr>
              <w:t>Često</w:t>
            </w:r>
          </w:p>
        </w:tc>
      </w:tr>
      <w:tr w:rsidR="00B75503" w:rsidRPr="00616B65" w14:paraId="16816315" w14:textId="77777777" w:rsidTr="00B75503">
        <w:trPr>
          <w:trHeight w:val="503"/>
        </w:trPr>
        <w:tc>
          <w:tcPr>
            <w:tcW w:w="3248" w:type="dxa"/>
            <w:vMerge w:val="restart"/>
          </w:tcPr>
          <w:p w14:paraId="32BA46CC" w14:textId="77777777" w:rsidR="00B75503" w:rsidRPr="00616B65" w:rsidRDefault="00B75503" w:rsidP="00C31FAA">
            <w:pPr>
              <w:pStyle w:val="TableParagraph"/>
              <w:spacing w:line="238" w:lineRule="exact"/>
              <w:rPr>
                <w:lang w:val="sr-Latn-ME"/>
              </w:rPr>
            </w:pPr>
            <w:r w:rsidRPr="00616B65">
              <w:rPr>
                <w:lang w:val="sr-Latn-ME"/>
              </w:rPr>
              <w:lastRenderedPageBreak/>
              <w:t>Hepatobilijarni</w:t>
            </w:r>
            <w:r w:rsidRPr="00616B65">
              <w:rPr>
                <w:spacing w:val="-9"/>
                <w:lang w:val="sr-Latn-ME"/>
              </w:rPr>
              <w:t xml:space="preserve"> </w:t>
            </w:r>
            <w:r w:rsidRPr="00616B65">
              <w:rPr>
                <w:lang w:val="sr-Latn-ME"/>
              </w:rPr>
              <w:t>poremećaji</w:t>
            </w:r>
          </w:p>
        </w:tc>
        <w:tc>
          <w:tcPr>
            <w:tcW w:w="3120" w:type="dxa"/>
          </w:tcPr>
          <w:p w14:paraId="2F3ACD49" w14:textId="18B787AF" w:rsidR="00B75503" w:rsidRPr="00616B65" w:rsidRDefault="00B75503" w:rsidP="00C31FAA">
            <w:pPr>
              <w:pStyle w:val="TableParagraph"/>
              <w:spacing w:line="236" w:lineRule="exact"/>
              <w:rPr>
                <w:lang w:val="sr-Latn-ME"/>
              </w:rPr>
            </w:pPr>
            <w:r w:rsidRPr="00616B65">
              <w:rPr>
                <w:lang w:val="sr-Latn-ME"/>
              </w:rPr>
              <w:t>povećana vrijednost</w:t>
            </w:r>
            <w:r w:rsidRPr="00616B65">
              <w:rPr>
                <w:spacing w:val="-1"/>
                <w:lang w:val="sr-Latn-ME"/>
              </w:rPr>
              <w:t xml:space="preserve"> </w:t>
            </w:r>
            <w:r w:rsidRPr="00616B65">
              <w:rPr>
                <w:lang w:val="sr-Latn-ME"/>
              </w:rPr>
              <w:t>aspartat</w:t>
            </w:r>
          </w:p>
          <w:p w14:paraId="7DE246CD" w14:textId="77777777" w:rsidR="00B75503" w:rsidRPr="00616B65" w:rsidRDefault="00B75503" w:rsidP="00C31FAA">
            <w:pPr>
              <w:pStyle w:val="TableParagraph"/>
              <w:spacing w:line="248" w:lineRule="exact"/>
              <w:rPr>
                <w:lang w:val="sr-Latn-ME"/>
              </w:rPr>
            </w:pPr>
            <w:r w:rsidRPr="00616B65">
              <w:rPr>
                <w:lang w:val="sr-Latn-ME"/>
              </w:rPr>
              <w:t>aminotransferaza</w:t>
            </w:r>
          </w:p>
        </w:tc>
        <w:tc>
          <w:tcPr>
            <w:tcW w:w="2812" w:type="dxa"/>
          </w:tcPr>
          <w:p w14:paraId="6CC32C24" w14:textId="77777777" w:rsidR="00B75503" w:rsidRPr="00616B65" w:rsidRDefault="00B75503" w:rsidP="00C31FAA">
            <w:pPr>
              <w:pStyle w:val="TableParagraph"/>
              <w:spacing w:before="109" w:line="240" w:lineRule="auto"/>
              <w:rPr>
                <w:lang w:val="sr-Latn-ME"/>
              </w:rPr>
            </w:pPr>
            <w:r w:rsidRPr="00616B65">
              <w:rPr>
                <w:lang w:val="sr-Latn-ME"/>
              </w:rPr>
              <w:t>Često</w:t>
            </w:r>
          </w:p>
        </w:tc>
      </w:tr>
      <w:tr w:rsidR="00B75503" w:rsidRPr="00616B65" w14:paraId="4A47D591" w14:textId="77777777" w:rsidTr="00B75503">
        <w:trPr>
          <w:trHeight w:val="508"/>
        </w:trPr>
        <w:tc>
          <w:tcPr>
            <w:tcW w:w="3248" w:type="dxa"/>
            <w:vMerge/>
            <w:tcBorders>
              <w:top w:val="nil"/>
            </w:tcBorders>
          </w:tcPr>
          <w:p w14:paraId="7CC2D5CC" w14:textId="77777777" w:rsidR="00B75503" w:rsidRPr="00616B65" w:rsidRDefault="00B75503" w:rsidP="00C31FAA">
            <w:pPr>
              <w:rPr>
                <w:sz w:val="22"/>
                <w:szCs w:val="22"/>
                <w:lang w:val="sr-Latn-ME"/>
              </w:rPr>
            </w:pPr>
          </w:p>
        </w:tc>
        <w:tc>
          <w:tcPr>
            <w:tcW w:w="3120" w:type="dxa"/>
          </w:tcPr>
          <w:p w14:paraId="5990E3A7" w14:textId="607DCCE0" w:rsidR="00B75503" w:rsidRPr="00616B65" w:rsidRDefault="00B75503" w:rsidP="00C31FAA">
            <w:pPr>
              <w:pStyle w:val="TableParagraph"/>
              <w:spacing w:line="238" w:lineRule="exact"/>
              <w:rPr>
                <w:lang w:val="sr-Latn-ME"/>
              </w:rPr>
            </w:pPr>
            <w:r w:rsidRPr="00616B65">
              <w:rPr>
                <w:lang w:val="sr-Latn-ME"/>
              </w:rPr>
              <w:t>povećana</w:t>
            </w:r>
            <w:r w:rsidRPr="00616B65">
              <w:rPr>
                <w:spacing w:val="-4"/>
                <w:lang w:val="sr-Latn-ME"/>
              </w:rPr>
              <w:t xml:space="preserve"> </w:t>
            </w:r>
            <w:r w:rsidRPr="00616B65">
              <w:rPr>
                <w:lang w:val="sr-Latn-ME"/>
              </w:rPr>
              <w:t>vrijednost</w:t>
            </w:r>
            <w:r w:rsidRPr="00616B65">
              <w:rPr>
                <w:spacing w:val="-5"/>
                <w:lang w:val="sr-Latn-ME"/>
              </w:rPr>
              <w:t xml:space="preserve"> </w:t>
            </w:r>
            <w:r w:rsidRPr="00616B65">
              <w:rPr>
                <w:lang w:val="sr-Latn-ME"/>
              </w:rPr>
              <w:t>alanin</w:t>
            </w:r>
          </w:p>
          <w:p w14:paraId="267A50EA" w14:textId="77777777" w:rsidR="00B75503" w:rsidRPr="00616B65" w:rsidRDefault="00B75503" w:rsidP="00C31FAA">
            <w:pPr>
              <w:pStyle w:val="TableParagraph"/>
              <w:spacing w:before="1" w:line="249" w:lineRule="exact"/>
              <w:rPr>
                <w:lang w:val="sr-Latn-ME"/>
              </w:rPr>
            </w:pPr>
            <w:r w:rsidRPr="00616B65">
              <w:rPr>
                <w:lang w:val="sr-Latn-ME"/>
              </w:rPr>
              <w:t>aminotransferaza</w:t>
            </w:r>
          </w:p>
        </w:tc>
        <w:tc>
          <w:tcPr>
            <w:tcW w:w="2812" w:type="dxa"/>
          </w:tcPr>
          <w:p w14:paraId="3D7EF348" w14:textId="77777777" w:rsidR="00B75503" w:rsidRPr="00616B65" w:rsidRDefault="00B75503" w:rsidP="00C31FAA">
            <w:pPr>
              <w:pStyle w:val="TableParagraph"/>
              <w:spacing w:before="109" w:line="240" w:lineRule="auto"/>
              <w:rPr>
                <w:lang w:val="sr-Latn-ME"/>
              </w:rPr>
            </w:pPr>
            <w:r w:rsidRPr="00616B65">
              <w:rPr>
                <w:lang w:val="sr-Latn-ME"/>
              </w:rPr>
              <w:t>Često</w:t>
            </w:r>
          </w:p>
        </w:tc>
      </w:tr>
      <w:tr w:rsidR="00B75503" w:rsidRPr="00616B65" w14:paraId="089707EA" w14:textId="77777777" w:rsidTr="00B75503">
        <w:trPr>
          <w:trHeight w:val="503"/>
        </w:trPr>
        <w:tc>
          <w:tcPr>
            <w:tcW w:w="3248" w:type="dxa"/>
            <w:vMerge/>
            <w:tcBorders>
              <w:top w:val="nil"/>
            </w:tcBorders>
          </w:tcPr>
          <w:p w14:paraId="40D8EF4C" w14:textId="77777777" w:rsidR="00B75503" w:rsidRPr="00616B65" w:rsidRDefault="00B75503" w:rsidP="00C31FAA">
            <w:pPr>
              <w:rPr>
                <w:sz w:val="22"/>
                <w:szCs w:val="22"/>
                <w:lang w:val="sr-Latn-ME"/>
              </w:rPr>
            </w:pPr>
          </w:p>
        </w:tc>
        <w:tc>
          <w:tcPr>
            <w:tcW w:w="3120" w:type="dxa"/>
          </w:tcPr>
          <w:p w14:paraId="5D61055C" w14:textId="080AC48C" w:rsidR="00B75503" w:rsidRPr="00616B65" w:rsidRDefault="00B75503" w:rsidP="00C31FAA">
            <w:pPr>
              <w:pStyle w:val="TableParagraph"/>
              <w:spacing w:line="236" w:lineRule="exact"/>
              <w:rPr>
                <w:lang w:val="sr-Latn-ME"/>
              </w:rPr>
            </w:pPr>
            <w:r w:rsidRPr="00616B65">
              <w:rPr>
                <w:lang w:val="sr-Latn-ME"/>
              </w:rPr>
              <w:t>oštećenje</w:t>
            </w:r>
            <w:r w:rsidRPr="00616B65">
              <w:rPr>
                <w:spacing w:val="-5"/>
                <w:lang w:val="sr-Latn-ME"/>
              </w:rPr>
              <w:t xml:space="preserve"> </w:t>
            </w:r>
            <w:r w:rsidRPr="00616B65">
              <w:rPr>
                <w:lang w:val="sr-Latn-ME"/>
              </w:rPr>
              <w:t>jetre</w:t>
            </w:r>
            <w:r w:rsidRPr="00616B65">
              <w:rPr>
                <w:spacing w:val="-3"/>
                <w:lang w:val="sr-Latn-ME"/>
              </w:rPr>
              <w:t xml:space="preserve"> </w:t>
            </w:r>
            <w:r w:rsidRPr="00616B65">
              <w:rPr>
                <w:lang w:val="sr-Latn-ME"/>
              </w:rPr>
              <w:t>usl</w:t>
            </w:r>
            <w:r w:rsidR="00960933" w:rsidRPr="00616B65">
              <w:rPr>
                <w:lang w:val="sr-Latn-ME"/>
              </w:rPr>
              <w:t>j</w:t>
            </w:r>
            <w:r w:rsidRPr="00616B65">
              <w:rPr>
                <w:lang w:val="sr-Latn-ME"/>
              </w:rPr>
              <w:t>ed</w:t>
            </w:r>
            <w:r w:rsidRPr="00616B65">
              <w:rPr>
                <w:spacing w:val="-5"/>
                <w:lang w:val="sr-Latn-ME"/>
              </w:rPr>
              <w:t xml:space="preserve"> </w:t>
            </w:r>
            <w:r w:rsidRPr="00616B65">
              <w:rPr>
                <w:lang w:val="sr-Latn-ME"/>
              </w:rPr>
              <w:t>primjene</w:t>
            </w:r>
          </w:p>
          <w:p w14:paraId="6E177096" w14:textId="526CE40D" w:rsidR="00B75503" w:rsidRPr="00616B65" w:rsidRDefault="00B75503" w:rsidP="00C31FAA">
            <w:pPr>
              <w:pStyle w:val="TableParagraph"/>
              <w:spacing w:line="248" w:lineRule="exact"/>
              <w:rPr>
                <w:lang w:val="sr-Latn-ME"/>
              </w:rPr>
            </w:pPr>
            <w:r w:rsidRPr="00616B65">
              <w:rPr>
                <w:lang w:val="sr-Latn-ME"/>
              </w:rPr>
              <w:t>lijeka</w:t>
            </w:r>
          </w:p>
        </w:tc>
        <w:tc>
          <w:tcPr>
            <w:tcW w:w="2812" w:type="dxa"/>
          </w:tcPr>
          <w:p w14:paraId="1447265A" w14:textId="77777777" w:rsidR="00B75503" w:rsidRPr="00616B65" w:rsidRDefault="00B75503" w:rsidP="00C31FAA">
            <w:pPr>
              <w:pStyle w:val="TableParagraph"/>
              <w:spacing w:before="109" w:line="240" w:lineRule="auto"/>
              <w:rPr>
                <w:lang w:val="sr-Latn-ME"/>
              </w:rPr>
            </w:pPr>
            <w:r w:rsidRPr="00616B65">
              <w:rPr>
                <w:lang w:val="sr-Latn-ME"/>
              </w:rPr>
              <w:t>Nepoznata</w:t>
            </w:r>
            <w:r w:rsidRPr="00616B65">
              <w:rPr>
                <w:spacing w:val="-6"/>
                <w:lang w:val="sr-Latn-ME"/>
              </w:rPr>
              <w:t xml:space="preserve"> </w:t>
            </w:r>
            <w:r w:rsidRPr="00616B65">
              <w:rPr>
                <w:lang w:val="sr-Latn-ME"/>
              </w:rPr>
              <w:t>učestalost</w:t>
            </w:r>
          </w:p>
        </w:tc>
      </w:tr>
      <w:tr w:rsidR="00B75503" w:rsidRPr="00616B65" w14:paraId="65A38D93" w14:textId="77777777" w:rsidTr="00B75503">
        <w:trPr>
          <w:trHeight w:val="253"/>
        </w:trPr>
        <w:tc>
          <w:tcPr>
            <w:tcW w:w="3248" w:type="dxa"/>
            <w:vMerge w:val="restart"/>
          </w:tcPr>
          <w:p w14:paraId="25175ED9" w14:textId="77777777" w:rsidR="00B75503" w:rsidRPr="00616B65" w:rsidRDefault="00B75503" w:rsidP="00C31FAA">
            <w:pPr>
              <w:pStyle w:val="TableParagraph"/>
              <w:spacing w:line="238" w:lineRule="exact"/>
              <w:rPr>
                <w:lang w:val="sr-Latn-ME"/>
              </w:rPr>
            </w:pPr>
            <w:r w:rsidRPr="00616B65">
              <w:rPr>
                <w:lang w:val="sr-Latn-ME"/>
              </w:rPr>
              <w:t>Poremećaji</w:t>
            </w:r>
            <w:r w:rsidRPr="00616B65">
              <w:rPr>
                <w:spacing w:val="-4"/>
                <w:lang w:val="sr-Latn-ME"/>
              </w:rPr>
              <w:t xml:space="preserve"> </w:t>
            </w:r>
            <w:r w:rsidRPr="00616B65">
              <w:rPr>
                <w:lang w:val="sr-Latn-ME"/>
              </w:rPr>
              <w:t>kože</w:t>
            </w:r>
            <w:r w:rsidRPr="00616B65">
              <w:rPr>
                <w:spacing w:val="-4"/>
                <w:lang w:val="sr-Latn-ME"/>
              </w:rPr>
              <w:t xml:space="preserve"> </w:t>
            </w:r>
            <w:r w:rsidRPr="00616B65">
              <w:rPr>
                <w:lang w:val="sr-Latn-ME"/>
              </w:rPr>
              <w:t>i</w:t>
            </w:r>
            <w:r w:rsidRPr="00616B65">
              <w:rPr>
                <w:spacing w:val="-4"/>
                <w:lang w:val="sr-Latn-ME"/>
              </w:rPr>
              <w:t xml:space="preserve"> </w:t>
            </w:r>
            <w:r w:rsidRPr="00616B65">
              <w:rPr>
                <w:lang w:val="sr-Latn-ME"/>
              </w:rPr>
              <w:t>potkožnog</w:t>
            </w:r>
          </w:p>
          <w:p w14:paraId="0C9E5F36" w14:textId="77777777" w:rsidR="00B75503" w:rsidRPr="00616B65" w:rsidRDefault="00B75503" w:rsidP="00C31FAA">
            <w:pPr>
              <w:pStyle w:val="TableParagraph"/>
              <w:spacing w:before="1" w:line="240" w:lineRule="auto"/>
              <w:rPr>
                <w:lang w:val="sr-Latn-ME"/>
              </w:rPr>
            </w:pPr>
            <w:r w:rsidRPr="00616B65">
              <w:rPr>
                <w:lang w:val="sr-Latn-ME"/>
              </w:rPr>
              <w:t>tkiva</w:t>
            </w:r>
          </w:p>
        </w:tc>
        <w:tc>
          <w:tcPr>
            <w:tcW w:w="3120" w:type="dxa"/>
          </w:tcPr>
          <w:p w14:paraId="32B74CD2" w14:textId="77777777" w:rsidR="00B75503" w:rsidRPr="00616B65" w:rsidRDefault="00B75503" w:rsidP="00C31FAA">
            <w:pPr>
              <w:pStyle w:val="TableParagraph"/>
              <w:rPr>
                <w:lang w:val="sr-Latn-ME"/>
              </w:rPr>
            </w:pPr>
            <w:r w:rsidRPr="00616B65">
              <w:rPr>
                <w:lang w:val="sr-Latn-ME"/>
              </w:rPr>
              <w:t>pruritus</w:t>
            </w:r>
          </w:p>
        </w:tc>
        <w:tc>
          <w:tcPr>
            <w:tcW w:w="2812" w:type="dxa"/>
          </w:tcPr>
          <w:p w14:paraId="3D0AE297" w14:textId="77777777" w:rsidR="00B75503" w:rsidRPr="00616B65" w:rsidRDefault="00B75503" w:rsidP="00C31FAA">
            <w:pPr>
              <w:pStyle w:val="TableParagraph"/>
              <w:rPr>
                <w:lang w:val="sr-Latn-ME"/>
              </w:rPr>
            </w:pPr>
            <w:r w:rsidRPr="00616B65">
              <w:rPr>
                <w:lang w:val="sr-Latn-ME"/>
              </w:rPr>
              <w:t>Često</w:t>
            </w:r>
          </w:p>
        </w:tc>
      </w:tr>
      <w:tr w:rsidR="00B75503" w:rsidRPr="00616B65" w14:paraId="154465F7" w14:textId="77777777" w:rsidTr="00B75503">
        <w:trPr>
          <w:trHeight w:val="254"/>
        </w:trPr>
        <w:tc>
          <w:tcPr>
            <w:tcW w:w="3248" w:type="dxa"/>
            <w:vMerge/>
            <w:tcBorders>
              <w:top w:val="nil"/>
            </w:tcBorders>
          </w:tcPr>
          <w:p w14:paraId="4E7B2E9F" w14:textId="77777777" w:rsidR="00B75503" w:rsidRPr="00616B65" w:rsidRDefault="00B75503" w:rsidP="00C31FAA">
            <w:pPr>
              <w:rPr>
                <w:sz w:val="22"/>
                <w:szCs w:val="22"/>
                <w:lang w:val="sr-Latn-ME"/>
              </w:rPr>
            </w:pPr>
          </w:p>
        </w:tc>
        <w:tc>
          <w:tcPr>
            <w:tcW w:w="3120" w:type="dxa"/>
          </w:tcPr>
          <w:p w14:paraId="66B86B04" w14:textId="77777777" w:rsidR="00B75503" w:rsidRPr="00616B65" w:rsidRDefault="00B75503" w:rsidP="00C31FAA">
            <w:pPr>
              <w:pStyle w:val="TableParagraph"/>
              <w:rPr>
                <w:lang w:val="sr-Latn-ME"/>
              </w:rPr>
            </w:pPr>
            <w:r w:rsidRPr="00616B65">
              <w:rPr>
                <w:lang w:val="sr-Latn-ME"/>
              </w:rPr>
              <w:t>osip</w:t>
            </w:r>
          </w:p>
        </w:tc>
        <w:tc>
          <w:tcPr>
            <w:tcW w:w="2812" w:type="dxa"/>
          </w:tcPr>
          <w:p w14:paraId="4BEE6FD0" w14:textId="77777777" w:rsidR="00B75503" w:rsidRPr="00616B65" w:rsidRDefault="00B75503" w:rsidP="00C31FAA">
            <w:pPr>
              <w:pStyle w:val="TableParagraph"/>
              <w:rPr>
                <w:lang w:val="sr-Latn-ME"/>
              </w:rPr>
            </w:pPr>
            <w:r w:rsidRPr="00616B65">
              <w:rPr>
                <w:lang w:val="sr-Latn-ME"/>
              </w:rPr>
              <w:t>Često</w:t>
            </w:r>
          </w:p>
        </w:tc>
      </w:tr>
      <w:tr w:rsidR="00B75503" w:rsidRPr="00616B65" w14:paraId="14CFF165" w14:textId="77777777" w:rsidTr="00B75503">
        <w:trPr>
          <w:trHeight w:val="249"/>
        </w:trPr>
        <w:tc>
          <w:tcPr>
            <w:tcW w:w="3248" w:type="dxa"/>
            <w:vMerge/>
            <w:tcBorders>
              <w:top w:val="nil"/>
            </w:tcBorders>
          </w:tcPr>
          <w:p w14:paraId="7C0881AE" w14:textId="77777777" w:rsidR="00B75503" w:rsidRPr="00616B65" w:rsidRDefault="00B75503" w:rsidP="00C31FAA">
            <w:pPr>
              <w:rPr>
                <w:sz w:val="22"/>
                <w:szCs w:val="22"/>
                <w:lang w:val="sr-Latn-ME"/>
              </w:rPr>
            </w:pPr>
          </w:p>
        </w:tc>
        <w:tc>
          <w:tcPr>
            <w:tcW w:w="3120" w:type="dxa"/>
          </w:tcPr>
          <w:p w14:paraId="6D63DEF4" w14:textId="77777777" w:rsidR="00B75503" w:rsidRPr="00616B65" w:rsidRDefault="00B75503" w:rsidP="00C31FAA">
            <w:pPr>
              <w:pStyle w:val="TableParagraph"/>
              <w:spacing w:line="229" w:lineRule="exact"/>
              <w:rPr>
                <w:lang w:val="sr-Latn-ME"/>
              </w:rPr>
            </w:pPr>
            <w:r w:rsidRPr="00616B65">
              <w:rPr>
                <w:lang w:val="sr-Latn-ME"/>
              </w:rPr>
              <w:t>eritem</w:t>
            </w:r>
          </w:p>
        </w:tc>
        <w:tc>
          <w:tcPr>
            <w:tcW w:w="2812" w:type="dxa"/>
          </w:tcPr>
          <w:p w14:paraId="2B6D2277" w14:textId="77777777" w:rsidR="00B75503" w:rsidRPr="00616B65" w:rsidRDefault="00B75503" w:rsidP="00C31FAA">
            <w:pPr>
              <w:pStyle w:val="TableParagraph"/>
              <w:spacing w:line="229" w:lineRule="exact"/>
              <w:rPr>
                <w:lang w:val="sr-Latn-ME"/>
              </w:rPr>
            </w:pPr>
            <w:r w:rsidRPr="00616B65">
              <w:rPr>
                <w:lang w:val="sr-Latn-ME"/>
              </w:rPr>
              <w:t>Često</w:t>
            </w:r>
          </w:p>
        </w:tc>
      </w:tr>
      <w:tr w:rsidR="00B75503" w:rsidRPr="00616B65" w14:paraId="7E881BC9" w14:textId="77777777" w:rsidTr="00B75503">
        <w:trPr>
          <w:trHeight w:val="253"/>
        </w:trPr>
        <w:tc>
          <w:tcPr>
            <w:tcW w:w="3248" w:type="dxa"/>
            <w:vMerge/>
            <w:tcBorders>
              <w:top w:val="nil"/>
            </w:tcBorders>
          </w:tcPr>
          <w:p w14:paraId="086C7215" w14:textId="77777777" w:rsidR="00B75503" w:rsidRPr="00616B65" w:rsidRDefault="00B75503" w:rsidP="00C31FAA">
            <w:pPr>
              <w:rPr>
                <w:sz w:val="22"/>
                <w:szCs w:val="22"/>
                <w:lang w:val="sr-Latn-ME"/>
              </w:rPr>
            </w:pPr>
          </w:p>
        </w:tc>
        <w:tc>
          <w:tcPr>
            <w:tcW w:w="3120" w:type="dxa"/>
          </w:tcPr>
          <w:p w14:paraId="4361408F" w14:textId="77777777" w:rsidR="00B75503" w:rsidRPr="00616B65" w:rsidRDefault="00B75503" w:rsidP="00C31FAA">
            <w:pPr>
              <w:pStyle w:val="TableParagraph"/>
              <w:rPr>
                <w:lang w:val="sr-Latn-ME"/>
              </w:rPr>
            </w:pPr>
            <w:r w:rsidRPr="00616B65">
              <w:rPr>
                <w:lang w:val="sr-Latn-ME"/>
              </w:rPr>
              <w:t>alopecija</w:t>
            </w:r>
          </w:p>
        </w:tc>
        <w:tc>
          <w:tcPr>
            <w:tcW w:w="2812" w:type="dxa"/>
          </w:tcPr>
          <w:p w14:paraId="04F678E2" w14:textId="77777777" w:rsidR="00B75503" w:rsidRPr="00616B65" w:rsidRDefault="00B75503" w:rsidP="00C31FAA">
            <w:pPr>
              <w:pStyle w:val="TableParagraph"/>
              <w:rPr>
                <w:lang w:val="sr-Latn-ME"/>
              </w:rPr>
            </w:pPr>
            <w:r w:rsidRPr="00616B65">
              <w:rPr>
                <w:lang w:val="sr-Latn-ME"/>
              </w:rPr>
              <w:t>Često</w:t>
            </w:r>
          </w:p>
        </w:tc>
      </w:tr>
      <w:tr w:rsidR="00B75503" w:rsidRPr="00616B65" w14:paraId="53A3ACA4" w14:textId="77777777" w:rsidTr="00B75503">
        <w:trPr>
          <w:trHeight w:val="508"/>
        </w:trPr>
        <w:tc>
          <w:tcPr>
            <w:tcW w:w="3248" w:type="dxa"/>
          </w:tcPr>
          <w:p w14:paraId="469EFC3C" w14:textId="77777777" w:rsidR="00B75503" w:rsidRPr="00616B65" w:rsidRDefault="00B75503" w:rsidP="00C31FAA">
            <w:pPr>
              <w:pStyle w:val="TableParagraph"/>
              <w:spacing w:line="238" w:lineRule="exact"/>
              <w:rPr>
                <w:lang w:val="sr-Latn-ME"/>
              </w:rPr>
            </w:pPr>
            <w:r w:rsidRPr="00616B65">
              <w:rPr>
                <w:lang w:val="sr-Latn-ME"/>
              </w:rPr>
              <w:t>Poremećaji</w:t>
            </w:r>
            <w:r w:rsidRPr="00616B65">
              <w:rPr>
                <w:spacing w:val="-5"/>
                <w:lang w:val="sr-Latn-ME"/>
              </w:rPr>
              <w:t xml:space="preserve"> </w:t>
            </w:r>
            <w:r w:rsidRPr="00616B65">
              <w:rPr>
                <w:lang w:val="sr-Latn-ME"/>
              </w:rPr>
              <w:t>bubrega</w:t>
            </w:r>
            <w:r w:rsidRPr="00616B65">
              <w:rPr>
                <w:spacing w:val="-4"/>
                <w:lang w:val="sr-Latn-ME"/>
              </w:rPr>
              <w:t xml:space="preserve"> </w:t>
            </w:r>
            <w:r w:rsidRPr="00616B65">
              <w:rPr>
                <w:lang w:val="sr-Latn-ME"/>
              </w:rPr>
              <w:t>i</w:t>
            </w:r>
            <w:r w:rsidRPr="00616B65">
              <w:rPr>
                <w:spacing w:val="-4"/>
                <w:lang w:val="sr-Latn-ME"/>
              </w:rPr>
              <w:t xml:space="preserve"> </w:t>
            </w:r>
            <w:r w:rsidRPr="00616B65">
              <w:rPr>
                <w:lang w:val="sr-Latn-ME"/>
              </w:rPr>
              <w:t>urinarnog</w:t>
            </w:r>
          </w:p>
          <w:p w14:paraId="5C3F5A58" w14:textId="77777777" w:rsidR="00B75503" w:rsidRPr="00616B65" w:rsidRDefault="00B75503" w:rsidP="00C31FAA">
            <w:pPr>
              <w:pStyle w:val="TableParagraph"/>
              <w:spacing w:before="1" w:line="249" w:lineRule="exact"/>
              <w:rPr>
                <w:lang w:val="sr-Latn-ME"/>
              </w:rPr>
            </w:pPr>
            <w:r w:rsidRPr="00616B65">
              <w:rPr>
                <w:lang w:val="sr-Latn-ME"/>
              </w:rPr>
              <w:t>sistema</w:t>
            </w:r>
          </w:p>
        </w:tc>
        <w:tc>
          <w:tcPr>
            <w:tcW w:w="3120" w:type="dxa"/>
          </w:tcPr>
          <w:p w14:paraId="0579C5ED" w14:textId="77777777" w:rsidR="00B75503" w:rsidRPr="00616B65" w:rsidRDefault="00B75503" w:rsidP="00C31FAA">
            <w:pPr>
              <w:pStyle w:val="TableParagraph"/>
              <w:spacing w:before="114" w:line="240" w:lineRule="auto"/>
              <w:rPr>
                <w:lang w:val="sr-Latn-ME"/>
              </w:rPr>
            </w:pPr>
            <w:r w:rsidRPr="00616B65">
              <w:rPr>
                <w:lang w:val="sr-Latn-ME"/>
              </w:rPr>
              <w:t>proteinurija</w:t>
            </w:r>
          </w:p>
        </w:tc>
        <w:tc>
          <w:tcPr>
            <w:tcW w:w="2812" w:type="dxa"/>
          </w:tcPr>
          <w:p w14:paraId="2BAAD46A" w14:textId="77777777" w:rsidR="00B75503" w:rsidRPr="00616B65" w:rsidRDefault="00B75503" w:rsidP="00C31FAA">
            <w:pPr>
              <w:pStyle w:val="TableParagraph"/>
              <w:spacing w:before="114" w:line="240" w:lineRule="auto"/>
              <w:rPr>
                <w:lang w:val="sr-Latn-ME"/>
              </w:rPr>
            </w:pPr>
            <w:r w:rsidRPr="00616B65">
              <w:rPr>
                <w:lang w:val="sr-Latn-ME"/>
              </w:rPr>
              <w:t>Često</w:t>
            </w:r>
          </w:p>
        </w:tc>
      </w:tr>
      <w:tr w:rsidR="00B75503" w:rsidRPr="00616B65" w14:paraId="01A5A702" w14:textId="77777777" w:rsidTr="00B75503">
        <w:trPr>
          <w:trHeight w:val="503"/>
        </w:trPr>
        <w:tc>
          <w:tcPr>
            <w:tcW w:w="3248" w:type="dxa"/>
          </w:tcPr>
          <w:p w14:paraId="4922EA04" w14:textId="77777777" w:rsidR="00B75503" w:rsidRPr="00616B65" w:rsidRDefault="00B75503" w:rsidP="00C31FAA">
            <w:pPr>
              <w:pStyle w:val="TableParagraph"/>
              <w:spacing w:line="236" w:lineRule="exact"/>
              <w:rPr>
                <w:lang w:val="sr-Latn-ME"/>
              </w:rPr>
            </w:pPr>
            <w:r w:rsidRPr="00616B65">
              <w:rPr>
                <w:lang w:val="sr-Latn-ME"/>
              </w:rPr>
              <w:t>Opšti</w:t>
            </w:r>
            <w:r w:rsidRPr="00616B65">
              <w:rPr>
                <w:spacing w:val="-4"/>
                <w:lang w:val="sr-Latn-ME"/>
              </w:rPr>
              <w:t xml:space="preserve"> </w:t>
            </w:r>
            <w:r w:rsidRPr="00616B65">
              <w:rPr>
                <w:lang w:val="sr-Latn-ME"/>
              </w:rPr>
              <w:t>poremećaji</w:t>
            </w:r>
            <w:r w:rsidRPr="00616B65">
              <w:rPr>
                <w:spacing w:val="-3"/>
                <w:lang w:val="sr-Latn-ME"/>
              </w:rPr>
              <w:t xml:space="preserve"> </w:t>
            </w:r>
            <w:r w:rsidRPr="00616B65">
              <w:rPr>
                <w:lang w:val="sr-Latn-ME"/>
              </w:rPr>
              <w:t>i</w:t>
            </w:r>
            <w:r w:rsidRPr="00616B65">
              <w:rPr>
                <w:spacing w:val="-4"/>
                <w:lang w:val="sr-Latn-ME"/>
              </w:rPr>
              <w:t xml:space="preserve"> </w:t>
            </w:r>
            <w:r w:rsidRPr="00616B65">
              <w:rPr>
                <w:lang w:val="sr-Latn-ME"/>
              </w:rPr>
              <w:t>reakcije</w:t>
            </w:r>
            <w:r w:rsidRPr="00616B65">
              <w:rPr>
                <w:spacing w:val="-3"/>
                <w:lang w:val="sr-Latn-ME"/>
              </w:rPr>
              <w:t xml:space="preserve"> </w:t>
            </w:r>
            <w:r w:rsidRPr="00616B65">
              <w:rPr>
                <w:lang w:val="sr-Latn-ME"/>
              </w:rPr>
              <w:t>na</w:t>
            </w:r>
          </w:p>
          <w:p w14:paraId="5B787E82" w14:textId="5F41DAC0" w:rsidR="00B75503" w:rsidRPr="00616B65" w:rsidRDefault="00B75503" w:rsidP="00C31FAA">
            <w:pPr>
              <w:pStyle w:val="TableParagraph"/>
              <w:spacing w:line="248" w:lineRule="exact"/>
              <w:rPr>
                <w:lang w:val="sr-Latn-ME"/>
              </w:rPr>
            </w:pPr>
            <w:r w:rsidRPr="00616B65">
              <w:rPr>
                <w:lang w:val="sr-Latn-ME"/>
              </w:rPr>
              <w:t>m</w:t>
            </w:r>
            <w:r w:rsidR="00960933" w:rsidRPr="00616B65">
              <w:rPr>
                <w:lang w:val="sr-Latn-ME"/>
              </w:rPr>
              <w:t>j</w:t>
            </w:r>
            <w:r w:rsidRPr="00616B65">
              <w:rPr>
                <w:lang w:val="sr-Latn-ME"/>
              </w:rPr>
              <w:t>estu</w:t>
            </w:r>
            <w:r w:rsidRPr="00616B65">
              <w:rPr>
                <w:spacing w:val="-5"/>
                <w:lang w:val="sr-Latn-ME"/>
              </w:rPr>
              <w:t xml:space="preserve"> </w:t>
            </w:r>
            <w:r w:rsidRPr="00616B65">
              <w:rPr>
                <w:lang w:val="sr-Latn-ME"/>
              </w:rPr>
              <w:t>prim</w:t>
            </w:r>
            <w:r w:rsidR="00960933" w:rsidRPr="00616B65">
              <w:rPr>
                <w:lang w:val="sr-Latn-ME"/>
              </w:rPr>
              <w:t>j</w:t>
            </w:r>
            <w:r w:rsidRPr="00616B65">
              <w:rPr>
                <w:lang w:val="sr-Latn-ME"/>
              </w:rPr>
              <w:t>ene</w:t>
            </w:r>
          </w:p>
        </w:tc>
        <w:tc>
          <w:tcPr>
            <w:tcW w:w="3120" w:type="dxa"/>
          </w:tcPr>
          <w:p w14:paraId="389A2003" w14:textId="3675983F" w:rsidR="00B75503" w:rsidRPr="00616B65" w:rsidRDefault="00B75503" w:rsidP="00C31FAA">
            <w:pPr>
              <w:pStyle w:val="TableParagraph"/>
              <w:spacing w:before="109" w:line="240" w:lineRule="auto"/>
              <w:rPr>
                <w:lang w:val="sr-Latn-ME"/>
              </w:rPr>
            </w:pPr>
            <w:r w:rsidRPr="00616B65">
              <w:rPr>
                <w:lang w:val="sr-Latn-ME"/>
              </w:rPr>
              <w:t>osjećaj</w:t>
            </w:r>
            <w:r w:rsidRPr="00616B65">
              <w:rPr>
                <w:spacing w:val="-2"/>
                <w:lang w:val="sr-Latn-ME"/>
              </w:rPr>
              <w:t xml:space="preserve"> </w:t>
            </w:r>
            <w:r w:rsidRPr="00616B65">
              <w:rPr>
                <w:lang w:val="sr-Latn-ME"/>
              </w:rPr>
              <w:t>vrućine</w:t>
            </w:r>
          </w:p>
        </w:tc>
        <w:tc>
          <w:tcPr>
            <w:tcW w:w="2812" w:type="dxa"/>
          </w:tcPr>
          <w:p w14:paraId="0BCAE451" w14:textId="77777777" w:rsidR="00B75503" w:rsidRPr="00616B65" w:rsidRDefault="00B75503" w:rsidP="00C31FAA">
            <w:pPr>
              <w:pStyle w:val="TableParagraph"/>
              <w:spacing w:before="109" w:line="240" w:lineRule="auto"/>
              <w:rPr>
                <w:lang w:val="sr-Latn-ME"/>
              </w:rPr>
            </w:pPr>
            <w:r w:rsidRPr="00616B65">
              <w:rPr>
                <w:lang w:val="sr-Latn-ME"/>
              </w:rPr>
              <w:t>Često</w:t>
            </w:r>
          </w:p>
        </w:tc>
      </w:tr>
      <w:tr w:rsidR="00B75503" w:rsidRPr="00616B65" w14:paraId="41C3D350" w14:textId="77777777" w:rsidTr="00B75503">
        <w:trPr>
          <w:trHeight w:val="254"/>
        </w:trPr>
        <w:tc>
          <w:tcPr>
            <w:tcW w:w="3248" w:type="dxa"/>
            <w:vMerge w:val="restart"/>
          </w:tcPr>
          <w:p w14:paraId="4B04B850" w14:textId="77777777" w:rsidR="00B75503" w:rsidRPr="00616B65" w:rsidRDefault="00B75503" w:rsidP="00C31FAA">
            <w:pPr>
              <w:pStyle w:val="TableParagraph"/>
              <w:spacing w:line="238" w:lineRule="exact"/>
              <w:rPr>
                <w:lang w:val="sr-Latn-ME"/>
              </w:rPr>
            </w:pPr>
            <w:r w:rsidRPr="00616B65">
              <w:rPr>
                <w:lang w:val="sr-Latn-ME"/>
              </w:rPr>
              <w:t>Ispitivanja</w:t>
            </w:r>
          </w:p>
        </w:tc>
        <w:tc>
          <w:tcPr>
            <w:tcW w:w="3120" w:type="dxa"/>
          </w:tcPr>
          <w:p w14:paraId="0F1FC4EF" w14:textId="585E7457" w:rsidR="00B75503" w:rsidRPr="00616B65" w:rsidRDefault="00B75503" w:rsidP="00C31FAA">
            <w:pPr>
              <w:pStyle w:val="TableParagraph"/>
              <w:rPr>
                <w:lang w:val="sr-Latn-ME"/>
              </w:rPr>
            </w:pPr>
            <w:r w:rsidRPr="00616B65">
              <w:rPr>
                <w:lang w:val="sr-Latn-ME"/>
              </w:rPr>
              <w:t>ketoni</w:t>
            </w:r>
            <w:r w:rsidRPr="00616B65">
              <w:rPr>
                <w:spacing w:val="-4"/>
                <w:lang w:val="sr-Latn-ME"/>
              </w:rPr>
              <w:t xml:space="preserve"> </w:t>
            </w:r>
            <w:r w:rsidRPr="00616B65">
              <w:rPr>
                <w:lang w:val="sr-Latn-ME"/>
              </w:rPr>
              <w:t>izmjereni</w:t>
            </w:r>
            <w:r w:rsidRPr="00616B65">
              <w:rPr>
                <w:spacing w:val="-3"/>
                <w:lang w:val="sr-Latn-ME"/>
              </w:rPr>
              <w:t xml:space="preserve"> </w:t>
            </w:r>
            <w:r w:rsidRPr="00616B65">
              <w:rPr>
                <w:lang w:val="sr-Latn-ME"/>
              </w:rPr>
              <w:t>u</w:t>
            </w:r>
            <w:r w:rsidRPr="00616B65">
              <w:rPr>
                <w:spacing w:val="-3"/>
                <w:lang w:val="sr-Latn-ME"/>
              </w:rPr>
              <w:t xml:space="preserve"> </w:t>
            </w:r>
            <w:r w:rsidRPr="00616B65">
              <w:rPr>
                <w:lang w:val="sr-Latn-ME"/>
              </w:rPr>
              <w:t>urinu</w:t>
            </w:r>
          </w:p>
        </w:tc>
        <w:tc>
          <w:tcPr>
            <w:tcW w:w="2812" w:type="dxa"/>
          </w:tcPr>
          <w:p w14:paraId="50D2CB08" w14:textId="77777777" w:rsidR="00B75503" w:rsidRPr="00616B65" w:rsidRDefault="00B75503" w:rsidP="00C31FAA">
            <w:pPr>
              <w:pStyle w:val="TableParagraph"/>
              <w:rPr>
                <w:lang w:val="sr-Latn-ME"/>
              </w:rPr>
            </w:pPr>
            <w:r w:rsidRPr="00616B65">
              <w:rPr>
                <w:lang w:val="sr-Latn-ME"/>
              </w:rPr>
              <w:t>Veoma</w:t>
            </w:r>
            <w:r w:rsidRPr="00616B65">
              <w:rPr>
                <w:spacing w:val="-4"/>
                <w:lang w:val="sr-Latn-ME"/>
              </w:rPr>
              <w:t xml:space="preserve"> </w:t>
            </w:r>
            <w:r w:rsidRPr="00616B65">
              <w:rPr>
                <w:lang w:val="sr-Latn-ME"/>
              </w:rPr>
              <w:t>često</w:t>
            </w:r>
          </w:p>
        </w:tc>
      </w:tr>
      <w:tr w:rsidR="00B75503" w:rsidRPr="00616B65" w14:paraId="74FC76E6" w14:textId="77777777" w:rsidTr="00B75503">
        <w:trPr>
          <w:trHeight w:val="253"/>
        </w:trPr>
        <w:tc>
          <w:tcPr>
            <w:tcW w:w="3248" w:type="dxa"/>
            <w:vMerge/>
            <w:tcBorders>
              <w:top w:val="nil"/>
            </w:tcBorders>
          </w:tcPr>
          <w:p w14:paraId="108E8300" w14:textId="77777777" w:rsidR="00B75503" w:rsidRPr="00616B65" w:rsidRDefault="00B75503" w:rsidP="00C31FAA">
            <w:pPr>
              <w:rPr>
                <w:sz w:val="22"/>
                <w:szCs w:val="22"/>
                <w:lang w:val="sr-Latn-ME"/>
              </w:rPr>
            </w:pPr>
          </w:p>
        </w:tc>
        <w:tc>
          <w:tcPr>
            <w:tcW w:w="3120" w:type="dxa"/>
          </w:tcPr>
          <w:p w14:paraId="46444FCC" w14:textId="77777777" w:rsidR="00B75503" w:rsidRPr="00616B65" w:rsidRDefault="00B75503" w:rsidP="00C31FAA">
            <w:pPr>
              <w:pStyle w:val="TableParagraph"/>
              <w:rPr>
                <w:lang w:val="sr-Latn-ME"/>
              </w:rPr>
            </w:pPr>
            <w:r w:rsidRPr="00616B65">
              <w:rPr>
                <w:lang w:val="sr-Latn-ME"/>
              </w:rPr>
              <w:t>prisustvo</w:t>
            </w:r>
            <w:r w:rsidRPr="00616B65">
              <w:rPr>
                <w:spacing w:val="-4"/>
                <w:lang w:val="sr-Latn-ME"/>
              </w:rPr>
              <w:t xml:space="preserve"> </w:t>
            </w:r>
            <w:r w:rsidRPr="00616B65">
              <w:rPr>
                <w:lang w:val="sr-Latn-ME"/>
              </w:rPr>
              <w:t>albumina</w:t>
            </w:r>
            <w:r w:rsidRPr="00616B65">
              <w:rPr>
                <w:spacing w:val="-4"/>
                <w:lang w:val="sr-Latn-ME"/>
              </w:rPr>
              <w:t xml:space="preserve"> </w:t>
            </w:r>
            <w:r w:rsidRPr="00616B65">
              <w:rPr>
                <w:lang w:val="sr-Latn-ME"/>
              </w:rPr>
              <w:t>u</w:t>
            </w:r>
            <w:r w:rsidRPr="00616B65">
              <w:rPr>
                <w:spacing w:val="-4"/>
                <w:lang w:val="sr-Latn-ME"/>
              </w:rPr>
              <w:t xml:space="preserve"> </w:t>
            </w:r>
            <w:r w:rsidRPr="00616B65">
              <w:rPr>
                <w:lang w:val="sr-Latn-ME"/>
              </w:rPr>
              <w:t>urinu</w:t>
            </w:r>
          </w:p>
        </w:tc>
        <w:tc>
          <w:tcPr>
            <w:tcW w:w="2812" w:type="dxa"/>
          </w:tcPr>
          <w:p w14:paraId="45B612CF" w14:textId="77777777" w:rsidR="00B75503" w:rsidRPr="00616B65" w:rsidRDefault="00B75503" w:rsidP="00C31FAA">
            <w:pPr>
              <w:pStyle w:val="TableParagraph"/>
              <w:rPr>
                <w:lang w:val="sr-Latn-ME"/>
              </w:rPr>
            </w:pPr>
            <w:r w:rsidRPr="00616B65">
              <w:rPr>
                <w:lang w:val="sr-Latn-ME"/>
              </w:rPr>
              <w:t>Često</w:t>
            </w:r>
          </w:p>
        </w:tc>
      </w:tr>
      <w:tr w:rsidR="00B75503" w:rsidRPr="00616B65" w14:paraId="7F6B2303" w14:textId="77777777" w:rsidTr="00B75503">
        <w:trPr>
          <w:trHeight w:val="254"/>
        </w:trPr>
        <w:tc>
          <w:tcPr>
            <w:tcW w:w="3248" w:type="dxa"/>
            <w:vMerge/>
            <w:tcBorders>
              <w:top w:val="nil"/>
            </w:tcBorders>
          </w:tcPr>
          <w:p w14:paraId="146A3E62" w14:textId="77777777" w:rsidR="00B75503" w:rsidRPr="00616B65" w:rsidRDefault="00B75503" w:rsidP="00C31FAA">
            <w:pPr>
              <w:rPr>
                <w:sz w:val="22"/>
                <w:szCs w:val="22"/>
                <w:lang w:val="sr-Latn-ME"/>
              </w:rPr>
            </w:pPr>
          </w:p>
        </w:tc>
        <w:tc>
          <w:tcPr>
            <w:tcW w:w="3120" w:type="dxa"/>
          </w:tcPr>
          <w:p w14:paraId="4AE7ED93" w14:textId="748317E7" w:rsidR="00B75503" w:rsidRPr="00616B65" w:rsidRDefault="00B75503" w:rsidP="00C31FAA">
            <w:pPr>
              <w:pStyle w:val="TableParagraph"/>
              <w:rPr>
                <w:lang w:val="sr-Latn-ME"/>
              </w:rPr>
            </w:pPr>
            <w:r w:rsidRPr="00616B65">
              <w:rPr>
                <w:lang w:val="sr-Latn-ME"/>
              </w:rPr>
              <w:t>smanjen</w:t>
            </w:r>
            <w:r w:rsidRPr="00616B65">
              <w:rPr>
                <w:spacing w:val="-5"/>
                <w:lang w:val="sr-Latn-ME"/>
              </w:rPr>
              <w:t xml:space="preserve"> </w:t>
            </w:r>
            <w:r w:rsidRPr="00616B65">
              <w:rPr>
                <w:lang w:val="sr-Latn-ME"/>
              </w:rPr>
              <w:t>broj</w:t>
            </w:r>
            <w:r w:rsidRPr="00616B65">
              <w:rPr>
                <w:spacing w:val="-5"/>
                <w:lang w:val="sr-Latn-ME"/>
              </w:rPr>
              <w:t xml:space="preserve"> </w:t>
            </w:r>
            <w:r w:rsidRPr="00616B65">
              <w:rPr>
                <w:lang w:val="sr-Latn-ME"/>
              </w:rPr>
              <w:t>bijelih</w:t>
            </w:r>
            <w:r w:rsidRPr="00616B65">
              <w:rPr>
                <w:spacing w:val="-5"/>
                <w:lang w:val="sr-Latn-ME"/>
              </w:rPr>
              <w:t xml:space="preserve"> </w:t>
            </w:r>
            <w:r w:rsidRPr="00616B65">
              <w:rPr>
                <w:lang w:val="sr-Latn-ME"/>
              </w:rPr>
              <w:t>krvnih</w:t>
            </w:r>
            <w:r w:rsidRPr="00616B65">
              <w:rPr>
                <w:spacing w:val="-1"/>
                <w:lang w:val="sr-Latn-ME"/>
              </w:rPr>
              <w:t xml:space="preserve"> </w:t>
            </w:r>
            <w:r w:rsidRPr="00616B65">
              <w:rPr>
                <w:lang w:val="sr-Latn-ME"/>
              </w:rPr>
              <w:t>ćelija</w:t>
            </w:r>
          </w:p>
        </w:tc>
        <w:tc>
          <w:tcPr>
            <w:tcW w:w="2812" w:type="dxa"/>
          </w:tcPr>
          <w:p w14:paraId="3E91EE2E" w14:textId="77777777" w:rsidR="00B75503" w:rsidRPr="00616B65" w:rsidRDefault="00B75503" w:rsidP="00C31FAA">
            <w:pPr>
              <w:pStyle w:val="TableParagraph"/>
              <w:rPr>
                <w:lang w:val="sr-Latn-ME"/>
              </w:rPr>
            </w:pPr>
            <w:r w:rsidRPr="00616B65">
              <w:rPr>
                <w:lang w:val="sr-Latn-ME"/>
              </w:rPr>
              <w:t>Često</w:t>
            </w:r>
          </w:p>
        </w:tc>
      </w:tr>
    </w:tbl>
    <w:p w14:paraId="6FBEA160" w14:textId="77777777" w:rsidR="00B75503" w:rsidRPr="00616B65" w:rsidRDefault="00B75503" w:rsidP="00B75503">
      <w:pPr>
        <w:tabs>
          <w:tab w:val="left" w:pos="540"/>
          <w:tab w:val="left" w:pos="569"/>
        </w:tabs>
        <w:jc w:val="both"/>
        <w:rPr>
          <w:sz w:val="22"/>
          <w:szCs w:val="22"/>
          <w:lang w:val="sr-Latn-ME"/>
        </w:rPr>
      </w:pPr>
    </w:p>
    <w:p w14:paraId="7F41CA0B" w14:textId="77777777" w:rsidR="00B75503" w:rsidRPr="00616B65" w:rsidRDefault="00B75503" w:rsidP="00C31FAA">
      <w:pPr>
        <w:tabs>
          <w:tab w:val="left" w:pos="540"/>
          <w:tab w:val="left" w:pos="569"/>
        </w:tabs>
        <w:jc w:val="both"/>
        <w:rPr>
          <w:sz w:val="22"/>
          <w:szCs w:val="22"/>
          <w:u w:val="single"/>
          <w:lang w:val="sr-Latn-ME"/>
        </w:rPr>
      </w:pPr>
      <w:r w:rsidRPr="00616B65">
        <w:rPr>
          <w:sz w:val="22"/>
          <w:szCs w:val="22"/>
          <w:u w:val="single"/>
          <w:lang w:val="sr-Latn-ME"/>
        </w:rPr>
        <w:t>Opis odabranih neželjenih reakcija</w:t>
      </w:r>
    </w:p>
    <w:p w14:paraId="19F11709" w14:textId="77777777" w:rsidR="00B75503" w:rsidRPr="00616B65" w:rsidRDefault="00B75503" w:rsidP="0023493E">
      <w:pPr>
        <w:tabs>
          <w:tab w:val="left" w:pos="540"/>
          <w:tab w:val="left" w:pos="569"/>
        </w:tabs>
        <w:jc w:val="both"/>
        <w:rPr>
          <w:sz w:val="22"/>
          <w:szCs w:val="22"/>
          <w:lang w:val="sr-Latn-ME"/>
        </w:rPr>
      </w:pPr>
    </w:p>
    <w:p w14:paraId="0EA76A24" w14:textId="72408B59" w:rsidR="00B75503" w:rsidRPr="00616B65" w:rsidRDefault="00B75503">
      <w:pPr>
        <w:tabs>
          <w:tab w:val="left" w:pos="540"/>
          <w:tab w:val="left" w:pos="569"/>
        </w:tabs>
        <w:jc w:val="both"/>
        <w:rPr>
          <w:sz w:val="22"/>
          <w:szCs w:val="22"/>
          <w:lang w:val="sr-Latn-ME"/>
        </w:rPr>
      </w:pPr>
      <w:r w:rsidRPr="00616B65">
        <w:rPr>
          <w:i/>
          <w:iCs/>
          <w:sz w:val="22"/>
          <w:szCs w:val="22"/>
          <w:lang w:val="sr-Latn-ME"/>
        </w:rPr>
        <w:t>Naleti crvenila praćeni osjećajem vrućine</w:t>
      </w:r>
    </w:p>
    <w:p w14:paraId="479FAEA2" w14:textId="312EC25B" w:rsidR="00B75503" w:rsidRPr="00616B65" w:rsidRDefault="00B75503">
      <w:pPr>
        <w:tabs>
          <w:tab w:val="left" w:pos="540"/>
          <w:tab w:val="left" w:pos="569"/>
        </w:tabs>
        <w:jc w:val="both"/>
        <w:rPr>
          <w:sz w:val="22"/>
          <w:szCs w:val="22"/>
          <w:lang w:val="sr-Latn-ME"/>
        </w:rPr>
      </w:pPr>
      <w:r w:rsidRPr="00616B65">
        <w:rPr>
          <w:sz w:val="22"/>
          <w:szCs w:val="22"/>
          <w:lang w:val="sr-Latn-ME"/>
        </w:rPr>
        <w:t xml:space="preserve">U placebo kontrolisanim ispitivanjima, učestalost naleta crvenila praćenih osjećajem vrućine (34% u odnosu na 4%) odnosno naleta vrućine (7% u odnosu na 2%) bila je povećana kod pacijenata na terapiji lijekom Dimetex u poređenju sa placebom. Naleti crvenila praćeni osjećajem vrućine su obično opisani kao crvenilo uz osjećaj vrućine ili nalet vrućine, ali može uključiti i druge promjene (npr. toplinu, crvenilo, svrab i osjećaj žarenja). Pojave naleta crvenila praćenih osjećajem vrućine uglavnom se javljaju rano u toku terapije (prvenstveno tokom prvog </w:t>
      </w:r>
      <w:r w:rsidR="00C44275" w:rsidRPr="00616B65">
        <w:rPr>
          <w:sz w:val="22"/>
          <w:szCs w:val="22"/>
          <w:lang w:val="sr-Latn-ME"/>
        </w:rPr>
        <w:t>mjesec</w:t>
      </w:r>
      <w:r w:rsidRPr="00616B65">
        <w:rPr>
          <w:sz w:val="22"/>
          <w:szCs w:val="22"/>
          <w:lang w:val="sr-Latn-ME"/>
        </w:rPr>
        <w:t>a) i kod pacijenata kod kojih se javljaju mogu se ponavljati sa prekidima tokom čitavog perioda terapije lijekom Dimetex. Kod većine ovih pacijenata, pojave naleta crvenila praćenih osjećajem vrućine su bile blage ili um</w:t>
      </w:r>
      <w:r w:rsidR="00C35917" w:rsidRPr="00616B65">
        <w:rPr>
          <w:sz w:val="22"/>
          <w:szCs w:val="22"/>
          <w:lang w:val="sr-Latn-ME"/>
        </w:rPr>
        <w:t>j</w:t>
      </w:r>
      <w:r w:rsidRPr="00616B65">
        <w:rPr>
          <w:sz w:val="22"/>
          <w:szCs w:val="22"/>
          <w:lang w:val="sr-Latn-ME"/>
        </w:rPr>
        <w:t>erene. Ukupno 3% pacijenata koji su bili na terapiji lijekom Dimetex je prekinulo terapiju zbog naleta crvenila praćenih osjećajem vrućine. Učestalost ozbiljnog naleta crvenila praćenog osjećajem vrućine, koje se može okarakterisati kao generalizovani eritem, osip i/ili pruritus, primijećena je kod manje od 1% pacijenata na terapiji lijekom Dimetex (</w:t>
      </w:r>
      <w:r w:rsidR="00C35917" w:rsidRPr="00616B65">
        <w:rPr>
          <w:sz w:val="22"/>
          <w:szCs w:val="22"/>
          <w:lang w:val="sr-Latn-ME"/>
        </w:rPr>
        <w:t>vidjet</w:t>
      </w:r>
      <w:r w:rsidR="00231CB4" w:rsidRPr="00616B65">
        <w:rPr>
          <w:sz w:val="22"/>
          <w:szCs w:val="22"/>
          <w:lang w:val="sr-Latn-ME"/>
        </w:rPr>
        <w:t>i</w:t>
      </w:r>
      <w:r w:rsidR="00C35917" w:rsidRPr="00616B65">
        <w:rPr>
          <w:sz w:val="22"/>
          <w:szCs w:val="22"/>
          <w:lang w:val="sr-Latn-ME"/>
        </w:rPr>
        <w:t xml:space="preserve"> </w:t>
      </w:r>
      <w:r w:rsidRPr="00616B65">
        <w:rPr>
          <w:sz w:val="22"/>
          <w:szCs w:val="22"/>
          <w:lang w:val="sr-Latn-ME"/>
        </w:rPr>
        <w:t>djelove 4.2, 4.4 i 4.5).</w:t>
      </w:r>
    </w:p>
    <w:p w14:paraId="53FB6899" w14:textId="77777777" w:rsidR="00B75503" w:rsidRPr="00616B65" w:rsidRDefault="00B75503">
      <w:pPr>
        <w:tabs>
          <w:tab w:val="left" w:pos="540"/>
          <w:tab w:val="left" w:pos="569"/>
        </w:tabs>
        <w:jc w:val="both"/>
        <w:rPr>
          <w:sz w:val="22"/>
          <w:szCs w:val="22"/>
          <w:lang w:val="sr-Latn-ME"/>
        </w:rPr>
      </w:pPr>
    </w:p>
    <w:p w14:paraId="6BF826B6" w14:textId="69E2DB9F" w:rsidR="00B75503" w:rsidRPr="00616B65" w:rsidRDefault="00B75503">
      <w:pPr>
        <w:tabs>
          <w:tab w:val="left" w:pos="540"/>
          <w:tab w:val="left" w:pos="569"/>
        </w:tabs>
        <w:jc w:val="both"/>
        <w:rPr>
          <w:sz w:val="22"/>
          <w:szCs w:val="22"/>
          <w:lang w:val="sr-Latn-ME"/>
        </w:rPr>
      </w:pPr>
      <w:r w:rsidRPr="00616B65">
        <w:rPr>
          <w:i/>
          <w:iCs/>
          <w:sz w:val="22"/>
          <w:szCs w:val="22"/>
          <w:lang w:val="sr-Latn-ME"/>
        </w:rPr>
        <w:t>Gastrointestinalne tegobe</w:t>
      </w:r>
    </w:p>
    <w:p w14:paraId="29F21585" w14:textId="3F10564D" w:rsidR="00B75503" w:rsidRPr="00616B65" w:rsidRDefault="00B75503">
      <w:pPr>
        <w:tabs>
          <w:tab w:val="left" w:pos="540"/>
          <w:tab w:val="left" w:pos="569"/>
        </w:tabs>
        <w:jc w:val="both"/>
        <w:rPr>
          <w:sz w:val="22"/>
          <w:szCs w:val="22"/>
          <w:lang w:val="sr-Latn-ME"/>
        </w:rPr>
      </w:pPr>
      <w:r w:rsidRPr="00616B65">
        <w:rPr>
          <w:sz w:val="22"/>
          <w:szCs w:val="22"/>
          <w:lang w:val="sr-Latn-ME"/>
        </w:rPr>
        <w:t>Učestalost gastrointestinalnih tegoba (npr. proliv [14% u odnosu na 10%], mučnina [12% u odnosu na 9%], bol u gornjem d</w:t>
      </w:r>
      <w:r w:rsidR="00C35917" w:rsidRPr="00616B65">
        <w:rPr>
          <w:sz w:val="22"/>
          <w:szCs w:val="22"/>
          <w:lang w:val="sr-Latn-ME"/>
        </w:rPr>
        <w:t>ij</w:t>
      </w:r>
      <w:r w:rsidRPr="00616B65">
        <w:rPr>
          <w:sz w:val="22"/>
          <w:szCs w:val="22"/>
          <w:lang w:val="sr-Latn-ME"/>
        </w:rPr>
        <w:t xml:space="preserve">elu stomaka [10% u odnosu na 6%], bol u stomaku [9% u odnosu na 4%], povraćanje [8% u odnosu na 5%] i dispepsija [5% u odnosu na 3%]) bila je povećana kod pacijenata koji su bili na terapiji lijekom Dimetex u odnosu na placebo. Gastrointestinalne tegobe uglavnom se javljaju rano u toku terapije (prvenstveno tokom prvog </w:t>
      </w:r>
      <w:r w:rsidR="00C44275" w:rsidRPr="00616B65">
        <w:rPr>
          <w:sz w:val="22"/>
          <w:szCs w:val="22"/>
          <w:lang w:val="sr-Latn-ME"/>
        </w:rPr>
        <w:t>mjesec</w:t>
      </w:r>
      <w:r w:rsidRPr="00616B65">
        <w:rPr>
          <w:sz w:val="22"/>
          <w:szCs w:val="22"/>
          <w:lang w:val="sr-Latn-ME"/>
        </w:rPr>
        <w:t xml:space="preserve">a) i kod pacijenata kod kojih se javljaju mogu se ponavljati sa prekidima i tokom čitavog perioda terapije </w:t>
      </w:r>
      <w:r w:rsidR="002635CF" w:rsidRPr="00616B65">
        <w:rPr>
          <w:sz w:val="22"/>
          <w:szCs w:val="22"/>
          <w:lang w:val="sr-Latn-ME"/>
        </w:rPr>
        <w:t>dimetil fumarat</w:t>
      </w:r>
      <w:r w:rsidRPr="00616B65">
        <w:rPr>
          <w:sz w:val="22"/>
          <w:szCs w:val="22"/>
          <w:lang w:val="sr-Latn-ME"/>
        </w:rPr>
        <w:t>om. Kod većine pacijenata kod kojih su se javile gastrointestinalne tegobe, one su bile blage ili um</w:t>
      </w:r>
      <w:r w:rsidR="00C35917" w:rsidRPr="00616B65">
        <w:rPr>
          <w:sz w:val="22"/>
          <w:szCs w:val="22"/>
          <w:lang w:val="sr-Latn-ME"/>
        </w:rPr>
        <w:t>j</w:t>
      </w:r>
      <w:r w:rsidRPr="00616B65">
        <w:rPr>
          <w:sz w:val="22"/>
          <w:szCs w:val="22"/>
          <w:lang w:val="sr-Latn-ME"/>
        </w:rPr>
        <w:t>erene. Četiri procenta (4%) pacijenata koji su bili na terapiji lijekom Dimetex prekinulo je terapiju zbog gastrointestinalnih tegoba. Učestalost ozbiljnih gastrointestinalnih tegoba, uključujući gastroenteritis i gastritis, primijećena je kod 1% pacijenata na terapiji lijekom Dimetex (</w:t>
      </w:r>
      <w:r w:rsidR="00C35917" w:rsidRPr="00616B65">
        <w:rPr>
          <w:sz w:val="22"/>
          <w:szCs w:val="22"/>
          <w:lang w:val="sr-Latn-ME"/>
        </w:rPr>
        <w:t xml:space="preserve">vidjeti </w:t>
      </w:r>
      <w:r w:rsidRPr="00616B65">
        <w:rPr>
          <w:sz w:val="22"/>
          <w:szCs w:val="22"/>
          <w:lang w:val="sr-Latn-ME"/>
        </w:rPr>
        <w:t>dio 4.2).</w:t>
      </w:r>
    </w:p>
    <w:p w14:paraId="47305D77" w14:textId="77777777" w:rsidR="00B75503" w:rsidRPr="00616B65" w:rsidRDefault="00B75503">
      <w:pPr>
        <w:tabs>
          <w:tab w:val="left" w:pos="540"/>
          <w:tab w:val="left" w:pos="569"/>
        </w:tabs>
        <w:jc w:val="both"/>
        <w:rPr>
          <w:sz w:val="22"/>
          <w:szCs w:val="22"/>
          <w:lang w:val="sr-Latn-ME"/>
        </w:rPr>
      </w:pPr>
    </w:p>
    <w:p w14:paraId="02691E57" w14:textId="70CBA541" w:rsidR="00B75503" w:rsidRPr="00616B65" w:rsidRDefault="00B75503">
      <w:pPr>
        <w:tabs>
          <w:tab w:val="left" w:pos="540"/>
          <w:tab w:val="left" w:pos="569"/>
        </w:tabs>
        <w:jc w:val="both"/>
        <w:rPr>
          <w:sz w:val="22"/>
          <w:szCs w:val="22"/>
          <w:lang w:val="sr-Latn-ME"/>
        </w:rPr>
      </w:pPr>
      <w:r w:rsidRPr="00616B65">
        <w:rPr>
          <w:i/>
          <w:iCs/>
          <w:sz w:val="22"/>
          <w:szCs w:val="22"/>
          <w:lang w:val="sr-Latn-ME"/>
        </w:rPr>
        <w:t>Funkcija jetre</w:t>
      </w:r>
    </w:p>
    <w:p w14:paraId="554600A2" w14:textId="4F8FB449" w:rsidR="00B75503" w:rsidRPr="00616B65" w:rsidRDefault="00B75503">
      <w:pPr>
        <w:tabs>
          <w:tab w:val="left" w:pos="540"/>
          <w:tab w:val="left" w:pos="569"/>
        </w:tabs>
        <w:jc w:val="both"/>
        <w:rPr>
          <w:sz w:val="22"/>
          <w:szCs w:val="22"/>
          <w:lang w:val="sr-Latn-ME"/>
        </w:rPr>
      </w:pPr>
      <w:r w:rsidRPr="00616B65">
        <w:rPr>
          <w:sz w:val="22"/>
          <w:szCs w:val="22"/>
          <w:lang w:val="sr-Latn-ME"/>
        </w:rPr>
        <w:t>Na osnovu podataka iz placebo kontrolisanih ispitivanja, većina pacijenata sa povećanim vrijednostima transaminazama jetre imala je vrijednosti transaminaza jetre 3 puta manje od gornje granice normale (GGN). Povećana učestalost povećanja vrijednosti transaminaza jetre kod pacijenata koji su bili na terapiji lijekom Dimetex u odnosu na placebo primijećena je uglavnom tokom prvih 6 mjeseci terapije. Povećanje vrijednosti alanin aminotransferaze i aspartat aminotransferaze ≥ 3 puta od GGN, primijećeno je kod 5% odnosno 2% pacijenata koji su primali placebo i kod 6% i 2% pacijenata na terapiji lijekom Dimetex. Prekid terapije zbog povećanih vrijednosti transaminaza jetre bio je &lt; 1% i sličan kod pacijenata na terapiji lijekom Dimetex ili placebom. U placebo kontrolisanim ispitivanjima ni</w:t>
      </w:r>
      <w:r w:rsidR="00C35917" w:rsidRPr="00616B65">
        <w:rPr>
          <w:sz w:val="22"/>
          <w:szCs w:val="22"/>
          <w:lang w:val="sr-Latn-ME"/>
        </w:rPr>
        <w:t>je</w:t>
      </w:r>
      <w:r w:rsidRPr="00616B65">
        <w:rPr>
          <w:sz w:val="22"/>
          <w:szCs w:val="22"/>
          <w:lang w:val="sr-Latn-ME"/>
        </w:rPr>
        <w:t>su primijećena povećanja vrijednosti transaminaza ≥ 3 puta GGN sa istovremeno povećanim vrijednostima ukupnog bilirubina &gt; 2 puta GGN.</w:t>
      </w:r>
    </w:p>
    <w:p w14:paraId="79932D5A" w14:textId="77777777" w:rsidR="00B75503" w:rsidRPr="00616B65" w:rsidRDefault="00B75503">
      <w:pPr>
        <w:tabs>
          <w:tab w:val="left" w:pos="540"/>
          <w:tab w:val="left" w:pos="569"/>
        </w:tabs>
        <w:jc w:val="both"/>
        <w:rPr>
          <w:sz w:val="22"/>
          <w:szCs w:val="22"/>
          <w:lang w:val="sr-Latn-ME"/>
        </w:rPr>
      </w:pPr>
    </w:p>
    <w:p w14:paraId="1E3FC21E" w14:textId="44B01BD6" w:rsidR="00B75503" w:rsidRPr="00616B65" w:rsidRDefault="00B75503">
      <w:pPr>
        <w:tabs>
          <w:tab w:val="left" w:pos="540"/>
          <w:tab w:val="left" w:pos="569"/>
        </w:tabs>
        <w:jc w:val="both"/>
        <w:rPr>
          <w:sz w:val="22"/>
          <w:szCs w:val="22"/>
          <w:lang w:val="sr-Latn-ME"/>
        </w:rPr>
      </w:pPr>
      <w:r w:rsidRPr="00616B65">
        <w:rPr>
          <w:sz w:val="22"/>
          <w:szCs w:val="22"/>
          <w:lang w:val="sr-Latn-ME"/>
        </w:rPr>
        <w:t>Povećanje vrijednosti enzima jetre i slučajevi oštećenja jetre usl</w:t>
      </w:r>
      <w:r w:rsidR="00C35917" w:rsidRPr="00616B65">
        <w:rPr>
          <w:sz w:val="22"/>
          <w:szCs w:val="22"/>
          <w:lang w:val="sr-Latn-ME"/>
        </w:rPr>
        <w:t>j</w:t>
      </w:r>
      <w:r w:rsidRPr="00616B65">
        <w:rPr>
          <w:sz w:val="22"/>
          <w:szCs w:val="22"/>
          <w:lang w:val="sr-Latn-ME"/>
        </w:rPr>
        <w:t>ed prim</w:t>
      </w:r>
      <w:r w:rsidR="00C35917" w:rsidRPr="00616B65">
        <w:rPr>
          <w:sz w:val="22"/>
          <w:szCs w:val="22"/>
          <w:lang w:val="sr-Latn-ME"/>
        </w:rPr>
        <w:t>j</w:t>
      </w:r>
      <w:r w:rsidRPr="00616B65">
        <w:rPr>
          <w:sz w:val="22"/>
          <w:szCs w:val="22"/>
          <w:lang w:val="sr-Latn-ME"/>
        </w:rPr>
        <w:t>ene lijeka (povećanja vrijednosti transaminaza ≥ 3 puta GGN uz istovremena povećanja vrijednosti ukupnog bilirubina &gt; 2 puta GGN) prijavljeni su u postmarketinškom praćenju prim</w:t>
      </w:r>
      <w:r w:rsidR="00C35917" w:rsidRPr="00616B65">
        <w:rPr>
          <w:sz w:val="22"/>
          <w:szCs w:val="22"/>
          <w:lang w:val="sr-Latn-ME"/>
        </w:rPr>
        <w:t>j</w:t>
      </w:r>
      <w:r w:rsidRPr="00616B65">
        <w:rPr>
          <w:sz w:val="22"/>
          <w:szCs w:val="22"/>
          <w:lang w:val="sr-Latn-ME"/>
        </w:rPr>
        <w:t>ene lijeka Dimetex nakon stavljanja lijeka u promet, a nestali su sa prestankom terapije.</w:t>
      </w:r>
    </w:p>
    <w:p w14:paraId="0F06CC72" w14:textId="77777777" w:rsidR="00B75503" w:rsidRPr="00616B65" w:rsidRDefault="00B75503">
      <w:pPr>
        <w:tabs>
          <w:tab w:val="left" w:pos="540"/>
          <w:tab w:val="left" w:pos="569"/>
        </w:tabs>
        <w:jc w:val="both"/>
        <w:rPr>
          <w:sz w:val="22"/>
          <w:szCs w:val="22"/>
          <w:lang w:val="sr-Latn-ME"/>
        </w:rPr>
      </w:pPr>
    </w:p>
    <w:p w14:paraId="68ADCD73" w14:textId="57043028" w:rsidR="00B75503" w:rsidRPr="00616B65" w:rsidRDefault="00B75503">
      <w:pPr>
        <w:tabs>
          <w:tab w:val="left" w:pos="540"/>
          <w:tab w:val="left" w:pos="569"/>
        </w:tabs>
        <w:jc w:val="both"/>
        <w:rPr>
          <w:sz w:val="22"/>
          <w:szCs w:val="22"/>
          <w:lang w:val="sr-Latn-ME"/>
        </w:rPr>
      </w:pPr>
      <w:r w:rsidRPr="00616B65">
        <w:rPr>
          <w:i/>
          <w:iCs/>
          <w:sz w:val="22"/>
          <w:szCs w:val="22"/>
          <w:lang w:val="sr-Latn-ME"/>
        </w:rPr>
        <w:t>Limfopenija</w:t>
      </w:r>
    </w:p>
    <w:p w14:paraId="6EAFB042" w14:textId="7794CC7B" w:rsidR="00B75503" w:rsidRPr="00616B65" w:rsidRDefault="00B75503">
      <w:pPr>
        <w:tabs>
          <w:tab w:val="left" w:pos="540"/>
          <w:tab w:val="left" w:pos="569"/>
        </w:tabs>
        <w:jc w:val="both"/>
        <w:rPr>
          <w:sz w:val="22"/>
          <w:szCs w:val="22"/>
          <w:lang w:val="sr-Latn-ME"/>
        </w:rPr>
      </w:pPr>
      <w:r w:rsidRPr="00616B65">
        <w:rPr>
          <w:sz w:val="22"/>
          <w:szCs w:val="22"/>
          <w:lang w:val="sr-Latn-ME"/>
        </w:rPr>
        <w:t>Većina pacijenata (&gt; 98%) u placebo kontrolisanim ispitivanjima je imala normalne vrijednosti broja limfocita pr</w:t>
      </w:r>
      <w:r w:rsidR="00C35917" w:rsidRPr="00616B65">
        <w:rPr>
          <w:sz w:val="22"/>
          <w:szCs w:val="22"/>
          <w:lang w:val="sr-Latn-ME"/>
        </w:rPr>
        <w:t>ij</w:t>
      </w:r>
      <w:r w:rsidRPr="00616B65">
        <w:rPr>
          <w:sz w:val="22"/>
          <w:szCs w:val="22"/>
          <w:lang w:val="sr-Latn-ME"/>
        </w:rPr>
        <w:t>e započinjanja terapije. Nakon terapije lijekom Dimetex, srednja vrijednost broja limfocita smanjivala se tokom prve godine, nakon čega je usl</w:t>
      </w:r>
      <w:r w:rsidR="00C35917" w:rsidRPr="00616B65">
        <w:rPr>
          <w:sz w:val="22"/>
          <w:szCs w:val="22"/>
          <w:lang w:val="sr-Latn-ME"/>
        </w:rPr>
        <w:t>ij</w:t>
      </w:r>
      <w:r w:rsidRPr="00616B65">
        <w:rPr>
          <w:sz w:val="22"/>
          <w:szCs w:val="22"/>
          <w:lang w:val="sr-Latn-ME"/>
        </w:rPr>
        <w:t>edio plato. U pros</w:t>
      </w:r>
      <w:r w:rsidR="00C35917" w:rsidRPr="00616B65">
        <w:rPr>
          <w:sz w:val="22"/>
          <w:szCs w:val="22"/>
          <w:lang w:val="sr-Latn-ME"/>
        </w:rPr>
        <w:t>j</w:t>
      </w:r>
      <w:r w:rsidRPr="00616B65">
        <w:rPr>
          <w:sz w:val="22"/>
          <w:szCs w:val="22"/>
          <w:lang w:val="sr-Latn-ME"/>
        </w:rPr>
        <w:t>eku se broj limfocita smanjio za oko 30% od početne vrijednosti. Srednja vrijednost i medijana broja limfocita ostali su u granicama normale. Vrijednosti broja limfocita &lt; 0,5 x 109/</w:t>
      </w:r>
      <w:r w:rsidR="00C35917" w:rsidRPr="00616B65">
        <w:rPr>
          <w:sz w:val="22"/>
          <w:szCs w:val="22"/>
          <w:lang w:val="sr-Latn-ME"/>
        </w:rPr>
        <w:t>l</w:t>
      </w:r>
      <w:r w:rsidRPr="00616B65">
        <w:rPr>
          <w:sz w:val="22"/>
          <w:szCs w:val="22"/>
          <w:lang w:val="sr-Latn-ME"/>
        </w:rPr>
        <w:t xml:space="preserve"> primijećene su kod &lt; 1% pacijenata na terapiji placebom i kod 6% pacijenata na terapiji lijekom Dimetex. Broj limfocita &lt; 0,2 x 10</w:t>
      </w:r>
      <w:r w:rsidRPr="00616B65">
        <w:rPr>
          <w:sz w:val="22"/>
          <w:szCs w:val="22"/>
          <w:vertAlign w:val="superscript"/>
          <w:lang w:val="sr-Latn-ME"/>
        </w:rPr>
        <w:t>9</w:t>
      </w:r>
      <w:r w:rsidRPr="00616B65">
        <w:rPr>
          <w:sz w:val="22"/>
          <w:szCs w:val="22"/>
          <w:lang w:val="sr-Latn-ME"/>
        </w:rPr>
        <w:t>/</w:t>
      </w:r>
      <w:r w:rsidR="00C35917" w:rsidRPr="00616B65">
        <w:rPr>
          <w:sz w:val="22"/>
          <w:szCs w:val="22"/>
          <w:lang w:val="sr-Latn-ME"/>
        </w:rPr>
        <w:t>l</w:t>
      </w:r>
      <w:r w:rsidRPr="00616B65">
        <w:rPr>
          <w:sz w:val="22"/>
          <w:szCs w:val="22"/>
          <w:lang w:val="sr-Latn-ME"/>
        </w:rPr>
        <w:t xml:space="preserve"> primijećen je kod jednog pacijenta na terapiji lijekom Dimetex ni kod jednog pacijenta na terapiji placebom.</w:t>
      </w:r>
    </w:p>
    <w:p w14:paraId="6509BB00" w14:textId="77777777" w:rsidR="00B75503" w:rsidRPr="00616B65" w:rsidRDefault="00B75503">
      <w:pPr>
        <w:tabs>
          <w:tab w:val="left" w:pos="540"/>
          <w:tab w:val="left" w:pos="569"/>
        </w:tabs>
        <w:jc w:val="both"/>
        <w:rPr>
          <w:sz w:val="22"/>
          <w:szCs w:val="22"/>
          <w:lang w:val="sr-Latn-ME"/>
        </w:rPr>
      </w:pPr>
    </w:p>
    <w:p w14:paraId="4157E5E9" w14:textId="397B176F" w:rsidR="00B75503" w:rsidRPr="00616B65" w:rsidRDefault="00B75503">
      <w:pPr>
        <w:tabs>
          <w:tab w:val="left" w:pos="540"/>
          <w:tab w:val="left" w:pos="569"/>
        </w:tabs>
        <w:jc w:val="both"/>
        <w:rPr>
          <w:sz w:val="22"/>
          <w:szCs w:val="22"/>
          <w:lang w:val="sr-Latn-ME"/>
        </w:rPr>
      </w:pPr>
      <w:r w:rsidRPr="00616B65">
        <w:rPr>
          <w:sz w:val="22"/>
          <w:szCs w:val="22"/>
          <w:lang w:val="sr-Latn-ME"/>
        </w:rPr>
        <w:t>U kliničkim studijama (kontrolisanim i nekontrolisanim), 41% pacijenata koji su bili na terapiji lijekom Dimetex imalo je limfopeniju (definisanu u tim ispitivanjima kao &lt; 0,</w:t>
      </w:r>
      <w:r w:rsidR="00167AAF" w:rsidRPr="00616B65">
        <w:rPr>
          <w:sz w:val="22"/>
          <w:szCs w:val="22"/>
          <w:lang w:val="sr-Latn-ME"/>
        </w:rPr>
        <w:t xml:space="preserve"> </w:t>
      </w:r>
      <w:r w:rsidRPr="00616B65">
        <w:rPr>
          <w:sz w:val="22"/>
          <w:szCs w:val="22"/>
          <w:lang w:val="sr-Latn-ME"/>
        </w:rPr>
        <w:t>91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Blaga limfopenija (broj ≥ 0,8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i &lt; 0,91 × 109/L) primijećena je kod 28% pacijenata; um</w:t>
      </w:r>
      <w:r w:rsidR="00231CB4" w:rsidRPr="00616B65">
        <w:rPr>
          <w:sz w:val="22"/>
          <w:szCs w:val="22"/>
          <w:lang w:val="sr-Latn-ME"/>
        </w:rPr>
        <w:t>j</w:t>
      </w:r>
      <w:r w:rsidRPr="00616B65">
        <w:rPr>
          <w:sz w:val="22"/>
          <w:szCs w:val="22"/>
          <w:lang w:val="sr-Latn-ME"/>
        </w:rPr>
        <w:t>erena limfopenija (broj ≥ 0,5 x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i &lt; 0,8 x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u trajanju od najmanje šest </w:t>
      </w:r>
      <w:r w:rsidR="00C44275" w:rsidRPr="00616B65">
        <w:rPr>
          <w:sz w:val="22"/>
          <w:szCs w:val="22"/>
          <w:lang w:val="sr-Latn-ME"/>
        </w:rPr>
        <w:t>mjesec</w:t>
      </w:r>
      <w:r w:rsidRPr="00616B65">
        <w:rPr>
          <w:sz w:val="22"/>
          <w:szCs w:val="22"/>
          <w:lang w:val="sr-Latn-ME"/>
        </w:rPr>
        <w:t>i primijećena je kod 10% pacijenata, a teška limfopenija (broj &lt; 0,5 x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u trajanju od najmanje šest </w:t>
      </w:r>
      <w:r w:rsidR="00C44275" w:rsidRPr="00616B65">
        <w:rPr>
          <w:sz w:val="22"/>
          <w:szCs w:val="22"/>
          <w:lang w:val="sr-Latn-ME"/>
        </w:rPr>
        <w:t>mjesec</w:t>
      </w:r>
      <w:r w:rsidRPr="00616B65">
        <w:rPr>
          <w:sz w:val="22"/>
          <w:szCs w:val="22"/>
          <w:lang w:val="sr-Latn-ME"/>
        </w:rPr>
        <w:t>i primijećena je kod 2% pacijenata. U grupi sa teškom limfopenijom, kod većine broj limfocita je ostao &lt; 0,5 x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tokom nastavka terapije.</w:t>
      </w:r>
    </w:p>
    <w:p w14:paraId="641BFF99" w14:textId="77777777" w:rsidR="00B75503" w:rsidRPr="00616B65" w:rsidRDefault="00B75503">
      <w:pPr>
        <w:tabs>
          <w:tab w:val="left" w:pos="540"/>
          <w:tab w:val="left" w:pos="569"/>
        </w:tabs>
        <w:jc w:val="both"/>
        <w:rPr>
          <w:sz w:val="22"/>
          <w:szCs w:val="22"/>
          <w:lang w:val="sr-Latn-ME"/>
        </w:rPr>
      </w:pPr>
    </w:p>
    <w:p w14:paraId="21297643" w14:textId="6795270D" w:rsidR="00B75503" w:rsidRPr="00616B65" w:rsidRDefault="00B75503">
      <w:pPr>
        <w:tabs>
          <w:tab w:val="left" w:pos="540"/>
          <w:tab w:val="left" w:pos="569"/>
        </w:tabs>
        <w:jc w:val="both"/>
        <w:rPr>
          <w:sz w:val="22"/>
          <w:szCs w:val="22"/>
          <w:lang w:val="sr-Latn-ME"/>
        </w:rPr>
      </w:pPr>
      <w:r w:rsidRPr="00616B65">
        <w:rPr>
          <w:sz w:val="22"/>
          <w:szCs w:val="22"/>
          <w:lang w:val="sr-Latn-ME"/>
        </w:rPr>
        <w:t>Pored toga, u nekontrolisanoj, prospektivnoj studiji sprovedenoj nakon stavljanja lijeka u promet, u 48. ned</w:t>
      </w:r>
      <w:r w:rsidR="00167AAF" w:rsidRPr="00616B65">
        <w:rPr>
          <w:sz w:val="22"/>
          <w:szCs w:val="22"/>
          <w:lang w:val="sr-Latn-ME"/>
        </w:rPr>
        <w:t>j</w:t>
      </w:r>
      <w:r w:rsidRPr="00616B65">
        <w:rPr>
          <w:sz w:val="22"/>
          <w:szCs w:val="22"/>
          <w:lang w:val="sr-Latn-ME"/>
        </w:rPr>
        <w:t>elji terapije lijekom Dimetex (n=185), broj T ćelija CD4+ smanjio se um</w:t>
      </w:r>
      <w:r w:rsidR="00167AAF" w:rsidRPr="00616B65">
        <w:rPr>
          <w:sz w:val="22"/>
          <w:szCs w:val="22"/>
          <w:lang w:val="sr-Latn-ME"/>
        </w:rPr>
        <w:t>j</w:t>
      </w:r>
      <w:r w:rsidRPr="00616B65">
        <w:rPr>
          <w:sz w:val="22"/>
          <w:szCs w:val="22"/>
          <w:lang w:val="sr-Latn-ME"/>
        </w:rPr>
        <w:t>ereno (broj od ≥ 0,2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do &lt; 0,4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ili ozbiljno (&lt; 0,2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kod do 37% odnosno 6% pacijenata, dok su T ćelije CD8+ češće bile smanjene kod do 59% pacijenata sa brojem ćelija &lt; 0,2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i 25% pacijenata sa brojem ćelija &lt; 0,1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w:t>
      </w:r>
    </w:p>
    <w:p w14:paraId="4EAAAE79" w14:textId="77777777" w:rsidR="00B75503" w:rsidRPr="00616B65" w:rsidRDefault="00B75503">
      <w:pPr>
        <w:tabs>
          <w:tab w:val="left" w:pos="540"/>
          <w:tab w:val="left" w:pos="569"/>
        </w:tabs>
        <w:jc w:val="both"/>
        <w:rPr>
          <w:sz w:val="22"/>
          <w:szCs w:val="22"/>
          <w:lang w:val="sr-Latn-ME"/>
        </w:rPr>
      </w:pPr>
    </w:p>
    <w:p w14:paraId="273E2FC0" w14:textId="600817A1" w:rsidR="00B75503" w:rsidRPr="00616B65" w:rsidRDefault="00B75503">
      <w:pPr>
        <w:tabs>
          <w:tab w:val="left" w:pos="540"/>
          <w:tab w:val="left" w:pos="569"/>
        </w:tabs>
        <w:jc w:val="both"/>
        <w:rPr>
          <w:sz w:val="22"/>
          <w:szCs w:val="22"/>
          <w:lang w:val="sr-Latn-ME"/>
        </w:rPr>
      </w:pPr>
      <w:r w:rsidRPr="00616B65">
        <w:rPr>
          <w:i/>
          <w:iCs/>
          <w:sz w:val="22"/>
          <w:szCs w:val="22"/>
          <w:lang w:val="sr-Latn-ME"/>
        </w:rPr>
        <w:t>Infekcije, uključujući PML i oportunističke infekcije</w:t>
      </w:r>
    </w:p>
    <w:p w14:paraId="17BA912C" w14:textId="0A586D32" w:rsidR="00B75503" w:rsidRPr="00616B65" w:rsidRDefault="00B75503">
      <w:pPr>
        <w:tabs>
          <w:tab w:val="left" w:pos="540"/>
          <w:tab w:val="left" w:pos="569"/>
        </w:tabs>
        <w:jc w:val="both"/>
        <w:rPr>
          <w:sz w:val="22"/>
          <w:szCs w:val="22"/>
          <w:lang w:val="sr-Latn-ME"/>
        </w:rPr>
      </w:pPr>
      <w:r w:rsidRPr="00616B65">
        <w:rPr>
          <w:sz w:val="22"/>
          <w:szCs w:val="22"/>
          <w:lang w:val="sr-Latn-ME"/>
        </w:rPr>
        <w:t>Kod pacijenata koji su na terapiji lijekom Dimetex prijavljeni su slučajevi infekcije John-Cunningham virusom (JCV) koja je prouzrokovala progresivnu multifokalnu leukoencefalopatiju (PML) (</w:t>
      </w:r>
      <w:r w:rsidR="00167AAF" w:rsidRPr="00616B65">
        <w:rPr>
          <w:sz w:val="22"/>
          <w:szCs w:val="22"/>
          <w:lang w:val="sr-Latn-ME"/>
        </w:rPr>
        <w:t xml:space="preserve">vidjeti </w:t>
      </w:r>
      <w:r w:rsidRPr="00616B65">
        <w:rPr>
          <w:sz w:val="22"/>
          <w:szCs w:val="22"/>
          <w:lang w:val="sr-Latn-ME"/>
        </w:rPr>
        <w:t xml:space="preserve">dio 4.4). PML može biti sa smrtnim ishodom ili prouzrokovati tešku invalidnost. U jednom od kliničkih ispitivanja, jedan pacijent koji je uzimao </w:t>
      </w:r>
      <w:r w:rsidR="002635CF" w:rsidRPr="00616B65">
        <w:rPr>
          <w:sz w:val="22"/>
          <w:szCs w:val="22"/>
          <w:lang w:val="sr-Latn-ME"/>
        </w:rPr>
        <w:t>dimetil fumarat</w:t>
      </w:r>
      <w:r w:rsidRPr="00616B65">
        <w:rPr>
          <w:sz w:val="22"/>
          <w:szCs w:val="22"/>
          <w:lang w:val="sr-Latn-ME"/>
        </w:rPr>
        <w:t xml:space="preserve"> razvio je PML u stanju dugotrajne teške limfopenije (broj limfocita najčešće &lt; 0,5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tokom 3,5 godina), sa smrtnim ishodom. U postmarketinškom praćenju nakon stavljanja lijeka u promet, PML se takođe javila u prisustvu um</w:t>
      </w:r>
      <w:r w:rsidR="00C44275" w:rsidRPr="00616B65">
        <w:rPr>
          <w:sz w:val="22"/>
          <w:szCs w:val="22"/>
          <w:lang w:val="sr-Latn-ME"/>
        </w:rPr>
        <w:t>j</w:t>
      </w:r>
      <w:r w:rsidRPr="00616B65">
        <w:rPr>
          <w:sz w:val="22"/>
          <w:szCs w:val="22"/>
          <w:lang w:val="sr-Latn-ME"/>
        </w:rPr>
        <w:t>erene i blage limfopenije (&gt; 0,5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do vrijednosti ispod donje granice normalnih vrijednosti definisane referentnim rasponom lokalne laboratorije).</w:t>
      </w:r>
    </w:p>
    <w:p w14:paraId="6B601634" w14:textId="77777777" w:rsidR="00B75503" w:rsidRPr="00616B65" w:rsidRDefault="00B75503">
      <w:pPr>
        <w:tabs>
          <w:tab w:val="left" w:pos="540"/>
          <w:tab w:val="left" w:pos="569"/>
        </w:tabs>
        <w:jc w:val="both"/>
        <w:rPr>
          <w:sz w:val="22"/>
          <w:szCs w:val="22"/>
          <w:lang w:val="sr-Latn-ME"/>
        </w:rPr>
      </w:pPr>
    </w:p>
    <w:p w14:paraId="2FD9F631" w14:textId="0D3CB598" w:rsidR="00B75503" w:rsidRPr="00616B65" w:rsidRDefault="00B75503">
      <w:pPr>
        <w:tabs>
          <w:tab w:val="left" w:pos="540"/>
          <w:tab w:val="left" w:pos="569"/>
        </w:tabs>
        <w:jc w:val="both"/>
        <w:rPr>
          <w:sz w:val="22"/>
          <w:szCs w:val="22"/>
          <w:lang w:val="sr-Latn-ME"/>
        </w:rPr>
      </w:pPr>
      <w:r w:rsidRPr="00616B65">
        <w:rPr>
          <w:sz w:val="22"/>
          <w:szCs w:val="22"/>
          <w:lang w:val="sr-Latn-ME"/>
        </w:rPr>
        <w:t>U nekoliko slučajeva PML u kojima su podgrupe T ćelija prov</w:t>
      </w:r>
      <w:r w:rsidR="00231CB4" w:rsidRPr="00616B65">
        <w:rPr>
          <w:sz w:val="22"/>
          <w:szCs w:val="22"/>
          <w:lang w:val="sr-Latn-ME"/>
        </w:rPr>
        <w:t>j</w:t>
      </w:r>
      <w:r w:rsidRPr="00616B65">
        <w:rPr>
          <w:sz w:val="22"/>
          <w:szCs w:val="22"/>
          <w:lang w:val="sr-Latn-ME"/>
        </w:rPr>
        <w:t>erene u vr</w:t>
      </w:r>
      <w:r w:rsidR="00231CB4" w:rsidRPr="00616B65">
        <w:rPr>
          <w:sz w:val="22"/>
          <w:szCs w:val="22"/>
          <w:lang w:val="sr-Latn-ME"/>
        </w:rPr>
        <w:t>ij</w:t>
      </w:r>
      <w:r w:rsidRPr="00616B65">
        <w:rPr>
          <w:sz w:val="22"/>
          <w:szCs w:val="22"/>
          <w:lang w:val="sr-Latn-ME"/>
        </w:rPr>
        <w:t>eme dijagnoze PML, T ćelije CD8+ su bile smanjene na &lt; 0,1 × 109/L, dok je smanjenje broja T ćelija CD4+ variralo (u rasponu od &lt; 0,05 do 0,5</w:t>
      </w:r>
      <w:r w:rsidR="00C44275" w:rsidRPr="00616B65">
        <w:rPr>
          <w:sz w:val="22"/>
          <w:szCs w:val="22"/>
          <w:lang w:val="sr-Latn-ME"/>
        </w:rPr>
        <w:t xml:space="preserve"> </w:t>
      </w:r>
      <w:r w:rsidRPr="00616B65">
        <w:rPr>
          <w:sz w:val="22"/>
          <w:szCs w:val="22"/>
          <w:lang w:val="sr-Latn-ME"/>
        </w:rPr>
        <w:t>× 109/L) i bilo u korelaciji sa ukupnom težinom limfopenije (od &lt; 0,5 × 109/L do vrijednosti ispod donje granice normalnih vrijednosti). Posledično je odnos ćelija CD4+/CD8+ kod ovih pacijenata bio smanjen.</w:t>
      </w:r>
    </w:p>
    <w:p w14:paraId="57C68646" w14:textId="77777777" w:rsidR="00B75503" w:rsidRPr="00616B65" w:rsidRDefault="00B75503">
      <w:pPr>
        <w:tabs>
          <w:tab w:val="left" w:pos="540"/>
          <w:tab w:val="left" w:pos="569"/>
        </w:tabs>
        <w:jc w:val="both"/>
        <w:rPr>
          <w:sz w:val="22"/>
          <w:szCs w:val="22"/>
          <w:lang w:val="sr-Latn-ME"/>
        </w:rPr>
      </w:pPr>
    </w:p>
    <w:p w14:paraId="761A086A" w14:textId="4A993D88" w:rsidR="00B75503" w:rsidRPr="00616B65" w:rsidRDefault="00B75503">
      <w:pPr>
        <w:tabs>
          <w:tab w:val="left" w:pos="540"/>
          <w:tab w:val="left" w:pos="569"/>
        </w:tabs>
        <w:jc w:val="both"/>
        <w:rPr>
          <w:sz w:val="22"/>
          <w:szCs w:val="22"/>
          <w:lang w:val="sr-Latn-ME"/>
        </w:rPr>
      </w:pPr>
      <w:r w:rsidRPr="00616B65">
        <w:rPr>
          <w:sz w:val="22"/>
          <w:szCs w:val="22"/>
          <w:lang w:val="sr-Latn-ME"/>
        </w:rPr>
        <w:t>Čini se da dugotrajna um</w:t>
      </w:r>
      <w:r w:rsidR="00C44275" w:rsidRPr="00616B65">
        <w:rPr>
          <w:sz w:val="22"/>
          <w:szCs w:val="22"/>
          <w:lang w:val="sr-Latn-ME"/>
        </w:rPr>
        <w:t>j</w:t>
      </w:r>
      <w:r w:rsidRPr="00616B65">
        <w:rPr>
          <w:sz w:val="22"/>
          <w:szCs w:val="22"/>
          <w:lang w:val="sr-Latn-ME"/>
        </w:rPr>
        <w:t>erena do teška limfopenija povećava rizik od PML uz prim</w:t>
      </w:r>
      <w:r w:rsidR="00167AAF" w:rsidRPr="00616B65">
        <w:rPr>
          <w:sz w:val="22"/>
          <w:szCs w:val="22"/>
          <w:lang w:val="sr-Latn-ME"/>
        </w:rPr>
        <w:t>j</w:t>
      </w:r>
      <w:r w:rsidRPr="00616B65">
        <w:rPr>
          <w:sz w:val="22"/>
          <w:szCs w:val="22"/>
          <w:lang w:val="sr-Latn-ME"/>
        </w:rPr>
        <w:t>enu lijeka Dimetex, međutim, PML se takođe javlja i kod pacijenata sa blagom limfopenijom. Pored toga, većina slučajeva PML u postmarketinškom praćenju nakon stavljanja lijeka u promet javila se kod pacijenata uzrasta iznad 50 godina.</w:t>
      </w:r>
    </w:p>
    <w:p w14:paraId="5FC1B44E" w14:textId="77777777" w:rsidR="00B75503" w:rsidRPr="00616B65" w:rsidRDefault="00B75503">
      <w:pPr>
        <w:tabs>
          <w:tab w:val="left" w:pos="540"/>
          <w:tab w:val="left" w:pos="569"/>
        </w:tabs>
        <w:jc w:val="both"/>
        <w:rPr>
          <w:sz w:val="22"/>
          <w:szCs w:val="22"/>
          <w:lang w:val="sr-Latn-ME"/>
        </w:rPr>
      </w:pPr>
    </w:p>
    <w:p w14:paraId="252F0076" w14:textId="46720882" w:rsidR="00B75503" w:rsidRPr="00616B65" w:rsidRDefault="00B75503">
      <w:pPr>
        <w:tabs>
          <w:tab w:val="left" w:pos="540"/>
          <w:tab w:val="left" w:pos="569"/>
        </w:tabs>
        <w:jc w:val="both"/>
        <w:rPr>
          <w:sz w:val="22"/>
          <w:szCs w:val="22"/>
          <w:lang w:val="sr-Latn-ME"/>
        </w:rPr>
      </w:pPr>
      <w:r w:rsidRPr="00616B65">
        <w:rPr>
          <w:sz w:val="22"/>
          <w:szCs w:val="22"/>
          <w:lang w:val="sr-Latn-ME"/>
        </w:rPr>
        <w:t>Tokom prim</w:t>
      </w:r>
      <w:r w:rsidR="00C44275" w:rsidRPr="00616B65">
        <w:rPr>
          <w:sz w:val="22"/>
          <w:szCs w:val="22"/>
          <w:lang w:val="sr-Latn-ME"/>
        </w:rPr>
        <w:t>j</w:t>
      </w:r>
      <w:r w:rsidRPr="00616B65">
        <w:rPr>
          <w:sz w:val="22"/>
          <w:szCs w:val="22"/>
          <w:lang w:val="sr-Latn-ME"/>
        </w:rPr>
        <w:t>ene lijeka Dimetex prijavljeni su slučajevi herpes zoster infekcija. Tokom dugotrajnog nastavka kliničkog ispitivanja, koje je u toku, 1736 pacijenata sa multiplom sklerozom bilo je na terapiji lijekom Dimetex, od čega je kod približno njih 5% jednom ili više puta došlo do pojave herpes zoster infekcije. Ovi događaji u većini slučajeva bili su blage do um</w:t>
      </w:r>
      <w:r w:rsidR="00C44275" w:rsidRPr="00616B65">
        <w:rPr>
          <w:sz w:val="22"/>
          <w:szCs w:val="22"/>
          <w:lang w:val="sr-Latn-ME"/>
        </w:rPr>
        <w:t>j</w:t>
      </w:r>
      <w:r w:rsidRPr="00616B65">
        <w:rPr>
          <w:sz w:val="22"/>
          <w:szCs w:val="22"/>
          <w:lang w:val="sr-Latn-ME"/>
        </w:rPr>
        <w:t>erene težine. Kod većine ispitanika, uključujući i one kod kojih je nastupila ozbiljna herpes zoster infekcija, broj limfocita bio je iznad donje granice normale. Kod većine pacijenata sa istovremenim brojem limfocita ispod donje granice normalnih vrijednosti, limfopenija je oc</w:t>
      </w:r>
      <w:r w:rsidR="00167AAF" w:rsidRPr="00616B65">
        <w:rPr>
          <w:sz w:val="22"/>
          <w:szCs w:val="22"/>
          <w:lang w:val="sr-Latn-ME"/>
        </w:rPr>
        <w:t>ij</w:t>
      </w:r>
      <w:r w:rsidRPr="00616B65">
        <w:rPr>
          <w:sz w:val="22"/>
          <w:szCs w:val="22"/>
          <w:lang w:val="sr-Latn-ME"/>
        </w:rPr>
        <w:t>enjena kao um</w:t>
      </w:r>
      <w:r w:rsidR="00167AAF" w:rsidRPr="00616B65">
        <w:rPr>
          <w:sz w:val="22"/>
          <w:szCs w:val="22"/>
          <w:lang w:val="sr-Latn-ME"/>
        </w:rPr>
        <w:t>j</w:t>
      </w:r>
      <w:r w:rsidRPr="00616B65">
        <w:rPr>
          <w:sz w:val="22"/>
          <w:szCs w:val="22"/>
          <w:lang w:val="sr-Latn-ME"/>
        </w:rPr>
        <w:t xml:space="preserve">erena ili teška. U postmarketinškom praćenju nakon stavljanja lijeka u promet, većina slučajeva herpes zoster infekcija nije bila ozbiljna i zbrinuta je </w:t>
      </w:r>
      <w:r w:rsidRPr="00616B65">
        <w:rPr>
          <w:sz w:val="22"/>
          <w:szCs w:val="22"/>
          <w:lang w:val="sr-Latn-ME"/>
        </w:rPr>
        <w:lastRenderedPageBreak/>
        <w:t>terapijom. Podaci o apsolutnom broju limfocita kod pacijenata sa herpes zoster infekcijom iz perioda nakon stavljanja lijeka u promet su ograničeni. Međutim, među prijavljenim slučajevima kod većine pacijenata prijavljena je um</w:t>
      </w:r>
      <w:r w:rsidR="00C44275" w:rsidRPr="00616B65">
        <w:rPr>
          <w:sz w:val="22"/>
          <w:szCs w:val="22"/>
          <w:lang w:val="sr-Latn-ME"/>
        </w:rPr>
        <w:t>j</w:t>
      </w:r>
      <w:r w:rsidRPr="00616B65">
        <w:rPr>
          <w:sz w:val="22"/>
          <w:szCs w:val="22"/>
          <w:lang w:val="sr-Latn-ME"/>
        </w:rPr>
        <w:t>erena (&lt; 0,8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do 0,5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ili teška (&lt; 0,5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xml:space="preserve"> do 0,2 × 10</w:t>
      </w:r>
      <w:r w:rsidRPr="00616B65">
        <w:rPr>
          <w:sz w:val="22"/>
          <w:szCs w:val="22"/>
          <w:vertAlign w:val="superscript"/>
          <w:lang w:val="sr-Latn-ME"/>
        </w:rPr>
        <w:t>9</w:t>
      </w:r>
      <w:r w:rsidRPr="00616B65">
        <w:rPr>
          <w:sz w:val="22"/>
          <w:szCs w:val="22"/>
          <w:lang w:val="sr-Latn-ME"/>
        </w:rPr>
        <w:t>/</w:t>
      </w:r>
      <w:r w:rsidR="00167AAF" w:rsidRPr="00616B65">
        <w:rPr>
          <w:sz w:val="22"/>
          <w:szCs w:val="22"/>
          <w:lang w:val="sr-Latn-ME"/>
        </w:rPr>
        <w:t>l</w:t>
      </w:r>
      <w:r w:rsidRPr="00616B65">
        <w:rPr>
          <w:sz w:val="22"/>
          <w:szCs w:val="22"/>
          <w:lang w:val="sr-Latn-ME"/>
        </w:rPr>
        <w:t>) limfopenija (</w:t>
      </w:r>
      <w:r w:rsidR="00167AAF" w:rsidRPr="00616B65">
        <w:rPr>
          <w:sz w:val="22"/>
          <w:szCs w:val="22"/>
          <w:lang w:val="sr-Latn-ME"/>
        </w:rPr>
        <w:t xml:space="preserve">vidjeti </w:t>
      </w:r>
      <w:r w:rsidRPr="00616B65">
        <w:rPr>
          <w:sz w:val="22"/>
          <w:szCs w:val="22"/>
          <w:lang w:val="sr-Latn-ME"/>
        </w:rPr>
        <w:t>dio 4.4).</w:t>
      </w:r>
    </w:p>
    <w:p w14:paraId="17316678" w14:textId="77777777" w:rsidR="00B75503" w:rsidRPr="00616B65" w:rsidRDefault="00B75503">
      <w:pPr>
        <w:tabs>
          <w:tab w:val="left" w:pos="540"/>
          <w:tab w:val="left" w:pos="569"/>
        </w:tabs>
        <w:jc w:val="both"/>
        <w:rPr>
          <w:sz w:val="22"/>
          <w:szCs w:val="22"/>
          <w:lang w:val="sr-Latn-ME"/>
        </w:rPr>
      </w:pPr>
    </w:p>
    <w:p w14:paraId="49FE7BF4" w14:textId="1FBD4DA1" w:rsidR="00B75503" w:rsidRPr="00616B65" w:rsidRDefault="00B75503">
      <w:pPr>
        <w:tabs>
          <w:tab w:val="left" w:pos="540"/>
          <w:tab w:val="left" w:pos="569"/>
        </w:tabs>
        <w:jc w:val="both"/>
        <w:rPr>
          <w:sz w:val="22"/>
          <w:szCs w:val="22"/>
          <w:lang w:val="sr-Latn-ME"/>
        </w:rPr>
      </w:pPr>
      <w:r w:rsidRPr="00616B65">
        <w:rPr>
          <w:i/>
          <w:iCs/>
          <w:sz w:val="22"/>
          <w:szCs w:val="22"/>
          <w:lang w:val="sr-Latn-ME"/>
        </w:rPr>
        <w:t>Izm</w:t>
      </w:r>
      <w:r w:rsidR="00167AAF" w:rsidRPr="00616B65">
        <w:rPr>
          <w:i/>
          <w:iCs/>
          <w:sz w:val="22"/>
          <w:szCs w:val="22"/>
          <w:lang w:val="sr-Latn-ME"/>
        </w:rPr>
        <w:t>ij</w:t>
      </w:r>
      <w:r w:rsidRPr="00616B65">
        <w:rPr>
          <w:i/>
          <w:iCs/>
          <w:sz w:val="22"/>
          <w:szCs w:val="22"/>
          <w:lang w:val="sr-Latn-ME"/>
        </w:rPr>
        <w:t>enjene vrijednosti laboratorijskih analiza</w:t>
      </w:r>
    </w:p>
    <w:p w14:paraId="42E62279" w14:textId="50C128C6" w:rsidR="00B75503" w:rsidRPr="00616B65" w:rsidRDefault="00B75503">
      <w:pPr>
        <w:tabs>
          <w:tab w:val="left" w:pos="540"/>
          <w:tab w:val="left" w:pos="569"/>
        </w:tabs>
        <w:jc w:val="both"/>
        <w:rPr>
          <w:sz w:val="22"/>
          <w:szCs w:val="22"/>
          <w:lang w:val="sr-Latn-ME"/>
        </w:rPr>
      </w:pPr>
      <w:r w:rsidRPr="00616B65">
        <w:rPr>
          <w:sz w:val="22"/>
          <w:szCs w:val="22"/>
          <w:lang w:val="sr-Latn-ME"/>
        </w:rPr>
        <w:t>U placebo kontrolisanim ispitivanjima m</w:t>
      </w:r>
      <w:r w:rsidR="00167AAF" w:rsidRPr="00616B65">
        <w:rPr>
          <w:sz w:val="22"/>
          <w:szCs w:val="22"/>
          <w:lang w:val="sr-Latn-ME"/>
        </w:rPr>
        <w:t>j</w:t>
      </w:r>
      <w:r w:rsidRPr="00616B65">
        <w:rPr>
          <w:sz w:val="22"/>
          <w:szCs w:val="22"/>
          <w:lang w:val="sr-Latn-ME"/>
        </w:rPr>
        <w:t>erenje koncentracije ketona u urinu (1+ ili više) bilo je veće kod pacijenata na terapiji lijekom Dimetex (45%) u poređenju sa placebom (10%). U kliničkim ispitivanjima ni</w:t>
      </w:r>
      <w:r w:rsidR="00167AAF" w:rsidRPr="00616B65">
        <w:rPr>
          <w:sz w:val="22"/>
          <w:szCs w:val="22"/>
          <w:lang w:val="sr-Latn-ME"/>
        </w:rPr>
        <w:t>je</w:t>
      </w:r>
      <w:r w:rsidRPr="00616B65">
        <w:rPr>
          <w:sz w:val="22"/>
          <w:szCs w:val="22"/>
          <w:lang w:val="sr-Latn-ME"/>
        </w:rPr>
        <w:t>su primijećene nepovoljne kliničke posl</w:t>
      </w:r>
      <w:r w:rsidR="00167AAF" w:rsidRPr="00616B65">
        <w:rPr>
          <w:sz w:val="22"/>
          <w:szCs w:val="22"/>
          <w:lang w:val="sr-Latn-ME"/>
        </w:rPr>
        <w:t>j</w:t>
      </w:r>
      <w:r w:rsidRPr="00616B65">
        <w:rPr>
          <w:sz w:val="22"/>
          <w:szCs w:val="22"/>
          <w:lang w:val="sr-Latn-ME"/>
        </w:rPr>
        <w:t>edice.</w:t>
      </w:r>
    </w:p>
    <w:p w14:paraId="11C545D7" w14:textId="77777777" w:rsidR="00B75503" w:rsidRPr="00616B65" w:rsidRDefault="00B75503">
      <w:pPr>
        <w:tabs>
          <w:tab w:val="left" w:pos="540"/>
          <w:tab w:val="left" w:pos="569"/>
        </w:tabs>
        <w:jc w:val="both"/>
        <w:rPr>
          <w:sz w:val="22"/>
          <w:szCs w:val="22"/>
          <w:lang w:val="sr-Latn-ME"/>
        </w:rPr>
      </w:pPr>
    </w:p>
    <w:p w14:paraId="58150054" w14:textId="0D5DBD82" w:rsidR="00B75503" w:rsidRPr="00616B65" w:rsidRDefault="00B75503">
      <w:pPr>
        <w:tabs>
          <w:tab w:val="left" w:pos="540"/>
          <w:tab w:val="left" w:pos="569"/>
        </w:tabs>
        <w:jc w:val="both"/>
        <w:rPr>
          <w:sz w:val="22"/>
          <w:szCs w:val="22"/>
          <w:lang w:val="sr-Latn-ME"/>
        </w:rPr>
      </w:pPr>
      <w:r w:rsidRPr="00616B65">
        <w:rPr>
          <w:sz w:val="22"/>
          <w:szCs w:val="22"/>
          <w:lang w:val="sr-Latn-ME"/>
        </w:rPr>
        <w:t>Vrijednosti 1,25-dihidroksivitamina D smanjivale su se kod pacijenata koji su bili na terapiji lijekom Dimetex u  odnosu na placebo (nakon 2 godine medijana procenta smanjenja u odnosu na početne vrijednosti bila je 25% odnosno 15%), a vrijednosti paratir</w:t>
      </w:r>
      <w:r w:rsidR="00231CB4" w:rsidRPr="00616B65">
        <w:rPr>
          <w:sz w:val="22"/>
          <w:szCs w:val="22"/>
          <w:lang w:val="sr-Latn-ME"/>
        </w:rPr>
        <w:t>e</w:t>
      </w:r>
      <w:r w:rsidRPr="00616B65">
        <w:rPr>
          <w:sz w:val="22"/>
          <w:szCs w:val="22"/>
          <w:lang w:val="sr-Latn-ME"/>
        </w:rPr>
        <w:t>oidnog hormona (PTH) povećale su se kod pacijenata koji su bili na terapiji lijekom Dimetex u odnosu na placebo (nakon 2 godine medijana procenta povećanja u odnosu na početne vrijednosti bila je 29% odnosno 15%). Srednje vrijednosti za oba parametra ostale su u normalnom rasponu.</w:t>
      </w:r>
    </w:p>
    <w:p w14:paraId="38BA6B56" w14:textId="77777777" w:rsidR="00B75503" w:rsidRPr="00616B65" w:rsidRDefault="00B75503">
      <w:pPr>
        <w:tabs>
          <w:tab w:val="left" w:pos="540"/>
          <w:tab w:val="left" w:pos="569"/>
        </w:tabs>
        <w:jc w:val="both"/>
        <w:rPr>
          <w:sz w:val="22"/>
          <w:szCs w:val="22"/>
          <w:lang w:val="sr-Latn-ME"/>
        </w:rPr>
      </w:pPr>
    </w:p>
    <w:p w14:paraId="2F6426D8" w14:textId="77777777" w:rsidR="00C44275" w:rsidRPr="00616B65" w:rsidRDefault="00B75503">
      <w:pPr>
        <w:tabs>
          <w:tab w:val="left" w:pos="540"/>
          <w:tab w:val="left" w:pos="569"/>
        </w:tabs>
        <w:jc w:val="both"/>
        <w:rPr>
          <w:sz w:val="22"/>
          <w:szCs w:val="22"/>
          <w:lang w:val="sr-Latn-ME"/>
        </w:rPr>
      </w:pPr>
      <w:r w:rsidRPr="00616B65">
        <w:rPr>
          <w:sz w:val="22"/>
          <w:szCs w:val="22"/>
          <w:lang w:val="sr-Latn-ME"/>
        </w:rPr>
        <w:t xml:space="preserve">Prolazno povećanje srednje vrijednosti broja eozinofila primijećeno je tokom prva 2 </w:t>
      </w:r>
      <w:r w:rsidR="00C44275" w:rsidRPr="00616B65">
        <w:rPr>
          <w:sz w:val="22"/>
          <w:szCs w:val="22"/>
          <w:lang w:val="sr-Latn-ME"/>
        </w:rPr>
        <w:t>mjesec</w:t>
      </w:r>
      <w:r w:rsidRPr="00616B65">
        <w:rPr>
          <w:sz w:val="22"/>
          <w:szCs w:val="22"/>
          <w:lang w:val="sr-Latn-ME"/>
        </w:rPr>
        <w:t xml:space="preserve">a terapije. </w:t>
      </w:r>
    </w:p>
    <w:p w14:paraId="2EA2EC19" w14:textId="77777777" w:rsidR="00C44275" w:rsidRPr="00616B65" w:rsidRDefault="00C44275">
      <w:pPr>
        <w:tabs>
          <w:tab w:val="left" w:pos="540"/>
          <w:tab w:val="left" w:pos="569"/>
        </w:tabs>
        <w:jc w:val="both"/>
        <w:rPr>
          <w:sz w:val="22"/>
          <w:szCs w:val="22"/>
          <w:lang w:val="sr-Latn-ME"/>
        </w:rPr>
      </w:pPr>
    </w:p>
    <w:p w14:paraId="62B48D65" w14:textId="3032F9B9" w:rsidR="00B75503" w:rsidRPr="00616B65" w:rsidRDefault="00B75503">
      <w:pPr>
        <w:tabs>
          <w:tab w:val="left" w:pos="540"/>
          <w:tab w:val="left" w:pos="569"/>
        </w:tabs>
        <w:jc w:val="both"/>
        <w:rPr>
          <w:sz w:val="22"/>
          <w:szCs w:val="22"/>
          <w:u w:val="single"/>
          <w:lang w:val="sr-Latn-ME"/>
        </w:rPr>
      </w:pPr>
      <w:r w:rsidRPr="00616B65">
        <w:rPr>
          <w:sz w:val="22"/>
          <w:szCs w:val="22"/>
          <w:u w:val="single"/>
          <w:lang w:val="sr-Latn-ME"/>
        </w:rPr>
        <w:t>Pedijatrijska populacija</w:t>
      </w:r>
    </w:p>
    <w:p w14:paraId="61227114" w14:textId="77777777" w:rsidR="00C44275" w:rsidRPr="00616B65" w:rsidRDefault="00C44275">
      <w:pPr>
        <w:tabs>
          <w:tab w:val="left" w:pos="540"/>
          <w:tab w:val="left" w:pos="569"/>
        </w:tabs>
        <w:jc w:val="both"/>
        <w:rPr>
          <w:sz w:val="22"/>
          <w:szCs w:val="22"/>
          <w:lang w:val="sr-Latn-ME"/>
        </w:rPr>
      </w:pPr>
    </w:p>
    <w:p w14:paraId="43A13CA6" w14:textId="68FA3231" w:rsidR="00B75503" w:rsidRPr="00616B65" w:rsidRDefault="00B75503">
      <w:pPr>
        <w:tabs>
          <w:tab w:val="left" w:pos="540"/>
          <w:tab w:val="left" w:pos="569"/>
        </w:tabs>
        <w:jc w:val="both"/>
        <w:rPr>
          <w:sz w:val="22"/>
          <w:szCs w:val="22"/>
          <w:lang w:val="sr-Latn-ME"/>
        </w:rPr>
      </w:pPr>
      <w:r w:rsidRPr="00616B65">
        <w:rPr>
          <w:sz w:val="22"/>
          <w:szCs w:val="22"/>
          <w:lang w:val="sr-Latn-ME"/>
        </w:rPr>
        <w:t>U 96-ned</w:t>
      </w:r>
      <w:r w:rsidR="00167AAF" w:rsidRPr="00616B65">
        <w:rPr>
          <w:sz w:val="22"/>
          <w:szCs w:val="22"/>
          <w:lang w:val="sr-Latn-ME"/>
        </w:rPr>
        <w:t>j</w:t>
      </w:r>
      <w:r w:rsidRPr="00616B65">
        <w:rPr>
          <w:sz w:val="22"/>
          <w:szCs w:val="22"/>
          <w:lang w:val="sr-Latn-ME"/>
        </w:rPr>
        <w:t>eljnom otvorenom, randomizovanom aktivnom kontrolisanom ispitivanju kod pedijatrijskih pacijenata sa RRMS od 10 godina do mlađih od 18 godina (120 mg dva puta dnevno tokom 7 dana, a zatim 240 mg dva puta dnevno do kraja terapije; ispitivana populacija, n=78), bezb</w:t>
      </w:r>
      <w:r w:rsidR="000661AD" w:rsidRPr="00616B65">
        <w:rPr>
          <w:sz w:val="22"/>
          <w:szCs w:val="22"/>
          <w:lang w:val="sr-Latn-ME"/>
        </w:rPr>
        <w:t>j</w:t>
      </w:r>
      <w:r w:rsidRPr="00616B65">
        <w:rPr>
          <w:sz w:val="22"/>
          <w:szCs w:val="22"/>
          <w:lang w:val="sr-Latn-ME"/>
        </w:rPr>
        <w:t>ednosni profil kod pedijatrijskih pacijenata je bio sličan onom ranije zab</w:t>
      </w:r>
      <w:r w:rsidR="00C44275" w:rsidRPr="00616B65">
        <w:rPr>
          <w:sz w:val="22"/>
          <w:szCs w:val="22"/>
          <w:lang w:val="sr-Latn-ME"/>
        </w:rPr>
        <w:t>i</w:t>
      </w:r>
      <w:r w:rsidRPr="00616B65">
        <w:rPr>
          <w:sz w:val="22"/>
          <w:szCs w:val="22"/>
          <w:lang w:val="sr-Latn-ME"/>
        </w:rPr>
        <w:t>l</w:t>
      </w:r>
      <w:r w:rsidR="00C44275" w:rsidRPr="00616B65">
        <w:rPr>
          <w:sz w:val="22"/>
          <w:szCs w:val="22"/>
          <w:lang w:val="sr-Latn-ME"/>
        </w:rPr>
        <w:t>j</w:t>
      </w:r>
      <w:r w:rsidRPr="00616B65">
        <w:rPr>
          <w:sz w:val="22"/>
          <w:szCs w:val="22"/>
          <w:lang w:val="sr-Latn-ME"/>
        </w:rPr>
        <w:t>eženom kod odraslih pacijenata.</w:t>
      </w:r>
    </w:p>
    <w:p w14:paraId="1BA087CB" w14:textId="77777777" w:rsidR="00B75503" w:rsidRPr="00616B65" w:rsidRDefault="00B75503">
      <w:pPr>
        <w:tabs>
          <w:tab w:val="left" w:pos="540"/>
          <w:tab w:val="left" w:pos="569"/>
        </w:tabs>
        <w:jc w:val="both"/>
        <w:rPr>
          <w:sz w:val="22"/>
          <w:szCs w:val="22"/>
          <w:lang w:val="sr-Latn-ME"/>
        </w:rPr>
      </w:pPr>
    </w:p>
    <w:p w14:paraId="528F4A85" w14:textId="0EF77610" w:rsidR="00B75503" w:rsidRPr="00616B65" w:rsidRDefault="00B75503">
      <w:pPr>
        <w:tabs>
          <w:tab w:val="left" w:pos="540"/>
          <w:tab w:val="left" w:pos="569"/>
        </w:tabs>
        <w:jc w:val="both"/>
        <w:rPr>
          <w:sz w:val="22"/>
          <w:szCs w:val="22"/>
          <w:lang w:val="sr-Latn-ME"/>
        </w:rPr>
      </w:pPr>
      <w:r w:rsidRPr="00616B65">
        <w:rPr>
          <w:sz w:val="22"/>
          <w:szCs w:val="22"/>
          <w:lang w:val="sr-Latn-ME"/>
        </w:rPr>
        <w:t xml:space="preserve">Dizajn pedijatrijskog kliničkog ispitivanja razlikovao se od placebom kontrolisanih kliničkih ispitivanja za odrasle. </w:t>
      </w:r>
      <w:r w:rsidR="000661AD" w:rsidRPr="00616B65">
        <w:rPr>
          <w:sz w:val="22"/>
          <w:szCs w:val="22"/>
          <w:lang w:val="sr-Latn-ME"/>
        </w:rPr>
        <w:t>D</w:t>
      </w:r>
      <w:r w:rsidRPr="00616B65">
        <w:rPr>
          <w:sz w:val="22"/>
          <w:szCs w:val="22"/>
          <w:lang w:val="sr-Latn-ME"/>
        </w:rPr>
        <w:t>akle, doprinos dizajna kliničkog ispitivanja brojčanim razlikama u neželjenim reakcijama između</w:t>
      </w:r>
      <w:r w:rsidR="00C44275" w:rsidRPr="00616B65">
        <w:rPr>
          <w:sz w:val="22"/>
          <w:szCs w:val="22"/>
          <w:lang w:val="sr-Latn-ME"/>
        </w:rPr>
        <w:t xml:space="preserve"> </w:t>
      </w:r>
      <w:r w:rsidRPr="00616B65">
        <w:rPr>
          <w:sz w:val="22"/>
          <w:szCs w:val="22"/>
          <w:lang w:val="sr-Latn-ME"/>
        </w:rPr>
        <w:t xml:space="preserve">pedijatrijske i odrasle populacije, ne može </w:t>
      </w:r>
      <w:r w:rsidR="000661AD" w:rsidRPr="00616B65">
        <w:rPr>
          <w:sz w:val="22"/>
          <w:szCs w:val="22"/>
          <w:lang w:val="sr-Latn-ME"/>
        </w:rPr>
        <w:t xml:space="preserve">se </w:t>
      </w:r>
      <w:r w:rsidRPr="00616B65">
        <w:rPr>
          <w:sz w:val="22"/>
          <w:szCs w:val="22"/>
          <w:lang w:val="sr-Latn-ME"/>
        </w:rPr>
        <w:t>isključiti.</w:t>
      </w:r>
    </w:p>
    <w:p w14:paraId="5E2AA6DB" w14:textId="77777777" w:rsidR="00B75503" w:rsidRPr="00616B65" w:rsidRDefault="00B75503">
      <w:pPr>
        <w:tabs>
          <w:tab w:val="left" w:pos="540"/>
          <w:tab w:val="left" w:pos="569"/>
        </w:tabs>
        <w:jc w:val="both"/>
        <w:rPr>
          <w:sz w:val="22"/>
          <w:szCs w:val="22"/>
          <w:lang w:val="sr-Latn-ME"/>
        </w:rPr>
      </w:pPr>
    </w:p>
    <w:p w14:paraId="255017E5" w14:textId="28DEED20" w:rsidR="00B75503" w:rsidRPr="00616B65" w:rsidRDefault="00B75503">
      <w:pPr>
        <w:tabs>
          <w:tab w:val="left" w:pos="540"/>
          <w:tab w:val="left" w:pos="569"/>
        </w:tabs>
        <w:jc w:val="both"/>
        <w:rPr>
          <w:sz w:val="22"/>
          <w:szCs w:val="22"/>
          <w:lang w:val="sr-Latn-ME"/>
        </w:rPr>
      </w:pPr>
      <w:r w:rsidRPr="00616B65">
        <w:rPr>
          <w:sz w:val="22"/>
          <w:szCs w:val="22"/>
          <w:lang w:val="sr-Latn-ME"/>
        </w:rPr>
        <w:t>Sl</w:t>
      </w:r>
      <w:r w:rsidR="006A453A" w:rsidRPr="00616B65">
        <w:rPr>
          <w:sz w:val="22"/>
          <w:szCs w:val="22"/>
          <w:lang w:val="sr-Latn-ME"/>
        </w:rPr>
        <w:t>j</w:t>
      </w:r>
      <w:r w:rsidRPr="00616B65">
        <w:rPr>
          <w:sz w:val="22"/>
          <w:szCs w:val="22"/>
          <w:lang w:val="sr-Latn-ME"/>
        </w:rPr>
        <w:t>ede</w:t>
      </w:r>
      <w:r w:rsidR="00231CB4" w:rsidRPr="00616B65">
        <w:rPr>
          <w:sz w:val="22"/>
          <w:szCs w:val="22"/>
          <w:lang w:val="sr-Latn-ME"/>
        </w:rPr>
        <w:t>ć</w:t>
      </w:r>
      <w:r w:rsidRPr="00616B65">
        <w:rPr>
          <w:sz w:val="22"/>
          <w:szCs w:val="22"/>
          <w:lang w:val="sr-Latn-ME"/>
        </w:rPr>
        <w:t>i neželjeni događaji su češ</w:t>
      </w:r>
      <w:r w:rsidR="00231CB4" w:rsidRPr="00616B65">
        <w:rPr>
          <w:sz w:val="22"/>
          <w:szCs w:val="22"/>
          <w:lang w:val="sr-Latn-ME"/>
        </w:rPr>
        <w:t>ć</w:t>
      </w:r>
      <w:r w:rsidRPr="00616B65">
        <w:rPr>
          <w:sz w:val="22"/>
          <w:szCs w:val="22"/>
          <w:lang w:val="sr-Latn-ME"/>
        </w:rPr>
        <w:t>e prijavljeni (≥</w:t>
      </w:r>
      <w:r w:rsidR="006A453A" w:rsidRPr="00616B65">
        <w:rPr>
          <w:sz w:val="22"/>
          <w:szCs w:val="22"/>
          <w:lang w:val="sr-Latn-ME"/>
        </w:rPr>
        <w:t xml:space="preserve"> </w:t>
      </w:r>
      <w:r w:rsidRPr="00616B65">
        <w:rPr>
          <w:sz w:val="22"/>
          <w:szCs w:val="22"/>
          <w:lang w:val="sr-Latn-ME"/>
        </w:rPr>
        <w:t>10%) u pedijatrijskoj populaciji nego u odrasloj populaciji:</w:t>
      </w:r>
    </w:p>
    <w:p w14:paraId="0FCC0577" w14:textId="31D74977" w:rsidR="00B75503" w:rsidRPr="00616B65" w:rsidRDefault="00B75503" w:rsidP="006A453A">
      <w:pPr>
        <w:tabs>
          <w:tab w:val="left" w:pos="540"/>
          <w:tab w:val="left" w:pos="569"/>
        </w:tabs>
        <w:ind w:left="567" w:hanging="567"/>
        <w:jc w:val="both"/>
        <w:rPr>
          <w:sz w:val="22"/>
          <w:szCs w:val="22"/>
          <w:lang w:val="sr-Latn-ME"/>
        </w:rPr>
      </w:pPr>
      <w:r w:rsidRPr="00616B65">
        <w:rPr>
          <w:sz w:val="22"/>
          <w:szCs w:val="22"/>
          <w:lang w:val="sr-Latn-ME"/>
        </w:rPr>
        <w:t>•</w:t>
      </w:r>
      <w:r w:rsidRPr="00616B65">
        <w:rPr>
          <w:sz w:val="22"/>
          <w:szCs w:val="22"/>
          <w:lang w:val="sr-Latn-ME"/>
        </w:rPr>
        <w:tab/>
        <w:t>Glavobolja je prijavljena kod 28% pacijenata l</w:t>
      </w:r>
      <w:r w:rsidR="00C44275" w:rsidRPr="00616B65">
        <w:rPr>
          <w:sz w:val="22"/>
          <w:szCs w:val="22"/>
          <w:lang w:val="sr-Latn-ME"/>
        </w:rPr>
        <w:t>ij</w:t>
      </w:r>
      <w:r w:rsidRPr="00616B65">
        <w:rPr>
          <w:sz w:val="22"/>
          <w:szCs w:val="22"/>
          <w:lang w:val="sr-Latn-ME"/>
        </w:rPr>
        <w:t>ečenih lijekom Dimetex u odnosu na 36% pacijenata</w:t>
      </w:r>
      <w:r w:rsidR="00C44275" w:rsidRPr="00616B65">
        <w:rPr>
          <w:sz w:val="22"/>
          <w:szCs w:val="22"/>
          <w:lang w:val="sr-Latn-ME"/>
        </w:rPr>
        <w:t xml:space="preserve"> </w:t>
      </w:r>
      <w:r w:rsidRPr="00616B65">
        <w:rPr>
          <w:sz w:val="22"/>
          <w:szCs w:val="22"/>
          <w:lang w:val="sr-Latn-ME"/>
        </w:rPr>
        <w:t>l</w:t>
      </w:r>
      <w:r w:rsidR="00C44275" w:rsidRPr="00616B65">
        <w:rPr>
          <w:sz w:val="22"/>
          <w:szCs w:val="22"/>
          <w:lang w:val="sr-Latn-ME"/>
        </w:rPr>
        <w:t>ij</w:t>
      </w:r>
      <w:r w:rsidRPr="00616B65">
        <w:rPr>
          <w:sz w:val="22"/>
          <w:szCs w:val="22"/>
          <w:lang w:val="sr-Latn-ME"/>
        </w:rPr>
        <w:t>ečeni</w:t>
      </w:r>
      <w:r w:rsidR="00C44275" w:rsidRPr="00616B65">
        <w:rPr>
          <w:sz w:val="22"/>
          <w:szCs w:val="22"/>
          <w:lang w:val="sr-Latn-ME"/>
        </w:rPr>
        <w:t>h</w:t>
      </w:r>
      <w:r w:rsidRPr="00616B65">
        <w:rPr>
          <w:sz w:val="22"/>
          <w:szCs w:val="22"/>
          <w:lang w:val="sr-Latn-ME"/>
        </w:rPr>
        <w:t xml:space="preserve"> interferonom beta-1a.</w:t>
      </w:r>
    </w:p>
    <w:p w14:paraId="3D6D5C27" w14:textId="6856B6CE" w:rsidR="00B75503" w:rsidRPr="00616B65" w:rsidRDefault="00B75503" w:rsidP="006A453A">
      <w:pPr>
        <w:tabs>
          <w:tab w:val="left" w:pos="540"/>
          <w:tab w:val="left" w:pos="569"/>
        </w:tabs>
        <w:ind w:left="567" w:hanging="567"/>
        <w:jc w:val="both"/>
        <w:rPr>
          <w:sz w:val="22"/>
          <w:szCs w:val="22"/>
          <w:lang w:val="sr-Latn-ME"/>
        </w:rPr>
      </w:pPr>
      <w:r w:rsidRPr="00616B65">
        <w:rPr>
          <w:sz w:val="22"/>
          <w:szCs w:val="22"/>
          <w:lang w:val="sr-Latn-ME"/>
        </w:rPr>
        <w:t>•</w:t>
      </w:r>
      <w:r w:rsidRPr="00616B65">
        <w:rPr>
          <w:sz w:val="22"/>
          <w:szCs w:val="22"/>
          <w:lang w:val="sr-Latn-ME"/>
        </w:rPr>
        <w:tab/>
        <w:t>Gastrointestinalni poreme</w:t>
      </w:r>
      <w:r w:rsidR="00231CB4" w:rsidRPr="00616B65">
        <w:rPr>
          <w:sz w:val="22"/>
          <w:szCs w:val="22"/>
          <w:lang w:val="sr-Latn-ME"/>
        </w:rPr>
        <w:t>ć</w:t>
      </w:r>
      <w:r w:rsidRPr="00616B65">
        <w:rPr>
          <w:sz w:val="22"/>
          <w:szCs w:val="22"/>
          <w:lang w:val="sr-Latn-ME"/>
        </w:rPr>
        <w:t>aji su prijavljeni kod 74% pacijenata l</w:t>
      </w:r>
      <w:r w:rsidR="00C44275" w:rsidRPr="00616B65">
        <w:rPr>
          <w:sz w:val="22"/>
          <w:szCs w:val="22"/>
          <w:lang w:val="sr-Latn-ME"/>
        </w:rPr>
        <w:t>ij</w:t>
      </w:r>
      <w:r w:rsidRPr="00616B65">
        <w:rPr>
          <w:sz w:val="22"/>
          <w:szCs w:val="22"/>
          <w:lang w:val="sr-Latn-ME"/>
        </w:rPr>
        <w:t>ečenih lijekom Dimetex</w:t>
      </w:r>
      <w:r w:rsidR="00C44275" w:rsidRPr="00616B65">
        <w:rPr>
          <w:sz w:val="22"/>
          <w:szCs w:val="22"/>
          <w:lang w:val="sr-Latn-ME"/>
        </w:rPr>
        <w:t xml:space="preserve"> </w:t>
      </w:r>
      <w:r w:rsidRPr="00616B65">
        <w:rPr>
          <w:sz w:val="22"/>
          <w:szCs w:val="22"/>
          <w:lang w:val="sr-Latn-ME"/>
        </w:rPr>
        <w:t>naspram 31% kod pacijenata l</w:t>
      </w:r>
      <w:r w:rsidR="00C44275" w:rsidRPr="00616B65">
        <w:rPr>
          <w:sz w:val="22"/>
          <w:szCs w:val="22"/>
          <w:lang w:val="sr-Latn-ME"/>
        </w:rPr>
        <w:t>ij</w:t>
      </w:r>
      <w:r w:rsidRPr="00616B65">
        <w:rPr>
          <w:sz w:val="22"/>
          <w:szCs w:val="22"/>
          <w:lang w:val="sr-Latn-ME"/>
        </w:rPr>
        <w:t>ečenih interferonom beta-1a. Među njima, bol u stomaku i povra</w:t>
      </w:r>
      <w:r w:rsidR="00231CB4" w:rsidRPr="00616B65">
        <w:rPr>
          <w:sz w:val="22"/>
          <w:szCs w:val="22"/>
          <w:lang w:val="sr-Latn-ME"/>
        </w:rPr>
        <w:t>ć</w:t>
      </w:r>
      <w:r w:rsidRPr="00616B65">
        <w:rPr>
          <w:sz w:val="22"/>
          <w:szCs w:val="22"/>
          <w:lang w:val="sr-Latn-ME"/>
        </w:rPr>
        <w:t>anje je najčeš</w:t>
      </w:r>
      <w:r w:rsidR="00231CB4" w:rsidRPr="00616B65">
        <w:rPr>
          <w:sz w:val="22"/>
          <w:szCs w:val="22"/>
          <w:lang w:val="sr-Latn-ME"/>
        </w:rPr>
        <w:t>ć</w:t>
      </w:r>
      <w:r w:rsidRPr="00616B65">
        <w:rPr>
          <w:sz w:val="22"/>
          <w:szCs w:val="22"/>
          <w:lang w:val="sr-Latn-ME"/>
        </w:rPr>
        <w:t xml:space="preserve">e prijavljeno kod </w:t>
      </w:r>
      <w:r w:rsidR="002635CF" w:rsidRPr="00616B65">
        <w:rPr>
          <w:sz w:val="22"/>
          <w:szCs w:val="22"/>
          <w:lang w:val="sr-Latn-ME"/>
        </w:rPr>
        <w:t>dimetil fumarat</w:t>
      </w:r>
      <w:r w:rsidRPr="00616B65">
        <w:rPr>
          <w:sz w:val="22"/>
          <w:szCs w:val="22"/>
          <w:lang w:val="sr-Latn-ME"/>
        </w:rPr>
        <w:t>a.</w:t>
      </w:r>
    </w:p>
    <w:p w14:paraId="5340C212" w14:textId="42A4502B" w:rsidR="00B75503" w:rsidRPr="00616B65" w:rsidRDefault="006A453A" w:rsidP="005A340E">
      <w:pPr>
        <w:tabs>
          <w:tab w:val="left" w:pos="540"/>
          <w:tab w:val="left" w:pos="569"/>
        </w:tabs>
        <w:ind w:left="567" w:hanging="567"/>
        <w:jc w:val="both"/>
        <w:rPr>
          <w:sz w:val="22"/>
          <w:szCs w:val="22"/>
          <w:lang w:val="sr-Latn-ME"/>
        </w:rPr>
      </w:pPr>
      <w:r w:rsidRPr="00616B65">
        <w:rPr>
          <w:sz w:val="22"/>
          <w:szCs w:val="22"/>
          <w:lang w:val="sr-Latn-ME"/>
        </w:rPr>
        <w:t xml:space="preserve">•      </w:t>
      </w:r>
      <w:r w:rsidR="00B75503" w:rsidRPr="00616B65">
        <w:rPr>
          <w:sz w:val="22"/>
          <w:szCs w:val="22"/>
          <w:lang w:val="sr-Latn-ME"/>
        </w:rPr>
        <w:t>Respiratorni, torakalni i medijastinalni poreme</w:t>
      </w:r>
      <w:r w:rsidR="00231CB4" w:rsidRPr="00616B65">
        <w:rPr>
          <w:sz w:val="22"/>
          <w:szCs w:val="22"/>
          <w:lang w:val="sr-Latn-ME"/>
        </w:rPr>
        <w:t>ć</w:t>
      </w:r>
      <w:r w:rsidR="00B75503" w:rsidRPr="00616B65">
        <w:rPr>
          <w:sz w:val="22"/>
          <w:szCs w:val="22"/>
          <w:lang w:val="sr-Latn-ME"/>
        </w:rPr>
        <w:t>aji prijavljeni su kod 32% pacijenata l</w:t>
      </w:r>
      <w:r w:rsidR="00C44275" w:rsidRPr="00616B65">
        <w:rPr>
          <w:sz w:val="22"/>
          <w:szCs w:val="22"/>
          <w:lang w:val="sr-Latn-ME"/>
        </w:rPr>
        <w:t>ij</w:t>
      </w:r>
      <w:r w:rsidR="00B75503" w:rsidRPr="00616B65">
        <w:rPr>
          <w:sz w:val="22"/>
          <w:szCs w:val="22"/>
          <w:lang w:val="sr-Latn-ME"/>
        </w:rPr>
        <w:t>ečenih</w:t>
      </w:r>
      <w:r w:rsidR="00C44275" w:rsidRPr="00616B65">
        <w:rPr>
          <w:sz w:val="22"/>
          <w:szCs w:val="22"/>
          <w:lang w:val="sr-Latn-ME"/>
        </w:rPr>
        <w:t xml:space="preserve"> l</w:t>
      </w:r>
      <w:r w:rsidR="00B75503" w:rsidRPr="00616B65">
        <w:rPr>
          <w:sz w:val="22"/>
          <w:szCs w:val="22"/>
          <w:lang w:val="sr-Latn-ME"/>
        </w:rPr>
        <w:t>ijekom Dimetex u odnosu na 11% kod pacijenata l</w:t>
      </w:r>
      <w:r w:rsidR="00C44275" w:rsidRPr="00616B65">
        <w:rPr>
          <w:sz w:val="22"/>
          <w:szCs w:val="22"/>
          <w:lang w:val="sr-Latn-ME"/>
        </w:rPr>
        <w:t>i</w:t>
      </w:r>
      <w:r w:rsidR="00231CB4" w:rsidRPr="00616B65">
        <w:rPr>
          <w:sz w:val="22"/>
          <w:szCs w:val="22"/>
          <w:lang w:val="sr-Latn-ME"/>
        </w:rPr>
        <w:t>j</w:t>
      </w:r>
      <w:r w:rsidR="00B75503" w:rsidRPr="00616B65">
        <w:rPr>
          <w:sz w:val="22"/>
          <w:szCs w:val="22"/>
          <w:lang w:val="sr-Latn-ME"/>
        </w:rPr>
        <w:t>ečenih interferonom beta-1a. Među njima, orofaringealni bol i kašalj su najčeš</w:t>
      </w:r>
      <w:r w:rsidR="00231CB4" w:rsidRPr="00616B65">
        <w:rPr>
          <w:sz w:val="22"/>
          <w:szCs w:val="22"/>
          <w:lang w:val="sr-Latn-ME"/>
        </w:rPr>
        <w:t>ć</w:t>
      </w:r>
      <w:r w:rsidR="00B75503" w:rsidRPr="00616B65">
        <w:rPr>
          <w:sz w:val="22"/>
          <w:szCs w:val="22"/>
          <w:lang w:val="sr-Latn-ME"/>
        </w:rPr>
        <w:t xml:space="preserve">e prijavljeni kod </w:t>
      </w:r>
      <w:r w:rsidR="002635CF" w:rsidRPr="00616B65">
        <w:rPr>
          <w:sz w:val="22"/>
          <w:szCs w:val="22"/>
          <w:lang w:val="sr-Latn-ME"/>
        </w:rPr>
        <w:t>dimetil fumarat</w:t>
      </w:r>
      <w:r w:rsidR="00B75503" w:rsidRPr="00616B65">
        <w:rPr>
          <w:sz w:val="22"/>
          <w:szCs w:val="22"/>
          <w:lang w:val="sr-Latn-ME"/>
        </w:rPr>
        <w:t>a.</w:t>
      </w:r>
    </w:p>
    <w:p w14:paraId="29EC054A" w14:textId="1E27E8A1" w:rsidR="00B75503" w:rsidRPr="00616B65" w:rsidRDefault="00B75503" w:rsidP="006A453A">
      <w:pPr>
        <w:tabs>
          <w:tab w:val="left" w:pos="540"/>
          <w:tab w:val="left" w:pos="569"/>
        </w:tabs>
        <w:ind w:left="567" w:hanging="567"/>
        <w:jc w:val="both"/>
        <w:rPr>
          <w:sz w:val="22"/>
          <w:szCs w:val="22"/>
          <w:lang w:val="sr-Latn-ME"/>
        </w:rPr>
      </w:pPr>
      <w:r w:rsidRPr="00616B65">
        <w:rPr>
          <w:sz w:val="22"/>
          <w:szCs w:val="22"/>
          <w:lang w:val="sr-Latn-ME"/>
        </w:rPr>
        <w:t>•</w:t>
      </w:r>
      <w:r w:rsidRPr="00616B65">
        <w:rPr>
          <w:sz w:val="22"/>
          <w:szCs w:val="22"/>
          <w:lang w:val="sr-Latn-ME"/>
        </w:rPr>
        <w:tab/>
        <w:t xml:space="preserve">Dismenoreja je prijavljena kod 17% </w:t>
      </w:r>
      <w:r w:rsidR="00635BBD" w:rsidRPr="00616B65">
        <w:rPr>
          <w:sz w:val="22"/>
          <w:szCs w:val="22"/>
          <w:lang w:val="sr-Latn-ME"/>
        </w:rPr>
        <w:t xml:space="preserve">pacijentkinja </w:t>
      </w:r>
      <w:r w:rsidRPr="00616B65">
        <w:rPr>
          <w:sz w:val="22"/>
          <w:szCs w:val="22"/>
          <w:lang w:val="sr-Latn-ME"/>
        </w:rPr>
        <w:t>l</w:t>
      </w:r>
      <w:r w:rsidR="00C44275" w:rsidRPr="00616B65">
        <w:rPr>
          <w:sz w:val="22"/>
          <w:szCs w:val="22"/>
          <w:lang w:val="sr-Latn-ME"/>
        </w:rPr>
        <w:t>ij</w:t>
      </w:r>
      <w:r w:rsidRPr="00616B65">
        <w:rPr>
          <w:sz w:val="22"/>
          <w:szCs w:val="22"/>
          <w:lang w:val="sr-Latn-ME"/>
        </w:rPr>
        <w:t>ečenih lijekom Dimetex u odnosu na 7% pacijen</w:t>
      </w:r>
      <w:r w:rsidR="00635BBD" w:rsidRPr="00616B65">
        <w:rPr>
          <w:sz w:val="22"/>
          <w:szCs w:val="22"/>
          <w:lang w:val="sr-Latn-ME"/>
        </w:rPr>
        <w:t>tkinja</w:t>
      </w:r>
      <w:r w:rsidR="00C44275" w:rsidRPr="00616B65">
        <w:rPr>
          <w:sz w:val="22"/>
          <w:szCs w:val="22"/>
          <w:lang w:val="sr-Latn-ME"/>
        </w:rPr>
        <w:t xml:space="preserve"> </w:t>
      </w:r>
      <w:r w:rsidRPr="00616B65">
        <w:rPr>
          <w:sz w:val="22"/>
          <w:szCs w:val="22"/>
          <w:lang w:val="sr-Latn-ME"/>
        </w:rPr>
        <w:t>l</w:t>
      </w:r>
      <w:r w:rsidR="00C44275" w:rsidRPr="00616B65">
        <w:rPr>
          <w:sz w:val="22"/>
          <w:szCs w:val="22"/>
          <w:lang w:val="sr-Latn-ME"/>
        </w:rPr>
        <w:t>ij</w:t>
      </w:r>
      <w:r w:rsidRPr="00616B65">
        <w:rPr>
          <w:sz w:val="22"/>
          <w:szCs w:val="22"/>
          <w:lang w:val="sr-Latn-ME"/>
        </w:rPr>
        <w:t>ečeni</w:t>
      </w:r>
      <w:r w:rsidR="00C44275" w:rsidRPr="00616B65">
        <w:rPr>
          <w:sz w:val="22"/>
          <w:szCs w:val="22"/>
          <w:lang w:val="sr-Latn-ME"/>
        </w:rPr>
        <w:t>h</w:t>
      </w:r>
      <w:r w:rsidRPr="00616B65">
        <w:rPr>
          <w:sz w:val="22"/>
          <w:szCs w:val="22"/>
          <w:lang w:val="sr-Latn-ME"/>
        </w:rPr>
        <w:t xml:space="preserve"> interferonom beta-1a.</w:t>
      </w:r>
    </w:p>
    <w:p w14:paraId="5E93C11F" w14:textId="77777777" w:rsidR="00B75503" w:rsidRPr="00616B65" w:rsidRDefault="00B75503">
      <w:pPr>
        <w:tabs>
          <w:tab w:val="left" w:pos="540"/>
          <w:tab w:val="left" w:pos="569"/>
        </w:tabs>
        <w:jc w:val="both"/>
        <w:rPr>
          <w:sz w:val="22"/>
          <w:szCs w:val="22"/>
          <w:lang w:val="sr-Latn-ME"/>
        </w:rPr>
      </w:pPr>
    </w:p>
    <w:p w14:paraId="6564A8E9" w14:textId="7C143BBB" w:rsidR="00B75503" w:rsidRPr="00616B65" w:rsidRDefault="00B75503">
      <w:pPr>
        <w:tabs>
          <w:tab w:val="left" w:pos="540"/>
          <w:tab w:val="left" w:pos="569"/>
        </w:tabs>
        <w:jc w:val="both"/>
        <w:rPr>
          <w:sz w:val="22"/>
          <w:szCs w:val="22"/>
          <w:lang w:val="sr-Latn-ME"/>
        </w:rPr>
      </w:pPr>
      <w:r w:rsidRPr="00616B65">
        <w:rPr>
          <w:sz w:val="22"/>
          <w:szCs w:val="22"/>
          <w:lang w:val="sr-Latn-ME"/>
        </w:rPr>
        <w:t>U malom 24-ned</w:t>
      </w:r>
      <w:r w:rsidR="00635BBD" w:rsidRPr="00616B65">
        <w:rPr>
          <w:sz w:val="22"/>
          <w:szCs w:val="22"/>
          <w:lang w:val="sr-Latn-ME"/>
        </w:rPr>
        <w:t>j</w:t>
      </w:r>
      <w:r w:rsidRPr="00616B65">
        <w:rPr>
          <w:sz w:val="22"/>
          <w:szCs w:val="22"/>
          <w:lang w:val="sr-Latn-ME"/>
        </w:rPr>
        <w:t>eljnom otvorenom, nekontrolisanom ispitivanju kod pedijatrijskih pacijenata sa relapsno-remitentnom multiplom sklerozom (RRMS) uzrasta od 13 do 17 godina (120 mg dva puta dnevno tokom 7 dana, a zatim 240 mg dva puta dnevno tokom preostalog trajanja terapije; populacija u kojoj se proc</w:t>
      </w:r>
      <w:r w:rsidR="00C44275" w:rsidRPr="00616B65">
        <w:rPr>
          <w:sz w:val="22"/>
          <w:szCs w:val="22"/>
          <w:lang w:val="sr-Latn-ME"/>
        </w:rPr>
        <w:t>j</w:t>
      </w:r>
      <w:r w:rsidRPr="00616B65">
        <w:rPr>
          <w:sz w:val="22"/>
          <w:szCs w:val="22"/>
          <w:lang w:val="sr-Latn-ME"/>
        </w:rPr>
        <w:t>enjivala bezb</w:t>
      </w:r>
      <w:r w:rsidR="00C44275" w:rsidRPr="00616B65">
        <w:rPr>
          <w:sz w:val="22"/>
          <w:szCs w:val="22"/>
          <w:lang w:val="sr-Latn-ME"/>
        </w:rPr>
        <w:t>j</w:t>
      </w:r>
      <w:r w:rsidRPr="00616B65">
        <w:rPr>
          <w:sz w:val="22"/>
          <w:szCs w:val="22"/>
          <w:lang w:val="sr-Latn-ME"/>
        </w:rPr>
        <w:t>ednost, n=22), nakon kojeg je usl</w:t>
      </w:r>
      <w:r w:rsidR="00635BBD" w:rsidRPr="00616B65">
        <w:rPr>
          <w:sz w:val="22"/>
          <w:szCs w:val="22"/>
          <w:lang w:val="sr-Latn-ME"/>
        </w:rPr>
        <w:t>ij</w:t>
      </w:r>
      <w:r w:rsidRPr="00616B65">
        <w:rPr>
          <w:sz w:val="22"/>
          <w:szCs w:val="22"/>
          <w:lang w:val="sr-Latn-ME"/>
        </w:rPr>
        <w:t>edio nastavak ispitivanja u trajanju od 96 ned</w:t>
      </w:r>
      <w:r w:rsidR="00635BBD" w:rsidRPr="00616B65">
        <w:rPr>
          <w:sz w:val="22"/>
          <w:szCs w:val="22"/>
          <w:lang w:val="sr-Latn-ME"/>
        </w:rPr>
        <w:t>j</w:t>
      </w:r>
      <w:r w:rsidRPr="00616B65">
        <w:rPr>
          <w:sz w:val="22"/>
          <w:szCs w:val="22"/>
          <w:lang w:val="sr-Latn-ME"/>
        </w:rPr>
        <w:t>elja (240 mg dva puta dnevno; populacija u kojoj se proc</w:t>
      </w:r>
      <w:r w:rsidR="00C44275" w:rsidRPr="00616B65">
        <w:rPr>
          <w:sz w:val="22"/>
          <w:szCs w:val="22"/>
          <w:lang w:val="sr-Latn-ME"/>
        </w:rPr>
        <w:t>j</w:t>
      </w:r>
      <w:r w:rsidRPr="00616B65">
        <w:rPr>
          <w:sz w:val="22"/>
          <w:szCs w:val="22"/>
          <w:lang w:val="sr-Latn-ME"/>
        </w:rPr>
        <w:t>enjivala bezb</w:t>
      </w:r>
      <w:r w:rsidR="00C44275" w:rsidRPr="00616B65">
        <w:rPr>
          <w:sz w:val="22"/>
          <w:szCs w:val="22"/>
          <w:lang w:val="sr-Latn-ME"/>
        </w:rPr>
        <w:t>j</w:t>
      </w:r>
      <w:r w:rsidRPr="00616B65">
        <w:rPr>
          <w:sz w:val="22"/>
          <w:szCs w:val="22"/>
          <w:lang w:val="sr-Latn-ME"/>
        </w:rPr>
        <w:t>ednost n=20), bezb</w:t>
      </w:r>
      <w:r w:rsidR="00C44275" w:rsidRPr="00616B65">
        <w:rPr>
          <w:sz w:val="22"/>
          <w:szCs w:val="22"/>
          <w:lang w:val="sr-Latn-ME"/>
        </w:rPr>
        <w:t>j</w:t>
      </w:r>
      <w:r w:rsidRPr="00616B65">
        <w:rPr>
          <w:sz w:val="22"/>
          <w:szCs w:val="22"/>
          <w:lang w:val="sr-Latn-ME"/>
        </w:rPr>
        <w:t>ednosni profil je bio sličan onom koji je zab</w:t>
      </w:r>
      <w:r w:rsidR="00635BBD" w:rsidRPr="00616B65">
        <w:rPr>
          <w:sz w:val="22"/>
          <w:szCs w:val="22"/>
          <w:lang w:val="sr-Latn-ME"/>
        </w:rPr>
        <w:t>i</w:t>
      </w:r>
      <w:r w:rsidRPr="00616B65">
        <w:rPr>
          <w:sz w:val="22"/>
          <w:szCs w:val="22"/>
          <w:lang w:val="sr-Latn-ME"/>
        </w:rPr>
        <w:t>l</w:t>
      </w:r>
      <w:r w:rsidR="00635BBD" w:rsidRPr="00616B65">
        <w:rPr>
          <w:sz w:val="22"/>
          <w:szCs w:val="22"/>
          <w:lang w:val="sr-Latn-ME"/>
        </w:rPr>
        <w:t>j</w:t>
      </w:r>
      <w:r w:rsidRPr="00616B65">
        <w:rPr>
          <w:sz w:val="22"/>
          <w:szCs w:val="22"/>
          <w:lang w:val="sr-Latn-ME"/>
        </w:rPr>
        <w:t>ežen kod odraslih pacijenata.</w:t>
      </w:r>
    </w:p>
    <w:p w14:paraId="61B0ED00" w14:textId="77777777" w:rsidR="00B75503" w:rsidRPr="00616B65" w:rsidRDefault="00B75503">
      <w:pPr>
        <w:tabs>
          <w:tab w:val="left" w:pos="540"/>
          <w:tab w:val="left" w:pos="569"/>
        </w:tabs>
        <w:jc w:val="both"/>
        <w:rPr>
          <w:sz w:val="22"/>
          <w:szCs w:val="22"/>
          <w:lang w:val="sr-Latn-ME"/>
        </w:rPr>
      </w:pPr>
    </w:p>
    <w:p w14:paraId="3B8E8D80" w14:textId="1AD6509B" w:rsidR="004E70AD" w:rsidRPr="00616B65" w:rsidRDefault="00B75503">
      <w:pPr>
        <w:tabs>
          <w:tab w:val="left" w:pos="540"/>
          <w:tab w:val="left" w:pos="569"/>
        </w:tabs>
        <w:jc w:val="both"/>
        <w:rPr>
          <w:sz w:val="22"/>
          <w:szCs w:val="22"/>
          <w:lang w:val="sr-Latn-ME"/>
        </w:rPr>
      </w:pPr>
      <w:r w:rsidRPr="00616B65">
        <w:rPr>
          <w:sz w:val="22"/>
          <w:szCs w:val="22"/>
          <w:lang w:val="sr-Latn-ME"/>
        </w:rPr>
        <w:t>Dostupni su ograničeni podaci kod d</w:t>
      </w:r>
      <w:r w:rsidR="00C44275" w:rsidRPr="00616B65">
        <w:rPr>
          <w:sz w:val="22"/>
          <w:szCs w:val="22"/>
          <w:lang w:val="sr-Latn-ME"/>
        </w:rPr>
        <w:t>j</w:t>
      </w:r>
      <w:r w:rsidRPr="00616B65">
        <w:rPr>
          <w:sz w:val="22"/>
          <w:szCs w:val="22"/>
          <w:lang w:val="sr-Latn-ME"/>
        </w:rPr>
        <w:t>ece između 10 i 12 godina. Bezb</w:t>
      </w:r>
      <w:r w:rsidR="00C44275" w:rsidRPr="00616B65">
        <w:rPr>
          <w:sz w:val="22"/>
          <w:szCs w:val="22"/>
          <w:lang w:val="sr-Latn-ME"/>
        </w:rPr>
        <w:t>j</w:t>
      </w:r>
      <w:r w:rsidRPr="00616B65">
        <w:rPr>
          <w:sz w:val="22"/>
          <w:szCs w:val="22"/>
          <w:lang w:val="sr-Latn-ME"/>
        </w:rPr>
        <w:t>ednost lijeka Dimetex kod pedijatrijskih pacijenata sa multiplom sklerozom mlađih od 10 godina još uv</w:t>
      </w:r>
      <w:r w:rsidR="001632DF" w:rsidRPr="00616B65">
        <w:rPr>
          <w:sz w:val="22"/>
          <w:szCs w:val="22"/>
          <w:lang w:val="sr-Latn-ME"/>
        </w:rPr>
        <w:t>ij</w:t>
      </w:r>
      <w:r w:rsidRPr="00616B65">
        <w:rPr>
          <w:sz w:val="22"/>
          <w:szCs w:val="22"/>
          <w:lang w:val="sr-Latn-ME"/>
        </w:rPr>
        <w:t>ek nije utvrđena.</w:t>
      </w:r>
    </w:p>
    <w:p w14:paraId="59D9CCA9" w14:textId="77777777" w:rsidR="00B75503" w:rsidRPr="00616B65" w:rsidRDefault="00B75503">
      <w:pPr>
        <w:tabs>
          <w:tab w:val="left" w:pos="540"/>
          <w:tab w:val="left" w:pos="569"/>
        </w:tabs>
        <w:jc w:val="both"/>
        <w:rPr>
          <w:sz w:val="22"/>
          <w:szCs w:val="22"/>
          <w:lang w:val="sr-Latn-ME"/>
        </w:rPr>
      </w:pPr>
    </w:p>
    <w:p w14:paraId="66D74B14" w14:textId="77777777" w:rsidR="005A23D2" w:rsidRPr="00616B65" w:rsidRDefault="005A23D2">
      <w:pPr>
        <w:spacing w:after="200" w:line="276" w:lineRule="auto"/>
        <w:jc w:val="both"/>
        <w:rPr>
          <w:rFonts w:eastAsia="Calibri"/>
          <w:sz w:val="22"/>
          <w:szCs w:val="22"/>
          <w:u w:val="single"/>
          <w:lang w:val="sr-Latn-ME"/>
        </w:rPr>
      </w:pPr>
      <w:r w:rsidRPr="00616B65">
        <w:rPr>
          <w:rFonts w:eastAsia="Calibri"/>
          <w:sz w:val="22"/>
          <w:szCs w:val="22"/>
          <w:u w:val="single"/>
          <w:lang w:val="sr-Latn-ME"/>
        </w:rPr>
        <w:t>Prijavljivanje sumnji na neželjena dejstva</w:t>
      </w:r>
    </w:p>
    <w:p w14:paraId="6C682776" w14:textId="77777777" w:rsidR="005A23D2" w:rsidRPr="00616B65" w:rsidRDefault="005A23D2">
      <w:pPr>
        <w:spacing w:after="200"/>
        <w:jc w:val="both"/>
        <w:rPr>
          <w:rFonts w:eastAsia="Calibri"/>
          <w:sz w:val="22"/>
          <w:szCs w:val="22"/>
          <w:lang w:val="sr-Latn-ME"/>
        </w:rPr>
      </w:pPr>
      <w:r w:rsidRPr="00616B65">
        <w:rPr>
          <w:rFonts w:eastAsia="Calibri"/>
          <w:sz w:val="22"/>
          <w:szCs w:val="22"/>
          <w:lang w:val="sr-Latn-ME"/>
        </w:rPr>
        <w:lastRenderedPageBreak/>
        <w:t>Prijavljivanje neželjenih dejstava nakon dobijanja dozvole je od velikog značaja jer obezbjeđuje kont</w:t>
      </w:r>
      <w:r w:rsidR="00EA5765" w:rsidRPr="00616B65">
        <w:rPr>
          <w:rFonts w:eastAsia="Calibri"/>
          <w:sz w:val="22"/>
          <w:szCs w:val="22"/>
          <w:lang w:val="sr-Latn-ME"/>
        </w:rPr>
        <w:t>inuirano praćenje odnosa korist</w:t>
      </w:r>
      <w:r w:rsidRPr="00616B65">
        <w:rPr>
          <w:rFonts w:eastAsia="Calibri"/>
          <w:sz w:val="22"/>
          <w:szCs w:val="22"/>
          <w:lang w:val="sr-Latn-ME"/>
        </w:rPr>
        <w:t>/rizik primjene lijeka. Zdravstveni radnici treba da prijave svaku sumnju na neželjeno</w:t>
      </w:r>
      <w:r w:rsidR="009B062A" w:rsidRPr="00616B65">
        <w:rPr>
          <w:rFonts w:eastAsia="Calibri"/>
          <w:sz w:val="22"/>
          <w:szCs w:val="22"/>
          <w:lang w:val="sr-Latn-ME"/>
        </w:rPr>
        <w:t xml:space="preserve"> </w:t>
      </w:r>
      <w:r w:rsidRPr="00616B65">
        <w:rPr>
          <w:rFonts w:eastAsia="Calibri"/>
          <w:sz w:val="22"/>
          <w:szCs w:val="22"/>
          <w:lang w:val="sr-Latn-ME"/>
        </w:rPr>
        <w:t xml:space="preserve">dejstvo ovog lijeka </w:t>
      </w:r>
      <w:r w:rsidR="004E70AD" w:rsidRPr="00616B65">
        <w:rPr>
          <w:rFonts w:eastAsia="Calibri"/>
          <w:sz w:val="22"/>
          <w:szCs w:val="22"/>
          <w:lang w:val="sr-Latn-ME"/>
        </w:rPr>
        <w:t>Institutu</w:t>
      </w:r>
      <w:r w:rsidRPr="00616B65">
        <w:rPr>
          <w:rFonts w:eastAsia="Calibri"/>
          <w:sz w:val="22"/>
          <w:szCs w:val="22"/>
          <w:lang w:val="sr-Latn-ME"/>
        </w:rPr>
        <w:t xml:space="preserve"> za ljekove i medicinska sredstva</w:t>
      </w:r>
      <w:r w:rsidR="004E70AD" w:rsidRPr="00616B65">
        <w:rPr>
          <w:rFonts w:eastAsia="Calibri"/>
          <w:sz w:val="22"/>
          <w:szCs w:val="22"/>
          <w:lang w:val="sr-Latn-ME"/>
        </w:rPr>
        <w:t xml:space="preserve"> </w:t>
      </w:r>
      <w:r w:rsidRPr="00616B65">
        <w:rPr>
          <w:rFonts w:eastAsia="Calibri"/>
          <w:sz w:val="22"/>
          <w:szCs w:val="22"/>
          <w:lang w:val="sr-Latn-ME"/>
        </w:rPr>
        <w:t>(</w:t>
      </w:r>
      <w:r w:rsidR="004E70AD" w:rsidRPr="00616B65">
        <w:rPr>
          <w:rFonts w:eastAsia="Calibri"/>
          <w:sz w:val="22"/>
          <w:szCs w:val="22"/>
          <w:lang w:val="sr-Latn-ME"/>
        </w:rPr>
        <w:t>CInMED</w:t>
      </w:r>
      <w:r w:rsidRPr="00616B65">
        <w:rPr>
          <w:rFonts w:eastAsia="Calibri"/>
          <w:sz w:val="22"/>
          <w:szCs w:val="22"/>
          <w:lang w:val="sr-Latn-ME"/>
        </w:rPr>
        <w:t>):</w:t>
      </w:r>
    </w:p>
    <w:p w14:paraId="72BEDAF7" w14:textId="77777777" w:rsidR="005A23D2" w:rsidRPr="00616B65" w:rsidRDefault="004E70AD">
      <w:pPr>
        <w:pStyle w:val="NoSpacing"/>
        <w:jc w:val="both"/>
        <w:rPr>
          <w:rFonts w:eastAsia="Calibri"/>
          <w:sz w:val="22"/>
          <w:szCs w:val="22"/>
          <w:lang w:val="sr-Latn-ME"/>
        </w:rPr>
      </w:pPr>
      <w:r w:rsidRPr="00616B65">
        <w:rPr>
          <w:rFonts w:eastAsia="Calibri"/>
          <w:sz w:val="22"/>
          <w:szCs w:val="22"/>
          <w:lang w:val="sr-Latn-ME"/>
        </w:rPr>
        <w:t xml:space="preserve">Institut </w:t>
      </w:r>
      <w:r w:rsidR="005A23D2" w:rsidRPr="00616B65">
        <w:rPr>
          <w:rFonts w:eastAsia="Calibri"/>
          <w:sz w:val="22"/>
          <w:szCs w:val="22"/>
          <w:lang w:val="sr-Latn-ME"/>
        </w:rPr>
        <w:t xml:space="preserve">za ljekove i medicinska sredstva </w:t>
      </w:r>
    </w:p>
    <w:p w14:paraId="1EE334BC" w14:textId="77777777" w:rsidR="005A23D2" w:rsidRPr="00616B65" w:rsidRDefault="005A23D2">
      <w:pPr>
        <w:pStyle w:val="NoSpacing"/>
        <w:jc w:val="both"/>
        <w:rPr>
          <w:rFonts w:eastAsia="Calibri"/>
          <w:sz w:val="22"/>
          <w:szCs w:val="22"/>
          <w:lang w:val="sr-Latn-ME"/>
        </w:rPr>
      </w:pPr>
      <w:r w:rsidRPr="00616B65">
        <w:rPr>
          <w:rFonts w:eastAsia="Calibri"/>
          <w:sz w:val="22"/>
          <w:szCs w:val="22"/>
          <w:lang w:val="sr-Latn-ME"/>
        </w:rPr>
        <w:t>Odjeljenje za farmakovigilancu</w:t>
      </w:r>
    </w:p>
    <w:p w14:paraId="0D6AE5A5" w14:textId="77777777" w:rsidR="00EA5765" w:rsidRPr="00616B65" w:rsidRDefault="005A23D2">
      <w:pPr>
        <w:pStyle w:val="NoSpacing"/>
        <w:jc w:val="both"/>
        <w:rPr>
          <w:rFonts w:eastAsia="Calibri"/>
          <w:sz w:val="22"/>
          <w:szCs w:val="22"/>
          <w:lang w:val="sr-Latn-ME"/>
        </w:rPr>
      </w:pPr>
      <w:r w:rsidRPr="00616B65">
        <w:rPr>
          <w:rFonts w:eastAsia="Calibri"/>
          <w:sz w:val="22"/>
          <w:szCs w:val="22"/>
          <w:lang w:val="sr-Latn-ME"/>
        </w:rPr>
        <w:t>Bulevar Ivana Crnojevića 64a, 81000 Podgorica</w:t>
      </w:r>
    </w:p>
    <w:p w14:paraId="58F89A25" w14:textId="77777777" w:rsidR="00EA5765" w:rsidRPr="00616B65" w:rsidRDefault="00EA5765" w:rsidP="005A340E">
      <w:pPr>
        <w:pStyle w:val="NoSpacing"/>
        <w:jc w:val="both"/>
        <w:rPr>
          <w:rFonts w:eastAsia="Calibri"/>
          <w:sz w:val="22"/>
          <w:szCs w:val="22"/>
          <w:lang w:val="sr-Latn-ME"/>
        </w:rPr>
      </w:pPr>
    </w:p>
    <w:p w14:paraId="543E67EA" w14:textId="77777777" w:rsidR="005A23D2" w:rsidRPr="00616B65" w:rsidRDefault="005A23D2" w:rsidP="00C31FAA">
      <w:pPr>
        <w:pStyle w:val="NoSpacing"/>
        <w:jc w:val="both"/>
        <w:rPr>
          <w:rFonts w:eastAsia="Calibri"/>
          <w:sz w:val="22"/>
          <w:szCs w:val="22"/>
          <w:lang w:val="sr-Latn-ME"/>
        </w:rPr>
      </w:pPr>
      <w:r w:rsidRPr="00616B65">
        <w:rPr>
          <w:rFonts w:eastAsia="Calibri"/>
          <w:sz w:val="22"/>
          <w:szCs w:val="22"/>
          <w:lang w:val="sr-Latn-ME"/>
        </w:rPr>
        <w:t>tel: +382 (0) 20 310 280</w:t>
      </w:r>
    </w:p>
    <w:p w14:paraId="79255A1D" w14:textId="77777777" w:rsidR="00EA5765" w:rsidRPr="00616B65" w:rsidRDefault="005A23D2" w:rsidP="0023493E">
      <w:pPr>
        <w:pStyle w:val="NoSpacing"/>
        <w:tabs>
          <w:tab w:val="left" w:pos="6720"/>
        </w:tabs>
        <w:jc w:val="both"/>
        <w:rPr>
          <w:rFonts w:eastAsia="Calibri"/>
          <w:sz w:val="22"/>
          <w:szCs w:val="22"/>
          <w:lang w:val="sr-Latn-ME"/>
        </w:rPr>
      </w:pPr>
      <w:r w:rsidRPr="00616B65">
        <w:rPr>
          <w:rFonts w:eastAsia="Calibri"/>
          <w:sz w:val="22"/>
          <w:szCs w:val="22"/>
          <w:lang w:val="sr-Latn-ME"/>
        </w:rPr>
        <w:t>fax:</w:t>
      </w:r>
      <w:r w:rsidR="00EA5765" w:rsidRPr="00616B65">
        <w:rPr>
          <w:rFonts w:eastAsia="Calibri"/>
          <w:sz w:val="22"/>
          <w:szCs w:val="22"/>
          <w:lang w:val="sr-Latn-ME"/>
        </w:rPr>
        <w:t xml:space="preserve"> </w:t>
      </w:r>
      <w:r w:rsidRPr="00616B65">
        <w:rPr>
          <w:rFonts w:eastAsia="Calibri"/>
          <w:sz w:val="22"/>
          <w:szCs w:val="22"/>
          <w:lang w:val="sr-Latn-ME"/>
        </w:rPr>
        <w:t>+382 (0) 20 310 581</w:t>
      </w:r>
      <w:r w:rsidR="00FF3EDF" w:rsidRPr="00616B65">
        <w:rPr>
          <w:rFonts w:eastAsia="Calibri"/>
          <w:sz w:val="22"/>
          <w:szCs w:val="22"/>
          <w:lang w:val="sr-Latn-ME"/>
        </w:rPr>
        <w:tab/>
      </w:r>
    </w:p>
    <w:p w14:paraId="28FF1022" w14:textId="77777777" w:rsidR="005A23D2" w:rsidRPr="00616B65" w:rsidRDefault="00B24ECA">
      <w:pPr>
        <w:pStyle w:val="NoSpacing"/>
        <w:jc w:val="both"/>
        <w:rPr>
          <w:rFonts w:eastAsia="Calibri"/>
          <w:sz w:val="22"/>
          <w:szCs w:val="22"/>
          <w:lang w:val="sr-Latn-ME"/>
        </w:rPr>
      </w:pPr>
      <w:hyperlink r:id="rId8" w:history="1">
        <w:r w:rsidR="004E70AD" w:rsidRPr="00616B65">
          <w:rPr>
            <w:rStyle w:val="Hyperlink"/>
            <w:rFonts w:eastAsia="Calibri"/>
            <w:sz w:val="22"/>
            <w:szCs w:val="22"/>
            <w:lang w:val="sr-Latn-ME"/>
          </w:rPr>
          <w:t>www.cinmed.me</w:t>
        </w:r>
      </w:hyperlink>
    </w:p>
    <w:p w14:paraId="5C1ABD18" w14:textId="77777777" w:rsidR="00EA5765" w:rsidRPr="00616B65" w:rsidRDefault="00B24ECA">
      <w:pPr>
        <w:pStyle w:val="NoSpacing"/>
        <w:jc w:val="both"/>
        <w:rPr>
          <w:rFonts w:eastAsia="Calibri"/>
          <w:color w:val="0000FF"/>
          <w:sz w:val="22"/>
          <w:szCs w:val="22"/>
          <w:u w:val="single"/>
          <w:lang w:val="sr-Latn-ME"/>
        </w:rPr>
      </w:pPr>
      <w:hyperlink r:id="rId9" w:history="1">
        <w:r w:rsidR="004E70AD" w:rsidRPr="00616B65">
          <w:rPr>
            <w:rStyle w:val="Hyperlink"/>
            <w:rFonts w:eastAsia="Calibri"/>
            <w:sz w:val="22"/>
            <w:szCs w:val="22"/>
            <w:lang w:val="sr-Latn-ME"/>
          </w:rPr>
          <w:t>nezeljenadejstva@cinmed.me</w:t>
        </w:r>
      </w:hyperlink>
    </w:p>
    <w:p w14:paraId="08D52C45" w14:textId="77777777" w:rsidR="005A23D2" w:rsidRPr="00616B65" w:rsidRDefault="005A23D2">
      <w:pPr>
        <w:pStyle w:val="NoSpacing"/>
        <w:jc w:val="both"/>
        <w:rPr>
          <w:rFonts w:eastAsia="Calibri"/>
          <w:sz w:val="22"/>
          <w:szCs w:val="22"/>
          <w:lang w:val="sr-Latn-ME"/>
        </w:rPr>
      </w:pPr>
      <w:r w:rsidRPr="00616B65">
        <w:rPr>
          <w:rFonts w:eastAsia="Calibri"/>
          <w:sz w:val="22"/>
          <w:szCs w:val="22"/>
          <w:lang w:val="sr-Latn-ME"/>
        </w:rPr>
        <w:t>putem IS zdravstvene zaštite</w:t>
      </w:r>
    </w:p>
    <w:p w14:paraId="751011C7" w14:textId="77777777" w:rsidR="007E31E9" w:rsidRPr="00616B65" w:rsidRDefault="007E31E9">
      <w:pPr>
        <w:pStyle w:val="NoSpacing"/>
        <w:jc w:val="both"/>
        <w:rPr>
          <w:rFonts w:eastAsia="Calibri"/>
          <w:sz w:val="22"/>
          <w:szCs w:val="22"/>
          <w:lang w:val="sr-Latn-ME"/>
        </w:rPr>
      </w:pPr>
      <w:r w:rsidRPr="00616B65">
        <w:rPr>
          <w:rFonts w:eastAsia="Calibri"/>
          <w:sz w:val="22"/>
          <w:szCs w:val="22"/>
          <w:lang w:val="sr-Latn-ME"/>
        </w:rPr>
        <w:t>QR kod za online prijavu</w:t>
      </w:r>
      <w:r w:rsidR="00D74CD2" w:rsidRPr="00616B65">
        <w:rPr>
          <w:rFonts w:eastAsia="Calibri"/>
          <w:sz w:val="22"/>
          <w:szCs w:val="22"/>
          <w:lang w:val="sr-Latn-ME"/>
        </w:rPr>
        <w:t xml:space="preserve"> sumnje na neželjeno dejstvo lijeka</w:t>
      </w:r>
      <w:r w:rsidRPr="00616B65">
        <w:rPr>
          <w:rFonts w:eastAsia="Calibri"/>
          <w:sz w:val="22"/>
          <w:szCs w:val="22"/>
          <w:lang w:val="sr-Latn-ME"/>
        </w:rPr>
        <w:t>:</w:t>
      </w:r>
    </w:p>
    <w:p w14:paraId="048700C6" w14:textId="77777777" w:rsidR="007E31E9" w:rsidRPr="00616B65" w:rsidRDefault="007E31E9" w:rsidP="00A46C9A">
      <w:pPr>
        <w:pStyle w:val="NoSpacing"/>
        <w:jc w:val="both"/>
        <w:rPr>
          <w:rFonts w:eastAsia="Calibri"/>
          <w:sz w:val="22"/>
          <w:szCs w:val="22"/>
          <w:lang w:val="sr-Latn-ME"/>
        </w:rPr>
      </w:pPr>
    </w:p>
    <w:p w14:paraId="4A355A9C" w14:textId="2F446D92" w:rsidR="004F17E2" w:rsidRPr="00616B65" w:rsidRDefault="00C31FAA" w:rsidP="007E31E9">
      <w:pPr>
        <w:pStyle w:val="NoSpacing"/>
        <w:rPr>
          <w:rFonts w:eastAsia="Calibri"/>
          <w:sz w:val="22"/>
          <w:szCs w:val="22"/>
          <w:lang w:val="sr-Latn-ME"/>
        </w:rPr>
      </w:pPr>
      <w:r w:rsidRPr="00616B65">
        <w:rPr>
          <w:b/>
          <w:bCs/>
          <w:noProof/>
          <w:sz w:val="22"/>
          <w:szCs w:val="22"/>
          <w:lang w:val="sr-Latn-ME"/>
        </w:rPr>
        <w:drawing>
          <wp:inline distT="0" distB="0" distL="0" distR="0" wp14:anchorId="6698E46A" wp14:editId="7580CDC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BE1F2BA" w14:textId="77777777" w:rsidR="00836B35" w:rsidRPr="00616B65" w:rsidRDefault="00836B35" w:rsidP="00480FB1">
      <w:pPr>
        <w:tabs>
          <w:tab w:val="left" w:pos="540"/>
          <w:tab w:val="left" w:pos="569"/>
        </w:tabs>
        <w:rPr>
          <w:b/>
          <w:bCs/>
          <w:sz w:val="22"/>
          <w:szCs w:val="22"/>
          <w:lang w:val="sr-Latn-ME"/>
        </w:rPr>
      </w:pPr>
    </w:p>
    <w:p w14:paraId="2629C488" w14:textId="77777777" w:rsidR="00CD6F02"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4.9. </w:t>
      </w:r>
      <w:r w:rsidR="00480FB1" w:rsidRPr="00616B65">
        <w:rPr>
          <w:b/>
          <w:bCs/>
          <w:sz w:val="22"/>
          <w:szCs w:val="22"/>
          <w:lang w:val="sr-Latn-ME"/>
        </w:rPr>
        <w:tab/>
      </w:r>
      <w:r w:rsidRPr="00616B65">
        <w:rPr>
          <w:b/>
          <w:bCs/>
          <w:sz w:val="22"/>
          <w:szCs w:val="22"/>
          <w:lang w:val="sr-Latn-ME"/>
        </w:rPr>
        <w:t>Predoziranje</w:t>
      </w:r>
      <w:r w:rsidR="002846DB" w:rsidRPr="00616B65">
        <w:rPr>
          <w:b/>
          <w:bCs/>
          <w:sz w:val="22"/>
          <w:szCs w:val="22"/>
          <w:lang w:val="sr-Latn-ME"/>
        </w:rPr>
        <w:t xml:space="preserve"> </w:t>
      </w:r>
    </w:p>
    <w:p w14:paraId="2B654BBB" w14:textId="77777777" w:rsidR="00CD6F02" w:rsidRPr="00616B65" w:rsidRDefault="00CD6F02" w:rsidP="00C44275">
      <w:pPr>
        <w:tabs>
          <w:tab w:val="left" w:pos="540"/>
          <w:tab w:val="left" w:pos="569"/>
        </w:tabs>
        <w:jc w:val="both"/>
        <w:rPr>
          <w:sz w:val="22"/>
          <w:szCs w:val="22"/>
          <w:lang w:val="sr-Latn-ME"/>
        </w:rPr>
      </w:pPr>
    </w:p>
    <w:p w14:paraId="681712DB" w14:textId="78AC5920" w:rsidR="00227BDB" w:rsidRPr="00616B65" w:rsidRDefault="00C44275" w:rsidP="00C44275">
      <w:pPr>
        <w:tabs>
          <w:tab w:val="left" w:pos="540"/>
          <w:tab w:val="left" w:pos="569"/>
        </w:tabs>
        <w:jc w:val="both"/>
        <w:rPr>
          <w:sz w:val="22"/>
          <w:szCs w:val="22"/>
          <w:lang w:val="sr-Latn-ME"/>
        </w:rPr>
      </w:pPr>
      <w:r w:rsidRPr="00616B65">
        <w:rPr>
          <w:sz w:val="22"/>
          <w:szCs w:val="22"/>
          <w:lang w:val="sr-Latn-ME"/>
        </w:rPr>
        <w:t>Prijavljeni su slučajevi predoziranja lijekom Dimetex. Simptomi opisani u ovim slučajevima bili su u skladu sa poznatim profilom neželjenih dejstava lijekom Dimetex. Nema poznatih terapijskih intervencija koje bi povećale eliminaciju lijeka Dimetex, niti ima poznatog antidota. U slučaju predoziranja, preporučuje se započinjanje simptomatske suportivne terapije kako je klinički indikovano.</w:t>
      </w:r>
    </w:p>
    <w:p w14:paraId="28BBA455" w14:textId="3CAF53B0" w:rsidR="00C44275" w:rsidRPr="00616B65" w:rsidRDefault="00C44275" w:rsidP="00480FB1">
      <w:pPr>
        <w:tabs>
          <w:tab w:val="left" w:pos="540"/>
          <w:tab w:val="left" w:pos="569"/>
        </w:tabs>
        <w:rPr>
          <w:b/>
          <w:bCs/>
          <w:sz w:val="22"/>
          <w:szCs w:val="22"/>
          <w:lang w:val="sr-Latn-ME"/>
        </w:rPr>
      </w:pPr>
    </w:p>
    <w:p w14:paraId="2D2A48E0" w14:textId="77777777" w:rsidR="00C31FAA" w:rsidRPr="00616B65" w:rsidRDefault="00C31FAA" w:rsidP="00480FB1">
      <w:pPr>
        <w:tabs>
          <w:tab w:val="left" w:pos="540"/>
          <w:tab w:val="left" w:pos="569"/>
        </w:tabs>
        <w:rPr>
          <w:b/>
          <w:bCs/>
          <w:sz w:val="22"/>
          <w:szCs w:val="22"/>
          <w:lang w:val="sr-Latn-ME"/>
        </w:rPr>
      </w:pPr>
    </w:p>
    <w:p w14:paraId="583B582A" w14:textId="77777777" w:rsidR="0072020E" w:rsidRPr="00616B65" w:rsidRDefault="0072020E" w:rsidP="005A340E">
      <w:pPr>
        <w:tabs>
          <w:tab w:val="left" w:pos="540"/>
          <w:tab w:val="left" w:pos="569"/>
        </w:tabs>
        <w:jc w:val="both"/>
        <w:rPr>
          <w:b/>
          <w:bCs/>
          <w:sz w:val="22"/>
          <w:szCs w:val="22"/>
          <w:lang w:val="sr-Latn-ME"/>
        </w:rPr>
      </w:pPr>
      <w:r w:rsidRPr="00616B65">
        <w:rPr>
          <w:b/>
          <w:bCs/>
          <w:sz w:val="22"/>
          <w:szCs w:val="22"/>
          <w:lang w:val="sr-Latn-ME"/>
        </w:rPr>
        <w:t xml:space="preserve">5. </w:t>
      </w:r>
      <w:r w:rsidR="00480FB1" w:rsidRPr="00616B65">
        <w:rPr>
          <w:b/>
          <w:bCs/>
          <w:sz w:val="22"/>
          <w:szCs w:val="22"/>
          <w:lang w:val="sr-Latn-ME"/>
        </w:rPr>
        <w:tab/>
      </w:r>
      <w:r w:rsidRPr="00616B65">
        <w:rPr>
          <w:b/>
          <w:bCs/>
          <w:sz w:val="22"/>
          <w:szCs w:val="22"/>
          <w:lang w:val="sr-Latn-ME"/>
        </w:rPr>
        <w:t>FARMAKOLOŠK</w:t>
      </w:r>
      <w:r w:rsidR="000D425A" w:rsidRPr="00616B65">
        <w:rPr>
          <w:b/>
          <w:bCs/>
          <w:sz w:val="22"/>
          <w:szCs w:val="22"/>
          <w:lang w:val="sr-Latn-ME"/>
        </w:rPr>
        <w:t>I</w:t>
      </w:r>
      <w:r w:rsidRPr="00616B65">
        <w:rPr>
          <w:b/>
          <w:bCs/>
          <w:sz w:val="22"/>
          <w:szCs w:val="22"/>
          <w:lang w:val="sr-Latn-ME"/>
        </w:rPr>
        <w:t xml:space="preserve"> PODACI</w:t>
      </w:r>
    </w:p>
    <w:p w14:paraId="77B21FB7" w14:textId="77777777" w:rsidR="0072020E" w:rsidRPr="00616B65" w:rsidRDefault="0072020E" w:rsidP="005A340E">
      <w:pPr>
        <w:tabs>
          <w:tab w:val="left" w:pos="540"/>
          <w:tab w:val="left" w:pos="569"/>
        </w:tabs>
        <w:jc w:val="both"/>
        <w:rPr>
          <w:b/>
          <w:bCs/>
          <w:sz w:val="22"/>
          <w:szCs w:val="22"/>
          <w:lang w:val="sr-Latn-ME"/>
        </w:rPr>
      </w:pPr>
    </w:p>
    <w:p w14:paraId="0777B53B" w14:textId="77777777" w:rsidR="0072020E" w:rsidRPr="00616B65" w:rsidRDefault="0072020E" w:rsidP="005A340E">
      <w:pPr>
        <w:tabs>
          <w:tab w:val="left" w:pos="540"/>
          <w:tab w:val="left" w:pos="569"/>
        </w:tabs>
        <w:jc w:val="both"/>
        <w:rPr>
          <w:b/>
          <w:bCs/>
          <w:sz w:val="22"/>
          <w:szCs w:val="22"/>
          <w:lang w:val="sr-Latn-ME"/>
        </w:rPr>
      </w:pPr>
      <w:r w:rsidRPr="00616B65">
        <w:rPr>
          <w:b/>
          <w:bCs/>
          <w:sz w:val="22"/>
          <w:szCs w:val="22"/>
          <w:lang w:val="sr-Latn-ME"/>
        </w:rPr>
        <w:t xml:space="preserve">5.1. </w:t>
      </w:r>
      <w:r w:rsidR="00480FB1" w:rsidRPr="00616B65">
        <w:rPr>
          <w:b/>
          <w:bCs/>
          <w:sz w:val="22"/>
          <w:szCs w:val="22"/>
          <w:lang w:val="sr-Latn-ME"/>
        </w:rPr>
        <w:tab/>
      </w:r>
      <w:r w:rsidRPr="00616B65">
        <w:rPr>
          <w:b/>
          <w:bCs/>
          <w:sz w:val="22"/>
          <w:szCs w:val="22"/>
          <w:lang w:val="sr-Latn-ME"/>
        </w:rPr>
        <w:t>Farmakodinamski podaci</w:t>
      </w:r>
      <w:r w:rsidR="003A7059" w:rsidRPr="00616B65">
        <w:rPr>
          <w:b/>
          <w:bCs/>
          <w:sz w:val="22"/>
          <w:szCs w:val="22"/>
          <w:lang w:val="sr-Latn-ME"/>
        </w:rPr>
        <w:t xml:space="preserve"> </w:t>
      </w:r>
    </w:p>
    <w:p w14:paraId="167054C1" w14:textId="77777777" w:rsidR="00F45F77" w:rsidRPr="00616B65" w:rsidRDefault="00F45F77" w:rsidP="005A340E">
      <w:pPr>
        <w:tabs>
          <w:tab w:val="left" w:pos="540"/>
          <w:tab w:val="left" w:pos="569"/>
        </w:tabs>
        <w:jc w:val="both"/>
        <w:rPr>
          <w:b/>
          <w:bCs/>
          <w:sz w:val="22"/>
          <w:szCs w:val="22"/>
          <w:lang w:val="sr-Latn-ME"/>
        </w:rPr>
      </w:pPr>
    </w:p>
    <w:p w14:paraId="6E702C0E" w14:textId="73097568" w:rsidR="0072020E" w:rsidRPr="00616B65" w:rsidRDefault="0072020E" w:rsidP="005A340E">
      <w:pPr>
        <w:tabs>
          <w:tab w:val="left" w:pos="540"/>
          <w:tab w:val="left" w:pos="569"/>
        </w:tabs>
        <w:jc w:val="both"/>
        <w:rPr>
          <w:bCs/>
          <w:sz w:val="22"/>
          <w:szCs w:val="22"/>
          <w:lang w:val="sr-Latn-ME"/>
        </w:rPr>
      </w:pPr>
      <w:r w:rsidRPr="00616B65">
        <w:rPr>
          <w:bCs/>
          <w:sz w:val="22"/>
          <w:szCs w:val="22"/>
          <w:lang w:val="sr-Latn-ME"/>
        </w:rPr>
        <w:t>Farmakoterapijska grupa:</w:t>
      </w:r>
      <w:r w:rsidR="00C44275" w:rsidRPr="00616B65">
        <w:rPr>
          <w:sz w:val="22"/>
          <w:szCs w:val="22"/>
          <w:lang w:val="sr-Latn-ME"/>
        </w:rPr>
        <w:t xml:space="preserve"> </w:t>
      </w:r>
      <w:r w:rsidR="00C44275" w:rsidRPr="00616B65">
        <w:rPr>
          <w:bCs/>
          <w:sz w:val="22"/>
          <w:szCs w:val="22"/>
          <w:lang w:val="sr-Latn-ME"/>
        </w:rPr>
        <w:t>Imunosupresivna sredstva; ostali imunosupresivi</w:t>
      </w:r>
    </w:p>
    <w:p w14:paraId="6056FAE9" w14:textId="77777777" w:rsidR="0072020E" w:rsidRPr="00616B65" w:rsidRDefault="0072020E" w:rsidP="005A340E">
      <w:pPr>
        <w:tabs>
          <w:tab w:val="left" w:pos="540"/>
          <w:tab w:val="left" w:pos="569"/>
        </w:tabs>
        <w:jc w:val="both"/>
        <w:rPr>
          <w:bCs/>
          <w:sz w:val="22"/>
          <w:szCs w:val="22"/>
          <w:lang w:val="sr-Latn-ME"/>
        </w:rPr>
      </w:pPr>
    </w:p>
    <w:p w14:paraId="03E4B728" w14:textId="6C2274DB" w:rsidR="0072020E" w:rsidRPr="00616B65" w:rsidRDefault="0072020E" w:rsidP="005A340E">
      <w:pPr>
        <w:tabs>
          <w:tab w:val="left" w:pos="540"/>
          <w:tab w:val="left" w:pos="569"/>
        </w:tabs>
        <w:jc w:val="both"/>
        <w:rPr>
          <w:bCs/>
          <w:sz w:val="22"/>
          <w:szCs w:val="22"/>
          <w:lang w:val="sr-Latn-ME"/>
        </w:rPr>
      </w:pPr>
      <w:r w:rsidRPr="00616B65">
        <w:rPr>
          <w:b/>
          <w:bCs/>
          <w:sz w:val="22"/>
          <w:szCs w:val="22"/>
          <w:lang w:val="sr-Latn-ME"/>
        </w:rPr>
        <w:t>ATC kod</w:t>
      </w:r>
      <w:r w:rsidRPr="00616B65">
        <w:rPr>
          <w:bCs/>
          <w:sz w:val="22"/>
          <w:szCs w:val="22"/>
          <w:lang w:val="sr-Latn-ME"/>
        </w:rPr>
        <w:t>:</w:t>
      </w:r>
      <w:r w:rsidR="00C44275" w:rsidRPr="00616B65">
        <w:rPr>
          <w:sz w:val="22"/>
          <w:szCs w:val="22"/>
          <w:lang w:val="sr-Latn-ME"/>
        </w:rPr>
        <w:t xml:space="preserve"> </w:t>
      </w:r>
      <w:r w:rsidR="00C44275" w:rsidRPr="00616B65">
        <w:rPr>
          <w:bCs/>
          <w:sz w:val="22"/>
          <w:szCs w:val="22"/>
          <w:lang w:val="sr-Latn-ME"/>
        </w:rPr>
        <w:t>L04AX07</w:t>
      </w:r>
    </w:p>
    <w:p w14:paraId="26CE9652" w14:textId="77777777" w:rsidR="00C44275" w:rsidRPr="00616B65" w:rsidRDefault="00C44275" w:rsidP="005A340E">
      <w:pPr>
        <w:tabs>
          <w:tab w:val="left" w:pos="540"/>
          <w:tab w:val="left" w:pos="569"/>
        </w:tabs>
        <w:jc w:val="both"/>
        <w:rPr>
          <w:bCs/>
          <w:sz w:val="22"/>
          <w:szCs w:val="22"/>
          <w:lang w:val="sr-Latn-ME"/>
        </w:rPr>
      </w:pPr>
    </w:p>
    <w:p w14:paraId="33303E6B" w14:textId="77777777" w:rsidR="00C44275" w:rsidRPr="00616B65" w:rsidRDefault="00C44275" w:rsidP="005A340E">
      <w:pPr>
        <w:tabs>
          <w:tab w:val="left" w:pos="540"/>
          <w:tab w:val="left" w:pos="569"/>
        </w:tabs>
        <w:jc w:val="both"/>
        <w:rPr>
          <w:bCs/>
          <w:sz w:val="22"/>
          <w:szCs w:val="22"/>
          <w:u w:val="single"/>
          <w:lang w:val="sr-Latn-ME"/>
        </w:rPr>
      </w:pPr>
      <w:r w:rsidRPr="00616B65">
        <w:rPr>
          <w:bCs/>
          <w:sz w:val="22"/>
          <w:szCs w:val="22"/>
          <w:u w:val="single"/>
          <w:lang w:val="sr-Latn-ME"/>
        </w:rPr>
        <w:t>Mehanizam dejstva</w:t>
      </w:r>
    </w:p>
    <w:p w14:paraId="1CAF917C" w14:textId="77777777" w:rsidR="00C44275" w:rsidRPr="00616B65" w:rsidRDefault="00C44275" w:rsidP="005A340E">
      <w:pPr>
        <w:tabs>
          <w:tab w:val="left" w:pos="540"/>
          <w:tab w:val="left" w:pos="569"/>
        </w:tabs>
        <w:jc w:val="both"/>
        <w:rPr>
          <w:bCs/>
          <w:sz w:val="22"/>
          <w:szCs w:val="22"/>
          <w:u w:val="single"/>
          <w:lang w:val="sr-Latn-ME"/>
        </w:rPr>
      </w:pPr>
    </w:p>
    <w:p w14:paraId="5CD75CA5" w14:textId="2027350B" w:rsidR="00C44275" w:rsidRPr="00616B65" w:rsidRDefault="00C44275" w:rsidP="00C31FAA">
      <w:pPr>
        <w:tabs>
          <w:tab w:val="left" w:pos="540"/>
          <w:tab w:val="left" w:pos="569"/>
        </w:tabs>
        <w:jc w:val="both"/>
        <w:rPr>
          <w:bCs/>
          <w:sz w:val="22"/>
          <w:szCs w:val="22"/>
          <w:lang w:val="sr-Latn-ME"/>
        </w:rPr>
      </w:pPr>
      <w:r w:rsidRPr="00616B65">
        <w:rPr>
          <w:bCs/>
          <w:sz w:val="22"/>
          <w:szCs w:val="22"/>
          <w:lang w:val="sr-Latn-ME"/>
        </w:rPr>
        <w:t xml:space="preserve">Mehanizam kojim </w:t>
      </w:r>
      <w:r w:rsidR="002635CF" w:rsidRPr="00616B65">
        <w:rPr>
          <w:bCs/>
          <w:sz w:val="22"/>
          <w:szCs w:val="22"/>
          <w:lang w:val="sr-Latn-ME"/>
        </w:rPr>
        <w:t>dimetil fumarat</w:t>
      </w:r>
      <w:r w:rsidRPr="00616B65">
        <w:rPr>
          <w:bCs/>
          <w:sz w:val="22"/>
          <w:szCs w:val="22"/>
          <w:lang w:val="sr-Latn-ME"/>
        </w:rPr>
        <w:t xml:space="preserve"> ispoljava terapijsko dejstvo u multiploj sklerozi nije u potpunosti razjašnjen. Pretklinička ispitivanja pokazuju da </w:t>
      </w:r>
      <w:r w:rsidR="002635CF" w:rsidRPr="00616B65">
        <w:rPr>
          <w:bCs/>
          <w:sz w:val="22"/>
          <w:szCs w:val="22"/>
          <w:lang w:val="sr-Latn-ME"/>
        </w:rPr>
        <w:t>dimetil fumarat</w:t>
      </w:r>
      <w:r w:rsidRPr="00616B65">
        <w:rPr>
          <w:bCs/>
          <w:sz w:val="22"/>
          <w:szCs w:val="22"/>
          <w:lang w:val="sr-Latn-ME"/>
        </w:rPr>
        <w:t xml:space="preserve"> izaziva farmakodinamičke odgovore prvenstveno aktivacijom signalnog puta nuklearnog transkripcijskog faktora Nrf2 [engl. </w:t>
      </w:r>
      <w:r w:rsidRPr="00616B65">
        <w:rPr>
          <w:bCs/>
          <w:i/>
          <w:sz w:val="22"/>
          <w:szCs w:val="22"/>
          <w:lang w:val="sr-Latn-ME"/>
        </w:rPr>
        <w:t>nuclear factor (erythroid-derived 2)-like 2</w:t>
      </w:r>
      <w:r w:rsidRPr="00616B65">
        <w:rPr>
          <w:bCs/>
          <w:sz w:val="22"/>
          <w:szCs w:val="22"/>
          <w:lang w:val="sr-Latn-ME"/>
        </w:rPr>
        <w:t xml:space="preserve">]. Pokazalo se da </w:t>
      </w:r>
      <w:r w:rsidR="002635CF" w:rsidRPr="00616B65">
        <w:rPr>
          <w:bCs/>
          <w:sz w:val="22"/>
          <w:szCs w:val="22"/>
          <w:lang w:val="sr-Latn-ME"/>
        </w:rPr>
        <w:t>dimetil fumarat</w:t>
      </w:r>
      <w:r w:rsidRPr="00616B65">
        <w:rPr>
          <w:bCs/>
          <w:sz w:val="22"/>
          <w:szCs w:val="22"/>
          <w:lang w:val="sr-Latn-ME"/>
        </w:rPr>
        <w:t xml:space="preserve"> podstiče ekspresiju antioksidativnih gena zavisnih od Nrf2 kod pacijenata (npr. NAD(P)H dehidrogenaza, kinon 1; [NQO1]).</w:t>
      </w:r>
    </w:p>
    <w:p w14:paraId="4D0A149C" w14:textId="77777777" w:rsidR="00C44275" w:rsidRPr="00616B65" w:rsidRDefault="00C44275" w:rsidP="0023493E">
      <w:pPr>
        <w:tabs>
          <w:tab w:val="left" w:pos="540"/>
          <w:tab w:val="left" w:pos="569"/>
        </w:tabs>
        <w:jc w:val="both"/>
        <w:rPr>
          <w:bCs/>
          <w:sz w:val="22"/>
          <w:szCs w:val="22"/>
          <w:lang w:val="sr-Latn-ME"/>
        </w:rPr>
      </w:pPr>
    </w:p>
    <w:p w14:paraId="16C58961" w14:textId="77777777" w:rsidR="00C44275" w:rsidRPr="00616B65" w:rsidRDefault="00C44275">
      <w:pPr>
        <w:tabs>
          <w:tab w:val="left" w:pos="540"/>
          <w:tab w:val="left" w:pos="569"/>
        </w:tabs>
        <w:jc w:val="both"/>
        <w:rPr>
          <w:bCs/>
          <w:sz w:val="22"/>
          <w:szCs w:val="22"/>
          <w:u w:val="single"/>
          <w:lang w:val="sr-Latn-ME"/>
        </w:rPr>
      </w:pPr>
      <w:r w:rsidRPr="00616B65">
        <w:rPr>
          <w:bCs/>
          <w:sz w:val="22"/>
          <w:szCs w:val="22"/>
          <w:u w:val="single"/>
          <w:lang w:val="sr-Latn-ME"/>
        </w:rPr>
        <w:t>Farmakodinamsko dejstvo</w:t>
      </w:r>
    </w:p>
    <w:p w14:paraId="33340683" w14:textId="77777777" w:rsidR="00C44275" w:rsidRPr="00616B65" w:rsidRDefault="00C44275">
      <w:pPr>
        <w:tabs>
          <w:tab w:val="left" w:pos="540"/>
          <w:tab w:val="left" w:pos="569"/>
        </w:tabs>
        <w:jc w:val="both"/>
        <w:rPr>
          <w:bCs/>
          <w:sz w:val="22"/>
          <w:szCs w:val="22"/>
          <w:lang w:val="sr-Latn-ME"/>
        </w:rPr>
      </w:pPr>
    </w:p>
    <w:p w14:paraId="1DBD6D9B" w14:textId="71F6CDEB" w:rsidR="001632DF" w:rsidRPr="00616B65" w:rsidRDefault="00C44275">
      <w:pPr>
        <w:tabs>
          <w:tab w:val="left" w:pos="540"/>
          <w:tab w:val="left" w:pos="569"/>
        </w:tabs>
        <w:jc w:val="both"/>
        <w:rPr>
          <w:bCs/>
          <w:i/>
          <w:iCs/>
          <w:sz w:val="22"/>
          <w:szCs w:val="22"/>
          <w:lang w:val="sr-Latn-ME"/>
        </w:rPr>
      </w:pPr>
      <w:r w:rsidRPr="00616B65">
        <w:rPr>
          <w:bCs/>
          <w:i/>
          <w:iCs/>
          <w:sz w:val="22"/>
          <w:szCs w:val="22"/>
          <w:lang w:val="sr-Latn-ME"/>
        </w:rPr>
        <w:t>Dejstva na imuni sistem</w:t>
      </w:r>
      <w:r w:rsidR="001632DF" w:rsidRPr="00616B65">
        <w:rPr>
          <w:bCs/>
          <w:sz w:val="22"/>
          <w:szCs w:val="22"/>
          <w:lang w:val="sr-Latn-ME"/>
        </w:rPr>
        <w:t xml:space="preserve"> </w:t>
      </w:r>
    </w:p>
    <w:p w14:paraId="5B11798F" w14:textId="447E79D7" w:rsidR="00C44275" w:rsidRPr="00616B65" w:rsidRDefault="00C44275">
      <w:pPr>
        <w:tabs>
          <w:tab w:val="left" w:pos="540"/>
          <w:tab w:val="left" w:pos="569"/>
        </w:tabs>
        <w:jc w:val="both"/>
        <w:rPr>
          <w:bCs/>
          <w:sz w:val="22"/>
          <w:szCs w:val="22"/>
          <w:lang w:val="sr-Latn-ME"/>
        </w:rPr>
      </w:pPr>
      <w:r w:rsidRPr="00616B65">
        <w:rPr>
          <w:bCs/>
          <w:sz w:val="22"/>
          <w:szCs w:val="22"/>
          <w:lang w:val="sr-Latn-ME"/>
        </w:rPr>
        <w:t xml:space="preserve">U pretkliničkim i kliničkim ispitivanjima </w:t>
      </w:r>
      <w:r w:rsidR="002635CF" w:rsidRPr="00616B65">
        <w:rPr>
          <w:bCs/>
          <w:sz w:val="22"/>
          <w:szCs w:val="22"/>
          <w:lang w:val="sr-Latn-ME"/>
        </w:rPr>
        <w:t>dimetil fumarat</w:t>
      </w:r>
      <w:r w:rsidRPr="00616B65">
        <w:rPr>
          <w:bCs/>
          <w:sz w:val="22"/>
          <w:szCs w:val="22"/>
          <w:lang w:val="sr-Latn-ME"/>
        </w:rPr>
        <w:t xml:space="preserve"> je pokazao anti-inflamatorna i imunomodulatorna svojstva. </w:t>
      </w:r>
      <w:r w:rsidR="002635CF" w:rsidRPr="00616B65">
        <w:rPr>
          <w:bCs/>
          <w:sz w:val="22"/>
          <w:szCs w:val="22"/>
          <w:lang w:val="sr-Latn-ME"/>
        </w:rPr>
        <w:t>Dimetil fumarat</w:t>
      </w:r>
      <w:r w:rsidRPr="00616B65">
        <w:rPr>
          <w:bCs/>
          <w:sz w:val="22"/>
          <w:szCs w:val="22"/>
          <w:lang w:val="sr-Latn-ME"/>
        </w:rPr>
        <w:t xml:space="preserve"> i monometil</w:t>
      </w:r>
      <w:r w:rsidR="00231CB4" w:rsidRPr="00616B65">
        <w:rPr>
          <w:bCs/>
          <w:sz w:val="22"/>
          <w:szCs w:val="22"/>
          <w:lang w:val="sr-Latn-ME"/>
        </w:rPr>
        <w:t xml:space="preserve"> </w:t>
      </w:r>
      <w:r w:rsidRPr="00616B65">
        <w:rPr>
          <w:bCs/>
          <w:sz w:val="22"/>
          <w:szCs w:val="22"/>
          <w:lang w:val="sr-Latn-ME"/>
        </w:rPr>
        <w:t xml:space="preserve">fumarat, primarni metabolit </w:t>
      </w:r>
      <w:r w:rsidR="002635CF" w:rsidRPr="00616B65">
        <w:rPr>
          <w:bCs/>
          <w:sz w:val="22"/>
          <w:szCs w:val="22"/>
          <w:lang w:val="sr-Latn-ME"/>
        </w:rPr>
        <w:t>dimetil fumarat</w:t>
      </w:r>
      <w:r w:rsidRPr="00616B65">
        <w:rPr>
          <w:bCs/>
          <w:sz w:val="22"/>
          <w:szCs w:val="22"/>
          <w:lang w:val="sr-Latn-ME"/>
        </w:rPr>
        <w:t>a, značajno su smanjili aktivaciju imunskih ćelija i posl</w:t>
      </w:r>
      <w:r w:rsidR="001632DF" w:rsidRPr="00616B65">
        <w:rPr>
          <w:bCs/>
          <w:sz w:val="22"/>
          <w:szCs w:val="22"/>
          <w:lang w:val="sr-Latn-ME"/>
        </w:rPr>
        <w:t>j</w:t>
      </w:r>
      <w:r w:rsidRPr="00616B65">
        <w:rPr>
          <w:bCs/>
          <w:sz w:val="22"/>
          <w:szCs w:val="22"/>
          <w:lang w:val="sr-Latn-ME"/>
        </w:rPr>
        <w:t xml:space="preserve">edično otpuštanje pro-inflamatornih citokina kao odgovor na inflamatorni stimulans u pretkliničkim modelima. U kliničkim ispitivanjima kod pacijenata sa psorijazom, </w:t>
      </w:r>
      <w:r w:rsidR="002635CF" w:rsidRPr="00616B65">
        <w:rPr>
          <w:bCs/>
          <w:sz w:val="22"/>
          <w:szCs w:val="22"/>
          <w:lang w:val="sr-Latn-ME"/>
        </w:rPr>
        <w:t>dimetil fumarat</w:t>
      </w:r>
      <w:r w:rsidRPr="00616B65">
        <w:rPr>
          <w:bCs/>
          <w:sz w:val="22"/>
          <w:szCs w:val="22"/>
          <w:lang w:val="sr-Latn-ME"/>
        </w:rPr>
        <w:t xml:space="preserve"> je uticao na fenotipove limfocita preko smanjenja profila pro-inflamatornih citokina (TH1, TH17) pa je bio sklon pro-inflamatornoj produkciji (TH2). </w:t>
      </w:r>
      <w:r w:rsidR="002635CF" w:rsidRPr="00616B65">
        <w:rPr>
          <w:bCs/>
          <w:sz w:val="22"/>
          <w:szCs w:val="22"/>
          <w:lang w:val="sr-Latn-ME"/>
        </w:rPr>
        <w:t>Dimetil fumarat</w:t>
      </w:r>
      <w:r w:rsidRPr="00616B65">
        <w:rPr>
          <w:bCs/>
          <w:sz w:val="22"/>
          <w:szCs w:val="22"/>
          <w:lang w:val="sr-Latn-ME"/>
        </w:rPr>
        <w:t xml:space="preserve"> je pokazao terapijsku aktivnost u višestrukim modelima inflamatorne i neuroinflamatorne povrede. </w:t>
      </w:r>
    </w:p>
    <w:p w14:paraId="4871493A" w14:textId="4410EA42" w:rsidR="00C44275" w:rsidRPr="00616B65" w:rsidRDefault="00C44275">
      <w:pPr>
        <w:tabs>
          <w:tab w:val="left" w:pos="540"/>
          <w:tab w:val="left" w:pos="569"/>
        </w:tabs>
        <w:jc w:val="both"/>
        <w:rPr>
          <w:bCs/>
          <w:sz w:val="22"/>
          <w:szCs w:val="22"/>
          <w:lang w:val="sr-Latn-ME"/>
        </w:rPr>
      </w:pPr>
      <w:r w:rsidRPr="00616B65">
        <w:rPr>
          <w:bCs/>
          <w:sz w:val="22"/>
          <w:szCs w:val="22"/>
          <w:lang w:val="sr-Latn-ME"/>
        </w:rPr>
        <w:lastRenderedPageBreak/>
        <w:t xml:space="preserve">U ispitivanju faze 3 kod pacijenata sa multiplom sklerozom (DEFINE, CONFIRM i ENDORSE), nakon terapije </w:t>
      </w:r>
      <w:r w:rsidR="002635CF" w:rsidRPr="00616B65">
        <w:rPr>
          <w:bCs/>
          <w:sz w:val="22"/>
          <w:szCs w:val="22"/>
          <w:lang w:val="sr-Latn-ME"/>
        </w:rPr>
        <w:t>dimetil fumarat</w:t>
      </w:r>
      <w:r w:rsidRPr="00616B65">
        <w:rPr>
          <w:bCs/>
          <w:sz w:val="22"/>
          <w:szCs w:val="22"/>
          <w:lang w:val="sr-Latn-ME"/>
        </w:rPr>
        <w:t>om srednja vrijednost broj limfocita smanjivala se u prosjeku za približno 30% u odnosu na početnu vrijednost tokom prve godine nakon čega je usl</w:t>
      </w:r>
      <w:r w:rsidR="001632DF" w:rsidRPr="00616B65">
        <w:rPr>
          <w:bCs/>
          <w:sz w:val="22"/>
          <w:szCs w:val="22"/>
          <w:lang w:val="sr-Latn-ME"/>
        </w:rPr>
        <w:t>ij</w:t>
      </w:r>
      <w:r w:rsidRPr="00616B65">
        <w:rPr>
          <w:bCs/>
          <w:sz w:val="22"/>
          <w:szCs w:val="22"/>
          <w:lang w:val="sr-Latn-ME"/>
        </w:rPr>
        <w:t xml:space="preserve">edio plato. U ovim studijama, pacijenti koji su prekinuli terapiju </w:t>
      </w:r>
      <w:r w:rsidR="002635CF" w:rsidRPr="00616B65">
        <w:rPr>
          <w:bCs/>
          <w:sz w:val="22"/>
          <w:szCs w:val="22"/>
          <w:lang w:val="sr-Latn-ME"/>
        </w:rPr>
        <w:t>dimetil fumarat</w:t>
      </w:r>
      <w:r w:rsidRPr="00616B65">
        <w:rPr>
          <w:bCs/>
          <w:sz w:val="22"/>
          <w:szCs w:val="22"/>
          <w:lang w:val="sr-Latn-ME"/>
        </w:rPr>
        <w:t xml:space="preserve">om sa brojem limfocita ispod donje granice normale (DGN , 910 </w:t>
      </w:r>
      <w:r w:rsidR="00231CB4" w:rsidRPr="00616B65">
        <w:rPr>
          <w:bCs/>
          <w:sz w:val="22"/>
          <w:szCs w:val="22"/>
          <w:lang w:val="sr-Latn-ME"/>
        </w:rPr>
        <w:t>ć</w:t>
      </w:r>
      <w:r w:rsidRPr="00616B65">
        <w:rPr>
          <w:bCs/>
          <w:sz w:val="22"/>
          <w:szCs w:val="22"/>
          <w:lang w:val="sr-Latn-ME"/>
        </w:rPr>
        <w:t>elija/mm3) je pra</w:t>
      </w:r>
      <w:r w:rsidR="00231CB4" w:rsidRPr="00616B65">
        <w:rPr>
          <w:bCs/>
          <w:sz w:val="22"/>
          <w:szCs w:val="22"/>
          <w:lang w:val="sr-Latn-ME"/>
        </w:rPr>
        <w:t>ć</w:t>
      </w:r>
      <w:r w:rsidRPr="00616B65">
        <w:rPr>
          <w:bCs/>
          <w:sz w:val="22"/>
          <w:szCs w:val="22"/>
          <w:lang w:val="sr-Latn-ME"/>
        </w:rPr>
        <w:t>eno za oporavak broja limfocita na DGN.</w:t>
      </w:r>
    </w:p>
    <w:p w14:paraId="3D130D96" w14:textId="77777777" w:rsidR="00C44275" w:rsidRPr="00616B65" w:rsidRDefault="00C44275">
      <w:pPr>
        <w:tabs>
          <w:tab w:val="left" w:pos="540"/>
          <w:tab w:val="left" w:pos="569"/>
        </w:tabs>
        <w:jc w:val="both"/>
        <w:rPr>
          <w:bCs/>
          <w:sz w:val="22"/>
          <w:szCs w:val="22"/>
          <w:lang w:val="sr-Latn-ME"/>
        </w:rPr>
      </w:pPr>
    </w:p>
    <w:p w14:paraId="12CCB8CC" w14:textId="356A8D73" w:rsidR="00C44275" w:rsidRPr="00616B65" w:rsidRDefault="00C44275">
      <w:pPr>
        <w:tabs>
          <w:tab w:val="left" w:pos="540"/>
          <w:tab w:val="left" w:pos="569"/>
        </w:tabs>
        <w:jc w:val="both"/>
        <w:rPr>
          <w:bCs/>
          <w:sz w:val="22"/>
          <w:szCs w:val="22"/>
          <w:lang w:val="sr-Latn-ME"/>
        </w:rPr>
      </w:pPr>
      <w:r w:rsidRPr="00616B65">
        <w:rPr>
          <w:bCs/>
          <w:sz w:val="22"/>
          <w:szCs w:val="22"/>
          <w:lang w:val="sr-Latn-ME"/>
        </w:rPr>
        <w:t>Na slici 1. prikazan je udio pacijenata bez produžene teške limfopenije proc</w:t>
      </w:r>
      <w:r w:rsidR="001632DF" w:rsidRPr="00616B65">
        <w:rPr>
          <w:bCs/>
          <w:sz w:val="22"/>
          <w:szCs w:val="22"/>
          <w:lang w:val="sr-Latn-ME"/>
        </w:rPr>
        <w:t>ij</w:t>
      </w:r>
      <w:r w:rsidRPr="00616B65">
        <w:rPr>
          <w:bCs/>
          <w:sz w:val="22"/>
          <w:szCs w:val="22"/>
          <w:lang w:val="sr-Latn-ME"/>
        </w:rPr>
        <w:t xml:space="preserve">enjenih da će dostići DGN na osnovu Kaplan-Meier-ove metode. Vrijednost na početku oporavka (engl. </w:t>
      </w:r>
      <w:r w:rsidRPr="00616B65">
        <w:rPr>
          <w:bCs/>
          <w:i/>
          <w:sz w:val="22"/>
          <w:szCs w:val="22"/>
          <w:lang w:val="sr-Latn-ME"/>
        </w:rPr>
        <w:t>recovery baseline,</w:t>
      </w:r>
      <w:r w:rsidRPr="00616B65">
        <w:rPr>
          <w:bCs/>
          <w:sz w:val="22"/>
          <w:szCs w:val="22"/>
          <w:lang w:val="sr-Latn-ME"/>
        </w:rPr>
        <w:t xml:space="preserve"> RBL) je definisana kao posl</w:t>
      </w:r>
      <w:r w:rsidR="00DA3DF0" w:rsidRPr="00616B65">
        <w:rPr>
          <w:bCs/>
          <w:sz w:val="22"/>
          <w:szCs w:val="22"/>
          <w:lang w:val="sr-Latn-ME"/>
        </w:rPr>
        <w:t>j</w:t>
      </w:r>
      <w:r w:rsidRPr="00616B65">
        <w:rPr>
          <w:bCs/>
          <w:sz w:val="22"/>
          <w:szCs w:val="22"/>
          <w:lang w:val="sr-Latn-ME"/>
        </w:rPr>
        <w:t>ednja vrijednost ABL-a pr</w:t>
      </w:r>
      <w:r w:rsidR="00DA3DF0" w:rsidRPr="00616B65">
        <w:rPr>
          <w:bCs/>
          <w:sz w:val="22"/>
          <w:szCs w:val="22"/>
          <w:lang w:val="sr-Latn-ME"/>
        </w:rPr>
        <w:t>ij</w:t>
      </w:r>
      <w:r w:rsidRPr="00616B65">
        <w:rPr>
          <w:bCs/>
          <w:sz w:val="22"/>
          <w:szCs w:val="22"/>
          <w:lang w:val="sr-Latn-ME"/>
        </w:rPr>
        <w:t xml:space="preserve">e prekida liječenja </w:t>
      </w:r>
      <w:r w:rsidR="002635CF" w:rsidRPr="00616B65">
        <w:rPr>
          <w:bCs/>
          <w:sz w:val="22"/>
          <w:szCs w:val="22"/>
          <w:lang w:val="sr-Latn-ME"/>
        </w:rPr>
        <w:t>dimetil fumarat</w:t>
      </w:r>
      <w:r w:rsidRPr="00616B65">
        <w:rPr>
          <w:bCs/>
          <w:sz w:val="22"/>
          <w:szCs w:val="22"/>
          <w:lang w:val="sr-Latn-ME"/>
        </w:rPr>
        <w:t>om. Proc</w:t>
      </w:r>
      <w:r w:rsidR="00DA3DF0" w:rsidRPr="00616B65">
        <w:rPr>
          <w:bCs/>
          <w:sz w:val="22"/>
          <w:szCs w:val="22"/>
          <w:lang w:val="sr-Latn-ME"/>
        </w:rPr>
        <w:t>ij</w:t>
      </w:r>
      <w:r w:rsidRPr="00616B65">
        <w:rPr>
          <w:bCs/>
          <w:sz w:val="22"/>
          <w:szCs w:val="22"/>
          <w:lang w:val="sr-Latn-ME"/>
        </w:rPr>
        <w:t>enjeni ud</w:t>
      </w:r>
      <w:r w:rsidR="00DA3DF0" w:rsidRPr="00616B65">
        <w:rPr>
          <w:bCs/>
          <w:sz w:val="22"/>
          <w:szCs w:val="22"/>
          <w:lang w:val="sr-Latn-ME"/>
        </w:rPr>
        <w:t>i</w:t>
      </w:r>
      <w:r w:rsidRPr="00616B65">
        <w:rPr>
          <w:bCs/>
          <w:sz w:val="22"/>
          <w:szCs w:val="22"/>
          <w:lang w:val="sr-Latn-ME"/>
        </w:rPr>
        <w:t>o pacijenata s</w:t>
      </w:r>
      <w:r w:rsidR="00DA3DF0" w:rsidRPr="00616B65">
        <w:rPr>
          <w:bCs/>
          <w:sz w:val="22"/>
          <w:szCs w:val="22"/>
          <w:lang w:val="sr-Latn-ME"/>
        </w:rPr>
        <w:t>a</w:t>
      </w:r>
      <w:r w:rsidRPr="00616B65">
        <w:rPr>
          <w:bCs/>
          <w:sz w:val="22"/>
          <w:szCs w:val="22"/>
          <w:lang w:val="sr-Latn-ME"/>
        </w:rPr>
        <w:t xml:space="preserve"> blagom, umjerenom i teškom limfopenijom pri RBL-u kod kojih se broj limfocita vratio do DGN (ABL ≥ 0,9 x 10</w:t>
      </w:r>
      <w:r w:rsidRPr="00616B65">
        <w:rPr>
          <w:bCs/>
          <w:sz w:val="22"/>
          <w:szCs w:val="22"/>
          <w:vertAlign w:val="superscript"/>
          <w:lang w:val="sr-Latn-ME"/>
        </w:rPr>
        <w:t>9</w:t>
      </w:r>
      <w:r w:rsidRPr="00616B65">
        <w:rPr>
          <w:bCs/>
          <w:sz w:val="22"/>
          <w:szCs w:val="22"/>
          <w:lang w:val="sr-Latn-ME"/>
        </w:rPr>
        <w:t xml:space="preserve"> /</w:t>
      </w:r>
      <w:r w:rsidR="00DA3DF0" w:rsidRPr="00616B65">
        <w:rPr>
          <w:bCs/>
          <w:sz w:val="22"/>
          <w:szCs w:val="22"/>
          <w:lang w:val="sr-Latn-ME"/>
        </w:rPr>
        <w:t>l</w:t>
      </w:r>
      <w:r w:rsidRPr="00616B65">
        <w:rPr>
          <w:bCs/>
          <w:sz w:val="22"/>
          <w:szCs w:val="22"/>
          <w:lang w:val="sr-Latn-ME"/>
        </w:rPr>
        <w:t>) u 12. ned</w:t>
      </w:r>
      <w:r w:rsidR="00DA3DF0" w:rsidRPr="00616B65">
        <w:rPr>
          <w:bCs/>
          <w:sz w:val="22"/>
          <w:szCs w:val="22"/>
          <w:lang w:val="sr-Latn-ME"/>
        </w:rPr>
        <w:t>j</w:t>
      </w:r>
      <w:r w:rsidRPr="00616B65">
        <w:rPr>
          <w:bCs/>
          <w:sz w:val="22"/>
          <w:szCs w:val="22"/>
          <w:lang w:val="sr-Latn-ME"/>
        </w:rPr>
        <w:t>elji i 24. ned</w:t>
      </w:r>
      <w:r w:rsidR="00DA3DF0" w:rsidRPr="00616B65">
        <w:rPr>
          <w:bCs/>
          <w:sz w:val="22"/>
          <w:szCs w:val="22"/>
          <w:lang w:val="sr-Latn-ME"/>
        </w:rPr>
        <w:t>j</w:t>
      </w:r>
      <w:r w:rsidRPr="00616B65">
        <w:rPr>
          <w:bCs/>
          <w:sz w:val="22"/>
          <w:szCs w:val="22"/>
          <w:lang w:val="sr-Latn-ME"/>
        </w:rPr>
        <w:t>elji, prikazan je u tabelama 1, 2. i 3 uz 95%-tne intervale pouzdanosti. Standardna greška Kaplan-Meier proc</w:t>
      </w:r>
      <w:r w:rsidR="00DA3DF0" w:rsidRPr="00616B65">
        <w:rPr>
          <w:bCs/>
          <w:sz w:val="22"/>
          <w:szCs w:val="22"/>
          <w:lang w:val="sr-Latn-ME"/>
        </w:rPr>
        <w:t>j</w:t>
      </w:r>
      <w:r w:rsidRPr="00616B65">
        <w:rPr>
          <w:bCs/>
          <w:sz w:val="22"/>
          <w:szCs w:val="22"/>
          <w:lang w:val="sr-Latn-ME"/>
        </w:rPr>
        <w:t>ene funkcije preživljavanja izračunata je pomoću Greenwood-ove formule.</w:t>
      </w:r>
    </w:p>
    <w:p w14:paraId="78532C54" w14:textId="77777777" w:rsidR="002E37A5" w:rsidRPr="00616B65" w:rsidRDefault="002E37A5" w:rsidP="005A340E">
      <w:pPr>
        <w:tabs>
          <w:tab w:val="left" w:pos="540"/>
          <w:tab w:val="left" w:pos="569"/>
        </w:tabs>
        <w:jc w:val="both"/>
        <w:rPr>
          <w:b/>
          <w:bCs/>
          <w:sz w:val="22"/>
          <w:szCs w:val="22"/>
          <w:lang w:val="sr-Latn-ME"/>
        </w:rPr>
      </w:pPr>
    </w:p>
    <w:p w14:paraId="238BCA4F" w14:textId="051FAF90" w:rsidR="00C44275" w:rsidRPr="00616B65" w:rsidRDefault="00C44275" w:rsidP="005A340E">
      <w:pPr>
        <w:tabs>
          <w:tab w:val="left" w:pos="540"/>
          <w:tab w:val="left" w:pos="569"/>
        </w:tabs>
        <w:jc w:val="center"/>
        <w:rPr>
          <w:b/>
          <w:bCs/>
          <w:sz w:val="22"/>
          <w:szCs w:val="22"/>
          <w:lang w:val="sr-Latn-ME"/>
        </w:rPr>
      </w:pPr>
      <w:r w:rsidRPr="00616B65">
        <w:rPr>
          <w:b/>
          <w:bCs/>
          <w:sz w:val="22"/>
          <w:szCs w:val="22"/>
          <w:lang w:val="sr-Latn-ME"/>
        </w:rPr>
        <w:t>Slika 1: Kaplan-Meier-ova metoda; udio pacijenata kod kojih se broj limfocita vratio do ≥ 910 ćelija/mm3 (0,9 × 10</w:t>
      </w:r>
      <w:r w:rsidRPr="00616B65">
        <w:rPr>
          <w:b/>
          <w:bCs/>
          <w:sz w:val="22"/>
          <w:szCs w:val="22"/>
          <w:vertAlign w:val="superscript"/>
          <w:lang w:val="sr-Latn-ME"/>
        </w:rPr>
        <w:t>9</w:t>
      </w:r>
      <w:r w:rsidRPr="00616B65">
        <w:rPr>
          <w:b/>
          <w:bCs/>
          <w:sz w:val="22"/>
          <w:szCs w:val="22"/>
          <w:lang w:val="sr-Latn-ME"/>
        </w:rPr>
        <w:t>/l) DGN u odnosu na vrijednost na početku oporavka (RBL)</w:t>
      </w:r>
    </w:p>
    <w:p w14:paraId="085EC782" w14:textId="77777777" w:rsidR="00C44275" w:rsidRPr="00616B65" w:rsidRDefault="00C44275" w:rsidP="005A340E">
      <w:pPr>
        <w:tabs>
          <w:tab w:val="left" w:pos="540"/>
          <w:tab w:val="left" w:pos="569"/>
        </w:tabs>
        <w:jc w:val="center"/>
        <w:rPr>
          <w:b/>
          <w:bCs/>
          <w:sz w:val="22"/>
          <w:szCs w:val="22"/>
          <w:lang w:val="sr-Latn-ME"/>
        </w:rPr>
      </w:pPr>
    </w:p>
    <w:p w14:paraId="3F4713FB" w14:textId="7CEDEBB6" w:rsidR="00C44275" w:rsidRPr="00616B65" w:rsidRDefault="00C44275" w:rsidP="00C44275">
      <w:pPr>
        <w:tabs>
          <w:tab w:val="left" w:pos="540"/>
          <w:tab w:val="left" w:pos="569"/>
        </w:tabs>
        <w:jc w:val="both"/>
        <w:rPr>
          <w:b/>
          <w:bCs/>
          <w:sz w:val="22"/>
          <w:szCs w:val="22"/>
          <w:lang w:val="sr-Latn-ME"/>
        </w:rPr>
      </w:pPr>
      <w:r w:rsidRPr="00616B65">
        <w:rPr>
          <w:noProof/>
          <w:sz w:val="22"/>
          <w:szCs w:val="22"/>
          <w:u w:val="single"/>
          <w:lang w:val="sr-Latn-ME"/>
        </w:rPr>
        <w:drawing>
          <wp:inline distT="0" distB="0" distL="0" distR="0" wp14:anchorId="4E78A911" wp14:editId="0906CECD">
            <wp:extent cx="6109335" cy="3290602"/>
            <wp:effectExtent l="0" t="0" r="5715" b="5080"/>
            <wp:docPr id="108138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672" cy="3294554"/>
                    </a:xfrm>
                    <a:prstGeom prst="rect">
                      <a:avLst/>
                    </a:prstGeom>
                    <a:noFill/>
                    <a:ln>
                      <a:noFill/>
                    </a:ln>
                  </pic:spPr>
                </pic:pic>
              </a:graphicData>
            </a:graphic>
          </wp:inline>
        </w:drawing>
      </w:r>
    </w:p>
    <w:p w14:paraId="39A1346B" w14:textId="2A86C015" w:rsidR="00C44275" w:rsidRPr="00616B65" w:rsidRDefault="00C44275" w:rsidP="00C31FAA">
      <w:pPr>
        <w:tabs>
          <w:tab w:val="left" w:pos="540"/>
          <w:tab w:val="left" w:pos="569"/>
        </w:tabs>
        <w:jc w:val="both"/>
        <w:rPr>
          <w:sz w:val="22"/>
          <w:szCs w:val="22"/>
          <w:lang w:val="sr-Latn-ME"/>
        </w:rPr>
      </w:pPr>
      <w:r w:rsidRPr="00616B65">
        <w:rPr>
          <w:sz w:val="22"/>
          <w:szCs w:val="22"/>
          <w:lang w:val="sr-Latn-ME"/>
        </w:rPr>
        <w:t>Napomena: 500 ćelija/mm3, 800 ćelija/mm3, 910 ćelija/mm3 odgovara 0,5 × 10</w:t>
      </w:r>
      <w:r w:rsidRPr="00616B65">
        <w:rPr>
          <w:sz w:val="22"/>
          <w:szCs w:val="22"/>
          <w:vertAlign w:val="superscript"/>
          <w:lang w:val="sr-Latn-ME"/>
        </w:rPr>
        <w:t>9</w:t>
      </w:r>
      <w:r w:rsidRPr="00616B65">
        <w:rPr>
          <w:sz w:val="22"/>
          <w:szCs w:val="22"/>
          <w:lang w:val="sr-Latn-ME"/>
        </w:rPr>
        <w:t>/l, 0,8 × 109/l odnosno 0,9 × 10</w:t>
      </w:r>
      <w:r w:rsidRPr="00616B65">
        <w:rPr>
          <w:sz w:val="22"/>
          <w:szCs w:val="22"/>
          <w:vertAlign w:val="superscript"/>
          <w:lang w:val="sr-Latn-ME"/>
        </w:rPr>
        <w:t>9</w:t>
      </w:r>
      <w:r w:rsidRPr="00616B65">
        <w:rPr>
          <w:sz w:val="22"/>
          <w:szCs w:val="22"/>
          <w:lang w:val="sr-Latn-ME"/>
        </w:rPr>
        <w:t>/l.</w:t>
      </w:r>
    </w:p>
    <w:p w14:paraId="6F5AF001" w14:textId="77777777" w:rsidR="00C44275" w:rsidRPr="00616B65" w:rsidRDefault="00C44275" w:rsidP="005A340E">
      <w:pPr>
        <w:tabs>
          <w:tab w:val="left" w:pos="540"/>
          <w:tab w:val="left" w:pos="569"/>
        </w:tabs>
        <w:jc w:val="both"/>
        <w:rPr>
          <w:b/>
          <w:bCs/>
          <w:sz w:val="22"/>
          <w:szCs w:val="22"/>
          <w:lang w:val="sr-Latn-ME"/>
        </w:rPr>
      </w:pPr>
    </w:p>
    <w:p w14:paraId="08BC79D5" w14:textId="53C1506A" w:rsidR="00C44275" w:rsidRPr="00616B65" w:rsidRDefault="00C44275" w:rsidP="005A340E">
      <w:pPr>
        <w:tabs>
          <w:tab w:val="left" w:pos="540"/>
          <w:tab w:val="left" w:pos="569"/>
        </w:tabs>
        <w:jc w:val="center"/>
        <w:rPr>
          <w:b/>
          <w:bCs/>
          <w:sz w:val="22"/>
          <w:szCs w:val="22"/>
          <w:lang w:val="sr-Latn-ME"/>
        </w:rPr>
      </w:pPr>
      <w:r w:rsidRPr="00616B65">
        <w:rPr>
          <w:b/>
          <w:bCs/>
          <w:sz w:val="22"/>
          <w:szCs w:val="22"/>
          <w:lang w:val="sr-Latn-ME"/>
        </w:rPr>
        <w:t xml:space="preserve">Tabela </w:t>
      </w:r>
      <w:r w:rsidR="00DA3DF0" w:rsidRPr="00616B65">
        <w:rPr>
          <w:b/>
          <w:bCs/>
          <w:sz w:val="22"/>
          <w:szCs w:val="22"/>
          <w:lang w:val="sr-Latn-ME"/>
        </w:rPr>
        <w:t>2</w:t>
      </w:r>
      <w:r w:rsidRPr="00616B65">
        <w:rPr>
          <w:b/>
          <w:bCs/>
          <w:sz w:val="22"/>
          <w:szCs w:val="22"/>
          <w:lang w:val="sr-Latn-ME"/>
        </w:rPr>
        <w:t>: Kaplan-Meier-ova metoda; ud</w:t>
      </w:r>
      <w:r w:rsidR="00383D59" w:rsidRPr="00616B65">
        <w:rPr>
          <w:b/>
          <w:bCs/>
          <w:sz w:val="22"/>
          <w:szCs w:val="22"/>
          <w:lang w:val="sr-Latn-ME"/>
        </w:rPr>
        <w:t>i</w:t>
      </w:r>
      <w:r w:rsidRPr="00616B65">
        <w:rPr>
          <w:b/>
          <w:bCs/>
          <w:sz w:val="22"/>
          <w:szCs w:val="22"/>
          <w:lang w:val="sr-Latn-ME"/>
        </w:rPr>
        <w:t>o pacijenata proc</w:t>
      </w:r>
      <w:r w:rsidR="00383D59" w:rsidRPr="00616B65">
        <w:rPr>
          <w:b/>
          <w:bCs/>
          <w:sz w:val="22"/>
          <w:szCs w:val="22"/>
          <w:lang w:val="sr-Latn-ME"/>
        </w:rPr>
        <w:t>ij</w:t>
      </w:r>
      <w:r w:rsidRPr="00616B65">
        <w:rPr>
          <w:b/>
          <w:bCs/>
          <w:sz w:val="22"/>
          <w:szCs w:val="22"/>
          <w:lang w:val="sr-Latn-ME"/>
        </w:rPr>
        <w:t>enjenih da će dosegnuti DGN, blaga limfopenija prema vr</w:t>
      </w:r>
      <w:r w:rsidR="00383D59" w:rsidRPr="00616B65">
        <w:rPr>
          <w:b/>
          <w:bCs/>
          <w:sz w:val="22"/>
          <w:szCs w:val="22"/>
          <w:lang w:val="sr-Latn-ME"/>
        </w:rPr>
        <w:t>ij</w:t>
      </w:r>
      <w:r w:rsidR="00DA3DF0" w:rsidRPr="00616B65">
        <w:rPr>
          <w:b/>
          <w:bCs/>
          <w:sz w:val="22"/>
          <w:szCs w:val="22"/>
          <w:lang w:val="sr-Latn-ME"/>
        </w:rPr>
        <w:t>e</w:t>
      </w:r>
      <w:r w:rsidRPr="00616B65">
        <w:rPr>
          <w:b/>
          <w:bCs/>
          <w:sz w:val="22"/>
          <w:szCs w:val="22"/>
          <w:lang w:val="sr-Latn-ME"/>
        </w:rPr>
        <w:t>dnosti na početku oporavka (RBL), izuzev pacijenata s</w:t>
      </w:r>
      <w:r w:rsidR="00DA3DF0" w:rsidRPr="00616B65">
        <w:rPr>
          <w:b/>
          <w:bCs/>
          <w:sz w:val="22"/>
          <w:szCs w:val="22"/>
          <w:lang w:val="sr-Latn-ME"/>
        </w:rPr>
        <w:t>a</w:t>
      </w:r>
      <w:r w:rsidRPr="00616B65">
        <w:rPr>
          <w:b/>
          <w:bCs/>
          <w:sz w:val="22"/>
          <w:szCs w:val="22"/>
          <w:lang w:val="sr-Latn-ME"/>
        </w:rPr>
        <w:t xml:space="preserve"> produženom teškom limfopenijom</w:t>
      </w:r>
    </w:p>
    <w:p w14:paraId="4DE78016" w14:textId="77777777" w:rsidR="00383D59" w:rsidRPr="00616B65" w:rsidRDefault="00383D59" w:rsidP="005A340E">
      <w:pPr>
        <w:tabs>
          <w:tab w:val="left" w:pos="540"/>
          <w:tab w:val="left" w:pos="569"/>
        </w:tabs>
        <w:jc w:val="center"/>
        <w:rPr>
          <w:b/>
          <w:bCs/>
          <w:sz w:val="22"/>
          <w:szCs w:val="22"/>
          <w:lang w:val="sr-Latn-ME"/>
        </w:rPr>
      </w:pPr>
    </w:p>
    <w:tbl>
      <w:tblPr>
        <w:tblStyle w:val="TableGrid"/>
        <w:tblW w:w="0" w:type="auto"/>
        <w:tblInd w:w="-5" w:type="dxa"/>
        <w:tblLook w:val="04A0" w:firstRow="1" w:lastRow="0" w:firstColumn="1" w:lastColumn="0" w:noHBand="0" w:noVBand="1"/>
      </w:tblPr>
      <w:tblGrid>
        <w:gridCol w:w="2665"/>
        <w:gridCol w:w="2013"/>
        <w:gridCol w:w="2207"/>
        <w:gridCol w:w="2183"/>
      </w:tblGrid>
      <w:tr w:rsidR="00383D59" w:rsidRPr="00616B65" w14:paraId="10F4EFF6" w14:textId="77777777" w:rsidTr="00383D59">
        <w:tc>
          <w:tcPr>
            <w:tcW w:w="2665" w:type="dxa"/>
          </w:tcPr>
          <w:p w14:paraId="092D4734"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Broj pacijenata</w:t>
            </w:r>
          </w:p>
          <w:p w14:paraId="291148D8"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sa blagom limfopenijom</w:t>
            </w:r>
            <w:r w:rsidRPr="00616B65">
              <w:rPr>
                <w:rFonts w:ascii="Times New Roman" w:hAnsi="Times New Roman" w:cs="Times New Roman"/>
                <w:b/>
                <w:bCs/>
                <w:vertAlign w:val="superscript"/>
                <w:lang w:val="sr-Latn-ME"/>
              </w:rPr>
              <w:t>(a)</w:t>
            </w:r>
          </w:p>
          <w:p w14:paraId="17244DBA"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u riziku</w:t>
            </w:r>
          </w:p>
        </w:tc>
        <w:tc>
          <w:tcPr>
            <w:tcW w:w="2013" w:type="dxa"/>
          </w:tcPr>
          <w:p w14:paraId="66C6A871" w14:textId="77777777" w:rsidR="00383D59" w:rsidRPr="00616B65" w:rsidRDefault="00383D59" w:rsidP="00C31FAA">
            <w:pPr>
              <w:pStyle w:val="BodyText"/>
              <w:jc w:val="center"/>
              <w:rPr>
                <w:rFonts w:ascii="Times New Roman" w:hAnsi="Times New Roman" w:cs="Times New Roman"/>
                <w:b/>
                <w:bCs/>
                <w:lang w:val="sr-Latn-ME"/>
              </w:rPr>
            </w:pPr>
            <w:r w:rsidRPr="00616B65">
              <w:rPr>
                <w:rFonts w:ascii="Times New Roman" w:hAnsi="Times New Roman" w:cs="Times New Roman"/>
                <w:b/>
                <w:bCs/>
                <w:lang w:val="sr-Latn-ME"/>
              </w:rPr>
              <w:t>Početak</w:t>
            </w:r>
          </w:p>
          <w:p w14:paraId="6E38E904"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N=86</w:t>
            </w:r>
          </w:p>
        </w:tc>
        <w:tc>
          <w:tcPr>
            <w:tcW w:w="2207" w:type="dxa"/>
          </w:tcPr>
          <w:p w14:paraId="185022DC" w14:textId="18C11C42" w:rsidR="00383D59" w:rsidRPr="00616B65" w:rsidRDefault="00383D59" w:rsidP="00C31FAA">
            <w:pPr>
              <w:pStyle w:val="BodyText"/>
              <w:jc w:val="center"/>
              <w:rPr>
                <w:rFonts w:ascii="Times New Roman" w:hAnsi="Times New Roman" w:cs="Times New Roman"/>
                <w:b/>
                <w:bCs/>
                <w:lang w:val="sr-Latn-ME"/>
              </w:rPr>
            </w:pPr>
            <w:r w:rsidRPr="00616B65">
              <w:rPr>
                <w:rFonts w:ascii="Times New Roman" w:hAnsi="Times New Roman" w:cs="Times New Roman"/>
                <w:b/>
                <w:bCs/>
                <w:lang w:val="sr-Latn-ME"/>
              </w:rPr>
              <w:t>12. ned</w:t>
            </w:r>
            <w:r w:rsidR="00DA3DF0" w:rsidRPr="00616B65">
              <w:rPr>
                <w:rFonts w:ascii="Times New Roman" w:hAnsi="Times New Roman" w:cs="Times New Roman"/>
                <w:b/>
                <w:bCs/>
                <w:lang w:val="sr-Latn-ME"/>
              </w:rPr>
              <w:t>j</w:t>
            </w:r>
            <w:r w:rsidRPr="00616B65">
              <w:rPr>
                <w:rFonts w:ascii="Times New Roman" w:hAnsi="Times New Roman" w:cs="Times New Roman"/>
                <w:b/>
                <w:bCs/>
                <w:lang w:val="sr-Latn-ME"/>
              </w:rPr>
              <w:t xml:space="preserve">elja </w:t>
            </w:r>
          </w:p>
          <w:p w14:paraId="555614AF"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N=12</w:t>
            </w:r>
          </w:p>
        </w:tc>
        <w:tc>
          <w:tcPr>
            <w:tcW w:w="2183" w:type="dxa"/>
          </w:tcPr>
          <w:p w14:paraId="62645158" w14:textId="188A9731" w:rsidR="00383D59" w:rsidRPr="00616B65" w:rsidRDefault="00383D59" w:rsidP="00C31FAA">
            <w:pPr>
              <w:widowControl/>
              <w:adjustRightInd w:val="0"/>
              <w:jc w:val="center"/>
              <w:rPr>
                <w:rFonts w:ascii="Times New Roman" w:hAnsi="Times New Roman" w:cs="Times New Roman"/>
                <w:b/>
                <w:bCs/>
                <w:sz w:val="22"/>
                <w:szCs w:val="22"/>
                <w:lang w:val="sr-Latn-ME"/>
              </w:rPr>
            </w:pPr>
            <w:r w:rsidRPr="00616B65">
              <w:rPr>
                <w:rFonts w:ascii="Times New Roman" w:hAnsi="Times New Roman" w:cs="Times New Roman"/>
                <w:b/>
                <w:bCs/>
                <w:sz w:val="22"/>
                <w:szCs w:val="22"/>
                <w:lang w:val="sr-Latn-ME"/>
              </w:rPr>
              <w:t>24. ned</w:t>
            </w:r>
            <w:r w:rsidR="00DA3DF0" w:rsidRPr="00616B65">
              <w:rPr>
                <w:rFonts w:ascii="Times New Roman" w:hAnsi="Times New Roman" w:cs="Times New Roman"/>
                <w:b/>
                <w:bCs/>
                <w:sz w:val="22"/>
                <w:szCs w:val="22"/>
                <w:lang w:val="sr-Latn-ME"/>
              </w:rPr>
              <w:t>j</w:t>
            </w:r>
            <w:r w:rsidRPr="00616B65">
              <w:rPr>
                <w:rFonts w:ascii="Times New Roman" w:hAnsi="Times New Roman" w:cs="Times New Roman"/>
                <w:b/>
                <w:bCs/>
                <w:sz w:val="22"/>
                <w:szCs w:val="22"/>
                <w:lang w:val="sr-Latn-ME"/>
              </w:rPr>
              <w:t xml:space="preserve">elja </w:t>
            </w:r>
          </w:p>
          <w:p w14:paraId="3D9179A8"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N=4</w:t>
            </w:r>
          </w:p>
        </w:tc>
      </w:tr>
      <w:tr w:rsidR="00383D59" w:rsidRPr="00616B65" w14:paraId="5F8640EC" w14:textId="77777777" w:rsidTr="00383D59">
        <w:tc>
          <w:tcPr>
            <w:tcW w:w="2665" w:type="dxa"/>
          </w:tcPr>
          <w:p w14:paraId="1FA66040" w14:textId="4CF193F4" w:rsidR="00383D59" w:rsidRPr="00616B65" w:rsidRDefault="00383D59" w:rsidP="00C31FAA">
            <w:pPr>
              <w:pStyle w:val="BodyText"/>
              <w:ind w:left="0"/>
              <w:rPr>
                <w:rFonts w:ascii="Times New Roman" w:hAnsi="Times New Roman" w:cs="Times New Roman"/>
                <w:b/>
                <w:bCs/>
                <w:lang w:val="sr-Latn-ME"/>
              </w:rPr>
            </w:pPr>
            <w:r w:rsidRPr="00616B65">
              <w:rPr>
                <w:rFonts w:ascii="Times New Roman" w:hAnsi="Times New Roman" w:cs="Times New Roman"/>
                <w:lang w:val="sr-Latn-ME"/>
              </w:rPr>
              <w:t>Udio pacijenata koji je dostigao DGN (95% CI)</w:t>
            </w:r>
          </w:p>
        </w:tc>
        <w:tc>
          <w:tcPr>
            <w:tcW w:w="2013" w:type="dxa"/>
          </w:tcPr>
          <w:p w14:paraId="4CC72D59" w14:textId="77777777" w:rsidR="00383D59" w:rsidRPr="00616B65" w:rsidRDefault="00383D59" w:rsidP="00C31FAA">
            <w:pPr>
              <w:pStyle w:val="BodyText"/>
              <w:ind w:left="0"/>
              <w:jc w:val="both"/>
              <w:rPr>
                <w:rFonts w:ascii="Times New Roman" w:hAnsi="Times New Roman" w:cs="Times New Roman"/>
                <w:b/>
                <w:bCs/>
                <w:lang w:val="sr-Latn-ME"/>
              </w:rPr>
            </w:pPr>
          </w:p>
        </w:tc>
        <w:tc>
          <w:tcPr>
            <w:tcW w:w="2207" w:type="dxa"/>
          </w:tcPr>
          <w:p w14:paraId="10238EB8" w14:textId="77777777" w:rsidR="00383D59" w:rsidRPr="00616B65" w:rsidRDefault="00383D59" w:rsidP="00C31FAA">
            <w:pPr>
              <w:widowControl/>
              <w:adjustRightInd w:val="0"/>
              <w:jc w:val="center"/>
              <w:rPr>
                <w:rFonts w:ascii="Times New Roman" w:hAnsi="Times New Roman" w:cs="Times New Roman"/>
                <w:sz w:val="22"/>
                <w:szCs w:val="22"/>
                <w:lang w:val="sr-Latn-ME"/>
              </w:rPr>
            </w:pPr>
            <w:r w:rsidRPr="00616B65">
              <w:rPr>
                <w:rFonts w:ascii="Times New Roman" w:hAnsi="Times New Roman" w:cs="Times New Roman"/>
                <w:sz w:val="22"/>
                <w:szCs w:val="22"/>
                <w:lang w:val="sr-Latn-ME"/>
              </w:rPr>
              <w:t>0.81</w:t>
            </w:r>
          </w:p>
          <w:p w14:paraId="3F26E516"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lang w:val="sr-Latn-ME"/>
              </w:rPr>
              <w:t>(0.71, 0.89)</w:t>
            </w:r>
          </w:p>
        </w:tc>
        <w:tc>
          <w:tcPr>
            <w:tcW w:w="2183" w:type="dxa"/>
          </w:tcPr>
          <w:p w14:paraId="522F5854" w14:textId="77777777" w:rsidR="00383D59" w:rsidRPr="00616B65" w:rsidRDefault="00383D59" w:rsidP="00C31FAA">
            <w:pPr>
              <w:widowControl/>
              <w:adjustRightInd w:val="0"/>
              <w:jc w:val="center"/>
              <w:rPr>
                <w:rFonts w:ascii="Times New Roman" w:hAnsi="Times New Roman" w:cs="Times New Roman"/>
                <w:sz w:val="22"/>
                <w:szCs w:val="22"/>
                <w:lang w:val="sr-Latn-ME"/>
              </w:rPr>
            </w:pPr>
            <w:r w:rsidRPr="00616B65">
              <w:rPr>
                <w:rFonts w:ascii="Times New Roman" w:hAnsi="Times New Roman" w:cs="Times New Roman"/>
                <w:sz w:val="22"/>
                <w:szCs w:val="22"/>
                <w:lang w:val="sr-Latn-ME"/>
              </w:rPr>
              <w:t>0.90</w:t>
            </w:r>
          </w:p>
          <w:p w14:paraId="7D5C7876"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lang w:val="sr-Latn-ME"/>
              </w:rPr>
              <w:t>(0.81, 0.96)</w:t>
            </w:r>
          </w:p>
        </w:tc>
      </w:tr>
    </w:tbl>
    <w:p w14:paraId="6C6C4FC9" w14:textId="77777777" w:rsidR="00383D59" w:rsidRPr="00616B65" w:rsidRDefault="00383D59" w:rsidP="00C44275">
      <w:pPr>
        <w:tabs>
          <w:tab w:val="left" w:pos="540"/>
          <w:tab w:val="left" w:pos="569"/>
        </w:tabs>
        <w:jc w:val="both"/>
        <w:rPr>
          <w:b/>
          <w:bCs/>
          <w:sz w:val="22"/>
          <w:szCs w:val="22"/>
          <w:lang w:val="sr-Latn-ME"/>
        </w:rPr>
      </w:pPr>
    </w:p>
    <w:p w14:paraId="79868B66" w14:textId="3A36D1F8" w:rsidR="00383D59" w:rsidRPr="00616B65" w:rsidRDefault="00383D59" w:rsidP="00383D59">
      <w:pPr>
        <w:tabs>
          <w:tab w:val="left" w:pos="540"/>
          <w:tab w:val="left" w:pos="569"/>
        </w:tabs>
        <w:jc w:val="both"/>
        <w:rPr>
          <w:sz w:val="22"/>
          <w:szCs w:val="22"/>
          <w:lang w:val="sr-Latn-ME"/>
        </w:rPr>
      </w:pPr>
      <w:r w:rsidRPr="00616B65">
        <w:rPr>
          <w:sz w:val="22"/>
          <w:szCs w:val="22"/>
          <w:lang w:val="sr-Latn-ME"/>
        </w:rPr>
        <w:t>(a) Pacijenti sa ABL &lt;</w:t>
      </w:r>
      <w:r w:rsidR="00DA3DF0" w:rsidRPr="00616B65">
        <w:rPr>
          <w:sz w:val="22"/>
          <w:szCs w:val="22"/>
          <w:lang w:val="sr-Latn-ME"/>
        </w:rPr>
        <w:t xml:space="preserve"> </w:t>
      </w:r>
      <w:r w:rsidRPr="00616B65">
        <w:rPr>
          <w:sz w:val="22"/>
          <w:szCs w:val="22"/>
          <w:lang w:val="sr-Latn-ME"/>
        </w:rPr>
        <w:t>910 i ≥</w:t>
      </w:r>
      <w:r w:rsidR="00DA3DF0" w:rsidRPr="00616B65">
        <w:rPr>
          <w:sz w:val="22"/>
          <w:szCs w:val="22"/>
          <w:lang w:val="sr-Latn-ME"/>
        </w:rPr>
        <w:t xml:space="preserve"> </w:t>
      </w:r>
      <w:r w:rsidRPr="00616B65">
        <w:rPr>
          <w:sz w:val="22"/>
          <w:szCs w:val="22"/>
          <w:lang w:val="sr-Latn-ME"/>
        </w:rPr>
        <w:t xml:space="preserve">800 </w:t>
      </w:r>
      <w:r w:rsidR="00231CB4" w:rsidRPr="00616B65">
        <w:rPr>
          <w:sz w:val="22"/>
          <w:szCs w:val="22"/>
          <w:lang w:val="sr-Latn-ME"/>
        </w:rPr>
        <w:t>ć</w:t>
      </w:r>
      <w:r w:rsidRPr="00616B65">
        <w:rPr>
          <w:sz w:val="22"/>
          <w:szCs w:val="22"/>
          <w:lang w:val="sr-Latn-ME"/>
        </w:rPr>
        <w:t>elija/mm</w:t>
      </w:r>
      <w:r w:rsidRPr="00616B65">
        <w:rPr>
          <w:sz w:val="22"/>
          <w:szCs w:val="22"/>
          <w:vertAlign w:val="superscript"/>
          <w:lang w:val="sr-Latn-ME"/>
        </w:rPr>
        <w:t>3</w:t>
      </w:r>
      <w:r w:rsidRPr="00616B65">
        <w:rPr>
          <w:sz w:val="22"/>
          <w:szCs w:val="22"/>
          <w:lang w:val="sr-Latn-ME"/>
        </w:rPr>
        <w:t xml:space="preserve"> pri RBL, izuzev pacijenata sa produženom teškom limfopenijom.</w:t>
      </w:r>
    </w:p>
    <w:p w14:paraId="399EB587" w14:textId="7ABA9DC1" w:rsidR="00383D59" w:rsidRPr="00616B65" w:rsidRDefault="00383D59" w:rsidP="00383D59">
      <w:pPr>
        <w:tabs>
          <w:tab w:val="left" w:pos="540"/>
          <w:tab w:val="left" w:pos="569"/>
        </w:tabs>
        <w:jc w:val="both"/>
        <w:rPr>
          <w:b/>
          <w:bCs/>
          <w:sz w:val="22"/>
          <w:szCs w:val="22"/>
          <w:lang w:val="sr-Latn-ME"/>
        </w:rPr>
      </w:pPr>
    </w:p>
    <w:p w14:paraId="6442DE76" w14:textId="77777777" w:rsidR="00231CB4" w:rsidRPr="00616B65" w:rsidRDefault="00231CB4" w:rsidP="00383D59">
      <w:pPr>
        <w:tabs>
          <w:tab w:val="left" w:pos="540"/>
          <w:tab w:val="left" w:pos="569"/>
        </w:tabs>
        <w:jc w:val="both"/>
        <w:rPr>
          <w:b/>
          <w:bCs/>
          <w:sz w:val="22"/>
          <w:szCs w:val="22"/>
          <w:lang w:val="sr-Latn-ME"/>
        </w:rPr>
      </w:pPr>
    </w:p>
    <w:p w14:paraId="63046045" w14:textId="6421DA4D" w:rsidR="00C44275" w:rsidRPr="00616B65" w:rsidRDefault="00383D59" w:rsidP="005A340E">
      <w:pPr>
        <w:tabs>
          <w:tab w:val="left" w:pos="540"/>
          <w:tab w:val="left" w:pos="569"/>
        </w:tabs>
        <w:jc w:val="center"/>
        <w:rPr>
          <w:b/>
          <w:bCs/>
          <w:sz w:val="22"/>
          <w:szCs w:val="22"/>
          <w:lang w:val="sr-Latn-ME"/>
        </w:rPr>
      </w:pPr>
      <w:r w:rsidRPr="00616B65">
        <w:rPr>
          <w:b/>
          <w:bCs/>
          <w:sz w:val="22"/>
          <w:szCs w:val="22"/>
          <w:lang w:val="sr-Latn-ME"/>
        </w:rPr>
        <w:lastRenderedPageBreak/>
        <w:t xml:space="preserve">Tabela </w:t>
      </w:r>
      <w:r w:rsidR="00DA3DF0" w:rsidRPr="00616B65">
        <w:rPr>
          <w:b/>
          <w:bCs/>
          <w:sz w:val="22"/>
          <w:szCs w:val="22"/>
          <w:lang w:val="sr-Latn-ME"/>
        </w:rPr>
        <w:t>3</w:t>
      </w:r>
      <w:r w:rsidRPr="00616B65">
        <w:rPr>
          <w:b/>
          <w:bCs/>
          <w:sz w:val="22"/>
          <w:szCs w:val="22"/>
          <w:lang w:val="sr-Latn-ME"/>
        </w:rPr>
        <w:t>: Kaplan-Meier-ova metoda; udio pacijenata procijenjenih da će dosegnuti DGN, umjerena limfopenija prema vrijednosti na početku oporavka (RBL), izuzev pacijenata s</w:t>
      </w:r>
      <w:r w:rsidR="00DA3DF0" w:rsidRPr="00616B65">
        <w:rPr>
          <w:b/>
          <w:bCs/>
          <w:sz w:val="22"/>
          <w:szCs w:val="22"/>
          <w:lang w:val="sr-Latn-ME"/>
        </w:rPr>
        <w:t>a</w:t>
      </w:r>
      <w:r w:rsidRPr="00616B65">
        <w:rPr>
          <w:b/>
          <w:bCs/>
          <w:sz w:val="22"/>
          <w:szCs w:val="22"/>
          <w:lang w:val="sr-Latn-ME"/>
        </w:rPr>
        <w:t xml:space="preserve"> produženom teškom limfopenijom</w:t>
      </w:r>
    </w:p>
    <w:p w14:paraId="14557613" w14:textId="77777777" w:rsidR="00231CB4" w:rsidRPr="00616B65" w:rsidRDefault="00231CB4" w:rsidP="005A340E">
      <w:pPr>
        <w:tabs>
          <w:tab w:val="left" w:pos="540"/>
          <w:tab w:val="left" w:pos="569"/>
        </w:tabs>
        <w:jc w:val="center"/>
        <w:rPr>
          <w:b/>
          <w:bCs/>
          <w:sz w:val="22"/>
          <w:szCs w:val="22"/>
          <w:lang w:val="sr-Latn-ME"/>
        </w:rPr>
      </w:pPr>
    </w:p>
    <w:tbl>
      <w:tblPr>
        <w:tblStyle w:val="TableGrid"/>
        <w:tblW w:w="0" w:type="auto"/>
        <w:tblInd w:w="-5" w:type="dxa"/>
        <w:tblLook w:val="04A0" w:firstRow="1" w:lastRow="0" w:firstColumn="1" w:lastColumn="0" w:noHBand="0" w:noVBand="1"/>
      </w:tblPr>
      <w:tblGrid>
        <w:gridCol w:w="2669"/>
        <w:gridCol w:w="2017"/>
        <w:gridCol w:w="2192"/>
        <w:gridCol w:w="2190"/>
      </w:tblGrid>
      <w:tr w:rsidR="00383D59" w:rsidRPr="00616B65" w14:paraId="2681C68B" w14:textId="77777777" w:rsidTr="00383D59">
        <w:tc>
          <w:tcPr>
            <w:tcW w:w="2669" w:type="dxa"/>
          </w:tcPr>
          <w:p w14:paraId="4AEEFFF6"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Broj pacijenata</w:t>
            </w:r>
          </w:p>
          <w:p w14:paraId="4DDE59AE" w14:textId="640C8E3F"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sa umjerenom limfopenijom</w:t>
            </w:r>
            <w:r w:rsidRPr="00616B65">
              <w:rPr>
                <w:rFonts w:ascii="Times New Roman" w:hAnsi="Times New Roman" w:cs="Times New Roman"/>
                <w:b/>
                <w:bCs/>
                <w:vertAlign w:val="superscript"/>
                <w:lang w:val="sr-Latn-ME"/>
              </w:rPr>
              <w:t>(a)</w:t>
            </w:r>
          </w:p>
          <w:p w14:paraId="662355D4"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u riziku</w:t>
            </w:r>
          </w:p>
        </w:tc>
        <w:tc>
          <w:tcPr>
            <w:tcW w:w="2017" w:type="dxa"/>
          </w:tcPr>
          <w:p w14:paraId="74A09C40" w14:textId="77777777" w:rsidR="00383D59" w:rsidRPr="00616B65" w:rsidRDefault="00383D59" w:rsidP="00C31FAA">
            <w:pPr>
              <w:pStyle w:val="BodyText"/>
              <w:jc w:val="center"/>
              <w:rPr>
                <w:rFonts w:ascii="Times New Roman" w:hAnsi="Times New Roman" w:cs="Times New Roman"/>
                <w:b/>
                <w:bCs/>
                <w:lang w:val="sr-Latn-ME"/>
              </w:rPr>
            </w:pPr>
            <w:r w:rsidRPr="00616B65">
              <w:rPr>
                <w:rFonts w:ascii="Times New Roman" w:hAnsi="Times New Roman" w:cs="Times New Roman"/>
                <w:b/>
                <w:bCs/>
                <w:lang w:val="sr-Latn-ME"/>
              </w:rPr>
              <w:t>Početak</w:t>
            </w:r>
          </w:p>
          <w:p w14:paraId="50973537"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N=86</w:t>
            </w:r>
          </w:p>
        </w:tc>
        <w:tc>
          <w:tcPr>
            <w:tcW w:w="2192" w:type="dxa"/>
          </w:tcPr>
          <w:p w14:paraId="53E16375" w14:textId="5077DCFA"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12. ned</w:t>
            </w:r>
            <w:r w:rsidR="00DA3DF0" w:rsidRPr="00616B65">
              <w:rPr>
                <w:rFonts w:ascii="Times New Roman" w:hAnsi="Times New Roman" w:cs="Times New Roman"/>
                <w:b/>
                <w:bCs/>
                <w:lang w:val="sr-Latn-ME"/>
              </w:rPr>
              <w:t>j</w:t>
            </w:r>
            <w:r w:rsidRPr="00616B65">
              <w:rPr>
                <w:rFonts w:ascii="Times New Roman" w:hAnsi="Times New Roman" w:cs="Times New Roman"/>
                <w:b/>
                <w:bCs/>
                <w:lang w:val="sr-Latn-ME"/>
              </w:rPr>
              <w:t xml:space="preserve">elja </w:t>
            </w:r>
          </w:p>
          <w:p w14:paraId="08B16F9A"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N=12</w:t>
            </w:r>
          </w:p>
        </w:tc>
        <w:tc>
          <w:tcPr>
            <w:tcW w:w="2190" w:type="dxa"/>
          </w:tcPr>
          <w:p w14:paraId="1A13103C" w14:textId="1F5B1FF9"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24. ned</w:t>
            </w:r>
            <w:r w:rsidR="00DA3DF0" w:rsidRPr="00616B65">
              <w:rPr>
                <w:rFonts w:ascii="Times New Roman" w:hAnsi="Times New Roman" w:cs="Times New Roman"/>
                <w:b/>
                <w:bCs/>
                <w:lang w:val="sr-Latn-ME"/>
              </w:rPr>
              <w:t>j</w:t>
            </w:r>
            <w:r w:rsidRPr="00616B65">
              <w:rPr>
                <w:rFonts w:ascii="Times New Roman" w:hAnsi="Times New Roman" w:cs="Times New Roman"/>
                <w:b/>
                <w:bCs/>
                <w:lang w:val="sr-Latn-ME"/>
              </w:rPr>
              <w:t xml:space="preserve">elja </w:t>
            </w:r>
          </w:p>
          <w:p w14:paraId="6862847E"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N=4</w:t>
            </w:r>
          </w:p>
        </w:tc>
      </w:tr>
      <w:tr w:rsidR="00383D59" w:rsidRPr="00616B65" w14:paraId="224824A6" w14:textId="77777777" w:rsidTr="00383D59">
        <w:tc>
          <w:tcPr>
            <w:tcW w:w="2669" w:type="dxa"/>
          </w:tcPr>
          <w:p w14:paraId="5BAA8422" w14:textId="2BE7509E" w:rsidR="00383D59" w:rsidRPr="00616B65" w:rsidRDefault="00383D59" w:rsidP="00C31FAA">
            <w:pPr>
              <w:pStyle w:val="BodyText"/>
              <w:ind w:left="0"/>
              <w:rPr>
                <w:rFonts w:ascii="Times New Roman" w:hAnsi="Times New Roman" w:cs="Times New Roman"/>
                <w:b/>
                <w:bCs/>
                <w:lang w:val="sr-Latn-ME"/>
              </w:rPr>
            </w:pPr>
            <w:r w:rsidRPr="00616B65">
              <w:rPr>
                <w:rFonts w:ascii="Times New Roman" w:hAnsi="Times New Roman" w:cs="Times New Roman"/>
                <w:lang w:val="sr-Latn-ME"/>
              </w:rPr>
              <w:t>Udio pacijenata koji je dostigao DGN</w:t>
            </w:r>
            <w:r w:rsidRPr="00616B65" w:rsidDel="0040095C">
              <w:rPr>
                <w:rFonts w:ascii="Times New Roman" w:hAnsi="Times New Roman" w:cs="Times New Roman"/>
                <w:lang w:val="sr-Latn-ME"/>
              </w:rPr>
              <w:t xml:space="preserve"> </w:t>
            </w:r>
            <w:r w:rsidRPr="00616B65">
              <w:rPr>
                <w:rFonts w:ascii="Times New Roman" w:hAnsi="Times New Roman" w:cs="Times New Roman"/>
                <w:lang w:val="sr-Latn-ME"/>
              </w:rPr>
              <w:t>(95% CI)</w:t>
            </w:r>
          </w:p>
        </w:tc>
        <w:tc>
          <w:tcPr>
            <w:tcW w:w="2017" w:type="dxa"/>
          </w:tcPr>
          <w:p w14:paraId="379BEAB0" w14:textId="77777777" w:rsidR="00383D59" w:rsidRPr="00616B65" w:rsidRDefault="00383D59" w:rsidP="00C31FAA">
            <w:pPr>
              <w:pStyle w:val="BodyText"/>
              <w:ind w:left="0"/>
              <w:jc w:val="both"/>
              <w:rPr>
                <w:rFonts w:ascii="Times New Roman" w:hAnsi="Times New Roman" w:cs="Times New Roman"/>
                <w:b/>
                <w:bCs/>
                <w:lang w:val="sr-Latn-ME"/>
              </w:rPr>
            </w:pPr>
          </w:p>
        </w:tc>
        <w:tc>
          <w:tcPr>
            <w:tcW w:w="2192" w:type="dxa"/>
          </w:tcPr>
          <w:p w14:paraId="73872FB6" w14:textId="77777777" w:rsidR="00383D59" w:rsidRPr="00616B65" w:rsidRDefault="00383D59" w:rsidP="00C31FAA">
            <w:pPr>
              <w:pStyle w:val="BodyText"/>
              <w:jc w:val="center"/>
              <w:rPr>
                <w:rFonts w:ascii="Times New Roman" w:hAnsi="Times New Roman" w:cs="Times New Roman"/>
                <w:lang w:val="sr-Latn-ME"/>
              </w:rPr>
            </w:pPr>
            <w:r w:rsidRPr="00616B65">
              <w:rPr>
                <w:rFonts w:ascii="Times New Roman" w:hAnsi="Times New Roman" w:cs="Times New Roman"/>
                <w:lang w:val="sr-Latn-ME"/>
              </w:rPr>
              <w:t>0.57</w:t>
            </w:r>
          </w:p>
          <w:p w14:paraId="243E47CA"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lang w:val="sr-Latn-ME"/>
              </w:rPr>
              <w:t>(0.46, 0.67)</w:t>
            </w:r>
          </w:p>
        </w:tc>
        <w:tc>
          <w:tcPr>
            <w:tcW w:w="2190" w:type="dxa"/>
          </w:tcPr>
          <w:p w14:paraId="0454CECD" w14:textId="77777777" w:rsidR="00383D59" w:rsidRPr="00616B65" w:rsidRDefault="00383D59" w:rsidP="00C31FAA">
            <w:pPr>
              <w:widowControl/>
              <w:adjustRightInd w:val="0"/>
              <w:jc w:val="center"/>
              <w:rPr>
                <w:rFonts w:ascii="Times New Roman" w:hAnsi="Times New Roman" w:cs="Times New Roman"/>
                <w:sz w:val="22"/>
                <w:szCs w:val="22"/>
                <w:lang w:val="sr-Latn-ME"/>
              </w:rPr>
            </w:pPr>
            <w:r w:rsidRPr="00616B65">
              <w:rPr>
                <w:rFonts w:ascii="Times New Roman" w:hAnsi="Times New Roman" w:cs="Times New Roman"/>
                <w:sz w:val="22"/>
                <w:szCs w:val="22"/>
                <w:lang w:val="sr-Latn-ME"/>
              </w:rPr>
              <w:t>0.70</w:t>
            </w:r>
          </w:p>
          <w:p w14:paraId="448E4DB6"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lang w:val="sr-Latn-ME"/>
              </w:rPr>
              <w:t>(0.60, 0.80)</w:t>
            </w:r>
          </w:p>
        </w:tc>
      </w:tr>
    </w:tbl>
    <w:p w14:paraId="1F4C3DE3" w14:textId="599B408B" w:rsidR="00383D59" w:rsidRPr="00616B65" w:rsidRDefault="00383D59" w:rsidP="00C31FAA">
      <w:pPr>
        <w:tabs>
          <w:tab w:val="left" w:pos="540"/>
          <w:tab w:val="left" w:pos="569"/>
        </w:tabs>
        <w:jc w:val="both"/>
        <w:rPr>
          <w:sz w:val="22"/>
          <w:szCs w:val="22"/>
          <w:lang w:val="sr-Latn-ME"/>
        </w:rPr>
      </w:pPr>
      <w:r w:rsidRPr="00616B65">
        <w:rPr>
          <w:sz w:val="22"/>
          <w:szCs w:val="22"/>
          <w:lang w:val="sr-Latn-ME"/>
        </w:rPr>
        <w:t>(a) Pacijenti sa ABL&lt;</w:t>
      </w:r>
      <w:r w:rsidR="00DA3DF0" w:rsidRPr="00616B65">
        <w:rPr>
          <w:sz w:val="22"/>
          <w:szCs w:val="22"/>
          <w:lang w:val="sr-Latn-ME"/>
        </w:rPr>
        <w:t xml:space="preserve"> </w:t>
      </w:r>
      <w:r w:rsidRPr="00616B65">
        <w:rPr>
          <w:sz w:val="22"/>
          <w:szCs w:val="22"/>
          <w:lang w:val="sr-Latn-ME"/>
        </w:rPr>
        <w:t xml:space="preserve">800 </w:t>
      </w:r>
      <w:r w:rsidR="00231CB4" w:rsidRPr="00616B65">
        <w:rPr>
          <w:sz w:val="22"/>
          <w:szCs w:val="22"/>
          <w:lang w:val="sr-Latn-ME"/>
        </w:rPr>
        <w:t xml:space="preserve">i </w:t>
      </w:r>
      <w:r w:rsidRPr="00616B65">
        <w:rPr>
          <w:sz w:val="22"/>
          <w:szCs w:val="22"/>
          <w:lang w:val="sr-Latn-ME"/>
        </w:rPr>
        <w:t>≥</w:t>
      </w:r>
      <w:r w:rsidR="00DA3DF0" w:rsidRPr="00616B65">
        <w:rPr>
          <w:sz w:val="22"/>
          <w:szCs w:val="22"/>
          <w:lang w:val="sr-Latn-ME"/>
        </w:rPr>
        <w:t xml:space="preserve"> </w:t>
      </w:r>
      <w:r w:rsidRPr="00616B65">
        <w:rPr>
          <w:sz w:val="22"/>
          <w:szCs w:val="22"/>
          <w:lang w:val="sr-Latn-ME"/>
        </w:rPr>
        <w:t xml:space="preserve">500 </w:t>
      </w:r>
      <w:r w:rsidR="00231CB4" w:rsidRPr="00616B65">
        <w:rPr>
          <w:sz w:val="22"/>
          <w:szCs w:val="22"/>
          <w:lang w:val="sr-Latn-ME"/>
        </w:rPr>
        <w:t>ć</w:t>
      </w:r>
      <w:r w:rsidRPr="00616B65">
        <w:rPr>
          <w:sz w:val="22"/>
          <w:szCs w:val="22"/>
          <w:lang w:val="sr-Latn-ME"/>
        </w:rPr>
        <w:t>elija/mm</w:t>
      </w:r>
      <w:r w:rsidRPr="00616B65">
        <w:rPr>
          <w:sz w:val="22"/>
          <w:szCs w:val="22"/>
          <w:vertAlign w:val="superscript"/>
          <w:lang w:val="sr-Latn-ME"/>
        </w:rPr>
        <w:t>3</w:t>
      </w:r>
      <w:r w:rsidRPr="00616B65">
        <w:rPr>
          <w:sz w:val="22"/>
          <w:szCs w:val="22"/>
          <w:lang w:val="sr-Latn-ME"/>
        </w:rPr>
        <w:t xml:space="preserve"> na RBL, izuzev pacijenata sa produženom teškom limfopenijom.</w:t>
      </w:r>
    </w:p>
    <w:p w14:paraId="0ECB8984" w14:textId="77777777" w:rsidR="00383D59" w:rsidRPr="00616B65" w:rsidRDefault="00383D59" w:rsidP="005A340E">
      <w:pPr>
        <w:tabs>
          <w:tab w:val="left" w:pos="540"/>
          <w:tab w:val="left" w:pos="569"/>
        </w:tabs>
        <w:jc w:val="both"/>
        <w:rPr>
          <w:b/>
          <w:bCs/>
          <w:sz w:val="22"/>
          <w:szCs w:val="22"/>
          <w:lang w:val="sr-Latn-ME"/>
        </w:rPr>
      </w:pPr>
    </w:p>
    <w:p w14:paraId="59221D65" w14:textId="34080B09" w:rsidR="00383D59" w:rsidRPr="00616B65" w:rsidRDefault="00383D59" w:rsidP="005A340E">
      <w:pPr>
        <w:tabs>
          <w:tab w:val="left" w:pos="540"/>
          <w:tab w:val="left" w:pos="569"/>
        </w:tabs>
        <w:jc w:val="center"/>
        <w:rPr>
          <w:b/>
          <w:bCs/>
          <w:sz w:val="22"/>
          <w:szCs w:val="22"/>
          <w:lang w:val="sr-Latn-ME"/>
        </w:rPr>
      </w:pPr>
      <w:r w:rsidRPr="00616B65">
        <w:rPr>
          <w:b/>
          <w:bCs/>
          <w:sz w:val="22"/>
          <w:szCs w:val="22"/>
          <w:lang w:val="sr-Latn-ME"/>
        </w:rPr>
        <w:t xml:space="preserve">Tabela </w:t>
      </w:r>
      <w:r w:rsidR="00DA3DF0" w:rsidRPr="00616B65">
        <w:rPr>
          <w:b/>
          <w:bCs/>
          <w:sz w:val="22"/>
          <w:szCs w:val="22"/>
          <w:lang w:val="sr-Latn-ME"/>
        </w:rPr>
        <w:t>4</w:t>
      </w:r>
      <w:r w:rsidRPr="00616B65">
        <w:rPr>
          <w:b/>
          <w:bCs/>
          <w:sz w:val="22"/>
          <w:szCs w:val="22"/>
          <w:lang w:val="sr-Latn-ME"/>
        </w:rPr>
        <w:t>: Kaplan-Meier-ova metoda; udio pacijenata procijenjenih da će dosegnuti DGN, teška limfopenija prema vrijednosti na početku oporavka (RBL), izuzev pacijenata sa produženom teškom limfopenijom</w:t>
      </w:r>
    </w:p>
    <w:p w14:paraId="6B5E67FF" w14:textId="77777777" w:rsidR="00383D59" w:rsidRPr="00616B65" w:rsidRDefault="00383D59" w:rsidP="00383D59">
      <w:pPr>
        <w:tabs>
          <w:tab w:val="left" w:pos="540"/>
          <w:tab w:val="left" w:pos="569"/>
        </w:tabs>
        <w:jc w:val="both"/>
        <w:rPr>
          <w:b/>
          <w:bCs/>
          <w:sz w:val="22"/>
          <w:szCs w:val="22"/>
          <w:lang w:val="sr-Latn-ME"/>
        </w:rPr>
      </w:pPr>
    </w:p>
    <w:tbl>
      <w:tblPr>
        <w:tblStyle w:val="TableGrid"/>
        <w:tblW w:w="0" w:type="auto"/>
        <w:tblInd w:w="-5" w:type="dxa"/>
        <w:tblLook w:val="04A0" w:firstRow="1" w:lastRow="0" w:firstColumn="1" w:lastColumn="0" w:noHBand="0" w:noVBand="1"/>
      </w:tblPr>
      <w:tblGrid>
        <w:gridCol w:w="2669"/>
        <w:gridCol w:w="2017"/>
        <w:gridCol w:w="2192"/>
        <w:gridCol w:w="2190"/>
      </w:tblGrid>
      <w:tr w:rsidR="00383D59" w:rsidRPr="00616B65" w14:paraId="39603C03" w14:textId="77777777" w:rsidTr="00383D59">
        <w:tc>
          <w:tcPr>
            <w:tcW w:w="2669" w:type="dxa"/>
          </w:tcPr>
          <w:p w14:paraId="4F9C9C7E"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Broj pacijenata</w:t>
            </w:r>
          </w:p>
          <w:p w14:paraId="462C6CDB"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sa teškom limfopenijom</w:t>
            </w:r>
            <w:r w:rsidRPr="00616B65">
              <w:rPr>
                <w:rFonts w:ascii="Times New Roman" w:hAnsi="Times New Roman" w:cs="Times New Roman"/>
                <w:b/>
                <w:bCs/>
                <w:vertAlign w:val="superscript"/>
                <w:lang w:val="sr-Latn-ME"/>
              </w:rPr>
              <w:t>(a)</w:t>
            </w:r>
          </w:p>
          <w:p w14:paraId="3158FAA8" w14:textId="77777777" w:rsidR="00383D59" w:rsidRPr="00616B65" w:rsidRDefault="00383D59" w:rsidP="005A340E">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u riziku</w:t>
            </w:r>
          </w:p>
        </w:tc>
        <w:tc>
          <w:tcPr>
            <w:tcW w:w="2017" w:type="dxa"/>
          </w:tcPr>
          <w:p w14:paraId="3D94C47E" w14:textId="77777777" w:rsidR="00383D59" w:rsidRPr="00616B65" w:rsidRDefault="00383D59" w:rsidP="00DA3DF0">
            <w:pPr>
              <w:pStyle w:val="BodyText"/>
              <w:jc w:val="center"/>
              <w:rPr>
                <w:rFonts w:ascii="Times New Roman" w:hAnsi="Times New Roman" w:cs="Times New Roman"/>
                <w:b/>
                <w:bCs/>
                <w:lang w:val="sr-Latn-ME"/>
              </w:rPr>
            </w:pPr>
            <w:r w:rsidRPr="00616B65">
              <w:rPr>
                <w:rFonts w:ascii="Times New Roman" w:hAnsi="Times New Roman" w:cs="Times New Roman"/>
                <w:b/>
                <w:bCs/>
                <w:lang w:val="sr-Latn-ME"/>
              </w:rPr>
              <w:t>Početak</w:t>
            </w:r>
          </w:p>
          <w:p w14:paraId="0F42D7DD" w14:textId="77777777" w:rsidR="00383D59" w:rsidRPr="00616B65" w:rsidRDefault="00383D59">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N=86</w:t>
            </w:r>
          </w:p>
        </w:tc>
        <w:tc>
          <w:tcPr>
            <w:tcW w:w="2192" w:type="dxa"/>
          </w:tcPr>
          <w:p w14:paraId="125FF4B5" w14:textId="5E113E7F" w:rsidR="00383D59" w:rsidRPr="00616B65" w:rsidRDefault="00383D59">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12. ned</w:t>
            </w:r>
            <w:r w:rsidR="00DA3DF0" w:rsidRPr="00616B65">
              <w:rPr>
                <w:rFonts w:ascii="Times New Roman" w:hAnsi="Times New Roman" w:cs="Times New Roman"/>
                <w:b/>
                <w:bCs/>
                <w:lang w:val="sr-Latn-ME"/>
              </w:rPr>
              <w:t>j</w:t>
            </w:r>
            <w:r w:rsidRPr="00616B65">
              <w:rPr>
                <w:rFonts w:ascii="Times New Roman" w:hAnsi="Times New Roman" w:cs="Times New Roman"/>
                <w:b/>
                <w:bCs/>
                <w:lang w:val="sr-Latn-ME"/>
              </w:rPr>
              <w:t>elja</w:t>
            </w:r>
          </w:p>
          <w:p w14:paraId="063B78CF" w14:textId="77777777" w:rsidR="00383D59" w:rsidRPr="00616B65" w:rsidRDefault="00383D59">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N=12</w:t>
            </w:r>
          </w:p>
        </w:tc>
        <w:tc>
          <w:tcPr>
            <w:tcW w:w="2190" w:type="dxa"/>
          </w:tcPr>
          <w:p w14:paraId="32964164" w14:textId="1E0BC3B0" w:rsidR="00383D59" w:rsidRPr="00616B65" w:rsidRDefault="00383D59">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24. ned</w:t>
            </w:r>
            <w:r w:rsidR="00DA3DF0" w:rsidRPr="00616B65">
              <w:rPr>
                <w:rFonts w:ascii="Times New Roman" w:hAnsi="Times New Roman" w:cs="Times New Roman"/>
                <w:b/>
                <w:bCs/>
                <w:lang w:val="sr-Latn-ME"/>
              </w:rPr>
              <w:t>j</w:t>
            </w:r>
            <w:r w:rsidRPr="00616B65">
              <w:rPr>
                <w:rFonts w:ascii="Times New Roman" w:hAnsi="Times New Roman" w:cs="Times New Roman"/>
                <w:b/>
                <w:bCs/>
                <w:lang w:val="sr-Latn-ME"/>
              </w:rPr>
              <w:t>elja</w:t>
            </w:r>
          </w:p>
          <w:p w14:paraId="495768E7" w14:textId="77777777" w:rsidR="00383D59" w:rsidRPr="00616B65" w:rsidRDefault="00383D59">
            <w:pPr>
              <w:pStyle w:val="BodyText"/>
              <w:ind w:left="0"/>
              <w:jc w:val="center"/>
              <w:rPr>
                <w:rFonts w:ascii="Times New Roman" w:hAnsi="Times New Roman" w:cs="Times New Roman"/>
                <w:b/>
                <w:bCs/>
                <w:lang w:val="sr-Latn-ME"/>
              </w:rPr>
            </w:pPr>
            <w:r w:rsidRPr="00616B65">
              <w:rPr>
                <w:rFonts w:ascii="Times New Roman" w:hAnsi="Times New Roman" w:cs="Times New Roman"/>
                <w:b/>
                <w:bCs/>
                <w:lang w:val="sr-Latn-ME"/>
              </w:rPr>
              <w:t>N=4</w:t>
            </w:r>
          </w:p>
        </w:tc>
      </w:tr>
      <w:tr w:rsidR="00383D59" w:rsidRPr="00616B65" w14:paraId="0C72802B" w14:textId="77777777" w:rsidTr="00383D59">
        <w:tc>
          <w:tcPr>
            <w:tcW w:w="2669" w:type="dxa"/>
          </w:tcPr>
          <w:p w14:paraId="3BEB0D9E" w14:textId="00239873" w:rsidR="00383D59" w:rsidRPr="00616B65" w:rsidRDefault="00383D59" w:rsidP="00C31FAA">
            <w:pPr>
              <w:pStyle w:val="BodyText"/>
              <w:ind w:left="0"/>
              <w:rPr>
                <w:rFonts w:ascii="Times New Roman" w:hAnsi="Times New Roman" w:cs="Times New Roman"/>
                <w:b/>
                <w:bCs/>
                <w:lang w:val="sr-Latn-ME"/>
              </w:rPr>
            </w:pPr>
            <w:r w:rsidRPr="00616B65">
              <w:rPr>
                <w:rFonts w:ascii="Times New Roman" w:hAnsi="Times New Roman" w:cs="Times New Roman"/>
                <w:lang w:val="sr-Latn-ME"/>
              </w:rPr>
              <w:t>Udio pacijenata koji je dostigao DGN</w:t>
            </w:r>
            <w:r w:rsidRPr="00616B65" w:rsidDel="0040095C">
              <w:rPr>
                <w:rFonts w:ascii="Times New Roman" w:hAnsi="Times New Roman" w:cs="Times New Roman"/>
                <w:lang w:val="sr-Latn-ME"/>
              </w:rPr>
              <w:t xml:space="preserve"> </w:t>
            </w:r>
            <w:r w:rsidRPr="00616B65">
              <w:rPr>
                <w:rFonts w:ascii="Times New Roman" w:hAnsi="Times New Roman" w:cs="Times New Roman"/>
                <w:lang w:val="sr-Latn-ME"/>
              </w:rPr>
              <w:t>(95% CI)</w:t>
            </w:r>
          </w:p>
        </w:tc>
        <w:tc>
          <w:tcPr>
            <w:tcW w:w="2017" w:type="dxa"/>
          </w:tcPr>
          <w:p w14:paraId="437627A9" w14:textId="77777777" w:rsidR="00383D59" w:rsidRPr="00616B65" w:rsidRDefault="00383D59" w:rsidP="00C31FAA">
            <w:pPr>
              <w:pStyle w:val="BodyText"/>
              <w:ind w:left="0"/>
              <w:jc w:val="both"/>
              <w:rPr>
                <w:rFonts w:ascii="Times New Roman" w:hAnsi="Times New Roman" w:cs="Times New Roman"/>
                <w:b/>
                <w:bCs/>
                <w:lang w:val="sr-Latn-ME"/>
              </w:rPr>
            </w:pPr>
          </w:p>
        </w:tc>
        <w:tc>
          <w:tcPr>
            <w:tcW w:w="2192" w:type="dxa"/>
          </w:tcPr>
          <w:p w14:paraId="26DC6041" w14:textId="77777777" w:rsidR="00383D59" w:rsidRPr="00616B65" w:rsidRDefault="00383D59" w:rsidP="00C31FAA">
            <w:pPr>
              <w:pStyle w:val="BodyText"/>
              <w:jc w:val="center"/>
              <w:rPr>
                <w:rFonts w:ascii="Times New Roman" w:hAnsi="Times New Roman" w:cs="Times New Roman"/>
                <w:lang w:val="sr-Latn-ME"/>
              </w:rPr>
            </w:pPr>
            <w:r w:rsidRPr="00616B65">
              <w:rPr>
                <w:rFonts w:ascii="Times New Roman" w:hAnsi="Times New Roman" w:cs="Times New Roman"/>
                <w:lang w:val="sr-Latn-ME"/>
              </w:rPr>
              <w:t>0.43</w:t>
            </w:r>
          </w:p>
          <w:p w14:paraId="6F6559A1"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lang w:val="sr-Latn-ME"/>
              </w:rPr>
              <w:t>(0.20, 0.75)</w:t>
            </w:r>
          </w:p>
        </w:tc>
        <w:tc>
          <w:tcPr>
            <w:tcW w:w="2190" w:type="dxa"/>
          </w:tcPr>
          <w:p w14:paraId="1E2C6249" w14:textId="77777777" w:rsidR="00383D59" w:rsidRPr="00616B65" w:rsidRDefault="00383D59" w:rsidP="00C31FAA">
            <w:pPr>
              <w:widowControl/>
              <w:adjustRightInd w:val="0"/>
              <w:jc w:val="center"/>
              <w:rPr>
                <w:rFonts w:ascii="Times New Roman" w:hAnsi="Times New Roman" w:cs="Times New Roman"/>
                <w:sz w:val="22"/>
                <w:szCs w:val="22"/>
                <w:lang w:val="sr-Latn-ME"/>
              </w:rPr>
            </w:pPr>
            <w:r w:rsidRPr="00616B65">
              <w:rPr>
                <w:rFonts w:ascii="Times New Roman" w:hAnsi="Times New Roman" w:cs="Times New Roman"/>
                <w:sz w:val="22"/>
                <w:szCs w:val="22"/>
                <w:lang w:val="sr-Latn-ME"/>
              </w:rPr>
              <w:t>0.62</w:t>
            </w:r>
          </w:p>
          <w:p w14:paraId="27C35A78" w14:textId="77777777" w:rsidR="00383D59" w:rsidRPr="00616B65" w:rsidRDefault="00383D59" w:rsidP="00C31FAA">
            <w:pPr>
              <w:pStyle w:val="BodyText"/>
              <w:ind w:left="0"/>
              <w:jc w:val="center"/>
              <w:rPr>
                <w:rFonts w:ascii="Times New Roman" w:hAnsi="Times New Roman" w:cs="Times New Roman"/>
                <w:b/>
                <w:bCs/>
                <w:lang w:val="sr-Latn-ME"/>
              </w:rPr>
            </w:pPr>
            <w:r w:rsidRPr="00616B65">
              <w:rPr>
                <w:rFonts w:ascii="Times New Roman" w:hAnsi="Times New Roman" w:cs="Times New Roman"/>
                <w:lang w:val="sr-Latn-ME"/>
              </w:rPr>
              <w:t>(0.35, 0.88)</w:t>
            </w:r>
          </w:p>
        </w:tc>
      </w:tr>
    </w:tbl>
    <w:p w14:paraId="6B2CD282" w14:textId="339C3063" w:rsidR="00383D59" w:rsidRPr="00616B65" w:rsidRDefault="00383D59" w:rsidP="00C31FAA">
      <w:pPr>
        <w:tabs>
          <w:tab w:val="left" w:pos="540"/>
          <w:tab w:val="left" w:pos="569"/>
        </w:tabs>
        <w:jc w:val="both"/>
        <w:rPr>
          <w:sz w:val="22"/>
          <w:szCs w:val="22"/>
          <w:lang w:val="sr-Latn-ME"/>
        </w:rPr>
      </w:pPr>
      <w:r w:rsidRPr="00616B65">
        <w:rPr>
          <w:sz w:val="22"/>
          <w:szCs w:val="22"/>
          <w:lang w:val="sr-Latn-ME"/>
        </w:rPr>
        <w:t>(a) Pacijenti sa ABL &lt;</w:t>
      </w:r>
      <w:r w:rsidR="00DA3DF0" w:rsidRPr="00616B65">
        <w:rPr>
          <w:sz w:val="22"/>
          <w:szCs w:val="22"/>
          <w:lang w:val="sr-Latn-ME"/>
        </w:rPr>
        <w:t xml:space="preserve"> </w:t>
      </w:r>
      <w:r w:rsidRPr="00616B65">
        <w:rPr>
          <w:sz w:val="22"/>
          <w:szCs w:val="22"/>
          <w:lang w:val="sr-Latn-ME"/>
        </w:rPr>
        <w:t xml:space="preserve">500 </w:t>
      </w:r>
      <w:r w:rsidR="00231CB4" w:rsidRPr="00616B65">
        <w:rPr>
          <w:sz w:val="22"/>
          <w:szCs w:val="22"/>
          <w:lang w:val="sr-Latn-ME"/>
        </w:rPr>
        <w:t>ć</w:t>
      </w:r>
      <w:r w:rsidRPr="00616B65">
        <w:rPr>
          <w:sz w:val="22"/>
          <w:szCs w:val="22"/>
          <w:lang w:val="sr-Latn-ME"/>
        </w:rPr>
        <w:t>elija/mm</w:t>
      </w:r>
      <w:r w:rsidRPr="00616B65">
        <w:rPr>
          <w:sz w:val="22"/>
          <w:szCs w:val="22"/>
          <w:vertAlign w:val="superscript"/>
          <w:lang w:val="sr-Latn-ME"/>
        </w:rPr>
        <w:t>3</w:t>
      </w:r>
      <w:r w:rsidRPr="00616B65">
        <w:rPr>
          <w:sz w:val="22"/>
          <w:szCs w:val="22"/>
          <w:lang w:val="sr-Latn-ME"/>
        </w:rPr>
        <w:t xml:space="preserve"> na RBL, izuzev pacijenti sa produženom teškom limfopenijom.</w:t>
      </w:r>
    </w:p>
    <w:p w14:paraId="61700A03" w14:textId="77777777" w:rsidR="00383D59" w:rsidRPr="00616B65" w:rsidRDefault="00383D59" w:rsidP="005A340E">
      <w:pPr>
        <w:tabs>
          <w:tab w:val="left" w:pos="540"/>
          <w:tab w:val="left" w:pos="569"/>
        </w:tabs>
        <w:jc w:val="both"/>
        <w:rPr>
          <w:b/>
          <w:bCs/>
          <w:sz w:val="22"/>
          <w:szCs w:val="22"/>
          <w:lang w:val="sr-Latn-ME"/>
        </w:rPr>
      </w:pPr>
    </w:p>
    <w:p w14:paraId="22E631D1" w14:textId="4D79E6DC" w:rsidR="00383D59" w:rsidRPr="00616B65" w:rsidRDefault="00383D59" w:rsidP="00C31FAA">
      <w:pPr>
        <w:tabs>
          <w:tab w:val="left" w:pos="540"/>
          <w:tab w:val="left" w:pos="569"/>
        </w:tabs>
        <w:jc w:val="both"/>
        <w:rPr>
          <w:sz w:val="22"/>
          <w:szCs w:val="22"/>
          <w:u w:val="single"/>
          <w:lang w:val="sr-Latn-ME"/>
        </w:rPr>
      </w:pPr>
      <w:r w:rsidRPr="00616B65">
        <w:rPr>
          <w:sz w:val="22"/>
          <w:szCs w:val="22"/>
          <w:u w:val="single"/>
          <w:lang w:val="sr-Latn-ME"/>
        </w:rPr>
        <w:t>Klinička efikasnost i bezbjednost</w:t>
      </w:r>
    </w:p>
    <w:p w14:paraId="7411E415" w14:textId="77777777" w:rsidR="00383D59" w:rsidRPr="00616B65" w:rsidRDefault="00383D59" w:rsidP="0023493E">
      <w:pPr>
        <w:tabs>
          <w:tab w:val="left" w:pos="540"/>
          <w:tab w:val="left" w:pos="569"/>
        </w:tabs>
        <w:jc w:val="both"/>
        <w:rPr>
          <w:sz w:val="22"/>
          <w:szCs w:val="22"/>
          <w:lang w:val="sr-Latn-ME"/>
        </w:rPr>
      </w:pPr>
    </w:p>
    <w:p w14:paraId="6D67EC91" w14:textId="669AE9F9" w:rsidR="00383D59" w:rsidRPr="00616B65" w:rsidRDefault="00383D59">
      <w:pPr>
        <w:tabs>
          <w:tab w:val="left" w:pos="540"/>
          <w:tab w:val="left" w:pos="569"/>
        </w:tabs>
        <w:jc w:val="both"/>
        <w:rPr>
          <w:sz w:val="22"/>
          <w:szCs w:val="22"/>
          <w:lang w:val="sr-Latn-ME"/>
        </w:rPr>
      </w:pPr>
      <w:r w:rsidRPr="00616B65">
        <w:rPr>
          <w:sz w:val="22"/>
          <w:szCs w:val="22"/>
          <w:lang w:val="sr-Latn-ME"/>
        </w:rPr>
        <w:t>Sprovedene su dvije, dvogodišnje, randomizovane, dvostruko sl</w:t>
      </w:r>
      <w:r w:rsidR="00DA3DF0" w:rsidRPr="00616B65">
        <w:rPr>
          <w:sz w:val="22"/>
          <w:szCs w:val="22"/>
          <w:lang w:val="sr-Latn-ME"/>
        </w:rPr>
        <w:t>ij</w:t>
      </w:r>
      <w:r w:rsidRPr="00616B65">
        <w:rPr>
          <w:sz w:val="22"/>
          <w:szCs w:val="22"/>
          <w:lang w:val="sr-Latn-ME"/>
        </w:rPr>
        <w:t>epe, placebom kontrolisane studije (DEFINE sprovedena kod 1234 pacijenta i CONFIRM sprovedena kod 1417 pacijenata) kod pacijenata sa relapsno remitentnom multiplom sklerozom (RRMS). Pacijenti sa progresivnim oblikom MS ni</w:t>
      </w:r>
      <w:r w:rsidR="00DA3DF0" w:rsidRPr="00616B65">
        <w:rPr>
          <w:sz w:val="22"/>
          <w:szCs w:val="22"/>
          <w:lang w:val="sr-Latn-ME"/>
        </w:rPr>
        <w:t>je</w:t>
      </w:r>
      <w:r w:rsidRPr="00616B65">
        <w:rPr>
          <w:sz w:val="22"/>
          <w:szCs w:val="22"/>
          <w:lang w:val="sr-Latn-ME"/>
        </w:rPr>
        <w:t xml:space="preserve">su  bili uključeni u ova ispitivanja. </w:t>
      </w:r>
    </w:p>
    <w:p w14:paraId="46EB6917" w14:textId="33070D60" w:rsidR="00383D59" w:rsidRPr="00616B65" w:rsidRDefault="00383D59">
      <w:pPr>
        <w:tabs>
          <w:tab w:val="left" w:pos="540"/>
          <w:tab w:val="left" w:pos="569"/>
        </w:tabs>
        <w:jc w:val="both"/>
        <w:rPr>
          <w:sz w:val="22"/>
          <w:szCs w:val="22"/>
          <w:lang w:val="sr-Latn-ME"/>
        </w:rPr>
      </w:pPr>
      <w:r w:rsidRPr="00616B65">
        <w:rPr>
          <w:sz w:val="22"/>
          <w:szCs w:val="22"/>
          <w:lang w:val="sr-Latn-ME"/>
        </w:rPr>
        <w:t>Efikasnost (</w:t>
      </w:r>
      <w:r w:rsidR="00DA3DF0" w:rsidRPr="00616B65">
        <w:rPr>
          <w:sz w:val="22"/>
          <w:szCs w:val="22"/>
          <w:lang w:val="sr-Latn-ME"/>
        </w:rPr>
        <w:t xml:space="preserve">vidjeti  </w:t>
      </w:r>
      <w:r w:rsidRPr="00616B65">
        <w:rPr>
          <w:sz w:val="22"/>
          <w:szCs w:val="22"/>
          <w:lang w:val="sr-Latn-ME"/>
        </w:rPr>
        <w:t xml:space="preserve">tabelu u nastavku) i bezbjednost pokazane su kod pacijenata sa proširenom skalom ocjene onesposobljenosti (engl. </w:t>
      </w:r>
      <w:r w:rsidRPr="00616B65">
        <w:rPr>
          <w:i/>
          <w:sz w:val="22"/>
          <w:szCs w:val="22"/>
          <w:lang w:val="sr-Latn-ME"/>
        </w:rPr>
        <w:t>Expanded Disability Status Scale</w:t>
      </w:r>
      <w:r w:rsidRPr="00616B65">
        <w:rPr>
          <w:sz w:val="22"/>
          <w:szCs w:val="22"/>
          <w:lang w:val="sr-Latn-ME"/>
        </w:rPr>
        <w:t>, EDSS) u rasponu od 0 do 5 uključivo, koji su doživ</w:t>
      </w:r>
      <w:r w:rsidR="00231CB4" w:rsidRPr="00616B65">
        <w:rPr>
          <w:sz w:val="22"/>
          <w:szCs w:val="22"/>
          <w:lang w:val="sr-Latn-ME"/>
        </w:rPr>
        <w:t>j</w:t>
      </w:r>
      <w:r w:rsidRPr="00616B65">
        <w:rPr>
          <w:sz w:val="22"/>
          <w:szCs w:val="22"/>
          <w:lang w:val="sr-Latn-ME"/>
        </w:rPr>
        <w:t>eli najmanje 1 recidiv tokom godine pr</w:t>
      </w:r>
      <w:r w:rsidR="00DA3DF0" w:rsidRPr="00616B65">
        <w:rPr>
          <w:sz w:val="22"/>
          <w:szCs w:val="22"/>
          <w:lang w:val="sr-Latn-ME"/>
        </w:rPr>
        <w:t>ij</w:t>
      </w:r>
      <w:r w:rsidRPr="00616B65">
        <w:rPr>
          <w:sz w:val="22"/>
          <w:szCs w:val="22"/>
          <w:lang w:val="sr-Latn-ME"/>
        </w:rPr>
        <w:t>e randomizacije ili su u roku od 6 ned</w:t>
      </w:r>
      <w:r w:rsidR="00DA3DF0" w:rsidRPr="00616B65">
        <w:rPr>
          <w:sz w:val="22"/>
          <w:szCs w:val="22"/>
          <w:lang w:val="sr-Latn-ME"/>
        </w:rPr>
        <w:t>j</w:t>
      </w:r>
      <w:r w:rsidRPr="00616B65">
        <w:rPr>
          <w:sz w:val="22"/>
          <w:szCs w:val="22"/>
          <w:lang w:val="sr-Latn-ME"/>
        </w:rPr>
        <w:t>elja nakon randomizacije snimali magnetnu rezonancu (MR) mozga koja je pokazala najmanje jednu gadolinijum-pozitivnu (Gd+) leziju. Studija CONFIRM je bila slijepa za oc</w:t>
      </w:r>
      <w:r w:rsidR="00DA3DF0" w:rsidRPr="00616B65">
        <w:rPr>
          <w:sz w:val="22"/>
          <w:szCs w:val="22"/>
          <w:lang w:val="sr-Latn-ME"/>
        </w:rPr>
        <w:t>j</w:t>
      </w:r>
      <w:r w:rsidRPr="00616B65">
        <w:rPr>
          <w:sz w:val="22"/>
          <w:szCs w:val="22"/>
          <w:lang w:val="sr-Latn-ME"/>
        </w:rPr>
        <w:t xml:space="preserve">enjivača (tj. </w:t>
      </w:r>
      <w:r w:rsidR="00EC6808" w:rsidRPr="00616B65">
        <w:rPr>
          <w:sz w:val="22"/>
          <w:szCs w:val="22"/>
          <w:lang w:val="sr-Latn-ME"/>
        </w:rPr>
        <w:t>l</w:t>
      </w:r>
      <w:r w:rsidR="002635CF" w:rsidRPr="00616B65">
        <w:rPr>
          <w:sz w:val="22"/>
          <w:szCs w:val="22"/>
          <w:lang w:val="sr-Latn-ME"/>
        </w:rPr>
        <w:t>j</w:t>
      </w:r>
      <w:r w:rsidR="00EC6808" w:rsidRPr="00616B65">
        <w:rPr>
          <w:sz w:val="22"/>
          <w:szCs w:val="22"/>
          <w:lang w:val="sr-Latn-ME"/>
        </w:rPr>
        <w:t>ek</w:t>
      </w:r>
      <w:r w:rsidRPr="00616B65">
        <w:rPr>
          <w:sz w:val="22"/>
          <w:szCs w:val="22"/>
          <w:lang w:val="sr-Latn-ME"/>
        </w:rPr>
        <w:t>ar/ispitivač koji proc</w:t>
      </w:r>
      <w:r w:rsidR="00DA3DF0" w:rsidRPr="00616B65">
        <w:rPr>
          <w:sz w:val="22"/>
          <w:szCs w:val="22"/>
          <w:lang w:val="sr-Latn-ME"/>
        </w:rPr>
        <w:t>j</w:t>
      </w:r>
      <w:r w:rsidRPr="00616B65">
        <w:rPr>
          <w:sz w:val="22"/>
          <w:szCs w:val="22"/>
          <w:lang w:val="sr-Latn-ME"/>
        </w:rPr>
        <w:t>enjuje terapijski odgovor ne zna kojoj grupi pacijent pripada) i uključivala je za poređenje referentni lijek glatiramer acetat.</w:t>
      </w:r>
    </w:p>
    <w:p w14:paraId="502B7F48" w14:textId="77777777" w:rsidR="00383D59" w:rsidRPr="00616B65" w:rsidRDefault="00383D59">
      <w:pPr>
        <w:tabs>
          <w:tab w:val="left" w:pos="540"/>
          <w:tab w:val="left" w:pos="569"/>
        </w:tabs>
        <w:jc w:val="both"/>
        <w:rPr>
          <w:sz w:val="22"/>
          <w:szCs w:val="22"/>
          <w:lang w:val="sr-Latn-ME"/>
        </w:rPr>
      </w:pPr>
    </w:p>
    <w:p w14:paraId="2FBEC486" w14:textId="0B977211" w:rsidR="00383D59" w:rsidRPr="00616B65" w:rsidRDefault="00383D59">
      <w:pPr>
        <w:tabs>
          <w:tab w:val="left" w:pos="540"/>
          <w:tab w:val="left" w:pos="569"/>
        </w:tabs>
        <w:jc w:val="both"/>
        <w:rPr>
          <w:sz w:val="22"/>
          <w:szCs w:val="22"/>
          <w:lang w:val="sr-Latn-ME"/>
        </w:rPr>
      </w:pPr>
      <w:r w:rsidRPr="00616B65">
        <w:rPr>
          <w:sz w:val="22"/>
          <w:szCs w:val="22"/>
          <w:lang w:val="sr-Latn-ME"/>
        </w:rPr>
        <w:t>U studiji DEFINE pacijenti su imali sl</w:t>
      </w:r>
      <w:r w:rsidR="00DA3DF0" w:rsidRPr="00616B65">
        <w:rPr>
          <w:sz w:val="22"/>
          <w:szCs w:val="22"/>
          <w:lang w:val="sr-Latn-ME"/>
        </w:rPr>
        <w:t>j</w:t>
      </w:r>
      <w:r w:rsidRPr="00616B65">
        <w:rPr>
          <w:sz w:val="22"/>
          <w:szCs w:val="22"/>
          <w:lang w:val="sr-Latn-ME"/>
        </w:rPr>
        <w:t>edeće medijane vrijednosti osnovnih parametara na početku ispitivanja: starost 39 godina, trajanje bolesti 7,0 godina, EDSS bodovi 2,0. Osim toga, 16% pacijenata imalo je EDSS bodova &gt; 3,5, 28% je imalo ≥ 2 relapsa u prethodnoj godini, a 42% je prethodno dobilo drugo odobreno liječenje za MS. U MR grupi 36% pacijenata koji su ušli u ispitivanje imali su Gd + lezije na početku (srednja vrijednost broja Gd + lezija 1,4).</w:t>
      </w:r>
    </w:p>
    <w:p w14:paraId="44861A94" w14:textId="77777777" w:rsidR="00383D59" w:rsidRPr="00616B65" w:rsidRDefault="00383D59">
      <w:pPr>
        <w:tabs>
          <w:tab w:val="left" w:pos="540"/>
          <w:tab w:val="left" w:pos="569"/>
        </w:tabs>
        <w:jc w:val="both"/>
        <w:rPr>
          <w:sz w:val="22"/>
          <w:szCs w:val="22"/>
          <w:lang w:val="sr-Latn-ME"/>
        </w:rPr>
      </w:pPr>
    </w:p>
    <w:p w14:paraId="67B667B2" w14:textId="3689626C" w:rsidR="00383D59" w:rsidRPr="00616B65" w:rsidRDefault="00383D59">
      <w:pPr>
        <w:tabs>
          <w:tab w:val="left" w:pos="540"/>
          <w:tab w:val="left" w:pos="569"/>
        </w:tabs>
        <w:jc w:val="both"/>
        <w:rPr>
          <w:sz w:val="22"/>
          <w:szCs w:val="22"/>
          <w:lang w:val="sr-Latn-ME"/>
        </w:rPr>
      </w:pPr>
      <w:r w:rsidRPr="00616B65">
        <w:rPr>
          <w:sz w:val="22"/>
          <w:szCs w:val="22"/>
          <w:lang w:val="sr-Latn-ME"/>
        </w:rPr>
        <w:t>U studiji CONFIRM pacijenti su imali sl</w:t>
      </w:r>
      <w:r w:rsidR="00DA3DF0" w:rsidRPr="00616B65">
        <w:rPr>
          <w:sz w:val="22"/>
          <w:szCs w:val="22"/>
          <w:lang w:val="sr-Latn-ME"/>
        </w:rPr>
        <w:t>j</w:t>
      </w:r>
      <w:r w:rsidRPr="00616B65">
        <w:rPr>
          <w:sz w:val="22"/>
          <w:szCs w:val="22"/>
          <w:lang w:val="sr-Latn-ME"/>
        </w:rPr>
        <w:t>edeće medijane vr</w:t>
      </w:r>
      <w:r w:rsidR="00DA3DF0" w:rsidRPr="00616B65">
        <w:rPr>
          <w:sz w:val="22"/>
          <w:szCs w:val="22"/>
          <w:lang w:val="sr-Latn-ME"/>
        </w:rPr>
        <w:t>ij</w:t>
      </w:r>
      <w:r w:rsidRPr="00616B65">
        <w:rPr>
          <w:sz w:val="22"/>
          <w:szCs w:val="22"/>
          <w:lang w:val="sr-Latn-ME"/>
        </w:rPr>
        <w:t>ednosti osnovnih parametara na početku ispitivanja: starost 37 godina, trajanje bolesti 6,0 godina i EDSS bodova 2,5. Osim toga, 17 % pacijenata imalo je EDSS bodova &gt; 3,5, 32 % je imalo ≥ 2 relapsa u prethodnoj godini, a 30% je prethodno dobilo drugo odobreno liječenje za MS. U MR grupi 45% pacijenata koji su ušli u ispitivanje imali su Gd + lezije na početku (srednja vrijednost broja Gd + lezija 2,4).</w:t>
      </w:r>
    </w:p>
    <w:p w14:paraId="33A44DFA" w14:textId="77777777" w:rsidR="00383D59" w:rsidRPr="00616B65" w:rsidRDefault="00383D59">
      <w:pPr>
        <w:tabs>
          <w:tab w:val="left" w:pos="540"/>
          <w:tab w:val="left" w:pos="569"/>
        </w:tabs>
        <w:jc w:val="both"/>
        <w:rPr>
          <w:sz w:val="22"/>
          <w:szCs w:val="22"/>
          <w:lang w:val="sr-Latn-ME"/>
        </w:rPr>
      </w:pPr>
    </w:p>
    <w:p w14:paraId="49C99AB4" w14:textId="3098E17C" w:rsidR="00383D59" w:rsidRPr="00616B65" w:rsidRDefault="00383D59">
      <w:pPr>
        <w:tabs>
          <w:tab w:val="left" w:pos="540"/>
          <w:tab w:val="left" w:pos="569"/>
        </w:tabs>
        <w:jc w:val="both"/>
        <w:rPr>
          <w:sz w:val="22"/>
          <w:szCs w:val="22"/>
          <w:lang w:val="sr-Latn-ME"/>
        </w:rPr>
      </w:pPr>
      <w:r w:rsidRPr="00616B65">
        <w:rPr>
          <w:sz w:val="22"/>
          <w:szCs w:val="22"/>
          <w:lang w:val="sr-Latn-ME"/>
        </w:rPr>
        <w:t xml:space="preserve">U poređenju sa placebom, ispitanici koji su bili na terapiji </w:t>
      </w:r>
      <w:r w:rsidR="002635CF" w:rsidRPr="00616B65">
        <w:rPr>
          <w:sz w:val="22"/>
          <w:szCs w:val="22"/>
          <w:lang w:val="sr-Latn-ME"/>
        </w:rPr>
        <w:t>dimetil fumarat</w:t>
      </w:r>
      <w:r w:rsidRPr="00616B65">
        <w:rPr>
          <w:sz w:val="22"/>
          <w:szCs w:val="22"/>
          <w:lang w:val="sr-Latn-ME"/>
        </w:rPr>
        <w:t>om su imali klinički značajno i statistički značajno smanjenje: udjela ispitanika sa relapsom unutar 2 godine (primarni parametar praćenja studije DEFINE) i učestalost relapsa u toku 2 godine (primarni parametar praćenja studije CONFIRM). Godišnja stopa relapsa za glatiramer acetat i placebo je bila 0,286 odnosno 0,401 u Ispitivanju CONFIRM, što odgovara smanjenju od 29% (p = 0,013), a u skladu sa odobrenim informacijama za propisivanje lijeka.</w:t>
      </w:r>
    </w:p>
    <w:p w14:paraId="5640D32A" w14:textId="77777777" w:rsidR="00383D59" w:rsidRPr="00616B65" w:rsidRDefault="00383D59" w:rsidP="005A340E">
      <w:pPr>
        <w:tabs>
          <w:tab w:val="left" w:pos="540"/>
          <w:tab w:val="left" w:pos="569"/>
        </w:tabs>
        <w:jc w:val="both"/>
        <w:rPr>
          <w:b/>
          <w:bCs/>
          <w:sz w:val="22"/>
          <w:szCs w:val="22"/>
          <w:lang w:val="sr-Latn-ME"/>
        </w:rPr>
      </w:pPr>
    </w:p>
    <w:p w14:paraId="2A21901A" w14:textId="7942C7BD" w:rsidR="00383D59" w:rsidRPr="00616B65" w:rsidRDefault="00383D59" w:rsidP="005A340E">
      <w:pPr>
        <w:tabs>
          <w:tab w:val="left" w:pos="540"/>
          <w:tab w:val="left" w:pos="569"/>
        </w:tabs>
        <w:jc w:val="center"/>
        <w:rPr>
          <w:b/>
          <w:sz w:val="22"/>
          <w:szCs w:val="22"/>
          <w:lang w:val="sr-Latn-ME"/>
        </w:rPr>
      </w:pPr>
      <w:r w:rsidRPr="00616B65">
        <w:rPr>
          <w:b/>
          <w:sz w:val="22"/>
          <w:szCs w:val="22"/>
          <w:lang w:val="sr-Latn-ME"/>
        </w:rPr>
        <w:lastRenderedPageBreak/>
        <w:t>Tabela 5: Efikasnost i bezbjednost u kontrolisanim studijama</w:t>
      </w:r>
    </w:p>
    <w:p w14:paraId="359C12F0" w14:textId="77777777" w:rsidR="00383D59" w:rsidRPr="00616B65" w:rsidRDefault="00383D59" w:rsidP="005A340E">
      <w:pPr>
        <w:tabs>
          <w:tab w:val="left" w:pos="540"/>
          <w:tab w:val="left" w:pos="569"/>
        </w:tabs>
        <w:jc w:val="both"/>
        <w:rPr>
          <w:b/>
          <w:bCs/>
          <w:sz w:val="22"/>
          <w:szCs w:val="22"/>
          <w:lang w:val="sr-Latn-ME"/>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900"/>
        <w:gridCol w:w="1645"/>
        <w:gridCol w:w="875"/>
        <w:gridCol w:w="1620"/>
        <w:gridCol w:w="1440"/>
      </w:tblGrid>
      <w:tr w:rsidR="00383D59" w:rsidRPr="00616B65" w14:paraId="41D81274" w14:textId="77777777" w:rsidTr="005A340E">
        <w:trPr>
          <w:trHeight w:val="254"/>
        </w:trPr>
        <w:tc>
          <w:tcPr>
            <w:tcW w:w="2700" w:type="dxa"/>
          </w:tcPr>
          <w:p w14:paraId="4C04AE9D" w14:textId="77777777" w:rsidR="00383D59" w:rsidRPr="00616B65" w:rsidRDefault="00383D59" w:rsidP="00C31FAA">
            <w:pPr>
              <w:pStyle w:val="TableParagraph"/>
              <w:spacing w:line="240" w:lineRule="auto"/>
              <w:ind w:left="0"/>
              <w:rPr>
                <w:lang w:val="sr-Latn-ME"/>
              </w:rPr>
            </w:pPr>
          </w:p>
        </w:tc>
        <w:tc>
          <w:tcPr>
            <w:tcW w:w="2545" w:type="dxa"/>
            <w:gridSpan w:val="2"/>
          </w:tcPr>
          <w:p w14:paraId="6AAB9872" w14:textId="77777777" w:rsidR="00383D59" w:rsidRPr="00616B65" w:rsidRDefault="00383D59" w:rsidP="005A340E">
            <w:pPr>
              <w:pStyle w:val="TableParagraph"/>
              <w:jc w:val="center"/>
              <w:rPr>
                <w:b/>
                <w:lang w:val="sr-Latn-ME"/>
              </w:rPr>
            </w:pPr>
            <w:r w:rsidRPr="00616B65">
              <w:rPr>
                <w:b/>
                <w:lang w:val="sr-Latn-ME"/>
              </w:rPr>
              <w:t>DEFINE</w:t>
            </w:r>
          </w:p>
        </w:tc>
        <w:tc>
          <w:tcPr>
            <w:tcW w:w="3935" w:type="dxa"/>
            <w:gridSpan w:val="3"/>
          </w:tcPr>
          <w:p w14:paraId="54043E55" w14:textId="77777777" w:rsidR="00383D59" w:rsidRPr="00616B65" w:rsidRDefault="00383D59" w:rsidP="005A340E">
            <w:pPr>
              <w:pStyle w:val="TableParagraph"/>
              <w:ind w:left="109"/>
              <w:jc w:val="center"/>
              <w:rPr>
                <w:b/>
                <w:lang w:val="sr-Latn-ME"/>
              </w:rPr>
            </w:pPr>
            <w:r w:rsidRPr="00616B65">
              <w:rPr>
                <w:b/>
                <w:lang w:val="sr-Latn-ME"/>
              </w:rPr>
              <w:t>CONFIRM</w:t>
            </w:r>
          </w:p>
        </w:tc>
      </w:tr>
      <w:tr w:rsidR="00383D59" w:rsidRPr="00616B65" w14:paraId="43872C67" w14:textId="77777777" w:rsidTr="005A340E">
        <w:trPr>
          <w:trHeight w:val="757"/>
        </w:trPr>
        <w:tc>
          <w:tcPr>
            <w:tcW w:w="2700" w:type="dxa"/>
          </w:tcPr>
          <w:p w14:paraId="1948C23C" w14:textId="77777777" w:rsidR="00383D59" w:rsidRPr="00616B65" w:rsidRDefault="00383D59" w:rsidP="00C31FAA">
            <w:pPr>
              <w:pStyle w:val="TableParagraph"/>
              <w:spacing w:line="240" w:lineRule="auto"/>
              <w:ind w:left="0"/>
              <w:rPr>
                <w:lang w:val="sr-Latn-ME"/>
              </w:rPr>
            </w:pPr>
          </w:p>
        </w:tc>
        <w:tc>
          <w:tcPr>
            <w:tcW w:w="900" w:type="dxa"/>
          </w:tcPr>
          <w:p w14:paraId="17504653" w14:textId="77777777" w:rsidR="00383D59" w:rsidRPr="00616B65" w:rsidRDefault="00383D59" w:rsidP="004412C0">
            <w:pPr>
              <w:pStyle w:val="TableParagraph"/>
              <w:spacing w:line="249" w:lineRule="exact"/>
              <w:rPr>
                <w:b/>
                <w:lang w:val="sr-Latn-ME"/>
              </w:rPr>
            </w:pPr>
            <w:r w:rsidRPr="00616B65">
              <w:rPr>
                <w:b/>
                <w:lang w:val="sr-Latn-ME"/>
              </w:rPr>
              <w:t>Placebo</w:t>
            </w:r>
          </w:p>
        </w:tc>
        <w:tc>
          <w:tcPr>
            <w:tcW w:w="1645" w:type="dxa"/>
          </w:tcPr>
          <w:p w14:paraId="7DA69F69" w14:textId="291A903E" w:rsidR="00383D59" w:rsidRPr="00616B65" w:rsidRDefault="00383D59">
            <w:pPr>
              <w:pStyle w:val="TableParagraph"/>
              <w:spacing w:line="237" w:lineRule="auto"/>
              <w:ind w:left="109" w:right="698"/>
              <w:rPr>
                <w:b/>
                <w:lang w:val="sr-Latn-ME"/>
              </w:rPr>
            </w:pPr>
            <w:r w:rsidRPr="00616B65">
              <w:rPr>
                <w:b/>
                <w:spacing w:val="-1"/>
                <w:lang w:val="sr-Latn-ME"/>
              </w:rPr>
              <w:t xml:space="preserve">Dimetil fumarat </w:t>
            </w:r>
            <w:r w:rsidRPr="00616B65">
              <w:rPr>
                <w:b/>
                <w:lang w:val="sr-Latn-ME"/>
              </w:rPr>
              <w:t>240</w:t>
            </w:r>
            <w:r w:rsidRPr="00616B65">
              <w:rPr>
                <w:b/>
                <w:spacing w:val="-3"/>
                <w:lang w:val="sr-Latn-ME"/>
              </w:rPr>
              <w:t xml:space="preserve"> </w:t>
            </w:r>
            <w:r w:rsidRPr="00616B65">
              <w:rPr>
                <w:b/>
                <w:lang w:val="sr-Latn-ME"/>
              </w:rPr>
              <w:t>mg</w:t>
            </w:r>
          </w:p>
          <w:p w14:paraId="7C3E875C" w14:textId="77777777" w:rsidR="00383D59" w:rsidRPr="00616B65" w:rsidRDefault="00383D59">
            <w:pPr>
              <w:pStyle w:val="TableParagraph"/>
              <w:spacing w:line="238" w:lineRule="exact"/>
              <w:ind w:left="109"/>
              <w:rPr>
                <w:b/>
                <w:lang w:val="sr-Latn-ME"/>
              </w:rPr>
            </w:pPr>
            <w:r w:rsidRPr="00616B65">
              <w:rPr>
                <w:b/>
                <w:lang w:val="sr-Latn-ME"/>
              </w:rPr>
              <w:t>dva</w:t>
            </w:r>
            <w:r w:rsidRPr="00616B65">
              <w:rPr>
                <w:b/>
                <w:spacing w:val="-4"/>
                <w:lang w:val="sr-Latn-ME"/>
              </w:rPr>
              <w:t xml:space="preserve"> </w:t>
            </w:r>
            <w:r w:rsidRPr="00616B65">
              <w:rPr>
                <w:b/>
                <w:lang w:val="sr-Latn-ME"/>
              </w:rPr>
              <w:t>puta</w:t>
            </w:r>
            <w:r w:rsidRPr="00616B65">
              <w:rPr>
                <w:b/>
                <w:spacing w:val="-4"/>
                <w:lang w:val="sr-Latn-ME"/>
              </w:rPr>
              <w:t xml:space="preserve"> </w:t>
            </w:r>
            <w:r w:rsidRPr="00616B65">
              <w:rPr>
                <w:b/>
                <w:lang w:val="sr-Latn-ME"/>
              </w:rPr>
              <w:t>dnevno</w:t>
            </w:r>
          </w:p>
        </w:tc>
        <w:tc>
          <w:tcPr>
            <w:tcW w:w="875" w:type="dxa"/>
          </w:tcPr>
          <w:p w14:paraId="05DBDD52" w14:textId="77777777" w:rsidR="00383D59" w:rsidRPr="00616B65" w:rsidRDefault="00383D59">
            <w:pPr>
              <w:pStyle w:val="TableParagraph"/>
              <w:spacing w:line="249" w:lineRule="exact"/>
              <w:ind w:left="109"/>
              <w:rPr>
                <w:b/>
                <w:lang w:val="sr-Latn-ME"/>
              </w:rPr>
            </w:pPr>
            <w:r w:rsidRPr="00616B65">
              <w:rPr>
                <w:b/>
                <w:lang w:val="sr-Latn-ME"/>
              </w:rPr>
              <w:t>Placebo</w:t>
            </w:r>
          </w:p>
        </w:tc>
        <w:tc>
          <w:tcPr>
            <w:tcW w:w="1620" w:type="dxa"/>
          </w:tcPr>
          <w:p w14:paraId="4AA27221" w14:textId="77777777" w:rsidR="00383D59" w:rsidRPr="00616B65" w:rsidRDefault="00383D59">
            <w:pPr>
              <w:pStyle w:val="TableParagraph"/>
              <w:spacing w:line="237" w:lineRule="auto"/>
              <w:ind w:left="109" w:right="698"/>
              <w:rPr>
                <w:b/>
                <w:lang w:val="sr-Latn-ME"/>
              </w:rPr>
            </w:pPr>
            <w:r w:rsidRPr="00616B65">
              <w:rPr>
                <w:b/>
                <w:spacing w:val="-1"/>
                <w:lang w:val="sr-Latn-ME"/>
              </w:rPr>
              <w:t xml:space="preserve">Dimetil fumarat </w:t>
            </w:r>
            <w:r w:rsidRPr="00616B65">
              <w:rPr>
                <w:b/>
                <w:lang w:val="sr-Latn-ME"/>
              </w:rPr>
              <w:t>240</w:t>
            </w:r>
            <w:r w:rsidRPr="00616B65">
              <w:rPr>
                <w:b/>
                <w:spacing w:val="-3"/>
                <w:lang w:val="sr-Latn-ME"/>
              </w:rPr>
              <w:t xml:space="preserve"> </w:t>
            </w:r>
            <w:r w:rsidRPr="00616B65">
              <w:rPr>
                <w:b/>
                <w:lang w:val="sr-Latn-ME"/>
              </w:rPr>
              <w:t>mg</w:t>
            </w:r>
          </w:p>
          <w:p w14:paraId="76B379AF" w14:textId="550132AE" w:rsidR="00383D59" w:rsidRPr="00616B65" w:rsidRDefault="00383D59">
            <w:pPr>
              <w:pStyle w:val="TableParagraph"/>
              <w:spacing w:line="238" w:lineRule="exact"/>
              <w:ind w:left="104"/>
              <w:rPr>
                <w:b/>
                <w:lang w:val="sr-Latn-ME"/>
              </w:rPr>
            </w:pPr>
            <w:r w:rsidRPr="00616B65">
              <w:rPr>
                <w:b/>
                <w:lang w:val="sr-Latn-ME"/>
              </w:rPr>
              <w:t>dva</w:t>
            </w:r>
            <w:r w:rsidRPr="00616B65">
              <w:rPr>
                <w:b/>
                <w:spacing w:val="-4"/>
                <w:lang w:val="sr-Latn-ME"/>
              </w:rPr>
              <w:t xml:space="preserve"> </w:t>
            </w:r>
            <w:r w:rsidRPr="00616B65">
              <w:rPr>
                <w:b/>
                <w:lang w:val="sr-Latn-ME"/>
              </w:rPr>
              <w:t>puta</w:t>
            </w:r>
            <w:r w:rsidRPr="00616B65">
              <w:rPr>
                <w:b/>
                <w:spacing w:val="-4"/>
                <w:lang w:val="sr-Latn-ME"/>
              </w:rPr>
              <w:t xml:space="preserve"> </w:t>
            </w:r>
            <w:r w:rsidRPr="00616B65">
              <w:rPr>
                <w:b/>
                <w:lang w:val="sr-Latn-ME"/>
              </w:rPr>
              <w:t>dnevno</w:t>
            </w:r>
          </w:p>
        </w:tc>
        <w:tc>
          <w:tcPr>
            <w:tcW w:w="1440" w:type="dxa"/>
          </w:tcPr>
          <w:p w14:paraId="5E502423" w14:textId="77777777" w:rsidR="00383D59" w:rsidRPr="00616B65" w:rsidRDefault="00383D59">
            <w:pPr>
              <w:pStyle w:val="TableParagraph"/>
              <w:spacing w:line="237" w:lineRule="auto"/>
              <w:ind w:left="109" w:right="85"/>
              <w:rPr>
                <w:b/>
                <w:lang w:val="sr-Latn-ME"/>
              </w:rPr>
            </w:pPr>
            <w:r w:rsidRPr="00616B65">
              <w:rPr>
                <w:b/>
                <w:spacing w:val="-1"/>
                <w:lang w:val="sr-Latn-ME"/>
              </w:rPr>
              <w:t>Glatiramer</w:t>
            </w:r>
            <w:r w:rsidRPr="00616B65">
              <w:rPr>
                <w:b/>
                <w:spacing w:val="-52"/>
                <w:lang w:val="sr-Latn-ME"/>
              </w:rPr>
              <w:t xml:space="preserve"> </w:t>
            </w:r>
            <w:r w:rsidRPr="00616B65">
              <w:rPr>
                <w:b/>
                <w:lang w:val="sr-Latn-ME"/>
              </w:rPr>
              <w:t>acetat</w:t>
            </w:r>
          </w:p>
        </w:tc>
      </w:tr>
      <w:tr w:rsidR="00383D59" w:rsidRPr="00616B65" w14:paraId="4E408A96" w14:textId="77777777" w:rsidTr="00383D59">
        <w:trPr>
          <w:trHeight w:val="503"/>
        </w:trPr>
        <w:tc>
          <w:tcPr>
            <w:tcW w:w="9180" w:type="dxa"/>
            <w:gridSpan w:val="6"/>
          </w:tcPr>
          <w:p w14:paraId="33BF5584" w14:textId="77777777" w:rsidR="00383D59" w:rsidRPr="00616B65" w:rsidRDefault="00383D59" w:rsidP="00C31FAA">
            <w:pPr>
              <w:pStyle w:val="TableParagraph"/>
              <w:spacing w:line="250" w:lineRule="exact"/>
              <w:ind w:right="7611"/>
              <w:rPr>
                <w:lang w:val="sr-Latn-ME"/>
              </w:rPr>
            </w:pPr>
            <w:r w:rsidRPr="00616B65">
              <w:rPr>
                <w:b/>
                <w:lang w:val="sr-Latn-ME"/>
              </w:rPr>
              <w:t>Klinički</w:t>
            </w:r>
            <w:r w:rsidRPr="00616B65">
              <w:rPr>
                <w:b/>
                <w:spacing w:val="-12"/>
                <w:lang w:val="sr-Latn-ME"/>
              </w:rPr>
              <w:t xml:space="preserve"> </w:t>
            </w:r>
            <w:r w:rsidRPr="00616B65">
              <w:rPr>
                <w:b/>
                <w:lang w:val="sr-Latn-ME"/>
              </w:rPr>
              <w:t>parametri</w:t>
            </w:r>
            <w:r w:rsidRPr="00616B65">
              <w:rPr>
                <w:b/>
                <w:spacing w:val="-52"/>
                <w:lang w:val="sr-Latn-ME"/>
              </w:rPr>
              <w:t xml:space="preserve"> </w:t>
            </w:r>
            <w:r w:rsidRPr="00616B65">
              <w:rPr>
                <w:b/>
                <w:lang w:val="sr-Latn-ME"/>
              </w:rPr>
              <w:t>praćenja</w:t>
            </w:r>
            <w:r w:rsidRPr="00616B65">
              <w:rPr>
                <w:vertAlign w:val="superscript"/>
                <w:lang w:val="sr-Latn-ME"/>
              </w:rPr>
              <w:t>a</w:t>
            </w:r>
          </w:p>
        </w:tc>
      </w:tr>
      <w:tr w:rsidR="00383D59" w:rsidRPr="00616B65" w14:paraId="02BF16D4" w14:textId="77777777" w:rsidTr="005A340E">
        <w:trPr>
          <w:trHeight w:val="254"/>
        </w:trPr>
        <w:tc>
          <w:tcPr>
            <w:tcW w:w="2700" w:type="dxa"/>
          </w:tcPr>
          <w:p w14:paraId="1D1169F8" w14:textId="77777777" w:rsidR="00383D59" w:rsidRPr="00616B65" w:rsidRDefault="00383D59" w:rsidP="00C31FAA">
            <w:pPr>
              <w:pStyle w:val="TableParagraph"/>
              <w:rPr>
                <w:lang w:val="sr-Latn-ME"/>
              </w:rPr>
            </w:pPr>
            <w:r w:rsidRPr="00616B65">
              <w:rPr>
                <w:lang w:val="sr-Latn-ME"/>
              </w:rPr>
              <w:t>Broj</w:t>
            </w:r>
            <w:r w:rsidRPr="00616B65">
              <w:rPr>
                <w:spacing w:val="-5"/>
                <w:lang w:val="sr-Latn-ME"/>
              </w:rPr>
              <w:t xml:space="preserve"> </w:t>
            </w:r>
            <w:r w:rsidRPr="00616B65">
              <w:rPr>
                <w:lang w:val="sr-Latn-ME"/>
              </w:rPr>
              <w:t>ispitanika</w:t>
            </w:r>
          </w:p>
        </w:tc>
        <w:tc>
          <w:tcPr>
            <w:tcW w:w="900" w:type="dxa"/>
          </w:tcPr>
          <w:p w14:paraId="401B21E4" w14:textId="77777777" w:rsidR="00383D59" w:rsidRPr="00616B65" w:rsidRDefault="00383D59" w:rsidP="005A340E">
            <w:pPr>
              <w:pStyle w:val="TableParagraph"/>
              <w:jc w:val="center"/>
              <w:rPr>
                <w:lang w:val="sr-Latn-ME"/>
              </w:rPr>
            </w:pPr>
            <w:r w:rsidRPr="00616B65">
              <w:rPr>
                <w:lang w:val="sr-Latn-ME"/>
              </w:rPr>
              <w:t>408</w:t>
            </w:r>
          </w:p>
        </w:tc>
        <w:tc>
          <w:tcPr>
            <w:tcW w:w="1645" w:type="dxa"/>
          </w:tcPr>
          <w:p w14:paraId="6BEFF6A6" w14:textId="77777777" w:rsidR="00383D59" w:rsidRPr="00616B65" w:rsidRDefault="00383D59" w:rsidP="005A340E">
            <w:pPr>
              <w:pStyle w:val="TableParagraph"/>
              <w:ind w:left="109"/>
              <w:jc w:val="center"/>
              <w:rPr>
                <w:lang w:val="sr-Latn-ME"/>
              </w:rPr>
            </w:pPr>
            <w:r w:rsidRPr="00616B65">
              <w:rPr>
                <w:lang w:val="sr-Latn-ME"/>
              </w:rPr>
              <w:t>410</w:t>
            </w:r>
          </w:p>
        </w:tc>
        <w:tc>
          <w:tcPr>
            <w:tcW w:w="875" w:type="dxa"/>
          </w:tcPr>
          <w:p w14:paraId="6FD641CD" w14:textId="77777777" w:rsidR="00383D59" w:rsidRPr="00616B65" w:rsidRDefault="00383D59" w:rsidP="005A340E">
            <w:pPr>
              <w:pStyle w:val="TableParagraph"/>
              <w:ind w:left="109"/>
              <w:jc w:val="center"/>
              <w:rPr>
                <w:lang w:val="sr-Latn-ME"/>
              </w:rPr>
            </w:pPr>
            <w:r w:rsidRPr="00616B65">
              <w:rPr>
                <w:lang w:val="sr-Latn-ME"/>
              </w:rPr>
              <w:t>363</w:t>
            </w:r>
          </w:p>
        </w:tc>
        <w:tc>
          <w:tcPr>
            <w:tcW w:w="1620" w:type="dxa"/>
          </w:tcPr>
          <w:p w14:paraId="09A74D49" w14:textId="77777777" w:rsidR="00383D59" w:rsidRPr="00616B65" w:rsidRDefault="00383D59" w:rsidP="005A340E">
            <w:pPr>
              <w:pStyle w:val="TableParagraph"/>
              <w:ind w:left="104"/>
              <w:jc w:val="center"/>
              <w:rPr>
                <w:lang w:val="sr-Latn-ME"/>
              </w:rPr>
            </w:pPr>
            <w:r w:rsidRPr="00616B65">
              <w:rPr>
                <w:lang w:val="sr-Latn-ME"/>
              </w:rPr>
              <w:t>359</w:t>
            </w:r>
          </w:p>
        </w:tc>
        <w:tc>
          <w:tcPr>
            <w:tcW w:w="1440" w:type="dxa"/>
          </w:tcPr>
          <w:p w14:paraId="724CAE14" w14:textId="77777777" w:rsidR="00383D59" w:rsidRPr="00616B65" w:rsidRDefault="00383D59" w:rsidP="005A340E">
            <w:pPr>
              <w:pStyle w:val="TableParagraph"/>
              <w:ind w:left="109"/>
              <w:jc w:val="center"/>
              <w:rPr>
                <w:lang w:val="sr-Latn-ME"/>
              </w:rPr>
            </w:pPr>
            <w:r w:rsidRPr="00616B65">
              <w:rPr>
                <w:lang w:val="sr-Latn-ME"/>
              </w:rPr>
              <w:t>350</w:t>
            </w:r>
          </w:p>
        </w:tc>
      </w:tr>
      <w:tr w:rsidR="00383D59" w:rsidRPr="00616B65" w14:paraId="0CC3D089" w14:textId="77777777" w:rsidTr="005A340E">
        <w:trPr>
          <w:trHeight w:val="254"/>
        </w:trPr>
        <w:tc>
          <w:tcPr>
            <w:tcW w:w="2700" w:type="dxa"/>
          </w:tcPr>
          <w:p w14:paraId="77DB634F" w14:textId="77777777" w:rsidR="00383D59" w:rsidRPr="00616B65" w:rsidRDefault="00383D59" w:rsidP="00C31FAA">
            <w:pPr>
              <w:pStyle w:val="TableParagraph"/>
              <w:rPr>
                <w:lang w:val="sr-Latn-ME"/>
              </w:rPr>
            </w:pPr>
            <w:r w:rsidRPr="00616B65">
              <w:rPr>
                <w:lang w:val="sr-Latn-ME"/>
              </w:rPr>
              <w:t>Godišnja</w:t>
            </w:r>
            <w:r w:rsidRPr="00616B65">
              <w:rPr>
                <w:spacing w:val="-5"/>
                <w:lang w:val="sr-Latn-ME"/>
              </w:rPr>
              <w:t xml:space="preserve"> </w:t>
            </w:r>
            <w:r w:rsidRPr="00616B65">
              <w:rPr>
                <w:lang w:val="sr-Latn-ME"/>
              </w:rPr>
              <w:t>stopa</w:t>
            </w:r>
            <w:r w:rsidRPr="00616B65">
              <w:rPr>
                <w:spacing w:val="-4"/>
                <w:lang w:val="sr-Latn-ME"/>
              </w:rPr>
              <w:t xml:space="preserve"> </w:t>
            </w:r>
            <w:r w:rsidRPr="00616B65">
              <w:rPr>
                <w:lang w:val="sr-Latn-ME"/>
              </w:rPr>
              <w:t>relapsa</w:t>
            </w:r>
          </w:p>
        </w:tc>
        <w:tc>
          <w:tcPr>
            <w:tcW w:w="900" w:type="dxa"/>
          </w:tcPr>
          <w:p w14:paraId="367DB28E" w14:textId="77777777" w:rsidR="00383D59" w:rsidRPr="00616B65" w:rsidRDefault="00383D59" w:rsidP="005A340E">
            <w:pPr>
              <w:pStyle w:val="TableParagraph"/>
              <w:jc w:val="center"/>
              <w:rPr>
                <w:lang w:val="sr-Latn-ME"/>
              </w:rPr>
            </w:pPr>
            <w:r w:rsidRPr="00616B65">
              <w:rPr>
                <w:lang w:val="sr-Latn-ME"/>
              </w:rPr>
              <w:t>0,364</w:t>
            </w:r>
          </w:p>
        </w:tc>
        <w:tc>
          <w:tcPr>
            <w:tcW w:w="1645" w:type="dxa"/>
          </w:tcPr>
          <w:p w14:paraId="0F37CEE0" w14:textId="77777777" w:rsidR="00383D59" w:rsidRPr="00616B65" w:rsidRDefault="00383D59" w:rsidP="005A340E">
            <w:pPr>
              <w:pStyle w:val="TableParagraph"/>
              <w:ind w:left="109"/>
              <w:jc w:val="center"/>
              <w:rPr>
                <w:lang w:val="sr-Latn-ME"/>
              </w:rPr>
            </w:pPr>
            <w:r w:rsidRPr="00616B65">
              <w:rPr>
                <w:lang w:val="sr-Latn-ME"/>
              </w:rPr>
              <w:t>0,172***</w:t>
            </w:r>
          </w:p>
        </w:tc>
        <w:tc>
          <w:tcPr>
            <w:tcW w:w="875" w:type="dxa"/>
          </w:tcPr>
          <w:p w14:paraId="6B082051" w14:textId="77777777" w:rsidR="00383D59" w:rsidRPr="00616B65" w:rsidRDefault="00383D59" w:rsidP="005A340E">
            <w:pPr>
              <w:pStyle w:val="TableParagraph"/>
              <w:ind w:left="109"/>
              <w:jc w:val="center"/>
              <w:rPr>
                <w:lang w:val="sr-Latn-ME"/>
              </w:rPr>
            </w:pPr>
            <w:r w:rsidRPr="00616B65">
              <w:rPr>
                <w:lang w:val="sr-Latn-ME"/>
              </w:rPr>
              <w:t>0,401</w:t>
            </w:r>
          </w:p>
        </w:tc>
        <w:tc>
          <w:tcPr>
            <w:tcW w:w="1620" w:type="dxa"/>
          </w:tcPr>
          <w:p w14:paraId="31CCC56D" w14:textId="77777777" w:rsidR="00383D59" w:rsidRPr="00616B65" w:rsidRDefault="00383D59" w:rsidP="005A340E">
            <w:pPr>
              <w:pStyle w:val="TableParagraph"/>
              <w:ind w:left="104"/>
              <w:jc w:val="center"/>
              <w:rPr>
                <w:lang w:val="sr-Latn-ME"/>
              </w:rPr>
            </w:pPr>
            <w:r w:rsidRPr="00616B65">
              <w:rPr>
                <w:lang w:val="sr-Latn-ME"/>
              </w:rPr>
              <w:t>0,224***</w:t>
            </w:r>
          </w:p>
        </w:tc>
        <w:tc>
          <w:tcPr>
            <w:tcW w:w="1440" w:type="dxa"/>
          </w:tcPr>
          <w:p w14:paraId="17BEC622" w14:textId="77777777" w:rsidR="00383D59" w:rsidRPr="00616B65" w:rsidRDefault="00383D59" w:rsidP="005A340E">
            <w:pPr>
              <w:pStyle w:val="TableParagraph"/>
              <w:ind w:left="109"/>
              <w:jc w:val="center"/>
              <w:rPr>
                <w:lang w:val="sr-Latn-ME"/>
              </w:rPr>
            </w:pPr>
            <w:r w:rsidRPr="00616B65">
              <w:rPr>
                <w:lang w:val="sr-Latn-ME"/>
              </w:rPr>
              <w:t>0,286*</w:t>
            </w:r>
          </w:p>
        </w:tc>
      </w:tr>
      <w:tr w:rsidR="00383D59" w:rsidRPr="00616B65" w14:paraId="074E3809" w14:textId="77777777" w:rsidTr="005A340E">
        <w:trPr>
          <w:trHeight w:val="757"/>
        </w:trPr>
        <w:tc>
          <w:tcPr>
            <w:tcW w:w="2700" w:type="dxa"/>
          </w:tcPr>
          <w:p w14:paraId="4F23C480" w14:textId="77777777" w:rsidR="00383D59" w:rsidRPr="00616B65" w:rsidRDefault="00383D59" w:rsidP="000D33C9">
            <w:pPr>
              <w:pStyle w:val="TableParagraph"/>
              <w:spacing w:line="242" w:lineRule="auto"/>
              <w:ind w:right="372"/>
              <w:rPr>
                <w:lang w:val="sr-Latn-ME"/>
              </w:rPr>
            </w:pPr>
            <w:r w:rsidRPr="00616B65">
              <w:rPr>
                <w:lang w:val="sr-Latn-ME"/>
              </w:rPr>
              <w:t>Odnos</w:t>
            </w:r>
            <w:r w:rsidRPr="00616B65">
              <w:rPr>
                <w:spacing w:val="-7"/>
                <w:lang w:val="sr-Latn-ME"/>
              </w:rPr>
              <w:t xml:space="preserve"> </w:t>
            </w:r>
            <w:r w:rsidRPr="00616B65">
              <w:rPr>
                <w:lang w:val="sr-Latn-ME"/>
              </w:rPr>
              <w:t>stopa</w:t>
            </w:r>
            <w:r w:rsidRPr="00616B65">
              <w:rPr>
                <w:spacing w:val="-4"/>
                <w:lang w:val="sr-Latn-ME"/>
              </w:rPr>
              <w:t xml:space="preserve"> </w:t>
            </w:r>
            <w:r w:rsidRPr="00616B65">
              <w:rPr>
                <w:lang w:val="sr-Latn-ME"/>
              </w:rPr>
              <w:t>(Rate</w:t>
            </w:r>
            <w:r w:rsidRPr="00616B65">
              <w:rPr>
                <w:spacing w:val="-52"/>
                <w:lang w:val="sr-Latn-ME"/>
              </w:rPr>
              <w:t xml:space="preserve"> </w:t>
            </w:r>
            <w:r w:rsidRPr="00616B65">
              <w:rPr>
                <w:lang w:val="sr-Latn-ME"/>
              </w:rPr>
              <w:t>ratio)</w:t>
            </w:r>
          </w:p>
          <w:p w14:paraId="2A364D33" w14:textId="77777777" w:rsidR="00383D59" w:rsidRPr="00616B65" w:rsidRDefault="00383D59" w:rsidP="00C31FAA">
            <w:pPr>
              <w:pStyle w:val="TableParagraph"/>
              <w:spacing w:line="236" w:lineRule="exact"/>
              <w:ind w:left="676"/>
              <w:rPr>
                <w:lang w:val="sr-Latn-ME"/>
              </w:rPr>
            </w:pPr>
            <w:r w:rsidRPr="00616B65">
              <w:rPr>
                <w:lang w:val="sr-Latn-ME"/>
              </w:rPr>
              <w:t>(95%</w:t>
            </w:r>
            <w:r w:rsidRPr="00616B65">
              <w:rPr>
                <w:spacing w:val="-2"/>
                <w:lang w:val="sr-Latn-ME"/>
              </w:rPr>
              <w:t xml:space="preserve"> </w:t>
            </w:r>
            <w:r w:rsidRPr="00616B65">
              <w:rPr>
                <w:lang w:val="sr-Latn-ME"/>
              </w:rPr>
              <w:t>CI)</w:t>
            </w:r>
          </w:p>
        </w:tc>
        <w:tc>
          <w:tcPr>
            <w:tcW w:w="900" w:type="dxa"/>
          </w:tcPr>
          <w:p w14:paraId="003C6A2F" w14:textId="77777777" w:rsidR="00383D59" w:rsidRPr="00616B65" w:rsidRDefault="00383D59" w:rsidP="005A340E">
            <w:pPr>
              <w:pStyle w:val="TableParagraph"/>
              <w:spacing w:line="240" w:lineRule="auto"/>
              <w:ind w:left="0"/>
              <w:jc w:val="center"/>
              <w:rPr>
                <w:lang w:val="sr-Latn-ME"/>
              </w:rPr>
            </w:pPr>
          </w:p>
        </w:tc>
        <w:tc>
          <w:tcPr>
            <w:tcW w:w="1645" w:type="dxa"/>
          </w:tcPr>
          <w:p w14:paraId="28C23995" w14:textId="77777777" w:rsidR="00383D59" w:rsidRPr="00616B65" w:rsidRDefault="00383D59" w:rsidP="005A340E">
            <w:pPr>
              <w:pStyle w:val="TableParagraph"/>
              <w:spacing w:line="244" w:lineRule="exact"/>
              <w:ind w:left="109"/>
              <w:jc w:val="center"/>
              <w:rPr>
                <w:lang w:val="sr-Latn-ME"/>
              </w:rPr>
            </w:pPr>
            <w:r w:rsidRPr="00616B65">
              <w:rPr>
                <w:lang w:val="sr-Latn-ME"/>
              </w:rPr>
              <w:t>0,47</w:t>
            </w:r>
          </w:p>
          <w:p w14:paraId="3E27DEEC" w14:textId="77777777" w:rsidR="00383D59" w:rsidRPr="00616B65" w:rsidRDefault="00383D59" w:rsidP="005A340E">
            <w:pPr>
              <w:pStyle w:val="TableParagraph"/>
              <w:spacing w:before="1" w:line="240" w:lineRule="auto"/>
              <w:ind w:left="109"/>
              <w:jc w:val="center"/>
              <w:rPr>
                <w:lang w:val="sr-Latn-ME"/>
              </w:rPr>
            </w:pPr>
            <w:r w:rsidRPr="00616B65">
              <w:rPr>
                <w:lang w:val="sr-Latn-ME"/>
              </w:rPr>
              <w:t>(0,37,</w:t>
            </w:r>
            <w:r w:rsidRPr="00616B65">
              <w:rPr>
                <w:spacing w:val="1"/>
                <w:lang w:val="sr-Latn-ME"/>
              </w:rPr>
              <w:t xml:space="preserve"> </w:t>
            </w:r>
            <w:r w:rsidRPr="00616B65">
              <w:rPr>
                <w:lang w:val="sr-Latn-ME"/>
              </w:rPr>
              <w:t>0,61)</w:t>
            </w:r>
          </w:p>
        </w:tc>
        <w:tc>
          <w:tcPr>
            <w:tcW w:w="875" w:type="dxa"/>
          </w:tcPr>
          <w:p w14:paraId="1A9FEB23" w14:textId="77777777" w:rsidR="00383D59" w:rsidRPr="00616B65" w:rsidRDefault="00383D59" w:rsidP="005A340E">
            <w:pPr>
              <w:pStyle w:val="TableParagraph"/>
              <w:spacing w:line="240" w:lineRule="auto"/>
              <w:ind w:left="0"/>
              <w:jc w:val="center"/>
              <w:rPr>
                <w:lang w:val="sr-Latn-ME"/>
              </w:rPr>
            </w:pPr>
          </w:p>
        </w:tc>
        <w:tc>
          <w:tcPr>
            <w:tcW w:w="1620" w:type="dxa"/>
          </w:tcPr>
          <w:p w14:paraId="040C6AAC" w14:textId="77777777" w:rsidR="00383D59" w:rsidRPr="00616B65" w:rsidRDefault="00383D59" w:rsidP="005A340E">
            <w:pPr>
              <w:pStyle w:val="TableParagraph"/>
              <w:spacing w:line="244" w:lineRule="exact"/>
              <w:ind w:left="104"/>
              <w:jc w:val="center"/>
              <w:rPr>
                <w:lang w:val="sr-Latn-ME"/>
              </w:rPr>
            </w:pPr>
            <w:r w:rsidRPr="00616B65">
              <w:rPr>
                <w:lang w:val="sr-Latn-ME"/>
              </w:rPr>
              <w:t>0,56</w:t>
            </w:r>
          </w:p>
          <w:p w14:paraId="6B64EA80" w14:textId="77777777" w:rsidR="00383D59" w:rsidRPr="00616B65" w:rsidRDefault="00383D59" w:rsidP="005A340E">
            <w:pPr>
              <w:pStyle w:val="TableParagraph"/>
              <w:spacing w:before="1" w:line="240" w:lineRule="auto"/>
              <w:ind w:left="104"/>
              <w:jc w:val="center"/>
              <w:rPr>
                <w:lang w:val="sr-Latn-ME"/>
              </w:rPr>
            </w:pPr>
            <w:r w:rsidRPr="00616B65">
              <w:rPr>
                <w:lang w:val="sr-Latn-ME"/>
              </w:rPr>
              <w:t>(0,42,</w:t>
            </w:r>
            <w:r w:rsidRPr="00616B65">
              <w:rPr>
                <w:spacing w:val="1"/>
                <w:lang w:val="sr-Latn-ME"/>
              </w:rPr>
              <w:t xml:space="preserve"> </w:t>
            </w:r>
            <w:r w:rsidRPr="00616B65">
              <w:rPr>
                <w:lang w:val="sr-Latn-ME"/>
              </w:rPr>
              <w:t>0,74)</w:t>
            </w:r>
          </w:p>
        </w:tc>
        <w:tc>
          <w:tcPr>
            <w:tcW w:w="1440" w:type="dxa"/>
          </w:tcPr>
          <w:p w14:paraId="19851C2D" w14:textId="77777777" w:rsidR="00383D59" w:rsidRPr="00616B65" w:rsidRDefault="00383D59" w:rsidP="005A340E">
            <w:pPr>
              <w:pStyle w:val="TableParagraph"/>
              <w:spacing w:line="244" w:lineRule="exact"/>
              <w:ind w:left="109"/>
              <w:jc w:val="center"/>
              <w:rPr>
                <w:lang w:val="sr-Latn-ME"/>
              </w:rPr>
            </w:pPr>
            <w:r w:rsidRPr="00616B65">
              <w:rPr>
                <w:lang w:val="sr-Latn-ME"/>
              </w:rPr>
              <w:t>0,71</w:t>
            </w:r>
          </w:p>
          <w:p w14:paraId="22969E93" w14:textId="77777777" w:rsidR="00383D59" w:rsidRPr="00616B65" w:rsidRDefault="00383D59" w:rsidP="005A340E">
            <w:pPr>
              <w:pStyle w:val="TableParagraph"/>
              <w:spacing w:before="1" w:line="240" w:lineRule="auto"/>
              <w:ind w:left="109"/>
              <w:jc w:val="center"/>
              <w:rPr>
                <w:lang w:val="sr-Latn-ME"/>
              </w:rPr>
            </w:pPr>
            <w:r w:rsidRPr="00616B65">
              <w:rPr>
                <w:lang w:val="sr-Latn-ME"/>
              </w:rPr>
              <w:t>(0,55,</w:t>
            </w:r>
            <w:r w:rsidRPr="00616B65">
              <w:rPr>
                <w:spacing w:val="1"/>
                <w:lang w:val="sr-Latn-ME"/>
              </w:rPr>
              <w:t xml:space="preserve"> </w:t>
            </w:r>
            <w:r w:rsidRPr="00616B65">
              <w:rPr>
                <w:lang w:val="sr-Latn-ME"/>
              </w:rPr>
              <w:t>0,93)</w:t>
            </w:r>
          </w:p>
        </w:tc>
      </w:tr>
      <w:tr w:rsidR="00383D59" w:rsidRPr="00616B65" w14:paraId="22EA081B" w14:textId="77777777" w:rsidTr="005A340E">
        <w:trPr>
          <w:trHeight w:val="253"/>
        </w:trPr>
        <w:tc>
          <w:tcPr>
            <w:tcW w:w="2700" w:type="dxa"/>
          </w:tcPr>
          <w:p w14:paraId="5EC86172" w14:textId="740F2211" w:rsidR="00383D59" w:rsidRPr="00616B65" w:rsidRDefault="00383D59" w:rsidP="00C31FAA">
            <w:pPr>
              <w:pStyle w:val="TableParagraph"/>
              <w:rPr>
                <w:lang w:val="sr-Latn-ME"/>
              </w:rPr>
            </w:pPr>
            <w:r w:rsidRPr="00616B65">
              <w:rPr>
                <w:lang w:val="sr-Latn-ME"/>
              </w:rPr>
              <w:t>Ud</w:t>
            </w:r>
            <w:r w:rsidR="00D227EB" w:rsidRPr="00616B65">
              <w:rPr>
                <w:lang w:val="sr-Latn-ME"/>
              </w:rPr>
              <w:t>i</w:t>
            </w:r>
            <w:r w:rsidRPr="00616B65">
              <w:rPr>
                <w:lang w:val="sr-Latn-ME"/>
              </w:rPr>
              <w:t>o</w:t>
            </w:r>
            <w:r w:rsidRPr="00616B65">
              <w:rPr>
                <w:spacing w:val="-3"/>
                <w:lang w:val="sr-Latn-ME"/>
              </w:rPr>
              <w:t xml:space="preserve"> </w:t>
            </w:r>
            <w:r w:rsidRPr="00616B65">
              <w:rPr>
                <w:lang w:val="sr-Latn-ME"/>
              </w:rPr>
              <w:t>u</w:t>
            </w:r>
            <w:r w:rsidRPr="00616B65">
              <w:rPr>
                <w:spacing w:val="-3"/>
                <w:lang w:val="sr-Latn-ME"/>
              </w:rPr>
              <w:t xml:space="preserve"> </w:t>
            </w:r>
            <w:r w:rsidRPr="00616B65">
              <w:rPr>
                <w:lang w:val="sr-Latn-ME"/>
              </w:rPr>
              <w:t>relapsu</w:t>
            </w:r>
          </w:p>
        </w:tc>
        <w:tc>
          <w:tcPr>
            <w:tcW w:w="900" w:type="dxa"/>
          </w:tcPr>
          <w:p w14:paraId="484F4AC0" w14:textId="77777777" w:rsidR="00383D59" w:rsidRPr="00616B65" w:rsidRDefault="00383D59" w:rsidP="005A340E">
            <w:pPr>
              <w:pStyle w:val="TableParagraph"/>
              <w:jc w:val="center"/>
              <w:rPr>
                <w:lang w:val="sr-Latn-ME"/>
              </w:rPr>
            </w:pPr>
            <w:r w:rsidRPr="00616B65">
              <w:rPr>
                <w:lang w:val="sr-Latn-ME"/>
              </w:rPr>
              <w:t>0,461</w:t>
            </w:r>
          </w:p>
        </w:tc>
        <w:tc>
          <w:tcPr>
            <w:tcW w:w="1645" w:type="dxa"/>
          </w:tcPr>
          <w:p w14:paraId="24F376A7" w14:textId="77777777" w:rsidR="00383D59" w:rsidRPr="00616B65" w:rsidRDefault="00383D59" w:rsidP="005A340E">
            <w:pPr>
              <w:pStyle w:val="TableParagraph"/>
              <w:ind w:left="109"/>
              <w:jc w:val="center"/>
              <w:rPr>
                <w:lang w:val="sr-Latn-ME"/>
              </w:rPr>
            </w:pPr>
            <w:r w:rsidRPr="00616B65">
              <w:rPr>
                <w:lang w:val="sr-Latn-ME"/>
              </w:rPr>
              <w:t>0,270***</w:t>
            </w:r>
          </w:p>
        </w:tc>
        <w:tc>
          <w:tcPr>
            <w:tcW w:w="875" w:type="dxa"/>
          </w:tcPr>
          <w:p w14:paraId="2B1BA269" w14:textId="77777777" w:rsidR="00383D59" w:rsidRPr="00616B65" w:rsidRDefault="00383D59" w:rsidP="005A340E">
            <w:pPr>
              <w:pStyle w:val="TableParagraph"/>
              <w:ind w:left="109"/>
              <w:jc w:val="center"/>
              <w:rPr>
                <w:lang w:val="sr-Latn-ME"/>
              </w:rPr>
            </w:pPr>
            <w:r w:rsidRPr="00616B65">
              <w:rPr>
                <w:lang w:val="sr-Latn-ME"/>
              </w:rPr>
              <w:t>0,410</w:t>
            </w:r>
          </w:p>
        </w:tc>
        <w:tc>
          <w:tcPr>
            <w:tcW w:w="1620" w:type="dxa"/>
          </w:tcPr>
          <w:p w14:paraId="5E326365" w14:textId="77777777" w:rsidR="00383D59" w:rsidRPr="00616B65" w:rsidRDefault="00383D59" w:rsidP="005A340E">
            <w:pPr>
              <w:pStyle w:val="TableParagraph"/>
              <w:ind w:left="104"/>
              <w:jc w:val="center"/>
              <w:rPr>
                <w:lang w:val="sr-Latn-ME"/>
              </w:rPr>
            </w:pPr>
            <w:r w:rsidRPr="00616B65">
              <w:rPr>
                <w:lang w:val="sr-Latn-ME"/>
              </w:rPr>
              <w:t>0,291**</w:t>
            </w:r>
          </w:p>
        </w:tc>
        <w:tc>
          <w:tcPr>
            <w:tcW w:w="1440" w:type="dxa"/>
          </w:tcPr>
          <w:p w14:paraId="4E1BFDF2" w14:textId="77777777" w:rsidR="00383D59" w:rsidRPr="00616B65" w:rsidRDefault="00383D59" w:rsidP="005A340E">
            <w:pPr>
              <w:pStyle w:val="TableParagraph"/>
              <w:ind w:left="109"/>
              <w:jc w:val="center"/>
              <w:rPr>
                <w:lang w:val="sr-Latn-ME"/>
              </w:rPr>
            </w:pPr>
            <w:r w:rsidRPr="00616B65">
              <w:rPr>
                <w:lang w:val="sr-Latn-ME"/>
              </w:rPr>
              <w:t>0,321**</w:t>
            </w:r>
          </w:p>
        </w:tc>
      </w:tr>
      <w:tr w:rsidR="00383D59" w:rsidRPr="00616B65" w14:paraId="576EB1D8" w14:textId="77777777" w:rsidTr="005A340E">
        <w:trPr>
          <w:trHeight w:val="758"/>
        </w:trPr>
        <w:tc>
          <w:tcPr>
            <w:tcW w:w="2700" w:type="dxa"/>
          </w:tcPr>
          <w:p w14:paraId="0745A976" w14:textId="77777777" w:rsidR="00383D59" w:rsidRPr="00616B65" w:rsidRDefault="00383D59" w:rsidP="00C31FAA">
            <w:pPr>
              <w:pStyle w:val="TableParagraph"/>
              <w:spacing w:line="242" w:lineRule="auto"/>
              <w:ind w:right="93"/>
              <w:rPr>
                <w:lang w:val="sr-Latn-ME"/>
              </w:rPr>
            </w:pPr>
            <w:r w:rsidRPr="00616B65">
              <w:rPr>
                <w:lang w:val="sr-Latn-ME"/>
              </w:rPr>
              <w:t>Odnos rizika (</w:t>
            </w:r>
            <w:r w:rsidRPr="00616B65">
              <w:rPr>
                <w:i/>
                <w:iCs/>
                <w:lang w:val="sr-Latn-ME"/>
              </w:rPr>
              <w:t>Hazard</w:t>
            </w:r>
            <w:r w:rsidRPr="00616B65">
              <w:rPr>
                <w:i/>
                <w:iCs/>
                <w:spacing w:val="-52"/>
                <w:lang w:val="sr-Latn-ME"/>
              </w:rPr>
              <w:t xml:space="preserve">                  </w:t>
            </w:r>
            <w:r w:rsidRPr="00616B65">
              <w:rPr>
                <w:i/>
                <w:iCs/>
                <w:lang w:val="sr-Latn-ME"/>
              </w:rPr>
              <w:t>ratio</w:t>
            </w:r>
            <w:r w:rsidRPr="00616B65">
              <w:rPr>
                <w:lang w:val="sr-Latn-ME"/>
              </w:rPr>
              <w:t>)</w:t>
            </w:r>
          </w:p>
          <w:p w14:paraId="1682C972" w14:textId="77777777" w:rsidR="00383D59" w:rsidRPr="00616B65" w:rsidRDefault="00383D59" w:rsidP="00C31FAA">
            <w:pPr>
              <w:pStyle w:val="TableParagraph"/>
              <w:spacing w:line="236" w:lineRule="exact"/>
              <w:rPr>
                <w:lang w:val="sr-Latn-ME"/>
              </w:rPr>
            </w:pPr>
            <w:r w:rsidRPr="00616B65">
              <w:rPr>
                <w:lang w:val="sr-Latn-ME"/>
              </w:rPr>
              <w:t>(95%</w:t>
            </w:r>
            <w:r w:rsidRPr="00616B65">
              <w:rPr>
                <w:spacing w:val="-2"/>
                <w:lang w:val="sr-Latn-ME"/>
              </w:rPr>
              <w:t xml:space="preserve"> </w:t>
            </w:r>
            <w:r w:rsidRPr="00616B65">
              <w:rPr>
                <w:lang w:val="sr-Latn-ME"/>
              </w:rPr>
              <w:t>CI)</w:t>
            </w:r>
          </w:p>
        </w:tc>
        <w:tc>
          <w:tcPr>
            <w:tcW w:w="900" w:type="dxa"/>
          </w:tcPr>
          <w:p w14:paraId="3276C905" w14:textId="77777777" w:rsidR="00383D59" w:rsidRPr="00616B65" w:rsidRDefault="00383D59" w:rsidP="005A340E">
            <w:pPr>
              <w:pStyle w:val="TableParagraph"/>
              <w:spacing w:line="240" w:lineRule="auto"/>
              <w:ind w:left="0"/>
              <w:jc w:val="center"/>
              <w:rPr>
                <w:lang w:val="sr-Latn-ME"/>
              </w:rPr>
            </w:pPr>
          </w:p>
        </w:tc>
        <w:tc>
          <w:tcPr>
            <w:tcW w:w="1645" w:type="dxa"/>
          </w:tcPr>
          <w:p w14:paraId="120A9DE9" w14:textId="77777777" w:rsidR="00383D59" w:rsidRPr="00616B65" w:rsidRDefault="00383D59" w:rsidP="005A340E">
            <w:pPr>
              <w:pStyle w:val="TableParagraph"/>
              <w:spacing w:line="244" w:lineRule="exact"/>
              <w:ind w:left="109"/>
              <w:jc w:val="center"/>
              <w:rPr>
                <w:lang w:val="sr-Latn-ME"/>
              </w:rPr>
            </w:pPr>
            <w:r w:rsidRPr="00616B65">
              <w:rPr>
                <w:lang w:val="sr-Latn-ME"/>
              </w:rPr>
              <w:t>0,51</w:t>
            </w:r>
          </w:p>
          <w:p w14:paraId="3C58A5FF" w14:textId="77777777" w:rsidR="00383D59" w:rsidRPr="00616B65" w:rsidRDefault="00383D59" w:rsidP="005A340E">
            <w:pPr>
              <w:pStyle w:val="TableParagraph"/>
              <w:spacing w:before="1" w:line="240" w:lineRule="auto"/>
              <w:ind w:left="109"/>
              <w:jc w:val="center"/>
              <w:rPr>
                <w:lang w:val="sr-Latn-ME"/>
              </w:rPr>
            </w:pPr>
            <w:r w:rsidRPr="00616B65">
              <w:rPr>
                <w:lang w:val="sr-Latn-ME"/>
              </w:rPr>
              <w:t>(0,40,</w:t>
            </w:r>
            <w:r w:rsidRPr="00616B65">
              <w:rPr>
                <w:spacing w:val="1"/>
                <w:lang w:val="sr-Latn-ME"/>
              </w:rPr>
              <w:t xml:space="preserve"> </w:t>
            </w:r>
            <w:r w:rsidRPr="00616B65">
              <w:rPr>
                <w:lang w:val="sr-Latn-ME"/>
              </w:rPr>
              <w:t>0,66)</w:t>
            </w:r>
          </w:p>
        </w:tc>
        <w:tc>
          <w:tcPr>
            <w:tcW w:w="875" w:type="dxa"/>
          </w:tcPr>
          <w:p w14:paraId="2FE503E0" w14:textId="77777777" w:rsidR="00383D59" w:rsidRPr="00616B65" w:rsidRDefault="00383D59" w:rsidP="005A340E">
            <w:pPr>
              <w:pStyle w:val="TableParagraph"/>
              <w:spacing w:line="240" w:lineRule="auto"/>
              <w:ind w:left="0"/>
              <w:jc w:val="center"/>
              <w:rPr>
                <w:lang w:val="sr-Latn-ME"/>
              </w:rPr>
            </w:pPr>
          </w:p>
        </w:tc>
        <w:tc>
          <w:tcPr>
            <w:tcW w:w="1620" w:type="dxa"/>
          </w:tcPr>
          <w:p w14:paraId="7FD272DA" w14:textId="77777777" w:rsidR="00383D59" w:rsidRPr="00616B65" w:rsidRDefault="00383D59" w:rsidP="005A340E">
            <w:pPr>
              <w:pStyle w:val="TableParagraph"/>
              <w:spacing w:line="244" w:lineRule="exact"/>
              <w:ind w:left="104"/>
              <w:jc w:val="center"/>
              <w:rPr>
                <w:lang w:val="sr-Latn-ME"/>
              </w:rPr>
            </w:pPr>
            <w:r w:rsidRPr="00616B65">
              <w:rPr>
                <w:lang w:val="sr-Latn-ME"/>
              </w:rPr>
              <w:t>0,66</w:t>
            </w:r>
          </w:p>
          <w:p w14:paraId="478D042A" w14:textId="77777777" w:rsidR="00383D59" w:rsidRPr="00616B65" w:rsidRDefault="00383D59" w:rsidP="005A340E">
            <w:pPr>
              <w:pStyle w:val="TableParagraph"/>
              <w:spacing w:before="1" w:line="240" w:lineRule="auto"/>
              <w:ind w:left="104"/>
              <w:jc w:val="center"/>
              <w:rPr>
                <w:lang w:val="sr-Latn-ME"/>
              </w:rPr>
            </w:pPr>
            <w:r w:rsidRPr="00616B65">
              <w:rPr>
                <w:lang w:val="sr-Latn-ME"/>
              </w:rPr>
              <w:t>(0,51,</w:t>
            </w:r>
            <w:r w:rsidRPr="00616B65">
              <w:rPr>
                <w:spacing w:val="1"/>
                <w:lang w:val="sr-Latn-ME"/>
              </w:rPr>
              <w:t xml:space="preserve"> </w:t>
            </w:r>
            <w:r w:rsidRPr="00616B65">
              <w:rPr>
                <w:lang w:val="sr-Latn-ME"/>
              </w:rPr>
              <w:t>0,86)</w:t>
            </w:r>
          </w:p>
        </w:tc>
        <w:tc>
          <w:tcPr>
            <w:tcW w:w="1440" w:type="dxa"/>
          </w:tcPr>
          <w:p w14:paraId="07E5998D" w14:textId="77777777" w:rsidR="00383D59" w:rsidRPr="00616B65" w:rsidRDefault="00383D59" w:rsidP="005A340E">
            <w:pPr>
              <w:pStyle w:val="TableParagraph"/>
              <w:spacing w:line="244" w:lineRule="exact"/>
              <w:ind w:left="109"/>
              <w:jc w:val="center"/>
              <w:rPr>
                <w:lang w:val="sr-Latn-ME"/>
              </w:rPr>
            </w:pPr>
            <w:r w:rsidRPr="00616B65">
              <w:rPr>
                <w:lang w:val="sr-Latn-ME"/>
              </w:rPr>
              <w:t>0,71</w:t>
            </w:r>
          </w:p>
          <w:p w14:paraId="0E4064FB" w14:textId="77777777" w:rsidR="00383D59" w:rsidRPr="00616B65" w:rsidRDefault="00383D59" w:rsidP="005A340E">
            <w:pPr>
              <w:pStyle w:val="TableParagraph"/>
              <w:spacing w:before="1" w:line="240" w:lineRule="auto"/>
              <w:ind w:left="109"/>
              <w:jc w:val="center"/>
              <w:rPr>
                <w:lang w:val="sr-Latn-ME"/>
              </w:rPr>
            </w:pPr>
            <w:r w:rsidRPr="00616B65">
              <w:rPr>
                <w:lang w:val="sr-Latn-ME"/>
              </w:rPr>
              <w:t>(0,55,</w:t>
            </w:r>
            <w:r w:rsidRPr="00616B65">
              <w:rPr>
                <w:spacing w:val="1"/>
                <w:lang w:val="sr-Latn-ME"/>
              </w:rPr>
              <w:t xml:space="preserve"> </w:t>
            </w:r>
            <w:r w:rsidRPr="00616B65">
              <w:rPr>
                <w:lang w:val="sr-Latn-ME"/>
              </w:rPr>
              <w:t>0,92)</w:t>
            </w:r>
          </w:p>
        </w:tc>
      </w:tr>
      <w:tr w:rsidR="00383D59" w:rsidRPr="00616B65" w14:paraId="3B2DE721" w14:textId="77777777" w:rsidTr="005A340E">
        <w:trPr>
          <w:trHeight w:val="757"/>
        </w:trPr>
        <w:tc>
          <w:tcPr>
            <w:tcW w:w="2700" w:type="dxa"/>
          </w:tcPr>
          <w:p w14:paraId="4CA9A24E" w14:textId="039AE615" w:rsidR="00383D59" w:rsidRPr="00616B65" w:rsidRDefault="00383D59" w:rsidP="00C31FAA">
            <w:pPr>
              <w:pStyle w:val="TableParagraph"/>
              <w:spacing w:line="244" w:lineRule="exact"/>
              <w:rPr>
                <w:lang w:val="sr-Latn-ME"/>
              </w:rPr>
            </w:pPr>
            <w:r w:rsidRPr="00616B65">
              <w:rPr>
                <w:lang w:val="sr-Latn-ME"/>
              </w:rPr>
              <w:t>Ud</w:t>
            </w:r>
            <w:r w:rsidR="00D227EB" w:rsidRPr="00616B65">
              <w:rPr>
                <w:lang w:val="sr-Latn-ME"/>
              </w:rPr>
              <w:t>i</w:t>
            </w:r>
            <w:r w:rsidRPr="00616B65">
              <w:rPr>
                <w:lang w:val="sr-Latn-ME"/>
              </w:rPr>
              <w:t>o</w:t>
            </w:r>
            <w:r w:rsidRPr="00616B65">
              <w:rPr>
                <w:spacing w:val="-6"/>
                <w:lang w:val="sr-Latn-ME"/>
              </w:rPr>
              <w:t xml:space="preserve"> </w:t>
            </w:r>
            <w:r w:rsidRPr="00616B65">
              <w:rPr>
                <w:lang w:val="sr-Latn-ME"/>
              </w:rPr>
              <w:t>progresije</w:t>
            </w:r>
          </w:p>
          <w:p w14:paraId="22C46753" w14:textId="28920851" w:rsidR="00383D59" w:rsidRPr="00616B65" w:rsidRDefault="00383D59" w:rsidP="00C31FAA">
            <w:pPr>
              <w:pStyle w:val="TableParagraph"/>
              <w:spacing w:line="250" w:lineRule="exact"/>
              <w:ind w:right="117"/>
              <w:rPr>
                <w:lang w:val="sr-Latn-ME"/>
              </w:rPr>
            </w:pPr>
            <w:r w:rsidRPr="00616B65">
              <w:rPr>
                <w:lang w:val="sr-Latn-ME"/>
              </w:rPr>
              <w:t>onesposobljenosti</w:t>
            </w:r>
            <w:r w:rsidRPr="00616B65">
              <w:rPr>
                <w:spacing w:val="1"/>
                <w:lang w:val="sr-Latn-ME"/>
              </w:rPr>
              <w:t xml:space="preserve"> </w:t>
            </w:r>
            <w:r w:rsidRPr="00616B65">
              <w:rPr>
                <w:lang w:val="sr-Latn-ME"/>
              </w:rPr>
              <w:t>potvrđeno</w:t>
            </w:r>
            <w:r w:rsidRPr="00616B65">
              <w:rPr>
                <w:spacing w:val="-5"/>
                <w:lang w:val="sr-Latn-ME"/>
              </w:rPr>
              <w:t xml:space="preserve"> </w:t>
            </w:r>
            <w:r w:rsidRPr="00616B65">
              <w:rPr>
                <w:lang w:val="sr-Latn-ME"/>
              </w:rPr>
              <w:t>nakon</w:t>
            </w:r>
            <w:r w:rsidRPr="00616B65">
              <w:rPr>
                <w:spacing w:val="-5"/>
                <w:lang w:val="sr-Latn-ME"/>
              </w:rPr>
              <w:t xml:space="preserve"> </w:t>
            </w:r>
            <w:r w:rsidRPr="00616B65">
              <w:rPr>
                <w:lang w:val="sr-Latn-ME"/>
              </w:rPr>
              <w:t>12</w:t>
            </w:r>
            <w:r w:rsidRPr="00616B65">
              <w:rPr>
                <w:spacing w:val="-4"/>
                <w:lang w:val="sr-Latn-ME"/>
              </w:rPr>
              <w:t xml:space="preserve"> </w:t>
            </w:r>
            <w:r w:rsidRPr="00616B65">
              <w:rPr>
                <w:lang w:val="sr-Latn-ME"/>
              </w:rPr>
              <w:t>ned</w:t>
            </w:r>
            <w:r w:rsidR="00D227EB" w:rsidRPr="00616B65">
              <w:rPr>
                <w:lang w:val="sr-Latn-ME"/>
              </w:rPr>
              <w:t>j</w:t>
            </w:r>
            <w:r w:rsidRPr="00616B65">
              <w:rPr>
                <w:lang w:val="sr-Latn-ME"/>
              </w:rPr>
              <w:t>elja</w:t>
            </w:r>
          </w:p>
        </w:tc>
        <w:tc>
          <w:tcPr>
            <w:tcW w:w="900" w:type="dxa"/>
          </w:tcPr>
          <w:p w14:paraId="63BC9E96" w14:textId="77777777" w:rsidR="00383D59" w:rsidRPr="00616B65" w:rsidRDefault="00383D59" w:rsidP="005A340E">
            <w:pPr>
              <w:pStyle w:val="TableParagraph"/>
              <w:spacing w:line="244" w:lineRule="exact"/>
              <w:jc w:val="center"/>
              <w:rPr>
                <w:lang w:val="sr-Latn-ME"/>
              </w:rPr>
            </w:pPr>
            <w:r w:rsidRPr="00616B65">
              <w:rPr>
                <w:lang w:val="sr-Latn-ME"/>
              </w:rPr>
              <w:t>0,271</w:t>
            </w:r>
          </w:p>
        </w:tc>
        <w:tc>
          <w:tcPr>
            <w:tcW w:w="1645" w:type="dxa"/>
          </w:tcPr>
          <w:p w14:paraId="561CCC9D" w14:textId="77777777" w:rsidR="00383D59" w:rsidRPr="00616B65" w:rsidRDefault="00383D59" w:rsidP="005A340E">
            <w:pPr>
              <w:pStyle w:val="TableParagraph"/>
              <w:spacing w:line="244" w:lineRule="exact"/>
              <w:ind w:left="109"/>
              <w:jc w:val="center"/>
              <w:rPr>
                <w:lang w:val="sr-Latn-ME"/>
              </w:rPr>
            </w:pPr>
            <w:r w:rsidRPr="00616B65">
              <w:rPr>
                <w:lang w:val="sr-Latn-ME"/>
              </w:rPr>
              <w:t>0,164**</w:t>
            </w:r>
          </w:p>
        </w:tc>
        <w:tc>
          <w:tcPr>
            <w:tcW w:w="875" w:type="dxa"/>
          </w:tcPr>
          <w:p w14:paraId="29E280FF" w14:textId="77777777" w:rsidR="00383D59" w:rsidRPr="00616B65" w:rsidRDefault="00383D59" w:rsidP="005A340E">
            <w:pPr>
              <w:pStyle w:val="TableParagraph"/>
              <w:spacing w:line="244" w:lineRule="exact"/>
              <w:ind w:left="109"/>
              <w:jc w:val="center"/>
              <w:rPr>
                <w:lang w:val="sr-Latn-ME"/>
              </w:rPr>
            </w:pPr>
            <w:r w:rsidRPr="00616B65">
              <w:rPr>
                <w:lang w:val="sr-Latn-ME"/>
              </w:rPr>
              <w:t>0,169</w:t>
            </w:r>
          </w:p>
        </w:tc>
        <w:tc>
          <w:tcPr>
            <w:tcW w:w="1620" w:type="dxa"/>
          </w:tcPr>
          <w:p w14:paraId="717B87EE" w14:textId="77777777" w:rsidR="00383D59" w:rsidRPr="00616B65" w:rsidRDefault="00383D59" w:rsidP="005A340E">
            <w:pPr>
              <w:pStyle w:val="TableParagraph"/>
              <w:spacing w:line="244" w:lineRule="exact"/>
              <w:ind w:left="104"/>
              <w:jc w:val="center"/>
              <w:rPr>
                <w:lang w:val="sr-Latn-ME"/>
              </w:rPr>
            </w:pPr>
            <w:r w:rsidRPr="00616B65">
              <w:rPr>
                <w:lang w:val="sr-Latn-ME"/>
              </w:rPr>
              <w:t>0,128</w:t>
            </w:r>
            <w:r w:rsidRPr="00616B65">
              <w:rPr>
                <w:vertAlign w:val="superscript"/>
                <w:lang w:val="sr-Latn-ME"/>
              </w:rPr>
              <w:t>#</w:t>
            </w:r>
          </w:p>
        </w:tc>
        <w:tc>
          <w:tcPr>
            <w:tcW w:w="1440" w:type="dxa"/>
          </w:tcPr>
          <w:p w14:paraId="2B1AB8BD" w14:textId="77777777" w:rsidR="00383D59" w:rsidRPr="00616B65" w:rsidRDefault="00383D59" w:rsidP="005A340E">
            <w:pPr>
              <w:pStyle w:val="TableParagraph"/>
              <w:spacing w:line="244" w:lineRule="exact"/>
              <w:ind w:left="109"/>
              <w:jc w:val="center"/>
              <w:rPr>
                <w:lang w:val="sr-Latn-ME"/>
              </w:rPr>
            </w:pPr>
            <w:r w:rsidRPr="00616B65">
              <w:rPr>
                <w:lang w:val="sr-Latn-ME"/>
              </w:rPr>
              <w:t>0,156</w:t>
            </w:r>
            <w:r w:rsidRPr="00616B65">
              <w:rPr>
                <w:vertAlign w:val="superscript"/>
                <w:lang w:val="sr-Latn-ME"/>
              </w:rPr>
              <w:t>#</w:t>
            </w:r>
          </w:p>
        </w:tc>
      </w:tr>
      <w:tr w:rsidR="00383D59" w:rsidRPr="00616B65" w14:paraId="1D455B48" w14:textId="77777777" w:rsidTr="005A340E">
        <w:trPr>
          <w:trHeight w:val="757"/>
        </w:trPr>
        <w:tc>
          <w:tcPr>
            <w:tcW w:w="2700" w:type="dxa"/>
          </w:tcPr>
          <w:p w14:paraId="6B08A6DE" w14:textId="77777777" w:rsidR="00383D59" w:rsidRPr="00616B65" w:rsidRDefault="00383D59" w:rsidP="00C31FAA">
            <w:pPr>
              <w:pStyle w:val="TableParagraph"/>
              <w:spacing w:line="242" w:lineRule="auto"/>
              <w:ind w:right="88"/>
              <w:rPr>
                <w:lang w:val="sr-Latn-ME"/>
              </w:rPr>
            </w:pPr>
            <w:r w:rsidRPr="00616B65">
              <w:rPr>
                <w:lang w:val="sr-Latn-ME"/>
              </w:rPr>
              <w:t>Odnos</w:t>
            </w:r>
            <w:r w:rsidRPr="00616B65">
              <w:rPr>
                <w:spacing w:val="-2"/>
                <w:lang w:val="sr-Latn-ME"/>
              </w:rPr>
              <w:t xml:space="preserve"> </w:t>
            </w:r>
            <w:r w:rsidRPr="00616B65">
              <w:rPr>
                <w:lang w:val="sr-Latn-ME"/>
              </w:rPr>
              <w:t>rizika</w:t>
            </w:r>
            <w:r w:rsidRPr="00616B65">
              <w:rPr>
                <w:spacing w:val="7"/>
                <w:lang w:val="sr-Latn-ME"/>
              </w:rPr>
              <w:t xml:space="preserve"> </w:t>
            </w:r>
            <w:r w:rsidRPr="00616B65">
              <w:rPr>
                <w:lang w:val="sr-Latn-ME"/>
              </w:rPr>
              <w:t>(</w:t>
            </w:r>
            <w:r w:rsidRPr="00616B65">
              <w:rPr>
                <w:i/>
                <w:iCs/>
                <w:lang w:val="sr-Latn-ME"/>
              </w:rPr>
              <w:t xml:space="preserve">Hazard </w:t>
            </w:r>
            <w:r w:rsidRPr="00616B65">
              <w:rPr>
                <w:i/>
                <w:iCs/>
                <w:spacing w:val="-52"/>
                <w:lang w:val="sr-Latn-ME"/>
              </w:rPr>
              <w:t xml:space="preserve"> </w:t>
            </w:r>
            <w:r w:rsidRPr="00616B65">
              <w:rPr>
                <w:i/>
                <w:iCs/>
                <w:lang w:val="sr-Latn-ME"/>
              </w:rPr>
              <w:t>ratio</w:t>
            </w:r>
            <w:r w:rsidRPr="00616B65">
              <w:rPr>
                <w:lang w:val="sr-Latn-ME"/>
              </w:rPr>
              <w:t>)</w:t>
            </w:r>
          </w:p>
          <w:p w14:paraId="45F6703C" w14:textId="77777777" w:rsidR="00383D59" w:rsidRPr="00616B65" w:rsidRDefault="00383D59" w:rsidP="00C31FAA">
            <w:pPr>
              <w:pStyle w:val="TableParagraph"/>
              <w:spacing w:line="236" w:lineRule="exact"/>
              <w:rPr>
                <w:lang w:val="sr-Latn-ME"/>
              </w:rPr>
            </w:pPr>
            <w:r w:rsidRPr="00616B65">
              <w:rPr>
                <w:lang w:val="sr-Latn-ME"/>
              </w:rPr>
              <w:t>(95%</w:t>
            </w:r>
            <w:r w:rsidRPr="00616B65">
              <w:rPr>
                <w:spacing w:val="-2"/>
                <w:lang w:val="sr-Latn-ME"/>
              </w:rPr>
              <w:t xml:space="preserve"> </w:t>
            </w:r>
            <w:r w:rsidRPr="00616B65">
              <w:rPr>
                <w:lang w:val="sr-Latn-ME"/>
              </w:rPr>
              <w:t>CI)</w:t>
            </w:r>
          </w:p>
        </w:tc>
        <w:tc>
          <w:tcPr>
            <w:tcW w:w="900" w:type="dxa"/>
          </w:tcPr>
          <w:p w14:paraId="1A3C82B1" w14:textId="77777777" w:rsidR="00383D59" w:rsidRPr="00616B65" w:rsidRDefault="00383D59" w:rsidP="005A340E">
            <w:pPr>
              <w:pStyle w:val="TableParagraph"/>
              <w:spacing w:line="240" w:lineRule="auto"/>
              <w:ind w:left="0"/>
              <w:jc w:val="center"/>
              <w:rPr>
                <w:lang w:val="sr-Latn-ME"/>
              </w:rPr>
            </w:pPr>
          </w:p>
        </w:tc>
        <w:tc>
          <w:tcPr>
            <w:tcW w:w="1645" w:type="dxa"/>
          </w:tcPr>
          <w:p w14:paraId="1E6E926D" w14:textId="77777777" w:rsidR="00383D59" w:rsidRPr="00616B65" w:rsidRDefault="00383D59" w:rsidP="005A340E">
            <w:pPr>
              <w:pStyle w:val="TableParagraph"/>
              <w:spacing w:line="244" w:lineRule="exact"/>
              <w:ind w:left="109"/>
              <w:jc w:val="center"/>
              <w:rPr>
                <w:lang w:val="sr-Latn-ME"/>
              </w:rPr>
            </w:pPr>
            <w:r w:rsidRPr="00616B65">
              <w:rPr>
                <w:lang w:val="sr-Latn-ME"/>
              </w:rPr>
              <w:t>0,62</w:t>
            </w:r>
          </w:p>
          <w:p w14:paraId="12F41613" w14:textId="77777777" w:rsidR="00383D59" w:rsidRPr="00616B65" w:rsidRDefault="00383D59" w:rsidP="005A340E">
            <w:pPr>
              <w:pStyle w:val="TableParagraph"/>
              <w:spacing w:before="1" w:line="240" w:lineRule="auto"/>
              <w:ind w:left="109"/>
              <w:jc w:val="center"/>
              <w:rPr>
                <w:lang w:val="sr-Latn-ME"/>
              </w:rPr>
            </w:pPr>
            <w:r w:rsidRPr="00616B65">
              <w:rPr>
                <w:lang w:val="sr-Latn-ME"/>
              </w:rPr>
              <w:t>(0,44,</w:t>
            </w:r>
            <w:r w:rsidRPr="00616B65">
              <w:rPr>
                <w:spacing w:val="1"/>
                <w:lang w:val="sr-Latn-ME"/>
              </w:rPr>
              <w:t xml:space="preserve"> </w:t>
            </w:r>
            <w:r w:rsidRPr="00616B65">
              <w:rPr>
                <w:lang w:val="sr-Latn-ME"/>
              </w:rPr>
              <w:t>0,87)</w:t>
            </w:r>
          </w:p>
        </w:tc>
        <w:tc>
          <w:tcPr>
            <w:tcW w:w="875" w:type="dxa"/>
          </w:tcPr>
          <w:p w14:paraId="38FF8C67" w14:textId="77777777" w:rsidR="00383D59" w:rsidRPr="00616B65" w:rsidRDefault="00383D59" w:rsidP="005A340E">
            <w:pPr>
              <w:pStyle w:val="TableParagraph"/>
              <w:spacing w:line="240" w:lineRule="auto"/>
              <w:ind w:left="0"/>
              <w:jc w:val="center"/>
              <w:rPr>
                <w:lang w:val="sr-Latn-ME"/>
              </w:rPr>
            </w:pPr>
          </w:p>
        </w:tc>
        <w:tc>
          <w:tcPr>
            <w:tcW w:w="1620" w:type="dxa"/>
          </w:tcPr>
          <w:p w14:paraId="3EBA196B" w14:textId="77777777" w:rsidR="00383D59" w:rsidRPr="00616B65" w:rsidRDefault="00383D59" w:rsidP="005A340E">
            <w:pPr>
              <w:pStyle w:val="TableParagraph"/>
              <w:spacing w:line="244" w:lineRule="exact"/>
              <w:ind w:left="104"/>
              <w:jc w:val="center"/>
              <w:rPr>
                <w:lang w:val="sr-Latn-ME"/>
              </w:rPr>
            </w:pPr>
            <w:r w:rsidRPr="00616B65">
              <w:rPr>
                <w:lang w:val="sr-Latn-ME"/>
              </w:rPr>
              <w:t>0,79</w:t>
            </w:r>
          </w:p>
          <w:p w14:paraId="046DFB16" w14:textId="77777777" w:rsidR="00383D59" w:rsidRPr="00616B65" w:rsidRDefault="00383D59" w:rsidP="005A340E">
            <w:pPr>
              <w:pStyle w:val="TableParagraph"/>
              <w:spacing w:before="1" w:line="240" w:lineRule="auto"/>
              <w:ind w:left="104"/>
              <w:jc w:val="center"/>
              <w:rPr>
                <w:lang w:val="sr-Latn-ME"/>
              </w:rPr>
            </w:pPr>
            <w:r w:rsidRPr="00616B65">
              <w:rPr>
                <w:lang w:val="sr-Latn-ME"/>
              </w:rPr>
              <w:t>(0,52,</w:t>
            </w:r>
            <w:r w:rsidRPr="00616B65">
              <w:rPr>
                <w:spacing w:val="1"/>
                <w:lang w:val="sr-Latn-ME"/>
              </w:rPr>
              <w:t xml:space="preserve"> </w:t>
            </w:r>
            <w:r w:rsidRPr="00616B65">
              <w:rPr>
                <w:lang w:val="sr-Latn-ME"/>
              </w:rPr>
              <w:t>1,19)</w:t>
            </w:r>
          </w:p>
        </w:tc>
        <w:tc>
          <w:tcPr>
            <w:tcW w:w="1440" w:type="dxa"/>
          </w:tcPr>
          <w:p w14:paraId="0A462CF9" w14:textId="77777777" w:rsidR="00383D59" w:rsidRPr="00616B65" w:rsidRDefault="00383D59" w:rsidP="005A340E">
            <w:pPr>
              <w:pStyle w:val="TableParagraph"/>
              <w:spacing w:line="244" w:lineRule="exact"/>
              <w:ind w:left="109"/>
              <w:jc w:val="center"/>
              <w:rPr>
                <w:lang w:val="sr-Latn-ME"/>
              </w:rPr>
            </w:pPr>
            <w:r w:rsidRPr="00616B65">
              <w:rPr>
                <w:lang w:val="sr-Latn-ME"/>
              </w:rPr>
              <w:t>0,93</w:t>
            </w:r>
          </w:p>
          <w:p w14:paraId="413805DA" w14:textId="77777777" w:rsidR="00383D59" w:rsidRPr="00616B65" w:rsidRDefault="00383D59" w:rsidP="005A340E">
            <w:pPr>
              <w:pStyle w:val="TableParagraph"/>
              <w:spacing w:before="1" w:line="240" w:lineRule="auto"/>
              <w:ind w:left="109"/>
              <w:jc w:val="center"/>
              <w:rPr>
                <w:lang w:val="sr-Latn-ME"/>
              </w:rPr>
            </w:pPr>
            <w:r w:rsidRPr="00616B65">
              <w:rPr>
                <w:lang w:val="sr-Latn-ME"/>
              </w:rPr>
              <w:t>(0,63,</w:t>
            </w:r>
            <w:r w:rsidRPr="00616B65">
              <w:rPr>
                <w:spacing w:val="1"/>
                <w:lang w:val="sr-Latn-ME"/>
              </w:rPr>
              <w:t xml:space="preserve"> </w:t>
            </w:r>
            <w:r w:rsidRPr="00616B65">
              <w:rPr>
                <w:lang w:val="sr-Latn-ME"/>
              </w:rPr>
              <w:t>1,37)</w:t>
            </w:r>
          </w:p>
        </w:tc>
      </w:tr>
      <w:tr w:rsidR="00383D59" w:rsidRPr="00616B65" w14:paraId="00C82DCF" w14:textId="77777777" w:rsidTr="005A340E">
        <w:trPr>
          <w:trHeight w:val="762"/>
        </w:trPr>
        <w:tc>
          <w:tcPr>
            <w:tcW w:w="2700" w:type="dxa"/>
          </w:tcPr>
          <w:p w14:paraId="08CB9FE4" w14:textId="68796980" w:rsidR="00383D59" w:rsidRPr="00616B65" w:rsidRDefault="00383D59" w:rsidP="00C31FAA">
            <w:pPr>
              <w:pStyle w:val="TableParagraph"/>
              <w:spacing w:line="242" w:lineRule="auto"/>
              <w:ind w:right="993"/>
              <w:rPr>
                <w:lang w:val="sr-Latn-ME"/>
              </w:rPr>
            </w:pPr>
            <w:r w:rsidRPr="00616B65">
              <w:rPr>
                <w:lang w:val="sr-Latn-ME"/>
              </w:rPr>
              <w:t>Ud</w:t>
            </w:r>
            <w:r w:rsidR="00D227EB" w:rsidRPr="00616B65">
              <w:rPr>
                <w:lang w:val="sr-Latn-ME"/>
              </w:rPr>
              <w:t>i</w:t>
            </w:r>
            <w:r w:rsidRPr="00616B65">
              <w:rPr>
                <w:lang w:val="sr-Latn-ME"/>
              </w:rPr>
              <w:t>o progresije</w:t>
            </w:r>
            <w:r w:rsidRPr="00616B65">
              <w:rPr>
                <w:spacing w:val="1"/>
                <w:lang w:val="sr-Latn-ME"/>
              </w:rPr>
              <w:t xml:space="preserve"> </w:t>
            </w:r>
            <w:r w:rsidRPr="00616B65">
              <w:rPr>
                <w:spacing w:val="-1"/>
                <w:lang w:val="sr-Latn-ME"/>
              </w:rPr>
              <w:t>onesposobljenosti</w:t>
            </w:r>
          </w:p>
          <w:p w14:paraId="06C1B34A" w14:textId="2DAA640C" w:rsidR="00383D59" w:rsidRPr="00616B65" w:rsidRDefault="00383D59" w:rsidP="00C31FAA">
            <w:pPr>
              <w:pStyle w:val="TableParagraph"/>
              <w:spacing w:line="241" w:lineRule="exact"/>
              <w:rPr>
                <w:lang w:val="sr-Latn-ME"/>
              </w:rPr>
            </w:pPr>
            <w:r w:rsidRPr="00616B65">
              <w:rPr>
                <w:lang w:val="sr-Latn-ME"/>
              </w:rPr>
              <w:t>potvrđeno</w:t>
            </w:r>
            <w:r w:rsidRPr="00616B65">
              <w:rPr>
                <w:spacing w:val="-4"/>
                <w:lang w:val="sr-Latn-ME"/>
              </w:rPr>
              <w:t xml:space="preserve"> </w:t>
            </w:r>
            <w:r w:rsidRPr="00616B65">
              <w:rPr>
                <w:lang w:val="sr-Latn-ME"/>
              </w:rPr>
              <w:t>nakon</w:t>
            </w:r>
            <w:r w:rsidRPr="00616B65">
              <w:rPr>
                <w:spacing w:val="-4"/>
                <w:lang w:val="sr-Latn-ME"/>
              </w:rPr>
              <w:t xml:space="preserve"> </w:t>
            </w:r>
            <w:r w:rsidRPr="00616B65">
              <w:rPr>
                <w:lang w:val="sr-Latn-ME"/>
              </w:rPr>
              <w:t>24</w:t>
            </w:r>
            <w:r w:rsidRPr="00616B65">
              <w:rPr>
                <w:spacing w:val="-4"/>
                <w:lang w:val="sr-Latn-ME"/>
              </w:rPr>
              <w:t xml:space="preserve"> </w:t>
            </w:r>
            <w:r w:rsidRPr="00616B65">
              <w:rPr>
                <w:lang w:val="sr-Latn-ME"/>
              </w:rPr>
              <w:t>ned</w:t>
            </w:r>
            <w:r w:rsidR="00D227EB" w:rsidRPr="00616B65">
              <w:rPr>
                <w:lang w:val="sr-Latn-ME"/>
              </w:rPr>
              <w:t>j</w:t>
            </w:r>
            <w:r w:rsidRPr="00616B65">
              <w:rPr>
                <w:lang w:val="sr-Latn-ME"/>
              </w:rPr>
              <w:t>elja</w:t>
            </w:r>
          </w:p>
        </w:tc>
        <w:tc>
          <w:tcPr>
            <w:tcW w:w="900" w:type="dxa"/>
          </w:tcPr>
          <w:p w14:paraId="5007DFF8" w14:textId="77777777" w:rsidR="00383D59" w:rsidRPr="00616B65" w:rsidRDefault="00383D59" w:rsidP="005A340E">
            <w:pPr>
              <w:pStyle w:val="TableParagraph"/>
              <w:spacing w:line="244" w:lineRule="exact"/>
              <w:jc w:val="center"/>
              <w:rPr>
                <w:lang w:val="sr-Latn-ME"/>
              </w:rPr>
            </w:pPr>
            <w:r w:rsidRPr="00616B65">
              <w:rPr>
                <w:lang w:val="sr-Latn-ME"/>
              </w:rPr>
              <w:t>0,169</w:t>
            </w:r>
          </w:p>
        </w:tc>
        <w:tc>
          <w:tcPr>
            <w:tcW w:w="1645" w:type="dxa"/>
          </w:tcPr>
          <w:p w14:paraId="59280EE0" w14:textId="77777777" w:rsidR="00383D59" w:rsidRPr="00616B65" w:rsidRDefault="00383D59" w:rsidP="005A340E">
            <w:pPr>
              <w:pStyle w:val="TableParagraph"/>
              <w:spacing w:line="244" w:lineRule="exact"/>
              <w:ind w:left="109"/>
              <w:jc w:val="center"/>
              <w:rPr>
                <w:lang w:val="sr-Latn-ME"/>
              </w:rPr>
            </w:pPr>
            <w:r w:rsidRPr="00616B65">
              <w:rPr>
                <w:lang w:val="sr-Latn-ME"/>
              </w:rPr>
              <w:t>0,128#</w:t>
            </w:r>
          </w:p>
        </w:tc>
        <w:tc>
          <w:tcPr>
            <w:tcW w:w="875" w:type="dxa"/>
          </w:tcPr>
          <w:p w14:paraId="70CF82C9" w14:textId="77777777" w:rsidR="00383D59" w:rsidRPr="00616B65" w:rsidRDefault="00383D59" w:rsidP="005A340E">
            <w:pPr>
              <w:pStyle w:val="TableParagraph"/>
              <w:spacing w:line="244" w:lineRule="exact"/>
              <w:ind w:left="109"/>
              <w:jc w:val="center"/>
              <w:rPr>
                <w:lang w:val="sr-Latn-ME"/>
              </w:rPr>
            </w:pPr>
            <w:r w:rsidRPr="00616B65">
              <w:rPr>
                <w:lang w:val="sr-Latn-ME"/>
              </w:rPr>
              <w:t>0,125</w:t>
            </w:r>
          </w:p>
        </w:tc>
        <w:tc>
          <w:tcPr>
            <w:tcW w:w="1620" w:type="dxa"/>
          </w:tcPr>
          <w:p w14:paraId="63D949EF" w14:textId="77777777" w:rsidR="00383D59" w:rsidRPr="00616B65" w:rsidRDefault="00383D59" w:rsidP="005A340E">
            <w:pPr>
              <w:pStyle w:val="TableParagraph"/>
              <w:spacing w:line="244" w:lineRule="exact"/>
              <w:ind w:left="104"/>
              <w:jc w:val="center"/>
              <w:rPr>
                <w:lang w:val="sr-Latn-ME"/>
              </w:rPr>
            </w:pPr>
            <w:r w:rsidRPr="00616B65">
              <w:rPr>
                <w:lang w:val="sr-Latn-ME"/>
              </w:rPr>
              <w:t>0,078#</w:t>
            </w:r>
          </w:p>
        </w:tc>
        <w:tc>
          <w:tcPr>
            <w:tcW w:w="1440" w:type="dxa"/>
          </w:tcPr>
          <w:p w14:paraId="21F64BD7" w14:textId="77777777" w:rsidR="00383D59" w:rsidRPr="00616B65" w:rsidRDefault="00383D59" w:rsidP="005A340E">
            <w:pPr>
              <w:pStyle w:val="TableParagraph"/>
              <w:spacing w:line="244" w:lineRule="exact"/>
              <w:ind w:left="109"/>
              <w:jc w:val="center"/>
              <w:rPr>
                <w:lang w:val="sr-Latn-ME"/>
              </w:rPr>
            </w:pPr>
            <w:r w:rsidRPr="00616B65">
              <w:rPr>
                <w:lang w:val="sr-Latn-ME"/>
              </w:rPr>
              <w:t>0,108#</w:t>
            </w:r>
          </w:p>
        </w:tc>
      </w:tr>
      <w:tr w:rsidR="00383D59" w:rsidRPr="00616B65" w14:paraId="0BD06AEC" w14:textId="77777777" w:rsidTr="005A340E">
        <w:trPr>
          <w:trHeight w:val="758"/>
        </w:trPr>
        <w:tc>
          <w:tcPr>
            <w:tcW w:w="2700" w:type="dxa"/>
          </w:tcPr>
          <w:p w14:paraId="1A92023E" w14:textId="77777777" w:rsidR="00383D59" w:rsidRPr="00616B65" w:rsidRDefault="00383D59" w:rsidP="00C31FAA">
            <w:pPr>
              <w:pStyle w:val="TableParagraph"/>
              <w:spacing w:line="237" w:lineRule="auto"/>
              <w:ind w:right="88"/>
              <w:rPr>
                <w:lang w:val="sr-Latn-ME"/>
              </w:rPr>
            </w:pPr>
            <w:r w:rsidRPr="00616B65">
              <w:rPr>
                <w:lang w:val="sr-Latn-ME"/>
              </w:rPr>
              <w:t>Odnos</w:t>
            </w:r>
            <w:r w:rsidRPr="00616B65">
              <w:rPr>
                <w:spacing w:val="-2"/>
                <w:lang w:val="sr-Latn-ME"/>
              </w:rPr>
              <w:t xml:space="preserve"> </w:t>
            </w:r>
            <w:r w:rsidRPr="00616B65">
              <w:rPr>
                <w:lang w:val="sr-Latn-ME"/>
              </w:rPr>
              <w:t>rizika</w:t>
            </w:r>
            <w:r w:rsidRPr="00616B65">
              <w:rPr>
                <w:spacing w:val="7"/>
                <w:lang w:val="sr-Latn-ME"/>
              </w:rPr>
              <w:t xml:space="preserve"> </w:t>
            </w:r>
            <w:r w:rsidRPr="00616B65">
              <w:rPr>
                <w:lang w:val="sr-Latn-ME"/>
              </w:rPr>
              <w:t>(</w:t>
            </w:r>
            <w:r w:rsidRPr="00616B65">
              <w:rPr>
                <w:i/>
                <w:iCs/>
                <w:lang w:val="sr-Latn-ME"/>
              </w:rPr>
              <w:t>Hazard</w:t>
            </w:r>
            <w:r w:rsidRPr="00616B65">
              <w:rPr>
                <w:i/>
                <w:iCs/>
                <w:spacing w:val="-52"/>
                <w:lang w:val="sr-Latn-ME"/>
              </w:rPr>
              <w:t xml:space="preserve">             </w:t>
            </w:r>
            <w:r w:rsidRPr="00616B65">
              <w:rPr>
                <w:i/>
                <w:iCs/>
                <w:lang w:val="sr-Latn-ME"/>
              </w:rPr>
              <w:t>ratio</w:t>
            </w:r>
            <w:r w:rsidRPr="00616B65">
              <w:rPr>
                <w:lang w:val="sr-Latn-ME"/>
              </w:rPr>
              <w:t>)</w:t>
            </w:r>
          </w:p>
          <w:p w14:paraId="6E6CC629" w14:textId="77777777" w:rsidR="00383D59" w:rsidRPr="00616B65" w:rsidRDefault="00383D59" w:rsidP="00C31FAA">
            <w:pPr>
              <w:pStyle w:val="TableParagraph"/>
              <w:spacing w:line="243" w:lineRule="exact"/>
              <w:rPr>
                <w:lang w:val="sr-Latn-ME"/>
              </w:rPr>
            </w:pPr>
            <w:r w:rsidRPr="00616B65">
              <w:rPr>
                <w:lang w:val="sr-Latn-ME"/>
              </w:rPr>
              <w:t>(95%</w:t>
            </w:r>
            <w:r w:rsidRPr="00616B65">
              <w:rPr>
                <w:spacing w:val="-2"/>
                <w:lang w:val="sr-Latn-ME"/>
              </w:rPr>
              <w:t xml:space="preserve"> </w:t>
            </w:r>
            <w:r w:rsidRPr="00616B65">
              <w:rPr>
                <w:lang w:val="sr-Latn-ME"/>
              </w:rPr>
              <w:t>CI)</w:t>
            </w:r>
          </w:p>
        </w:tc>
        <w:tc>
          <w:tcPr>
            <w:tcW w:w="900" w:type="dxa"/>
          </w:tcPr>
          <w:p w14:paraId="5DFAFCBB" w14:textId="77777777" w:rsidR="00383D59" w:rsidRPr="00616B65" w:rsidRDefault="00383D59" w:rsidP="005A340E">
            <w:pPr>
              <w:pStyle w:val="TableParagraph"/>
              <w:spacing w:line="240" w:lineRule="auto"/>
              <w:ind w:left="0"/>
              <w:jc w:val="center"/>
              <w:rPr>
                <w:lang w:val="sr-Latn-ME"/>
              </w:rPr>
            </w:pPr>
          </w:p>
        </w:tc>
        <w:tc>
          <w:tcPr>
            <w:tcW w:w="1645" w:type="dxa"/>
          </w:tcPr>
          <w:p w14:paraId="00BE6E79" w14:textId="77777777" w:rsidR="00383D59" w:rsidRPr="00616B65" w:rsidRDefault="00383D59" w:rsidP="005A340E">
            <w:pPr>
              <w:pStyle w:val="TableParagraph"/>
              <w:spacing w:line="242" w:lineRule="exact"/>
              <w:ind w:left="109"/>
              <w:jc w:val="center"/>
              <w:rPr>
                <w:lang w:val="sr-Latn-ME"/>
              </w:rPr>
            </w:pPr>
            <w:r w:rsidRPr="00616B65">
              <w:rPr>
                <w:lang w:val="sr-Latn-ME"/>
              </w:rPr>
              <w:t>0,77</w:t>
            </w:r>
          </w:p>
          <w:p w14:paraId="24A0D7F3" w14:textId="77777777" w:rsidR="00383D59" w:rsidRPr="00616B65" w:rsidRDefault="00383D59" w:rsidP="005A340E">
            <w:pPr>
              <w:pStyle w:val="TableParagraph"/>
              <w:spacing w:line="251" w:lineRule="exact"/>
              <w:ind w:left="109"/>
              <w:jc w:val="center"/>
              <w:rPr>
                <w:lang w:val="sr-Latn-ME"/>
              </w:rPr>
            </w:pPr>
            <w:r w:rsidRPr="00616B65">
              <w:rPr>
                <w:lang w:val="sr-Latn-ME"/>
              </w:rPr>
              <w:t>(0,52,</w:t>
            </w:r>
            <w:r w:rsidRPr="00616B65">
              <w:rPr>
                <w:spacing w:val="1"/>
                <w:lang w:val="sr-Latn-ME"/>
              </w:rPr>
              <w:t xml:space="preserve"> </w:t>
            </w:r>
            <w:r w:rsidRPr="00616B65">
              <w:rPr>
                <w:lang w:val="sr-Latn-ME"/>
              </w:rPr>
              <w:t>1,14)</w:t>
            </w:r>
          </w:p>
        </w:tc>
        <w:tc>
          <w:tcPr>
            <w:tcW w:w="875" w:type="dxa"/>
          </w:tcPr>
          <w:p w14:paraId="49893D66" w14:textId="77777777" w:rsidR="00383D59" w:rsidRPr="00616B65" w:rsidRDefault="00383D59" w:rsidP="005A340E">
            <w:pPr>
              <w:pStyle w:val="TableParagraph"/>
              <w:spacing w:line="240" w:lineRule="auto"/>
              <w:ind w:left="0"/>
              <w:jc w:val="center"/>
              <w:rPr>
                <w:lang w:val="sr-Latn-ME"/>
              </w:rPr>
            </w:pPr>
          </w:p>
        </w:tc>
        <w:tc>
          <w:tcPr>
            <w:tcW w:w="1620" w:type="dxa"/>
          </w:tcPr>
          <w:p w14:paraId="31055945" w14:textId="77777777" w:rsidR="00383D59" w:rsidRPr="00616B65" w:rsidRDefault="00383D59" w:rsidP="005A340E">
            <w:pPr>
              <w:pStyle w:val="TableParagraph"/>
              <w:spacing w:line="242" w:lineRule="exact"/>
              <w:ind w:left="104"/>
              <w:jc w:val="center"/>
              <w:rPr>
                <w:lang w:val="sr-Latn-ME"/>
              </w:rPr>
            </w:pPr>
            <w:r w:rsidRPr="00616B65">
              <w:rPr>
                <w:lang w:val="sr-Latn-ME"/>
              </w:rPr>
              <w:t>0,62</w:t>
            </w:r>
          </w:p>
          <w:p w14:paraId="353E7ABE" w14:textId="77777777" w:rsidR="00383D59" w:rsidRPr="00616B65" w:rsidRDefault="00383D59" w:rsidP="005A340E">
            <w:pPr>
              <w:pStyle w:val="TableParagraph"/>
              <w:spacing w:line="251" w:lineRule="exact"/>
              <w:ind w:left="104"/>
              <w:jc w:val="center"/>
              <w:rPr>
                <w:lang w:val="sr-Latn-ME"/>
              </w:rPr>
            </w:pPr>
            <w:r w:rsidRPr="00616B65">
              <w:rPr>
                <w:lang w:val="sr-Latn-ME"/>
              </w:rPr>
              <w:t>(0,37,</w:t>
            </w:r>
            <w:r w:rsidRPr="00616B65">
              <w:rPr>
                <w:spacing w:val="1"/>
                <w:lang w:val="sr-Latn-ME"/>
              </w:rPr>
              <w:t xml:space="preserve"> </w:t>
            </w:r>
            <w:r w:rsidRPr="00616B65">
              <w:rPr>
                <w:lang w:val="sr-Latn-ME"/>
              </w:rPr>
              <w:t>1,03)</w:t>
            </w:r>
          </w:p>
        </w:tc>
        <w:tc>
          <w:tcPr>
            <w:tcW w:w="1440" w:type="dxa"/>
          </w:tcPr>
          <w:p w14:paraId="38F79A39" w14:textId="77777777" w:rsidR="00383D59" w:rsidRPr="00616B65" w:rsidRDefault="00383D59" w:rsidP="005A340E">
            <w:pPr>
              <w:pStyle w:val="TableParagraph"/>
              <w:spacing w:line="242" w:lineRule="exact"/>
              <w:ind w:left="109"/>
              <w:jc w:val="center"/>
              <w:rPr>
                <w:lang w:val="sr-Latn-ME"/>
              </w:rPr>
            </w:pPr>
            <w:r w:rsidRPr="00616B65">
              <w:rPr>
                <w:lang w:val="sr-Latn-ME"/>
              </w:rPr>
              <w:t>0,87</w:t>
            </w:r>
          </w:p>
          <w:p w14:paraId="0DE45653" w14:textId="77777777" w:rsidR="00383D59" w:rsidRPr="00616B65" w:rsidRDefault="00383D59" w:rsidP="005A340E">
            <w:pPr>
              <w:pStyle w:val="TableParagraph"/>
              <w:spacing w:line="251" w:lineRule="exact"/>
              <w:ind w:left="109"/>
              <w:jc w:val="center"/>
              <w:rPr>
                <w:lang w:val="sr-Latn-ME"/>
              </w:rPr>
            </w:pPr>
            <w:r w:rsidRPr="00616B65">
              <w:rPr>
                <w:lang w:val="sr-Latn-ME"/>
              </w:rPr>
              <w:t>(0,55,</w:t>
            </w:r>
            <w:r w:rsidRPr="00616B65">
              <w:rPr>
                <w:spacing w:val="1"/>
                <w:lang w:val="sr-Latn-ME"/>
              </w:rPr>
              <w:t xml:space="preserve"> </w:t>
            </w:r>
            <w:r w:rsidRPr="00616B65">
              <w:rPr>
                <w:lang w:val="sr-Latn-ME"/>
              </w:rPr>
              <w:t>1,38)</w:t>
            </w:r>
          </w:p>
        </w:tc>
      </w:tr>
      <w:tr w:rsidR="00383D59" w:rsidRPr="00616B65" w14:paraId="7A2EC4E2" w14:textId="77777777" w:rsidTr="005A340E">
        <w:trPr>
          <w:trHeight w:val="253"/>
        </w:trPr>
        <w:tc>
          <w:tcPr>
            <w:tcW w:w="5245" w:type="dxa"/>
            <w:gridSpan w:val="3"/>
          </w:tcPr>
          <w:p w14:paraId="55A29F1F" w14:textId="77777777" w:rsidR="00383D59" w:rsidRPr="00616B65" w:rsidRDefault="00383D59" w:rsidP="00C31FAA">
            <w:pPr>
              <w:pStyle w:val="TableParagraph"/>
              <w:rPr>
                <w:lang w:val="sr-Latn-ME"/>
              </w:rPr>
            </w:pPr>
            <w:r w:rsidRPr="00616B65">
              <w:rPr>
                <w:b/>
                <w:lang w:val="sr-Latn-ME"/>
              </w:rPr>
              <w:t>Parametri</w:t>
            </w:r>
            <w:r w:rsidRPr="00616B65">
              <w:rPr>
                <w:b/>
                <w:spacing w:val="-5"/>
                <w:lang w:val="sr-Latn-ME"/>
              </w:rPr>
              <w:t xml:space="preserve"> </w:t>
            </w:r>
            <w:r w:rsidRPr="00616B65">
              <w:rPr>
                <w:b/>
                <w:lang w:val="sr-Latn-ME"/>
              </w:rPr>
              <w:t>praćenja</w:t>
            </w:r>
            <w:r w:rsidRPr="00616B65">
              <w:rPr>
                <w:b/>
                <w:spacing w:val="-7"/>
                <w:lang w:val="sr-Latn-ME"/>
              </w:rPr>
              <w:t xml:space="preserve"> </w:t>
            </w:r>
            <w:r w:rsidRPr="00616B65">
              <w:rPr>
                <w:b/>
                <w:lang w:val="sr-Latn-ME"/>
              </w:rPr>
              <w:t>MR</w:t>
            </w:r>
            <w:r w:rsidRPr="00616B65">
              <w:rPr>
                <w:vertAlign w:val="superscript"/>
                <w:lang w:val="sr-Latn-ME"/>
              </w:rPr>
              <w:t>b</w:t>
            </w:r>
          </w:p>
        </w:tc>
        <w:tc>
          <w:tcPr>
            <w:tcW w:w="3935" w:type="dxa"/>
            <w:gridSpan w:val="3"/>
          </w:tcPr>
          <w:p w14:paraId="5ABF5BBA" w14:textId="77777777" w:rsidR="00383D59" w:rsidRPr="00616B65" w:rsidRDefault="00383D59" w:rsidP="00C31FAA">
            <w:pPr>
              <w:pStyle w:val="TableParagraph"/>
              <w:spacing w:line="240" w:lineRule="auto"/>
              <w:ind w:left="0"/>
              <w:rPr>
                <w:lang w:val="sr-Latn-ME"/>
              </w:rPr>
            </w:pPr>
          </w:p>
        </w:tc>
      </w:tr>
      <w:tr w:rsidR="00383D59" w:rsidRPr="00616B65" w14:paraId="5C455FE8" w14:textId="77777777" w:rsidTr="005A340E">
        <w:trPr>
          <w:trHeight w:val="249"/>
        </w:trPr>
        <w:tc>
          <w:tcPr>
            <w:tcW w:w="2700" w:type="dxa"/>
          </w:tcPr>
          <w:p w14:paraId="6F441BE4" w14:textId="77777777" w:rsidR="00383D59" w:rsidRPr="00616B65" w:rsidRDefault="00383D59" w:rsidP="00C31FAA">
            <w:pPr>
              <w:pStyle w:val="TableParagraph"/>
              <w:spacing w:line="229" w:lineRule="exact"/>
              <w:rPr>
                <w:lang w:val="sr-Latn-ME"/>
              </w:rPr>
            </w:pPr>
            <w:r w:rsidRPr="00616B65">
              <w:rPr>
                <w:lang w:val="sr-Latn-ME"/>
              </w:rPr>
              <w:t>Broj</w:t>
            </w:r>
            <w:r w:rsidRPr="00616B65">
              <w:rPr>
                <w:spacing w:val="-5"/>
                <w:lang w:val="sr-Latn-ME"/>
              </w:rPr>
              <w:t xml:space="preserve"> </w:t>
            </w:r>
            <w:r w:rsidRPr="00616B65">
              <w:rPr>
                <w:lang w:val="sr-Latn-ME"/>
              </w:rPr>
              <w:t>ispitanika</w:t>
            </w:r>
          </w:p>
        </w:tc>
        <w:tc>
          <w:tcPr>
            <w:tcW w:w="900" w:type="dxa"/>
          </w:tcPr>
          <w:p w14:paraId="22EEFB88" w14:textId="77777777" w:rsidR="00383D59" w:rsidRPr="00616B65" w:rsidRDefault="00383D59" w:rsidP="00C31FAA">
            <w:pPr>
              <w:pStyle w:val="TableParagraph"/>
              <w:spacing w:line="229" w:lineRule="exact"/>
              <w:rPr>
                <w:lang w:val="sr-Latn-ME"/>
              </w:rPr>
            </w:pPr>
            <w:r w:rsidRPr="00616B65">
              <w:rPr>
                <w:lang w:val="sr-Latn-ME"/>
              </w:rPr>
              <w:t>165</w:t>
            </w:r>
          </w:p>
        </w:tc>
        <w:tc>
          <w:tcPr>
            <w:tcW w:w="1645" w:type="dxa"/>
          </w:tcPr>
          <w:p w14:paraId="45345411" w14:textId="77777777" w:rsidR="00383D59" w:rsidRPr="00616B65" w:rsidRDefault="00383D59" w:rsidP="00C31FAA">
            <w:pPr>
              <w:pStyle w:val="TableParagraph"/>
              <w:spacing w:line="229" w:lineRule="exact"/>
              <w:ind w:left="109"/>
              <w:rPr>
                <w:lang w:val="sr-Latn-ME"/>
              </w:rPr>
            </w:pPr>
            <w:r w:rsidRPr="00616B65">
              <w:rPr>
                <w:lang w:val="sr-Latn-ME"/>
              </w:rPr>
              <w:t>152</w:t>
            </w:r>
          </w:p>
        </w:tc>
        <w:tc>
          <w:tcPr>
            <w:tcW w:w="875" w:type="dxa"/>
          </w:tcPr>
          <w:p w14:paraId="0389EAD8" w14:textId="77777777" w:rsidR="00383D59" w:rsidRPr="00616B65" w:rsidRDefault="00383D59" w:rsidP="00C31FAA">
            <w:pPr>
              <w:pStyle w:val="TableParagraph"/>
              <w:spacing w:line="229" w:lineRule="exact"/>
              <w:ind w:left="109"/>
              <w:rPr>
                <w:lang w:val="sr-Latn-ME"/>
              </w:rPr>
            </w:pPr>
            <w:r w:rsidRPr="00616B65">
              <w:rPr>
                <w:lang w:val="sr-Latn-ME"/>
              </w:rPr>
              <w:t>144</w:t>
            </w:r>
          </w:p>
        </w:tc>
        <w:tc>
          <w:tcPr>
            <w:tcW w:w="1620" w:type="dxa"/>
          </w:tcPr>
          <w:p w14:paraId="5D030BB3" w14:textId="77777777" w:rsidR="00383D59" w:rsidRPr="00616B65" w:rsidRDefault="00383D59" w:rsidP="00C31FAA">
            <w:pPr>
              <w:pStyle w:val="TableParagraph"/>
              <w:spacing w:line="229" w:lineRule="exact"/>
              <w:ind w:left="104"/>
              <w:rPr>
                <w:lang w:val="sr-Latn-ME"/>
              </w:rPr>
            </w:pPr>
            <w:r w:rsidRPr="00616B65">
              <w:rPr>
                <w:lang w:val="sr-Latn-ME"/>
              </w:rPr>
              <w:t>147</w:t>
            </w:r>
          </w:p>
        </w:tc>
        <w:tc>
          <w:tcPr>
            <w:tcW w:w="1440" w:type="dxa"/>
          </w:tcPr>
          <w:p w14:paraId="58E4CAD0" w14:textId="77777777" w:rsidR="00383D59" w:rsidRPr="00616B65" w:rsidRDefault="00383D59" w:rsidP="00C31FAA">
            <w:pPr>
              <w:pStyle w:val="TableParagraph"/>
              <w:spacing w:line="229" w:lineRule="exact"/>
              <w:ind w:left="109"/>
              <w:rPr>
                <w:lang w:val="sr-Latn-ME"/>
              </w:rPr>
            </w:pPr>
            <w:r w:rsidRPr="00616B65">
              <w:rPr>
                <w:lang w:val="sr-Latn-ME"/>
              </w:rPr>
              <w:t>161</w:t>
            </w:r>
          </w:p>
        </w:tc>
      </w:tr>
      <w:tr w:rsidR="00383D59" w:rsidRPr="00616B65" w14:paraId="5E4CCF4C" w14:textId="77777777" w:rsidTr="005A340E">
        <w:trPr>
          <w:trHeight w:val="1012"/>
        </w:trPr>
        <w:tc>
          <w:tcPr>
            <w:tcW w:w="2700" w:type="dxa"/>
          </w:tcPr>
          <w:p w14:paraId="6C7D3905" w14:textId="0E905719" w:rsidR="00383D59" w:rsidRPr="00616B65" w:rsidRDefault="00383D59" w:rsidP="00C31FAA">
            <w:pPr>
              <w:pStyle w:val="TableParagraph"/>
              <w:spacing w:line="242" w:lineRule="auto"/>
              <w:ind w:right="314"/>
              <w:rPr>
                <w:lang w:val="sr-Latn-ME"/>
              </w:rPr>
            </w:pPr>
            <w:r w:rsidRPr="00616B65">
              <w:rPr>
                <w:lang w:val="sr-Latn-ME"/>
              </w:rPr>
              <w:t>Srednja vr</w:t>
            </w:r>
            <w:r w:rsidR="000D33C9" w:rsidRPr="00616B65">
              <w:rPr>
                <w:lang w:val="sr-Latn-ME"/>
              </w:rPr>
              <w:t>ij</w:t>
            </w:r>
            <w:r w:rsidRPr="00616B65">
              <w:rPr>
                <w:lang w:val="sr-Latn-ME"/>
              </w:rPr>
              <w:t>ednost</w:t>
            </w:r>
            <w:r w:rsidRPr="00616B65">
              <w:rPr>
                <w:spacing w:val="1"/>
                <w:lang w:val="sr-Latn-ME"/>
              </w:rPr>
              <w:t xml:space="preserve"> </w:t>
            </w:r>
            <w:r w:rsidRPr="00616B65">
              <w:rPr>
                <w:lang w:val="sr-Latn-ME"/>
              </w:rPr>
              <w:t>(medijana)</w:t>
            </w:r>
            <w:r w:rsidRPr="00616B65">
              <w:rPr>
                <w:spacing w:val="-6"/>
                <w:lang w:val="sr-Latn-ME"/>
              </w:rPr>
              <w:t xml:space="preserve"> </w:t>
            </w:r>
            <w:r w:rsidRPr="00616B65">
              <w:rPr>
                <w:lang w:val="sr-Latn-ME"/>
              </w:rPr>
              <w:t>broja</w:t>
            </w:r>
            <w:r w:rsidRPr="00616B65">
              <w:rPr>
                <w:spacing w:val="-5"/>
                <w:lang w:val="sr-Latn-ME"/>
              </w:rPr>
              <w:t xml:space="preserve"> </w:t>
            </w:r>
            <w:r w:rsidRPr="00616B65">
              <w:rPr>
                <w:lang w:val="sr-Latn-ME"/>
              </w:rPr>
              <w:t>novih</w:t>
            </w:r>
            <w:r w:rsidRPr="00616B65">
              <w:rPr>
                <w:spacing w:val="-5"/>
                <w:lang w:val="sr-Latn-ME"/>
              </w:rPr>
              <w:t xml:space="preserve"> </w:t>
            </w:r>
            <w:r w:rsidRPr="00616B65">
              <w:rPr>
                <w:lang w:val="sr-Latn-ME"/>
              </w:rPr>
              <w:t>ili</w:t>
            </w:r>
            <w:r w:rsidRPr="00616B65">
              <w:rPr>
                <w:spacing w:val="-52"/>
                <w:lang w:val="sr-Latn-ME"/>
              </w:rPr>
              <w:t xml:space="preserve"> </w:t>
            </w:r>
            <w:r w:rsidRPr="00616B65">
              <w:rPr>
                <w:lang w:val="sr-Latn-ME"/>
              </w:rPr>
              <w:t>novo</w:t>
            </w:r>
            <w:r w:rsidRPr="00616B65">
              <w:rPr>
                <w:spacing w:val="-4"/>
                <w:lang w:val="sr-Latn-ME"/>
              </w:rPr>
              <w:t xml:space="preserve"> </w:t>
            </w:r>
            <w:r w:rsidRPr="00616B65">
              <w:rPr>
                <w:lang w:val="sr-Latn-ME"/>
              </w:rPr>
              <w:t>proširenih</w:t>
            </w:r>
            <w:r w:rsidRPr="00616B65">
              <w:rPr>
                <w:spacing w:val="-4"/>
                <w:lang w:val="sr-Latn-ME"/>
              </w:rPr>
              <w:t xml:space="preserve"> </w:t>
            </w:r>
            <w:r w:rsidRPr="00616B65">
              <w:rPr>
                <w:lang w:val="sr-Latn-ME"/>
              </w:rPr>
              <w:t>T2</w:t>
            </w:r>
            <w:r w:rsidRPr="00616B65">
              <w:rPr>
                <w:spacing w:val="-4"/>
                <w:lang w:val="sr-Latn-ME"/>
              </w:rPr>
              <w:t xml:space="preserve"> </w:t>
            </w:r>
            <w:r w:rsidRPr="00616B65">
              <w:rPr>
                <w:lang w:val="sr-Latn-ME"/>
              </w:rPr>
              <w:t>lezija</w:t>
            </w:r>
          </w:p>
          <w:p w14:paraId="1B016AAE" w14:textId="77777777" w:rsidR="00383D59" w:rsidRPr="00616B65" w:rsidRDefault="00383D59" w:rsidP="00C31FAA">
            <w:pPr>
              <w:pStyle w:val="TableParagraph"/>
              <w:spacing w:line="235" w:lineRule="exact"/>
              <w:rPr>
                <w:lang w:val="sr-Latn-ME"/>
              </w:rPr>
            </w:pPr>
            <w:r w:rsidRPr="00616B65">
              <w:rPr>
                <w:lang w:val="sr-Latn-ME"/>
              </w:rPr>
              <w:t>tokom</w:t>
            </w:r>
            <w:r w:rsidRPr="00616B65">
              <w:rPr>
                <w:spacing w:val="-3"/>
                <w:lang w:val="sr-Latn-ME"/>
              </w:rPr>
              <w:t xml:space="preserve"> </w:t>
            </w:r>
            <w:r w:rsidRPr="00616B65">
              <w:rPr>
                <w:lang w:val="sr-Latn-ME"/>
              </w:rPr>
              <w:t>2</w:t>
            </w:r>
            <w:r w:rsidRPr="00616B65">
              <w:rPr>
                <w:spacing w:val="-3"/>
                <w:lang w:val="sr-Latn-ME"/>
              </w:rPr>
              <w:t xml:space="preserve"> </w:t>
            </w:r>
            <w:r w:rsidRPr="00616B65">
              <w:rPr>
                <w:lang w:val="sr-Latn-ME"/>
              </w:rPr>
              <w:t>godine</w:t>
            </w:r>
          </w:p>
        </w:tc>
        <w:tc>
          <w:tcPr>
            <w:tcW w:w="900" w:type="dxa"/>
          </w:tcPr>
          <w:p w14:paraId="2066646A" w14:textId="77777777" w:rsidR="00383D59" w:rsidRPr="00616B65" w:rsidRDefault="00383D59" w:rsidP="00C31FAA">
            <w:pPr>
              <w:pStyle w:val="TableParagraph"/>
              <w:spacing w:line="244" w:lineRule="exact"/>
              <w:rPr>
                <w:lang w:val="sr-Latn-ME"/>
              </w:rPr>
            </w:pPr>
            <w:r w:rsidRPr="00616B65">
              <w:rPr>
                <w:lang w:val="sr-Latn-ME"/>
              </w:rPr>
              <w:t>16,5</w:t>
            </w:r>
          </w:p>
          <w:p w14:paraId="1326E9C3" w14:textId="77777777" w:rsidR="00383D59" w:rsidRPr="00616B65" w:rsidRDefault="00383D59" w:rsidP="00C31FAA">
            <w:pPr>
              <w:pStyle w:val="TableParagraph"/>
              <w:spacing w:before="1" w:line="240" w:lineRule="auto"/>
              <w:rPr>
                <w:lang w:val="sr-Latn-ME"/>
              </w:rPr>
            </w:pPr>
            <w:r w:rsidRPr="00616B65">
              <w:rPr>
                <w:lang w:val="sr-Latn-ME"/>
              </w:rPr>
              <w:t>(7,0)</w:t>
            </w:r>
          </w:p>
        </w:tc>
        <w:tc>
          <w:tcPr>
            <w:tcW w:w="1645" w:type="dxa"/>
          </w:tcPr>
          <w:p w14:paraId="56E29A9B" w14:textId="77777777" w:rsidR="00383D59" w:rsidRPr="00616B65" w:rsidRDefault="00383D59" w:rsidP="00C31FAA">
            <w:pPr>
              <w:pStyle w:val="TableParagraph"/>
              <w:spacing w:line="244" w:lineRule="exact"/>
              <w:ind w:left="109"/>
              <w:rPr>
                <w:lang w:val="sr-Latn-ME"/>
              </w:rPr>
            </w:pPr>
            <w:r w:rsidRPr="00616B65">
              <w:rPr>
                <w:lang w:val="sr-Latn-ME"/>
              </w:rPr>
              <w:t>3,2</w:t>
            </w:r>
          </w:p>
          <w:p w14:paraId="4E521210" w14:textId="77777777" w:rsidR="00383D59" w:rsidRPr="00616B65" w:rsidRDefault="00383D59" w:rsidP="00C31FAA">
            <w:pPr>
              <w:pStyle w:val="TableParagraph"/>
              <w:spacing w:before="1" w:line="240" w:lineRule="auto"/>
              <w:ind w:left="109"/>
              <w:rPr>
                <w:lang w:val="sr-Latn-ME"/>
              </w:rPr>
            </w:pPr>
            <w:r w:rsidRPr="00616B65">
              <w:rPr>
                <w:lang w:val="sr-Latn-ME"/>
              </w:rPr>
              <w:t>(1,0)***</w:t>
            </w:r>
          </w:p>
        </w:tc>
        <w:tc>
          <w:tcPr>
            <w:tcW w:w="875" w:type="dxa"/>
          </w:tcPr>
          <w:p w14:paraId="3D8BBCEA" w14:textId="77777777" w:rsidR="00383D59" w:rsidRPr="00616B65" w:rsidRDefault="00383D59" w:rsidP="00C31FAA">
            <w:pPr>
              <w:pStyle w:val="TableParagraph"/>
              <w:spacing w:line="244" w:lineRule="exact"/>
              <w:ind w:left="109"/>
              <w:rPr>
                <w:lang w:val="sr-Latn-ME"/>
              </w:rPr>
            </w:pPr>
            <w:r w:rsidRPr="00616B65">
              <w:rPr>
                <w:lang w:val="sr-Latn-ME"/>
              </w:rPr>
              <w:t>19,9</w:t>
            </w:r>
          </w:p>
          <w:p w14:paraId="34DB3354" w14:textId="77777777" w:rsidR="00383D59" w:rsidRPr="00616B65" w:rsidRDefault="00383D59" w:rsidP="00C31FAA">
            <w:pPr>
              <w:pStyle w:val="TableParagraph"/>
              <w:spacing w:before="1" w:line="240" w:lineRule="auto"/>
              <w:ind w:left="109"/>
              <w:rPr>
                <w:lang w:val="sr-Latn-ME"/>
              </w:rPr>
            </w:pPr>
            <w:r w:rsidRPr="00616B65">
              <w:rPr>
                <w:lang w:val="sr-Latn-ME"/>
              </w:rPr>
              <w:t>(11,0)</w:t>
            </w:r>
          </w:p>
        </w:tc>
        <w:tc>
          <w:tcPr>
            <w:tcW w:w="1620" w:type="dxa"/>
          </w:tcPr>
          <w:p w14:paraId="584CDA95" w14:textId="77777777" w:rsidR="00383D59" w:rsidRPr="00616B65" w:rsidRDefault="00383D59" w:rsidP="00C31FAA">
            <w:pPr>
              <w:pStyle w:val="TableParagraph"/>
              <w:spacing w:line="244" w:lineRule="exact"/>
              <w:ind w:left="104"/>
              <w:rPr>
                <w:lang w:val="sr-Latn-ME"/>
              </w:rPr>
            </w:pPr>
            <w:r w:rsidRPr="00616B65">
              <w:rPr>
                <w:lang w:val="sr-Latn-ME"/>
              </w:rPr>
              <w:t>5,7</w:t>
            </w:r>
          </w:p>
          <w:p w14:paraId="176A6165" w14:textId="77777777" w:rsidR="00383D59" w:rsidRPr="00616B65" w:rsidRDefault="00383D59" w:rsidP="00C31FAA">
            <w:pPr>
              <w:pStyle w:val="TableParagraph"/>
              <w:spacing w:before="1" w:line="240" w:lineRule="auto"/>
              <w:ind w:left="104"/>
              <w:rPr>
                <w:lang w:val="sr-Latn-ME"/>
              </w:rPr>
            </w:pPr>
            <w:r w:rsidRPr="00616B65">
              <w:rPr>
                <w:lang w:val="sr-Latn-ME"/>
              </w:rPr>
              <w:t>(2,0)***</w:t>
            </w:r>
          </w:p>
        </w:tc>
        <w:tc>
          <w:tcPr>
            <w:tcW w:w="1440" w:type="dxa"/>
          </w:tcPr>
          <w:p w14:paraId="67271C4E" w14:textId="77777777" w:rsidR="00383D59" w:rsidRPr="00616B65" w:rsidRDefault="00383D59" w:rsidP="00C31FAA">
            <w:pPr>
              <w:pStyle w:val="TableParagraph"/>
              <w:spacing w:line="244" w:lineRule="exact"/>
              <w:ind w:left="109"/>
              <w:rPr>
                <w:lang w:val="sr-Latn-ME"/>
              </w:rPr>
            </w:pPr>
            <w:r w:rsidRPr="00616B65">
              <w:rPr>
                <w:lang w:val="sr-Latn-ME"/>
              </w:rPr>
              <w:t>9,6</w:t>
            </w:r>
          </w:p>
          <w:p w14:paraId="6275DA83" w14:textId="77777777" w:rsidR="00383D59" w:rsidRPr="00616B65" w:rsidRDefault="00383D59" w:rsidP="00C31FAA">
            <w:pPr>
              <w:pStyle w:val="TableParagraph"/>
              <w:spacing w:before="1" w:line="240" w:lineRule="auto"/>
              <w:ind w:left="109"/>
              <w:rPr>
                <w:lang w:val="sr-Latn-ME"/>
              </w:rPr>
            </w:pPr>
            <w:r w:rsidRPr="00616B65">
              <w:rPr>
                <w:lang w:val="sr-Latn-ME"/>
              </w:rPr>
              <w:t>(3,0)***</w:t>
            </w:r>
          </w:p>
        </w:tc>
      </w:tr>
      <w:tr w:rsidR="00383D59" w:rsidRPr="00616B65" w14:paraId="2D699E36" w14:textId="77777777" w:rsidTr="005A340E">
        <w:trPr>
          <w:trHeight w:val="758"/>
        </w:trPr>
        <w:tc>
          <w:tcPr>
            <w:tcW w:w="2700" w:type="dxa"/>
          </w:tcPr>
          <w:p w14:paraId="43B96C2D" w14:textId="47B40E59" w:rsidR="00383D59" w:rsidRPr="00616B65" w:rsidRDefault="00383D59" w:rsidP="00C31FAA">
            <w:pPr>
              <w:pStyle w:val="TableParagraph"/>
              <w:spacing w:line="242" w:lineRule="auto"/>
              <w:ind w:right="649"/>
              <w:rPr>
                <w:lang w:val="sr-Latn-ME"/>
              </w:rPr>
            </w:pPr>
            <w:r w:rsidRPr="00616B65">
              <w:rPr>
                <w:lang w:val="sr-Latn-ME"/>
              </w:rPr>
              <w:t>Odnos srednje</w:t>
            </w:r>
            <w:r w:rsidR="000D33C9" w:rsidRPr="00616B65">
              <w:rPr>
                <w:spacing w:val="1"/>
                <w:lang w:val="sr-Latn-ME"/>
              </w:rPr>
              <w:t xml:space="preserve"> </w:t>
            </w:r>
            <w:r w:rsidRPr="00616B65">
              <w:rPr>
                <w:lang w:val="sr-Latn-ME"/>
              </w:rPr>
              <w:t>vr</w:t>
            </w:r>
            <w:r w:rsidR="000D33C9" w:rsidRPr="00616B65">
              <w:rPr>
                <w:lang w:val="sr-Latn-ME"/>
              </w:rPr>
              <w:t>ij</w:t>
            </w:r>
            <w:r w:rsidRPr="00616B65">
              <w:rPr>
                <w:lang w:val="sr-Latn-ME"/>
              </w:rPr>
              <w:t>ednosti</w:t>
            </w:r>
            <w:r w:rsidRPr="00616B65">
              <w:rPr>
                <w:spacing w:val="-13"/>
                <w:lang w:val="sr-Latn-ME"/>
              </w:rPr>
              <w:t xml:space="preserve"> </w:t>
            </w:r>
            <w:r w:rsidRPr="00616B65">
              <w:rPr>
                <w:lang w:val="sr-Latn-ME"/>
              </w:rPr>
              <w:t>lezija</w:t>
            </w:r>
          </w:p>
          <w:p w14:paraId="3B77E4D2" w14:textId="77777777" w:rsidR="00383D59" w:rsidRPr="00616B65" w:rsidRDefault="00383D59" w:rsidP="00C31FAA">
            <w:pPr>
              <w:pStyle w:val="TableParagraph"/>
              <w:spacing w:line="236" w:lineRule="exact"/>
              <w:rPr>
                <w:lang w:val="sr-Latn-ME"/>
              </w:rPr>
            </w:pPr>
            <w:r w:rsidRPr="00616B65">
              <w:rPr>
                <w:lang w:val="sr-Latn-ME"/>
              </w:rPr>
              <w:t>(95%</w:t>
            </w:r>
            <w:r w:rsidRPr="00616B65">
              <w:rPr>
                <w:spacing w:val="-2"/>
                <w:lang w:val="sr-Latn-ME"/>
              </w:rPr>
              <w:t xml:space="preserve"> </w:t>
            </w:r>
            <w:r w:rsidRPr="00616B65">
              <w:rPr>
                <w:lang w:val="sr-Latn-ME"/>
              </w:rPr>
              <w:t>CI)</w:t>
            </w:r>
          </w:p>
        </w:tc>
        <w:tc>
          <w:tcPr>
            <w:tcW w:w="900" w:type="dxa"/>
          </w:tcPr>
          <w:p w14:paraId="01922A67" w14:textId="77777777" w:rsidR="00383D59" w:rsidRPr="00616B65" w:rsidRDefault="00383D59" w:rsidP="00C31FAA">
            <w:pPr>
              <w:pStyle w:val="TableParagraph"/>
              <w:spacing w:line="240" w:lineRule="auto"/>
              <w:ind w:left="0"/>
              <w:rPr>
                <w:lang w:val="sr-Latn-ME"/>
              </w:rPr>
            </w:pPr>
          </w:p>
        </w:tc>
        <w:tc>
          <w:tcPr>
            <w:tcW w:w="1645" w:type="dxa"/>
          </w:tcPr>
          <w:p w14:paraId="5F716A49" w14:textId="77777777" w:rsidR="00383D59" w:rsidRPr="00616B65" w:rsidRDefault="00383D59" w:rsidP="00C31FAA">
            <w:pPr>
              <w:pStyle w:val="TableParagraph"/>
              <w:spacing w:line="244" w:lineRule="exact"/>
              <w:ind w:left="109"/>
              <w:rPr>
                <w:lang w:val="sr-Latn-ME"/>
              </w:rPr>
            </w:pPr>
            <w:r w:rsidRPr="00616B65">
              <w:rPr>
                <w:lang w:val="sr-Latn-ME"/>
              </w:rPr>
              <w:t>0,15</w:t>
            </w:r>
          </w:p>
          <w:p w14:paraId="1D076D8E" w14:textId="77777777" w:rsidR="00383D59" w:rsidRPr="00616B65" w:rsidRDefault="00383D59" w:rsidP="00C31FAA">
            <w:pPr>
              <w:pStyle w:val="TableParagraph"/>
              <w:spacing w:before="1" w:line="240" w:lineRule="auto"/>
              <w:ind w:left="109"/>
              <w:rPr>
                <w:lang w:val="sr-Latn-ME"/>
              </w:rPr>
            </w:pPr>
            <w:r w:rsidRPr="00616B65">
              <w:rPr>
                <w:lang w:val="sr-Latn-ME"/>
              </w:rPr>
              <w:t>(0,10,</w:t>
            </w:r>
            <w:r w:rsidRPr="00616B65">
              <w:rPr>
                <w:spacing w:val="1"/>
                <w:lang w:val="sr-Latn-ME"/>
              </w:rPr>
              <w:t xml:space="preserve"> </w:t>
            </w:r>
            <w:r w:rsidRPr="00616B65">
              <w:rPr>
                <w:lang w:val="sr-Latn-ME"/>
              </w:rPr>
              <w:t>0,23)</w:t>
            </w:r>
          </w:p>
        </w:tc>
        <w:tc>
          <w:tcPr>
            <w:tcW w:w="875" w:type="dxa"/>
          </w:tcPr>
          <w:p w14:paraId="4102A944" w14:textId="77777777" w:rsidR="00383D59" w:rsidRPr="00616B65" w:rsidRDefault="00383D59" w:rsidP="00C31FAA">
            <w:pPr>
              <w:pStyle w:val="TableParagraph"/>
              <w:spacing w:line="240" w:lineRule="auto"/>
              <w:ind w:left="0"/>
              <w:rPr>
                <w:lang w:val="sr-Latn-ME"/>
              </w:rPr>
            </w:pPr>
          </w:p>
        </w:tc>
        <w:tc>
          <w:tcPr>
            <w:tcW w:w="1620" w:type="dxa"/>
          </w:tcPr>
          <w:p w14:paraId="1E2476E3" w14:textId="77777777" w:rsidR="00383D59" w:rsidRPr="00616B65" w:rsidRDefault="00383D59" w:rsidP="00C31FAA">
            <w:pPr>
              <w:pStyle w:val="TableParagraph"/>
              <w:spacing w:line="244" w:lineRule="exact"/>
              <w:ind w:left="104"/>
              <w:rPr>
                <w:lang w:val="sr-Latn-ME"/>
              </w:rPr>
            </w:pPr>
            <w:r w:rsidRPr="00616B65">
              <w:rPr>
                <w:lang w:val="sr-Latn-ME"/>
              </w:rPr>
              <w:t>0,29</w:t>
            </w:r>
          </w:p>
          <w:p w14:paraId="77F1AC7E" w14:textId="77777777" w:rsidR="00383D59" w:rsidRPr="00616B65" w:rsidRDefault="00383D59" w:rsidP="00C31FAA">
            <w:pPr>
              <w:pStyle w:val="TableParagraph"/>
              <w:spacing w:before="1" w:line="240" w:lineRule="auto"/>
              <w:ind w:left="104"/>
              <w:rPr>
                <w:lang w:val="sr-Latn-ME"/>
              </w:rPr>
            </w:pPr>
            <w:r w:rsidRPr="00616B65">
              <w:rPr>
                <w:lang w:val="sr-Latn-ME"/>
              </w:rPr>
              <w:t>(0,21,</w:t>
            </w:r>
            <w:r w:rsidRPr="00616B65">
              <w:rPr>
                <w:spacing w:val="1"/>
                <w:lang w:val="sr-Latn-ME"/>
              </w:rPr>
              <w:t xml:space="preserve"> </w:t>
            </w:r>
            <w:r w:rsidRPr="00616B65">
              <w:rPr>
                <w:lang w:val="sr-Latn-ME"/>
              </w:rPr>
              <w:t>0,41)</w:t>
            </w:r>
          </w:p>
        </w:tc>
        <w:tc>
          <w:tcPr>
            <w:tcW w:w="1440" w:type="dxa"/>
          </w:tcPr>
          <w:p w14:paraId="0D73494D" w14:textId="77777777" w:rsidR="00383D59" w:rsidRPr="00616B65" w:rsidRDefault="00383D59" w:rsidP="00C31FAA">
            <w:pPr>
              <w:pStyle w:val="TableParagraph"/>
              <w:spacing w:line="244" w:lineRule="exact"/>
              <w:ind w:left="109"/>
              <w:rPr>
                <w:lang w:val="sr-Latn-ME"/>
              </w:rPr>
            </w:pPr>
            <w:r w:rsidRPr="00616B65">
              <w:rPr>
                <w:lang w:val="sr-Latn-ME"/>
              </w:rPr>
              <w:t>0,46</w:t>
            </w:r>
          </w:p>
          <w:p w14:paraId="1ACFB543" w14:textId="77777777" w:rsidR="00383D59" w:rsidRPr="00616B65" w:rsidRDefault="00383D59" w:rsidP="00C31FAA">
            <w:pPr>
              <w:pStyle w:val="TableParagraph"/>
              <w:spacing w:before="1" w:line="240" w:lineRule="auto"/>
              <w:ind w:left="109"/>
              <w:rPr>
                <w:lang w:val="sr-Latn-ME"/>
              </w:rPr>
            </w:pPr>
            <w:r w:rsidRPr="00616B65">
              <w:rPr>
                <w:lang w:val="sr-Latn-ME"/>
              </w:rPr>
              <w:t>(0,33,</w:t>
            </w:r>
            <w:r w:rsidRPr="00616B65">
              <w:rPr>
                <w:spacing w:val="1"/>
                <w:lang w:val="sr-Latn-ME"/>
              </w:rPr>
              <w:t xml:space="preserve"> </w:t>
            </w:r>
            <w:r w:rsidRPr="00616B65">
              <w:rPr>
                <w:lang w:val="sr-Latn-ME"/>
              </w:rPr>
              <w:t>0,63)</w:t>
            </w:r>
          </w:p>
        </w:tc>
      </w:tr>
      <w:tr w:rsidR="00383D59" w:rsidRPr="00616B65" w14:paraId="708E2F33" w14:textId="77777777" w:rsidTr="005A340E">
        <w:trPr>
          <w:trHeight w:val="762"/>
        </w:trPr>
        <w:tc>
          <w:tcPr>
            <w:tcW w:w="2700" w:type="dxa"/>
          </w:tcPr>
          <w:p w14:paraId="1077BC2A" w14:textId="512F5D71" w:rsidR="00383D59" w:rsidRPr="00616B65" w:rsidRDefault="00383D59" w:rsidP="000D33C9">
            <w:pPr>
              <w:pStyle w:val="TableParagraph"/>
              <w:spacing w:line="237" w:lineRule="auto"/>
              <w:ind w:right="173"/>
              <w:rPr>
                <w:lang w:val="sr-Latn-ME"/>
              </w:rPr>
            </w:pPr>
            <w:r w:rsidRPr="00616B65">
              <w:rPr>
                <w:lang w:val="sr-Latn-ME"/>
              </w:rPr>
              <w:t>Srednja</w:t>
            </w:r>
            <w:r w:rsidRPr="00616B65">
              <w:rPr>
                <w:spacing w:val="-8"/>
                <w:lang w:val="sr-Latn-ME"/>
              </w:rPr>
              <w:t xml:space="preserve"> </w:t>
            </w:r>
            <w:r w:rsidRPr="00616B65">
              <w:rPr>
                <w:lang w:val="sr-Latn-ME"/>
              </w:rPr>
              <w:t>vr</w:t>
            </w:r>
            <w:r w:rsidR="000D33C9" w:rsidRPr="00616B65">
              <w:rPr>
                <w:lang w:val="sr-Latn-ME"/>
              </w:rPr>
              <w:t>ij</w:t>
            </w:r>
            <w:r w:rsidRPr="00616B65">
              <w:rPr>
                <w:lang w:val="sr-Latn-ME"/>
              </w:rPr>
              <w:t>ednost</w:t>
            </w:r>
            <w:r w:rsidRPr="00616B65">
              <w:rPr>
                <w:spacing w:val="-7"/>
                <w:lang w:val="sr-Latn-ME"/>
              </w:rPr>
              <w:t xml:space="preserve"> </w:t>
            </w:r>
            <w:r w:rsidRPr="00616B65">
              <w:rPr>
                <w:lang w:val="sr-Latn-ME"/>
              </w:rPr>
              <w:t>(medijan</w:t>
            </w:r>
            <w:r w:rsidR="00D227EB" w:rsidRPr="00616B65">
              <w:rPr>
                <w:lang w:val="sr-Latn-ME"/>
              </w:rPr>
              <w:t>a</w:t>
            </w:r>
            <w:r w:rsidRPr="00616B65">
              <w:rPr>
                <w:lang w:val="sr-Latn-ME"/>
              </w:rPr>
              <w:t>)</w:t>
            </w:r>
            <w:r w:rsidR="00D227EB" w:rsidRPr="00616B65">
              <w:rPr>
                <w:lang w:val="sr-Latn-ME"/>
              </w:rPr>
              <w:t xml:space="preserve"> </w:t>
            </w:r>
            <w:r w:rsidRPr="00616B65">
              <w:rPr>
                <w:spacing w:val="-52"/>
                <w:lang w:val="sr-Latn-ME"/>
              </w:rPr>
              <w:t xml:space="preserve"> </w:t>
            </w:r>
            <w:r w:rsidRPr="00616B65">
              <w:rPr>
                <w:lang w:val="sr-Latn-ME"/>
              </w:rPr>
              <w:t>broja</w:t>
            </w:r>
            <w:r w:rsidRPr="00616B65">
              <w:rPr>
                <w:spacing w:val="-2"/>
                <w:lang w:val="sr-Latn-ME"/>
              </w:rPr>
              <w:t xml:space="preserve"> </w:t>
            </w:r>
            <w:r w:rsidRPr="00616B65">
              <w:rPr>
                <w:lang w:val="sr-Latn-ME"/>
              </w:rPr>
              <w:t>Gd</w:t>
            </w:r>
            <w:r w:rsidRPr="00616B65">
              <w:rPr>
                <w:spacing w:val="-2"/>
                <w:lang w:val="sr-Latn-ME"/>
              </w:rPr>
              <w:t xml:space="preserve"> </w:t>
            </w:r>
            <w:r w:rsidRPr="00616B65">
              <w:rPr>
                <w:lang w:val="sr-Latn-ME"/>
              </w:rPr>
              <w:t>lezija</w:t>
            </w:r>
            <w:r w:rsidRPr="00616B65">
              <w:rPr>
                <w:spacing w:val="-2"/>
                <w:lang w:val="sr-Latn-ME"/>
              </w:rPr>
              <w:t xml:space="preserve"> </w:t>
            </w:r>
            <w:r w:rsidRPr="00616B65">
              <w:rPr>
                <w:lang w:val="sr-Latn-ME"/>
              </w:rPr>
              <w:t>nakon</w:t>
            </w:r>
            <w:r w:rsidRPr="00616B65">
              <w:rPr>
                <w:spacing w:val="-1"/>
                <w:lang w:val="sr-Latn-ME"/>
              </w:rPr>
              <w:t xml:space="preserve"> </w:t>
            </w:r>
            <w:r w:rsidRPr="00616B65">
              <w:rPr>
                <w:lang w:val="sr-Latn-ME"/>
              </w:rPr>
              <w:t>2</w:t>
            </w:r>
            <w:r w:rsidR="000D33C9" w:rsidRPr="00616B65">
              <w:rPr>
                <w:lang w:val="sr-Latn-ME"/>
              </w:rPr>
              <w:t xml:space="preserve"> </w:t>
            </w:r>
            <w:r w:rsidRPr="00616B65">
              <w:rPr>
                <w:lang w:val="sr-Latn-ME"/>
              </w:rPr>
              <w:t>godine</w:t>
            </w:r>
          </w:p>
        </w:tc>
        <w:tc>
          <w:tcPr>
            <w:tcW w:w="900" w:type="dxa"/>
          </w:tcPr>
          <w:p w14:paraId="5C7A42A4" w14:textId="77777777" w:rsidR="00383D59" w:rsidRPr="00616B65" w:rsidRDefault="00383D59" w:rsidP="00C31FAA">
            <w:pPr>
              <w:pStyle w:val="TableParagraph"/>
              <w:spacing w:line="247" w:lineRule="exact"/>
              <w:rPr>
                <w:lang w:val="sr-Latn-ME"/>
              </w:rPr>
            </w:pPr>
            <w:r w:rsidRPr="00616B65">
              <w:rPr>
                <w:lang w:val="sr-Latn-ME"/>
              </w:rPr>
              <w:t>1,8</w:t>
            </w:r>
          </w:p>
          <w:p w14:paraId="595B6DEF" w14:textId="77777777" w:rsidR="00383D59" w:rsidRPr="00616B65" w:rsidRDefault="00383D59" w:rsidP="00C31FAA">
            <w:pPr>
              <w:pStyle w:val="TableParagraph"/>
              <w:spacing w:line="251" w:lineRule="exact"/>
              <w:rPr>
                <w:lang w:val="sr-Latn-ME"/>
              </w:rPr>
            </w:pPr>
            <w:r w:rsidRPr="00616B65">
              <w:rPr>
                <w:lang w:val="sr-Latn-ME"/>
              </w:rPr>
              <w:t>(0)</w:t>
            </w:r>
          </w:p>
        </w:tc>
        <w:tc>
          <w:tcPr>
            <w:tcW w:w="1645" w:type="dxa"/>
          </w:tcPr>
          <w:p w14:paraId="23955A4B" w14:textId="77777777" w:rsidR="00383D59" w:rsidRPr="00616B65" w:rsidRDefault="00383D59" w:rsidP="00C31FAA">
            <w:pPr>
              <w:pStyle w:val="TableParagraph"/>
              <w:spacing w:line="247" w:lineRule="exact"/>
              <w:ind w:left="109"/>
              <w:rPr>
                <w:lang w:val="sr-Latn-ME"/>
              </w:rPr>
            </w:pPr>
            <w:r w:rsidRPr="00616B65">
              <w:rPr>
                <w:lang w:val="sr-Latn-ME"/>
              </w:rPr>
              <w:t>0,1</w:t>
            </w:r>
          </w:p>
          <w:p w14:paraId="33B5BB60" w14:textId="77777777" w:rsidR="00383D59" w:rsidRPr="00616B65" w:rsidRDefault="00383D59" w:rsidP="00C31FAA">
            <w:pPr>
              <w:pStyle w:val="TableParagraph"/>
              <w:spacing w:line="251" w:lineRule="exact"/>
              <w:ind w:left="109"/>
              <w:rPr>
                <w:lang w:val="sr-Latn-ME"/>
              </w:rPr>
            </w:pPr>
            <w:r w:rsidRPr="00616B65">
              <w:rPr>
                <w:lang w:val="sr-Latn-ME"/>
              </w:rPr>
              <w:t>(0)***</w:t>
            </w:r>
          </w:p>
        </w:tc>
        <w:tc>
          <w:tcPr>
            <w:tcW w:w="875" w:type="dxa"/>
          </w:tcPr>
          <w:p w14:paraId="5DE21A54" w14:textId="77777777" w:rsidR="00383D59" w:rsidRPr="00616B65" w:rsidRDefault="00383D59" w:rsidP="00C31FAA">
            <w:pPr>
              <w:pStyle w:val="TableParagraph"/>
              <w:spacing w:line="247" w:lineRule="exact"/>
              <w:ind w:left="109"/>
              <w:rPr>
                <w:lang w:val="sr-Latn-ME"/>
              </w:rPr>
            </w:pPr>
            <w:r w:rsidRPr="00616B65">
              <w:rPr>
                <w:lang w:val="sr-Latn-ME"/>
              </w:rPr>
              <w:t>2,0</w:t>
            </w:r>
          </w:p>
          <w:p w14:paraId="4618FB28" w14:textId="77777777" w:rsidR="00383D59" w:rsidRPr="00616B65" w:rsidRDefault="00383D59" w:rsidP="00C31FAA">
            <w:pPr>
              <w:pStyle w:val="TableParagraph"/>
              <w:spacing w:line="251" w:lineRule="exact"/>
              <w:ind w:left="109"/>
              <w:rPr>
                <w:lang w:val="sr-Latn-ME"/>
              </w:rPr>
            </w:pPr>
            <w:r w:rsidRPr="00616B65">
              <w:rPr>
                <w:lang w:val="sr-Latn-ME"/>
              </w:rPr>
              <w:t>(0,0)</w:t>
            </w:r>
          </w:p>
        </w:tc>
        <w:tc>
          <w:tcPr>
            <w:tcW w:w="1620" w:type="dxa"/>
          </w:tcPr>
          <w:p w14:paraId="476803EC" w14:textId="77777777" w:rsidR="00383D59" w:rsidRPr="00616B65" w:rsidRDefault="00383D59" w:rsidP="00C31FAA">
            <w:pPr>
              <w:pStyle w:val="TableParagraph"/>
              <w:spacing w:line="247" w:lineRule="exact"/>
              <w:ind w:left="104"/>
              <w:rPr>
                <w:lang w:val="sr-Latn-ME"/>
              </w:rPr>
            </w:pPr>
            <w:r w:rsidRPr="00616B65">
              <w:rPr>
                <w:lang w:val="sr-Latn-ME"/>
              </w:rPr>
              <w:t>0,5</w:t>
            </w:r>
          </w:p>
          <w:p w14:paraId="7C6B5F21" w14:textId="77777777" w:rsidR="00383D59" w:rsidRPr="00616B65" w:rsidRDefault="00383D59" w:rsidP="00C31FAA">
            <w:pPr>
              <w:pStyle w:val="TableParagraph"/>
              <w:spacing w:line="251" w:lineRule="exact"/>
              <w:ind w:left="104"/>
              <w:rPr>
                <w:lang w:val="sr-Latn-ME"/>
              </w:rPr>
            </w:pPr>
            <w:r w:rsidRPr="00616B65">
              <w:rPr>
                <w:lang w:val="sr-Latn-ME"/>
              </w:rPr>
              <w:t>(0,0)***</w:t>
            </w:r>
          </w:p>
        </w:tc>
        <w:tc>
          <w:tcPr>
            <w:tcW w:w="1440" w:type="dxa"/>
          </w:tcPr>
          <w:p w14:paraId="3E2D727E" w14:textId="77777777" w:rsidR="00383D59" w:rsidRPr="00616B65" w:rsidRDefault="00383D59" w:rsidP="00C31FAA">
            <w:pPr>
              <w:pStyle w:val="TableParagraph"/>
              <w:spacing w:line="237" w:lineRule="auto"/>
              <w:ind w:left="109" w:right="503"/>
              <w:rPr>
                <w:lang w:val="sr-Latn-ME"/>
              </w:rPr>
            </w:pPr>
            <w:r w:rsidRPr="00616B65">
              <w:rPr>
                <w:lang w:val="sr-Latn-ME"/>
              </w:rPr>
              <w:t>0,7</w:t>
            </w:r>
            <w:r w:rsidRPr="00616B65">
              <w:rPr>
                <w:spacing w:val="1"/>
                <w:lang w:val="sr-Latn-ME"/>
              </w:rPr>
              <w:t xml:space="preserve"> </w:t>
            </w:r>
            <w:r w:rsidRPr="00616B65">
              <w:rPr>
                <w:spacing w:val="-1"/>
                <w:lang w:val="sr-Latn-ME"/>
              </w:rPr>
              <w:t>(0,0)**</w:t>
            </w:r>
          </w:p>
        </w:tc>
      </w:tr>
      <w:tr w:rsidR="00383D59" w:rsidRPr="00616B65" w14:paraId="70467530" w14:textId="77777777" w:rsidTr="005A340E">
        <w:trPr>
          <w:trHeight w:val="503"/>
        </w:trPr>
        <w:tc>
          <w:tcPr>
            <w:tcW w:w="2700" w:type="dxa"/>
          </w:tcPr>
          <w:p w14:paraId="19B5B928" w14:textId="61974785" w:rsidR="00383D59" w:rsidRPr="00616B65" w:rsidRDefault="00383D59" w:rsidP="00C31FAA">
            <w:pPr>
              <w:pStyle w:val="TableParagraph"/>
              <w:spacing w:line="242" w:lineRule="exact"/>
              <w:rPr>
                <w:lang w:val="sr-Latn-ME"/>
              </w:rPr>
            </w:pPr>
            <w:r w:rsidRPr="00616B65">
              <w:rPr>
                <w:lang w:val="sr-Latn-ME"/>
              </w:rPr>
              <w:t>Odnos</w:t>
            </w:r>
            <w:r w:rsidRPr="00616B65">
              <w:rPr>
                <w:spacing w:val="-4"/>
                <w:lang w:val="sr-Latn-ME"/>
              </w:rPr>
              <w:t xml:space="preserve"> </w:t>
            </w:r>
            <w:r w:rsidRPr="00616B65">
              <w:rPr>
                <w:lang w:val="sr-Latn-ME"/>
              </w:rPr>
              <w:t>v</w:t>
            </w:r>
            <w:r w:rsidR="000D33C9" w:rsidRPr="00616B65">
              <w:rPr>
                <w:lang w:val="sr-Latn-ME"/>
              </w:rPr>
              <w:t>j</w:t>
            </w:r>
            <w:r w:rsidRPr="00616B65">
              <w:rPr>
                <w:lang w:val="sr-Latn-ME"/>
              </w:rPr>
              <w:t>erovatnoće</w:t>
            </w:r>
          </w:p>
          <w:p w14:paraId="6B8CF04C" w14:textId="77777777" w:rsidR="00383D59" w:rsidRPr="00616B65" w:rsidRDefault="00383D59" w:rsidP="00C31FAA">
            <w:pPr>
              <w:pStyle w:val="TableParagraph"/>
              <w:spacing w:line="241" w:lineRule="exact"/>
              <w:rPr>
                <w:lang w:val="sr-Latn-ME"/>
              </w:rPr>
            </w:pPr>
            <w:r w:rsidRPr="00616B65">
              <w:rPr>
                <w:lang w:val="sr-Latn-ME"/>
              </w:rPr>
              <w:t>(95%</w:t>
            </w:r>
            <w:r w:rsidRPr="00616B65">
              <w:rPr>
                <w:spacing w:val="-2"/>
                <w:lang w:val="sr-Latn-ME"/>
              </w:rPr>
              <w:t xml:space="preserve"> </w:t>
            </w:r>
            <w:r w:rsidRPr="00616B65">
              <w:rPr>
                <w:lang w:val="sr-Latn-ME"/>
              </w:rPr>
              <w:t>CI)</w:t>
            </w:r>
          </w:p>
        </w:tc>
        <w:tc>
          <w:tcPr>
            <w:tcW w:w="900" w:type="dxa"/>
          </w:tcPr>
          <w:p w14:paraId="18EB795D" w14:textId="77777777" w:rsidR="00383D59" w:rsidRPr="00616B65" w:rsidRDefault="00383D59" w:rsidP="00C31FAA">
            <w:pPr>
              <w:pStyle w:val="TableParagraph"/>
              <w:spacing w:line="240" w:lineRule="auto"/>
              <w:ind w:left="0"/>
              <w:rPr>
                <w:lang w:val="sr-Latn-ME"/>
              </w:rPr>
            </w:pPr>
          </w:p>
        </w:tc>
        <w:tc>
          <w:tcPr>
            <w:tcW w:w="1645" w:type="dxa"/>
          </w:tcPr>
          <w:p w14:paraId="1C9BB20A" w14:textId="77777777" w:rsidR="00383D59" w:rsidRPr="00616B65" w:rsidRDefault="00383D59" w:rsidP="00C31FAA">
            <w:pPr>
              <w:pStyle w:val="TableParagraph"/>
              <w:spacing w:line="242" w:lineRule="exact"/>
              <w:ind w:left="109"/>
              <w:rPr>
                <w:lang w:val="sr-Latn-ME"/>
              </w:rPr>
            </w:pPr>
            <w:r w:rsidRPr="00616B65">
              <w:rPr>
                <w:lang w:val="sr-Latn-ME"/>
              </w:rPr>
              <w:t>0,10</w:t>
            </w:r>
          </w:p>
          <w:p w14:paraId="1C09E787" w14:textId="77777777" w:rsidR="00383D59" w:rsidRPr="00616B65" w:rsidRDefault="00383D59" w:rsidP="00C31FAA">
            <w:pPr>
              <w:pStyle w:val="TableParagraph"/>
              <w:spacing w:line="241" w:lineRule="exact"/>
              <w:ind w:left="109"/>
              <w:rPr>
                <w:lang w:val="sr-Latn-ME"/>
              </w:rPr>
            </w:pPr>
            <w:r w:rsidRPr="00616B65">
              <w:rPr>
                <w:lang w:val="sr-Latn-ME"/>
              </w:rPr>
              <w:t>(0,05,</w:t>
            </w:r>
            <w:r w:rsidRPr="00616B65">
              <w:rPr>
                <w:spacing w:val="1"/>
                <w:lang w:val="sr-Latn-ME"/>
              </w:rPr>
              <w:t xml:space="preserve"> </w:t>
            </w:r>
            <w:r w:rsidRPr="00616B65">
              <w:rPr>
                <w:lang w:val="sr-Latn-ME"/>
              </w:rPr>
              <w:t>0,22)</w:t>
            </w:r>
          </w:p>
        </w:tc>
        <w:tc>
          <w:tcPr>
            <w:tcW w:w="875" w:type="dxa"/>
          </w:tcPr>
          <w:p w14:paraId="4303DADE" w14:textId="77777777" w:rsidR="00383D59" w:rsidRPr="00616B65" w:rsidRDefault="00383D59" w:rsidP="00C31FAA">
            <w:pPr>
              <w:pStyle w:val="TableParagraph"/>
              <w:spacing w:line="240" w:lineRule="auto"/>
              <w:ind w:left="0"/>
              <w:rPr>
                <w:lang w:val="sr-Latn-ME"/>
              </w:rPr>
            </w:pPr>
          </w:p>
        </w:tc>
        <w:tc>
          <w:tcPr>
            <w:tcW w:w="1620" w:type="dxa"/>
          </w:tcPr>
          <w:p w14:paraId="05F052AA" w14:textId="77777777" w:rsidR="00383D59" w:rsidRPr="00616B65" w:rsidRDefault="00383D59" w:rsidP="00C31FAA">
            <w:pPr>
              <w:pStyle w:val="TableParagraph"/>
              <w:spacing w:line="242" w:lineRule="exact"/>
              <w:ind w:left="104"/>
              <w:rPr>
                <w:lang w:val="sr-Latn-ME"/>
              </w:rPr>
            </w:pPr>
            <w:r w:rsidRPr="00616B65">
              <w:rPr>
                <w:lang w:val="sr-Latn-ME"/>
              </w:rPr>
              <w:t>0,26</w:t>
            </w:r>
          </w:p>
          <w:p w14:paraId="6F9FF954" w14:textId="77777777" w:rsidR="00383D59" w:rsidRPr="00616B65" w:rsidRDefault="00383D59" w:rsidP="00C31FAA">
            <w:pPr>
              <w:pStyle w:val="TableParagraph"/>
              <w:spacing w:line="241" w:lineRule="exact"/>
              <w:ind w:left="104"/>
              <w:rPr>
                <w:lang w:val="sr-Latn-ME"/>
              </w:rPr>
            </w:pPr>
            <w:r w:rsidRPr="00616B65">
              <w:rPr>
                <w:lang w:val="sr-Latn-ME"/>
              </w:rPr>
              <w:t>(0,15,</w:t>
            </w:r>
            <w:r w:rsidRPr="00616B65">
              <w:rPr>
                <w:spacing w:val="1"/>
                <w:lang w:val="sr-Latn-ME"/>
              </w:rPr>
              <w:t xml:space="preserve"> </w:t>
            </w:r>
            <w:r w:rsidRPr="00616B65">
              <w:rPr>
                <w:lang w:val="sr-Latn-ME"/>
              </w:rPr>
              <w:t>0,46)</w:t>
            </w:r>
          </w:p>
        </w:tc>
        <w:tc>
          <w:tcPr>
            <w:tcW w:w="1440" w:type="dxa"/>
          </w:tcPr>
          <w:p w14:paraId="672D06D8" w14:textId="77777777" w:rsidR="00383D59" w:rsidRPr="00616B65" w:rsidRDefault="00383D59" w:rsidP="00C31FAA">
            <w:pPr>
              <w:pStyle w:val="TableParagraph"/>
              <w:spacing w:line="242" w:lineRule="exact"/>
              <w:ind w:left="109"/>
              <w:rPr>
                <w:lang w:val="sr-Latn-ME"/>
              </w:rPr>
            </w:pPr>
            <w:r w:rsidRPr="00616B65">
              <w:rPr>
                <w:lang w:val="sr-Latn-ME"/>
              </w:rPr>
              <w:t>0,39</w:t>
            </w:r>
          </w:p>
          <w:p w14:paraId="456C8C12" w14:textId="77777777" w:rsidR="00383D59" w:rsidRPr="00616B65" w:rsidRDefault="00383D59" w:rsidP="00C31FAA">
            <w:pPr>
              <w:pStyle w:val="TableParagraph"/>
              <w:spacing w:line="241" w:lineRule="exact"/>
              <w:ind w:left="109"/>
              <w:rPr>
                <w:lang w:val="sr-Latn-ME"/>
              </w:rPr>
            </w:pPr>
            <w:r w:rsidRPr="00616B65">
              <w:rPr>
                <w:lang w:val="sr-Latn-ME"/>
              </w:rPr>
              <w:t>(0,24,</w:t>
            </w:r>
            <w:r w:rsidRPr="00616B65">
              <w:rPr>
                <w:spacing w:val="1"/>
                <w:lang w:val="sr-Latn-ME"/>
              </w:rPr>
              <w:t xml:space="preserve"> </w:t>
            </w:r>
            <w:r w:rsidRPr="00616B65">
              <w:rPr>
                <w:lang w:val="sr-Latn-ME"/>
              </w:rPr>
              <w:t>0,65)</w:t>
            </w:r>
          </w:p>
        </w:tc>
      </w:tr>
      <w:tr w:rsidR="00383D59" w:rsidRPr="00616B65" w14:paraId="553DE638" w14:textId="77777777" w:rsidTr="005A340E">
        <w:trPr>
          <w:trHeight w:val="758"/>
        </w:trPr>
        <w:tc>
          <w:tcPr>
            <w:tcW w:w="2700" w:type="dxa"/>
          </w:tcPr>
          <w:p w14:paraId="5A0AACCB" w14:textId="327E8D81" w:rsidR="00383D59" w:rsidRPr="00616B65" w:rsidRDefault="00383D59" w:rsidP="00C31FAA">
            <w:pPr>
              <w:pStyle w:val="TableParagraph"/>
              <w:spacing w:line="242" w:lineRule="auto"/>
              <w:ind w:right="123"/>
              <w:rPr>
                <w:lang w:val="sr-Latn-ME"/>
              </w:rPr>
            </w:pPr>
            <w:r w:rsidRPr="00616B65">
              <w:rPr>
                <w:lang w:val="sr-Latn-ME"/>
              </w:rPr>
              <w:t>Srednja vr</w:t>
            </w:r>
            <w:r w:rsidR="000D33C9" w:rsidRPr="00616B65">
              <w:rPr>
                <w:lang w:val="sr-Latn-ME"/>
              </w:rPr>
              <w:t>ij</w:t>
            </w:r>
            <w:r w:rsidRPr="00616B65">
              <w:rPr>
                <w:lang w:val="sr-Latn-ME"/>
              </w:rPr>
              <w:t>ednost (medijan</w:t>
            </w:r>
            <w:r w:rsidR="00D227EB" w:rsidRPr="00616B65">
              <w:rPr>
                <w:lang w:val="sr-Latn-ME"/>
              </w:rPr>
              <w:t>a</w:t>
            </w:r>
            <w:r w:rsidRPr="00616B65">
              <w:rPr>
                <w:lang w:val="sr-Latn-ME"/>
              </w:rPr>
              <w:t>)</w:t>
            </w:r>
            <w:r w:rsidRPr="00616B65">
              <w:rPr>
                <w:spacing w:val="-52"/>
                <w:lang w:val="sr-Latn-ME"/>
              </w:rPr>
              <w:t xml:space="preserve"> </w:t>
            </w:r>
            <w:r w:rsidR="00D227EB" w:rsidRPr="00616B65">
              <w:rPr>
                <w:spacing w:val="-52"/>
                <w:lang w:val="sr-Latn-ME"/>
              </w:rPr>
              <w:t xml:space="preserve"> </w:t>
            </w:r>
            <w:r w:rsidRPr="00616B65">
              <w:rPr>
                <w:lang w:val="sr-Latn-ME"/>
              </w:rPr>
              <w:t>broja</w:t>
            </w:r>
            <w:r w:rsidRPr="00616B65">
              <w:rPr>
                <w:spacing w:val="-9"/>
                <w:lang w:val="sr-Latn-ME"/>
              </w:rPr>
              <w:t xml:space="preserve"> </w:t>
            </w:r>
            <w:r w:rsidRPr="00616B65">
              <w:rPr>
                <w:lang w:val="sr-Latn-ME"/>
              </w:rPr>
              <w:t>novih</w:t>
            </w:r>
            <w:r w:rsidRPr="00616B65">
              <w:rPr>
                <w:spacing w:val="-6"/>
                <w:lang w:val="sr-Latn-ME"/>
              </w:rPr>
              <w:t xml:space="preserve"> </w:t>
            </w:r>
            <w:r w:rsidRPr="00616B65">
              <w:rPr>
                <w:lang w:val="sr-Latn-ME"/>
              </w:rPr>
              <w:t>hipointenzivnih</w:t>
            </w:r>
          </w:p>
          <w:p w14:paraId="6693D969" w14:textId="77777777" w:rsidR="00383D59" w:rsidRPr="00616B65" w:rsidRDefault="00383D59" w:rsidP="00C31FAA">
            <w:pPr>
              <w:pStyle w:val="TableParagraph"/>
              <w:spacing w:line="236" w:lineRule="exact"/>
              <w:rPr>
                <w:lang w:val="sr-Latn-ME"/>
              </w:rPr>
            </w:pPr>
            <w:r w:rsidRPr="00616B65">
              <w:rPr>
                <w:lang w:val="sr-Latn-ME"/>
              </w:rPr>
              <w:t>T1</w:t>
            </w:r>
            <w:r w:rsidRPr="00616B65">
              <w:rPr>
                <w:spacing w:val="-3"/>
                <w:lang w:val="sr-Latn-ME"/>
              </w:rPr>
              <w:t xml:space="preserve"> </w:t>
            </w:r>
            <w:r w:rsidRPr="00616B65">
              <w:rPr>
                <w:lang w:val="sr-Latn-ME"/>
              </w:rPr>
              <w:t>lezija</w:t>
            </w:r>
            <w:r w:rsidRPr="00616B65">
              <w:rPr>
                <w:spacing w:val="-3"/>
                <w:lang w:val="sr-Latn-ME"/>
              </w:rPr>
              <w:t xml:space="preserve"> </w:t>
            </w:r>
            <w:r w:rsidRPr="00616B65">
              <w:rPr>
                <w:lang w:val="sr-Latn-ME"/>
              </w:rPr>
              <w:t>tokom</w:t>
            </w:r>
            <w:r w:rsidRPr="00616B65">
              <w:rPr>
                <w:spacing w:val="-2"/>
                <w:lang w:val="sr-Latn-ME"/>
              </w:rPr>
              <w:t xml:space="preserve"> </w:t>
            </w:r>
            <w:r w:rsidRPr="00616B65">
              <w:rPr>
                <w:lang w:val="sr-Latn-ME"/>
              </w:rPr>
              <w:t>2</w:t>
            </w:r>
            <w:r w:rsidRPr="00616B65">
              <w:rPr>
                <w:spacing w:val="-3"/>
                <w:lang w:val="sr-Latn-ME"/>
              </w:rPr>
              <w:t xml:space="preserve"> </w:t>
            </w:r>
            <w:r w:rsidRPr="00616B65">
              <w:rPr>
                <w:lang w:val="sr-Latn-ME"/>
              </w:rPr>
              <w:t>godine</w:t>
            </w:r>
          </w:p>
        </w:tc>
        <w:tc>
          <w:tcPr>
            <w:tcW w:w="900" w:type="dxa"/>
          </w:tcPr>
          <w:p w14:paraId="5108800A" w14:textId="77777777" w:rsidR="00383D59" w:rsidRPr="00616B65" w:rsidRDefault="00383D59" w:rsidP="00C31FAA">
            <w:pPr>
              <w:pStyle w:val="TableParagraph"/>
              <w:spacing w:line="244" w:lineRule="exact"/>
              <w:rPr>
                <w:lang w:val="sr-Latn-ME"/>
              </w:rPr>
            </w:pPr>
            <w:r w:rsidRPr="00616B65">
              <w:rPr>
                <w:lang w:val="sr-Latn-ME"/>
              </w:rPr>
              <w:t>5,7</w:t>
            </w:r>
          </w:p>
          <w:p w14:paraId="4E24D2E1" w14:textId="77777777" w:rsidR="00383D59" w:rsidRPr="00616B65" w:rsidRDefault="00383D59" w:rsidP="00C31FAA">
            <w:pPr>
              <w:pStyle w:val="TableParagraph"/>
              <w:spacing w:before="1" w:line="240" w:lineRule="auto"/>
              <w:rPr>
                <w:lang w:val="sr-Latn-ME"/>
              </w:rPr>
            </w:pPr>
            <w:r w:rsidRPr="00616B65">
              <w:rPr>
                <w:lang w:val="sr-Latn-ME"/>
              </w:rPr>
              <w:t>(2,0)</w:t>
            </w:r>
          </w:p>
        </w:tc>
        <w:tc>
          <w:tcPr>
            <w:tcW w:w="1645" w:type="dxa"/>
          </w:tcPr>
          <w:p w14:paraId="75BAD402" w14:textId="77777777" w:rsidR="00383D59" w:rsidRPr="00616B65" w:rsidRDefault="00383D59" w:rsidP="00C31FAA">
            <w:pPr>
              <w:pStyle w:val="TableParagraph"/>
              <w:spacing w:line="244" w:lineRule="exact"/>
              <w:ind w:left="109"/>
              <w:rPr>
                <w:lang w:val="sr-Latn-ME"/>
              </w:rPr>
            </w:pPr>
            <w:r w:rsidRPr="00616B65">
              <w:rPr>
                <w:lang w:val="sr-Latn-ME"/>
              </w:rPr>
              <w:t>2,0</w:t>
            </w:r>
          </w:p>
          <w:p w14:paraId="1B643B80" w14:textId="77777777" w:rsidR="00383D59" w:rsidRPr="00616B65" w:rsidRDefault="00383D59" w:rsidP="00C31FAA">
            <w:pPr>
              <w:pStyle w:val="TableParagraph"/>
              <w:spacing w:before="1" w:line="240" w:lineRule="auto"/>
              <w:ind w:left="109"/>
              <w:rPr>
                <w:lang w:val="sr-Latn-ME"/>
              </w:rPr>
            </w:pPr>
            <w:r w:rsidRPr="00616B65">
              <w:rPr>
                <w:lang w:val="sr-Latn-ME"/>
              </w:rPr>
              <w:t>(1,0)***</w:t>
            </w:r>
          </w:p>
        </w:tc>
        <w:tc>
          <w:tcPr>
            <w:tcW w:w="875" w:type="dxa"/>
          </w:tcPr>
          <w:p w14:paraId="6F4B7131" w14:textId="77777777" w:rsidR="00383D59" w:rsidRPr="00616B65" w:rsidRDefault="00383D59" w:rsidP="00C31FAA">
            <w:pPr>
              <w:pStyle w:val="TableParagraph"/>
              <w:spacing w:line="244" w:lineRule="exact"/>
              <w:ind w:left="109"/>
              <w:rPr>
                <w:lang w:val="sr-Latn-ME"/>
              </w:rPr>
            </w:pPr>
            <w:r w:rsidRPr="00616B65">
              <w:rPr>
                <w:lang w:val="sr-Latn-ME"/>
              </w:rPr>
              <w:t>8,1</w:t>
            </w:r>
          </w:p>
          <w:p w14:paraId="3C4260E2" w14:textId="77777777" w:rsidR="00383D59" w:rsidRPr="00616B65" w:rsidRDefault="00383D59" w:rsidP="00C31FAA">
            <w:pPr>
              <w:pStyle w:val="TableParagraph"/>
              <w:spacing w:before="1" w:line="240" w:lineRule="auto"/>
              <w:ind w:left="109"/>
              <w:rPr>
                <w:lang w:val="sr-Latn-ME"/>
              </w:rPr>
            </w:pPr>
            <w:r w:rsidRPr="00616B65">
              <w:rPr>
                <w:lang w:val="sr-Latn-ME"/>
              </w:rPr>
              <w:t>(4,0)</w:t>
            </w:r>
          </w:p>
        </w:tc>
        <w:tc>
          <w:tcPr>
            <w:tcW w:w="1620" w:type="dxa"/>
          </w:tcPr>
          <w:p w14:paraId="598B9026" w14:textId="77777777" w:rsidR="00383D59" w:rsidRPr="00616B65" w:rsidRDefault="00383D59" w:rsidP="00C31FAA">
            <w:pPr>
              <w:pStyle w:val="TableParagraph"/>
              <w:spacing w:line="244" w:lineRule="exact"/>
              <w:ind w:left="104"/>
              <w:rPr>
                <w:lang w:val="sr-Latn-ME"/>
              </w:rPr>
            </w:pPr>
            <w:r w:rsidRPr="00616B65">
              <w:rPr>
                <w:lang w:val="sr-Latn-ME"/>
              </w:rPr>
              <w:t>3,8</w:t>
            </w:r>
          </w:p>
          <w:p w14:paraId="5A25D7AC" w14:textId="77777777" w:rsidR="00383D59" w:rsidRPr="00616B65" w:rsidRDefault="00383D59" w:rsidP="00C31FAA">
            <w:pPr>
              <w:pStyle w:val="TableParagraph"/>
              <w:spacing w:before="1" w:line="240" w:lineRule="auto"/>
              <w:ind w:left="104"/>
              <w:rPr>
                <w:lang w:val="sr-Latn-ME"/>
              </w:rPr>
            </w:pPr>
            <w:r w:rsidRPr="00616B65">
              <w:rPr>
                <w:lang w:val="sr-Latn-ME"/>
              </w:rPr>
              <w:t>(1,0)***</w:t>
            </w:r>
          </w:p>
        </w:tc>
        <w:tc>
          <w:tcPr>
            <w:tcW w:w="1440" w:type="dxa"/>
          </w:tcPr>
          <w:p w14:paraId="78CFC177" w14:textId="77777777" w:rsidR="00383D59" w:rsidRPr="00616B65" w:rsidRDefault="00383D59" w:rsidP="00C31FAA">
            <w:pPr>
              <w:pStyle w:val="TableParagraph"/>
              <w:spacing w:line="242" w:lineRule="auto"/>
              <w:ind w:left="109" w:right="496"/>
              <w:rPr>
                <w:lang w:val="sr-Latn-ME"/>
              </w:rPr>
            </w:pPr>
            <w:r w:rsidRPr="00616B65">
              <w:rPr>
                <w:lang w:val="sr-Latn-ME"/>
              </w:rPr>
              <w:t>4,5</w:t>
            </w:r>
            <w:r w:rsidRPr="00616B65">
              <w:rPr>
                <w:spacing w:val="1"/>
                <w:lang w:val="sr-Latn-ME"/>
              </w:rPr>
              <w:t xml:space="preserve"> </w:t>
            </w:r>
            <w:r w:rsidRPr="00616B65">
              <w:rPr>
                <w:lang w:val="sr-Latn-ME"/>
              </w:rPr>
              <w:t>(2,0)**</w:t>
            </w:r>
          </w:p>
        </w:tc>
      </w:tr>
      <w:tr w:rsidR="00383D59" w:rsidRPr="00616B65" w14:paraId="3560A3AE" w14:textId="77777777" w:rsidTr="005A340E">
        <w:trPr>
          <w:trHeight w:val="762"/>
        </w:trPr>
        <w:tc>
          <w:tcPr>
            <w:tcW w:w="2700" w:type="dxa"/>
          </w:tcPr>
          <w:p w14:paraId="42B5D314" w14:textId="4308F00E" w:rsidR="00383D59" w:rsidRPr="00616B65" w:rsidRDefault="00383D59" w:rsidP="00C31FAA">
            <w:pPr>
              <w:pStyle w:val="TableParagraph"/>
              <w:spacing w:line="242" w:lineRule="auto"/>
              <w:ind w:right="377"/>
              <w:rPr>
                <w:lang w:val="sr-Latn-ME"/>
              </w:rPr>
            </w:pPr>
            <w:r w:rsidRPr="00616B65">
              <w:rPr>
                <w:lang w:val="sr-Latn-ME"/>
              </w:rPr>
              <w:t>Odnos srednje</w:t>
            </w:r>
            <w:r w:rsidR="000D33C9" w:rsidRPr="00616B65">
              <w:rPr>
                <w:lang w:val="sr-Latn-ME"/>
              </w:rPr>
              <w:t xml:space="preserve"> </w:t>
            </w:r>
            <w:r w:rsidRPr="00616B65">
              <w:rPr>
                <w:spacing w:val="-52"/>
                <w:lang w:val="sr-Latn-ME"/>
              </w:rPr>
              <w:t xml:space="preserve"> </w:t>
            </w:r>
            <w:r w:rsidRPr="00616B65">
              <w:rPr>
                <w:spacing w:val="-1"/>
                <w:lang w:val="sr-Latn-ME"/>
              </w:rPr>
              <w:t>vr</w:t>
            </w:r>
            <w:r w:rsidR="000D33C9" w:rsidRPr="00616B65">
              <w:rPr>
                <w:spacing w:val="-1"/>
                <w:lang w:val="sr-Latn-ME"/>
              </w:rPr>
              <w:t>ij</w:t>
            </w:r>
            <w:r w:rsidRPr="00616B65">
              <w:rPr>
                <w:spacing w:val="-1"/>
                <w:lang w:val="sr-Latn-ME"/>
              </w:rPr>
              <w:t>ednosti</w:t>
            </w:r>
            <w:r w:rsidRPr="00616B65">
              <w:rPr>
                <w:spacing w:val="-11"/>
                <w:lang w:val="sr-Latn-ME"/>
              </w:rPr>
              <w:t xml:space="preserve"> </w:t>
            </w:r>
            <w:r w:rsidRPr="00616B65">
              <w:rPr>
                <w:lang w:val="sr-Latn-ME"/>
              </w:rPr>
              <w:t>lezija</w:t>
            </w:r>
          </w:p>
          <w:p w14:paraId="546F6CD9" w14:textId="77777777" w:rsidR="00383D59" w:rsidRPr="00616B65" w:rsidRDefault="00383D59" w:rsidP="00C31FAA">
            <w:pPr>
              <w:pStyle w:val="TableParagraph"/>
              <w:spacing w:line="241" w:lineRule="exact"/>
              <w:rPr>
                <w:lang w:val="sr-Latn-ME"/>
              </w:rPr>
            </w:pPr>
            <w:r w:rsidRPr="00616B65">
              <w:rPr>
                <w:lang w:val="sr-Latn-ME"/>
              </w:rPr>
              <w:t>(95%</w:t>
            </w:r>
            <w:r w:rsidRPr="00616B65">
              <w:rPr>
                <w:spacing w:val="-2"/>
                <w:lang w:val="sr-Latn-ME"/>
              </w:rPr>
              <w:t xml:space="preserve"> </w:t>
            </w:r>
            <w:r w:rsidRPr="00616B65">
              <w:rPr>
                <w:lang w:val="sr-Latn-ME"/>
              </w:rPr>
              <w:t>CI)</w:t>
            </w:r>
          </w:p>
        </w:tc>
        <w:tc>
          <w:tcPr>
            <w:tcW w:w="900" w:type="dxa"/>
          </w:tcPr>
          <w:p w14:paraId="51AF9EB7" w14:textId="77777777" w:rsidR="00383D59" w:rsidRPr="00616B65" w:rsidRDefault="00383D59" w:rsidP="00C31FAA">
            <w:pPr>
              <w:pStyle w:val="TableParagraph"/>
              <w:spacing w:line="240" w:lineRule="auto"/>
              <w:ind w:left="0"/>
              <w:rPr>
                <w:lang w:val="sr-Latn-ME"/>
              </w:rPr>
            </w:pPr>
          </w:p>
        </w:tc>
        <w:tc>
          <w:tcPr>
            <w:tcW w:w="1645" w:type="dxa"/>
          </w:tcPr>
          <w:p w14:paraId="5968C32C" w14:textId="77777777" w:rsidR="00383D59" w:rsidRPr="00616B65" w:rsidRDefault="00383D59" w:rsidP="00C31FAA">
            <w:pPr>
              <w:pStyle w:val="TableParagraph"/>
              <w:spacing w:line="244" w:lineRule="exact"/>
              <w:ind w:left="109"/>
              <w:rPr>
                <w:lang w:val="sr-Latn-ME"/>
              </w:rPr>
            </w:pPr>
            <w:r w:rsidRPr="00616B65">
              <w:rPr>
                <w:lang w:val="sr-Latn-ME"/>
              </w:rPr>
              <w:t>0,28</w:t>
            </w:r>
          </w:p>
          <w:p w14:paraId="23145005" w14:textId="77777777" w:rsidR="00383D59" w:rsidRPr="00616B65" w:rsidRDefault="00383D59" w:rsidP="00C31FAA">
            <w:pPr>
              <w:pStyle w:val="TableParagraph"/>
              <w:spacing w:before="1" w:line="240" w:lineRule="auto"/>
              <w:ind w:left="109"/>
              <w:rPr>
                <w:lang w:val="sr-Latn-ME"/>
              </w:rPr>
            </w:pPr>
            <w:r w:rsidRPr="00616B65">
              <w:rPr>
                <w:lang w:val="sr-Latn-ME"/>
              </w:rPr>
              <w:t>(0,20,</w:t>
            </w:r>
            <w:r w:rsidRPr="00616B65">
              <w:rPr>
                <w:spacing w:val="1"/>
                <w:lang w:val="sr-Latn-ME"/>
              </w:rPr>
              <w:t xml:space="preserve"> </w:t>
            </w:r>
            <w:r w:rsidRPr="00616B65">
              <w:rPr>
                <w:lang w:val="sr-Latn-ME"/>
              </w:rPr>
              <w:t>0,39)</w:t>
            </w:r>
          </w:p>
        </w:tc>
        <w:tc>
          <w:tcPr>
            <w:tcW w:w="875" w:type="dxa"/>
          </w:tcPr>
          <w:p w14:paraId="5D4E8BE8" w14:textId="77777777" w:rsidR="00383D59" w:rsidRPr="00616B65" w:rsidRDefault="00383D59" w:rsidP="00C31FAA">
            <w:pPr>
              <w:pStyle w:val="TableParagraph"/>
              <w:spacing w:line="240" w:lineRule="auto"/>
              <w:ind w:left="0"/>
              <w:rPr>
                <w:lang w:val="sr-Latn-ME"/>
              </w:rPr>
            </w:pPr>
          </w:p>
        </w:tc>
        <w:tc>
          <w:tcPr>
            <w:tcW w:w="1620" w:type="dxa"/>
          </w:tcPr>
          <w:p w14:paraId="295A370C" w14:textId="77777777" w:rsidR="00383D59" w:rsidRPr="00616B65" w:rsidRDefault="00383D59" w:rsidP="00C31FAA">
            <w:pPr>
              <w:pStyle w:val="TableParagraph"/>
              <w:spacing w:line="244" w:lineRule="exact"/>
              <w:ind w:left="104"/>
              <w:rPr>
                <w:lang w:val="sr-Latn-ME"/>
              </w:rPr>
            </w:pPr>
            <w:r w:rsidRPr="00616B65">
              <w:rPr>
                <w:lang w:val="sr-Latn-ME"/>
              </w:rPr>
              <w:t>0,43</w:t>
            </w:r>
          </w:p>
          <w:p w14:paraId="04FE9331" w14:textId="77777777" w:rsidR="00383D59" w:rsidRPr="00616B65" w:rsidRDefault="00383D59" w:rsidP="00C31FAA">
            <w:pPr>
              <w:pStyle w:val="TableParagraph"/>
              <w:spacing w:before="1" w:line="240" w:lineRule="auto"/>
              <w:ind w:left="104"/>
              <w:rPr>
                <w:lang w:val="sr-Latn-ME"/>
              </w:rPr>
            </w:pPr>
            <w:r w:rsidRPr="00616B65">
              <w:rPr>
                <w:lang w:val="sr-Latn-ME"/>
              </w:rPr>
              <w:t>(0,30,</w:t>
            </w:r>
            <w:r w:rsidRPr="00616B65">
              <w:rPr>
                <w:spacing w:val="1"/>
                <w:lang w:val="sr-Latn-ME"/>
              </w:rPr>
              <w:t xml:space="preserve"> </w:t>
            </w:r>
            <w:r w:rsidRPr="00616B65">
              <w:rPr>
                <w:lang w:val="sr-Latn-ME"/>
              </w:rPr>
              <w:t>0,61)</w:t>
            </w:r>
          </w:p>
        </w:tc>
        <w:tc>
          <w:tcPr>
            <w:tcW w:w="1440" w:type="dxa"/>
          </w:tcPr>
          <w:p w14:paraId="35616B62" w14:textId="77777777" w:rsidR="00383D59" w:rsidRPr="00616B65" w:rsidRDefault="00383D59" w:rsidP="00C31FAA">
            <w:pPr>
              <w:pStyle w:val="TableParagraph"/>
              <w:spacing w:line="244" w:lineRule="exact"/>
              <w:ind w:left="109"/>
              <w:rPr>
                <w:lang w:val="sr-Latn-ME"/>
              </w:rPr>
            </w:pPr>
            <w:r w:rsidRPr="00616B65">
              <w:rPr>
                <w:lang w:val="sr-Latn-ME"/>
              </w:rPr>
              <w:t>0,59</w:t>
            </w:r>
          </w:p>
          <w:p w14:paraId="75616B5C" w14:textId="77777777" w:rsidR="00383D59" w:rsidRPr="00616B65" w:rsidRDefault="00383D59" w:rsidP="00C31FAA">
            <w:pPr>
              <w:pStyle w:val="TableParagraph"/>
              <w:spacing w:before="1" w:line="240" w:lineRule="auto"/>
              <w:ind w:left="109"/>
              <w:rPr>
                <w:lang w:val="sr-Latn-ME"/>
              </w:rPr>
            </w:pPr>
            <w:r w:rsidRPr="00616B65">
              <w:rPr>
                <w:lang w:val="sr-Latn-ME"/>
              </w:rPr>
              <w:t>(0,42,</w:t>
            </w:r>
            <w:r w:rsidRPr="00616B65">
              <w:rPr>
                <w:spacing w:val="1"/>
                <w:lang w:val="sr-Latn-ME"/>
              </w:rPr>
              <w:t xml:space="preserve"> </w:t>
            </w:r>
            <w:r w:rsidRPr="00616B65">
              <w:rPr>
                <w:lang w:val="sr-Latn-ME"/>
              </w:rPr>
              <w:t>0,82)</w:t>
            </w:r>
          </w:p>
        </w:tc>
      </w:tr>
    </w:tbl>
    <w:p w14:paraId="64258897" w14:textId="14041A55" w:rsidR="000D33C9" w:rsidRPr="00616B65" w:rsidRDefault="000D33C9" w:rsidP="00C31FAA">
      <w:pPr>
        <w:pStyle w:val="BodyText"/>
        <w:spacing w:line="242" w:lineRule="exact"/>
        <w:ind w:left="0"/>
        <w:jc w:val="both"/>
        <w:rPr>
          <w:lang w:val="sr-Latn-ME"/>
        </w:rPr>
      </w:pPr>
      <w:r w:rsidRPr="00616B65">
        <w:rPr>
          <w:vertAlign w:val="superscript"/>
          <w:lang w:val="sr-Latn-ME"/>
        </w:rPr>
        <w:t>a</w:t>
      </w:r>
      <w:r w:rsidRPr="00616B65">
        <w:rPr>
          <w:lang w:val="sr-Latn-ME"/>
        </w:rPr>
        <w:t>Sve</w:t>
      </w:r>
      <w:r w:rsidRPr="00616B65">
        <w:rPr>
          <w:spacing w:val="-2"/>
          <w:lang w:val="sr-Latn-ME"/>
        </w:rPr>
        <w:t xml:space="preserve"> </w:t>
      </w:r>
      <w:r w:rsidRPr="00616B65">
        <w:rPr>
          <w:lang w:val="sr-Latn-ME"/>
        </w:rPr>
        <w:t>analize</w:t>
      </w:r>
      <w:r w:rsidRPr="00616B65">
        <w:rPr>
          <w:spacing w:val="10"/>
          <w:lang w:val="sr-Latn-ME"/>
        </w:rPr>
        <w:t xml:space="preserve"> </w:t>
      </w:r>
      <w:r w:rsidRPr="00616B65">
        <w:rPr>
          <w:lang w:val="sr-Latn-ME"/>
        </w:rPr>
        <w:t>kliničkih</w:t>
      </w:r>
      <w:r w:rsidRPr="00616B65">
        <w:rPr>
          <w:spacing w:val="5"/>
          <w:lang w:val="sr-Latn-ME"/>
        </w:rPr>
        <w:t xml:space="preserve"> </w:t>
      </w:r>
      <w:r w:rsidRPr="00616B65">
        <w:rPr>
          <w:lang w:val="sr-Latn-ME"/>
        </w:rPr>
        <w:t>parametara</w:t>
      </w:r>
      <w:r w:rsidRPr="00616B65">
        <w:rPr>
          <w:spacing w:val="-3"/>
          <w:lang w:val="sr-Latn-ME"/>
        </w:rPr>
        <w:t xml:space="preserve"> </w:t>
      </w:r>
      <w:r w:rsidRPr="00616B65">
        <w:rPr>
          <w:lang w:val="sr-Latn-ME"/>
        </w:rPr>
        <w:t>praćenja</w:t>
      </w:r>
      <w:r w:rsidRPr="00616B65">
        <w:rPr>
          <w:spacing w:val="8"/>
          <w:lang w:val="sr-Latn-ME"/>
        </w:rPr>
        <w:t xml:space="preserve"> </w:t>
      </w:r>
      <w:r w:rsidRPr="00616B65">
        <w:rPr>
          <w:lang w:val="sr-Latn-ME"/>
        </w:rPr>
        <w:t>su</w:t>
      </w:r>
      <w:r w:rsidRPr="00616B65">
        <w:rPr>
          <w:spacing w:val="-2"/>
          <w:lang w:val="sr-Latn-ME"/>
        </w:rPr>
        <w:t xml:space="preserve"> </w:t>
      </w:r>
      <w:r w:rsidRPr="00616B65">
        <w:rPr>
          <w:lang w:val="sr-Latn-ME"/>
        </w:rPr>
        <w:t>bile</w:t>
      </w:r>
      <w:r w:rsidRPr="00616B65">
        <w:rPr>
          <w:spacing w:val="10"/>
          <w:lang w:val="sr-Latn-ME"/>
        </w:rPr>
        <w:t xml:space="preserve"> </w:t>
      </w:r>
      <w:r w:rsidRPr="00616B65">
        <w:rPr>
          <w:lang w:val="sr-Latn-ME"/>
        </w:rPr>
        <w:t>na</w:t>
      </w:r>
      <w:r w:rsidRPr="00616B65">
        <w:rPr>
          <w:spacing w:val="-2"/>
          <w:lang w:val="sr-Latn-ME"/>
        </w:rPr>
        <w:t xml:space="preserve"> </w:t>
      </w:r>
      <w:r w:rsidRPr="00616B65">
        <w:rPr>
          <w:lang w:val="sr-Latn-ME"/>
        </w:rPr>
        <w:t>populaciji</w:t>
      </w:r>
      <w:r w:rsidRPr="00616B65">
        <w:rPr>
          <w:spacing w:val="5"/>
          <w:lang w:val="sr-Latn-ME"/>
        </w:rPr>
        <w:t xml:space="preserve"> </w:t>
      </w:r>
      <w:r w:rsidRPr="00616B65">
        <w:rPr>
          <w:lang w:val="sr-Latn-ME"/>
        </w:rPr>
        <w:t>predviđenoj</w:t>
      </w:r>
      <w:r w:rsidRPr="00616B65">
        <w:rPr>
          <w:spacing w:val="1"/>
          <w:lang w:val="sr-Latn-ME"/>
        </w:rPr>
        <w:t xml:space="preserve"> </w:t>
      </w:r>
      <w:r w:rsidRPr="00616B65">
        <w:rPr>
          <w:lang w:val="sr-Latn-ME"/>
        </w:rPr>
        <w:t>za</w:t>
      </w:r>
      <w:r w:rsidRPr="00616B65">
        <w:rPr>
          <w:spacing w:val="9"/>
          <w:lang w:val="sr-Latn-ME"/>
        </w:rPr>
        <w:t xml:space="preserve"> </w:t>
      </w:r>
      <w:r w:rsidRPr="00616B65">
        <w:rPr>
          <w:lang w:val="sr-Latn-ME"/>
        </w:rPr>
        <w:t>liječenje</w:t>
      </w:r>
      <w:r w:rsidRPr="00616B65">
        <w:rPr>
          <w:spacing w:val="-2"/>
          <w:lang w:val="sr-Latn-ME"/>
        </w:rPr>
        <w:t xml:space="preserve"> </w:t>
      </w:r>
      <w:r w:rsidRPr="00616B65">
        <w:rPr>
          <w:lang w:val="sr-Latn-ME"/>
        </w:rPr>
        <w:t>(engl.</w:t>
      </w:r>
      <w:r w:rsidRPr="00616B65">
        <w:rPr>
          <w:spacing w:val="-1"/>
          <w:lang w:val="sr-Latn-ME"/>
        </w:rPr>
        <w:t xml:space="preserve"> </w:t>
      </w:r>
      <w:r w:rsidRPr="00616B65">
        <w:rPr>
          <w:i/>
          <w:lang w:val="sr-Latn-ME"/>
        </w:rPr>
        <w:t>intent-to-treat</w:t>
      </w:r>
      <w:r w:rsidRPr="00616B65">
        <w:rPr>
          <w:lang w:val="sr-Latn-ME"/>
        </w:rPr>
        <w:t>);</w:t>
      </w:r>
    </w:p>
    <w:p w14:paraId="0EF5FD99" w14:textId="77777777" w:rsidR="000D33C9" w:rsidRPr="00616B65" w:rsidRDefault="000D33C9" w:rsidP="0023493E">
      <w:pPr>
        <w:pStyle w:val="BodyText"/>
        <w:spacing w:line="251" w:lineRule="exact"/>
        <w:ind w:left="0"/>
        <w:jc w:val="both"/>
        <w:rPr>
          <w:lang w:val="sr-Latn-ME"/>
        </w:rPr>
      </w:pPr>
      <w:r w:rsidRPr="00616B65">
        <w:rPr>
          <w:vertAlign w:val="superscript"/>
          <w:lang w:val="sr-Latn-ME"/>
        </w:rPr>
        <w:t>b</w:t>
      </w:r>
      <w:r w:rsidRPr="00616B65">
        <w:rPr>
          <w:lang w:val="sr-Latn-ME"/>
        </w:rPr>
        <w:t>MR</w:t>
      </w:r>
      <w:r w:rsidRPr="00616B65">
        <w:rPr>
          <w:spacing w:val="-4"/>
          <w:lang w:val="sr-Latn-ME"/>
        </w:rPr>
        <w:t xml:space="preserve"> </w:t>
      </w:r>
      <w:r w:rsidRPr="00616B65">
        <w:rPr>
          <w:lang w:val="sr-Latn-ME"/>
        </w:rPr>
        <w:t>analiza</w:t>
      </w:r>
      <w:r w:rsidRPr="00616B65">
        <w:rPr>
          <w:spacing w:val="-4"/>
          <w:lang w:val="sr-Latn-ME"/>
        </w:rPr>
        <w:t xml:space="preserve"> </w:t>
      </w:r>
      <w:r w:rsidRPr="00616B65">
        <w:rPr>
          <w:lang w:val="sr-Latn-ME"/>
        </w:rPr>
        <w:t>je</w:t>
      </w:r>
      <w:r w:rsidRPr="00616B65">
        <w:rPr>
          <w:spacing w:val="-3"/>
          <w:lang w:val="sr-Latn-ME"/>
        </w:rPr>
        <w:t xml:space="preserve"> </w:t>
      </w:r>
      <w:r w:rsidRPr="00616B65">
        <w:rPr>
          <w:lang w:val="sr-Latn-ME"/>
        </w:rPr>
        <w:t>koristila</w:t>
      </w:r>
      <w:r w:rsidRPr="00616B65">
        <w:rPr>
          <w:spacing w:val="-4"/>
          <w:lang w:val="sr-Latn-ME"/>
        </w:rPr>
        <w:t xml:space="preserve"> </w:t>
      </w:r>
      <w:r w:rsidRPr="00616B65">
        <w:rPr>
          <w:lang w:val="sr-Latn-ME"/>
        </w:rPr>
        <w:t>MR</w:t>
      </w:r>
      <w:r w:rsidRPr="00616B65">
        <w:rPr>
          <w:spacing w:val="-3"/>
          <w:lang w:val="sr-Latn-ME"/>
        </w:rPr>
        <w:t xml:space="preserve"> </w:t>
      </w:r>
      <w:r w:rsidRPr="00616B65">
        <w:rPr>
          <w:lang w:val="sr-Latn-ME"/>
        </w:rPr>
        <w:t>kohortu</w:t>
      </w:r>
    </w:p>
    <w:p w14:paraId="0E0E89E9" w14:textId="3099AA9C" w:rsidR="000D33C9" w:rsidRPr="00616B65" w:rsidRDefault="000D33C9" w:rsidP="0023493E">
      <w:pPr>
        <w:pStyle w:val="BodyText"/>
        <w:spacing w:before="65"/>
        <w:ind w:left="0"/>
        <w:jc w:val="both"/>
        <w:rPr>
          <w:lang w:val="sr-Latn-ME"/>
        </w:rPr>
      </w:pPr>
      <w:r w:rsidRPr="00616B65">
        <w:rPr>
          <w:lang w:val="sr-Latn-ME"/>
        </w:rPr>
        <w:lastRenderedPageBreak/>
        <w:t>*P-vrijednost</w:t>
      </w:r>
      <w:r w:rsidRPr="00616B65">
        <w:rPr>
          <w:spacing w:val="-4"/>
          <w:lang w:val="sr-Latn-ME"/>
        </w:rPr>
        <w:t xml:space="preserve"> </w:t>
      </w:r>
      <w:r w:rsidRPr="00616B65">
        <w:rPr>
          <w:lang w:val="sr-Latn-ME"/>
        </w:rPr>
        <w:t>&lt;</w:t>
      </w:r>
      <w:r w:rsidRPr="00616B65">
        <w:rPr>
          <w:spacing w:val="-3"/>
          <w:lang w:val="sr-Latn-ME"/>
        </w:rPr>
        <w:t xml:space="preserve"> </w:t>
      </w:r>
      <w:r w:rsidRPr="00616B65">
        <w:rPr>
          <w:lang w:val="sr-Latn-ME"/>
        </w:rPr>
        <w:t>0,05;</w:t>
      </w:r>
      <w:r w:rsidRPr="00616B65">
        <w:rPr>
          <w:spacing w:val="-4"/>
          <w:lang w:val="sr-Latn-ME"/>
        </w:rPr>
        <w:t xml:space="preserve"> </w:t>
      </w:r>
      <w:r w:rsidRPr="00616B65">
        <w:rPr>
          <w:lang w:val="sr-Latn-ME"/>
        </w:rPr>
        <w:t>**P-vrijednost</w:t>
      </w:r>
      <w:r w:rsidRPr="00616B65">
        <w:rPr>
          <w:spacing w:val="-3"/>
          <w:lang w:val="sr-Latn-ME"/>
        </w:rPr>
        <w:t xml:space="preserve"> </w:t>
      </w:r>
      <w:r w:rsidRPr="00616B65">
        <w:rPr>
          <w:lang w:val="sr-Latn-ME"/>
        </w:rPr>
        <w:t>&lt;</w:t>
      </w:r>
      <w:r w:rsidRPr="00616B65">
        <w:rPr>
          <w:spacing w:val="-3"/>
          <w:lang w:val="sr-Latn-ME"/>
        </w:rPr>
        <w:t xml:space="preserve"> </w:t>
      </w:r>
      <w:r w:rsidRPr="00616B65">
        <w:rPr>
          <w:lang w:val="sr-Latn-ME"/>
        </w:rPr>
        <w:t>0,01;</w:t>
      </w:r>
      <w:r w:rsidRPr="00616B65">
        <w:rPr>
          <w:spacing w:val="-4"/>
          <w:lang w:val="sr-Latn-ME"/>
        </w:rPr>
        <w:t xml:space="preserve"> </w:t>
      </w:r>
      <w:r w:rsidRPr="00616B65">
        <w:rPr>
          <w:lang w:val="sr-Latn-ME"/>
        </w:rPr>
        <w:t>***P-vr</w:t>
      </w:r>
      <w:r w:rsidR="00231CB4" w:rsidRPr="00616B65">
        <w:rPr>
          <w:lang w:val="sr-Latn-ME"/>
        </w:rPr>
        <w:t>ij</w:t>
      </w:r>
      <w:r w:rsidRPr="00616B65">
        <w:rPr>
          <w:lang w:val="sr-Latn-ME"/>
        </w:rPr>
        <w:t>ednost</w:t>
      </w:r>
      <w:r w:rsidRPr="00616B65">
        <w:rPr>
          <w:spacing w:val="-2"/>
          <w:lang w:val="sr-Latn-ME"/>
        </w:rPr>
        <w:t xml:space="preserve"> </w:t>
      </w:r>
      <w:r w:rsidRPr="00616B65">
        <w:rPr>
          <w:lang w:val="sr-Latn-ME"/>
        </w:rPr>
        <w:t>&lt;</w:t>
      </w:r>
      <w:r w:rsidRPr="00616B65">
        <w:rPr>
          <w:spacing w:val="-2"/>
          <w:lang w:val="sr-Latn-ME"/>
        </w:rPr>
        <w:t xml:space="preserve"> </w:t>
      </w:r>
      <w:r w:rsidRPr="00616B65">
        <w:rPr>
          <w:lang w:val="sr-Latn-ME"/>
        </w:rPr>
        <w:t>0,0001;</w:t>
      </w:r>
      <w:r w:rsidRPr="00616B65">
        <w:rPr>
          <w:spacing w:val="-3"/>
          <w:lang w:val="sr-Latn-ME"/>
        </w:rPr>
        <w:t xml:space="preserve"> </w:t>
      </w:r>
      <w:r w:rsidRPr="00616B65">
        <w:rPr>
          <w:lang w:val="sr-Latn-ME"/>
        </w:rPr>
        <w:t>#nema</w:t>
      </w:r>
      <w:r w:rsidRPr="00616B65">
        <w:rPr>
          <w:spacing w:val="-2"/>
          <w:lang w:val="sr-Latn-ME"/>
        </w:rPr>
        <w:t xml:space="preserve"> </w:t>
      </w:r>
      <w:r w:rsidRPr="00616B65">
        <w:rPr>
          <w:lang w:val="sr-Latn-ME"/>
        </w:rPr>
        <w:t>statističkog</w:t>
      </w:r>
      <w:r w:rsidRPr="00616B65">
        <w:rPr>
          <w:spacing w:val="-3"/>
          <w:lang w:val="sr-Latn-ME"/>
        </w:rPr>
        <w:t xml:space="preserve"> </w:t>
      </w:r>
      <w:r w:rsidRPr="00616B65">
        <w:rPr>
          <w:lang w:val="sr-Latn-ME"/>
        </w:rPr>
        <w:t>značaja</w:t>
      </w:r>
    </w:p>
    <w:p w14:paraId="732CA8C9" w14:textId="77777777" w:rsidR="000D33C9" w:rsidRPr="00616B65" w:rsidRDefault="000D33C9" w:rsidP="005A340E">
      <w:pPr>
        <w:tabs>
          <w:tab w:val="left" w:pos="540"/>
          <w:tab w:val="left" w:pos="569"/>
        </w:tabs>
        <w:jc w:val="both"/>
        <w:rPr>
          <w:b/>
          <w:bCs/>
          <w:sz w:val="22"/>
          <w:szCs w:val="22"/>
          <w:lang w:val="sr-Latn-ME"/>
        </w:rPr>
      </w:pPr>
    </w:p>
    <w:p w14:paraId="435C8B9E" w14:textId="14D14458" w:rsidR="000D33C9" w:rsidRPr="00616B65" w:rsidRDefault="000D33C9" w:rsidP="00C31FAA">
      <w:pPr>
        <w:tabs>
          <w:tab w:val="left" w:pos="540"/>
          <w:tab w:val="left" w:pos="569"/>
        </w:tabs>
        <w:jc w:val="both"/>
        <w:rPr>
          <w:sz w:val="22"/>
          <w:szCs w:val="22"/>
          <w:lang w:val="sr-Latn-ME"/>
        </w:rPr>
      </w:pPr>
      <w:r w:rsidRPr="00616B65">
        <w:rPr>
          <w:sz w:val="22"/>
          <w:szCs w:val="22"/>
          <w:lang w:val="sr-Latn-ME"/>
        </w:rPr>
        <w:t>1736 izabranih pacijenata RRMS-om iz pivot</w:t>
      </w:r>
      <w:r w:rsidR="00D227EB" w:rsidRPr="00616B65">
        <w:rPr>
          <w:sz w:val="22"/>
          <w:szCs w:val="22"/>
          <w:lang w:val="sr-Latn-ME"/>
        </w:rPr>
        <w:t>alne</w:t>
      </w:r>
      <w:r w:rsidRPr="00616B65">
        <w:rPr>
          <w:sz w:val="22"/>
          <w:szCs w:val="22"/>
          <w:lang w:val="sr-Latn-ME"/>
        </w:rPr>
        <w:t xml:space="preserve"> studija (DEFINE i CONFIRM) uključeno je u otvoreni, nekontrolisani nastavak ispitivanja u trajanju od 8 godina (ENDORSE). Primarni cilj ispitivanja bio je procjena dugo</w:t>
      </w:r>
      <w:r w:rsidR="00D227EB" w:rsidRPr="00616B65">
        <w:rPr>
          <w:sz w:val="22"/>
          <w:szCs w:val="22"/>
          <w:lang w:val="sr-Latn-ME"/>
        </w:rPr>
        <w:t>trajne</w:t>
      </w:r>
      <w:r w:rsidRPr="00616B65">
        <w:rPr>
          <w:sz w:val="22"/>
          <w:szCs w:val="22"/>
          <w:lang w:val="sr-Latn-ME"/>
        </w:rPr>
        <w:t xml:space="preserve"> bezbjednosti </w:t>
      </w:r>
      <w:r w:rsidR="002635CF" w:rsidRPr="00616B65">
        <w:rPr>
          <w:sz w:val="22"/>
          <w:szCs w:val="22"/>
          <w:lang w:val="sr-Latn-ME"/>
        </w:rPr>
        <w:t>dimetil fumarat</w:t>
      </w:r>
      <w:r w:rsidRPr="00616B65">
        <w:rPr>
          <w:sz w:val="22"/>
          <w:szCs w:val="22"/>
          <w:lang w:val="sr-Latn-ME"/>
        </w:rPr>
        <w:t xml:space="preserve">a kod pacijenata s RRMS-om. Od 1736 pacijenata prosječno je polovina njih (909, 52%) bilo liječeno 6 godina ili duže. 501 pacijent je kontinuirano kroz sva 3 ispitivanja liječen </w:t>
      </w:r>
      <w:r w:rsidR="002635CF" w:rsidRPr="00616B65">
        <w:rPr>
          <w:sz w:val="22"/>
          <w:szCs w:val="22"/>
          <w:lang w:val="sr-Latn-ME"/>
        </w:rPr>
        <w:t>dimetil fumarat</w:t>
      </w:r>
      <w:r w:rsidRPr="00616B65">
        <w:rPr>
          <w:sz w:val="22"/>
          <w:szCs w:val="22"/>
          <w:lang w:val="sr-Latn-ME"/>
        </w:rPr>
        <w:t xml:space="preserve">om 240 mg dva puta na dan, dok je 249 pacijenata, koji su prethodno u studijama DEFINE i CONFIRM primali placebo, u ispitivanju ENDORSE primalo terapiju 240 mg dva puta na dan. Pacijenti koji su kontinuirano primali terapiju dva puta dnevno liječeni su do 12 godina. </w:t>
      </w:r>
    </w:p>
    <w:p w14:paraId="50650BEE" w14:textId="77777777" w:rsidR="000D33C9" w:rsidRPr="00616B65" w:rsidRDefault="000D33C9" w:rsidP="0023493E">
      <w:pPr>
        <w:tabs>
          <w:tab w:val="left" w:pos="540"/>
          <w:tab w:val="left" w:pos="569"/>
        </w:tabs>
        <w:jc w:val="both"/>
        <w:rPr>
          <w:sz w:val="22"/>
          <w:szCs w:val="22"/>
          <w:lang w:val="sr-Latn-ME"/>
        </w:rPr>
      </w:pPr>
    </w:p>
    <w:p w14:paraId="4F879A01" w14:textId="399A9A02" w:rsidR="000D33C9" w:rsidRPr="00616B65" w:rsidRDefault="000D33C9">
      <w:pPr>
        <w:tabs>
          <w:tab w:val="left" w:pos="540"/>
          <w:tab w:val="left" w:pos="569"/>
        </w:tabs>
        <w:jc w:val="both"/>
        <w:rPr>
          <w:sz w:val="22"/>
          <w:szCs w:val="22"/>
          <w:lang w:val="sr-Latn-ME"/>
        </w:rPr>
      </w:pPr>
      <w:r w:rsidRPr="00616B65">
        <w:rPr>
          <w:sz w:val="22"/>
          <w:szCs w:val="22"/>
          <w:lang w:val="sr-Latn-ME"/>
        </w:rPr>
        <w:t xml:space="preserve">Tokom ENDORSE studije, više od polovine pacijenata liječenih </w:t>
      </w:r>
      <w:r w:rsidR="002635CF" w:rsidRPr="00616B65">
        <w:rPr>
          <w:sz w:val="22"/>
          <w:szCs w:val="22"/>
          <w:lang w:val="sr-Latn-ME"/>
        </w:rPr>
        <w:t>dimetil fumarat</w:t>
      </w:r>
      <w:r w:rsidRPr="00616B65">
        <w:rPr>
          <w:sz w:val="22"/>
          <w:szCs w:val="22"/>
          <w:lang w:val="sr-Latn-ME"/>
        </w:rPr>
        <w:t>om 240 mg dva puta na dan nije imalo relaps. Kod pacijenata, kontinuirano liječenih dva puta dnevno kroz 3 ispitivanja, prilagođena godišnja stopa relapsa je bila 0,187 (95% CI: 0,156; 0,244) u studijama DEFINE i CONFIRM i 0,141 (95% CI: 0,119; 0,167) u studiji ENDORSE. Kod pacijenata, koji su prethodno primali placebo, prilagođena godišnja stopa relapsa je smanjena s 0,330 (95% CI: 0,266; 0,408) u studijama DEFINE i CONFIRM na 0,149 (95% CI: 0,116; 0,190) u studiji ENDORSEU.</w:t>
      </w:r>
    </w:p>
    <w:p w14:paraId="202BEB76" w14:textId="77777777" w:rsidR="000D33C9" w:rsidRPr="00616B65" w:rsidRDefault="000D33C9">
      <w:pPr>
        <w:tabs>
          <w:tab w:val="left" w:pos="540"/>
          <w:tab w:val="left" w:pos="569"/>
        </w:tabs>
        <w:jc w:val="both"/>
        <w:rPr>
          <w:sz w:val="22"/>
          <w:szCs w:val="22"/>
          <w:lang w:val="sr-Latn-ME"/>
        </w:rPr>
      </w:pPr>
    </w:p>
    <w:p w14:paraId="4FF4D233" w14:textId="7B130ED2" w:rsidR="000D33C9" w:rsidRPr="00616B65" w:rsidRDefault="000D33C9">
      <w:pPr>
        <w:tabs>
          <w:tab w:val="left" w:pos="540"/>
          <w:tab w:val="left" w:pos="569"/>
        </w:tabs>
        <w:jc w:val="both"/>
        <w:rPr>
          <w:sz w:val="22"/>
          <w:szCs w:val="22"/>
          <w:lang w:val="sr-Latn-ME"/>
        </w:rPr>
      </w:pPr>
      <w:r w:rsidRPr="00616B65">
        <w:rPr>
          <w:sz w:val="22"/>
          <w:szCs w:val="22"/>
          <w:lang w:val="sr-Latn-ME"/>
        </w:rPr>
        <w:t xml:space="preserve">U studiji ENDORSE, većina pacijenata (&gt; 75%) nije imala potvrđenu progresiju onesposobljenosti </w:t>
      </w:r>
      <w:r w:rsidR="00231CB4" w:rsidRPr="00616B65">
        <w:rPr>
          <w:sz w:val="22"/>
          <w:szCs w:val="22"/>
          <w:lang w:val="sr-Latn-ME"/>
        </w:rPr>
        <w:t>(mjerenu kao šestomjesečna kontinuirana progresija onesposobljenosti)</w:t>
      </w:r>
      <w:r w:rsidRPr="00616B65">
        <w:rPr>
          <w:sz w:val="22"/>
          <w:szCs w:val="22"/>
          <w:lang w:val="sr-Latn-ME"/>
        </w:rPr>
        <w:t xml:space="preserve">. Objedinjeni rezultati iz sva tri ispitivanja pokazuju da pacijenti liječeni </w:t>
      </w:r>
      <w:r w:rsidR="002635CF" w:rsidRPr="00616B65">
        <w:rPr>
          <w:sz w:val="22"/>
          <w:szCs w:val="22"/>
          <w:lang w:val="sr-Latn-ME"/>
        </w:rPr>
        <w:t>dimetil fumarat</w:t>
      </w:r>
      <w:r w:rsidRPr="00616B65">
        <w:rPr>
          <w:sz w:val="22"/>
          <w:szCs w:val="22"/>
          <w:lang w:val="sr-Latn-ME"/>
        </w:rPr>
        <w:t>om imaju dosl</w:t>
      </w:r>
      <w:r w:rsidR="00D227EB" w:rsidRPr="00616B65">
        <w:rPr>
          <w:sz w:val="22"/>
          <w:szCs w:val="22"/>
          <w:lang w:val="sr-Latn-ME"/>
        </w:rPr>
        <w:t>j</w:t>
      </w:r>
      <w:r w:rsidRPr="00616B65">
        <w:rPr>
          <w:sz w:val="22"/>
          <w:szCs w:val="22"/>
          <w:lang w:val="sr-Latn-ME"/>
        </w:rPr>
        <w:t>edne i niske stope potvrđene progresije onesposobljenosti uz blagi porast prosječnih EDSS bodova kroz cijelo ispitivanje ENDORSE. MR procjene do 6 godina, uključujući 752 pacijenta koji su prethodno u ispitivanjima DEFINE i CONFIRM bili uključeni u MR kohortu, pokazuju da većina pacijenata (otprilike 90%) nema Gd+ lezija. Tokom perioda od 6 godina, godišnje prilagođen prosječan broj novih ili novoproširenih T2 i novih T1 lezija ostaje nizak.</w:t>
      </w:r>
    </w:p>
    <w:p w14:paraId="7E30E18A" w14:textId="77777777" w:rsidR="000D33C9" w:rsidRPr="00616B65" w:rsidRDefault="000D33C9">
      <w:pPr>
        <w:tabs>
          <w:tab w:val="left" w:pos="540"/>
          <w:tab w:val="left" w:pos="569"/>
        </w:tabs>
        <w:jc w:val="both"/>
        <w:rPr>
          <w:sz w:val="22"/>
          <w:szCs w:val="22"/>
          <w:lang w:val="sr-Latn-ME"/>
        </w:rPr>
      </w:pPr>
    </w:p>
    <w:p w14:paraId="7E9C4016" w14:textId="252C9529" w:rsidR="000D33C9" w:rsidRPr="00616B65" w:rsidRDefault="000D33C9">
      <w:pPr>
        <w:tabs>
          <w:tab w:val="left" w:pos="540"/>
          <w:tab w:val="left" w:pos="569"/>
        </w:tabs>
        <w:jc w:val="both"/>
        <w:rPr>
          <w:sz w:val="22"/>
          <w:szCs w:val="22"/>
          <w:lang w:val="sr-Latn-ME"/>
        </w:rPr>
      </w:pPr>
      <w:r w:rsidRPr="00616B65">
        <w:rPr>
          <w:i/>
          <w:iCs/>
          <w:sz w:val="22"/>
          <w:szCs w:val="22"/>
          <w:lang w:val="sr-Latn-ME"/>
        </w:rPr>
        <w:t>Efikasnost kod pacijenata sa velikom aktivnošću bolesti:</w:t>
      </w:r>
    </w:p>
    <w:p w14:paraId="4B53994E" w14:textId="157C4CD5" w:rsidR="000D33C9" w:rsidRPr="00616B65" w:rsidRDefault="000D33C9">
      <w:pPr>
        <w:tabs>
          <w:tab w:val="left" w:pos="540"/>
          <w:tab w:val="left" w:pos="569"/>
        </w:tabs>
        <w:jc w:val="both"/>
        <w:rPr>
          <w:sz w:val="22"/>
          <w:szCs w:val="22"/>
          <w:lang w:val="sr-Latn-ME"/>
        </w:rPr>
      </w:pPr>
      <w:r w:rsidRPr="00616B65">
        <w:rPr>
          <w:sz w:val="22"/>
          <w:szCs w:val="22"/>
          <w:lang w:val="sr-Latn-ME"/>
        </w:rPr>
        <w:t>U studijama DEFINE i CONFIRM zab</w:t>
      </w:r>
      <w:r w:rsidR="00EC6808" w:rsidRPr="00616B65">
        <w:rPr>
          <w:sz w:val="22"/>
          <w:szCs w:val="22"/>
          <w:lang w:val="sr-Latn-ME"/>
        </w:rPr>
        <w:t>ilj</w:t>
      </w:r>
      <w:r w:rsidRPr="00616B65">
        <w:rPr>
          <w:sz w:val="22"/>
          <w:szCs w:val="22"/>
          <w:lang w:val="sr-Latn-ME"/>
        </w:rPr>
        <w:t>ežen je dosl</w:t>
      </w:r>
      <w:r w:rsidR="00D227EB" w:rsidRPr="00616B65">
        <w:rPr>
          <w:sz w:val="22"/>
          <w:szCs w:val="22"/>
          <w:lang w:val="sr-Latn-ME"/>
        </w:rPr>
        <w:t>j</w:t>
      </w:r>
      <w:r w:rsidRPr="00616B65">
        <w:rPr>
          <w:sz w:val="22"/>
          <w:szCs w:val="22"/>
          <w:lang w:val="sr-Latn-ME"/>
        </w:rPr>
        <w:t>edan efekat l</w:t>
      </w:r>
      <w:r w:rsidR="00EC6808" w:rsidRPr="00616B65">
        <w:rPr>
          <w:sz w:val="22"/>
          <w:szCs w:val="22"/>
          <w:lang w:val="sr-Latn-ME"/>
        </w:rPr>
        <w:t>ij</w:t>
      </w:r>
      <w:r w:rsidRPr="00616B65">
        <w:rPr>
          <w:sz w:val="22"/>
          <w:szCs w:val="22"/>
          <w:lang w:val="sr-Latn-ME"/>
        </w:rPr>
        <w:t>ečenja relapsa u podgrupi pacijenata sa visokom aktivnošću bolesti, dok efekat u periodu do 3 m</w:t>
      </w:r>
      <w:r w:rsidR="00EC6808" w:rsidRPr="00616B65">
        <w:rPr>
          <w:sz w:val="22"/>
          <w:szCs w:val="22"/>
          <w:lang w:val="sr-Latn-ME"/>
        </w:rPr>
        <w:t>j</w:t>
      </w:r>
      <w:r w:rsidRPr="00616B65">
        <w:rPr>
          <w:sz w:val="22"/>
          <w:szCs w:val="22"/>
          <w:lang w:val="sr-Latn-ME"/>
        </w:rPr>
        <w:t>eseca kontinuiranog napredovanja onesposobljenosti nije jasno utvrđen. Zbog dizajna ispitivanja, bolest s</w:t>
      </w:r>
      <w:r w:rsidR="00EC6808" w:rsidRPr="00616B65">
        <w:rPr>
          <w:sz w:val="22"/>
          <w:szCs w:val="22"/>
          <w:lang w:val="sr-Latn-ME"/>
        </w:rPr>
        <w:t>a</w:t>
      </w:r>
      <w:r w:rsidRPr="00616B65">
        <w:rPr>
          <w:sz w:val="22"/>
          <w:szCs w:val="22"/>
          <w:lang w:val="sr-Latn-ME"/>
        </w:rPr>
        <w:t xml:space="preserve"> visokom aktivnošću je definisana kako sl</w:t>
      </w:r>
      <w:r w:rsidR="00EC6808" w:rsidRPr="00616B65">
        <w:rPr>
          <w:sz w:val="22"/>
          <w:szCs w:val="22"/>
          <w:lang w:val="sr-Latn-ME"/>
        </w:rPr>
        <w:t>ij</w:t>
      </w:r>
      <w:r w:rsidRPr="00616B65">
        <w:rPr>
          <w:sz w:val="22"/>
          <w:szCs w:val="22"/>
          <w:lang w:val="sr-Latn-ME"/>
        </w:rPr>
        <w:t>edi:</w:t>
      </w:r>
    </w:p>
    <w:p w14:paraId="612D355A" w14:textId="6AF8FA0A" w:rsidR="000D33C9" w:rsidRPr="00616B65" w:rsidRDefault="000D33C9">
      <w:pPr>
        <w:tabs>
          <w:tab w:val="left" w:pos="540"/>
          <w:tab w:val="left" w:pos="569"/>
        </w:tabs>
        <w:jc w:val="both"/>
        <w:rPr>
          <w:sz w:val="22"/>
          <w:szCs w:val="22"/>
          <w:lang w:val="sr-Latn-ME"/>
        </w:rPr>
      </w:pPr>
      <w:r w:rsidRPr="00616B65">
        <w:rPr>
          <w:sz w:val="22"/>
          <w:szCs w:val="22"/>
          <w:lang w:val="sr-Latn-ME"/>
        </w:rPr>
        <w:t>- Pacijenti sa 2 ili više relapsa u jednoj godini i s jednom ili više Gd-pozitivnih lezija na mozgu ustanovljeno snimanjem MR</w:t>
      </w:r>
      <w:r w:rsidR="00D227EB" w:rsidRPr="00616B65">
        <w:rPr>
          <w:sz w:val="22"/>
          <w:szCs w:val="22"/>
          <w:lang w:val="sr-Latn-ME"/>
        </w:rPr>
        <w:t xml:space="preserve"> </w:t>
      </w:r>
      <w:r w:rsidRPr="00616B65">
        <w:rPr>
          <w:sz w:val="22"/>
          <w:szCs w:val="22"/>
          <w:lang w:val="sr-Latn-ME"/>
        </w:rPr>
        <w:t>(n=42 u DEFINE; n=51 u CONFIRM) ili,</w:t>
      </w:r>
    </w:p>
    <w:p w14:paraId="1E64ACBE" w14:textId="5EC0561B" w:rsidR="000D33C9" w:rsidRPr="00616B65" w:rsidRDefault="000D33C9">
      <w:pPr>
        <w:tabs>
          <w:tab w:val="left" w:pos="540"/>
          <w:tab w:val="left" w:pos="569"/>
        </w:tabs>
        <w:jc w:val="both"/>
        <w:rPr>
          <w:sz w:val="22"/>
          <w:szCs w:val="22"/>
          <w:lang w:val="sr-Latn-ME"/>
        </w:rPr>
      </w:pPr>
      <w:r w:rsidRPr="00616B65">
        <w:rPr>
          <w:sz w:val="22"/>
          <w:szCs w:val="22"/>
          <w:lang w:val="sr-Latn-ME"/>
        </w:rPr>
        <w:t>- Pacijenti koji ni</w:t>
      </w:r>
      <w:r w:rsidR="00D227EB" w:rsidRPr="00616B65">
        <w:rPr>
          <w:sz w:val="22"/>
          <w:szCs w:val="22"/>
          <w:lang w:val="sr-Latn-ME"/>
        </w:rPr>
        <w:t>je</w:t>
      </w:r>
      <w:r w:rsidRPr="00616B65">
        <w:rPr>
          <w:sz w:val="22"/>
          <w:szCs w:val="22"/>
          <w:lang w:val="sr-Latn-ME"/>
        </w:rPr>
        <w:t>su imali odgovor na potpuno i odgovarajuće l</w:t>
      </w:r>
      <w:r w:rsidR="00EC6808" w:rsidRPr="00616B65">
        <w:rPr>
          <w:sz w:val="22"/>
          <w:szCs w:val="22"/>
          <w:lang w:val="sr-Latn-ME"/>
        </w:rPr>
        <w:t>ij</w:t>
      </w:r>
      <w:r w:rsidRPr="00616B65">
        <w:rPr>
          <w:sz w:val="22"/>
          <w:szCs w:val="22"/>
          <w:lang w:val="sr-Latn-ME"/>
        </w:rPr>
        <w:t>ečenje (barem godinu dana l</w:t>
      </w:r>
      <w:r w:rsidR="00EC6808" w:rsidRPr="00616B65">
        <w:rPr>
          <w:sz w:val="22"/>
          <w:szCs w:val="22"/>
          <w:lang w:val="sr-Latn-ME"/>
        </w:rPr>
        <w:t>ij</w:t>
      </w:r>
      <w:r w:rsidRPr="00616B65">
        <w:rPr>
          <w:sz w:val="22"/>
          <w:szCs w:val="22"/>
          <w:lang w:val="sr-Latn-ME"/>
        </w:rPr>
        <w:t xml:space="preserve">ečenja) beta-interferonom, nakon što su imali barem 1 relaps u prethodnoj godini dok su bili na terapiji, i najmanje 9 T2-hiperintenzivnih lezija u kranijalnoj MR ili barem 1 Gd-pozitivnu leziju ili </w:t>
      </w:r>
      <w:r w:rsidR="00D227EB" w:rsidRPr="00616B65">
        <w:rPr>
          <w:sz w:val="22"/>
          <w:szCs w:val="22"/>
          <w:lang w:val="sr-Latn-ME"/>
        </w:rPr>
        <w:t xml:space="preserve">pacijenti </w:t>
      </w:r>
      <w:r w:rsidRPr="00616B65">
        <w:rPr>
          <w:sz w:val="22"/>
          <w:szCs w:val="22"/>
          <w:lang w:val="sr-Latn-ME"/>
        </w:rPr>
        <w:t>s</w:t>
      </w:r>
      <w:r w:rsidR="004412C0" w:rsidRPr="00616B65">
        <w:rPr>
          <w:sz w:val="22"/>
          <w:szCs w:val="22"/>
          <w:lang w:val="sr-Latn-ME"/>
        </w:rPr>
        <w:t>a</w:t>
      </w:r>
      <w:r w:rsidRPr="00616B65">
        <w:rPr>
          <w:sz w:val="22"/>
          <w:szCs w:val="22"/>
          <w:lang w:val="sr-Latn-ME"/>
        </w:rPr>
        <w:t xml:space="preserve"> neprom</w:t>
      </w:r>
      <w:r w:rsidR="00D227EB" w:rsidRPr="00616B65">
        <w:rPr>
          <w:sz w:val="22"/>
          <w:szCs w:val="22"/>
          <w:lang w:val="sr-Latn-ME"/>
        </w:rPr>
        <w:t>ij</w:t>
      </w:r>
      <w:r w:rsidRPr="00616B65">
        <w:rPr>
          <w:sz w:val="22"/>
          <w:szCs w:val="22"/>
          <w:lang w:val="sr-Latn-ME"/>
        </w:rPr>
        <w:t>enjenom ili povećanom stopom relapsa u prethodnoj godini u poređenju sa prethodne 2 godine (n=177 u DEFINE; n=141 u CONFIRM).</w:t>
      </w:r>
    </w:p>
    <w:p w14:paraId="1743AFD8" w14:textId="77777777" w:rsidR="000D33C9" w:rsidRPr="00616B65" w:rsidRDefault="000D33C9">
      <w:pPr>
        <w:tabs>
          <w:tab w:val="left" w:pos="540"/>
          <w:tab w:val="left" w:pos="569"/>
        </w:tabs>
        <w:jc w:val="both"/>
        <w:rPr>
          <w:sz w:val="22"/>
          <w:szCs w:val="22"/>
          <w:lang w:val="sr-Latn-ME"/>
        </w:rPr>
      </w:pPr>
    </w:p>
    <w:p w14:paraId="1ABDBB80" w14:textId="77777777" w:rsidR="000D33C9" w:rsidRPr="00616B65" w:rsidRDefault="000D33C9">
      <w:pPr>
        <w:tabs>
          <w:tab w:val="left" w:pos="540"/>
          <w:tab w:val="left" w:pos="569"/>
        </w:tabs>
        <w:jc w:val="both"/>
        <w:rPr>
          <w:sz w:val="22"/>
          <w:szCs w:val="22"/>
          <w:u w:val="single"/>
          <w:lang w:val="sr-Latn-ME"/>
        </w:rPr>
      </w:pPr>
      <w:r w:rsidRPr="00616B65">
        <w:rPr>
          <w:sz w:val="22"/>
          <w:szCs w:val="22"/>
          <w:u w:val="single"/>
          <w:lang w:val="sr-Latn-ME"/>
        </w:rPr>
        <w:t>Pedijatrijska populacija</w:t>
      </w:r>
    </w:p>
    <w:p w14:paraId="7BCEE2A8" w14:textId="77777777" w:rsidR="000D33C9" w:rsidRPr="00616B65" w:rsidRDefault="000D33C9">
      <w:pPr>
        <w:tabs>
          <w:tab w:val="left" w:pos="540"/>
          <w:tab w:val="left" w:pos="569"/>
        </w:tabs>
        <w:jc w:val="both"/>
        <w:rPr>
          <w:sz w:val="22"/>
          <w:szCs w:val="22"/>
          <w:lang w:val="sr-Latn-ME"/>
        </w:rPr>
      </w:pPr>
    </w:p>
    <w:p w14:paraId="4ADA39F9" w14:textId="2C03DDE6" w:rsidR="000D33C9" w:rsidRPr="00616B65" w:rsidRDefault="000D33C9">
      <w:pPr>
        <w:tabs>
          <w:tab w:val="left" w:pos="540"/>
          <w:tab w:val="left" w:pos="569"/>
        </w:tabs>
        <w:jc w:val="both"/>
        <w:rPr>
          <w:sz w:val="22"/>
          <w:szCs w:val="22"/>
          <w:lang w:val="sr-Latn-ME"/>
        </w:rPr>
      </w:pPr>
      <w:r w:rsidRPr="00616B65">
        <w:rPr>
          <w:sz w:val="22"/>
          <w:szCs w:val="22"/>
          <w:lang w:val="sr-Latn-ME"/>
        </w:rPr>
        <w:t>Bezb</w:t>
      </w:r>
      <w:r w:rsidR="00EC6808" w:rsidRPr="00616B65">
        <w:rPr>
          <w:sz w:val="22"/>
          <w:szCs w:val="22"/>
          <w:lang w:val="sr-Latn-ME"/>
        </w:rPr>
        <w:t>j</w:t>
      </w:r>
      <w:r w:rsidRPr="00616B65">
        <w:rPr>
          <w:sz w:val="22"/>
          <w:szCs w:val="22"/>
          <w:lang w:val="sr-Latn-ME"/>
        </w:rPr>
        <w:t xml:space="preserve">ednost i efikasnost </w:t>
      </w:r>
      <w:r w:rsidR="002635CF" w:rsidRPr="00616B65">
        <w:rPr>
          <w:sz w:val="22"/>
          <w:szCs w:val="22"/>
          <w:lang w:val="sr-Latn-ME"/>
        </w:rPr>
        <w:t>dimetil fumarat</w:t>
      </w:r>
      <w:r w:rsidRPr="00616B65">
        <w:rPr>
          <w:sz w:val="22"/>
          <w:szCs w:val="22"/>
          <w:lang w:val="sr-Latn-ME"/>
        </w:rPr>
        <w:t>a kod pedijatrijskih pacijenata sa RRMS-om proc</w:t>
      </w:r>
      <w:r w:rsidR="00EC6808" w:rsidRPr="00616B65">
        <w:rPr>
          <w:sz w:val="22"/>
          <w:szCs w:val="22"/>
          <w:lang w:val="sr-Latn-ME"/>
        </w:rPr>
        <w:t>ij</w:t>
      </w:r>
      <w:r w:rsidRPr="00616B65">
        <w:rPr>
          <w:sz w:val="22"/>
          <w:szCs w:val="22"/>
          <w:lang w:val="sr-Latn-ME"/>
        </w:rPr>
        <w:t>enjene su u randomiz</w:t>
      </w:r>
      <w:r w:rsidR="004412C0" w:rsidRPr="00616B65">
        <w:rPr>
          <w:sz w:val="22"/>
          <w:szCs w:val="22"/>
          <w:lang w:val="sr-Latn-ME"/>
        </w:rPr>
        <w:t>ova</w:t>
      </w:r>
      <w:r w:rsidRPr="00616B65">
        <w:rPr>
          <w:sz w:val="22"/>
          <w:szCs w:val="22"/>
          <w:lang w:val="sr-Latn-ME"/>
        </w:rPr>
        <w:t xml:space="preserve">nom, otvorenom ispitivanju aktivno-kontrolisanom (interferon beta-1a) paralelnom grupom pacijenata sa RRMS-om </w:t>
      </w:r>
      <w:r w:rsidR="00765120" w:rsidRPr="00616B65">
        <w:rPr>
          <w:sz w:val="22"/>
          <w:szCs w:val="22"/>
          <w:lang w:val="sr-Latn-ME"/>
        </w:rPr>
        <w:t>uzrasta</w:t>
      </w:r>
      <w:r w:rsidRPr="00616B65">
        <w:rPr>
          <w:sz w:val="22"/>
          <w:szCs w:val="22"/>
          <w:lang w:val="sr-Latn-ME"/>
        </w:rPr>
        <w:t xml:space="preserve"> od 10 godina do manje od 18 godina. Stotinu i pedeset pacijenata bilo je randomiz</w:t>
      </w:r>
      <w:r w:rsidR="004412C0" w:rsidRPr="00616B65">
        <w:rPr>
          <w:sz w:val="22"/>
          <w:szCs w:val="22"/>
          <w:lang w:val="sr-Latn-ME"/>
        </w:rPr>
        <w:t>ov</w:t>
      </w:r>
      <w:r w:rsidRPr="00616B65">
        <w:rPr>
          <w:sz w:val="22"/>
          <w:szCs w:val="22"/>
          <w:lang w:val="sr-Latn-ME"/>
        </w:rPr>
        <w:t>ano tako da su tokom 96 ned</w:t>
      </w:r>
      <w:r w:rsidR="00765120" w:rsidRPr="00616B65">
        <w:rPr>
          <w:sz w:val="22"/>
          <w:szCs w:val="22"/>
          <w:lang w:val="sr-Latn-ME"/>
        </w:rPr>
        <w:t>j</w:t>
      </w:r>
      <w:r w:rsidRPr="00616B65">
        <w:rPr>
          <w:sz w:val="22"/>
          <w:szCs w:val="22"/>
          <w:lang w:val="sr-Latn-ME"/>
        </w:rPr>
        <w:t xml:space="preserve">elja primali </w:t>
      </w:r>
      <w:r w:rsidR="002635CF" w:rsidRPr="00616B65">
        <w:rPr>
          <w:sz w:val="22"/>
          <w:szCs w:val="22"/>
          <w:lang w:val="sr-Latn-ME"/>
        </w:rPr>
        <w:t>dimetil fumarat</w:t>
      </w:r>
      <w:r w:rsidRPr="00616B65">
        <w:rPr>
          <w:sz w:val="22"/>
          <w:szCs w:val="22"/>
          <w:lang w:val="sr-Latn-ME"/>
        </w:rPr>
        <w:t xml:space="preserve"> (240 mg dva</w:t>
      </w:r>
      <w:r w:rsidR="00765120" w:rsidRPr="00616B65">
        <w:rPr>
          <w:sz w:val="22"/>
          <w:szCs w:val="22"/>
          <w:lang w:val="sr-Latn-ME"/>
        </w:rPr>
        <w:t xml:space="preserve"> </w:t>
      </w:r>
      <w:r w:rsidRPr="00616B65">
        <w:rPr>
          <w:sz w:val="22"/>
          <w:szCs w:val="22"/>
          <w:lang w:val="sr-Latn-ME"/>
        </w:rPr>
        <w:t>put</w:t>
      </w:r>
      <w:r w:rsidR="00765120" w:rsidRPr="00616B65">
        <w:rPr>
          <w:sz w:val="22"/>
          <w:szCs w:val="22"/>
          <w:lang w:val="sr-Latn-ME"/>
        </w:rPr>
        <w:t>a</w:t>
      </w:r>
      <w:r w:rsidRPr="00616B65">
        <w:rPr>
          <w:sz w:val="22"/>
          <w:szCs w:val="22"/>
          <w:lang w:val="sr-Latn-ME"/>
        </w:rPr>
        <w:t xml:space="preserve"> na dan, peroralno) ili interferon beta-1a (30 μg i.m. jednom ned</w:t>
      </w:r>
      <w:r w:rsidR="00765120" w:rsidRPr="00616B65">
        <w:rPr>
          <w:sz w:val="22"/>
          <w:szCs w:val="22"/>
          <w:lang w:val="sr-Latn-ME"/>
        </w:rPr>
        <w:t>j</w:t>
      </w:r>
      <w:r w:rsidRPr="00616B65">
        <w:rPr>
          <w:sz w:val="22"/>
          <w:szCs w:val="22"/>
          <w:lang w:val="sr-Latn-ME"/>
        </w:rPr>
        <w:t>eljno). Primarna m</w:t>
      </w:r>
      <w:r w:rsidR="00765120" w:rsidRPr="00616B65">
        <w:rPr>
          <w:sz w:val="22"/>
          <w:szCs w:val="22"/>
          <w:lang w:val="sr-Latn-ME"/>
        </w:rPr>
        <w:t>j</w:t>
      </w:r>
      <w:r w:rsidRPr="00616B65">
        <w:rPr>
          <w:sz w:val="22"/>
          <w:szCs w:val="22"/>
          <w:lang w:val="sr-Latn-ME"/>
        </w:rPr>
        <w:t>era ishoda bila je ud</w:t>
      </w:r>
      <w:r w:rsidR="00765120" w:rsidRPr="00616B65">
        <w:rPr>
          <w:sz w:val="22"/>
          <w:szCs w:val="22"/>
          <w:lang w:val="sr-Latn-ME"/>
        </w:rPr>
        <w:t>i</w:t>
      </w:r>
      <w:r w:rsidRPr="00616B65">
        <w:rPr>
          <w:sz w:val="22"/>
          <w:szCs w:val="22"/>
          <w:lang w:val="sr-Latn-ME"/>
        </w:rPr>
        <w:t>o pacijenata bez novih ili novoproširenih hiperintenzivnih lezija T2 na MR snimku u 96. ned</w:t>
      </w:r>
      <w:r w:rsidR="00765120" w:rsidRPr="00616B65">
        <w:rPr>
          <w:sz w:val="22"/>
          <w:szCs w:val="22"/>
          <w:lang w:val="sr-Latn-ME"/>
        </w:rPr>
        <w:t>j</w:t>
      </w:r>
      <w:r w:rsidRPr="00616B65">
        <w:rPr>
          <w:sz w:val="22"/>
          <w:szCs w:val="22"/>
          <w:lang w:val="sr-Latn-ME"/>
        </w:rPr>
        <w:t>elji. Glavna m</w:t>
      </w:r>
      <w:r w:rsidR="00765120" w:rsidRPr="00616B65">
        <w:rPr>
          <w:sz w:val="22"/>
          <w:szCs w:val="22"/>
          <w:lang w:val="sr-Latn-ME"/>
        </w:rPr>
        <w:t>j</w:t>
      </w:r>
      <w:r w:rsidRPr="00616B65">
        <w:rPr>
          <w:sz w:val="22"/>
          <w:szCs w:val="22"/>
          <w:lang w:val="sr-Latn-ME"/>
        </w:rPr>
        <w:t>era sekundarnog ishoda bio je broj novih ili novoproširenih hiperintenzivnih lezija T2 na MR snimku mozga u 96. ned</w:t>
      </w:r>
      <w:r w:rsidR="00765120" w:rsidRPr="00616B65">
        <w:rPr>
          <w:sz w:val="22"/>
          <w:szCs w:val="22"/>
          <w:lang w:val="sr-Latn-ME"/>
        </w:rPr>
        <w:t>j</w:t>
      </w:r>
      <w:r w:rsidRPr="00616B65">
        <w:rPr>
          <w:sz w:val="22"/>
          <w:szCs w:val="22"/>
          <w:lang w:val="sr-Latn-ME"/>
        </w:rPr>
        <w:t>elji. Podaci su obrađeni deskriptivnom statistikom, jer za primarnu m</w:t>
      </w:r>
      <w:r w:rsidR="00765120" w:rsidRPr="00616B65">
        <w:rPr>
          <w:sz w:val="22"/>
          <w:szCs w:val="22"/>
          <w:lang w:val="sr-Latn-ME"/>
        </w:rPr>
        <w:t>j</w:t>
      </w:r>
      <w:r w:rsidRPr="00616B65">
        <w:rPr>
          <w:sz w:val="22"/>
          <w:szCs w:val="22"/>
          <w:lang w:val="sr-Latn-ME"/>
        </w:rPr>
        <w:t>eru ishoda nije bilo unapr</w:t>
      </w:r>
      <w:r w:rsidR="00765120" w:rsidRPr="00616B65">
        <w:rPr>
          <w:sz w:val="22"/>
          <w:szCs w:val="22"/>
          <w:lang w:val="sr-Latn-ME"/>
        </w:rPr>
        <w:t>ij</w:t>
      </w:r>
      <w:r w:rsidRPr="00616B65">
        <w:rPr>
          <w:sz w:val="22"/>
          <w:szCs w:val="22"/>
          <w:lang w:val="sr-Latn-ME"/>
        </w:rPr>
        <w:t>ed planirane potvrdne hipoteze.</w:t>
      </w:r>
    </w:p>
    <w:p w14:paraId="30EED183" w14:textId="1ABB2E4B" w:rsidR="000D33C9" w:rsidRPr="00616B65" w:rsidRDefault="000D33C9">
      <w:pPr>
        <w:tabs>
          <w:tab w:val="left" w:pos="540"/>
          <w:tab w:val="left" w:pos="569"/>
        </w:tabs>
        <w:jc w:val="both"/>
        <w:rPr>
          <w:b/>
          <w:bCs/>
          <w:sz w:val="22"/>
          <w:szCs w:val="22"/>
          <w:lang w:val="sr-Latn-ME"/>
        </w:rPr>
      </w:pPr>
      <w:r w:rsidRPr="00616B65">
        <w:rPr>
          <w:sz w:val="22"/>
          <w:szCs w:val="22"/>
          <w:lang w:val="sr-Latn-ME"/>
        </w:rPr>
        <w:t>Ud</w:t>
      </w:r>
      <w:r w:rsidR="00EC6808" w:rsidRPr="00616B65">
        <w:rPr>
          <w:sz w:val="22"/>
          <w:szCs w:val="22"/>
          <w:lang w:val="sr-Latn-ME"/>
        </w:rPr>
        <w:t>i</w:t>
      </w:r>
      <w:r w:rsidRPr="00616B65">
        <w:rPr>
          <w:sz w:val="22"/>
          <w:szCs w:val="22"/>
          <w:lang w:val="sr-Latn-ME"/>
        </w:rPr>
        <w:t>o pacijenata u ITT populaciji bez novih ili novoproširenih T2 lezija na MR snimku u 96. ned</w:t>
      </w:r>
      <w:r w:rsidR="00765120" w:rsidRPr="00616B65">
        <w:rPr>
          <w:sz w:val="22"/>
          <w:szCs w:val="22"/>
          <w:lang w:val="sr-Latn-ME"/>
        </w:rPr>
        <w:t>j</w:t>
      </w:r>
      <w:r w:rsidRPr="00616B65">
        <w:rPr>
          <w:sz w:val="22"/>
          <w:szCs w:val="22"/>
          <w:lang w:val="sr-Latn-ME"/>
        </w:rPr>
        <w:t xml:space="preserve">elji u odnosu na početni broj iznosio je 12,8% u grupi koja je primala </w:t>
      </w:r>
      <w:r w:rsidR="002635CF" w:rsidRPr="00616B65">
        <w:rPr>
          <w:sz w:val="22"/>
          <w:szCs w:val="22"/>
          <w:lang w:val="sr-Latn-ME"/>
        </w:rPr>
        <w:t>dimetil fumarat</w:t>
      </w:r>
      <w:r w:rsidRPr="00616B65">
        <w:rPr>
          <w:sz w:val="22"/>
          <w:szCs w:val="22"/>
          <w:lang w:val="sr-Latn-ME"/>
        </w:rPr>
        <w:t xml:space="preserve"> naspram 2,8% u grupi koja je primala interferon beta-1a. Srednja vr</w:t>
      </w:r>
      <w:r w:rsidR="00765120" w:rsidRPr="00616B65">
        <w:rPr>
          <w:sz w:val="22"/>
          <w:szCs w:val="22"/>
          <w:lang w:val="sr-Latn-ME"/>
        </w:rPr>
        <w:t>ij</w:t>
      </w:r>
      <w:r w:rsidRPr="00616B65">
        <w:rPr>
          <w:sz w:val="22"/>
          <w:szCs w:val="22"/>
          <w:lang w:val="sr-Latn-ME"/>
        </w:rPr>
        <w:t>ednost broja novih ili novoproširenih T2 lezija u 96. ned</w:t>
      </w:r>
      <w:r w:rsidR="00765120" w:rsidRPr="00616B65">
        <w:rPr>
          <w:sz w:val="22"/>
          <w:szCs w:val="22"/>
          <w:lang w:val="sr-Latn-ME"/>
        </w:rPr>
        <w:t>j</w:t>
      </w:r>
      <w:r w:rsidRPr="00616B65">
        <w:rPr>
          <w:sz w:val="22"/>
          <w:szCs w:val="22"/>
          <w:lang w:val="sr-Latn-ME"/>
        </w:rPr>
        <w:t>elji u odnosu na početni broj, prilagođeno za broj T2 lezija na</w:t>
      </w:r>
      <w:r w:rsidRPr="00616B65">
        <w:rPr>
          <w:b/>
          <w:bCs/>
          <w:sz w:val="22"/>
          <w:szCs w:val="22"/>
          <w:lang w:val="sr-Latn-ME"/>
        </w:rPr>
        <w:t xml:space="preserve"> </w:t>
      </w:r>
      <w:r w:rsidRPr="00616B65">
        <w:rPr>
          <w:sz w:val="22"/>
          <w:szCs w:val="22"/>
          <w:lang w:val="sr-Latn-ME"/>
        </w:rPr>
        <w:t xml:space="preserve">početku i dob (ITT populacija, ali bez pacijenata kojima nije sprovedena MR pretraga) bila je 12,4 za </w:t>
      </w:r>
      <w:r w:rsidR="002635CF" w:rsidRPr="00616B65">
        <w:rPr>
          <w:sz w:val="22"/>
          <w:szCs w:val="22"/>
          <w:lang w:val="sr-Latn-ME"/>
        </w:rPr>
        <w:t>dimetil fumarat</w:t>
      </w:r>
      <w:r w:rsidRPr="00616B65">
        <w:rPr>
          <w:sz w:val="22"/>
          <w:szCs w:val="22"/>
          <w:lang w:val="sr-Latn-ME"/>
        </w:rPr>
        <w:t xml:space="preserve"> i 32,6 za interferon beta-1a.</w:t>
      </w:r>
    </w:p>
    <w:p w14:paraId="54E85014" w14:textId="3E37A9E8" w:rsidR="000D33C9" w:rsidRPr="00616B65" w:rsidRDefault="000D33C9">
      <w:pPr>
        <w:tabs>
          <w:tab w:val="left" w:pos="540"/>
          <w:tab w:val="left" w:pos="569"/>
        </w:tabs>
        <w:jc w:val="both"/>
        <w:rPr>
          <w:sz w:val="22"/>
          <w:szCs w:val="22"/>
          <w:lang w:val="sr-Latn-ME"/>
        </w:rPr>
      </w:pPr>
      <w:r w:rsidRPr="00616B65">
        <w:rPr>
          <w:sz w:val="22"/>
          <w:szCs w:val="22"/>
          <w:lang w:val="sr-Latn-ME"/>
        </w:rPr>
        <w:lastRenderedPageBreak/>
        <w:t>Do kraja 96-ned</w:t>
      </w:r>
      <w:r w:rsidR="00765120" w:rsidRPr="00616B65">
        <w:rPr>
          <w:sz w:val="22"/>
          <w:szCs w:val="22"/>
          <w:lang w:val="sr-Latn-ME"/>
        </w:rPr>
        <w:t>j</w:t>
      </w:r>
      <w:r w:rsidRPr="00616B65">
        <w:rPr>
          <w:sz w:val="22"/>
          <w:szCs w:val="22"/>
          <w:lang w:val="sr-Latn-ME"/>
        </w:rPr>
        <w:t>elje otvorenog ispitivanja, v</w:t>
      </w:r>
      <w:r w:rsidR="00765120" w:rsidRPr="00616B65">
        <w:rPr>
          <w:sz w:val="22"/>
          <w:szCs w:val="22"/>
          <w:lang w:val="sr-Latn-ME"/>
        </w:rPr>
        <w:t>j</w:t>
      </w:r>
      <w:r w:rsidRPr="00616B65">
        <w:rPr>
          <w:sz w:val="22"/>
          <w:szCs w:val="22"/>
          <w:lang w:val="sr-Latn-ME"/>
        </w:rPr>
        <w:t xml:space="preserve">erovatnoća kliničkog relapsa bila je 34% u grupi koja je primala </w:t>
      </w:r>
      <w:r w:rsidR="002635CF" w:rsidRPr="00616B65">
        <w:rPr>
          <w:sz w:val="22"/>
          <w:szCs w:val="22"/>
          <w:lang w:val="sr-Latn-ME"/>
        </w:rPr>
        <w:t>dimetil fumarat</w:t>
      </w:r>
      <w:r w:rsidRPr="00616B65">
        <w:rPr>
          <w:sz w:val="22"/>
          <w:szCs w:val="22"/>
          <w:lang w:val="sr-Latn-ME"/>
        </w:rPr>
        <w:t xml:space="preserve"> i 48% u grupi koja je primala interferon beta-1a.</w:t>
      </w:r>
    </w:p>
    <w:p w14:paraId="6F54DFA9" w14:textId="77777777" w:rsidR="000D33C9" w:rsidRPr="00616B65" w:rsidRDefault="000D33C9">
      <w:pPr>
        <w:tabs>
          <w:tab w:val="left" w:pos="540"/>
          <w:tab w:val="left" w:pos="569"/>
        </w:tabs>
        <w:jc w:val="both"/>
        <w:rPr>
          <w:sz w:val="22"/>
          <w:szCs w:val="22"/>
          <w:lang w:val="sr-Latn-ME"/>
        </w:rPr>
      </w:pPr>
    </w:p>
    <w:p w14:paraId="03C80963" w14:textId="2B6495AD" w:rsidR="000D33C9" w:rsidRPr="00616B65" w:rsidRDefault="000D33C9">
      <w:pPr>
        <w:tabs>
          <w:tab w:val="left" w:pos="540"/>
          <w:tab w:val="left" w:pos="569"/>
        </w:tabs>
        <w:jc w:val="both"/>
        <w:rPr>
          <w:sz w:val="22"/>
          <w:szCs w:val="22"/>
          <w:lang w:val="sr-Latn-ME"/>
        </w:rPr>
      </w:pPr>
      <w:r w:rsidRPr="00616B65">
        <w:rPr>
          <w:sz w:val="22"/>
          <w:szCs w:val="22"/>
          <w:lang w:val="sr-Latn-ME"/>
        </w:rPr>
        <w:t>Bezb</w:t>
      </w:r>
      <w:r w:rsidR="00EC6808" w:rsidRPr="00616B65">
        <w:rPr>
          <w:sz w:val="22"/>
          <w:szCs w:val="22"/>
          <w:lang w:val="sr-Latn-ME"/>
        </w:rPr>
        <w:t>j</w:t>
      </w:r>
      <w:r w:rsidRPr="00616B65">
        <w:rPr>
          <w:sz w:val="22"/>
          <w:szCs w:val="22"/>
          <w:lang w:val="sr-Latn-ME"/>
        </w:rPr>
        <w:t>edonosni profil kod pedijatrijskih pacijenata (uzrasta od 13 godina do manje od 18 godina) koji su l</w:t>
      </w:r>
      <w:r w:rsidR="00EC6808" w:rsidRPr="00616B65">
        <w:rPr>
          <w:sz w:val="22"/>
          <w:szCs w:val="22"/>
          <w:lang w:val="sr-Latn-ME"/>
        </w:rPr>
        <w:t>ij</w:t>
      </w:r>
      <w:r w:rsidRPr="00616B65">
        <w:rPr>
          <w:sz w:val="22"/>
          <w:szCs w:val="22"/>
          <w:lang w:val="sr-Latn-ME"/>
        </w:rPr>
        <w:t xml:space="preserve">ečeni </w:t>
      </w:r>
      <w:r w:rsidR="002635CF" w:rsidRPr="00616B65">
        <w:rPr>
          <w:sz w:val="22"/>
          <w:szCs w:val="22"/>
          <w:lang w:val="sr-Latn-ME"/>
        </w:rPr>
        <w:t>dimetil fumarat</w:t>
      </w:r>
      <w:r w:rsidRPr="00616B65">
        <w:rPr>
          <w:sz w:val="22"/>
          <w:szCs w:val="22"/>
          <w:lang w:val="sr-Latn-ME"/>
        </w:rPr>
        <w:t>om kvalitativno je uporediv sa onim prethodno zapaženim kod odraslih pacijenata (</w:t>
      </w:r>
      <w:r w:rsidR="00765120" w:rsidRPr="00616B65">
        <w:rPr>
          <w:sz w:val="22"/>
          <w:szCs w:val="22"/>
          <w:lang w:val="sr-Latn-ME"/>
        </w:rPr>
        <w:t xml:space="preserve">vidjeti </w:t>
      </w:r>
      <w:r w:rsidR="00EC6808" w:rsidRPr="00616B65">
        <w:rPr>
          <w:sz w:val="22"/>
          <w:szCs w:val="22"/>
          <w:lang w:val="sr-Latn-ME"/>
        </w:rPr>
        <w:t xml:space="preserve">dio </w:t>
      </w:r>
      <w:r w:rsidRPr="00616B65">
        <w:rPr>
          <w:sz w:val="22"/>
          <w:szCs w:val="22"/>
          <w:lang w:val="sr-Latn-ME"/>
        </w:rPr>
        <w:t>4.8).</w:t>
      </w:r>
    </w:p>
    <w:p w14:paraId="6848354C" w14:textId="77777777" w:rsidR="000D33C9" w:rsidRPr="00616B65" w:rsidRDefault="000D33C9" w:rsidP="005A340E">
      <w:pPr>
        <w:tabs>
          <w:tab w:val="left" w:pos="540"/>
          <w:tab w:val="left" w:pos="569"/>
        </w:tabs>
        <w:jc w:val="both"/>
        <w:rPr>
          <w:b/>
          <w:bCs/>
          <w:sz w:val="22"/>
          <w:szCs w:val="22"/>
          <w:lang w:val="sr-Latn-ME"/>
        </w:rPr>
      </w:pPr>
    </w:p>
    <w:p w14:paraId="29D89890" w14:textId="31674287" w:rsidR="0072020E" w:rsidRPr="00616B65" w:rsidRDefault="0072020E" w:rsidP="005A340E">
      <w:pPr>
        <w:tabs>
          <w:tab w:val="left" w:pos="540"/>
          <w:tab w:val="left" w:pos="569"/>
        </w:tabs>
        <w:jc w:val="both"/>
        <w:rPr>
          <w:b/>
          <w:bCs/>
          <w:sz w:val="22"/>
          <w:szCs w:val="22"/>
          <w:lang w:val="sr-Latn-ME"/>
        </w:rPr>
      </w:pPr>
      <w:r w:rsidRPr="00616B65">
        <w:rPr>
          <w:b/>
          <w:bCs/>
          <w:sz w:val="22"/>
          <w:szCs w:val="22"/>
          <w:lang w:val="sr-Latn-ME"/>
        </w:rPr>
        <w:t xml:space="preserve">5.2. </w:t>
      </w:r>
      <w:r w:rsidR="00480FB1" w:rsidRPr="00616B65">
        <w:rPr>
          <w:b/>
          <w:bCs/>
          <w:sz w:val="22"/>
          <w:szCs w:val="22"/>
          <w:lang w:val="sr-Latn-ME"/>
        </w:rPr>
        <w:tab/>
      </w:r>
      <w:r w:rsidRPr="00616B65">
        <w:rPr>
          <w:b/>
          <w:bCs/>
          <w:sz w:val="22"/>
          <w:szCs w:val="22"/>
          <w:lang w:val="sr-Latn-ME"/>
        </w:rPr>
        <w:t>Farmakokinetički podaci</w:t>
      </w:r>
      <w:r w:rsidR="003A7059" w:rsidRPr="00616B65">
        <w:rPr>
          <w:b/>
          <w:bCs/>
          <w:sz w:val="22"/>
          <w:szCs w:val="22"/>
          <w:lang w:val="sr-Latn-ME"/>
        </w:rPr>
        <w:t xml:space="preserve"> </w:t>
      </w:r>
    </w:p>
    <w:p w14:paraId="39634094" w14:textId="77777777" w:rsidR="00EC6808" w:rsidRPr="00616B65" w:rsidRDefault="00EC6808" w:rsidP="005A340E">
      <w:pPr>
        <w:tabs>
          <w:tab w:val="left" w:pos="540"/>
          <w:tab w:val="left" w:pos="569"/>
        </w:tabs>
        <w:jc w:val="both"/>
        <w:rPr>
          <w:bCs/>
          <w:sz w:val="22"/>
          <w:szCs w:val="22"/>
          <w:lang w:val="sr-Latn-ME"/>
        </w:rPr>
      </w:pPr>
    </w:p>
    <w:p w14:paraId="58979821" w14:textId="2FBB4517" w:rsidR="00EC6808" w:rsidRPr="00616B65" w:rsidRDefault="00EC6808" w:rsidP="00C31FAA">
      <w:pPr>
        <w:tabs>
          <w:tab w:val="left" w:pos="540"/>
          <w:tab w:val="left" w:pos="569"/>
        </w:tabs>
        <w:jc w:val="both"/>
        <w:rPr>
          <w:bCs/>
          <w:sz w:val="22"/>
          <w:szCs w:val="22"/>
          <w:lang w:val="sr-Latn-ME"/>
        </w:rPr>
      </w:pPr>
      <w:r w:rsidRPr="00616B65">
        <w:rPr>
          <w:bCs/>
          <w:sz w:val="22"/>
          <w:szCs w:val="22"/>
          <w:lang w:val="sr-Latn-ME"/>
        </w:rPr>
        <w:t xml:space="preserve">Oralno primijenjen </w:t>
      </w:r>
      <w:r w:rsidR="002635CF" w:rsidRPr="00616B65">
        <w:rPr>
          <w:bCs/>
          <w:sz w:val="22"/>
          <w:szCs w:val="22"/>
          <w:lang w:val="sr-Latn-ME"/>
        </w:rPr>
        <w:t>dimetil fumarat</w:t>
      </w:r>
      <w:r w:rsidRPr="00616B65">
        <w:rPr>
          <w:bCs/>
          <w:sz w:val="22"/>
          <w:szCs w:val="22"/>
          <w:lang w:val="sr-Latn-ME"/>
        </w:rPr>
        <w:t xml:space="preserve"> prolazi brzu presistemsku hidrolizu pomoću esteraza i pretvara se u svoj primarni metabolit, monometil</w:t>
      </w:r>
      <w:r w:rsidR="004412C0" w:rsidRPr="00616B65">
        <w:rPr>
          <w:bCs/>
          <w:sz w:val="22"/>
          <w:szCs w:val="22"/>
          <w:lang w:val="sr-Latn-ME"/>
        </w:rPr>
        <w:t xml:space="preserve"> </w:t>
      </w:r>
      <w:r w:rsidRPr="00616B65">
        <w:rPr>
          <w:bCs/>
          <w:sz w:val="22"/>
          <w:szCs w:val="22"/>
          <w:lang w:val="sr-Latn-ME"/>
        </w:rPr>
        <w:t xml:space="preserve">fumarat, koji je takođe aktivan. </w:t>
      </w:r>
      <w:r w:rsidR="002635CF" w:rsidRPr="00616B65">
        <w:rPr>
          <w:bCs/>
          <w:sz w:val="22"/>
          <w:szCs w:val="22"/>
          <w:lang w:val="sr-Latn-ME"/>
        </w:rPr>
        <w:t>Dimetil fumarat</w:t>
      </w:r>
      <w:r w:rsidRPr="00616B65">
        <w:rPr>
          <w:bCs/>
          <w:sz w:val="22"/>
          <w:szCs w:val="22"/>
          <w:lang w:val="sr-Latn-ME"/>
        </w:rPr>
        <w:t xml:space="preserve"> se ne može kvantifikovati u plazmi nakon oralne primjene </w:t>
      </w:r>
      <w:r w:rsidR="002635CF" w:rsidRPr="00616B65">
        <w:rPr>
          <w:bCs/>
          <w:sz w:val="22"/>
          <w:szCs w:val="22"/>
          <w:lang w:val="sr-Latn-ME"/>
        </w:rPr>
        <w:t>dimetil fumarat</w:t>
      </w:r>
      <w:r w:rsidRPr="00616B65">
        <w:rPr>
          <w:bCs/>
          <w:sz w:val="22"/>
          <w:szCs w:val="22"/>
          <w:lang w:val="sr-Latn-ME"/>
        </w:rPr>
        <w:t xml:space="preserve">a. Prema tome, sve farmakokinetičke analize u odnosu na </w:t>
      </w:r>
      <w:r w:rsidR="002635CF" w:rsidRPr="00616B65">
        <w:rPr>
          <w:bCs/>
          <w:sz w:val="22"/>
          <w:szCs w:val="22"/>
          <w:lang w:val="sr-Latn-ME"/>
        </w:rPr>
        <w:t>dimetil fumarat</w:t>
      </w:r>
      <w:r w:rsidRPr="00616B65">
        <w:rPr>
          <w:bCs/>
          <w:sz w:val="22"/>
          <w:szCs w:val="22"/>
          <w:lang w:val="sr-Latn-ME"/>
        </w:rPr>
        <w:t xml:space="preserve"> su obavljene sa plazma koncentracijama monometil</w:t>
      </w:r>
      <w:r w:rsidR="004412C0" w:rsidRPr="00616B65">
        <w:rPr>
          <w:bCs/>
          <w:sz w:val="22"/>
          <w:szCs w:val="22"/>
          <w:lang w:val="sr-Latn-ME"/>
        </w:rPr>
        <w:t xml:space="preserve"> </w:t>
      </w:r>
      <w:r w:rsidRPr="00616B65">
        <w:rPr>
          <w:bCs/>
          <w:sz w:val="22"/>
          <w:szCs w:val="22"/>
          <w:lang w:val="sr-Latn-ME"/>
        </w:rPr>
        <w:t>fumarata. Farmakokinetički podaci su dobijeni kod ispitanika sa multiplom sklerozom i kod zdravih ispitanika.</w:t>
      </w:r>
    </w:p>
    <w:p w14:paraId="4AB40E8B" w14:textId="77777777" w:rsidR="00EC6808" w:rsidRPr="00616B65" w:rsidRDefault="00EC6808" w:rsidP="0023493E">
      <w:pPr>
        <w:tabs>
          <w:tab w:val="left" w:pos="540"/>
          <w:tab w:val="left" w:pos="569"/>
        </w:tabs>
        <w:jc w:val="both"/>
        <w:rPr>
          <w:bCs/>
          <w:sz w:val="22"/>
          <w:szCs w:val="22"/>
          <w:lang w:val="sr-Latn-ME"/>
        </w:rPr>
      </w:pPr>
    </w:p>
    <w:p w14:paraId="7C8038B0" w14:textId="4CCECE83" w:rsidR="00EC6808" w:rsidRPr="00616B65" w:rsidRDefault="00EC6808">
      <w:pPr>
        <w:tabs>
          <w:tab w:val="left" w:pos="540"/>
          <w:tab w:val="left" w:pos="569"/>
        </w:tabs>
        <w:jc w:val="both"/>
        <w:rPr>
          <w:bCs/>
          <w:sz w:val="22"/>
          <w:szCs w:val="22"/>
          <w:lang w:val="sr-Latn-ME"/>
        </w:rPr>
      </w:pPr>
      <w:r w:rsidRPr="00616B65">
        <w:rPr>
          <w:bCs/>
          <w:sz w:val="22"/>
          <w:szCs w:val="22"/>
          <w:u w:val="single"/>
          <w:lang w:val="sr-Latn-ME"/>
        </w:rPr>
        <w:t>Resorpcija</w:t>
      </w:r>
    </w:p>
    <w:p w14:paraId="5E0BBBBC" w14:textId="5D1FFDE8" w:rsidR="00EC6808" w:rsidRPr="00616B65" w:rsidRDefault="00EC6808">
      <w:pPr>
        <w:tabs>
          <w:tab w:val="left" w:pos="540"/>
          <w:tab w:val="left" w:pos="569"/>
        </w:tabs>
        <w:jc w:val="both"/>
        <w:rPr>
          <w:bCs/>
          <w:sz w:val="22"/>
          <w:szCs w:val="22"/>
          <w:lang w:val="sr-Latn-ME"/>
        </w:rPr>
      </w:pPr>
      <w:r w:rsidRPr="00616B65">
        <w:rPr>
          <w:bCs/>
          <w:sz w:val="22"/>
          <w:szCs w:val="22"/>
          <w:lang w:val="sr-Latn-ME"/>
        </w:rPr>
        <w:t>Tmax monometil</w:t>
      </w:r>
      <w:r w:rsidR="004412C0" w:rsidRPr="00616B65">
        <w:rPr>
          <w:bCs/>
          <w:sz w:val="22"/>
          <w:szCs w:val="22"/>
          <w:lang w:val="sr-Latn-ME"/>
        </w:rPr>
        <w:t xml:space="preserve"> </w:t>
      </w:r>
      <w:r w:rsidRPr="00616B65">
        <w:rPr>
          <w:bCs/>
          <w:sz w:val="22"/>
          <w:szCs w:val="22"/>
          <w:lang w:val="sr-Latn-ME"/>
        </w:rPr>
        <w:t xml:space="preserve">fumarata je 2 do 2,5 sati. Budući da lijek Dimetex gastrorezistentne kapsule, tvrde sadrži </w:t>
      </w:r>
      <w:r w:rsidR="004412C0" w:rsidRPr="00616B65">
        <w:rPr>
          <w:bCs/>
          <w:sz w:val="22"/>
          <w:szCs w:val="22"/>
          <w:lang w:val="sr-Latn-ME"/>
        </w:rPr>
        <w:t xml:space="preserve">mini </w:t>
      </w:r>
      <w:r w:rsidRPr="00616B65">
        <w:rPr>
          <w:bCs/>
          <w:sz w:val="22"/>
          <w:szCs w:val="22"/>
          <w:lang w:val="sr-Latn-ME"/>
        </w:rPr>
        <w:t xml:space="preserve">tablete koje su zaštićene </w:t>
      </w:r>
      <w:r w:rsidR="004412C0" w:rsidRPr="00616B65">
        <w:rPr>
          <w:bCs/>
          <w:sz w:val="22"/>
          <w:szCs w:val="22"/>
          <w:lang w:val="sr-Latn-ME"/>
        </w:rPr>
        <w:t xml:space="preserve">gastrorezistentnim </w:t>
      </w:r>
      <w:r w:rsidRPr="00616B65">
        <w:rPr>
          <w:bCs/>
          <w:sz w:val="22"/>
          <w:szCs w:val="22"/>
          <w:lang w:val="sr-Latn-ME"/>
        </w:rPr>
        <w:t>omotačem, resorpcija ne započinje sve dok kapsule ne napuste želudac (obično manje od 1 sata). Nakon što su ispitanici sa multiplom sklerozom uzimali lijek jačine 240 mg dva puta dnevno uz obrok, medijana maksimalne koncentracije (Cmax) je bila 1,72 mg/l, a ukupna izloženost prema površini ispod krive (PIK) je bila 8,02 h.mg/l. Cmax i PIK uopšteno su se povećavali približno proporcionalno dozi u ispitivanom rasponu (120 mg do 360 mg). Kod ispitanika sa multiplom sklerozom, dv</w:t>
      </w:r>
      <w:r w:rsidR="00765120" w:rsidRPr="00616B65">
        <w:rPr>
          <w:bCs/>
          <w:sz w:val="22"/>
          <w:szCs w:val="22"/>
          <w:lang w:val="sr-Latn-ME"/>
        </w:rPr>
        <w:t>ij</w:t>
      </w:r>
      <w:r w:rsidRPr="00616B65">
        <w:rPr>
          <w:bCs/>
          <w:sz w:val="22"/>
          <w:szCs w:val="22"/>
          <w:lang w:val="sr-Latn-ME"/>
        </w:rPr>
        <w:t>e doze od 240 mg su prim</w:t>
      </w:r>
      <w:r w:rsidR="00765120" w:rsidRPr="00616B65">
        <w:rPr>
          <w:bCs/>
          <w:sz w:val="22"/>
          <w:szCs w:val="22"/>
          <w:lang w:val="sr-Latn-ME"/>
        </w:rPr>
        <w:t>ij</w:t>
      </w:r>
      <w:r w:rsidRPr="00616B65">
        <w:rPr>
          <w:bCs/>
          <w:sz w:val="22"/>
          <w:szCs w:val="22"/>
          <w:lang w:val="sr-Latn-ME"/>
        </w:rPr>
        <w:t>enjene u razmaku od 4 sata, kao d</w:t>
      </w:r>
      <w:r w:rsidR="00765120" w:rsidRPr="00616B65">
        <w:rPr>
          <w:bCs/>
          <w:sz w:val="22"/>
          <w:szCs w:val="22"/>
          <w:lang w:val="sr-Latn-ME"/>
        </w:rPr>
        <w:t>i</w:t>
      </w:r>
      <w:r w:rsidRPr="00616B65">
        <w:rPr>
          <w:bCs/>
          <w:sz w:val="22"/>
          <w:szCs w:val="22"/>
          <w:lang w:val="sr-Latn-ME"/>
        </w:rPr>
        <w:t>o rasporeda doziranja od tri puta dnevno. To je dovelo do minimalne kumulacije izloženosti, doprinoseći povećanju medijane Cmax od 12% u odnosu na doziranje od dva puta dnevno (1,72 mg/l za dva puta dnevno u poređenju sa 1,93 mg/l za tri puta  dnevno) bez bezbjednosnih implikacija.</w:t>
      </w:r>
    </w:p>
    <w:p w14:paraId="032E089F" w14:textId="77777777" w:rsidR="00EC6808" w:rsidRPr="00616B65" w:rsidRDefault="00EC6808">
      <w:pPr>
        <w:tabs>
          <w:tab w:val="left" w:pos="540"/>
          <w:tab w:val="left" w:pos="569"/>
        </w:tabs>
        <w:jc w:val="both"/>
        <w:rPr>
          <w:bCs/>
          <w:sz w:val="22"/>
          <w:szCs w:val="22"/>
          <w:lang w:val="sr-Latn-ME"/>
        </w:rPr>
      </w:pPr>
    </w:p>
    <w:p w14:paraId="568567EE" w14:textId="2F5C9967"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Hrana nema klinički značajan efekat na izloženost </w:t>
      </w:r>
      <w:r w:rsidR="002635CF" w:rsidRPr="00616B65">
        <w:rPr>
          <w:bCs/>
          <w:sz w:val="22"/>
          <w:szCs w:val="22"/>
          <w:lang w:val="sr-Latn-ME"/>
        </w:rPr>
        <w:t>dimetil fumarat</w:t>
      </w:r>
      <w:r w:rsidRPr="00616B65">
        <w:rPr>
          <w:bCs/>
          <w:sz w:val="22"/>
          <w:szCs w:val="22"/>
          <w:lang w:val="sr-Latn-ME"/>
        </w:rPr>
        <w:t>u. Međutim, lijek Dimetex treba uzeti sa hranom, jer se time poboljšava podnošljivost s obzirom na nalete crvenila praćene os</w:t>
      </w:r>
      <w:r w:rsidR="00765120" w:rsidRPr="00616B65">
        <w:rPr>
          <w:bCs/>
          <w:sz w:val="22"/>
          <w:szCs w:val="22"/>
          <w:lang w:val="sr-Latn-ME"/>
        </w:rPr>
        <w:t>j</w:t>
      </w:r>
      <w:r w:rsidRPr="00616B65">
        <w:rPr>
          <w:bCs/>
          <w:sz w:val="22"/>
          <w:szCs w:val="22"/>
          <w:lang w:val="sr-Latn-ME"/>
        </w:rPr>
        <w:t>ećajem vrućine ili gastrointestinalne neželjene tegobe (</w:t>
      </w:r>
      <w:r w:rsidR="00765120" w:rsidRPr="00616B65">
        <w:rPr>
          <w:bCs/>
          <w:sz w:val="22"/>
          <w:szCs w:val="22"/>
          <w:lang w:val="sr-Latn-ME"/>
        </w:rPr>
        <w:t xml:space="preserve">vidjeti </w:t>
      </w:r>
      <w:r w:rsidRPr="00616B65">
        <w:rPr>
          <w:bCs/>
          <w:sz w:val="22"/>
          <w:szCs w:val="22"/>
          <w:lang w:val="sr-Latn-ME"/>
        </w:rPr>
        <w:t>dio 4.2).</w:t>
      </w:r>
    </w:p>
    <w:p w14:paraId="56F0E901" w14:textId="77777777" w:rsidR="00EC6808" w:rsidRPr="00616B65" w:rsidRDefault="00EC6808">
      <w:pPr>
        <w:tabs>
          <w:tab w:val="left" w:pos="540"/>
          <w:tab w:val="left" w:pos="569"/>
        </w:tabs>
        <w:jc w:val="both"/>
        <w:rPr>
          <w:bCs/>
          <w:sz w:val="22"/>
          <w:szCs w:val="22"/>
          <w:lang w:val="sr-Latn-ME"/>
        </w:rPr>
      </w:pPr>
    </w:p>
    <w:p w14:paraId="7F964BF7" w14:textId="0E75E262" w:rsidR="00EC6808" w:rsidRPr="00616B65" w:rsidRDefault="00EC6808">
      <w:pPr>
        <w:tabs>
          <w:tab w:val="left" w:pos="540"/>
          <w:tab w:val="left" w:pos="569"/>
        </w:tabs>
        <w:jc w:val="both"/>
        <w:rPr>
          <w:bCs/>
          <w:sz w:val="22"/>
          <w:szCs w:val="22"/>
          <w:u w:val="single"/>
          <w:lang w:val="sr-Latn-ME"/>
        </w:rPr>
      </w:pPr>
      <w:r w:rsidRPr="00616B65">
        <w:rPr>
          <w:bCs/>
          <w:sz w:val="22"/>
          <w:szCs w:val="22"/>
          <w:u w:val="single"/>
          <w:lang w:val="sr-Latn-ME"/>
        </w:rPr>
        <w:t>Distribucija</w:t>
      </w:r>
    </w:p>
    <w:p w14:paraId="56048A84" w14:textId="09B78C76"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Prividni volumen distribucije nakon oralne primjene 240 mg </w:t>
      </w:r>
      <w:r w:rsidR="002635CF" w:rsidRPr="00616B65">
        <w:rPr>
          <w:bCs/>
          <w:sz w:val="22"/>
          <w:szCs w:val="22"/>
          <w:lang w:val="sr-Latn-ME"/>
        </w:rPr>
        <w:t>dimetil fumarat</w:t>
      </w:r>
      <w:r w:rsidRPr="00616B65">
        <w:rPr>
          <w:bCs/>
          <w:sz w:val="22"/>
          <w:szCs w:val="22"/>
          <w:lang w:val="sr-Latn-ME"/>
        </w:rPr>
        <w:t>a varira između 60</w:t>
      </w:r>
      <w:r w:rsidR="00765120" w:rsidRPr="00616B65">
        <w:rPr>
          <w:bCs/>
          <w:sz w:val="22"/>
          <w:szCs w:val="22"/>
          <w:lang w:val="sr-Latn-ME"/>
        </w:rPr>
        <w:t xml:space="preserve"> </w:t>
      </w:r>
      <w:r w:rsidRPr="00616B65">
        <w:rPr>
          <w:bCs/>
          <w:sz w:val="22"/>
          <w:szCs w:val="22"/>
          <w:lang w:val="sr-Latn-ME"/>
        </w:rPr>
        <w:t>l i 90</w:t>
      </w:r>
      <w:r w:rsidR="00765120" w:rsidRPr="00616B65">
        <w:rPr>
          <w:bCs/>
          <w:sz w:val="22"/>
          <w:szCs w:val="22"/>
          <w:lang w:val="sr-Latn-ME"/>
        </w:rPr>
        <w:t xml:space="preserve"> </w:t>
      </w:r>
      <w:r w:rsidRPr="00616B65">
        <w:rPr>
          <w:bCs/>
          <w:sz w:val="22"/>
          <w:szCs w:val="22"/>
          <w:lang w:val="sr-Latn-ME"/>
        </w:rPr>
        <w:t>l. Vezanje monometil</w:t>
      </w:r>
      <w:r w:rsidR="004412C0" w:rsidRPr="00616B65">
        <w:rPr>
          <w:bCs/>
          <w:sz w:val="22"/>
          <w:szCs w:val="22"/>
          <w:lang w:val="sr-Latn-ME"/>
        </w:rPr>
        <w:t xml:space="preserve"> </w:t>
      </w:r>
      <w:r w:rsidRPr="00616B65">
        <w:rPr>
          <w:bCs/>
          <w:sz w:val="22"/>
          <w:szCs w:val="22"/>
          <w:lang w:val="sr-Latn-ME"/>
        </w:rPr>
        <w:t>fumarata za proteine humane plazme uopšteno je između 27% i 40%.</w:t>
      </w:r>
    </w:p>
    <w:p w14:paraId="0742BF26" w14:textId="77777777" w:rsidR="00EC6808" w:rsidRPr="00616B65" w:rsidRDefault="00EC6808">
      <w:pPr>
        <w:tabs>
          <w:tab w:val="left" w:pos="540"/>
          <w:tab w:val="left" w:pos="569"/>
        </w:tabs>
        <w:jc w:val="both"/>
        <w:rPr>
          <w:bCs/>
          <w:sz w:val="22"/>
          <w:szCs w:val="22"/>
          <w:lang w:val="sr-Latn-ME"/>
        </w:rPr>
      </w:pPr>
    </w:p>
    <w:p w14:paraId="2A34810B" w14:textId="5B7A7489" w:rsidR="00EC6808" w:rsidRPr="00616B65" w:rsidRDefault="00EC6808">
      <w:pPr>
        <w:tabs>
          <w:tab w:val="left" w:pos="540"/>
          <w:tab w:val="left" w:pos="569"/>
        </w:tabs>
        <w:jc w:val="both"/>
        <w:rPr>
          <w:bCs/>
          <w:sz w:val="22"/>
          <w:szCs w:val="22"/>
          <w:lang w:val="sr-Latn-ME"/>
        </w:rPr>
      </w:pPr>
      <w:r w:rsidRPr="00616B65">
        <w:rPr>
          <w:bCs/>
          <w:sz w:val="22"/>
          <w:szCs w:val="22"/>
          <w:u w:val="single"/>
          <w:lang w:val="sr-Latn-ME"/>
        </w:rPr>
        <w:t>Biotransformacija</w:t>
      </w:r>
    </w:p>
    <w:p w14:paraId="3B4739FE" w14:textId="03D588AF"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Kod ljudi, </w:t>
      </w:r>
      <w:r w:rsidR="002635CF" w:rsidRPr="00616B65">
        <w:rPr>
          <w:bCs/>
          <w:sz w:val="22"/>
          <w:szCs w:val="22"/>
          <w:lang w:val="sr-Latn-ME"/>
        </w:rPr>
        <w:t>dimetil fumarat</w:t>
      </w:r>
      <w:r w:rsidRPr="00616B65">
        <w:rPr>
          <w:bCs/>
          <w:sz w:val="22"/>
          <w:szCs w:val="22"/>
          <w:lang w:val="sr-Latn-ME"/>
        </w:rPr>
        <w:t xml:space="preserve"> se u velikoj m</w:t>
      </w:r>
      <w:r w:rsidR="00765120" w:rsidRPr="00616B65">
        <w:rPr>
          <w:bCs/>
          <w:sz w:val="22"/>
          <w:szCs w:val="22"/>
          <w:lang w:val="sr-Latn-ME"/>
        </w:rPr>
        <w:t>j</w:t>
      </w:r>
      <w:r w:rsidRPr="00616B65">
        <w:rPr>
          <w:bCs/>
          <w:sz w:val="22"/>
          <w:szCs w:val="22"/>
          <w:lang w:val="sr-Latn-ME"/>
        </w:rPr>
        <w:t xml:space="preserve">eri metaboliše, tako da se manje od 0,1% doze izlučuje u nepromijenjenom obliku u urinu. Prije nego što dođe u sistemski krvotok, </w:t>
      </w:r>
      <w:r w:rsidR="002635CF" w:rsidRPr="00616B65">
        <w:rPr>
          <w:bCs/>
          <w:sz w:val="22"/>
          <w:szCs w:val="22"/>
          <w:lang w:val="sr-Latn-ME"/>
        </w:rPr>
        <w:t>dimetil fumarat</w:t>
      </w:r>
      <w:r w:rsidRPr="00616B65">
        <w:rPr>
          <w:bCs/>
          <w:sz w:val="22"/>
          <w:szCs w:val="22"/>
          <w:lang w:val="sr-Latn-ME"/>
        </w:rPr>
        <w:t xml:space="preserve"> se početno metaboliše esterazama koje su rasprostranjene u gastrointestinalnom traktu, krvi i tkivima. Nakon toga, </w:t>
      </w:r>
      <w:r w:rsidR="002635CF" w:rsidRPr="00616B65">
        <w:rPr>
          <w:bCs/>
          <w:sz w:val="22"/>
          <w:szCs w:val="22"/>
          <w:lang w:val="sr-Latn-ME"/>
        </w:rPr>
        <w:t>dimetil fumarat</w:t>
      </w:r>
      <w:r w:rsidRPr="00616B65">
        <w:rPr>
          <w:bCs/>
          <w:sz w:val="22"/>
          <w:szCs w:val="22"/>
          <w:lang w:val="sr-Latn-ME"/>
        </w:rPr>
        <w:t xml:space="preserve"> se metabolizuje u ciklusu trikarboksilne kiseline bez posredovanja citohrom P450 (CYP) sistema. Ispitivanje </w:t>
      </w:r>
      <w:r w:rsidR="00765120" w:rsidRPr="00616B65">
        <w:rPr>
          <w:bCs/>
          <w:sz w:val="22"/>
          <w:szCs w:val="22"/>
          <w:lang w:val="sr-Latn-ME"/>
        </w:rPr>
        <w:t xml:space="preserve">pojedinačnom </w:t>
      </w:r>
      <w:r w:rsidRPr="00616B65">
        <w:rPr>
          <w:bCs/>
          <w:sz w:val="22"/>
          <w:szCs w:val="22"/>
          <w:lang w:val="sr-Latn-ME"/>
        </w:rPr>
        <w:t>dozom od 240 mg 14C-</w:t>
      </w:r>
      <w:r w:rsidR="002635CF" w:rsidRPr="00616B65">
        <w:rPr>
          <w:bCs/>
          <w:sz w:val="22"/>
          <w:szCs w:val="22"/>
          <w:lang w:val="sr-Latn-ME"/>
        </w:rPr>
        <w:t>dimetil fumarat</w:t>
      </w:r>
      <w:r w:rsidRPr="00616B65">
        <w:rPr>
          <w:bCs/>
          <w:sz w:val="22"/>
          <w:szCs w:val="22"/>
          <w:lang w:val="sr-Latn-ME"/>
        </w:rPr>
        <w:t>a je pokazalo da je glukoza predominantni metabolit u humanoj plazmi. Drugi cirkulišući metaboliti uključuju fumarnu kiselinu, citratnu kiselinu i monometil</w:t>
      </w:r>
      <w:r w:rsidR="004412C0" w:rsidRPr="00616B65">
        <w:rPr>
          <w:bCs/>
          <w:sz w:val="22"/>
          <w:szCs w:val="22"/>
          <w:lang w:val="sr-Latn-ME"/>
        </w:rPr>
        <w:t xml:space="preserve"> </w:t>
      </w:r>
      <w:r w:rsidRPr="00616B65">
        <w:rPr>
          <w:bCs/>
          <w:sz w:val="22"/>
          <w:szCs w:val="22"/>
          <w:lang w:val="sr-Latn-ME"/>
        </w:rPr>
        <w:t>fumarat. Nizvodni metabolizam fumarne kiseline se odvija kroz ciklus trikarboksilne kiseline, tako da je izdisanje CO</w:t>
      </w:r>
      <w:r w:rsidRPr="00616B65">
        <w:rPr>
          <w:bCs/>
          <w:sz w:val="22"/>
          <w:szCs w:val="22"/>
          <w:vertAlign w:val="subscript"/>
          <w:lang w:val="sr-Latn-ME"/>
        </w:rPr>
        <w:t>2</w:t>
      </w:r>
      <w:r w:rsidRPr="00616B65">
        <w:rPr>
          <w:bCs/>
          <w:sz w:val="22"/>
          <w:szCs w:val="22"/>
          <w:lang w:val="sr-Latn-ME"/>
        </w:rPr>
        <w:t xml:space="preserve"> glavni put eliminacije.</w:t>
      </w:r>
    </w:p>
    <w:p w14:paraId="3688AB8D" w14:textId="77777777" w:rsidR="00EC6808" w:rsidRPr="00616B65" w:rsidRDefault="00EC6808">
      <w:pPr>
        <w:tabs>
          <w:tab w:val="left" w:pos="540"/>
          <w:tab w:val="left" w:pos="569"/>
        </w:tabs>
        <w:jc w:val="both"/>
        <w:rPr>
          <w:bCs/>
          <w:sz w:val="22"/>
          <w:szCs w:val="22"/>
          <w:lang w:val="sr-Latn-ME"/>
        </w:rPr>
      </w:pPr>
    </w:p>
    <w:p w14:paraId="4DDD8D7E" w14:textId="31E95E0B" w:rsidR="00EC6808" w:rsidRPr="00616B65" w:rsidRDefault="00EC6808">
      <w:pPr>
        <w:tabs>
          <w:tab w:val="left" w:pos="540"/>
          <w:tab w:val="left" w:pos="569"/>
        </w:tabs>
        <w:jc w:val="both"/>
        <w:rPr>
          <w:bCs/>
          <w:sz w:val="22"/>
          <w:szCs w:val="22"/>
          <w:lang w:val="sr-Latn-ME"/>
        </w:rPr>
      </w:pPr>
      <w:r w:rsidRPr="00616B65">
        <w:rPr>
          <w:bCs/>
          <w:sz w:val="22"/>
          <w:szCs w:val="22"/>
          <w:u w:val="single"/>
          <w:lang w:val="sr-Latn-ME"/>
        </w:rPr>
        <w:t>Eliminacija</w:t>
      </w:r>
    </w:p>
    <w:p w14:paraId="478A00D3" w14:textId="0C80B8E4"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Glavni put eliminacije </w:t>
      </w:r>
      <w:r w:rsidR="002635CF" w:rsidRPr="00616B65">
        <w:rPr>
          <w:bCs/>
          <w:sz w:val="22"/>
          <w:szCs w:val="22"/>
          <w:lang w:val="sr-Latn-ME"/>
        </w:rPr>
        <w:t>dimetil fumarat</w:t>
      </w:r>
      <w:r w:rsidRPr="00616B65">
        <w:rPr>
          <w:bCs/>
          <w:sz w:val="22"/>
          <w:szCs w:val="22"/>
          <w:lang w:val="sr-Latn-ME"/>
        </w:rPr>
        <w:t>a je izdisanje CO</w:t>
      </w:r>
      <w:r w:rsidRPr="00616B65">
        <w:rPr>
          <w:bCs/>
          <w:sz w:val="22"/>
          <w:szCs w:val="22"/>
          <w:vertAlign w:val="subscript"/>
          <w:lang w:val="sr-Latn-ME"/>
        </w:rPr>
        <w:t>2</w:t>
      </w:r>
      <w:r w:rsidRPr="00616B65">
        <w:rPr>
          <w:bCs/>
          <w:sz w:val="22"/>
          <w:szCs w:val="22"/>
          <w:lang w:val="sr-Latn-ME"/>
        </w:rPr>
        <w:t>, čime se eliminiše 60% doze. Sekundarni putevi eliminacije su putem bubrega i fecesa, što čini 15,5% odnosno 0,9% doze, respektivno.</w:t>
      </w:r>
    </w:p>
    <w:p w14:paraId="144E87A1" w14:textId="77777777" w:rsidR="00EC6808" w:rsidRPr="00616B65" w:rsidRDefault="00EC6808">
      <w:pPr>
        <w:tabs>
          <w:tab w:val="left" w:pos="540"/>
          <w:tab w:val="left" w:pos="569"/>
        </w:tabs>
        <w:jc w:val="both"/>
        <w:rPr>
          <w:bCs/>
          <w:sz w:val="22"/>
          <w:szCs w:val="22"/>
          <w:lang w:val="sr-Latn-ME"/>
        </w:rPr>
      </w:pPr>
    </w:p>
    <w:p w14:paraId="23B5F153" w14:textId="30878FF6" w:rsidR="00EC6808" w:rsidRPr="00616B65" w:rsidRDefault="00EC6808">
      <w:pPr>
        <w:tabs>
          <w:tab w:val="left" w:pos="540"/>
          <w:tab w:val="left" w:pos="569"/>
        </w:tabs>
        <w:jc w:val="both"/>
        <w:rPr>
          <w:bCs/>
          <w:sz w:val="22"/>
          <w:szCs w:val="22"/>
          <w:lang w:val="sr-Latn-ME"/>
        </w:rPr>
      </w:pPr>
      <w:r w:rsidRPr="00616B65">
        <w:rPr>
          <w:bCs/>
          <w:sz w:val="22"/>
          <w:szCs w:val="22"/>
          <w:lang w:val="sr-Latn-ME"/>
        </w:rPr>
        <w:t>Terminalno poluvrijeme eliminacije monometil</w:t>
      </w:r>
      <w:r w:rsidR="004412C0" w:rsidRPr="00616B65">
        <w:rPr>
          <w:bCs/>
          <w:sz w:val="22"/>
          <w:szCs w:val="22"/>
          <w:lang w:val="sr-Latn-ME"/>
        </w:rPr>
        <w:t xml:space="preserve"> </w:t>
      </w:r>
      <w:r w:rsidRPr="00616B65">
        <w:rPr>
          <w:bCs/>
          <w:sz w:val="22"/>
          <w:szCs w:val="22"/>
          <w:lang w:val="sr-Latn-ME"/>
        </w:rPr>
        <w:t>fumarata je kratko (približno 1 sat), tako da nakon 24 sata kod većine pojedinaca nema cirkulišućeg monometil</w:t>
      </w:r>
      <w:r w:rsidR="004412C0" w:rsidRPr="00616B65">
        <w:rPr>
          <w:bCs/>
          <w:sz w:val="22"/>
          <w:szCs w:val="22"/>
          <w:lang w:val="sr-Latn-ME"/>
        </w:rPr>
        <w:t xml:space="preserve"> </w:t>
      </w:r>
      <w:r w:rsidRPr="00616B65">
        <w:rPr>
          <w:bCs/>
          <w:sz w:val="22"/>
          <w:szCs w:val="22"/>
          <w:lang w:val="sr-Latn-ME"/>
        </w:rPr>
        <w:t xml:space="preserve">fumarata. U terapeutskom režimu sa </w:t>
      </w:r>
      <w:r w:rsidR="00810B0D" w:rsidRPr="00616B65">
        <w:rPr>
          <w:bCs/>
          <w:sz w:val="22"/>
          <w:szCs w:val="22"/>
          <w:lang w:val="sr-Latn-ME"/>
        </w:rPr>
        <w:t xml:space="preserve">ponovljenim </w:t>
      </w:r>
      <w:r w:rsidRPr="00616B65">
        <w:rPr>
          <w:bCs/>
          <w:sz w:val="22"/>
          <w:szCs w:val="22"/>
          <w:lang w:val="sr-Latn-ME"/>
        </w:rPr>
        <w:t xml:space="preserve">dozama </w:t>
      </w:r>
      <w:r w:rsidR="002635CF" w:rsidRPr="00616B65">
        <w:rPr>
          <w:bCs/>
          <w:sz w:val="22"/>
          <w:szCs w:val="22"/>
          <w:lang w:val="sr-Latn-ME"/>
        </w:rPr>
        <w:t>dimetil fumarat</w:t>
      </w:r>
      <w:r w:rsidRPr="00616B65">
        <w:rPr>
          <w:bCs/>
          <w:sz w:val="22"/>
          <w:szCs w:val="22"/>
          <w:lang w:val="sr-Latn-ME"/>
        </w:rPr>
        <w:t xml:space="preserve">a ne dolazi do </w:t>
      </w:r>
      <w:r w:rsidR="00810B0D" w:rsidRPr="00616B65">
        <w:rPr>
          <w:bCs/>
          <w:sz w:val="22"/>
          <w:szCs w:val="22"/>
          <w:lang w:val="sr-Latn-ME"/>
        </w:rPr>
        <w:t xml:space="preserve">akumulacije </w:t>
      </w:r>
      <w:r w:rsidRPr="00616B65">
        <w:rPr>
          <w:bCs/>
          <w:sz w:val="22"/>
          <w:szCs w:val="22"/>
          <w:lang w:val="sr-Latn-ME"/>
        </w:rPr>
        <w:t>izvornog lijeka ili monometil</w:t>
      </w:r>
      <w:r w:rsidR="004412C0" w:rsidRPr="00616B65">
        <w:rPr>
          <w:bCs/>
          <w:sz w:val="22"/>
          <w:szCs w:val="22"/>
          <w:lang w:val="sr-Latn-ME"/>
        </w:rPr>
        <w:t xml:space="preserve"> </w:t>
      </w:r>
      <w:r w:rsidRPr="00616B65">
        <w:rPr>
          <w:bCs/>
          <w:sz w:val="22"/>
          <w:szCs w:val="22"/>
          <w:lang w:val="sr-Latn-ME"/>
        </w:rPr>
        <w:t>fumarata.</w:t>
      </w:r>
    </w:p>
    <w:p w14:paraId="15F7BBB8" w14:textId="77777777" w:rsidR="00EC6808" w:rsidRPr="00616B65" w:rsidRDefault="00EC6808">
      <w:pPr>
        <w:tabs>
          <w:tab w:val="left" w:pos="540"/>
          <w:tab w:val="left" w:pos="569"/>
        </w:tabs>
        <w:jc w:val="both"/>
        <w:rPr>
          <w:bCs/>
          <w:sz w:val="22"/>
          <w:szCs w:val="22"/>
          <w:lang w:val="sr-Latn-ME"/>
        </w:rPr>
      </w:pPr>
    </w:p>
    <w:p w14:paraId="2089501B" w14:textId="5BAAA52F" w:rsidR="00EC6808" w:rsidRPr="00616B65" w:rsidRDefault="00EC6808">
      <w:pPr>
        <w:tabs>
          <w:tab w:val="left" w:pos="540"/>
          <w:tab w:val="left" w:pos="569"/>
        </w:tabs>
        <w:jc w:val="both"/>
        <w:rPr>
          <w:bCs/>
          <w:sz w:val="22"/>
          <w:szCs w:val="22"/>
          <w:lang w:val="sr-Latn-ME"/>
        </w:rPr>
      </w:pPr>
      <w:r w:rsidRPr="00616B65">
        <w:rPr>
          <w:bCs/>
          <w:sz w:val="22"/>
          <w:szCs w:val="22"/>
          <w:u w:val="single"/>
          <w:lang w:val="sr-Latn-ME"/>
        </w:rPr>
        <w:t>Linearnost</w:t>
      </w:r>
    </w:p>
    <w:p w14:paraId="4ED2D4C1" w14:textId="789A9ACF"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Izloženost </w:t>
      </w:r>
      <w:r w:rsidR="002635CF" w:rsidRPr="00616B65">
        <w:rPr>
          <w:bCs/>
          <w:sz w:val="22"/>
          <w:szCs w:val="22"/>
          <w:lang w:val="sr-Latn-ME"/>
        </w:rPr>
        <w:t>dimetil fumarat</w:t>
      </w:r>
      <w:r w:rsidRPr="00616B65">
        <w:rPr>
          <w:bCs/>
          <w:sz w:val="22"/>
          <w:szCs w:val="22"/>
          <w:lang w:val="sr-Latn-ME"/>
        </w:rPr>
        <w:t xml:space="preserve">u povećava se približno proporcionalno dozi sa </w:t>
      </w:r>
      <w:r w:rsidR="00810B0D" w:rsidRPr="00616B65">
        <w:rPr>
          <w:bCs/>
          <w:sz w:val="22"/>
          <w:szCs w:val="22"/>
          <w:lang w:val="sr-Latn-ME"/>
        </w:rPr>
        <w:t xml:space="preserve">pojedinačnim </w:t>
      </w:r>
      <w:r w:rsidRPr="00616B65">
        <w:rPr>
          <w:bCs/>
          <w:sz w:val="22"/>
          <w:szCs w:val="22"/>
          <w:lang w:val="sr-Latn-ME"/>
        </w:rPr>
        <w:t xml:space="preserve">i </w:t>
      </w:r>
      <w:r w:rsidR="00810B0D" w:rsidRPr="00616B65">
        <w:rPr>
          <w:bCs/>
          <w:sz w:val="22"/>
          <w:szCs w:val="22"/>
          <w:lang w:val="sr-Latn-ME"/>
        </w:rPr>
        <w:t xml:space="preserve">ponovljenim </w:t>
      </w:r>
      <w:r w:rsidRPr="00616B65">
        <w:rPr>
          <w:bCs/>
          <w:sz w:val="22"/>
          <w:szCs w:val="22"/>
          <w:lang w:val="sr-Latn-ME"/>
        </w:rPr>
        <w:t>dozama u ispitivanom rasponu od 120 mg do 360 mg.</w:t>
      </w:r>
    </w:p>
    <w:p w14:paraId="0938CBC1" w14:textId="77777777" w:rsidR="00EC6808" w:rsidRPr="00616B65" w:rsidRDefault="00EC6808">
      <w:pPr>
        <w:tabs>
          <w:tab w:val="left" w:pos="540"/>
          <w:tab w:val="left" w:pos="569"/>
        </w:tabs>
        <w:jc w:val="both"/>
        <w:rPr>
          <w:bCs/>
          <w:sz w:val="22"/>
          <w:szCs w:val="22"/>
          <w:lang w:val="sr-Latn-ME"/>
        </w:rPr>
      </w:pPr>
    </w:p>
    <w:p w14:paraId="62ED6435" w14:textId="77777777" w:rsidR="00EC6808" w:rsidRPr="00616B65" w:rsidRDefault="00EC6808">
      <w:pPr>
        <w:tabs>
          <w:tab w:val="left" w:pos="540"/>
          <w:tab w:val="left" w:pos="569"/>
        </w:tabs>
        <w:jc w:val="both"/>
        <w:rPr>
          <w:bCs/>
          <w:sz w:val="22"/>
          <w:szCs w:val="22"/>
          <w:u w:val="single"/>
          <w:lang w:val="sr-Latn-ME"/>
        </w:rPr>
      </w:pPr>
      <w:r w:rsidRPr="00616B65">
        <w:rPr>
          <w:bCs/>
          <w:sz w:val="22"/>
          <w:szCs w:val="22"/>
          <w:u w:val="single"/>
          <w:lang w:val="sr-Latn-ME"/>
        </w:rPr>
        <w:lastRenderedPageBreak/>
        <w:t>Farmakokinetika u posebnim grupama pacijenata</w:t>
      </w:r>
    </w:p>
    <w:p w14:paraId="1553523C" w14:textId="3E2C3952" w:rsidR="00EC6808" w:rsidRPr="00616B65" w:rsidRDefault="00EC6808">
      <w:pPr>
        <w:tabs>
          <w:tab w:val="left" w:pos="540"/>
          <w:tab w:val="left" w:pos="569"/>
        </w:tabs>
        <w:jc w:val="both"/>
        <w:rPr>
          <w:bCs/>
          <w:sz w:val="22"/>
          <w:szCs w:val="22"/>
          <w:lang w:val="sr-Latn-ME"/>
        </w:rPr>
      </w:pPr>
      <w:r w:rsidRPr="00616B65">
        <w:rPr>
          <w:bCs/>
          <w:sz w:val="22"/>
          <w:szCs w:val="22"/>
          <w:lang w:val="sr-Latn-ME"/>
        </w:rPr>
        <w:t>Na osnovu rezultata analize varijan</w:t>
      </w:r>
      <w:r w:rsidR="004412C0" w:rsidRPr="00616B65">
        <w:rPr>
          <w:bCs/>
          <w:sz w:val="22"/>
          <w:szCs w:val="22"/>
          <w:lang w:val="sr-Latn-ME"/>
        </w:rPr>
        <w:t>s</w:t>
      </w:r>
      <w:r w:rsidRPr="00616B65">
        <w:rPr>
          <w:bCs/>
          <w:sz w:val="22"/>
          <w:szCs w:val="22"/>
          <w:lang w:val="sr-Latn-ME"/>
        </w:rPr>
        <w:t xml:space="preserve">e (engl. </w:t>
      </w:r>
      <w:r w:rsidRPr="00616B65">
        <w:rPr>
          <w:bCs/>
          <w:i/>
          <w:sz w:val="22"/>
          <w:szCs w:val="22"/>
          <w:lang w:val="sr-Latn-ME"/>
        </w:rPr>
        <w:t>Analysis of Variance</w:t>
      </w:r>
      <w:r w:rsidRPr="00616B65">
        <w:rPr>
          <w:bCs/>
          <w:sz w:val="22"/>
          <w:szCs w:val="22"/>
          <w:lang w:val="sr-Latn-ME"/>
        </w:rPr>
        <w:t>, ANOVA), tjelesna te</w:t>
      </w:r>
      <w:r w:rsidR="00810B0D" w:rsidRPr="00616B65">
        <w:rPr>
          <w:bCs/>
          <w:sz w:val="22"/>
          <w:szCs w:val="22"/>
          <w:lang w:val="sr-Latn-ME"/>
        </w:rPr>
        <w:t>ž</w:t>
      </w:r>
      <w:r w:rsidRPr="00616B65">
        <w:rPr>
          <w:bCs/>
          <w:sz w:val="22"/>
          <w:szCs w:val="22"/>
          <w:lang w:val="sr-Latn-ME"/>
        </w:rPr>
        <w:t>ina je glavna kovarijabla izloženosti (prema Cmax i PIK) kod ispitanika sa RRMS-om, ali ne utiče na m</w:t>
      </w:r>
      <w:r w:rsidR="00810B0D" w:rsidRPr="00616B65">
        <w:rPr>
          <w:bCs/>
          <w:sz w:val="22"/>
          <w:szCs w:val="22"/>
          <w:lang w:val="sr-Latn-ME"/>
        </w:rPr>
        <w:t>j</w:t>
      </w:r>
      <w:r w:rsidRPr="00616B65">
        <w:rPr>
          <w:bCs/>
          <w:sz w:val="22"/>
          <w:szCs w:val="22"/>
          <w:lang w:val="sr-Latn-ME"/>
        </w:rPr>
        <w:t>ere bezbjednosti i efikasnosti procijenjene u kliničkim ispitivanjima.</w:t>
      </w:r>
    </w:p>
    <w:p w14:paraId="38868BC2" w14:textId="77777777" w:rsidR="00EC6808" w:rsidRPr="00616B65" w:rsidRDefault="00EC6808">
      <w:pPr>
        <w:tabs>
          <w:tab w:val="left" w:pos="540"/>
          <w:tab w:val="left" w:pos="569"/>
        </w:tabs>
        <w:jc w:val="both"/>
        <w:rPr>
          <w:bCs/>
          <w:sz w:val="22"/>
          <w:szCs w:val="22"/>
          <w:lang w:val="sr-Latn-ME"/>
        </w:rPr>
      </w:pPr>
    </w:p>
    <w:p w14:paraId="1CAC61A7" w14:textId="383AF51E" w:rsidR="00EC6808" w:rsidRPr="00616B65" w:rsidRDefault="00EC6808">
      <w:pPr>
        <w:tabs>
          <w:tab w:val="left" w:pos="540"/>
          <w:tab w:val="left" w:pos="569"/>
        </w:tabs>
        <w:jc w:val="both"/>
        <w:rPr>
          <w:bCs/>
          <w:sz w:val="22"/>
          <w:szCs w:val="22"/>
          <w:lang w:val="sr-Latn-ME"/>
        </w:rPr>
      </w:pPr>
      <w:r w:rsidRPr="00616B65">
        <w:rPr>
          <w:bCs/>
          <w:sz w:val="22"/>
          <w:szCs w:val="22"/>
          <w:lang w:val="sr-Latn-ME"/>
        </w:rPr>
        <w:t>Pol i uzrast ni</w:t>
      </w:r>
      <w:r w:rsidR="00810B0D" w:rsidRPr="00616B65">
        <w:rPr>
          <w:bCs/>
          <w:sz w:val="22"/>
          <w:szCs w:val="22"/>
          <w:lang w:val="sr-Latn-ME"/>
        </w:rPr>
        <w:t>je</w:t>
      </w:r>
      <w:r w:rsidRPr="00616B65">
        <w:rPr>
          <w:bCs/>
          <w:sz w:val="22"/>
          <w:szCs w:val="22"/>
          <w:lang w:val="sr-Latn-ME"/>
        </w:rPr>
        <w:t xml:space="preserve">su klinički značajno uticali na farmakokinetiku </w:t>
      </w:r>
      <w:r w:rsidR="002635CF" w:rsidRPr="00616B65">
        <w:rPr>
          <w:bCs/>
          <w:sz w:val="22"/>
          <w:szCs w:val="22"/>
          <w:lang w:val="sr-Latn-ME"/>
        </w:rPr>
        <w:t>dimetil fumarat</w:t>
      </w:r>
      <w:r w:rsidRPr="00616B65">
        <w:rPr>
          <w:bCs/>
          <w:sz w:val="22"/>
          <w:szCs w:val="22"/>
          <w:lang w:val="sr-Latn-ME"/>
        </w:rPr>
        <w:t>a. Farmakokinetika kod pacijenata uzrasta od 65 i više godina nije ispitivana.</w:t>
      </w:r>
    </w:p>
    <w:p w14:paraId="7A0D38AE" w14:textId="77777777" w:rsidR="00EC6808" w:rsidRPr="00616B65" w:rsidRDefault="00EC6808">
      <w:pPr>
        <w:tabs>
          <w:tab w:val="left" w:pos="540"/>
          <w:tab w:val="left" w:pos="569"/>
        </w:tabs>
        <w:jc w:val="both"/>
        <w:rPr>
          <w:bCs/>
          <w:sz w:val="22"/>
          <w:szCs w:val="22"/>
          <w:lang w:val="sr-Latn-ME"/>
        </w:rPr>
      </w:pPr>
    </w:p>
    <w:p w14:paraId="620663D8" w14:textId="419FD136" w:rsidR="00EC6808" w:rsidRPr="00616B65" w:rsidRDefault="00EC6808">
      <w:pPr>
        <w:tabs>
          <w:tab w:val="left" w:pos="540"/>
          <w:tab w:val="left" w:pos="569"/>
        </w:tabs>
        <w:jc w:val="both"/>
        <w:rPr>
          <w:bCs/>
          <w:sz w:val="22"/>
          <w:szCs w:val="22"/>
          <w:lang w:val="sr-Latn-ME"/>
        </w:rPr>
      </w:pPr>
      <w:r w:rsidRPr="00616B65">
        <w:rPr>
          <w:bCs/>
          <w:i/>
          <w:iCs/>
          <w:sz w:val="22"/>
          <w:szCs w:val="22"/>
          <w:lang w:val="sr-Latn-ME"/>
        </w:rPr>
        <w:t>Pedijatrijska populacija</w:t>
      </w:r>
    </w:p>
    <w:p w14:paraId="2A313F32" w14:textId="7069A7AE"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Farmakokinetički profil </w:t>
      </w:r>
      <w:r w:rsidR="002635CF" w:rsidRPr="00616B65">
        <w:rPr>
          <w:bCs/>
          <w:sz w:val="22"/>
          <w:szCs w:val="22"/>
          <w:lang w:val="sr-Latn-ME"/>
        </w:rPr>
        <w:t>dimetil fumarat</w:t>
      </w:r>
      <w:r w:rsidRPr="00616B65">
        <w:rPr>
          <w:bCs/>
          <w:sz w:val="22"/>
          <w:szCs w:val="22"/>
          <w:lang w:val="sr-Latn-ME"/>
        </w:rPr>
        <w:t>a u dozi od 240 mg primjenjivanoj dva puta dnevno bio je proc</w:t>
      </w:r>
      <w:r w:rsidR="00810B0D" w:rsidRPr="00616B65">
        <w:rPr>
          <w:bCs/>
          <w:sz w:val="22"/>
          <w:szCs w:val="22"/>
          <w:lang w:val="sr-Latn-ME"/>
        </w:rPr>
        <w:t>ij</w:t>
      </w:r>
      <w:r w:rsidRPr="00616B65">
        <w:rPr>
          <w:bCs/>
          <w:sz w:val="22"/>
          <w:szCs w:val="22"/>
          <w:lang w:val="sr-Latn-ME"/>
        </w:rPr>
        <w:t>enjen u malom, otvorenom, nekontrolisanom ispitivanju kod pacijenata sa RRMS-om uzrasta od 13 do 17 godina (n=21). Farmakokinetika lijeka Dimetex kod ovih adolescentnih pacijenata bila je u skladu sa onom prethodno zabil</w:t>
      </w:r>
      <w:r w:rsidR="00810B0D" w:rsidRPr="00616B65">
        <w:rPr>
          <w:bCs/>
          <w:sz w:val="22"/>
          <w:szCs w:val="22"/>
          <w:lang w:val="sr-Latn-ME"/>
        </w:rPr>
        <w:t>j</w:t>
      </w:r>
      <w:r w:rsidRPr="00616B65">
        <w:rPr>
          <w:bCs/>
          <w:sz w:val="22"/>
          <w:szCs w:val="22"/>
          <w:lang w:val="sr-Latn-ME"/>
        </w:rPr>
        <w:t>eženom kod odraslih pacijenata (Cmax: 2,00±1,29 mg/</w:t>
      </w:r>
      <w:r w:rsidR="00810B0D" w:rsidRPr="00616B65">
        <w:rPr>
          <w:bCs/>
          <w:sz w:val="22"/>
          <w:szCs w:val="22"/>
          <w:lang w:val="sr-Latn-ME"/>
        </w:rPr>
        <w:t>l</w:t>
      </w:r>
      <w:r w:rsidRPr="00616B65">
        <w:rPr>
          <w:bCs/>
          <w:sz w:val="22"/>
          <w:szCs w:val="22"/>
          <w:lang w:val="sr-Latn-ME"/>
        </w:rPr>
        <w:t>; PIK0-12hr: 3,62±1,16 h.mg/</w:t>
      </w:r>
      <w:r w:rsidR="00810B0D" w:rsidRPr="00616B65">
        <w:rPr>
          <w:bCs/>
          <w:sz w:val="22"/>
          <w:szCs w:val="22"/>
          <w:lang w:val="sr-Latn-ME"/>
        </w:rPr>
        <w:t>l</w:t>
      </w:r>
      <w:r w:rsidRPr="00616B65">
        <w:rPr>
          <w:bCs/>
          <w:sz w:val="22"/>
          <w:szCs w:val="22"/>
          <w:lang w:val="sr-Latn-ME"/>
        </w:rPr>
        <w:t>, što odgovara ukupnom dnevnom PIK-u od 7,24 h.mg/</w:t>
      </w:r>
      <w:r w:rsidR="00810B0D" w:rsidRPr="00616B65">
        <w:rPr>
          <w:bCs/>
          <w:sz w:val="22"/>
          <w:szCs w:val="22"/>
          <w:lang w:val="sr-Latn-ME"/>
        </w:rPr>
        <w:t>l</w:t>
      </w:r>
      <w:r w:rsidRPr="00616B65">
        <w:rPr>
          <w:bCs/>
          <w:sz w:val="22"/>
          <w:szCs w:val="22"/>
          <w:lang w:val="sr-Latn-ME"/>
        </w:rPr>
        <w:t>).</w:t>
      </w:r>
    </w:p>
    <w:p w14:paraId="3E521FF4" w14:textId="77777777" w:rsidR="00EC6808" w:rsidRPr="00616B65" w:rsidRDefault="00EC6808">
      <w:pPr>
        <w:tabs>
          <w:tab w:val="left" w:pos="540"/>
          <w:tab w:val="left" w:pos="569"/>
        </w:tabs>
        <w:jc w:val="both"/>
        <w:rPr>
          <w:bCs/>
          <w:sz w:val="22"/>
          <w:szCs w:val="22"/>
          <w:lang w:val="sr-Latn-ME"/>
        </w:rPr>
      </w:pPr>
    </w:p>
    <w:p w14:paraId="03684B22" w14:textId="2052BE31" w:rsidR="00EC6808" w:rsidRPr="00616B65" w:rsidRDefault="00EC6808">
      <w:pPr>
        <w:tabs>
          <w:tab w:val="left" w:pos="540"/>
          <w:tab w:val="left" w:pos="569"/>
        </w:tabs>
        <w:jc w:val="both"/>
        <w:rPr>
          <w:bCs/>
          <w:sz w:val="22"/>
          <w:szCs w:val="22"/>
          <w:lang w:val="sr-Latn-ME"/>
        </w:rPr>
      </w:pPr>
      <w:r w:rsidRPr="00616B65">
        <w:rPr>
          <w:bCs/>
          <w:i/>
          <w:iCs/>
          <w:sz w:val="22"/>
          <w:szCs w:val="22"/>
          <w:lang w:val="sr-Latn-ME"/>
        </w:rPr>
        <w:t>Oštećenje funkcije bubrega</w:t>
      </w:r>
    </w:p>
    <w:p w14:paraId="5317116C" w14:textId="46E02141"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Budući da je eliminacija putem bubrega sekundarni put eliminacije </w:t>
      </w:r>
      <w:r w:rsidR="002635CF" w:rsidRPr="00616B65">
        <w:rPr>
          <w:bCs/>
          <w:sz w:val="22"/>
          <w:szCs w:val="22"/>
          <w:lang w:val="sr-Latn-ME"/>
        </w:rPr>
        <w:t>dimetil fumarat</w:t>
      </w:r>
      <w:r w:rsidRPr="00616B65">
        <w:rPr>
          <w:bCs/>
          <w:sz w:val="22"/>
          <w:szCs w:val="22"/>
          <w:lang w:val="sr-Latn-ME"/>
        </w:rPr>
        <w:t>a, što čini manje od 16% primijenjene doze, procjena farmakokinetike kod pojedinaca sa oštećenjem funkcije bubrega nije sprovedena.</w:t>
      </w:r>
    </w:p>
    <w:p w14:paraId="37042D4F" w14:textId="77777777" w:rsidR="00EC6808" w:rsidRPr="00616B65" w:rsidRDefault="00EC6808">
      <w:pPr>
        <w:tabs>
          <w:tab w:val="left" w:pos="540"/>
          <w:tab w:val="left" w:pos="569"/>
        </w:tabs>
        <w:jc w:val="both"/>
        <w:rPr>
          <w:bCs/>
          <w:sz w:val="22"/>
          <w:szCs w:val="22"/>
          <w:lang w:val="sr-Latn-ME"/>
        </w:rPr>
      </w:pPr>
    </w:p>
    <w:p w14:paraId="750DA395" w14:textId="21571A92" w:rsidR="00EC6808" w:rsidRPr="00616B65" w:rsidRDefault="00EC6808">
      <w:pPr>
        <w:tabs>
          <w:tab w:val="left" w:pos="540"/>
          <w:tab w:val="left" w:pos="569"/>
        </w:tabs>
        <w:jc w:val="both"/>
        <w:rPr>
          <w:bCs/>
          <w:sz w:val="22"/>
          <w:szCs w:val="22"/>
          <w:lang w:val="sr-Latn-ME"/>
        </w:rPr>
      </w:pPr>
      <w:r w:rsidRPr="00616B65">
        <w:rPr>
          <w:bCs/>
          <w:i/>
          <w:iCs/>
          <w:sz w:val="22"/>
          <w:szCs w:val="22"/>
          <w:lang w:val="sr-Latn-ME"/>
        </w:rPr>
        <w:t>Oštećenje funkcije jetre</w:t>
      </w:r>
    </w:p>
    <w:p w14:paraId="23B714CF" w14:textId="040C214D" w:rsidR="00EC6808" w:rsidRPr="00616B65" w:rsidRDefault="00EC6808">
      <w:pPr>
        <w:tabs>
          <w:tab w:val="left" w:pos="540"/>
          <w:tab w:val="left" w:pos="569"/>
        </w:tabs>
        <w:jc w:val="both"/>
        <w:rPr>
          <w:bCs/>
          <w:sz w:val="22"/>
          <w:szCs w:val="22"/>
          <w:lang w:val="sr-Latn-ME"/>
        </w:rPr>
      </w:pPr>
      <w:r w:rsidRPr="00616B65">
        <w:rPr>
          <w:bCs/>
          <w:sz w:val="22"/>
          <w:szCs w:val="22"/>
          <w:lang w:val="sr-Latn-ME"/>
        </w:rPr>
        <w:t xml:space="preserve">Budući da esteraze metabolizuju </w:t>
      </w:r>
      <w:r w:rsidR="002635CF" w:rsidRPr="00616B65">
        <w:rPr>
          <w:bCs/>
          <w:sz w:val="22"/>
          <w:szCs w:val="22"/>
          <w:lang w:val="sr-Latn-ME"/>
        </w:rPr>
        <w:t>dimetil fumarat</w:t>
      </w:r>
      <w:r w:rsidRPr="00616B65">
        <w:rPr>
          <w:bCs/>
          <w:sz w:val="22"/>
          <w:szCs w:val="22"/>
          <w:lang w:val="sr-Latn-ME"/>
        </w:rPr>
        <w:t xml:space="preserve"> i monometil</w:t>
      </w:r>
      <w:r w:rsidR="004412C0" w:rsidRPr="00616B65">
        <w:rPr>
          <w:bCs/>
          <w:sz w:val="22"/>
          <w:szCs w:val="22"/>
          <w:lang w:val="sr-Latn-ME"/>
        </w:rPr>
        <w:t xml:space="preserve"> </w:t>
      </w:r>
      <w:r w:rsidRPr="00616B65">
        <w:rPr>
          <w:bCs/>
          <w:sz w:val="22"/>
          <w:szCs w:val="22"/>
          <w:lang w:val="sr-Latn-ME"/>
        </w:rPr>
        <w:t>fumarat, bez posredovanja sistema CYP450, proc</w:t>
      </w:r>
      <w:r w:rsidR="00810B0D" w:rsidRPr="00616B65">
        <w:rPr>
          <w:bCs/>
          <w:sz w:val="22"/>
          <w:szCs w:val="22"/>
          <w:lang w:val="sr-Latn-ME"/>
        </w:rPr>
        <w:t>j</w:t>
      </w:r>
      <w:r w:rsidRPr="00616B65">
        <w:rPr>
          <w:bCs/>
          <w:sz w:val="22"/>
          <w:szCs w:val="22"/>
          <w:lang w:val="sr-Latn-ME"/>
        </w:rPr>
        <w:t>ena farmakokinetike kod pojedinaca sa oštećenjem funkcije jetre nije sprovedena.</w:t>
      </w:r>
    </w:p>
    <w:p w14:paraId="7561A480" w14:textId="77777777" w:rsidR="0072020E" w:rsidRPr="00616B65" w:rsidRDefault="0072020E" w:rsidP="005A340E">
      <w:pPr>
        <w:tabs>
          <w:tab w:val="left" w:pos="540"/>
          <w:tab w:val="left" w:pos="569"/>
        </w:tabs>
        <w:jc w:val="both"/>
        <w:rPr>
          <w:bCs/>
          <w:sz w:val="22"/>
          <w:szCs w:val="22"/>
          <w:lang w:val="sr-Latn-ME"/>
        </w:rPr>
      </w:pPr>
    </w:p>
    <w:p w14:paraId="3DF0BAAF" w14:textId="77777777" w:rsidR="0072020E" w:rsidRPr="00616B65" w:rsidRDefault="0072020E" w:rsidP="005A340E">
      <w:pPr>
        <w:tabs>
          <w:tab w:val="left" w:pos="540"/>
          <w:tab w:val="left" w:pos="569"/>
        </w:tabs>
        <w:jc w:val="both"/>
        <w:rPr>
          <w:b/>
          <w:bCs/>
          <w:sz w:val="22"/>
          <w:szCs w:val="22"/>
          <w:lang w:val="sr-Latn-ME"/>
        </w:rPr>
      </w:pPr>
      <w:r w:rsidRPr="00616B65">
        <w:rPr>
          <w:b/>
          <w:bCs/>
          <w:sz w:val="22"/>
          <w:szCs w:val="22"/>
          <w:lang w:val="sr-Latn-ME"/>
        </w:rPr>
        <w:t xml:space="preserve">5.3. </w:t>
      </w:r>
      <w:r w:rsidR="00480FB1" w:rsidRPr="00616B65">
        <w:rPr>
          <w:b/>
          <w:bCs/>
          <w:sz w:val="22"/>
          <w:szCs w:val="22"/>
          <w:lang w:val="sr-Latn-ME"/>
        </w:rPr>
        <w:tab/>
      </w:r>
      <w:r w:rsidRPr="00616B65">
        <w:rPr>
          <w:b/>
          <w:bCs/>
          <w:sz w:val="22"/>
          <w:szCs w:val="22"/>
          <w:lang w:val="sr-Latn-ME"/>
        </w:rPr>
        <w:t xml:space="preserve">Pretklinički podaci o bezbjednosti </w:t>
      </w:r>
    </w:p>
    <w:p w14:paraId="5736B2E6" w14:textId="77777777" w:rsidR="00836B35" w:rsidRPr="00616B65" w:rsidRDefault="00836B35" w:rsidP="005A340E">
      <w:pPr>
        <w:tabs>
          <w:tab w:val="left" w:pos="540"/>
          <w:tab w:val="left" w:pos="569"/>
        </w:tabs>
        <w:jc w:val="both"/>
        <w:rPr>
          <w:bCs/>
          <w:sz w:val="22"/>
          <w:szCs w:val="22"/>
          <w:lang w:val="sr-Latn-ME"/>
        </w:rPr>
      </w:pPr>
    </w:p>
    <w:p w14:paraId="69F538FA" w14:textId="7C06D30F" w:rsidR="00EC6808" w:rsidRPr="00616B65" w:rsidRDefault="00EC6808" w:rsidP="00C31FAA">
      <w:pPr>
        <w:tabs>
          <w:tab w:val="left" w:pos="540"/>
          <w:tab w:val="left" w:pos="569"/>
        </w:tabs>
        <w:jc w:val="both"/>
        <w:rPr>
          <w:sz w:val="22"/>
          <w:szCs w:val="22"/>
          <w:lang w:val="sr-Latn-ME"/>
        </w:rPr>
      </w:pPr>
      <w:r w:rsidRPr="00616B65">
        <w:rPr>
          <w:sz w:val="22"/>
          <w:szCs w:val="22"/>
          <w:lang w:val="sr-Latn-ME"/>
        </w:rPr>
        <w:t>Neželjene reakcije opisane u djelovima ,,Toksikologija” i ,,Reproduktivna toksičnost” u nastavku ni</w:t>
      </w:r>
      <w:r w:rsidR="00810B0D" w:rsidRPr="00616B65">
        <w:rPr>
          <w:sz w:val="22"/>
          <w:szCs w:val="22"/>
          <w:lang w:val="sr-Latn-ME"/>
        </w:rPr>
        <w:t>je</w:t>
      </w:r>
      <w:r w:rsidRPr="00616B65">
        <w:rPr>
          <w:sz w:val="22"/>
          <w:szCs w:val="22"/>
          <w:lang w:val="sr-Latn-ME"/>
        </w:rPr>
        <w:t>su bile primije</w:t>
      </w:r>
      <w:r w:rsidR="00231CB4" w:rsidRPr="00616B65">
        <w:rPr>
          <w:sz w:val="22"/>
          <w:szCs w:val="22"/>
          <w:lang w:val="sr-Latn-ME"/>
        </w:rPr>
        <w:t>ć</w:t>
      </w:r>
      <w:r w:rsidRPr="00616B65">
        <w:rPr>
          <w:sz w:val="22"/>
          <w:szCs w:val="22"/>
          <w:lang w:val="sr-Latn-ME"/>
        </w:rPr>
        <w:t>ene u kliničkim studijama, ali su primije</w:t>
      </w:r>
      <w:r w:rsidR="00231CB4" w:rsidRPr="00616B65">
        <w:rPr>
          <w:sz w:val="22"/>
          <w:szCs w:val="22"/>
          <w:lang w:val="sr-Latn-ME"/>
        </w:rPr>
        <w:t>ć</w:t>
      </w:r>
      <w:r w:rsidRPr="00616B65">
        <w:rPr>
          <w:sz w:val="22"/>
          <w:szCs w:val="22"/>
          <w:lang w:val="sr-Latn-ME"/>
        </w:rPr>
        <w:t>ene kod životinja na nivoima izloženosti sličnim nivoima kliničke izloženosti.</w:t>
      </w:r>
    </w:p>
    <w:p w14:paraId="7F97BAF0" w14:textId="77777777" w:rsidR="00EC6808" w:rsidRPr="00616B65" w:rsidRDefault="00EC6808" w:rsidP="0023493E">
      <w:pPr>
        <w:tabs>
          <w:tab w:val="left" w:pos="540"/>
          <w:tab w:val="left" w:pos="569"/>
        </w:tabs>
        <w:jc w:val="both"/>
        <w:rPr>
          <w:sz w:val="22"/>
          <w:szCs w:val="22"/>
          <w:lang w:val="sr-Latn-ME"/>
        </w:rPr>
      </w:pPr>
    </w:p>
    <w:p w14:paraId="7AEB8D82" w14:textId="77777777" w:rsidR="00EC6808" w:rsidRPr="00616B65" w:rsidRDefault="00EC6808">
      <w:pPr>
        <w:tabs>
          <w:tab w:val="left" w:pos="540"/>
          <w:tab w:val="left" w:pos="569"/>
        </w:tabs>
        <w:jc w:val="both"/>
        <w:rPr>
          <w:sz w:val="22"/>
          <w:szCs w:val="22"/>
          <w:u w:val="single"/>
          <w:lang w:val="sr-Latn-ME"/>
        </w:rPr>
      </w:pPr>
      <w:r w:rsidRPr="00616B65">
        <w:rPr>
          <w:sz w:val="22"/>
          <w:szCs w:val="22"/>
          <w:u w:val="single"/>
          <w:lang w:val="sr-Latn-ME"/>
        </w:rPr>
        <w:t>Mutageneza</w:t>
      </w:r>
    </w:p>
    <w:p w14:paraId="39A0AC0A" w14:textId="124D380C" w:rsidR="00EC6808" w:rsidRPr="00616B65" w:rsidRDefault="002635CF">
      <w:pPr>
        <w:tabs>
          <w:tab w:val="left" w:pos="540"/>
          <w:tab w:val="left" w:pos="569"/>
        </w:tabs>
        <w:jc w:val="both"/>
        <w:rPr>
          <w:sz w:val="22"/>
          <w:szCs w:val="22"/>
          <w:lang w:val="sr-Latn-ME"/>
        </w:rPr>
      </w:pPr>
      <w:r w:rsidRPr="00616B65">
        <w:rPr>
          <w:sz w:val="22"/>
          <w:szCs w:val="22"/>
          <w:lang w:val="sr-Latn-ME"/>
        </w:rPr>
        <w:t>Dimetil fumarat</w:t>
      </w:r>
      <w:r w:rsidR="00EC6808" w:rsidRPr="00616B65">
        <w:rPr>
          <w:sz w:val="22"/>
          <w:szCs w:val="22"/>
          <w:lang w:val="sr-Latn-ME"/>
        </w:rPr>
        <w:t xml:space="preserve"> i monometil</w:t>
      </w:r>
      <w:r w:rsidR="004412C0" w:rsidRPr="00616B65">
        <w:rPr>
          <w:sz w:val="22"/>
          <w:szCs w:val="22"/>
          <w:lang w:val="sr-Latn-ME"/>
        </w:rPr>
        <w:t xml:space="preserve"> </w:t>
      </w:r>
      <w:r w:rsidR="00EC6808" w:rsidRPr="00616B65">
        <w:rPr>
          <w:sz w:val="22"/>
          <w:szCs w:val="22"/>
          <w:lang w:val="sr-Latn-ME"/>
        </w:rPr>
        <w:t xml:space="preserve">fumarat su bili negativni u nizu </w:t>
      </w:r>
      <w:r w:rsidR="00EC6808" w:rsidRPr="00616B65">
        <w:rPr>
          <w:i/>
          <w:sz w:val="22"/>
          <w:szCs w:val="22"/>
          <w:lang w:val="sr-Latn-ME"/>
        </w:rPr>
        <w:t>in vitro</w:t>
      </w:r>
      <w:r w:rsidR="00EC6808" w:rsidRPr="00616B65">
        <w:rPr>
          <w:sz w:val="22"/>
          <w:szCs w:val="22"/>
          <w:lang w:val="sr-Latn-ME"/>
        </w:rPr>
        <w:t xml:space="preserve"> testova za ispitivanje mutagenosti (Amesov test, hromozomska aberacija u ćelijama sisara). </w:t>
      </w:r>
      <w:r w:rsidRPr="00616B65">
        <w:rPr>
          <w:sz w:val="22"/>
          <w:szCs w:val="22"/>
          <w:lang w:val="sr-Latn-ME"/>
        </w:rPr>
        <w:t>Dimetil fumarat</w:t>
      </w:r>
      <w:r w:rsidR="00EC6808" w:rsidRPr="00616B65">
        <w:rPr>
          <w:sz w:val="22"/>
          <w:szCs w:val="22"/>
          <w:lang w:val="sr-Latn-ME"/>
        </w:rPr>
        <w:t xml:space="preserve"> je bio negativan u </w:t>
      </w:r>
      <w:r w:rsidR="00EC6808" w:rsidRPr="00616B65">
        <w:rPr>
          <w:i/>
          <w:sz w:val="22"/>
          <w:szCs w:val="22"/>
          <w:lang w:val="sr-Latn-ME"/>
        </w:rPr>
        <w:t>in vivo</w:t>
      </w:r>
      <w:r w:rsidR="00EC6808" w:rsidRPr="00616B65">
        <w:rPr>
          <w:sz w:val="22"/>
          <w:szCs w:val="22"/>
          <w:lang w:val="sr-Latn-ME"/>
        </w:rPr>
        <w:t xml:space="preserve"> mikronukleusnom testu kod pacova. </w:t>
      </w:r>
    </w:p>
    <w:p w14:paraId="63F4C031" w14:textId="77777777" w:rsidR="00EC6808" w:rsidRPr="00616B65" w:rsidRDefault="00EC6808">
      <w:pPr>
        <w:tabs>
          <w:tab w:val="left" w:pos="540"/>
          <w:tab w:val="left" w:pos="569"/>
        </w:tabs>
        <w:jc w:val="both"/>
        <w:rPr>
          <w:sz w:val="22"/>
          <w:szCs w:val="22"/>
          <w:lang w:val="sr-Latn-ME"/>
        </w:rPr>
      </w:pPr>
    </w:p>
    <w:p w14:paraId="3F7DF95C" w14:textId="77777777" w:rsidR="00EC6808" w:rsidRPr="00616B65" w:rsidRDefault="00EC6808">
      <w:pPr>
        <w:tabs>
          <w:tab w:val="left" w:pos="540"/>
          <w:tab w:val="left" w:pos="569"/>
        </w:tabs>
        <w:jc w:val="both"/>
        <w:rPr>
          <w:sz w:val="22"/>
          <w:szCs w:val="22"/>
          <w:u w:val="single"/>
          <w:lang w:val="sr-Latn-ME"/>
        </w:rPr>
      </w:pPr>
      <w:r w:rsidRPr="00616B65">
        <w:rPr>
          <w:sz w:val="22"/>
          <w:szCs w:val="22"/>
          <w:u w:val="single"/>
          <w:lang w:val="sr-Latn-ME"/>
        </w:rPr>
        <w:t>Karcinogeneza</w:t>
      </w:r>
    </w:p>
    <w:p w14:paraId="5ED404EE" w14:textId="02718023" w:rsidR="00EC6808" w:rsidRPr="00616B65" w:rsidRDefault="00EC6808">
      <w:pPr>
        <w:tabs>
          <w:tab w:val="left" w:pos="540"/>
          <w:tab w:val="left" w:pos="569"/>
        </w:tabs>
        <w:jc w:val="both"/>
        <w:rPr>
          <w:sz w:val="22"/>
          <w:szCs w:val="22"/>
          <w:lang w:val="sr-Latn-ME"/>
        </w:rPr>
      </w:pPr>
      <w:r w:rsidRPr="00616B65">
        <w:rPr>
          <w:sz w:val="22"/>
          <w:szCs w:val="22"/>
          <w:lang w:val="sr-Latn-ME"/>
        </w:rPr>
        <w:t xml:space="preserve">Ispitivanja karcinogenosti </w:t>
      </w:r>
      <w:r w:rsidR="002635CF" w:rsidRPr="00616B65">
        <w:rPr>
          <w:sz w:val="22"/>
          <w:szCs w:val="22"/>
          <w:lang w:val="sr-Latn-ME"/>
        </w:rPr>
        <w:t>dimetil fumarat</w:t>
      </w:r>
      <w:r w:rsidRPr="00616B65">
        <w:rPr>
          <w:sz w:val="22"/>
          <w:szCs w:val="22"/>
          <w:lang w:val="sr-Latn-ME"/>
        </w:rPr>
        <w:t xml:space="preserve">a sprovedena su u periodu do 2 godine kod miševa i pacova. </w:t>
      </w:r>
      <w:r w:rsidR="002635CF" w:rsidRPr="00616B65">
        <w:rPr>
          <w:sz w:val="22"/>
          <w:szCs w:val="22"/>
          <w:lang w:val="sr-Latn-ME"/>
        </w:rPr>
        <w:t>Dimetil fumarat</w:t>
      </w:r>
      <w:r w:rsidRPr="00616B65">
        <w:rPr>
          <w:sz w:val="22"/>
          <w:szCs w:val="22"/>
          <w:lang w:val="sr-Latn-ME"/>
        </w:rPr>
        <w:t xml:space="preserve"> je davan oralno u dozama od 25, 75, 200 i 400 mg/kg/dan kod miševa i u dozama od 25, 50, 100 i 150 mg/kg/dan kod pacova. Kod miševa, učestalost tubularnog karcinoma bubrega bila je povećana </w:t>
      </w:r>
      <w:r w:rsidR="00810B0D" w:rsidRPr="00616B65">
        <w:rPr>
          <w:sz w:val="22"/>
          <w:szCs w:val="22"/>
          <w:lang w:val="sr-Latn-ME"/>
        </w:rPr>
        <w:t>pri dozi od</w:t>
      </w:r>
      <w:r w:rsidRPr="00616B65">
        <w:rPr>
          <w:sz w:val="22"/>
          <w:szCs w:val="22"/>
          <w:lang w:val="sr-Latn-ME"/>
        </w:rPr>
        <w:t xml:space="preserve"> 75 mg/kg/dan, pri ekvivalentnoj izloženosti (PIK) preporučene doze za ljude. Kod pacova, učestalost tubularnog karcinoma bubrega bila je povećana </w:t>
      </w:r>
      <w:r w:rsidR="00810B0D" w:rsidRPr="00616B65">
        <w:rPr>
          <w:sz w:val="22"/>
          <w:szCs w:val="22"/>
          <w:lang w:val="sr-Latn-ME"/>
        </w:rPr>
        <w:t xml:space="preserve">primjenom doze od </w:t>
      </w:r>
      <w:r w:rsidRPr="00616B65">
        <w:rPr>
          <w:sz w:val="22"/>
          <w:szCs w:val="22"/>
          <w:lang w:val="sr-Latn-ME"/>
        </w:rPr>
        <w:t xml:space="preserve">100 mg/kg/dan, pri približno 2 puta većoj izloženosti od preporučene doze za ljude. Nije poznat značaj ovih nalaza za rizik po ljude. </w:t>
      </w:r>
    </w:p>
    <w:p w14:paraId="06CDF562" w14:textId="77777777" w:rsidR="00EC6808" w:rsidRPr="00616B65" w:rsidRDefault="00EC6808">
      <w:pPr>
        <w:tabs>
          <w:tab w:val="left" w:pos="540"/>
          <w:tab w:val="left" w:pos="569"/>
        </w:tabs>
        <w:jc w:val="both"/>
        <w:rPr>
          <w:sz w:val="22"/>
          <w:szCs w:val="22"/>
          <w:lang w:val="sr-Latn-ME"/>
        </w:rPr>
      </w:pPr>
    </w:p>
    <w:p w14:paraId="264B58B1" w14:textId="574D7B55" w:rsidR="00EC6808" w:rsidRPr="00616B65" w:rsidRDefault="00EC6808">
      <w:pPr>
        <w:tabs>
          <w:tab w:val="left" w:pos="540"/>
          <w:tab w:val="left" w:pos="569"/>
        </w:tabs>
        <w:jc w:val="both"/>
        <w:rPr>
          <w:sz w:val="22"/>
          <w:szCs w:val="22"/>
          <w:lang w:val="sr-Latn-ME"/>
        </w:rPr>
      </w:pPr>
      <w:r w:rsidRPr="00616B65">
        <w:rPr>
          <w:sz w:val="22"/>
          <w:szCs w:val="22"/>
          <w:lang w:val="sr-Latn-ME"/>
        </w:rPr>
        <w:t xml:space="preserve">Učestalost papiloma skvamoznih </w:t>
      </w:r>
      <w:r w:rsidR="00231CB4" w:rsidRPr="00616B65">
        <w:rPr>
          <w:sz w:val="22"/>
          <w:szCs w:val="22"/>
          <w:lang w:val="sr-Latn-ME"/>
        </w:rPr>
        <w:t>ć</w:t>
      </w:r>
      <w:r w:rsidRPr="00616B65">
        <w:rPr>
          <w:sz w:val="22"/>
          <w:szCs w:val="22"/>
          <w:lang w:val="sr-Latn-ME"/>
        </w:rPr>
        <w:t>elija i karcinoma nežl</w:t>
      </w:r>
      <w:r w:rsidR="00810B0D" w:rsidRPr="00616B65">
        <w:rPr>
          <w:sz w:val="22"/>
          <w:szCs w:val="22"/>
          <w:lang w:val="sr-Latn-ME"/>
        </w:rPr>
        <w:t>j</w:t>
      </w:r>
      <w:r w:rsidRPr="00616B65">
        <w:rPr>
          <w:sz w:val="22"/>
          <w:szCs w:val="22"/>
          <w:lang w:val="sr-Latn-ME"/>
        </w:rPr>
        <w:t xml:space="preserve">ezdanog želuca (predželuca) bila je povećana pri ekvivalentnoj izloženosti preporučenoj dozi za ljude kod miševa i ispod izloženosti preporučenoj dozi za ljude kod pacova (na osnovu PIK). Predželudac kod glodara nema ekvivalenta kod ljudi. </w:t>
      </w:r>
    </w:p>
    <w:p w14:paraId="33963899" w14:textId="77777777" w:rsidR="00EC6808" w:rsidRPr="00616B65" w:rsidRDefault="00EC6808">
      <w:pPr>
        <w:tabs>
          <w:tab w:val="left" w:pos="540"/>
          <w:tab w:val="left" w:pos="569"/>
        </w:tabs>
        <w:jc w:val="both"/>
        <w:rPr>
          <w:sz w:val="22"/>
          <w:szCs w:val="22"/>
          <w:lang w:val="sr-Latn-ME"/>
        </w:rPr>
      </w:pPr>
    </w:p>
    <w:p w14:paraId="25060533" w14:textId="77777777" w:rsidR="00EC6808" w:rsidRPr="00616B65" w:rsidRDefault="00EC6808">
      <w:pPr>
        <w:tabs>
          <w:tab w:val="left" w:pos="540"/>
          <w:tab w:val="left" w:pos="569"/>
        </w:tabs>
        <w:jc w:val="both"/>
        <w:rPr>
          <w:sz w:val="22"/>
          <w:szCs w:val="22"/>
          <w:u w:val="single"/>
          <w:lang w:val="sr-Latn-ME"/>
        </w:rPr>
      </w:pPr>
      <w:r w:rsidRPr="00616B65">
        <w:rPr>
          <w:sz w:val="22"/>
          <w:szCs w:val="22"/>
          <w:u w:val="single"/>
          <w:lang w:val="sr-Latn-ME"/>
        </w:rPr>
        <w:t>Toksikologija</w:t>
      </w:r>
    </w:p>
    <w:p w14:paraId="7302312B" w14:textId="1B6ED914" w:rsidR="00EC6808" w:rsidRPr="00616B65" w:rsidRDefault="00EC6808">
      <w:pPr>
        <w:tabs>
          <w:tab w:val="left" w:pos="540"/>
          <w:tab w:val="left" w:pos="569"/>
        </w:tabs>
        <w:jc w:val="both"/>
        <w:rPr>
          <w:sz w:val="22"/>
          <w:szCs w:val="22"/>
          <w:lang w:val="sr-Latn-ME"/>
        </w:rPr>
      </w:pPr>
      <w:r w:rsidRPr="00616B65">
        <w:rPr>
          <w:sz w:val="22"/>
          <w:szCs w:val="22"/>
          <w:lang w:val="sr-Latn-ME"/>
        </w:rPr>
        <w:t>Pretklinička ispitivanja sprovedena su kod glodara, kunića i majmuna sa suspenzijom dimetil</w:t>
      </w:r>
      <w:r w:rsidR="002635CF" w:rsidRPr="00616B65">
        <w:rPr>
          <w:sz w:val="22"/>
          <w:szCs w:val="22"/>
          <w:lang w:val="sr-Latn-ME"/>
        </w:rPr>
        <w:t xml:space="preserve"> </w:t>
      </w:r>
      <w:r w:rsidRPr="00616B65">
        <w:rPr>
          <w:sz w:val="22"/>
          <w:szCs w:val="22"/>
          <w:lang w:val="sr-Latn-ME"/>
        </w:rPr>
        <w:t>fumarata (dimetil</w:t>
      </w:r>
      <w:r w:rsidR="002635CF" w:rsidRPr="00616B65">
        <w:rPr>
          <w:sz w:val="22"/>
          <w:szCs w:val="22"/>
          <w:lang w:val="sr-Latn-ME"/>
        </w:rPr>
        <w:t xml:space="preserve"> </w:t>
      </w:r>
      <w:r w:rsidRPr="00616B65">
        <w:rPr>
          <w:sz w:val="22"/>
          <w:szCs w:val="22"/>
          <w:lang w:val="sr-Latn-ME"/>
        </w:rPr>
        <w:t>fumarat u 0,8% hidroksipropilmetilcelulozi) koja je prim</w:t>
      </w:r>
      <w:r w:rsidR="00810B0D" w:rsidRPr="00616B65">
        <w:rPr>
          <w:sz w:val="22"/>
          <w:szCs w:val="22"/>
          <w:lang w:val="sr-Latn-ME"/>
        </w:rPr>
        <w:t>ij</w:t>
      </w:r>
      <w:r w:rsidRPr="00616B65">
        <w:rPr>
          <w:sz w:val="22"/>
          <w:szCs w:val="22"/>
          <w:lang w:val="sr-Latn-ME"/>
        </w:rPr>
        <w:t>enjena gastričnom sondom. Ispitivanje hronične toksičnosti kod pasa sprovedeno je oralnom prim</w:t>
      </w:r>
      <w:r w:rsidR="00810B0D" w:rsidRPr="00616B65">
        <w:rPr>
          <w:sz w:val="22"/>
          <w:szCs w:val="22"/>
          <w:lang w:val="sr-Latn-ME"/>
        </w:rPr>
        <w:t>j</w:t>
      </w:r>
      <w:r w:rsidRPr="00616B65">
        <w:rPr>
          <w:sz w:val="22"/>
          <w:szCs w:val="22"/>
          <w:lang w:val="sr-Latn-ME"/>
        </w:rPr>
        <w:t xml:space="preserve">enom kapsula </w:t>
      </w:r>
      <w:r w:rsidR="002635CF" w:rsidRPr="00616B65">
        <w:rPr>
          <w:sz w:val="22"/>
          <w:szCs w:val="22"/>
          <w:lang w:val="sr-Latn-ME"/>
        </w:rPr>
        <w:t>dimetil fumarat</w:t>
      </w:r>
      <w:r w:rsidRPr="00616B65">
        <w:rPr>
          <w:sz w:val="22"/>
          <w:szCs w:val="22"/>
          <w:lang w:val="sr-Latn-ME"/>
        </w:rPr>
        <w:t xml:space="preserve">a. </w:t>
      </w:r>
    </w:p>
    <w:p w14:paraId="36252EF1" w14:textId="77777777" w:rsidR="00EC6808" w:rsidRPr="00616B65" w:rsidRDefault="00EC6808">
      <w:pPr>
        <w:tabs>
          <w:tab w:val="left" w:pos="540"/>
          <w:tab w:val="left" w:pos="569"/>
        </w:tabs>
        <w:jc w:val="both"/>
        <w:rPr>
          <w:sz w:val="22"/>
          <w:szCs w:val="22"/>
          <w:lang w:val="sr-Latn-ME"/>
        </w:rPr>
      </w:pPr>
    </w:p>
    <w:p w14:paraId="4B8691D1" w14:textId="33747B91" w:rsidR="00EC6808" w:rsidRPr="00616B65" w:rsidRDefault="00EC6808">
      <w:pPr>
        <w:tabs>
          <w:tab w:val="left" w:pos="540"/>
          <w:tab w:val="left" w:pos="569"/>
        </w:tabs>
        <w:jc w:val="both"/>
        <w:rPr>
          <w:sz w:val="22"/>
          <w:szCs w:val="22"/>
          <w:lang w:val="sr-Latn-ME"/>
        </w:rPr>
      </w:pPr>
      <w:r w:rsidRPr="00616B65">
        <w:rPr>
          <w:sz w:val="22"/>
          <w:szCs w:val="22"/>
          <w:lang w:val="sr-Latn-ME"/>
        </w:rPr>
        <w:t>Prim</w:t>
      </w:r>
      <w:r w:rsidR="00810B0D" w:rsidRPr="00616B65">
        <w:rPr>
          <w:sz w:val="22"/>
          <w:szCs w:val="22"/>
          <w:lang w:val="sr-Latn-ME"/>
        </w:rPr>
        <w:t>ij</w:t>
      </w:r>
      <w:r w:rsidRPr="00616B65">
        <w:rPr>
          <w:sz w:val="22"/>
          <w:szCs w:val="22"/>
          <w:lang w:val="sr-Latn-ME"/>
        </w:rPr>
        <w:t>ećene su prom</w:t>
      </w:r>
      <w:r w:rsidR="00810B0D" w:rsidRPr="00616B65">
        <w:rPr>
          <w:sz w:val="22"/>
          <w:szCs w:val="22"/>
          <w:lang w:val="sr-Latn-ME"/>
        </w:rPr>
        <w:t>j</w:t>
      </w:r>
      <w:r w:rsidRPr="00616B65">
        <w:rPr>
          <w:sz w:val="22"/>
          <w:szCs w:val="22"/>
          <w:lang w:val="sr-Latn-ME"/>
        </w:rPr>
        <w:t>ene na bubrezima nakon ponovljene oralne prim</w:t>
      </w:r>
      <w:r w:rsidR="00810B0D" w:rsidRPr="00616B65">
        <w:rPr>
          <w:sz w:val="22"/>
          <w:szCs w:val="22"/>
          <w:lang w:val="sr-Latn-ME"/>
        </w:rPr>
        <w:t>j</w:t>
      </w:r>
      <w:r w:rsidRPr="00616B65">
        <w:rPr>
          <w:sz w:val="22"/>
          <w:szCs w:val="22"/>
          <w:lang w:val="sr-Latn-ME"/>
        </w:rPr>
        <w:t xml:space="preserve">ene </w:t>
      </w:r>
      <w:r w:rsidR="002635CF" w:rsidRPr="00616B65">
        <w:rPr>
          <w:sz w:val="22"/>
          <w:szCs w:val="22"/>
          <w:lang w:val="sr-Latn-ME"/>
        </w:rPr>
        <w:t>dimetil fumarat</w:t>
      </w:r>
      <w:r w:rsidRPr="00616B65">
        <w:rPr>
          <w:sz w:val="22"/>
          <w:szCs w:val="22"/>
          <w:lang w:val="sr-Latn-ME"/>
        </w:rPr>
        <w:t>a kod miševa, pacova, pasa i majmuna. Kod svih vrsta životinja prim</w:t>
      </w:r>
      <w:r w:rsidR="00810B0D" w:rsidRPr="00616B65">
        <w:rPr>
          <w:sz w:val="22"/>
          <w:szCs w:val="22"/>
          <w:lang w:val="sr-Latn-ME"/>
        </w:rPr>
        <w:t>ij</w:t>
      </w:r>
      <w:r w:rsidRPr="00616B65">
        <w:rPr>
          <w:sz w:val="22"/>
          <w:szCs w:val="22"/>
          <w:lang w:val="sr-Latn-ME"/>
        </w:rPr>
        <w:t>ećena je regeneracija bubrežnog tubularnog epitela, što upućuje na pojavu povrede. Kod pacova sa doživotnim doziranjem (2-godišnje ispitivanje) prim</w:t>
      </w:r>
      <w:r w:rsidR="00810B0D" w:rsidRPr="00616B65">
        <w:rPr>
          <w:sz w:val="22"/>
          <w:szCs w:val="22"/>
          <w:lang w:val="sr-Latn-ME"/>
        </w:rPr>
        <w:t>ij</w:t>
      </w:r>
      <w:r w:rsidRPr="00616B65">
        <w:rPr>
          <w:sz w:val="22"/>
          <w:szCs w:val="22"/>
          <w:lang w:val="sr-Latn-ME"/>
        </w:rPr>
        <w:t xml:space="preserve">ećena je bubrežna tubularna hiperplazija. Kod pasa koji su dnevne oralne doze </w:t>
      </w:r>
      <w:r w:rsidR="002635CF" w:rsidRPr="00616B65">
        <w:rPr>
          <w:sz w:val="22"/>
          <w:szCs w:val="22"/>
          <w:lang w:val="sr-Latn-ME"/>
        </w:rPr>
        <w:t>dimetil fumarat</w:t>
      </w:r>
      <w:r w:rsidRPr="00616B65">
        <w:rPr>
          <w:sz w:val="22"/>
          <w:szCs w:val="22"/>
          <w:lang w:val="sr-Latn-ME"/>
        </w:rPr>
        <w:t xml:space="preserve">a </w:t>
      </w:r>
      <w:r w:rsidRPr="00616B65">
        <w:rPr>
          <w:sz w:val="22"/>
          <w:szCs w:val="22"/>
          <w:lang w:val="sr-Latn-ME"/>
        </w:rPr>
        <w:lastRenderedPageBreak/>
        <w:t>primali tokom 11 m</w:t>
      </w:r>
      <w:r w:rsidR="002635CF" w:rsidRPr="00616B65">
        <w:rPr>
          <w:sz w:val="22"/>
          <w:szCs w:val="22"/>
          <w:lang w:val="sr-Latn-ME"/>
        </w:rPr>
        <w:t>j</w:t>
      </w:r>
      <w:r w:rsidRPr="00616B65">
        <w:rPr>
          <w:sz w:val="22"/>
          <w:szCs w:val="22"/>
          <w:lang w:val="sr-Latn-ME"/>
        </w:rPr>
        <w:t>eseci, granica izračunata za kortikalnu atrofiju prim</w:t>
      </w:r>
      <w:r w:rsidR="002635CF" w:rsidRPr="00616B65">
        <w:rPr>
          <w:sz w:val="22"/>
          <w:szCs w:val="22"/>
          <w:lang w:val="sr-Latn-ME"/>
        </w:rPr>
        <w:t>ij</w:t>
      </w:r>
      <w:r w:rsidRPr="00616B65">
        <w:rPr>
          <w:sz w:val="22"/>
          <w:szCs w:val="22"/>
          <w:lang w:val="sr-Latn-ME"/>
        </w:rPr>
        <w:t xml:space="preserve">ećena je na osnovu PIK kod doze 3 puta veće od preporučene. Kod majmuna koji su dnevne oralne doze </w:t>
      </w:r>
      <w:r w:rsidR="002635CF" w:rsidRPr="00616B65">
        <w:rPr>
          <w:sz w:val="22"/>
          <w:szCs w:val="22"/>
          <w:lang w:val="sr-Latn-ME"/>
        </w:rPr>
        <w:t>dimetil fumarat</w:t>
      </w:r>
      <w:r w:rsidRPr="00616B65">
        <w:rPr>
          <w:sz w:val="22"/>
          <w:szCs w:val="22"/>
          <w:lang w:val="sr-Latn-ME"/>
        </w:rPr>
        <w:t>a primali tokom 12 m</w:t>
      </w:r>
      <w:r w:rsidR="002635CF" w:rsidRPr="00616B65">
        <w:rPr>
          <w:sz w:val="22"/>
          <w:szCs w:val="22"/>
          <w:lang w:val="sr-Latn-ME"/>
        </w:rPr>
        <w:t>j</w:t>
      </w:r>
      <w:r w:rsidRPr="00616B65">
        <w:rPr>
          <w:sz w:val="22"/>
          <w:szCs w:val="22"/>
          <w:lang w:val="sr-Latn-ME"/>
        </w:rPr>
        <w:t>eseci, nekroza pojedinih ćelija uočena je na osnovu PIK kod doze 2 puta veće od preporučene. Intersticijska fibroza i kortikalna atrofija prim</w:t>
      </w:r>
      <w:r w:rsidR="002635CF" w:rsidRPr="00616B65">
        <w:rPr>
          <w:sz w:val="22"/>
          <w:szCs w:val="22"/>
          <w:lang w:val="sr-Latn-ME"/>
        </w:rPr>
        <w:t>ij</w:t>
      </w:r>
      <w:r w:rsidRPr="00616B65">
        <w:rPr>
          <w:sz w:val="22"/>
          <w:szCs w:val="22"/>
          <w:lang w:val="sr-Latn-ME"/>
        </w:rPr>
        <w:t>ećene su na osnovu PIK kod doze 6 puta veće od preporučene. Nije poznat značaj ovih nalaza za ljude.</w:t>
      </w:r>
    </w:p>
    <w:p w14:paraId="0494D699" w14:textId="77777777" w:rsidR="00EC6808" w:rsidRPr="00616B65" w:rsidRDefault="00EC6808">
      <w:pPr>
        <w:tabs>
          <w:tab w:val="left" w:pos="540"/>
          <w:tab w:val="left" w:pos="569"/>
        </w:tabs>
        <w:jc w:val="both"/>
        <w:rPr>
          <w:sz w:val="22"/>
          <w:szCs w:val="22"/>
          <w:lang w:val="sr-Latn-ME"/>
        </w:rPr>
      </w:pPr>
    </w:p>
    <w:p w14:paraId="5CF94CA0" w14:textId="14169E13" w:rsidR="00EC6808" w:rsidRPr="00616B65" w:rsidRDefault="00EC6808">
      <w:pPr>
        <w:tabs>
          <w:tab w:val="left" w:pos="540"/>
          <w:tab w:val="left" w:pos="569"/>
        </w:tabs>
        <w:jc w:val="both"/>
        <w:rPr>
          <w:sz w:val="22"/>
          <w:szCs w:val="22"/>
          <w:lang w:val="sr-Latn-ME"/>
        </w:rPr>
      </w:pPr>
      <w:r w:rsidRPr="00616B65">
        <w:rPr>
          <w:sz w:val="22"/>
          <w:szCs w:val="22"/>
          <w:lang w:val="sr-Latn-ME"/>
        </w:rPr>
        <w:t>Prim</w:t>
      </w:r>
      <w:r w:rsidR="002635CF" w:rsidRPr="00616B65">
        <w:rPr>
          <w:sz w:val="22"/>
          <w:szCs w:val="22"/>
          <w:lang w:val="sr-Latn-ME"/>
        </w:rPr>
        <w:t>ij</w:t>
      </w:r>
      <w:r w:rsidRPr="00616B65">
        <w:rPr>
          <w:sz w:val="22"/>
          <w:szCs w:val="22"/>
          <w:lang w:val="sr-Latn-ME"/>
        </w:rPr>
        <w:t>ećena je degeneracija seminifernog epitela u testisima pacova i pasa. Nalazi su prim</w:t>
      </w:r>
      <w:r w:rsidR="002635CF" w:rsidRPr="00616B65">
        <w:rPr>
          <w:sz w:val="22"/>
          <w:szCs w:val="22"/>
          <w:lang w:val="sr-Latn-ME"/>
        </w:rPr>
        <w:t>ij</w:t>
      </w:r>
      <w:r w:rsidRPr="00616B65">
        <w:rPr>
          <w:sz w:val="22"/>
          <w:szCs w:val="22"/>
          <w:lang w:val="sr-Latn-ME"/>
        </w:rPr>
        <w:t>ećeni pri prim</w:t>
      </w:r>
      <w:r w:rsidR="009E6297" w:rsidRPr="00616B65">
        <w:rPr>
          <w:sz w:val="22"/>
          <w:szCs w:val="22"/>
          <w:lang w:val="sr-Latn-ME"/>
        </w:rPr>
        <w:t>j</w:t>
      </w:r>
      <w:r w:rsidRPr="00616B65">
        <w:rPr>
          <w:sz w:val="22"/>
          <w:szCs w:val="22"/>
          <w:lang w:val="sr-Latn-ME"/>
        </w:rPr>
        <w:t xml:space="preserve">eni približno preporučene doze kod pacova i one 3 puta veće od preporučene doze kod pasa (na osnovu PIK). Nije poznat značaj ovih nalaza za ljude. </w:t>
      </w:r>
    </w:p>
    <w:p w14:paraId="62FD73EF" w14:textId="77777777" w:rsidR="00EC6808" w:rsidRPr="00616B65" w:rsidRDefault="00EC6808">
      <w:pPr>
        <w:tabs>
          <w:tab w:val="left" w:pos="540"/>
          <w:tab w:val="left" w:pos="569"/>
        </w:tabs>
        <w:jc w:val="both"/>
        <w:rPr>
          <w:sz w:val="22"/>
          <w:szCs w:val="22"/>
          <w:lang w:val="sr-Latn-ME"/>
        </w:rPr>
      </w:pPr>
    </w:p>
    <w:p w14:paraId="3055818D" w14:textId="2E315245" w:rsidR="00EC6808" w:rsidRPr="00616B65" w:rsidRDefault="00EC6808">
      <w:pPr>
        <w:tabs>
          <w:tab w:val="left" w:pos="540"/>
          <w:tab w:val="left" w:pos="569"/>
        </w:tabs>
        <w:jc w:val="both"/>
        <w:rPr>
          <w:sz w:val="22"/>
          <w:szCs w:val="22"/>
          <w:lang w:val="sr-Latn-ME"/>
        </w:rPr>
      </w:pPr>
      <w:r w:rsidRPr="00616B65">
        <w:rPr>
          <w:sz w:val="22"/>
          <w:szCs w:val="22"/>
          <w:lang w:val="sr-Latn-ME"/>
        </w:rPr>
        <w:t>U ispitivanjima u trajanju od 3 m</w:t>
      </w:r>
      <w:r w:rsidR="002635CF" w:rsidRPr="00616B65">
        <w:rPr>
          <w:sz w:val="22"/>
          <w:szCs w:val="22"/>
          <w:lang w:val="sr-Latn-ME"/>
        </w:rPr>
        <w:t>j</w:t>
      </w:r>
      <w:r w:rsidRPr="00616B65">
        <w:rPr>
          <w:sz w:val="22"/>
          <w:szCs w:val="22"/>
          <w:lang w:val="sr-Latn-ME"/>
        </w:rPr>
        <w:t xml:space="preserve">eseca ili dužim, predželudac miševa i pacova se sastojao od hiperplazije skvamoznog epitela i hiperkeratoze, zapaljenja i papiloma skvamoznih ćelija i karcinoma. Predželudac miševa i pacova nema ekvivalenta kod ljudi. </w:t>
      </w:r>
    </w:p>
    <w:p w14:paraId="5B57BD03" w14:textId="77777777" w:rsidR="00EC6808" w:rsidRPr="00616B65" w:rsidRDefault="00EC6808">
      <w:pPr>
        <w:tabs>
          <w:tab w:val="left" w:pos="540"/>
          <w:tab w:val="left" w:pos="569"/>
        </w:tabs>
        <w:jc w:val="both"/>
        <w:rPr>
          <w:sz w:val="22"/>
          <w:szCs w:val="22"/>
          <w:lang w:val="sr-Latn-ME"/>
        </w:rPr>
      </w:pPr>
    </w:p>
    <w:p w14:paraId="3F97EC9C" w14:textId="77777777" w:rsidR="002635CF" w:rsidRPr="00616B65" w:rsidRDefault="00EC6808">
      <w:pPr>
        <w:tabs>
          <w:tab w:val="left" w:pos="540"/>
          <w:tab w:val="left" w:pos="569"/>
        </w:tabs>
        <w:jc w:val="both"/>
        <w:rPr>
          <w:sz w:val="22"/>
          <w:szCs w:val="22"/>
          <w:lang w:val="sr-Latn-ME"/>
        </w:rPr>
      </w:pPr>
      <w:r w:rsidRPr="00616B65">
        <w:rPr>
          <w:sz w:val="22"/>
          <w:szCs w:val="22"/>
          <w:lang w:val="sr-Latn-ME"/>
        </w:rPr>
        <w:t xml:space="preserve">Reproduktivna toksičnost </w:t>
      </w:r>
    </w:p>
    <w:p w14:paraId="4FFAFE2C" w14:textId="440EF003" w:rsidR="00EC6808" w:rsidRPr="00616B65" w:rsidRDefault="00EC6808">
      <w:pPr>
        <w:tabs>
          <w:tab w:val="left" w:pos="540"/>
          <w:tab w:val="left" w:pos="569"/>
        </w:tabs>
        <w:jc w:val="both"/>
        <w:rPr>
          <w:sz w:val="22"/>
          <w:szCs w:val="22"/>
          <w:lang w:val="sr-Latn-ME"/>
        </w:rPr>
      </w:pPr>
      <w:r w:rsidRPr="00616B65">
        <w:rPr>
          <w:sz w:val="22"/>
          <w:szCs w:val="22"/>
          <w:lang w:val="sr-Latn-ME"/>
        </w:rPr>
        <w:t xml:space="preserve">Oralna </w:t>
      </w:r>
      <w:r w:rsidR="002635CF" w:rsidRPr="00616B65">
        <w:rPr>
          <w:sz w:val="22"/>
          <w:szCs w:val="22"/>
          <w:lang w:val="sr-Latn-ME"/>
        </w:rPr>
        <w:t>primjena</w:t>
      </w:r>
      <w:r w:rsidRPr="00616B65">
        <w:rPr>
          <w:sz w:val="22"/>
          <w:szCs w:val="22"/>
          <w:lang w:val="sr-Latn-ME"/>
        </w:rPr>
        <w:t xml:space="preserve"> </w:t>
      </w:r>
      <w:r w:rsidR="002635CF" w:rsidRPr="00616B65">
        <w:rPr>
          <w:sz w:val="22"/>
          <w:szCs w:val="22"/>
          <w:lang w:val="sr-Latn-ME"/>
        </w:rPr>
        <w:t>dimetil fumarat</w:t>
      </w:r>
      <w:r w:rsidRPr="00616B65">
        <w:rPr>
          <w:sz w:val="22"/>
          <w:szCs w:val="22"/>
          <w:lang w:val="sr-Latn-ME"/>
        </w:rPr>
        <w:t>a kod mužjaka pacova u dozama od 75, 250 i 375 mg/kg/dan pr</w:t>
      </w:r>
      <w:r w:rsidR="009E6297" w:rsidRPr="00616B65">
        <w:rPr>
          <w:sz w:val="22"/>
          <w:szCs w:val="22"/>
          <w:lang w:val="sr-Latn-ME"/>
        </w:rPr>
        <w:t>ij</w:t>
      </w:r>
      <w:r w:rsidRPr="00616B65">
        <w:rPr>
          <w:sz w:val="22"/>
          <w:szCs w:val="22"/>
          <w:lang w:val="sr-Latn-ME"/>
        </w:rPr>
        <w:t>e i tokom parenja nije imala uticaja na plodnost mužjaka do najveće testirane doze (najmanje 2 puta veće od 17 od 19 preporučene doze na osnovu PIK). Pri oralnoj prim</w:t>
      </w:r>
      <w:r w:rsidR="009E6297" w:rsidRPr="00616B65">
        <w:rPr>
          <w:sz w:val="22"/>
          <w:szCs w:val="22"/>
          <w:lang w:val="sr-Latn-ME"/>
        </w:rPr>
        <w:t>j</w:t>
      </w:r>
      <w:r w:rsidRPr="00616B65">
        <w:rPr>
          <w:sz w:val="22"/>
          <w:szCs w:val="22"/>
          <w:lang w:val="sr-Latn-ME"/>
        </w:rPr>
        <w:t xml:space="preserve">eni </w:t>
      </w:r>
      <w:r w:rsidR="002635CF" w:rsidRPr="00616B65">
        <w:rPr>
          <w:sz w:val="22"/>
          <w:szCs w:val="22"/>
          <w:lang w:val="sr-Latn-ME"/>
        </w:rPr>
        <w:t>dimetil fumarat</w:t>
      </w:r>
      <w:r w:rsidRPr="00616B65">
        <w:rPr>
          <w:sz w:val="22"/>
          <w:szCs w:val="22"/>
          <w:lang w:val="sr-Latn-ME"/>
        </w:rPr>
        <w:t>a kod ženki pacova u dozama od 25, 100 i 250 mg/kg/dan pr</w:t>
      </w:r>
      <w:r w:rsidR="009E6297" w:rsidRPr="00616B65">
        <w:rPr>
          <w:sz w:val="22"/>
          <w:szCs w:val="22"/>
          <w:lang w:val="sr-Latn-ME"/>
        </w:rPr>
        <w:t>ij</w:t>
      </w:r>
      <w:r w:rsidRPr="00616B65">
        <w:rPr>
          <w:sz w:val="22"/>
          <w:szCs w:val="22"/>
          <w:lang w:val="sr-Latn-ME"/>
        </w:rPr>
        <w:t>e i tokom parenja i nastavkom do 7. dana gestacije, uočeno je smanjenje broja estrus faza po 14 dana, a povećan je broj životinja sa dužim diestrusom pri najvećoj testiranoj dozi (11 puta veće od preporučene doze na osnovu PIK). Međutim, ove prom</w:t>
      </w:r>
      <w:r w:rsidR="009E6297" w:rsidRPr="00616B65">
        <w:rPr>
          <w:sz w:val="22"/>
          <w:szCs w:val="22"/>
          <w:lang w:val="sr-Latn-ME"/>
        </w:rPr>
        <w:t>j</w:t>
      </w:r>
      <w:r w:rsidRPr="00616B65">
        <w:rPr>
          <w:sz w:val="22"/>
          <w:szCs w:val="22"/>
          <w:lang w:val="sr-Latn-ME"/>
        </w:rPr>
        <w:t>ene ne utiču na plodnost ili broj začetih vijabilnih fetusa.</w:t>
      </w:r>
    </w:p>
    <w:p w14:paraId="6AF5AEE8" w14:textId="77777777" w:rsidR="00EC6808" w:rsidRPr="00616B65" w:rsidRDefault="00EC6808">
      <w:pPr>
        <w:tabs>
          <w:tab w:val="left" w:pos="540"/>
          <w:tab w:val="left" w:pos="569"/>
        </w:tabs>
        <w:jc w:val="both"/>
        <w:rPr>
          <w:sz w:val="22"/>
          <w:szCs w:val="22"/>
          <w:lang w:val="sr-Latn-ME"/>
        </w:rPr>
      </w:pPr>
    </w:p>
    <w:p w14:paraId="6E43DAB6" w14:textId="1A106370" w:rsidR="00EC6808" w:rsidRPr="00616B65" w:rsidRDefault="00EC6808">
      <w:pPr>
        <w:tabs>
          <w:tab w:val="left" w:pos="540"/>
          <w:tab w:val="left" w:pos="569"/>
        </w:tabs>
        <w:jc w:val="both"/>
        <w:rPr>
          <w:sz w:val="22"/>
          <w:szCs w:val="22"/>
          <w:lang w:val="sr-Latn-ME"/>
        </w:rPr>
      </w:pPr>
      <w:r w:rsidRPr="00616B65">
        <w:rPr>
          <w:sz w:val="22"/>
          <w:szCs w:val="22"/>
          <w:lang w:val="sr-Latn-ME"/>
        </w:rPr>
        <w:t xml:space="preserve">Pokazano je da </w:t>
      </w:r>
      <w:r w:rsidR="002635CF" w:rsidRPr="00616B65">
        <w:rPr>
          <w:sz w:val="22"/>
          <w:szCs w:val="22"/>
          <w:lang w:val="sr-Latn-ME"/>
        </w:rPr>
        <w:t>dimetil fumarat</w:t>
      </w:r>
      <w:r w:rsidRPr="00616B65">
        <w:rPr>
          <w:sz w:val="22"/>
          <w:szCs w:val="22"/>
          <w:lang w:val="sr-Latn-ME"/>
        </w:rPr>
        <w:t xml:space="preserve"> prelazi kroz membranu placente u krv fetusa kod pacova i kunića, sa odnosom koncentracije u plazmi fetusa prema majci 0,48 do 0,64 odnosno 0,1. Ni</w:t>
      </w:r>
      <w:r w:rsidR="009E6297" w:rsidRPr="00616B65">
        <w:rPr>
          <w:sz w:val="22"/>
          <w:szCs w:val="22"/>
          <w:lang w:val="sr-Latn-ME"/>
        </w:rPr>
        <w:t>je</w:t>
      </w:r>
      <w:r w:rsidRPr="00616B65">
        <w:rPr>
          <w:sz w:val="22"/>
          <w:szCs w:val="22"/>
          <w:lang w:val="sr-Latn-ME"/>
        </w:rPr>
        <w:t>su prim</w:t>
      </w:r>
      <w:r w:rsidR="009E6297" w:rsidRPr="00616B65">
        <w:rPr>
          <w:sz w:val="22"/>
          <w:szCs w:val="22"/>
          <w:lang w:val="sr-Latn-ME"/>
        </w:rPr>
        <w:t>ij</w:t>
      </w:r>
      <w:r w:rsidRPr="00616B65">
        <w:rPr>
          <w:sz w:val="22"/>
          <w:szCs w:val="22"/>
          <w:lang w:val="sr-Latn-ME"/>
        </w:rPr>
        <w:t xml:space="preserve">ećene malformacije kod bilo koje doze </w:t>
      </w:r>
      <w:r w:rsidR="002635CF" w:rsidRPr="00616B65">
        <w:rPr>
          <w:sz w:val="22"/>
          <w:szCs w:val="22"/>
          <w:lang w:val="sr-Latn-ME"/>
        </w:rPr>
        <w:t>dimetil fumarat</w:t>
      </w:r>
      <w:r w:rsidRPr="00616B65">
        <w:rPr>
          <w:sz w:val="22"/>
          <w:szCs w:val="22"/>
          <w:lang w:val="sr-Latn-ME"/>
        </w:rPr>
        <w:t>a kod pacova ili kunića. Prim</w:t>
      </w:r>
      <w:r w:rsidR="002635CF" w:rsidRPr="00616B65">
        <w:rPr>
          <w:sz w:val="22"/>
          <w:szCs w:val="22"/>
          <w:lang w:val="sr-Latn-ME"/>
        </w:rPr>
        <w:t>j</w:t>
      </w:r>
      <w:r w:rsidRPr="00616B65">
        <w:rPr>
          <w:sz w:val="22"/>
          <w:szCs w:val="22"/>
          <w:lang w:val="sr-Latn-ME"/>
        </w:rPr>
        <w:t xml:space="preserve">ena </w:t>
      </w:r>
      <w:r w:rsidR="002635CF" w:rsidRPr="00616B65">
        <w:rPr>
          <w:sz w:val="22"/>
          <w:szCs w:val="22"/>
          <w:lang w:val="sr-Latn-ME"/>
        </w:rPr>
        <w:t>dimetil fumarat</w:t>
      </w:r>
      <w:r w:rsidRPr="00616B65">
        <w:rPr>
          <w:sz w:val="22"/>
          <w:szCs w:val="22"/>
          <w:lang w:val="sr-Latn-ME"/>
        </w:rPr>
        <w:t>a u oralnim dozama od 25, 100 i 250 mg/kg/dan gravidnim pacovima tokom perioda organogeneze dovela je do neželjenih dejstava kod majke kod doze 4 puta veće od preporučene na osnovu PIK i male mase fetusa i usporenog okoštavanja (metatarzalne falange i falange zadnjih ekstremiteta) kod doze 11 puta veće od preporučene na osnovu PIK. Manja masa fetusa i odloženo okoštavanje smatrani su sekundarnim pojavama u odnosu na toksičnost po majku (smanjena t</w:t>
      </w:r>
      <w:r w:rsidR="002635CF" w:rsidRPr="00616B65">
        <w:rPr>
          <w:sz w:val="22"/>
          <w:szCs w:val="22"/>
          <w:lang w:val="sr-Latn-ME"/>
        </w:rPr>
        <w:t>j</w:t>
      </w:r>
      <w:r w:rsidRPr="00616B65">
        <w:rPr>
          <w:sz w:val="22"/>
          <w:szCs w:val="22"/>
          <w:lang w:val="sr-Latn-ME"/>
        </w:rPr>
        <w:t>elesna</w:t>
      </w:r>
      <w:r w:rsidR="002635CF" w:rsidRPr="00616B65">
        <w:rPr>
          <w:sz w:val="22"/>
          <w:szCs w:val="22"/>
          <w:lang w:val="sr-Latn-ME"/>
        </w:rPr>
        <w:t xml:space="preserve"> težin</w:t>
      </w:r>
      <w:r w:rsidRPr="00616B65">
        <w:rPr>
          <w:sz w:val="22"/>
          <w:szCs w:val="22"/>
          <w:lang w:val="sr-Latn-ME"/>
        </w:rPr>
        <w:t>a i potrošnja hrane).</w:t>
      </w:r>
    </w:p>
    <w:p w14:paraId="3C2A6FA1" w14:textId="77777777" w:rsidR="00EC6808" w:rsidRPr="00616B65" w:rsidRDefault="00EC6808">
      <w:pPr>
        <w:tabs>
          <w:tab w:val="left" w:pos="540"/>
          <w:tab w:val="left" w:pos="569"/>
        </w:tabs>
        <w:jc w:val="both"/>
        <w:rPr>
          <w:sz w:val="22"/>
          <w:szCs w:val="22"/>
          <w:lang w:val="sr-Latn-ME"/>
        </w:rPr>
      </w:pPr>
    </w:p>
    <w:p w14:paraId="4309428A" w14:textId="323BA21F" w:rsidR="00EC6808" w:rsidRPr="00616B65" w:rsidRDefault="00EC6808">
      <w:pPr>
        <w:tabs>
          <w:tab w:val="left" w:pos="540"/>
          <w:tab w:val="left" w:pos="569"/>
        </w:tabs>
        <w:jc w:val="both"/>
        <w:rPr>
          <w:sz w:val="22"/>
          <w:szCs w:val="22"/>
          <w:lang w:val="sr-Latn-ME"/>
        </w:rPr>
      </w:pPr>
      <w:r w:rsidRPr="00616B65">
        <w:rPr>
          <w:sz w:val="22"/>
          <w:szCs w:val="22"/>
          <w:lang w:val="sr-Latn-ME"/>
        </w:rPr>
        <w:t>Oralna prim</w:t>
      </w:r>
      <w:r w:rsidR="002635CF" w:rsidRPr="00616B65">
        <w:rPr>
          <w:sz w:val="22"/>
          <w:szCs w:val="22"/>
          <w:lang w:val="sr-Latn-ME"/>
        </w:rPr>
        <w:t>j</w:t>
      </w:r>
      <w:r w:rsidRPr="00616B65">
        <w:rPr>
          <w:sz w:val="22"/>
          <w:szCs w:val="22"/>
          <w:lang w:val="sr-Latn-ME"/>
        </w:rPr>
        <w:t xml:space="preserve">ena </w:t>
      </w:r>
      <w:r w:rsidR="002635CF" w:rsidRPr="00616B65">
        <w:rPr>
          <w:sz w:val="22"/>
          <w:szCs w:val="22"/>
          <w:lang w:val="sr-Latn-ME"/>
        </w:rPr>
        <w:t>dimetil fumarat</w:t>
      </w:r>
      <w:r w:rsidRPr="00616B65">
        <w:rPr>
          <w:sz w:val="22"/>
          <w:szCs w:val="22"/>
          <w:lang w:val="sr-Latn-ME"/>
        </w:rPr>
        <w:t>a u dozama od 25, 75 i 150 mg/kg/dan gravidnim ženkama kunića tokom organogeneze nije imala uticaja na embrio-fetalni razvoj i dovela je do smanjenja t</w:t>
      </w:r>
      <w:r w:rsidR="009E6297" w:rsidRPr="00616B65">
        <w:rPr>
          <w:sz w:val="22"/>
          <w:szCs w:val="22"/>
          <w:lang w:val="sr-Latn-ME"/>
        </w:rPr>
        <w:t>j</w:t>
      </w:r>
      <w:r w:rsidRPr="00616B65">
        <w:rPr>
          <w:sz w:val="22"/>
          <w:szCs w:val="22"/>
          <w:lang w:val="sr-Latn-ME"/>
        </w:rPr>
        <w:t>elesne mase majke kod doze 7 puta veće od preporučene i povećanom broju abortusa kod doze 16 puta veće od preporučene na osnovu PIK.</w:t>
      </w:r>
    </w:p>
    <w:p w14:paraId="554A73CF" w14:textId="77777777" w:rsidR="00EC6808" w:rsidRPr="00616B65" w:rsidRDefault="00EC6808">
      <w:pPr>
        <w:tabs>
          <w:tab w:val="left" w:pos="540"/>
          <w:tab w:val="left" w:pos="569"/>
        </w:tabs>
        <w:jc w:val="both"/>
        <w:rPr>
          <w:sz w:val="22"/>
          <w:szCs w:val="22"/>
          <w:lang w:val="sr-Latn-ME"/>
        </w:rPr>
      </w:pPr>
    </w:p>
    <w:p w14:paraId="2449B793" w14:textId="6D37DF26" w:rsidR="00EC6808" w:rsidRPr="00616B65" w:rsidRDefault="00EC6808">
      <w:pPr>
        <w:tabs>
          <w:tab w:val="left" w:pos="540"/>
          <w:tab w:val="left" w:pos="569"/>
        </w:tabs>
        <w:jc w:val="both"/>
        <w:rPr>
          <w:sz w:val="22"/>
          <w:szCs w:val="22"/>
          <w:lang w:val="sr-Latn-ME"/>
        </w:rPr>
      </w:pPr>
      <w:r w:rsidRPr="00616B65">
        <w:rPr>
          <w:sz w:val="22"/>
          <w:szCs w:val="22"/>
          <w:lang w:val="sr-Latn-ME"/>
        </w:rPr>
        <w:t xml:space="preserve">Oralna </w:t>
      </w:r>
      <w:r w:rsidR="002635CF" w:rsidRPr="00616B65">
        <w:rPr>
          <w:sz w:val="22"/>
          <w:szCs w:val="22"/>
          <w:lang w:val="sr-Latn-ME"/>
        </w:rPr>
        <w:t>primjena</w:t>
      </w:r>
      <w:r w:rsidRPr="00616B65">
        <w:rPr>
          <w:sz w:val="22"/>
          <w:szCs w:val="22"/>
          <w:lang w:val="sr-Latn-ME"/>
        </w:rPr>
        <w:t xml:space="preserve"> </w:t>
      </w:r>
      <w:r w:rsidR="002635CF" w:rsidRPr="00616B65">
        <w:rPr>
          <w:sz w:val="22"/>
          <w:szCs w:val="22"/>
          <w:lang w:val="sr-Latn-ME"/>
        </w:rPr>
        <w:t>dimetil fumarat</w:t>
      </w:r>
      <w:r w:rsidRPr="00616B65">
        <w:rPr>
          <w:sz w:val="22"/>
          <w:szCs w:val="22"/>
          <w:lang w:val="sr-Latn-ME"/>
        </w:rPr>
        <w:t>a u dozama od 25, 100 i 250 mg/kg/dan pacovima tokom gravidnosti i dojenja dovela je do manjih t</w:t>
      </w:r>
      <w:r w:rsidR="009E6297" w:rsidRPr="00616B65">
        <w:rPr>
          <w:sz w:val="22"/>
          <w:szCs w:val="22"/>
          <w:lang w:val="sr-Latn-ME"/>
        </w:rPr>
        <w:t>j</w:t>
      </w:r>
      <w:r w:rsidRPr="00616B65">
        <w:rPr>
          <w:sz w:val="22"/>
          <w:szCs w:val="22"/>
          <w:lang w:val="sr-Latn-ME"/>
        </w:rPr>
        <w:t>elesnih masa u F1 potomstvu i kašnjenja u seksualnom sazr</w:t>
      </w:r>
      <w:r w:rsidR="009E6297" w:rsidRPr="00616B65">
        <w:rPr>
          <w:sz w:val="22"/>
          <w:szCs w:val="22"/>
          <w:lang w:val="sr-Latn-ME"/>
        </w:rPr>
        <w:t>ij</w:t>
      </w:r>
      <w:r w:rsidRPr="00616B65">
        <w:rPr>
          <w:sz w:val="22"/>
          <w:szCs w:val="22"/>
          <w:lang w:val="sr-Latn-ME"/>
        </w:rPr>
        <w:t>evanju mužjaka F1 potomstva kod doze 11 puta veće od preporučene na osnovu PIK. Nije bilo uticaja na plodnost u F1 potomstvu. Manja t</w:t>
      </w:r>
      <w:r w:rsidR="002635CF" w:rsidRPr="00616B65">
        <w:rPr>
          <w:sz w:val="22"/>
          <w:szCs w:val="22"/>
          <w:lang w:val="sr-Latn-ME"/>
        </w:rPr>
        <w:t>j</w:t>
      </w:r>
      <w:r w:rsidRPr="00616B65">
        <w:rPr>
          <w:sz w:val="22"/>
          <w:szCs w:val="22"/>
          <w:lang w:val="sr-Latn-ME"/>
        </w:rPr>
        <w:t xml:space="preserve">elesna </w:t>
      </w:r>
      <w:r w:rsidR="009E6297" w:rsidRPr="00616B65">
        <w:rPr>
          <w:sz w:val="22"/>
          <w:szCs w:val="22"/>
          <w:lang w:val="sr-Latn-ME"/>
        </w:rPr>
        <w:t xml:space="preserve">masa </w:t>
      </w:r>
      <w:r w:rsidRPr="00616B65">
        <w:rPr>
          <w:sz w:val="22"/>
          <w:szCs w:val="22"/>
          <w:lang w:val="sr-Latn-ME"/>
        </w:rPr>
        <w:t>potomstva smatrala se sekundarnom pojavom u odnosu na toksičnost po majku.</w:t>
      </w:r>
    </w:p>
    <w:p w14:paraId="3B14410B" w14:textId="77777777" w:rsidR="00EC6808" w:rsidRPr="00616B65" w:rsidRDefault="00EC6808">
      <w:pPr>
        <w:tabs>
          <w:tab w:val="left" w:pos="540"/>
          <w:tab w:val="left" w:pos="569"/>
        </w:tabs>
        <w:jc w:val="both"/>
        <w:rPr>
          <w:sz w:val="22"/>
          <w:szCs w:val="22"/>
          <w:lang w:val="sr-Latn-ME"/>
        </w:rPr>
      </w:pPr>
    </w:p>
    <w:p w14:paraId="687A0DE6" w14:textId="73252F30" w:rsidR="00396DFD" w:rsidRPr="00616B65" w:rsidRDefault="00EC6808">
      <w:pPr>
        <w:tabs>
          <w:tab w:val="left" w:pos="540"/>
          <w:tab w:val="left" w:pos="569"/>
        </w:tabs>
        <w:jc w:val="both"/>
        <w:rPr>
          <w:sz w:val="22"/>
          <w:szCs w:val="22"/>
          <w:lang w:val="sr-Latn-ME"/>
        </w:rPr>
      </w:pPr>
      <w:r w:rsidRPr="00616B65">
        <w:rPr>
          <w:sz w:val="22"/>
          <w:szCs w:val="22"/>
          <w:lang w:val="sr-Latn-ME"/>
        </w:rPr>
        <w:t>Dva ispitivanja toksičnosti sprovedena kod juvenilnih pacova svakodnevnom peroralnom prim</w:t>
      </w:r>
      <w:r w:rsidR="002635CF" w:rsidRPr="00616B65">
        <w:rPr>
          <w:sz w:val="22"/>
          <w:szCs w:val="22"/>
          <w:lang w:val="sr-Latn-ME"/>
        </w:rPr>
        <w:t>j</w:t>
      </w:r>
      <w:r w:rsidRPr="00616B65">
        <w:rPr>
          <w:sz w:val="22"/>
          <w:szCs w:val="22"/>
          <w:lang w:val="sr-Latn-ME"/>
        </w:rPr>
        <w:t xml:space="preserve">enom </w:t>
      </w:r>
      <w:r w:rsidR="002635CF" w:rsidRPr="00616B65">
        <w:rPr>
          <w:sz w:val="22"/>
          <w:szCs w:val="22"/>
          <w:lang w:val="sr-Latn-ME"/>
        </w:rPr>
        <w:t>dimetil fumarat</w:t>
      </w:r>
      <w:r w:rsidRPr="00616B65">
        <w:rPr>
          <w:sz w:val="22"/>
          <w:szCs w:val="22"/>
          <w:lang w:val="sr-Latn-ME"/>
        </w:rPr>
        <w:t>a od 28. do 90. – 93. dana posl</w:t>
      </w:r>
      <w:r w:rsidR="009E6297" w:rsidRPr="00616B65">
        <w:rPr>
          <w:sz w:val="22"/>
          <w:szCs w:val="22"/>
          <w:lang w:val="sr-Latn-ME"/>
        </w:rPr>
        <w:t>ij</w:t>
      </w:r>
      <w:r w:rsidRPr="00616B65">
        <w:rPr>
          <w:sz w:val="22"/>
          <w:szCs w:val="22"/>
          <w:lang w:val="sr-Latn-ME"/>
        </w:rPr>
        <w:t xml:space="preserve">e okota (što odgovara uzrastu od otprilike 3 ili više godina kod ljudi) otkrila su toksičnost za ciljne organe bubreg i predželudac slične onima ustanovljenim kod odraslih životinja. U prvom ispitivanju, </w:t>
      </w:r>
      <w:r w:rsidR="002635CF" w:rsidRPr="00616B65">
        <w:rPr>
          <w:sz w:val="22"/>
          <w:szCs w:val="22"/>
          <w:lang w:val="sr-Latn-ME"/>
        </w:rPr>
        <w:t>dimetil fumarat</w:t>
      </w:r>
      <w:r w:rsidRPr="00616B65">
        <w:rPr>
          <w:sz w:val="22"/>
          <w:szCs w:val="22"/>
          <w:lang w:val="sr-Latn-ME"/>
        </w:rPr>
        <w:t xml:space="preserve"> nije uticao na razvoj, neurobihe</w:t>
      </w:r>
      <w:r w:rsidR="004412C0" w:rsidRPr="00616B65">
        <w:rPr>
          <w:sz w:val="22"/>
          <w:szCs w:val="22"/>
          <w:lang w:val="sr-Latn-ME"/>
        </w:rPr>
        <w:t>j</w:t>
      </w:r>
      <w:r w:rsidRPr="00616B65">
        <w:rPr>
          <w:sz w:val="22"/>
          <w:szCs w:val="22"/>
          <w:lang w:val="sr-Latn-ME"/>
        </w:rPr>
        <w:t>vioralno ponašanje ili plodnost ženki i mužjaka pri prim</w:t>
      </w:r>
      <w:r w:rsidR="009E6297" w:rsidRPr="00616B65">
        <w:rPr>
          <w:sz w:val="22"/>
          <w:szCs w:val="22"/>
          <w:lang w:val="sr-Latn-ME"/>
        </w:rPr>
        <w:t>j</w:t>
      </w:r>
      <w:r w:rsidRPr="00616B65">
        <w:rPr>
          <w:sz w:val="22"/>
          <w:szCs w:val="22"/>
          <w:lang w:val="sr-Latn-ME"/>
        </w:rPr>
        <w:t>eni doza do najviše 140 mg/kg/dan (približno 4,6 puta više od preporučene doze za ljude na osnovu ograničenih podataka za PIK kod pedijatrijskih pacijenata). Slično tome, u drugom ispitivanju na juvenilnim mužjacima pacova uticaj na reproduktivne organe i pomoćne žl</w:t>
      </w:r>
      <w:r w:rsidR="009E6297" w:rsidRPr="00616B65">
        <w:rPr>
          <w:sz w:val="22"/>
          <w:szCs w:val="22"/>
          <w:lang w:val="sr-Latn-ME"/>
        </w:rPr>
        <w:t>ij</w:t>
      </w:r>
      <w:r w:rsidRPr="00616B65">
        <w:rPr>
          <w:sz w:val="22"/>
          <w:szCs w:val="22"/>
          <w:lang w:val="sr-Latn-ME"/>
        </w:rPr>
        <w:t>ezde mužjaka ni</w:t>
      </w:r>
      <w:r w:rsidR="009E6297" w:rsidRPr="00616B65">
        <w:rPr>
          <w:sz w:val="22"/>
          <w:szCs w:val="22"/>
          <w:lang w:val="sr-Latn-ME"/>
        </w:rPr>
        <w:t>je</w:t>
      </w:r>
      <w:r w:rsidRPr="00616B65">
        <w:rPr>
          <w:sz w:val="22"/>
          <w:szCs w:val="22"/>
          <w:lang w:val="sr-Latn-ME"/>
        </w:rPr>
        <w:t>su prim</w:t>
      </w:r>
      <w:r w:rsidR="009E6297" w:rsidRPr="00616B65">
        <w:rPr>
          <w:sz w:val="22"/>
          <w:szCs w:val="22"/>
          <w:lang w:val="sr-Latn-ME"/>
        </w:rPr>
        <w:t>ij</w:t>
      </w:r>
      <w:r w:rsidRPr="00616B65">
        <w:rPr>
          <w:sz w:val="22"/>
          <w:szCs w:val="22"/>
          <w:lang w:val="sr-Latn-ME"/>
        </w:rPr>
        <w:t>ećeni pri prim</w:t>
      </w:r>
      <w:r w:rsidR="009E6297" w:rsidRPr="00616B65">
        <w:rPr>
          <w:sz w:val="22"/>
          <w:szCs w:val="22"/>
          <w:lang w:val="sr-Latn-ME"/>
        </w:rPr>
        <w:t>j</w:t>
      </w:r>
      <w:r w:rsidRPr="00616B65">
        <w:rPr>
          <w:sz w:val="22"/>
          <w:szCs w:val="22"/>
          <w:lang w:val="sr-Latn-ME"/>
        </w:rPr>
        <w:t xml:space="preserve">eni doza </w:t>
      </w:r>
      <w:r w:rsidR="002635CF" w:rsidRPr="00616B65">
        <w:rPr>
          <w:sz w:val="22"/>
          <w:szCs w:val="22"/>
          <w:lang w:val="sr-Latn-ME"/>
        </w:rPr>
        <w:t>dimetil fumarat</w:t>
      </w:r>
      <w:r w:rsidRPr="00616B65">
        <w:rPr>
          <w:sz w:val="22"/>
          <w:szCs w:val="22"/>
          <w:lang w:val="sr-Latn-ME"/>
        </w:rPr>
        <w:t>a do najviše 375 mg/kg na dan (približno 15 puta više od pretpostavljene vr</w:t>
      </w:r>
      <w:r w:rsidR="009E6297" w:rsidRPr="00616B65">
        <w:rPr>
          <w:sz w:val="22"/>
          <w:szCs w:val="22"/>
          <w:lang w:val="sr-Latn-ME"/>
        </w:rPr>
        <w:t>ij</w:t>
      </w:r>
      <w:r w:rsidRPr="00616B65">
        <w:rPr>
          <w:sz w:val="22"/>
          <w:szCs w:val="22"/>
          <w:lang w:val="sr-Latn-ME"/>
        </w:rPr>
        <w:t>ednosti PIK pri preporučenoj pedijatrijskoj dozi). Međutim, kod juvenilnih mužjaka pacova bili su uočeni smanjeni sadržaj minerala i gustina kosti femura i lumbalnih pršljena. Denzitometrijske prom</w:t>
      </w:r>
      <w:r w:rsidR="009E6297" w:rsidRPr="00616B65">
        <w:rPr>
          <w:sz w:val="22"/>
          <w:szCs w:val="22"/>
          <w:lang w:val="sr-Latn-ME"/>
        </w:rPr>
        <w:t>j</w:t>
      </w:r>
      <w:r w:rsidRPr="00616B65">
        <w:rPr>
          <w:sz w:val="22"/>
          <w:szCs w:val="22"/>
          <w:lang w:val="sr-Latn-ME"/>
        </w:rPr>
        <w:t>ene kostiju prim</w:t>
      </w:r>
      <w:r w:rsidR="009E6297" w:rsidRPr="00616B65">
        <w:rPr>
          <w:sz w:val="22"/>
          <w:szCs w:val="22"/>
          <w:lang w:val="sr-Latn-ME"/>
        </w:rPr>
        <w:t>ij</w:t>
      </w:r>
      <w:r w:rsidRPr="00616B65">
        <w:rPr>
          <w:sz w:val="22"/>
          <w:szCs w:val="22"/>
          <w:lang w:val="sr-Latn-ME"/>
        </w:rPr>
        <w:t>ećene su takođe i kod juvenilnih pacova nakon oralne prim</w:t>
      </w:r>
      <w:r w:rsidR="002635CF" w:rsidRPr="00616B65">
        <w:rPr>
          <w:sz w:val="22"/>
          <w:szCs w:val="22"/>
          <w:lang w:val="sr-Latn-ME"/>
        </w:rPr>
        <w:t>j</w:t>
      </w:r>
      <w:r w:rsidRPr="00616B65">
        <w:rPr>
          <w:sz w:val="22"/>
          <w:szCs w:val="22"/>
          <w:lang w:val="sr-Latn-ME"/>
        </w:rPr>
        <w:t>ene diroksimel</w:t>
      </w:r>
      <w:r w:rsidR="004412C0" w:rsidRPr="00616B65">
        <w:rPr>
          <w:sz w:val="22"/>
          <w:szCs w:val="22"/>
          <w:lang w:val="sr-Latn-ME"/>
        </w:rPr>
        <w:t xml:space="preserve"> </w:t>
      </w:r>
      <w:r w:rsidRPr="00616B65">
        <w:rPr>
          <w:sz w:val="22"/>
          <w:szCs w:val="22"/>
          <w:lang w:val="sr-Latn-ME"/>
        </w:rPr>
        <w:t xml:space="preserve">fumarata, drugog estra fumarne kiseline koji se </w:t>
      </w:r>
      <w:r w:rsidRPr="00616B65">
        <w:rPr>
          <w:i/>
          <w:sz w:val="22"/>
          <w:szCs w:val="22"/>
          <w:lang w:val="sr-Latn-ME"/>
        </w:rPr>
        <w:t>in vivo</w:t>
      </w:r>
      <w:r w:rsidRPr="00616B65">
        <w:rPr>
          <w:sz w:val="22"/>
          <w:szCs w:val="22"/>
          <w:lang w:val="sr-Latn-ME"/>
        </w:rPr>
        <w:t xml:space="preserve"> metaboliše u isti aktivni metabolit monometil</w:t>
      </w:r>
      <w:r w:rsidR="004412C0" w:rsidRPr="00616B65">
        <w:rPr>
          <w:sz w:val="22"/>
          <w:szCs w:val="22"/>
          <w:lang w:val="sr-Latn-ME"/>
        </w:rPr>
        <w:t xml:space="preserve"> </w:t>
      </w:r>
      <w:r w:rsidRPr="00616B65">
        <w:rPr>
          <w:sz w:val="22"/>
          <w:szCs w:val="22"/>
          <w:lang w:val="sr-Latn-ME"/>
        </w:rPr>
        <w:t>fumarat. NOAEL vr</w:t>
      </w:r>
      <w:r w:rsidR="009E6297" w:rsidRPr="00616B65">
        <w:rPr>
          <w:sz w:val="22"/>
          <w:szCs w:val="22"/>
          <w:lang w:val="sr-Latn-ME"/>
        </w:rPr>
        <w:t>ij</w:t>
      </w:r>
      <w:r w:rsidRPr="00616B65">
        <w:rPr>
          <w:sz w:val="22"/>
          <w:szCs w:val="22"/>
          <w:lang w:val="sr-Latn-ME"/>
        </w:rPr>
        <w:t>ednost za denzitometrijske prom</w:t>
      </w:r>
      <w:r w:rsidR="002635CF" w:rsidRPr="00616B65">
        <w:rPr>
          <w:sz w:val="22"/>
          <w:szCs w:val="22"/>
          <w:lang w:val="sr-Latn-ME"/>
        </w:rPr>
        <w:t>j</w:t>
      </w:r>
      <w:r w:rsidRPr="00616B65">
        <w:rPr>
          <w:sz w:val="22"/>
          <w:szCs w:val="22"/>
          <w:lang w:val="sr-Latn-ME"/>
        </w:rPr>
        <w:t>ene kod juvenilnih pacova bila je približno 1,5 puta veća od predviđene vr</w:t>
      </w:r>
      <w:r w:rsidR="009E6297" w:rsidRPr="00616B65">
        <w:rPr>
          <w:sz w:val="22"/>
          <w:szCs w:val="22"/>
          <w:lang w:val="sr-Latn-ME"/>
        </w:rPr>
        <w:t>ij</w:t>
      </w:r>
      <w:r w:rsidRPr="00616B65">
        <w:rPr>
          <w:sz w:val="22"/>
          <w:szCs w:val="22"/>
          <w:lang w:val="sr-Latn-ME"/>
        </w:rPr>
        <w:t xml:space="preserve">ednosti PIK pri preporučenoj </w:t>
      </w:r>
      <w:r w:rsidRPr="00616B65">
        <w:rPr>
          <w:sz w:val="22"/>
          <w:szCs w:val="22"/>
          <w:lang w:val="sr-Latn-ME"/>
        </w:rPr>
        <w:lastRenderedPageBreak/>
        <w:t>pedijatrijskoj dozi. Moguća je povezanost između uticaja na kosti i manje t</w:t>
      </w:r>
      <w:r w:rsidR="002635CF" w:rsidRPr="00616B65">
        <w:rPr>
          <w:sz w:val="22"/>
          <w:szCs w:val="22"/>
          <w:lang w:val="sr-Latn-ME"/>
        </w:rPr>
        <w:t>j</w:t>
      </w:r>
      <w:r w:rsidRPr="00616B65">
        <w:rPr>
          <w:sz w:val="22"/>
          <w:szCs w:val="22"/>
          <w:lang w:val="sr-Latn-ME"/>
        </w:rPr>
        <w:t xml:space="preserve">elesne </w:t>
      </w:r>
      <w:r w:rsidR="009E6297" w:rsidRPr="00616B65">
        <w:rPr>
          <w:sz w:val="22"/>
          <w:szCs w:val="22"/>
          <w:lang w:val="sr-Latn-ME"/>
        </w:rPr>
        <w:t>mase</w:t>
      </w:r>
      <w:r w:rsidRPr="00616B65">
        <w:rPr>
          <w:sz w:val="22"/>
          <w:szCs w:val="22"/>
          <w:lang w:val="sr-Latn-ME"/>
        </w:rPr>
        <w:t>, ali se ne može isključiti ni direktan uticaj. Nalazi na kostima od ograničenog su značaja za odrasle pacijente. Značaj za pedijatrijske pacijente nije poznat</w:t>
      </w:r>
      <w:r w:rsidR="00C31FAA" w:rsidRPr="00616B65">
        <w:rPr>
          <w:sz w:val="22"/>
          <w:szCs w:val="22"/>
          <w:lang w:val="sr-Latn-ME"/>
        </w:rPr>
        <w:t>.</w:t>
      </w:r>
    </w:p>
    <w:p w14:paraId="73076386" w14:textId="77777777" w:rsidR="00C31FAA" w:rsidRPr="00616B65" w:rsidRDefault="00C31FAA">
      <w:pPr>
        <w:tabs>
          <w:tab w:val="left" w:pos="540"/>
          <w:tab w:val="left" w:pos="569"/>
        </w:tabs>
        <w:jc w:val="both"/>
        <w:rPr>
          <w:sz w:val="22"/>
          <w:szCs w:val="22"/>
          <w:lang w:val="sr-Latn-ME"/>
        </w:rPr>
      </w:pPr>
    </w:p>
    <w:p w14:paraId="2787BF35" w14:textId="77777777" w:rsidR="00EC6808" w:rsidRPr="00616B65" w:rsidRDefault="00EC6808" w:rsidP="00EC6808">
      <w:pPr>
        <w:tabs>
          <w:tab w:val="left" w:pos="540"/>
          <w:tab w:val="left" w:pos="569"/>
        </w:tabs>
        <w:rPr>
          <w:b/>
          <w:bCs/>
          <w:sz w:val="22"/>
          <w:szCs w:val="22"/>
          <w:lang w:val="sr-Latn-ME"/>
        </w:rPr>
      </w:pPr>
    </w:p>
    <w:p w14:paraId="2D74236C"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6. </w:t>
      </w:r>
      <w:r w:rsidR="00480FB1" w:rsidRPr="00616B65">
        <w:rPr>
          <w:b/>
          <w:bCs/>
          <w:sz w:val="22"/>
          <w:szCs w:val="22"/>
          <w:lang w:val="sr-Latn-ME"/>
        </w:rPr>
        <w:tab/>
      </w:r>
      <w:r w:rsidRPr="00616B65">
        <w:rPr>
          <w:b/>
          <w:bCs/>
          <w:sz w:val="22"/>
          <w:szCs w:val="22"/>
          <w:lang w:val="sr-Latn-ME"/>
        </w:rPr>
        <w:t>FARMACEUTSKI PODACI</w:t>
      </w:r>
    </w:p>
    <w:p w14:paraId="5B7FAB2B" w14:textId="77777777" w:rsidR="00836B35" w:rsidRPr="00616B65" w:rsidRDefault="00836B35" w:rsidP="00480FB1">
      <w:pPr>
        <w:tabs>
          <w:tab w:val="left" w:pos="540"/>
          <w:tab w:val="left" w:pos="569"/>
        </w:tabs>
        <w:rPr>
          <w:bCs/>
          <w:sz w:val="22"/>
          <w:szCs w:val="22"/>
          <w:lang w:val="sr-Latn-ME"/>
        </w:rPr>
      </w:pPr>
    </w:p>
    <w:p w14:paraId="4BD66EA8"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6.1. </w:t>
      </w:r>
      <w:r w:rsidR="00480FB1" w:rsidRPr="00616B65">
        <w:rPr>
          <w:b/>
          <w:bCs/>
          <w:sz w:val="22"/>
          <w:szCs w:val="22"/>
          <w:lang w:val="sr-Latn-ME"/>
        </w:rPr>
        <w:tab/>
      </w:r>
      <w:r w:rsidRPr="00616B65">
        <w:rPr>
          <w:b/>
          <w:bCs/>
          <w:sz w:val="22"/>
          <w:szCs w:val="22"/>
          <w:lang w:val="sr-Latn-ME"/>
        </w:rPr>
        <w:t>Lista pomoćnih supstanci</w:t>
      </w:r>
      <w:r w:rsidR="002E0135" w:rsidRPr="00616B65">
        <w:rPr>
          <w:b/>
          <w:bCs/>
          <w:sz w:val="22"/>
          <w:szCs w:val="22"/>
          <w:lang w:val="sr-Latn-ME"/>
        </w:rPr>
        <w:t xml:space="preserve"> (ekscipijenasa)</w:t>
      </w:r>
    </w:p>
    <w:p w14:paraId="7C5FFB4B" w14:textId="77777777" w:rsidR="0072020E" w:rsidRPr="00616B65" w:rsidRDefault="0072020E" w:rsidP="00480FB1">
      <w:pPr>
        <w:tabs>
          <w:tab w:val="left" w:pos="540"/>
          <w:tab w:val="left" w:pos="569"/>
        </w:tabs>
        <w:rPr>
          <w:bCs/>
          <w:sz w:val="22"/>
          <w:szCs w:val="22"/>
          <w:lang w:val="sr-Latn-ME"/>
        </w:rPr>
      </w:pPr>
    </w:p>
    <w:p w14:paraId="67CC464E" w14:textId="6F6759EE" w:rsidR="002635CF" w:rsidRPr="00616B65" w:rsidRDefault="002635CF" w:rsidP="002635CF">
      <w:pPr>
        <w:tabs>
          <w:tab w:val="left" w:pos="540"/>
          <w:tab w:val="left" w:pos="569"/>
        </w:tabs>
        <w:rPr>
          <w:bCs/>
          <w:sz w:val="22"/>
          <w:szCs w:val="22"/>
          <w:u w:val="single"/>
          <w:lang w:val="sr-Latn-ME"/>
        </w:rPr>
      </w:pPr>
      <w:r w:rsidRPr="00616B65">
        <w:rPr>
          <w:bCs/>
          <w:sz w:val="22"/>
          <w:szCs w:val="22"/>
          <w:u w:val="single"/>
          <w:lang w:val="sr-Latn-ME"/>
        </w:rPr>
        <w:t xml:space="preserve">Sadržaj kapsule (gastrorezistentne </w:t>
      </w:r>
      <w:r w:rsidR="004412C0" w:rsidRPr="00616B65">
        <w:rPr>
          <w:bCs/>
          <w:sz w:val="22"/>
          <w:szCs w:val="22"/>
          <w:u w:val="single"/>
          <w:lang w:val="sr-Latn-ME"/>
        </w:rPr>
        <w:t>mini tablete</w:t>
      </w:r>
      <w:r w:rsidRPr="00616B65">
        <w:rPr>
          <w:bCs/>
          <w:sz w:val="22"/>
          <w:szCs w:val="22"/>
          <w:u w:val="single"/>
          <w:lang w:val="sr-Latn-ME"/>
        </w:rPr>
        <w:t>):</w:t>
      </w:r>
    </w:p>
    <w:p w14:paraId="22B210C1" w14:textId="26959214" w:rsidR="002635CF" w:rsidRPr="00616B65" w:rsidRDefault="002635CF" w:rsidP="002635CF">
      <w:pPr>
        <w:tabs>
          <w:tab w:val="left" w:pos="540"/>
          <w:tab w:val="left" w:pos="569"/>
        </w:tabs>
        <w:rPr>
          <w:bCs/>
          <w:sz w:val="22"/>
          <w:szCs w:val="22"/>
          <w:lang w:val="sr-Latn-ME"/>
        </w:rPr>
      </w:pPr>
      <w:r w:rsidRPr="00616B65">
        <w:rPr>
          <w:bCs/>
          <w:sz w:val="22"/>
          <w:szCs w:val="22"/>
          <w:lang w:val="sr-Latn-ME"/>
        </w:rPr>
        <w:t>Celuloza, mikrokristalna</w:t>
      </w:r>
      <w:r w:rsidR="00EB0901" w:rsidRPr="00616B65">
        <w:rPr>
          <w:bCs/>
          <w:sz w:val="22"/>
          <w:szCs w:val="22"/>
          <w:lang w:val="sr-Latn-ME"/>
        </w:rPr>
        <w:t xml:space="preserve"> (PH112)</w:t>
      </w:r>
      <w:r w:rsidRPr="00616B65">
        <w:rPr>
          <w:bCs/>
          <w:sz w:val="22"/>
          <w:szCs w:val="22"/>
          <w:lang w:val="sr-Latn-ME"/>
        </w:rPr>
        <w:t xml:space="preserve">;  </w:t>
      </w:r>
    </w:p>
    <w:p w14:paraId="24397D9A" w14:textId="3CC6A32E" w:rsidR="002635CF" w:rsidRPr="00616B65" w:rsidRDefault="002635CF" w:rsidP="002635CF">
      <w:pPr>
        <w:tabs>
          <w:tab w:val="left" w:pos="540"/>
          <w:tab w:val="left" w:pos="569"/>
        </w:tabs>
        <w:rPr>
          <w:bCs/>
          <w:sz w:val="22"/>
          <w:szCs w:val="22"/>
          <w:lang w:val="sr-Latn-ME"/>
        </w:rPr>
      </w:pPr>
      <w:r w:rsidRPr="00616B65">
        <w:rPr>
          <w:bCs/>
          <w:sz w:val="22"/>
          <w:szCs w:val="22"/>
          <w:lang w:val="sr-Latn-ME"/>
        </w:rPr>
        <w:t>Krospovidon</w:t>
      </w:r>
      <w:r w:rsidR="00EB0901" w:rsidRPr="00616B65">
        <w:rPr>
          <w:bCs/>
          <w:sz w:val="22"/>
          <w:szCs w:val="22"/>
          <w:lang w:val="sr-Latn-ME"/>
        </w:rPr>
        <w:t xml:space="preserve"> (tip A)</w:t>
      </w:r>
      <w:r w:rsidRPr="00616B65">
        <w:rPr>
          <w:bCs/>
          <w:sz w:val="22"/>
          <w:szCs w:val="22"/>
          <w:lang w:val="sr-Latn-ME"/>
        </w:rPr>
        <w:t>;</w:t>
      </w:r>
    </w:p>
    <w:p w14:paraId="4C944D58" w14:textId="1410C92F" w:rsidR="002635CF" w:rsidRPr="00616B65" w:rsidRDefault="002635CF" w:rsidP="002635CF">
      <w:pPr>
        <w:tabs>
          <w:tab w:val="left" w:pos="540"/>
          <w:tab w:val="left" w:pos="569"/>
        </w:tabs>
        <w:rPr>
          <w:bCs/>
          <w:sz w:val="22"/>
          <w:szCs w:val="22"/>
          <w:lang w:val="sr-Latn-ME"/>
        </w:rPr>
      </w:pPr>
      <w:r w:rsidRPr="00616B65">
        <w:rPr>
          <w:bCs/>
          <w:sz w:val="22"/>
          <w:szCs w:val="22"/>
          <w:lang w:val="sr-Latn-ME"/>
        </w:rPr>
        <w:t>Talk;</w:t>
      </w:r>
    </w:p>
    <w:p w14:paraId="7067FEFC" w14:textId="5D401038" w:rsidR="002635CF" w:rsidRPr="00616B65" w:rsidRDefault="002635CF" w:rsidP="002635CF">
      <w:pPr>
        <w:tabs>
          <w:tab w:val="left" w:pos="540"/>
          <w:tab w:val="left" w:pos="569"/>
        </w:tabs>
        <w:rPr>
          <w:bCs/>
          <w:sz w:val="22"/>
          <w:szCs w:val="22"/>
          <w:lang w:val="sr-Latn-ME"/>
        </w:rPr>
      </w:pPr>
      <w:r w:rsidRPr="00616B65">
        <w:rPr>
          <w:bCs/>
          <w:sz w:val="22"/>
          <w:szCs w:val="22"/>
          <w:lang w:val="sr-Latn-ME"/>
        </w:rPr>
        <w:t>Povidon</w:t>
      </w:r>
      <w:r w:rsidR="00EB0901" w:rsidRPr="00616B65">
        <w:rPr>
          <w:bCs/>
          <w:sz w:val="22"/>
          <w:szCs w:val="22"/>
          <w:lang w:val="sr-Latn-ME"/>
        </w:rPr>
        <w:t xml:space="preserve"> K30</w:t>
      </w:r>
      <w:r w:rsidRPr="00616B65">
        <w:rPr>
          <w:bCs/>
          <w:sz w:val="22"/>
          <w:szCs w:val="22"/>
          <w:lang w:val="sr-Latn-ME"/>
        </w:rPr>
        <w:t>;</w:t>
      </w:r>
    </w:p>
    <w:p w14:paraId="0227CAA4" w14:textId="2DAC398E" w:rsidR="002635CF" w:rsidRPr="00616B65" w:rsidRDefault="002635CF" w:rsidP="002635CF">
      <w:pPr>
        <w:tabs>
          <w:tab w:val="left" w:pos="540"/>
          <w:tab w:val="left" w:pos="569"/>
        </w:tabs>
        <w:rPr>
          <w:bCs/>
          <w:sz w:val="22"/>
          <w:szCs w:val="22"/>
          <w:lang w:val="sr-Latn-ME"/>
        </w:rPr>
      </w:pPr>
      <w:r w:rsidRPr="00616B65">
        <w:rPr>
          <w:bCs/>
          <w:sz w:val="22"/>
          <w:szCs w:val="22"/>
          <w:lang w:val="sr-Latn-ME"/>
        </w:rPr>
        <w:t>S</w:t>
      </w:r>
      <w:r w:rsidR="00235CD0" w:rsidRPr="00616B65">
        <w:rPr>
          <w:bCs/>
          <w:sz w:val="22"/>
          <w:szCs w:val="22"/>
          <w:lang w:val="sr-Latn-ME"/>
        </w:rPr>
        <w:t>i</w:t>
      </w:r>
      <w:r w:rsidRPr="00616B65">
        <w:rPr>
          <w:bCs/>
          <w:sz w:val="22"/>
          <w:szCs w:val="22"/>
          <w:lang w:val="sr-Latn-ME"/>
        </w:rPr>
        <w:t>licijum dioksid, koloidni, bezvodni</w:t>
      </w:r>
      <w:r w:rsidR="00EB0901" w:rsidRPr="00616B65">
        <w:rPr>
          <w:bCs/>
          <w:sz w:val="22"/>
          <w:szCs w:val="22"/>
          <w:lang w:val="sr-Latn-ME"/>
        </w:rPr>
        <w:t>;</w:t>
      </w:r>
      <w:r w:rsidRPr="00616B65">
        <w:rPr>
          <w:bCs/>
          <w:sz w:val="22"/>
          <w:szCs w:val="22"/>
          <w:lang w:val="sr-Latn-ME"/>
        </w:rPr>
        <w:t xml:space="preserve"> </w:t>
      </w:r>
    </w:p>
    <w:p w14:paraId="60ADF777" w14:textId="27B2F7A9" w:rsidR="002635CF" w:rsidRPr="00616B65" w:rsidRDefault="002635CF" w:rsidP="002635CF">
      <w:pPr>
        <w:tabs>
          <w:tab w:val="left" w:pos="540"/>
          <w:tab w:val="left" w:pos="569"/>
        </w:tabs>
        <w:rPr>
          <w:bCs/>
          <w:sz w:val="22"/>
          <w:szCs w:val="22"/>
          <w:lang w:val="sr-Latn-ME"/>
        </w:rPr>
      </w:pPr>
      <w:r w:rsidRPr="00616B65">
        <w:rPr>
          <w:bCs/>
          <w:sz w:val="22"/>
          <w:szCs w:val="22"/>
          <w:lang w:val="sr-Latn-ME"/>
        </w:rPr>
        <w:t>Magnezijum stearat;</w:t>
      </w:r>
    </w:p>
    <w:p w14:paraId="0CFB7C0E" w14:textId="118876D7" w:rsidR="002635CF" w:rsidRPr="00616B65" w:rsidRDefault="002635CF" w:rsidP="002635CF">
      <w:pPr>
        <w:tabs>
          <w:tab w:val="left" w:pos="540"/>
          <w:tab w:val="left" w:pos="569"/>
        </w:tabs>
        <w:rPr>
          <w:bCs/>
          <w:sz w:val="22"/>
          <w:szCs w:val="22"/>
          <w:lang w:val="sr-Latn-ME"/>
        </w:rPr>
      </w:pPr>
      <w:r w:rsidRPr="00616B65">
        <w:rPr>
          <w:bCs/>
          <w:sz w:val="22"/>
          <w:szCs w:val="22"/>
          <w:lang w:val="sr-Latn-ME"/>
        </w:rPr>
        <w:t>Trietil</w:t>
      </w:r>
      <w:r w:rsidR="00EB0901" w:rsidRPr="00616B65">
        <w:rPr>
          <w:bCs/>
          <w:sz w:val="22"/>
          <w:szCs w:val="22"/>
          <w:lang w:val="sr-Latn-ME"/>
        </w:rPr>
        <w:t xml:space="preserve"> </w:t>
      </w:r>
      <w:r w:rsidRPr="00616B65">
        <w:rPr>
          <w:bCs/>
          <w:sz w:val="22"/>
          <w:szCs w:val="22"/>
          <w:lang w:val="sr-Latn-ME"/>
        </w:rPr>
        <w:t>citrat;</w:t>
      </w:r>
    </w:p>
    <w:p w14:paraId="26D2E72D" w14:textId="5DC7F283" w:rsidR="002635CF" w:rsidRPr="00616B65" w:rsidRDefault="002635CF" w:rsidP="002635CF">
      <w:pPr>
        <w:tabs>
          <w:tab w:val="left" w:pos="540"/>
          <w:tab w:val="left" w:pos="569"/>
        </w:tabs>
        <w:rPr>
          <w:bCs/>
          <w:sz w:val="22"/>
          <w:szCs w:val="22"/>
          <w:lang w:val="sr-Latn-ME"/>
        </w:rPr>
      </w:pPr>
      <w:r w:rsidRPr="00616B65">
        <w:rPr>
          <w:bCs/>
          <w:sz w:val="22"/>
          <w:szCs w:val="22"/>
          <w:lang w:val="sr-Latn-ME"/>
        </w:rPr>
        <w:t>Metakrilna kiselina/</w:t>
      </w:r>
      <w:r w:rsidR="00EB0901" w:rsidRPr="00616B65">
        <w:rPr>
          <w:bCs/>
          <w:sz w:val="22"/>
          <w:szCs w:val="22"/>
          <w:lang w:val="sr-Latn-ME"/>
        </w:rPr>
        <w:t>e</w:t>
      </w:r>
      <w:r w:rsidRPr="00616B65">
        <w:rPr>
          <w:bCs/>
          <w:sz w:val="22"/>
          <w:szCs w:val="22"/>
          <w:lang w:val="sr-Latn-ME"/>
        </w:rPr>
        <w:t>tilakrilat kopolimer (1:1);</w:t>
      </w:r>
    </w:p>
    <w:p w14:paraId="03FB64C5" w14:textId="2401EB6E" w:rsidR="002635CF" w:rsidRPr="00616B65" w:rsidRDefault="002635CF" w:rsidP="002635CF">
      <w:pPr>
        <w:tabs>
          <w:tab w:val="left" w:pos="540"/>
          <w:tab w:val="left" w:pos="569"/>
        </w:tabs>
        <w:rPr>
          <w:bCs/>
          <w:sz w:val="22"/>
          <w:szCs w:val="22"/>
          <w:lang w:val="sr-Latn-ME"/>
        </w:rPr>
      </w:pPr>
      <w:r w:rsidRPr="00616B65">
        <w:rPr>
          <w:bCs/>
          <w:sz w:val="22"/>
          <w:szCs w:val="22"/>
          <w:lang w:val="sr-Latn-ME"/>
        </w:rPr>
        <w:t>Hipromeloza;</w:t>
      </w:r>
    </w:p>
    <w:p w14:paraId="21D57701" w14:textId="15998139" w:rsidR="002635CF" w:rsidRPr="00616B65" w:rsidRDefault="002635CF" w:rsidP="002635CF">
      <w:pPr>
        <w:tabs>
          <w:tab w:val="left" w:pos="540"/>
          <w:tab w:val="left" w:pos="569"/>
        </w:tabs>
        <w:rPr>
          <w:bCs/>
          <w:sz w:val="22"/>
          <w:szCs w:val="22"/>
          <w:lang w:val="sr-Latn-ME"/>
        </w:rPr>
      </w:pPr>
      <w:r w:rsidRPr="00616B65">
        <w:rPr>
          <w:bCs/>
          <w:sz w:val="22"/>
          <w:szCs w:val="22"/>
          <w:lang w:val="sr-Latn-ME"/>
        </w:rPr>
        <w:t>Titan dioksid (E171);</w:t>
      </w:r>
    </w:p>
    <w:p w14:paraId="134D0DF5" w14:textId="5484D760" w:rsidR="002635CF" w:rsidRPr="00616B65" w:rsidRDefault="002635CF" w:rsidP="002635CF">
      <w:pPr>
        <w:tabs>
          <w:tab w:val="left" w:pos="540"/>
          <w:tab w:val="left" w:pos="569"/>
        </w:tabs>
        <w:rPr>
          <w:bCs/>
          <w:sz w:val="22"/>
          <w:szCs w:val="22"/>
          <w:lang w:val="sr-Latn-ME"/>
        </w:rPr>
      </w:pPr>
      <w:r w:rsidRPr="00616B65">
        <w:rPr>
          <w:bCs/>
          <w:sz w:val="22"/>
          <w:szCs w:val="22"/>
          <w:lang w:val="sr-Latn-ME"/>
        </w:rPr>
        <w:t>Triacetin</w:t>
      </w:r>
      <w:r w:rsidR="00EB0901" w:rsidRPr="00616B65">
        <w:rPr>
          <w:bCs/>
          <w:sz w:val="22"/>
          <w:szCs w:val="22"/>
          <w:lang w:val="sr-Latn-ME"/>
        </w:rPr>
        <w:t>.</w:t>
      </w:r>
    </w:p>
    <w:p w14:paraId="0D5D2914" w14:textId="77777777" w:rsidR="002635CF" w:rsidRPr="00616B65" w:rsidRDefault="002635CF" w:rsidP="002635CF">
      <w:pPr>
        <w:tabs>
          <w:tab w:val="left" w:pos="540"/>
          <w:tab w:val="left" w:pos="569"/>
        </w:tabs>
        <w:rPr>
          <w:bCs/>
          <w:sz w:val="22"/>
          <w:szCs w:val="22"/>
          <w:lang w:val="sr-Latn-ME"/>
        </w:rPr>
      </w:pPr>
    </w:p>
    <w:p w14:paraId="49FD8C6D" w14:textId="3CFF206E" w:rsidR="002635CF" w:rsidRPr="00616B65" w:rsidRDefault="00EB0901" w:rsidP="002635CF">
      <w:pPr>
        <w:tabs>
          <w:tab w:val="left" w:pos="540"/>
          <w:tab w:val="left" w:pos="569"/>
        </w:tabs>
        <w:rPr>
          <w:bCs/>
          <w:sz w:val="22"/>
          <w:szCs w:val="22"/>
          <w:u w:val="single"/>
          <w:lang w:val="sr-Latn-ME"/>
        </w:rPr>
      </w:pPr>
      <w:r w:rsidRPr="00616B65">
        <w:rPr>
          <w:bCs/>
          <w:sz w:val="22"/>
          <w:szCs w:val="22"/>
          <w:u w:val="single"/>
          <w:lang w:val="sr-Latn-ME"/>
        </w:rPr>
        <w:t xml:space="preserve">Sastav </w:t>
      </w:r>
      <w:r w:rsidR="002635CF" w:rsidRPr="00616B65">
        <w:rPr>
          <w:bCs/>
          <w:sz w:val="22"/>
          <w:szCs w:val="22"/>
          <w:u w:val="single"/>
          <w:lang w:val="sr-Latn-ME"/>
        </w:rPr>
        <w:t>kapsule</w:t>
      </w:r>
      <w:r w:rsidRPr="00616B65">
        <w:rPr>
          <w:bCs/>
          <w:sz w:val="22"/>
          <w:szCs w:val="22"/>
          <w:u w:val="single"/>
          <w:lang w:val="sr-Latn-ME"/>
        </w:rPr>
        <w:t xml:space="preserve"> (tijelo/kapa)</w:t>
      </w:r>
      <w:r w:rsidR="002635CF" w:rsidRPr="00616B65">
        <w:rPr>
          <w:bCs/>
          <w:sz w:val="22"/>
          <w:szCs w:val="22"/>
          <w:u w:val="single"/>
          <w:lang w:val="sr-Latn-ME"/>
        </w:rPr>
        <w:t>:</w:t>
      </w:r>
    </w:p>
    <w:p w14:paraId="1F01193A" w14:textId="3E7E0FB5" w:rsidR="002635CF" w:rsidRPr="00616B65" w:rsidRDefault="002635CF" w:rsidP="002635CF">
      <w:pPr>
        <w:tabs>
          <w:tab w:val="left" w:pos="540"/>
          <w:tab w:val="left" w:pos="569"/>
        </w:tabs>
        <w:rPr>
          <w:bCs/>
          <w:sz w:val="22"/>
          <w:szCs w:val="22"/>
          <w:lang w:val="sr-Latn-ME"/>
        </w:rPr>
      </w:pPr>
      <w:r w:rsidRPr="00616B65">
        <w:rPr>
          <w:bCs/>
          <w:sz w:val="22"/>
          <w:szCs w:val="22"/>
          <w:lang w:val="sr-Latn-ME"/>
        </w:rPr>
        <w:t>Želatin;</w:t>
      </w:r>
    </w:p>
    <w:p w14:paraId="08318191" w14:textId="228BE2B2" w:rsidR="002635CF" w:rsidRPr="00616B65" w:rsidRDefault="002635CF" w:rsidP="002635CF">
      <w:pPr>
        <w:tabs>
          <w:tab w:val="left" w:pos="540"/>
          <w:tab w:val="left" w:pos="569"/>
        </w:tabs>
        <w:rPr>
          <w:bCs/>
          <w:sz w:val="22"/>
          <w:szCs w:val="22"/>
          <w:lang w:val="sr-Latn-ME"/>
        </w:rPr>
      </w:pPr>
      <w:r w:rsidRPr="00616B65">
        <w:rPr>
          <w:bCs/>
          <w:sz w:val="22"/>
          <w:szCs w:val="22"/>
          <w:lang w:val="sr-Latn-ME"/>
        </w:rPr>
        <w:t>Titan dioksid (E171)</w:t>
      </w:r>
      <w:r w:rsidR="00EB0901" w:rsidRPr="00616B65">
        <w:rPr>
          <w:bCs/>
          <w:sz w:val="22"/>
          <w:szCs w:val="22"/>
          <w:lang w:val="sr-Latn-ME"/>
        </w:rPr>
        <w:t>;</w:t>
      </w:r>
    </w:p>
    <w:p w14:paraId="6E4453B1" w14:textId="570069B6" w:rsidR="002635CF" w:rsidRPr="00616B65" w:rsidRDefault="002635CF" w:rsidP="002635CF">
      <w:pPr>
        <w:tabs>
          <w:tab w:val="left" w:pos="540"/>
          <w:tab w:val="left" w:pos="569"/>
        </w:tabs>
        <w:rPr>
          <w:bCs/>
          <w:sz w:val="22"/>
          <w:szCs w:val="22"/>
          <w:lang w:val="sr-Latn-ME"/>
        </w:rPr>
      </w:pPr>
      <w:r w:rsidRPr="00616B65">
        <w:rPr>
          <w:bCs/>
          <w:sz w:val="22"/>
          <w:szCs w:val="22"/>
          <w:lang w:val="sr-Latn-ME"/>
        </w:rPr>
        <w:t xml:space="preserve">Brilliant blue </w:t>
      </w:r>
      <w:r w:rsidR="00EB0901" w:rsidRPr="00616B65">
        <w:rPr>
          <w:bCs/>
          <w:sz w:val="22"/>
          <w:szCs w:val="22"/>
          <w:lang w:val="sr-Latn-ME"/>
        </w:rPr>
        <w:t>FCF FD&amp;C B</w:t>
      </w:r>
      <w:r w:rsidRPr="00616B65">
        <w:rPr>
          <w:bCs/>
          <w:sz w:val="22"/>
          <w:szCs w:val="22"/>
          <w:lang w:val="sr-Latn-ME"/>
        </w:rPr>
        <w:t>lue 1 (E133);</w:t>
      </w:r>
    </w:p>
    <w:p w14:paraId="4E4B9A19" w14:textId="45E44D0C" w:rsidR="002635CF" w:rsidRPr="00616B65" w:rsidRDefault="002635CF" w:rsidP="002635CF">
      <w:pPr>
        <w:tabs>
          <w:tab w:val="left" w:pos="540"/>
          <w:tab w:val="left" w:pos="569"/>
        </w:tabs>
        <w:rPr>
          <w:bCs/>
          <w:sz w:val="22"/>
          <w:szCs w:val="22"/>
          <w:lang w:val="sr-Latn-ME"/>
        </w:rPr>
      </w:pPr>
      <w:r w:rsidRPr="00616B65">
        <w:rPr>
          <w:bCs/>
          <w:sz w:val="22"/>
          <w:szCs w:val="22"/>
          <w:lang w:val="sr-Latn-ME"/>
        </w:rPr>
        <w:t xml:space="preserve">Gvožđe </w:t>
      </w:r>
      <w:r w:rsidR="00EB0901" w:rsidRPr="00616B65">
        <w:rPr>
          <w:bCs/>
          <w:sz w:val="22"/>
          <w:szCs w:val="22"/>
          <w:lang w:val="sr-Latn-ME"/>
        </w:rPr>
        <w:t xml:space="preserve">(III) </w:t>
      </w:r>
      <w:r w:rsidRPr="00616B65">
        <w:rPr>
          <w:bCs/>
          <w:sz w:val="22"/>
          <w:szCs w:val="22"/>
          <w:lang w:val="sr-Latn-ME"/>
        </w:rPr>
        <w:t>oksid, žuti (E172)</w:t>
      </w:r>
      <w:r w:rsidR="00EB0901" w:rsidRPr="00616B65">
        <w:rPr>
          <w:bCs/>
          <w:sz w:val="22"/>
          <w:szCs w:val="22"/>
          <w:lang w:val="sr-Latn-ME"/>
        </w:rPr>
        <w:t>.</w:t>
      </w:r>
    </w:p>
    <w:p w14:paraId="45638108" w14:textId="77777777" w:rsidR="002635CF" w:rsidRPr="00616B65" w:rsidRDefault="002635CF" w:rsidP="002635CF">
      <w:pPr>
        <w:tabs>
          <w:tab w:val="left" w:pos="540"/>
          <w:tab w:val="left" w:pos="569"/>
        </w:tabs>
        <w:rPr>
          <w:bCs/>
          <w:sz w:val="22"/>
          <w:szCs w:val="22"/>
          <w:lang w:val="sr-Latn-ME"/>
        </w:rPr>
      </w:pPr>
    </w:p>
    <w:p w14:paraId="1559E27B" w14:textId="7E773E6D" w:rsidR="002635CF" w:rsidRPr="00616B65" w:rsidRDefault="00EB0901" w:rsidP="002635CF">
      <w:pPr>
        <w:tabs>
          <w:tab w:val="left" w:pos="540"/>
          <w:tab w:val="left" w:pos="569"/>
        </w:tabs>
        <w:rPr>
          <w:bCs/>
          <w:sz w:val="22"/>
          <w:szCs w:val="22"/>
          <w:u w:val="single"/>
          <w:lang w:val="sr-Latn-ME"/>
        </w:rPr>
      </w:pPr>
      <w:r w:rsidRPr="00616B65">
        <w:rPr>
          <w:bCs/>
          <w:sz w:val="22"/>
          <w:szCs w:val="22"/>
          <w:u w:val="single"/>
          <w:lang w:val="sr-Latn-ME"/>
        </w:rPr>
        <w:t xml:space="preserve">Sastav </w:t>
      </w:r>
      <w:r w:rsidR="002635CF" w:rsidRPr="00616B65">
        <w:rPr>
          <w:bCs/>
          <w:sz w:val="22"/>
          <w:szCs w:val="22"/>
          <w:u w:val="single"/>
          <w:lang w:val="sr-Latn-ME"/>
        </w:rPr>
        <w:t>crno</w:t>
      </w:r>
      <w:r w:rsidRPr="00616B65">
        <w:rPr>
          <w:bCs/>
          <w:sz w:val="22"/>
          <w:szCs w:val="22"/>
          <w:u w:val="single"/>
          <w:lang w:val="sr-Latn-ME"/>
        </w:rPr>
        <w:t>g</w:t>
      </w:r>
      <w:r w:rsidR="002635CF" w:rsidRPr="00616B65">
        <w:rPr>
          <w:bCs/>
          <w:sz w:val="22"/>
          <w:szCs w:val="22"/>
          <w:u w:val="single"/>
          <w:lang w:val="sr-Latn-ME"/>
        </w:rPr>
        <w:t xml:space="preserve"> mastil</w:t>
      </w:r>
      <w:r w:rsidRPr="00616B65">
        <w:rPr>
          <w:bCs/>
          <w:sz w:val="22"/>
          <w:szCs w:val="22"/>
          <w:u w:val="single"/>
          <w:lang w:val="sr-Latn-ME"/>
        </w:rPr>
        <w:t>a za štampu</w:t>
      </w:r>
    </w:p>
    <w:p w14:paraId="3452429B" w14:textId="4847F7DF" w:rsidR="002635CF" w:rsidRPr="00616B65" w:rsidRDefault="002635CF" w:rsidP="002635CF">
      <w:pPr>
        <w:tabs>
          <w:tab w:val="left" w:pos="540"/>
          <w:tab w:val="left" w:pos="569"/>
        </w:tabs>
        <w:rPr>
          <w:bCs/>
          <w:sz w:val="22"/>
          <w:szCs w:val="22"/>
          <w:lang w:val="sr-Latn-ME"/>
        </w:rPr>
      </w:pPr>
      <w:r w:rsidRPr="00616B65">
        <w:rPr>
          <w:bCs/>
          <w:sz w:val="22"/>
          <w:szCs w:val="22"/>
          <w:lang w:val="sr-Latn-ME"/>
        </w:rPr>
        <w:t xml:space="preserve">Šelak; </w:t>
      </w:r>
    </w:p>
    <w:p w14:paraId="52D1F772" w14:textId="0CC19CB1" w:rsidR="002635CF" w:rsidRPr="00616B65" w:rsidRDefault="002635CF" w:rsidP="002635CF">
      <w:pPr>
        <w:tabs>
          <w:tab w:val="left" w:pos="540"/>
          <w:tab w:val="left" w:pos="569"/>
        </w:tabs>
        <w:rPr>
          <w:bCs/>
          <w:sz w:val="22"/>
          <w:szCs w:val="22"/>
          <w:lang w:val="sr-Latn-ME"/>
        </w:rPr>
      </w:pPr>
      <w:r w:rsidRPr="00616B65">
        <w:rPr>
          <w:bCs/>
          <w:sz w:val="22"/>
          <w:szCs w:val="22"/>
          <w:lang w:val="sr-Latn-ME"/>
        </w:rPr>
        <w:t>Kalijum hidroksid;</w:t>
      </w:r>
    </w:p>
    <w:p w14:paraId="5C0EA0A9" w14:textId="3FA2D249" w:rsidR="002635CF" w:rsidRPr="00616B65" w:rsidRDefault="002635CF" w:rsidP="002635CF">
      <w:pPr>
        <w:tabs>
          <w:tab w:val="left" w:pos="540"/>
          <w:tab w:val="left" w:pos="569"/>
        </w:tabs>
        <w:rPr>
          <w:bCs/>
          <w:sz w:val="22"/>
          <w:szCs w:val="22"/>
          <w:lang w:val="sr-Latn-ME"/>
        </w:rPr>
      </w:pPr>
      <w:r w:rsidRPr="00616B65">
        <w:rPr>
          <w:bCs/>
          <w:sz w:val="22"/>
          <w:szCs w:val="22"/>
          <w:lang w:val="sr-Latn-ME"/>
        </w:rPr>
        <w:t>Propilen glikol (E1520);</w:t>
      </w:r>
    </w:p>
    <w:p w14:paraId="383661D7" w14:textId="361AF178" w:rsidR="002635CF" w:rsidRPr="00616B65" w:rsidRDefault="002635CF" w:rsidP="002635CF">
      <w:pPr>
        <w:tabs>
          <w:tab w:val="left" w:pos="540"/>
          <w:tab w:val="left" w:pos="569"/>
        </w:tabs>
        <w:rPr>
          <w:bCs/>
          <w:sz w:val="22"/>
          <w:szCs w:val="22"/>
          <w:lang w:val="sr-Latn-ME"/>
        </w:rPr>
      </w:pPr>
      <w:r w:rsidRPr="00616B65">
        <w:rPr>
          <w:bCs/>
          <w:sz w:val="22"/>
          <w:szCs w:val="22"/>
          <w:lang w:val="sr-Latn-ME"/>
        </w:rPr>
        <w:t xml:space="preserve">Gvožđe </w:t>
      </w:r>
      <w:r w:rsidR="00EB0901" w:rsidRPr="00616B65">
        <w:rPr>
          <w:bCs/>
          <w:sz w:val="22"/>
          <w:szCs w:val="22"/>
          <w:lang w:val="sr-Latn-ME"/>
        </w:rPr>
        <w:t xml:space="preserve">(III) </w:t>
      </w:r>
      <w:r w:rsidRPr="00616B65">
        <w:rPr>
          <w:bCs/>
          <w:sz w:val="22"/>
          <w:szCs w:val="22"/>
          <w:lang w:val="sr-Latn-ME"/>
        </w:rPr>
        <w:t xml:space="preserve">oksid, crni (E172); </w:t>
      </w:r>
    </w:p>
    <w:p w14:paraId="78108CB8" w14:textId="646A0991" w:rsidR="00EB0901" w:rsidRPr="00616B65" w:rsidRDefault="00EB0901" w:rsidP="002635CF">
      <w:pPr>
        <w:tabs>
          <w:tab w:val="left" w:pos="540"/>
          <w:tab w:val="left" w:pos="569"/>
        </w:tabs>
        <w:rPr>
          <w:bCs/>
          <w:sz w:val="22"/>
          <w:szCs w:val="22"/>
          <w:lang w:val="sr-Latn-ME"/>
        </w:rPr>
      </w:pPr>
      <w:r w:rsidRPr="00616B65">
        <w:rPr>
          <w:bCs/>
          <w:sz w:val="22"/>
          <w:szCs w:val="22"/>
          <w:lang w:val="sr-Latn-ME"/>
        </w:rPr>
        <w:t>A</w:t>
      </w:r>
      <w:r w:rsidR="002635CF" w:rsidRPr="00616B65">
        <w:rPr>
          <w:bCs/>
          <w:sz w:val="22"/>
          <w:szCs w:val="22"/>
          <w:lang w:val="sr-Latn-ME"/>
        </w:rPr>
        <w:t>monijak</w:t>
      </w:r>
      <w:r w:rsidRPr="00616B65">
        <w:rPr>
          <w:bCs/>
          <w:sz w:val="22"/>
          <w:szCs w:val="22"/>
          <w:lang w:val="sr-Latn-ME"/>
        </w:rPr>
        <w:t>, rastvor koncentrovani;</w:t>
      </w:r>
    </w:p>
    <w:p w14:paraId="6018814A" w14:textId="52FDF1B7" w:rsidR="002635CF" w:rsidRPr="00616B65" w:rsidRDefault="00EB0901" w:rsidP="002635CF">
      <w:pPr>
        <w:tabs>
          <w:tab w:val="left" w:pos="540"/>
          <w:tab w:val="left" w:pos="569"/>
        </w:tabs>
        <w:rPr>
          <w:bCs/>
          <w:sz w:val="22"/>
          <w:szCs w:val="22"/>
          <w:lang w:val="sr-Latn-ME"/>
        </w:rPr>
      </w:pPr>
      <w:r w:rsidRPr="00616B65">
        <w:rPr>
          <w:bCs/>
          <w:sz w:val="22"/>
          <w:szCs w:val="22"/>
          <w:lang w:val="sr-Latn-ME"/>
        </w:rPr>
        <w:t>Voda, prečišćena</w:t>
      </w:r>
      <w:r w:rsidR="002635CF" w:rsidRPr="00616B65">
        <w:rPr>
          <w:bCs/>
          <w:sz w:val="22"/>
          <w:szCs w:val="22"/>
          <w:lang w:val="sr-Latn-ME"/>
        </w:rPr>
        <w:t>.</w:t>
      </w:r>
    </w:p>
    <w:p w14:paraId="4A14A275" w14:textId="77777777" w:rsidR="002635CF" w:rsidRPr="00616B65" w:rsidRDefault="002635CF" w:rsidP="00480FB1">
      <w:pPr>
        <w:tabs>
          <w:tab w:val="left" w:pos="540"/>
          <w:tab w:val="left" w:pos="569"/>
        </w:tabs>
        <w:rPr>
          <w:bCs/>
          <w:sz w:val="22"/>
          <w:szCs w:val="22"/>
          <w:lang w:val="sr-Latn-ME"/>
        </w:rPr>
      </w:pPr>
    </w:p>
    <w:p w14:paraId="09386B67"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6.2. </w:t>
      </w:r>
      <w:r w:rsidR="00480FB1" w:rsidRPr="00616B65">
        <w:rPr>
          <w:b/>
          <w:bCs/>
          <w:sz w:val="22"/>
          <w:szCs w:val="22"/>
          <w:lang w:val="sr-Latn-ME"/>
        </w:rPr>
        <w:tab/>
      </w:r>
      <w:r w:rsidRPr="00616B65">
        <w:rPr>
          <w:b/>
          <w:bCs/>
          <w:sz w:val="22"/>
          <w:szCs w:val="22"/>
          <w:lang w:val="sr-Latn-ME"/>
        </w:rPr>
        <w:t>Inkompatibilnost</w:t>
      </w:r>
      <w:r w:rsidR="002846DB" w:rsidRPr="00616B65">
        <w:rPr>
          <w:b/>
          <w:bCs/>
          <w:sz w:val="22"/>
          <w:szCs w:val="22"/>
          <w:lang w:val="sr-Latn-ME"/>
        </w:rPr>
        <w:t>i</w:t>
      </w:r>
    </w:p>
    <w:p w14:paraId="468F1D31" w14:textId="77777777" w:rsidR="002635CF" w:rsidRPr="00616B65" w:rsidRDefault="002635CF" w:rsidP="00480FB1">
      <w:pPr>
        <w:tabs>
          <w:tab w:val="left" w:pos="540"/>
          <w:tab w:val="left" w:pos="569"/>
        </w:tabs>
        <w:rPr>
          <w:b/>
          <w:bCs/>
          <w:sz w:val="22"/>
          <w:szCs w:val="22"/>
          <w:lang w:val="sr-Latn-ME"/>
        </w:rPr>
      </w:pPr>
    </w:p>
    <w:p w14:paraId="547D0B55" w14:textId="0E6A0659" w:rsidR="0072020E" w:rsidRPr="00616B65" w:rsidRDefault="002635CF" w:rsidP="00480FB1">
      <w:pPr>
        <w:tabs>
          <w:tab w:val="left" w:pos="540"/>
          <w:tab w:val="left" w:pos="569"/>
        </w:tabs>
        <w:rPr>
          <w:bCs/>
          <w:sz w:val="22"/>
          <w:szCs w:val="22"/>
          <w:lang w:val="sr-Latn-ME"/>
        </w:rPr>
      </w:pPr>
      <w:r w:rsidRPr="00616B65">
        <w:rPr>
          <w:bCs/>
          <w:sz w:val="22"/>
          <w:szCs w:val="22"/>
          <w:lang w:val="sr-Latn-ME"/>
        </w:rPr>
        <w:t>Nije prim</w:t>
      </w:r>
      <w:r w:rsidR="00235CD0" w:rsidRPr="00616B65">
        <w:rPr>
          <w:bCs/>
          <w:sz w:val="22"/>
          <w:szCs w:val="22"/>
          <w:lang w:val="sr-Latn-ME"/>
        </w:rPr>
        <w:t>j</w:t>
      </w:r>
      <w:r w:rsidRPr="00616B65">
        <w:rPr>
          <w:bCs/>
          <w:sz w:val="22"/>
          <w:szCs w:val="22"/>
          <w:lang w:val="sr-Latn-ME"/>
        </w:rPr>
        <w:t>enljivo.</w:t>
      </w:r>
    </w:p>
    <w:p w14:paraId="230C314E" w14:textId="77777777" w:rsidR="002635CF" w:rsidRPr="00616B65" w:rsidRDefault="002635CF" w:rsidP="00480FB1">
      <w:pPr>
        <w:tabs>
          <w:tab w:val="left" w:pos="540"/>
          <w:tab w:val="left" w:pos="569"/>
        </w:tabs>
        <w:rPr>
          <w:bCs/>
          <w:sz w:val="22"/>
          <w:szCs w:val="22"/>
          <w:lang w:val="sr-Latn-ME"/>
        </w:rPr>
      </w:pPr>
    </w:p>
    <w:p w14:paraId="5C28AF91"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6.3.</w:t>
      </w:r>
      <w:r w:rsidR="00C05DF8" w:rsidRPr="00616B65">
        <w:rPr>
          <w:b/>
          <w:bCs/>
          <w:sz w:val="22"/>
          <w:szCs w:val="22"/>
          <w:lang w:val="sr-Latn-ME"/>
        </w:rPr>
        <w:t xml:space="preserve"> </w:t>
      </w:r>
      <w:r w:rsidR="00480FB1" w:rsidRPr="00616B65">
        <w:rPr>
          <w:b/>
          <w:bCs/>
          <w:sz w:val="22"/>
          <w:szCs w:val="22"/>
          <w:lang w:val="sr-Latn-ME"/>
        </w:rPr>
        <w:tab/>
      </w:r>
      <w:r w:rsidRPr="00616B65">
        <w:rPr>
          <w:b/>
          <w:bCs/>
          <w:sz w:val="22"/>
          <w:szCs w:val="22"/>
          <w:lang w:val="sr-Latn-ME"/>
        </w:rPr>
        <w:t>Rok upotrebe</w:t>
      </w:r>
    </w:p>
    <w:p w14:paraId="55B949DC" w14:textId="77777777" w:rsidR="002635CF" w:rsidRPr="00616B65" w:rsidRDefault="002635CF" w:rsidP="00480FB1">
      <w:pPr>
        <w:tabs>
          <w:tab w:val="left" w:pos="540"/>
          <w:tab w:val="left" w:pos="569"/>
        </w:tabs>
        <w:rPr>
          <w:bCs/>
          <w:sz w:val="22"/>
          <w:szCs w:val="22"/>
          <w:lang w:val="sr-Latn-ME"/>
        </w:rPr>
      </w:pPr>
    </w:p>
    <w:p w14:paraId="1FE438E7" w14:textId="5FFBB0C4" w:rsidR="0072020E" w:rsidRPr="00616B65" w:rsidRDefault="002635CF" w:rsidP="00480FB1">
      <w:pPr>
        <w:tabs>
          <w:tab w:val="left" w:pos="540"/>
          <w:tab w:val="left" w:pos="569"/>
        </w:tabs>
        <w:rPr>
          <w:bCs/>
          <w:sz w:val="22"/>
          <w:szCs w:val="22"/>
          <w:lang w:val="sr-Latn-ME"/>
        </w:rPr>
      </w:pPr>
      <w:r w:rsidRPr="00616B65">
        <w:rPr>
          <w:bCs/>
          <w:sz w:val="22"/>
          <w:szCs w:val="22"/>
          <w:lang w:val="sr-Latn-ME"/>
        </w:rPr>
        <w:t>3 godine.</w:t>
      </w:r>
    </w:p>
    <w:p w14:paraId="08091873" w14:textId="77777777" w:rsidR="002635CF" w:rsidRPr="00616B65" w:rsidRDefault="002635CF" w:rsidP="00480FB1">
      <w:pPr>
        <w:tabs>
          <w:tab w:val="left" w:pos="540"/>
          <w:tab w:val="left" w:pos="569"/>
        </w:tabs>
        <w:rPr>
          <w:bCs/>
          <w:sz w:val="22"/>
          <w:szCs w:val="22"/>
          <w:lang w:val="sr-Latn-ME"/>
        </w:rPr>
      </w:pPr>
    </w:p>
    <w:p w14:paraId="1167A6A0"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6.4. </w:t>
      </w:r>
      <w:r w:rsidR="00480FB1" w:rsidRPr="00616B65">
        <w:rPr>
          <w:b/>
          <w:bCs/>
          <w:sz w:val="22"/>
          <w:szCs w:val="22"/>
          <w:lang w:val="sr-Latn-ME"/>
        </w:rPr>
        <w:tab/>
      </w:r>
      <w:r w:rsidRPr="00616B65">
        <w:rPr>
          <w:b/>
          <w:bCs/>
          <w:sz w:val="22"/>
          <w:szCs w:val="22"/>
          <w:lang w:val="sr-Latn-ME"/>
        </w:rPr>
        <w:t>Posebne mjere upozorenja pri čuvanju</w:t>
      </w:r>
      <w:r w:rsidR="00F8570A" w:rsidRPr="00616B65">
        <w:rPr>
          <w:b/>
          <w:bCs/>
          <w:sz w:val="22"/>
          <w:szCs w:val="22"/>
          <w:lang w:val="sr-Latn-ME"/>
        </w:rPr>
        <w:t xml:space="preserve"> lijeka</w:t>
      </w:r>
    </w:p>
    <w:p w14:paraId="2CA871A5" w14:textId="77777777" w:rsidR="002635CF" w:rsidRPr="00616B65" w:rsidRDefault="002635CF" w:rsidP="002635CF">
      <w:pPr>
        <w:tabs>
          <w:tab w:val="left" w:pos="540"/>
          <w:tab w:val="left" w:pos="569"/>
        </w:tabs>
        <w:rPr>
          <w:bCs/>
          <w:sz w:val="22"/>
          <w:szCs w:val="22"/>
          <w:lang w:val="sr-Latn-ME"/>
        </w:rPr>
      </w:pPr>
    </w:p>
    <w:p w14:paraId="69969CEB" w14:textId="03D2796E" w:rsidR="002635CF" w:rsidRPr="00616B65" w:rsidRDefault="002635CF" w:rsidP="002635CF">
      <w:pPr>
        <w:tabs>
          <w:tab w:val="left" w:pos="540"/>
          <w:tab w:val="left" w:pos="569"/>
        </w:tabs>
        <w:rPr>
          <w:bCs/>
          <w:sz w:val="22"/>
          <w:szCs w:val="22"/>
          <w:lang w:val="sr-Latn-ME"/>
        </w:rPr>
      </w:pPr>
      <w:r w:rsidRPr="00616B65">
        <w:rPr>
          <w:bCs/>
          <w:sz w:val="22"/>
          <w:szCs w:val="22"/>
          <w:lang w:val="sr-Latn-ME"/>
        </w:rPr>
        <w:t xml:space="preserve">Lijek ne zahtijeva posebne </w:t>
      </w:r>
      <w:r w:rsidR="00235CD0" w:rsidRPr="00616B65">
        <w:rPr>
          <w:bCs/>
          <w:sz w:val="22"/>
          <w:szCs w:val="22"/>
          <w:lang w:val="sr-Latn-ME"/>
        </w:rPr>
        <w:t xml:space="preserve">temperaturne </w:t>
      </w:r>
      <w:r w:rsidRPr="00616B65">
        <w:rPr>
          <w:bCs/>
          <w:sz w:val="22"/>
          <w:szCs w:val="22"/>
          <w:lang w:val="sr-Latn-ME"/>
        </w:rPr>
        <w:t>uslove čuvanja.</w:t>
      </w:r>
    </w:p>
    <w:p w14:paraId="506FFE26" w14:textId="690E6432" w:rsidR="00EC2532" w:rsidRPr="00616B65" w:rsidRDefault="002635CF" w:rsidP="002635CF">
      <w:pPr>
        <w:tabs>
          <w:tab w:val="left" w:pos="540"/>
          <w:tab w:val="left" w:pos="569"/>
        </w:tabs>
        <w:rPr>
          <w:bCs/>
          <w:sz w:val="22"/>
          <w:szCs w:val="22"/>
          <w:lang w:val="sr-Latn-ME"/>
        </w:rPr>
      </w:pPr>
      <w:r w:rsidRPr="00616B65">
        <w:rPr>
          <w:bCs/>
          <w:sz w:val="22"/>
          <w:szCs w:val="22"/>
          <w:lang w:val="sr-Latn-ME"/>
        </w:rPr>
        <w:t xml:space="preserve">Čuvati u </w:t>
      </w:r>
      <w:r w:rsidR="00235CD0" w:rsidRPr="00616B65">
        <w:rPr>
          <w:bCs/>
          <w:sz w:val="22"/>
          <w:szCs w:val="22"/>
          <w:lang w:val="sr-Latn-ME"/>
        </w:rPr>
        <w:t>originalnom pakovanju</w:t>
      </w:r>
      <w:r w:rsidRPr="00616B65">
        <w:rPr>
          <w:bCs/>
          <w:sz w:val="22"/>
          <w:szCs w:val="22"/>
          <w:lang w:val="sr-Latn-ME"/>
        </w:rPr>
        <w:t xml:space="preserve"> radi zaštite od svjetlosti.</w:t>
      </w:r>
    </w:p>
    <w:p w14:paraId="3A93C308" w14:textId="77777777" w:rsidR="002635CF" w:rsidRPr="00616B65" w:rsidRDefault="002635CF" w:rsidP="002635CF">
      <w:pPr>
        <w:tabs>
          <w:tab w:val="left" w:pos="540"/>
          <w:tab w:val="left" w:pos="569"/>
        </w:tabs>
        <w:rPr>
          <w:bCs/>
          <w:sz w:val="22"/>
          <w:szCs w:val="22"/>
          <w:lang w:val="sr-Latn-ME"/>
        </w:rPr>
      </w:pPr>
    </w:p>
    <w:p w14:paraId="7375D038"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6.5. </w:t>
      </w:r>
      <w:r w:rsidR="00480FB1" w:rsidRPr="00616B65">
        <w:rPr>
          <w:b/>
          <w:bCs/>
          <w:sz w:val="22"/>
          <w:szCs w:val="22"/>
          <w:lang w:val="sr-Latn-ME"/>
        </w:rPr>
        <w:tab/>
      </w:r>
      <w:r w:rsidR="002846DB" w:rsidRPr="00616B65">
        <w:rPr>
          <w:b/>
          <w:bCs/>
          <w:sz w:val="22"/>
          <w:szCs w:val="22"/>
          <w:lang w:val="sr-Latn-ME"/>
        </w:rPr>
        <w:t xml:space="preserve">Vrsta i sadržaj </w:t>
      </w:r>
      <w:r w:rsidR="00F8570A" w:rsidRPr="00616B65">
        <w:rPr>
          <w:b/>
          <w:bCs/>
          <w:sz w:val="22"/>
          <w:szCs w:val="22"/>
          <w:lang w:val="sr-Latn-ME"/>
        </w:rPr>
        <w:t>pakovanja</w:t>
      </w:r>
      <w:r w:rsidR="00C06864" w:rsidRPr="00616B65">
        <w:rPr>
          <w:b/>
          <w:bCs/>
          <w:sz w:val="22"/>
          <w:szCs w:val="22"/>
          <w:lang w:val="sr-Latn-ME"/>
        </w:rPr>
        <w:t xml:space="preserve"> </w:t>
      </w:r>
    </w:p>
    <w:p w14:paraId="0876C3E3" w14:textId="77777777" w:rsidR="002635CF" w:rsidRPr="00616B65" w:rsidRDefault="002635CF" w:rsidP="002635CF">
      <w:pPr>
        <w:tabs>
          <w:tab w:val="left" w:pos="540"/>
          <w:tab w:val="left" w:pos="569"/>
        </w:tabs>
        <w:rPr>
          <w:bCs/>
          <w:sz w:val="22"/>
          <w:szCs w:val="22"/>
          <w:lang w:val="sr-Latn-ME"/>
        </w:rPr>
      </w:pPr>
    </w:p>
    <w:p w14:paraId="0C1258FD" w14:textId="2F442872" w:rsidR="002635CF" w:rsidRPr="00616B65" w:rsidRDefault="002635CF" w:rsidP="002635CF">
      <w:pPr>
        <w:tabs>
          <w:tab w:val="left" w:pos="540"/>
          <w:tab w:val="left" w:pos="569"/>
        </w:tabs>
        <w:jc w:val="both"/>
        <w:rPr>
          <w:bCs/>
          <w:sz w:val="22"/>
          <w:szCs w:val="22"/>
          <w:lang w:val="sr-Latn-ME"/>
        </w:rPr>
      </w:pPr>
      <w:r w:rsidRPr="00616B65">
        <w:rPr>
          <w:bCs/>
          <w:sz w:val="22"/>
          <w:szCs w:val="22"/>
          <w:lang w:val="sr-Latn-ME"/>
        </w:rPr>
        <w:t>Unutrašnje pakovanje</w:t>
      </w:r>
      <w:r w:rsidR="00235CD0" w:rsidRPr="00616B65">
        <w:rPr>
          <w:bCs/>
          <w:sz w:val="22"/>
          <w:szCs w:val="22"/>
          <w:lang w:val="sr-Latn-ME"/>
        </w:rPr>
        <w:t xml:space="preserve"> lijeka</w:t>
      </w:r>
      <w:r w:rsidRPr="00616B65">
        <w:rPr>
          <w:bCs/>
          <w:sz w:val="22"/>
          <w:szCs w:val="22"/>
          <w:lang w:val="sr-Latn-ME"/>
        </w:rPr>
        <w:t xml:space="preserve"> je </w:t>
      </w:r>
      <w:r w:rsidR="001B6DC7" w:rsidRPr="00616B65">
        <w:rPr>
          <w:bCs/>
          <w:sz w:val="22"/>
          <w:szCs w:val="22"/>
          <w:lang w:val="sr-Latn-ME"/>
        </w:rPr>
        <w:t>O</w:t>
      </w:r>
      <w:r w:rsidRPr="00616B65">
        <w:rPr>
          <w:bCs/>
          <w:sz w:val="22"/>
          <w:szCs w:val="22"/>
          <w:lang w:val="sr-Latn-ME"/>
        </w:rPr>
        <w:t>PA/Al/PVC</w:t>
      </w:r>
      <w:r w:rsidR="00235CD0" w:rsidRPr="00616B65">
        <w:rPr>
          <w:bCs/>
          <w:sz w:val="22"/>
          <w:szCs w:val="22"/>
          <w:lang w:val="sr-Latn-ME"/>
        </w:rPr>
        <w:t>-</w:t>
      </w:r>
      <w:r w:rsidRPr="00616B65">
        <w:rPr>
          <w:bCs/>
          <w:sz w:val="22"/>
          <w:szCs w:val="22"/>
          <w:lang w:val="sr-Latn-ME"/>
        </w:rPr>
        <w:t>Al blister</w:t>
      </w:r>
      <w:r w:rsidR="00235CD0" w:rsidRPr="00616B65">
        <w:rPr>
          <w:bCs/>
          <w:sz w:val="22"/>
          <w:szCs w:val="22"/>
          <w:lang w:val="sr-Latn-ME"/>
        </w:rPr>
        <w:t>,</w:t>
      </w:r>
      <w:r w:rsidRPr="00616B65">
        <w:rPr>
          <w:bCs/>
          <w:sz w:val="22"/>
          <w:szCs w:val="22"/>
          <w:lang w:val="sr-Latn-ME"/>
        </w:rPr>
        <w:t xml:space="preserve"> </w:t>
      </w:r>
      <w:r w:rsidR="00235CD0" w:rsidRPr="00616B65">
        <w:rPr>
          <w:bCs/>
          <w:sz w:val="22"/>
          <w:szCs w:val="22"/>
          <w:lang w:val="sr-Latn-ME"/>
        </w:rPr>
        <w:t xml:space="preserve">koji </w:t>
      </w:r>
      <w:r w:rsidRPr="00616B65">
        <w:rPr>
          <w:bCs/>
          <w:sz w:val="22"/>
          <w:szCs w:val="22"/>
          <w:lang w:val="sr-Latn-ME"/>
        </w:rPr>
        <w:t xml:space="preserve">sadrži </w:t>
      </w:r>
      <w:r w:rsidR="001B6DC7" w:rsidRPr="00616B65">
        <w:rPr>
          <w:bCs/>
          <w:sz w:val="22"/>
          <w:szCs w:val="22"/>
          <w:lang w:val="sr-Latn-ME"/>
        </w:rPr>
        <w:t xml:space="preserve">7 </w:t>
      </w:r>
      <w:r w:rsidRPr="00616B65">
        <w:rPr>
          <w:bCs/>
          <w:sz w:val="22"/>
          <w:szCs w:val="22"/>
          <w:lang w:val="sr-Latn-ME"/>
        </w:rPr>
        <w:t>gastrorezistentnih kapsula, tvrdih.</w:t>
      </w:r>
    </w:p>
    <w:p w14:paraId="648F88DF" w14:textId="77777777" w:rsidR="00235CD0" w:rsidRPr="00616B65" w:rsidRDefault="00235CD0" w:rsidP="002635CF">
      <w:pPr>
        <w:tabs>
          <w:tab w:val="left" w:pos="540"/>
          <w:tab w:val="left" w:pos="569"/>
        </w:tabs>
        <w:jc w:val="both"/>
        <w:rPr>
          <w:bCs/>
          <w:sz w:val="22"/>
          <w:szCs w:val="22"/>
          <w:lang w:val="sr-Latn-ME"/>
        </w:rPr>
      </w:pPr>
    </w:p>
    <w:p w14:paraId="5600DD6A" w14:textId="22A1BC46" w:rsidR="00235CD0" w:rsidRPr="00616B65" w:rsidRDefault="00235CD0" w:rsidP="00235CD0">
      <w:pPr>
        <w:tabs>
          <w:tab w:val="left" w:pos="540"/>
          <w:tab w:val="left" w:pos="569"/>
        </w:tabs>
        <w:jc w:val="both"/>
        <w:rPr>
          <w:bCs/>
          <w:iCs/>
          <w:sz w:val="22"/>
          <w:szCs w:val="22"/>
          <w:u w:val="single"/>
          <w:lang w:val="sr-Latn-ME"/>
        </w:rPr>
      </w:pPr>
      <w:r w:rsidRPr="00616B65">
        <w:rPr>
          <w:bCs/>
          <w:iCs/>
          <w:sz w:val="22"/>
          <w:szCs w:val="22"/>
          <w:u w:val="single"/>
          <w:lang w:val="sr-Latn-ME"/>
        </w:rPr>
        <w:t>Dimetex, 120 mg, gastrorezistentna kapsula, tvrda</w:t>
      </w:r>
    </w:p>
    <w:p w14:paraId="36ECA3EC" w14:textId="33371380" w:rsidR="002635CF" w:rsidRPr="00616B65" w:rsidRDefault="002635CF" w:rsidP="002635CF">
      <w:pPr>
        <w:tabs>
          <w:tab w:val="left" w:pos="540"/>
          <w:tab w:val="left" w:pos="569"/>
        </w:tabs>
        <w:jc w:val="both"/>
        <w:rPr>
          <w:bCs/>
          <w:sz w:val="22"/>
          <w:szCs w:val="22"/>
          <w:lang w:val="sr-Latn-ME"/>
        </w:rPr>
      </w:pPr>
      <w:r w:rsidRPr="00616B65">
        <w:rPr>
          <w:bCs/>
          <w:sz w:val="22"/>
          <w:szCs w:val="22"/>
          <w:lang w:val="sr-Latn-ME"/>
        </w:rPr>
        <w:t xml:space="preserve">Spoljašnje pakovanje </w:t>
      </w:r>
      <w:r w:rsidR="00235CD0" w:rsidRPr="00616B65">
        <w:rPr>
          <w:bCs/>
          <w:sz w:val="22"/>
          <w:szCs w:val="22"/>
          <w:lang w:val="sr-Latn-ME"/>
        </w:rPr>
        <w:t xml:space="preserve">lijeka </w:t>
      </w:r>
      <w:r w:rsidRPr="00616B65">
        <w:rPr>
          <w:bCs/>
          <w:sz w:val="22"/>
          <w:szCs w:val="22"/>
          <w:lang w:val="sr-Latn-ME"/>
        </w:rPr>
        <w:t>je složiva kartonska kutija u kojoj se nalaz</w:t>
      </w:r>
      <w:r w:rsidR="00235CD0" w:rsidRPr="00616B65">
        <w:rPr>
          <w:bCs/>
          <w:sz w:val="22"/>
          <w:szCs w:val="22"/>
          <w:lang w:val="sr-Latn-ME"/>
        </w:rPr>
        <w:t>e</w:t>
      </w:r>
      <w:r w:rsidRPr="00616B65">
        <w:rPr>
          <w:bCs/>
          <w:sz w:val="22"/>
          <w:szCs w:val="22"/>
          <w:lang w:val="sr-Latn-ME"/>
        </w:rPr>
        <w:t xml:space="preserve"> </w:t>
      </w:r>
      <w:r w:rsidR="001B6DC7" w:rsidRPr="00616B65">
        <w:rPr>
          <w:bCs/>
          <w:sz w:val="22"/>
          <w:szCs w:val="22"/>
          <w:lang w:val="sr-Latn-ME"/>
        </w:rPr>
        <w:t>2</w:t>
      </w:r>
      <w:r w:rsidRPr="00616B65">
        <w:rPr>
          <w:bCs/>
          <w:sz w:val="22"/>
          <w:szCs w:val="22"/>
          <w:lang w:val="sr-Latn-ME"/>
        </w:rPr>
        <w:t xml:space="preserve"> blister</w:t>
      </w:r>
      <w:r w:rsidR="00235CD0" w:rsidRPr="00616B65">
        <w:rPr>
          <w:bCs/>
          <w:sz w:val="22"/>
          <w:szCs w:val="22"/>
          <w:lang w:val="sr-Latn-ME"/>
        </w:rPr>
        <w:t>a</w:t>
      </w:r>
      <w:r w:rsidRPr="00616B65">
        <w:rPr>
          <w:bCs/>
          <w:sz w:val="22"/>
          <w:szCs w:val="22"/>
          <w:lang w:val="sr-Latn-ME"/>
        </w:rPr>
        <w:t xml:space="preserve"> sa </w:t>
      </w:r>
      <w:r w:rsidR="001B6DC7" w:rsidRPr="00616B65">
        <w:rPr>
          <w:bCs/>
          <w:sz w:val="22"/>
          <w:szCs w:val="22"/>
          <w:lang w:val="sr-Latn-ME"/>
        </w:rPr>
        <w:t>7</w:t>
      </w:r>
      <w:r w:rsidRPr="00616B65">
        <w:rPr>
          <w:bCs/>
          <w:sz w:val="22"/>
          <w:szCs w:val="22"/>
          <w:lang w:val="sr-Latn-ME"/>
        </w:rPr>
        <w:t xml:space="preserve"> gastrorezistentnih kapsula, tvrdih (ukupno 14 gastrorezistentnih kapsula, tvrdih) i Uputstvo za lijek.</w:t>
      </w:r>
    </w:p>
    <w:p w14:paraId="2F596F8C" w14:textId="77777777" w:rsidR="002635CF" w:rsidRPr="00616B65" w:rsidRDefault="002635CF" w:rsidP="002635CF">
      <w:pPr>
        <w:tabs>
          <w:tab w:val="left" w:pos="540"/>
          <w:tab w:val="left" w:pos="569"/>
        </w:tabs>
        <w:jc w:val="both"/>
        <w:rPr>
          <w:bCs/>
          <w:sz w:val="22"/>
          <w:szCs w:val="22"/>
          <w:lang w:val="sr-Latn-ME"/>
        </w:rPr>
      </w:pPr>
    </w:p>
    <w:p w14:paraId="15192D65" w14:textId="098FFDAF" w:rsidR="002635CF" w:rsidRPr="00616B65" w:rsidRDefault="002635CF" w:rsidP="002635CF">
      <w:pPr>
        <w:tabs>
          <w:tab w:val="left" w:pos="540"/>
          <w:tab w:val="left" w:pos="569"/>
        </w:tabs>
        <w:jc w:val="both"/>
        <w:rPr>
          <w:bCs/>
          <w:iCs/>
          <w:sz w:val="22"/>
          <w:szCs w:val="22"/>
          <w:u w:val="single"/>
          <w:lang w:val="sr-Latn-ME"/>
        </w:rPr>
      </w:pPr>
      <w:r w:rsidRPr="00616B65">
        <w:rPr>
          <w:bCs/>
          <w:iCs/>
          <w:sz w:val="22"/>
          <w:szCs w:val="22"/>
          <w:u w:val="single"/>
          <w:lang w:val="sr-Latn-ME"/>
        </w:rPr>
        <w:lastRenderedPageBreak/>
        <w:t>Dimetex, 240 mg, gastrorezistentn</w:t>
      </w:r>
      <w:r w:rsidR="00235CD0" w:rsidRPr="00616B65">
        <w:rPr>
          <w:bCs/>
          <w:iCs/>
          <w:sz w:val="22"/>
          <w:szCs w:val="22"/>
          <w:u w:val="single"/>
          <w:lang w:val="sr-Latn-ME"/>
        </w:rPr>
        <w:t>a</w:t>
      </w:r>
      <w:r w:rsidRPr="00616B65">
        <w:rPr>
          <w:bCs/>
          <w:iCs/>
          <w:sz w:val="22"/>
          <w:szCs w:val="22"/>
          <w:u w:val="single"/>
          <w:lang w:val="sr-Latn-ME"/>
        </w:rPr>
        <w:t xml:space="preserve"> kapsul</w:t>
      </w:r>
      <w:r w:rsidR="00235CD0" w:rsidRPr="00616B65">
        <w:rPr>
          <w:bCs/>
          <w:iCs/>
          <w:sz w:val="22"/>
          <w:szCs w:val="22"/>
          <w:u w:val="single"/>
          <w:lang w:val="sr-Latn-ME"/>
        </w:rPr>
        <w:t>a</w:t>
      </w:r>
      <w:r w:rsidRPr="00616B65">
        <w:rPr>
          <w:bCs/>
          <w:iCs/>
          <w:sz w:val="22"/>
          <w:szCs w:val="22"/>
          <w:u w:val="single"/>
          <w:lang w:val="sr-Latn-ME"/>
        </w:rPr>
        <w:t>, tvrd</w:t>
      </w:r>
      <w:r w:rsidR="00235CD0" w:rsidRPr="00616B65">
        <w:rPr>
          <w:bCs/>
          <w:iCs/>
          <w:sz w:val="22"/>
          <w:szCs w:val="22"/>
          <w:u w:val="single"/>
          <w:lang w:val="sr-Latn-ME"/>
        </w:rPr>
        <w:t>a</w:t>
      </w:r>
    </w:p>
    <w:p w14:paraId="09C1DB13" w14:textId="422328E3" w:rsidR="0072020E" w:rsidRPr="00616B65" w:rsidRDefault="002635CF" w:rsidP="002635CF">
      <w:pPr>
        <w:tabs>
          <w:tab w:val="left" w:pos="540"/>
          <w:tab w:val="left" w:pos="569"/>
        </w:tabs>
        <w:jc w:val="both"/>
        <w:rPr>
          <w:bCs/>
          <w:sz w:val="22"/>
          <w:szCs w:val="22"/>
          <w:lang w:val="sr-Latn-ME"/>
        </w:rPr>
      </w:pPr>
      <w:r w:rsidRPr="00616B65">
        <w:rPr>
          <w:bCs/>
          <w:sz w:val="22"/>
          <w:szCs w:val="22"/>
          <w:lang w:val="sr-Latn-ME"/>
        </w:rPr>
        <w:t xml:space="preserve">Spoljašnje pakovanje </w:t>
      </w:r>
      <w:r w:rsidR="00235CD0" w:rsidRPr="00616B65">
        <w:rPr>
          <w:bCs/>
          <w:sz w:val="22"/>
          <w:szCs w:val="22"/>
          <w:lang w:val="sr-Latn-ME"/>
        </w:rPr>
        <w:t xml:space="preserve">lijeka </w:t>
      </w:r>
      <w:r w:rsidRPr="00616B65">
        <w:rPr>
          <w:bCs/>
          <w:sz w:val="22"/>
          <w:szCs w:val="22"/>
          <w:lang w:val="sr-Latn-ME"/>
        </w:rPr>
        <w:t xml:space="preserve">je složiva kartonska kutija u kojoj se nalazi </w:t>
      </w:r>
      <w:r w:rsidR="001B6DC7" w:rsidRPr="00616B65">
        <w:rPr>
          <w:bCs/>
          <w:sz w:val="22"/>
          <w:szCs w:val="22"/>
          <w:lang w:val="sr-Latn-ME"/>
        </w:rPr>
        <w:t>8</w:t>
      </w:r>
      <w:r w:rsidRPr="00616B65">
        <w:rPr>
          <w:bCs/>
          <w:sz w:val="22"/>
          <w:szCs w:val="22"/>
          <w:lang w:val="sr-Latn-ME"/>
        </w:rPr>
        <w:t xml:space="preserve"> blistera sa</w:t>
      </w:r>
      <w:r w:rsidR="001B6DC7" w:rsidRPr="00616B65">
        <w:rPr>
          <w:bCs/>
          <w:sz w:val="22"/>
          <w:szCs w:val="22"/>
          <w:lang w:val="sr-Latn-ME"/>
        </w:rPr>
        <w:t xml:space="preserve"> 7</w:t>
      </w:r>
      <w:r w:rsidRPr="00616B65">
        <w:rPr>
          <w:bCs/>
          <w:sz w:val="22"/>
          <w:szCs w:val="22"/>
          <w:lang w:val="sr-Latn-ME"/>
        </w:rPr>
        <w:t xml:space="preserve"> gastrorezistentnih kapsula, tvrdih (ukupno 56 gastrorezistentnih kapsula, tvrdih) i Uputstvo za lijek.</w:t>
      </w:r>
    </w:p>
    <w:p w14:paraId="1BA5E353" w14:textId="77777777" w:rsidR="002635CF" w:rsidRPr="00616B65" w:rsidRDefault="002635CF" w:rsidP="002635CF">
      <w:pPr>
        <w:tabs>
          <w:tab w:val="left" w:pos="540"/>
          <w:tab w:val="left" w:pos="569"/>
        </w:tabs>
        <w:rPr>
          <w:bCs/>
          <w:sz w:val="22"/>
          <w:szCs w:val="22"/>
          <w:lang w:val="sr-Latn-ME"/>
        </w:rPr>
      </w:pPr>
    </w:p>
    <w:p w14:paraId="6CFE1C93" w14:textId="77777777" w:rsidR="002846DB"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6.6. </w:t>
      </w:r>
      <w:r w:rsidR="00480FB1" w:rsidRPr="00616B65">
        <w:rPr>
          <w:b/>
          <w:bCs/>
          <w:sz w:val="22"/>
          <w:szCs w:val="22"/>
          <w:lang w:val="sr-Latn-ME"/>
        </w:rPr>
        <w:tab/>
      </w:r>
      <w:r w:rsidRPr="00616B65">
        <w:rPr>
          <w:b/>
          <w:bCs/>
          <w:color w:val="000000"/>
          <w:sz w:val="22"/>
          <w:szCs w:val="22"/>
          <w:lang w:val="sr-Latn-ME"/>
        </w:rPr>
        <w:t>Posebne mjere opreza pri odlaganju materijala koji treba odbaciti nakon primjene lijeka</w:t>
      </w:r>
      <w:r w:rsidRPr="00616B65">
        <w:rPr>
          <w:b/>
          <w:bCs/>
          <w:sz w:val="22"/>
          <w:szCs w:val="22"/>
          <w:lang w:val="sr-Latn-ME"/>
        </w:rPr>
        <w:t xml:space="preserve"> </w:t>
      </w:r>
      <w:r w:rsidR="00310F03" w:rsidRPr="00616B65">
        <w:rPr>
          <w:b/>
          <w:bCs/>
          <w:sz w:val="22"/>
          <w:szCs w:val="22"/>
          <w:lang w:val="sr-Latn-ME"/>
        </w:rPr>
        <w:t>(i druga uputs</w:t>
      </w:r>
      <w:r w:rsidR="004109FA" w:rsidRPr="00616B65">
        <w:rPr>
          <w:b/>
          <w:bCs/>
          <w:sz w:val="22"/>
          <w:szCs w:val="22"/>
          <w:lang w:val="sr-Latn-ME"/>
        </w:rPr>
        <w:t>t</w:t>
      </w:r>
      <w:r w:rsidR="00310F03" w:rsidRPr="00616B65">
        <w:rPr>
          <w:b/>
          <w:bCs/>
          <w:sz w:val="22"/>
          <w:szCs w:val="22"/>
          <w:lang w:val="sr-Latn-ME"/>
        </w:rPr>
        <w:t xml:space="preserve">va za rukovanje lijekom) </w:t>
      </w:r>
    </w:p>
    <w:p w14:paraId="6B9B27D7" w14:textId="77777777" w:rsidR="00B66A70" w:rsidRPr="00616B65" w:rsidRDefault="00B66A70" w:rsidP="00480FB1">
      <w:pPr>
        <w:tabs>
          <w:tab w:val="left" w:pos="540"/>
          <w:tab w:val="left" w:pos="569"/>
        </w:tabs>
        <w:rPr>
          <w:b/>
          <w:bCs/>
          <w:sz w:val="22"/>
          <w:szCs w:val="22"/>
          <w:lang w:val="sr-Latn-ME"/>
        </w:rPr>
      </w:pPr>
    </w:p>
    <w:p w14:paraId="3A54476F" w14:textId="4CD8FF78" w:rsidR="0072020E" w:rsidRPr="00616B65" w:rsidRDefault="002635CF" w:rsidP="002635CF">
      <w:pPr>
        <w:tabs>
          <w:tab w:val="left" w:pos="540"/>
          <w:tab w:val="left" w:pos="569"/>
        </w:tabs>
        <w:jc w:val="both"/>
        <w:rPr>
          <w:bCs/>
          <w:sz w:val="22"/>
          <w:szCs w:val="22"/>
          <w:lang w:val="sr-Latn-ME"/>
        </w:rPr>
      </w:pPr>
      <w:r w:rsidRPr="00616B65">
        <w:rPr>
          <w:bCs/>
          <w:sz w:val="22"/>
          <w:szCs w:val="22"/>
          <w:lang w:val="sr-Latn-ME"/>
        </w:rPr>
        <w:t>Svu neiskorišćenu količinu lijeka ili otpadnog materijala nakon njegove upotrebe treba ukloniti u skladu sa važećim propisima.</w:t>
      </w:r>
    </w:p>
    <w:p w14:paraId="6716F0EA" w14:textId="5139CD3B" w:rsidR="002635CF" w:rsidRPr="00616B65" w:rsidRDefault="002635CF" w:rsidP="00480FB1">
      <w:pPr>
        <w:tabs>
          <w:tab w:val="left" w:pos="540"/>
          <w:tab w:val="left" w:pos="569"/>
        </w:tabs>
        <w:rPr>
          <w:bCs/>
          <w:sz w:val="22"/>
          <w:szCs w:val="22"/>
          <w:lang w:val="sr-Latn-ME"/>
        </w:rPr>
      </w:pPr>
    </w:p>
    <w:p w14:paraId="3183282D" w14:textId="77777777" w:rsidR="00235CD0" w:rsidRPr="00616B65" w:rsidRDefault="00235CD0" w:rsidP="00480FB1">
      <w:pPr>
        <w:tabs>
          <w:tab w:val="left" w:pos="540"/>
          <w:tab w:val="left" w:pos="569"/>
        </w:tabs>
        <w:rPr>
          <w:bCs/>
          <w:sz w:val="22"/>
          <w:szCs w:val="22"/>
          <w:lang w:val="sr-Latn-ME"/>
        </w:rPr>
      </w:pPr>
    </w:p>
    <w:p w14:paraId="4E454F8E" w14:textId="77777777" w:rsidR="00F8570A"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7. </w:t>
      </w:r>
      <w:r w:rsidR="00480FB1" w:rsidRPr="00616B65">
        <w:rPr>
          <w:b/>
          <w:bCs/>
          <w:sz w:val="22"/>
          <w:szCs w:val="22"/>
          <w:lang w:val="sr-Latn-ME"/>
        </w:rPr>
        <w:tab/>
      </w:r>
      <w:r w:rsidRPr="00616B65">
        <w:rPr>
          <w:b/>
          <w:bCs/>
          <w:sz w:val="22"/>
          <w:szCs w:val="22"/>
          <w:lang w:val="sr-Latn-ME"/>
        </w:rPr>
        <w:t>NOSILAC DOZVOLE</w:t>
      </w:r>
      <w:r w:rsidR="00483928" w:rsidRPr="00616B65">
        <w:rPr>
          <w:b/>
          <w:bCs/>
          <w:sz w:val="22"/>
          <w:szCs w:val="22"/>
          <w:lang w:val="sr-Latn-ME"/>
        </w:rPr>
        <w:t xml:space="preserve"> </w:t>
      </w:r>
    </w:p>
    <w:p w14:paraId="5409D972" w14:textId="77777777" w:rsidR="00C61BE0" w:rsidRPr="00616B65" w:rsidRDefault="00C61BE0" w:rsidP="00480FB1">
      <w:pPr>
        <w:tabs>
          <w:tab w:val="left" w:pos="540"/>
          <w:tab w:val="left" w:pos="569"/>
        </w:tabs>
        <w:rPr>
          <w:bCs/>
          <w:sz w:val="22"/>
          <w:szCs w:val="22"/>
          <w:lang w:val="sr-Latn-ME"/>
        </w:rPr>
      </w:pPr>
    </w:p>
    <w:p w14:paraId="5A226E98" w14:textId="77777777" w:rsidR="002635CF" w:rsidRPr="00616B65" w:rsidRDefault="002635CF" w:rsidP="002635CF">
      <w:pPr>
        <w:tabs>
          <w:tab w:val="left" w:pos="540"/>
          <w:tab w:val="left" w:pos="569"/>
        </w:tabs>
        <w:rPr>
          <w:bCs/>
          <w:sz w:val="22"/>
          <w:szCs w:val="22"/>
          <w:lang w:val="sr-Latn-ME"/>
        </w:rPr>
      </w:pPr>
      <w:r w:rsidRPr="00616B65">
        <w:rPr>
          <w:bCs/>
          <w:sz w:val="22"/>
          <w:szCs w:val="22"/>
          <w:lang w:val="sr-Latn-ME"/>
        </w:rPr>
        <w:t xml:space="preserve">Društvo za trgovinu, promet i usluge “Pontera Pharma Solutions” doo Podgorica, </w:t>
      </w:r>
    </w:p>
    <w:p w14:paraId="18E7C29B" w14:textId="69B89D1B" w:rsidR="00C37FD7" w:rsidRPr="00616B65" w:rsidRDefault="002635CF" w:rsidP="002635CF">
      <w:pPr>
        <w:tabs>
          <w:tab w:val="left" w:pos="540"/>
          <w:tab w:val="left" w:pos="569"/>
        </w:tabs>
        <w:rPr>
          <w:bCs/>
          <w:sz w:val="22"/>
          <w:szCs w:val="22"/>
          <w:lang w:val="sr-Latn-ME"/>
        </w:rPr>
      </w:pPr>
      <w:r w:rsidRPr="00616B65">
        <w:rPr>
          <w:bCs/>
          <w:sz w:val="22"/>
          <w:szCs w:val="22"/>
          <w:lang w:val="sr-Latn-ME"/>
        </w:rPr>
        <w:t>Cijevna bb, Podgorica</w:t>
      </w:r>
      <w:r w:rsidR="00235CD0" w:rsidRPr="00616B65">
        <w:rPr>
          <w:bCs/>
          <w:sz w:val="22"/>
          <w:szCs w:val="22"/>
          <w:lang w:val="sr-Latn-ME"/>
        </w:rPr>
        <w:t>, Crna Gora</w:t>
      </w:r>
    </w:p>
    <w:p w14:paraId="6492F63F" w14:textId="525E1EA3" w:rsidR="002635CF" w:rsidRPr="00616B65" w:rsidRDefault="002635CF" w:rsidP="002635CF">
      <w:pPr>
        <w:tabs>
          <w:tab w:val="left" w:pos="540"/>
          <w:tab w:val="left" w:pos="569"/>
        </w:tabs>
        <w:rPr>
          <w:bCs/>
          <w:sz w:val="22"/>
          <w:szCs w:val="22"/>
          <w:lang w:val="sr-Latn-ME"/>
        </w:rPr>
      </w:pPr>
    </w:p>
    <w:p w14:paraId="7FCA415B" w14:textId="77777777" w:rsidR="00235CD0" w:rsidRPr="00616B65" w:rsidRDefault="00235CD0" w:rsidP="002635CF">
      <w:pPr>
        <w:tabs>
          <w:tab w:val="left" w:pos="540"/>
          <w:tab w:val="left" w:pos="569"/>
        </w:tabs>
        <w:rPr>
          <w:bCs/>
          <w:sz w:val="22"/>
          <w:szCs w:val="22"/>
          <w:lang w:val="sr-Latn-ME"/>
        </w:rPr>
      </w:pPr>
    </w:p>
    <w:p w14:paraId="0E218622"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8. </w:t>
      </w:r>
      <w:r w:rsidR="00480FB1" w:rsidRPr="00616B65">
        <w:rPr>
          <w:b/>
          <w:bCs/>
          <w:sz w:val="22"/>
          <w:szCs w:val="22"/>
          <w:lang w:val="sr-Latn-ME"/>
        </w:rPr>
        <w:tab/>
      </w:r>
      <w:r w:rsidRPr="00616B65">
        <w:rPr>
          <w:b/>
          <w:bCs/>
          <w:sz w:val="22"/>
          <w:szCs w:val="22"/>
          <w:lang w:val="sr-Latn-ME"/>
        </w:rPr>
        <w:t>BROJ DOZVOLE</w:t>
      </w:r>
      <w:r w:rsidR="008A6D43" w:rsidRPr="00616B65">
        <w:rPr>
          <w:b/>
          <w:bCs/>
          <w:sz w:val="22"/>
          <w:szCs w:val="22"/>
          <w:lang w:val="sr-Latn-ME"/>
        </w:rPr>
        <w:t xml:space="preserve"> ZA STAVLJANJE LIJEKA U PROMET</w:t>
      </w:r>
    </w:p>
    <w:p w14:paraId="37238751" w14:textId="77777777" w:rsidR="0072020E" w:rsidRPr="00616B65" w:rsidRDefault="0072020E" w:rsidP="00480FB1">
      <w:pPr>
        <w:tabs>
          <w:tab w:val="left" w:pos="540"/>
          <w:tab w:val="left" w:pos="569"/>
        </w:tabs>
        <w:rPr>
          <w:bCs/>
          <w:sz w:val="22"/>
          <w:szCs w:val="22"/>
          <w:lang w:val="sr-Latn-ME"/>
        </w:rPr>
      </w:pPr>
    </w:p>
    <w:p w14:paraId="75967BB2" w14:textId="1A989887" w:rsidR="002635CF" w:rsidRPr="00616B65" w:rsidRDefault="002635CF" w:rsidP="002635CF">
      <w:pPr>
        <w:tabs>
          <w:tab w:val="left" w:pos="540"/>
          <w:tab w:val="left" w:pos="569"/>
        </w:tabs>
        <w:rPr>
          <w:bCs/>
          <w:sz w:val="22"/>
          <w:szCs w:val="22"/>
          <w:lang w:val="sr-Latn-ME"/>
        </w:rPr>
      </w:pPr>
      <w:r w:rsidRPr="00616B65">
        <w:rPr>
          <w:bCs/>
          <w:sz w:val="22"/>
          <w:szCs w:val="22"/>
          <w:lang w:val="sr-Latn-ME"/>
        </w:rPr>
        <w:t xml:space="preserve">Dimetex, 120 mg, gastrorezistentna kapsula, tvrda: </w:t>
      </w:r>
      <w:r w:rsidR="00275674" w:rsidRPr="00616B65">
        <w:rPr>
          <w:sz w:val="22"/>
          <w:szCs w:val="22"/>
          <w:lang w:val="sr-Latn-ME" w:eastAsia="sr-Latn-ME"/>
        </w:rPr>
        <w:t xml:space="preserve">2030/25/497 – 1100 </w:t>
      </w:r>
    </w:p>
    <w:p w14:paraId="690AF468" w14:textId="246AD7A3" w:rsidR="00F45F77" w:rsidRPr="00616B65" w:rsidRDefault="002635CF" w:rsidP="002635CF">
      <w:pPr>
        <w:tabs>
          <w:tab w:val="left" w:pos="540"/>
          <w:tab w:val="left" w:pos="569"/>
        </w:tabs>
        <w:rPr>
          <w:bCs/>
          <w:sz w:val="22"/>
          <w:szCs w:val="22"/>
          <w:lang w:val="sr-Latn-ME"/>
        </w:rPr>
      </w:pPr>
      <w:r w:rsidRPr="00616B65">
        <w:rPr>
          <w:bCs/>
          <w:sz w:val="22"/>
          <w:szCs w:val="22"/>
          <w:lang w:val="sr-Latn-ME"/>
        </w:rPr>
        <w:t>Dimetex, 240 mg, gastrorezistentna kapsula, tvrda:</w:t>
      </w:r>
      <w:r w:rsidR="00616B65" w:rsidRPr="00616B65">
        <w:rPr>
          <w:sz w:val="22"/>
          <w:szCs w:val="22"/>
          <w:lang w:val="sr-Latn-ME" w:eastAsia="sr-Latn-ME"/>
        </w:rPr>
        <w:t xml:space="preserve"> </w:t>
      </w:r>
      <w:r w:rsidR="00616B65" w:rsidRPr="00616B65">
        <w:rPr>
          <w:sz w:val="22"/>
          <w:szCs w:val="22"/>
          <w:lang w:val="sr-Latn-ME" w:eastAsia="sr-Latn-ME"/>
        </w:rPr>
        <w:t xml:space="preserve">2030/25/498 – 1101 </w:t>
      </w:r>
    </w:p>
    <w:p w14:paraId="01ABCC8B" w14:textId="40C35C83" w:rsidR="002635CF" w:rsidRPr="00616B65" w:rsidRDefault="002635CF" w:rsidP="002635CF">
      <w:pPr>
        <w:tabs>
          <w:tab w:val="left" w:pos="540"/>
          <w:tab w:val="left" w:pos="569"/>
        </w:tabs>
        <w:rPr>
          <w:bCs/>
          <w:sz w:val="22"/>
          <w:szCs w:val="22"/>
          <w:lang w:val="sr-Latn-ME"/>
        </w:rPr>
      </w:pPr>
    </w:p>
    <w:p w14:paraId="21C0E46F" w14:textId="77777777" w:rsidR="00C9779E" w:rsidRPr="00616B65" w:rsidRDefault="00C9779E" w:rsidP="002635CF">
      <w:pPr>
        <w:tabs>
          <w:tab w:val="left" w:pos="540"/>
          <w:tab w:val="left" w:pos="569"/>
        </w:tabs>
        <w:rPr>
          <w:bCs/>
          <w:sz w:val="22"/>
          <w:szCs w:val="22"/>
          <w:lang w:val="sr-Latn-ME"/>
        </w:rPr>
      </w:pPr>
    </w:p>
    <w:p w14:paraId="644F2CA5" w14:textId="77777777" w:rsidR="0072020E" w:rsidRPr="00616B65" w:rsidRDefault="0072020E" w:rsidP="00480FB1">
      <w:pPr>
        <w:tabs>
          <w:tab w:val="left" w:pos="540"/>
          <w:tab w:val="left" w:pos="569"/>
        </w:tabs>
        <w:rPr>
          <w:b/>
          <w:bCs/>
          <w:sz w:val="22"/>
          <w:szCs w:val="22"/>
          <w:lang w:val="sr-Latn-ME"/>
        </w:rPr>
      </w:pPr>
      <w:r w:rsidRPr="00616B65">
        <w:rPr>
          <w:b/>
          <w:bCs/>
          <w:sz w:val="22"/>
          <w:szCs w:val="22"/>
          <w:lang w:val="sr-Latn-ME"/>
        </w:rPr>
        <w:t xml:space="preserve">9. </w:t>
      </w:r>
      <w:r w:rsidR="00480FB1" w:rsidRPr="00616B65">
        <w:rPr>
          <w:b/>
          <w:bCs/>
          <w:sz w:val="22"/>
          <w:szCs w:val="22"/>
          <w:lang w:val="sr-Latn-ME"/>
        </w:rPr>
        <w:tab/>
      </w:r>
      <w:r w:rsidRPr="00616B65">
        <w:rPr>
          <w:b/>
          <w:bCs/>
          <w:sz w:val="22"/>
          <w:szCs w:val="22"/>
          <w:lang w:val="sr-Latn-ME"/>
        </w:rPr>
        <w:t xml:space="preserve">DATUM </w:t>
      </w:r>
      <w:r w:rsidR="00C05DF8" w:rsidRPr="00616B65">
        <w:rPr>
          <w:b/>
          <w:bCs/>
          <w:sz w:val="22"/>
          <w:szCs w:val="22"/>
          <w:lang w:val="sr-Latn-ME"/>
        </w:rPr>
        <w:t xml:space="preserve">PRVE </w:t>
      </w:r>
      <w:r w:rsidR="008A6D43" w:rsidRPr="00616B65">
        <w:rPr>
          <w:b/>
          <w:bCs/>
          <w:sz w:val="22"/>
          <w:szCs w:val="22"/>
          <w:lang w:val="sr-Latn-ME"/>
        </w:rPr>
        <w:t>DOZVOLE</w:t>
      </w:r>
      <w:r w:rsidR="00C05DF8" w:rsidRPr="00616B65">
        <w:rPr>
          <w:b/>
          <w:bCs/>
          <w:sz w:val="22"/>
          <w:szCs w:val="22"/>
          <w:lang w:val="sr-Latn-ME"/>
        </w:rPr>
        <w:t>/OBNOVE DOZVOLE</w:t>
      </w:r>
      <w:r w:rsidR="008A6D43" w:rsidRPr="00616B65">
        <w:rPr>
          <w:b/>
          <w:bCs/>
          <w:sz w:val="22"/>
          <w:szCs w:val="22"/>
          <w:lang w:val="sr-Latn-ME"/>
        </w:rPr>
        <w:t xml:space="preserve"> ZA STAVLJANJE LIJEKA U PROMET</w:t>
      </w:r>
    </w:p>
    <w:p w14:paraId="4C70A13D" w14:textId="1D4A593A" w:rsidR="0072020E" w:rsidRPr="00616B65" w:rsidRDefault="0072020E" w:rsidP="00480FB1">
      <w:pPr>
        <w:tabs>
          <w:tab w:val="left" w:pos="540"/>
          <w:tab w:val="left" w:pos="569"/>
        </w:tabs>
        <w:rPr>
          <w:bCs/>
          <w:sz w:val="22"/>
          <w:szCs w:val="22"/>
          <w:lang w:val="sr-Latn-ME"/>
        </w:rPr>
      </w:pPr>
    </w:p>
    <w:p w14:paraId="484DCA54" w14:textId="72AD54A5" w:rsidR="00275674" w:rsidRPr="00616B65" w:rsidRDefault="00275674" w:rsidP="00480FB1">
      <w:pPr>
        <w:tabs>
          <w:tab w:val="left" w:pos="540"/>
          <w:tab w:val="left" w:pos="569"/>
        </w:tabs>
        <w:rPr>
          <w:bCs/>
          <w:sz w:val="22"/>
          <w:szCs w:val="22"/>
          <w:lang w:val="sr-Latn-ME"/>
        </w:rPr>
      </w:pPr>
      <w:r w:rsidRPr="00616B65">
        <w:rPr>
          <w:sz w:val="22"/>
          <w:szCs w:val="22"/>
          <w:lang w:val="sr-Latn-ME" w:eastAsia="sr-Latn-ME"/>
        </w:rPr>
        <w:t>31.01.2025. godine</w:t>
      </w:r>
    </w:p>
    <w:p w14:paraId="52B28B6A" w14:textId="77777777" w:rsidR="00C9779E" w:rsidRPr="00616B65" w:rsidRDefault="00C9779E" w:rsidP="00480FB1">
      <w:pPr>
        <w:tabs>
          <w:tab w:val="left" w:pos="540"/>
          <w:tab w:val="left" w:pos="569"/>
        </w:tabs>
        <w:rPr>
          <w:bCs/>
          <w:sz w:val="22"/>
          <w:szCs w:val="22"/>
          <w:lang w:val="sr-Latn-ME"/>
        </w:rPr>
      </w:pPr>
    </w:p>
    <w:p w14:paraId="17E67F33" w14:textId="77777777" w:rsidR="00836B35" w:rsidRPr="00616B65" w:rsidRDefault="00836B35" w:rsidP="00480FB1">
      <w:pPr>
        <w:tabs>
          <w:tab w:val="left" w:pos="540"/>
          <w:tab w:val="left" w:pos="569"/>
        </w:tabs>
        <w:rPr>
          <w:bCs/>
          <w:sz w:val="22"/>
          <w:szCs w:val="22"/>
          <w:lang w:val="sr-Latn-ME"/>
        </w:rPr>
      </w:pPr>
      <w:bookmarkStart w:id="0" w:name="_GoBack"/>
      <w:bookmarkEnd w:id="0"/>
    </w:p>
    <w:p w14:paraId="00AA796F" w14:textId="77777777" w:rsidR="003F6A59" w:rsidRPr="00616B65" w:rsidRDefault="0072020E" w:rsidP="00C05DF8">
      <w:pPr>
        <w:tabs>
          <w:tab w:val="left" w:pos="540"/>
          <w:tab w:val="left" w:pos="569"/>
        </w:tabs>
        <w:ind w:left="540" w:hanging="540"/>
        <w:rPr>
          <w:bCs/>
          <w:sz w:val="22"/>
          <w:szCs w:val="22"/>
          <w:lang w:val="sr-Latn-ME"/>
        </w:rPr>
      </w:pPr>
      <w:r w:rsidRPr="00616B65">
        <w:rPr>
          <w:b/>
          <w:bCs/>
          <w:sz w:val="22"/>
          <w:szCs w:val="22"/>
          <w:lang w:val="sr-Latn-ME"/>
        </w:rPr>
        <w:t xml:space="preserve">10. </w:t>
      </w:r>
      <w:r w:rsidR="00480FB1" w:rsidRPr="00616B65">
        <w:rPr>
          <w:b/>
          <w:bCs/>
          <w:sz w:val="22"/>
          <w:szCs w:val="22"/>
          <w:lang w:val="sr-Latn-ME"/>
        </w:rPr>
        <w:tab/>
      </w:r>
      <w:r w:rsidR="002846DB" w:rsidRPr="00616B65">
        <w:rPr>
          <w:b/>
          <w:bCs/>
          <w:sz w:val="22"/>
          <w:szCs w:val="22"/>
          <w:lang w:val="sr-Latn-ME"/>
        </w:rPr>
        <w:t>D</w:t>
      </w:r>
      <w:r w:rsidR="00EC2532" w:rsidRPr="00616B65">
        <w:rPr>
          <w:b/>
          <w:bCs/>
          <w:sz w:val="22"/>
          <w:szCs w:val="22"/>
          <w:lang w:val="sr-Latn-ME"/>
        </w:rPr>
        <w:t xml:space="preserve">ATUM REVIZIJE TEKSTA </w:t>
      </w:r>
    </w:p>
    <w:p w14:paraId="270149C1" w14:textId="77777777" w:rsidR="003F6A59" w:rsidRPr="00616B65" w:rsidRDefault="003F6A59" w:rsidP="00480FB1">
      <w:pPr>
        <w:tabs>
          <w:tab w:val="left" w:pos="540"/>
          <w:tab w:val="left" w:pos="569"/>
        </w:tabs>
        <w:rPr>
          <w:bCs/>
          <w:sz w:val="22"/>
          <w:szCs w:val="22"/>
          <w:lang w:val="sr-Latn-ME"/>
        </w:rPr>
      </w:pPr>
    </w:p>
    <w:p w14:paraId="7142971E" w14:textId="77777777" w:rsidR="00275674" w:rsidRPr="00616B65" w:rsidRDefault="00275674" w:rsidP="00275674">
      <w:pPr>
        <w:rPr>
          <w:sz w:val="22"/>
          <w:szCs w:val="22"/>
          <w:lang w:val="sr-Latn-ME"/>
        </w:rPr>
      </w:pPr>
      <w:r w:rsidRPr="00616B65">
        <w:rPr>
          <w:sz w:val="22"/>
          <w:szCs w:val="22"/>
          <w:lang w:val="sr-Latn-ME"/>
        </w:rPr>
        <w:t>Januar, 2025. godine</w:t>
      </w:r>
    </w:p>
    <w:p w14:paraId="45B2D240" w14:textId="57FBE4AE" w:rsidR="003F6A59" w:rsidRPr="00616B65" w:rsidRDefault="003F6A59" w:rsidP="00DE3F5C">
      <w:pPr>
        <w:rPr>
          <w:sz w:val="22"/>
          <w:szCs w:val="22"/>
          <w:lang w:val="sr-Latn-ME"/>
        </w:rPr>
      </w:pPr>
    </w:p>
    <w:sectPr w:rsidR="003F6A59" w:rsidRPr="00616B65" w:rsidSect="0006310E">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E00A" w14:textId="77777777" w:rsidR="00B24ECA" w:rsidRDefault="00B24ECA">
      <w:r>
        <w:separator/>
      </w:r>
    </w:p>
  </w:endnote>
  <w:endnote w:type="continuationSeparator" w:id="0">
    <w:p w14:paraId="76B6C85A" w14:textId="77777777" w:rsidR="00B24ECA" w:rsidRDefault="00B2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7414" w14:textId="43D81EB5" w:rsidR="00A12353" w:rsidRPr="00B23F69" w:rsidRDefault="00A1235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16B65">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16B65">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7D2DD" w14:textId="77777777" w:rsidR="00B24ECA" w:rsidRDefault="00B24ECA">
      <w:r>
        <w:separator/>
      </w:r>
    </w:p>
  </w:footnote>
  <w:footnote w:type="continuationSeparator" w:id="0">
    <w:p w14:paraId="4C454FFC" w14:textId="77777777" w:rsidR="00B24ECA" w:rsidRDefault="00B2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6B66A7F"/>
    <w:multiLevelType w:val="hybridMultilevel"/>
    <w:tmpl w:val="924A9E78"/>
    <w:lvl w:ilvl="0" w:tplc="A6B02D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6310E"/>
    <w:rsid w:val="000661AD"/>
    <w:rsid w:val="00075E28"/>
    <w:rsid w:val="00076726"/>
    <w:rsid w:val="00080303"/>
    <w:rsid w:val="00083D02"/>
    <w:rsid w:val="000A3F58"/>
    <w:rsid w:val="000D2343"/>
    <w:rsid w:val="000D33C9"/>
    <w:rsid w:val="000D3449"/>
    <w:rsid w:val="000D425A"/>
    <w:rsid w:val="000D60CC"/>
    <w:rsid w:val="000E2084"/>
    <w:rsid w:val="000E6F55"/>
    <w:rsid w:val="000F77FA"/>
    <w:rsid w:val="00107BF7"/>
    <w:rsid w:val="00126F53"/>
    <w:rsid w:val="0014766D"/>
    <w:rsid w:val="001536CC"/>
    <w:rsid w:val="001632DF"/>
    <w:rsid w:val="00167AAF"/>
    <w:rsid w:val="00181B2D"/>
    <w:rsid w:val="001A3FBA"/>
    <w:rsid w:val="001A5518"/>
    <w:rsid w:val="001B1C6A"/>
    <w:rsid w:val="001B6DC7"/>
    <w:rsid w:val="001C1263"/>
    <w:rsid w:val="001C1417"/>
    <w:rsid w:val="001E390B"/>
    <w:rsid w:val="001F42FB"/>
    <w:rsid w:val="001F719A"/>
    <w:rsid w:val="002031B3"/>
    <w:rsid w:val="00215931"/>
    <w:rsid w:val="00224C91"/>
    <w:rsid w:val="00227BDB"/>
    <w:rsid w:val="00231CB4"/>
    <w:rsid w:val="0023493E"/>
    <w:rsid w:val="00234CB1"/>
    <w:rsid w:val="002352F8"/>
    <w:rsid w:val="00235CD0"/>
    <w:rsid w:val="002510A5"/>
    <w:rsid w:val="00254A0A"/>
    <w:rsid w:val="002635CF"/>
    <w:rsid w:val="00266046"/>
    <w:rsid w:val="00275674"/>
    <w:rsid w:val="002846DB"/>
    <w:rsid w:val="00284CCD"/>
    <w:rsid w:val="002A772B"/>
    <w:rsid w:val="002C6637"/>
    <w:rsid w:val="002E0135"/>
    <w:rsid w:val="002E37A5"/>
    <w:rsid w:val="00310F03"/>
    <w:rsid w:val="003247D2"/>
    <w:rsid w:val="003445C1"/>
    <w:rsid w:val="00355B61"/>
    <w:rsid w:val="00362686"/>
    <w:rsid w:val="00371510"/>
    <w:rsid w:val="00383D59"/>
    <w:rsid w:val="00396DFD"/>
    <w:rsid w:val="003A42D1"/>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412C0"/>
    <w:rsid w:val="00451314"/>
    <w:rsid w:val="00452E9D"/>
    <w:rsid w:val="004534C7"/>
    <w:rsid w:val="004671AA"/>
    <w:rsid w:val="00471DF8"/>
    <w:rsid w:val="00480FB1"/>
    <w:rsid w:val="00483928"/>
    <w:rsid w:val="004964A5"/>
    <w:rsid w:val="004C331F"/>
    <w:rsid w:val="004D6103"/>
    <w:rsid w:val="004E3BCE"/>
    <w:rsid w:val="004E70AD"/>
    <w:rsid w:val="004F0E97"/>
    <w:rsid w:val="004F17E2"/>
    <w:rsid w:val="004F2717"/>
    <w:rsid w:val="00501DD1"/>
    <w:rsid w:val="00515C21"/>
    <w:rsid w:val="00530BD7"/>
    <w:rsid w:val="00545CD2"/>
    <w:rsid w:val="005476F3"/>
    <w:rsid w:val="005627AA"/>
    <w:rsid w:val="00572527"/>
    <w:rsid w:val="00573E40"/>
    <w:rsid w:val="00576348"/>
    <w:rsid w:val="005A0B2E"/>
    <w:rsid w:val="005A23D2"/>
    <w:rsid w:val="005A340E"/>
    <w:rsid w:val="005A36CB"/>
    <w:rsid w:val="005B49B8"/>
    <w:rsid w:val="005C0741"/>
    <w:rsid w:val="005C5EF4"/>
    <w:rsid w:val="005E2E0B"/>
    <w:rsid w:val="005E67AD"/>
    <w:rsid w:val="005E7A7D"/>
    <w:rsid w:val="00602457"/>
    <w:rsid w:val="006075E0"/>
    <w:rsid w:val="00616B65"/>
    <w:rsid w:val="00635BBD"/>
    <w:rsid w:val="00644FC3"/>
    <w:rsid w:val="00646BD1"/>
    <w:rsid w:val="00647F43"/>
    <w:rsid w:val="006561C2"/>
    <w:rsid w:val="00671CB3"/>
    <w:rsid w:val="00674BAF"/>
    <w:rsid w:val="00682200"/>
    <w:rsid w:val="00692BF6"/>
    <w:rsid w:val="006A1351"/>
    <w:rsid w:val="006A1497"/>
    <w:rsid w:val="006A453A"/>
    <w:rsid w:val="006A5377"/>
    <w:rsid w:val="006B0BD1"/>
    <w:rsid w:val="006B5404"/>
    <w:rsid w:val="006C6804"/>
    <w:rsid w:val="006D20A5"/>
    <w:rsid w:val="006D37BF"/>
    <w:rsid w:val="006F1B97"/>
    <w:rsid w:val="00702E22"/>
    <w:rsid w:val="0072020E"/>
    <w:rsid w:val="00754902"/>
    <w:rsid w:val="00765120"/>
    <w:rsid w:val="00786071"/>
    <w:rsid w:val="007A3ECB"/>
    <w:rsid w:val="007D7BB3"/>
    <w:rsid w:val="007E31E9"/>
    <w:rsid w:val="007F05E3"/>
    <w:rsid w:val="007F43A9"/>
    <w:rsid w:val="00810B0D"/>
    <w:rsid w:val="00824AB9"/>
    <w:rsid w:val="00836B35"/>
    <w:rsid w:val="00843BDE"/>
    <w:rsid w:val="0087588C"/>
    <w:rsid w:val="0089705C"/>
    <w:rsid w:val="008A6D43"/>
    <w:rsid w:val="008B491E"/>
    <w:rsid w:val="008C1A28"/>
    <w:rsid w:val="008C2E98"/>
    <w:rsid w:val="008D6F3D"/>
    <w:rsid w:val="008E49BD"/>
    <w:rsid w:val="008E53E9"/>
    <w:rsid w:val="008E5771"/>
    <w:rsid w:val="008F4ACF"/>
    <w:rsid w:val="008F6036"/>
    <w:rsid w:val="00924166"/>
    <w:rsid w:val="00940B9B"/>
    <w:rsid w:val="00953573"/>
    <w:rsid w:val="0095676E"/>
    <w:rsid w:val="00956983"/>
    <w:rsid w:val="00960933"/>
    <w:rsid w:val="00963CF0"/>
    <w:rsid w:val="00964BB1"/>
    <w:rsid w:val="009775D9"/>
    <w:rsid w:val="00997175"/>
    <w:rsid w:val="009A1847"/>
    <w:rsid w:val="009B062A"/>
    <w:rsid w:val="009E6297"/>
    <w:rsid w:val="009E7C6F"/>
    <w:rsid w:val="009F1793"/>
    <w:rsid w:val="009F2D23"/>
    <w:rsid w:val="00A01D69"/>
    <w:rsid w:val="00A02335"/>
    <w:rsid w:val="00A12353"/>
    <w:rsid w:val="00A26DD7"/>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24ECA"/>
    <w:rsid w:val="00B43018"/>
    <w:rsid w:val="00B60619"/>
    <w:rsid w:val="00B66A70"/>
    <w:rsid w:val="00B67366"/>
    <w:rsid w:val="00B75503"/>
    <w:rsid w:val="00B80EE1"/>
    <w:rsid w:val="00B84135"/>
    <w:rsid w:val="00BE04C4"/>
    <w:rsid w:val="00C04D34"/>
    <w:rsid w:val="00C05DF8"/>
    <w:rsid w:val="00C06864"/>
    <w:rsid w:val="00C10F54"/>
    <w:rsid w:val="00C12894"/>
    <w:rsid w:val="00C23D8D"/>
    <w:rsid w:val="00C31FAA"/>
    <w:rsid w:val="00C35917"/>
    <w:rsid w:val="00C37AA3"/>
    <w:rsid w:val="00C37FD7"/>
    <w:rsid w:val="00C43419"/>
    <w:rsid w:val="00C44275"/>
    <w:rsid w:val="00C44CF3"/>
    <w:rsid w:val="00C61BE0"/>
    <w:rsid w:val="00C6707E"/>
    <w:rsid w:val="00C70B0E"/>
    <w:rsid w:val="00C773CA"/>
    <w:rsid w:val="00C83785"/>
    <w:rsid w:val="00C87FA8"/>
    <w:rsid w:val="00C94C0D"/>
    <w:rsid w:val="00C9779E"/>
    <w:rsid w:val="00CA1FEB"/>
    <w:rsid w:val="00CD4F85"/>
    <w:rsid w:val="00CD6F02"/>
    <w:rsid w:val="00CE246D"/>
    <w:rsid w:val="00CF07A0"/>
    <w:rsid w:val="00CF3E03"/>
    <w:rsid w:val="00D0082A"/>
    <w:rsid w:val="00D15B12"/>
    <w:rsid w:val="00D21455"/>
    <w:rsid w:val="00D227EB"/>
    <w:rsid w:val="00D23DB7"/>
    <w:rsid w:val="00D47634"/>
    <w:rsid w:val="00D709B3"/>
    <w:rsid w:val="00D74CD2"/>
    <w:rsid w:val="00DA2ED6"/>
    <w:rsid w:val="00DA3DF0"/>
    <w:rsid w:val="00DB1D55"/>
    <w:rsid w:val="00DB76B8"/>
    <w:rsid w:val="00DC2EA1"/>
    <w:rsid w:val="00DD6AAF"/>
    <w:rsid w:val="00DE3F5C"/>
    <w:rsid w:val="00DF1D20"/>
    <w:rsid w:val="00E0111E"/>
    <w:rsid w:val="00E21324"/>
    <w:rsid w:val="00E246B9"/>
    <w:rsid w:val="00E31FEA"/>
    <w:rsid w:val="00E45151"/>
    <w:rsid w:val="00E45169"/>
    <w:rsid w:val="00E47787"/>
    <w:rsid w:val="00E51C30"/>
    <w:rsid w:val="00E64180"/>
    <w:rsid w:val="00E7235D"/>
    <w:rsid w:val="00E74AEE"/>
    <w:rsid w:val="00E868E5"/>
    <w:rsid w:val="00E9237A"/>
    <w:rsid w:val="00E939FA"/>
    <w:rsid w:val="00EA5765"/>
    <w:rsid w:val="00EB0901"/>
    <w:rsid w:val="00EB2861"/>
    <w:rsid w:val="00EC2532"/>
    <w:rsid w:val="00EC6808"/>
    <w:rsid w:val="00ED7812"/>
    <w:rsid w:val="00EF3B86"/>
    <w:rsid w:val="00F317E9"/>
    <w:rsid w:val="00F34554"/>
    <w:rsid w:val="00F35B68"/>
    <w:rsid w:val="00F45F77"/>
    <w:rsid w:val="00F5167F"/>
    <w:rsid w:val="00F52258"/>
    <w:rsid w:val="00F83C5B"/>
    <w:rsid w:val="00F8570A"/>
    <w:rsid w:val="00F91C7B"/>
    <w:rsid w:val="00F97E79"/>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C9F3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TableParagraph">
    <w:name w:val="Table Paragraph"/>
    <w:basedOn w:val="Normal"/>
    <w:uiPriority w:val="1"/>
    <w:qFormat/>
    <w:rsid w:val="00B75503"/>
    <w:pPr>
      <w:widowControl w:val="0"/>
      <w:autoSpaceDE w:val="0"/>
      <w:autoSpaceDN w:val="0"/>
      <w:spacing w:line="234" w:lineRule="exact"/>
      <w:ind w:left="110"/>
    </w:pPr>
    <w:rPr>
      <w:sz w:val="22"/>
      <w:szCs w:val="22"/>
      <w:lang w:val="bs"/>
    </w:rPr>
  </w:style>
  <w:style w:type="paragraph" w:styleId="BodyText">
    <w:name w:val="Body Text"/>
    <w:basedOn w:val="Normal"/>
    <w:link w:val="BodyTextChar"/>
    <w:uiPriority w:val="1"/>
    <w:qFormat/>
    <w:rsid w:val="00383D59"/>
    <w:pPr>
      <w:widowControl w:val="0"/>
      <w:autoSpaceDE w:val="0"/>
      <w:autoSpaceDN w:val="0"/>
      <w:ind w:left="132"/>
    </w:pPr>
    <w:rPr>
      <w:sz w:val="22"/>
      <w:szCs w:val="22"/>
      <w:lang w:val="bs"/>
    </w:rPr>
  </w:style>
  <w:style w:type="character" w:customStyle="1" w:styleId="BodyTextChar">
    <w:name w:val="Body Text Char"/>
    <w:basedOn w:val="DefaultParagraphFont"/>
    <w:link w:val="BodyText"/>
    <w:uiPriority w:val="1"/>
    <w:rsid w:val="00383D59"/>
    <w:rPr>
      <w:sz w:val="22"/>
      <w:szCs w:val="22"/>
      <w:lang w:val="bs" w:eastAsia="en-US"/>
    </w:rPr>
  </w:style>
  <w:style w:type="table" w:styleId="TableGrid">
    <w:name w:val="Table Grid"/>
    <w:basedOn w:val="TableNormal"/>
    <w:uiPriority w:val="39"/>
    <w:rsid w:val="00383D5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717"/>
    <w:pPr>
      <w:ind w:left="720"/>
      <w:contextualSpacing/>
    </w:pPr>
  </w:style>
  <w:style w:type="paragraph" w:styleId="Revision">
    <w:name w:val="Revision"/>
    <w:hidden/>
    <w:uiPriority w:val="99"/>
    <w:semiHidden/>
    <w:rsid w:val="005A34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AF81-EDA3-405F-B1C8-CDAC3128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9997</Words>
  <Characters>56987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66851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29</cp:revision>
  <cp:lastPrinted>2023-02-09T08:16:00Z</cp:lastPrinted>
  <dcterms:created xsi:type="dcterms:W3CDTF">2025-01-16T11:29:00Z</dcterms:created>
  <dcterms:modified xsi:type="dcterms:W3CDTF">2025-01-31T11:38:00Z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