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5" w:rsidRPr="00285CEF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85CEF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285CEF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285CEF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:rsidR="00C37FD7" w:rsidRPr="00285CEF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285CE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>1.</w:t>
      </w:r>
      <w:r w:rsidR="00F5167F" w:rsidRPr="00285CEF">
        <w:rPr>
          <w:b/>
          <w:bCs/>
          <w:sz w:val="22"/>
          <w:szCs w:val="22"/>
          <w:lang w:val="sr-Latn-ME"/>
        </w:rPr>
        <w:tab/>
      </w:r>
      <w:r w:rsidR="002846DB" w:rsidRPr="00285CEF">
        <w:rPr>
          <w:b/>
          <w:bCs/>
          <w:sz w:val="22"/>
          <w:szCs w:val="22"/>
          <w:lang w:val="sr-Latn-ME"/>
        </w:rPr>
        <w:t xml:space="preserve">NAZIV </w:t>
      </w:r>
      <w:r w:rsidRPr="00285CEF">
        <w:rPr>
          <w:b/>
          <w:bCs/>
          <w:sz w:val="22"/>
          <w:szCs w:val="22"/>
          <w:lang w:val="sr-Latn-ME"/>
        </w:rPr>
        <w:t>LIJEKA</w:t>
      </w:r>
    </w:p>
    <w:p w:rsidR="00EC2532" w:rsidRPr="00285CEF" w:rsidRDefault="00EC2532">
      <w:pPr>
        <w:rPr>
          <w:sz w:val="22"/>
          <w:szCs w:val="22"/>
          <w:lang w:val="sr-Latn-ME"/>
        </w:rPr>
      </w:pPr>
    </w:p>
    <w:p w:rsidR="000D425A" w:rsidRPr="00285CEF" w:rsidRDefault="007930EF">
      <w:pPr>
        <w:rPr>
          <w:noProof/>
          <w:sz w:val="22"/>
          <w:szCs w:val="22"/>
          <w:lang w:val="sr-Latn-ME"/>
        </w:rPr>
      </w:pPr>
      <w:r w:rsidRPr="00285CEF">
        <w:rPr>
          <w:noProof/>
          <w:sz w:val="22"/>
          <w:szCs w:val="22"/>
          <w:lang w:val="sr-Latn-ME"/>
        </w:rPr>
        <w:t>Cotellic</w:t>
      </w:r>
      <w:r w:rsidR="006E525B" w:rsidRPr="00285CEF">
        <w:rPr>
          <w:noProof/>
          <w:sz w:val="22"/>
          <w:szCs w:val="22"/>
          <w:lang w:val="sr-Latn-ME"/>
        </w:rPr>
        <w:t xml:space="preserve">, </w:t>
      </w:r>
      <w:r w:rsidRPr="00285CEF">
        <w:rPr>
          <w:noProof/>
          <w:sz w:val="22"/>
          <w:szCs w:val="22"/>
          <w:lang w:val="sr-Latn-ME"/>
        </w:rPr>
        <w:t>20 mg</w:t>
      </w:r>
      <w:r w:rsidR="006E525B" w:rsidRPr="00285CEF">
        <w:rPr>
          <w:noProof/>
          <w:sz w:val="22"/>
          <w:szCs w:val="22"/>
          <w:lang w:val="sr-Latn-ME"/>
        </w:rPr>
        <w:t>,</w:t>
      </w:r>
      <w:r w:rsidRPr="00285CEF">
        <w:rPr>
          <w:noProof/>
          <w:sz w:val="22"/>
          <w:szCs w:val="22"/>
          <w:lang w:val="sr-Latn-ME"/>
        </w:rPr>
        <w:t xml:space="preserve"> film tableta</w:t>
      </w:r>
    </w:p>
    <w:p w:rsidR="007930EF" w:rsidRPr="00285CEF" w:rsidRDefault="007930EF">
      <w:pPr>
        <w:rPr>
          <w:noProof/>
          <w:sz w:val="22"/>
          <w:szCs w:val="22"/>
          <w:lang w:val="sr-Latn-ME"/>
        </w:rPr>
      </w:pPr>
    </w:p>
    <w:p w:rsidR="006D20A5" w:rsidRPr="00285CEF" w:rsidRDefault="006D20A5" w:rsidP="006D20A5">
      <w:pPr>
        <w:rPr>
          <w:noProof/>
          <w:sz w:val="22"/>
          <w:szCs w:val="22"/>
          <w:lang w:val="sr-Latn-ME"/>
        </w:rPr>
      </w:pPr>
      <w:r w:rsidRPr="00285CEF">
        <w:rPr>
          <w:noProof/>
          <w:sz w:val="22"/>
          <w:szCs w:val="22"/>
          <w:lang w:val="sr-Latn-ME"/>
        </w:rPr>
        <w:t>INN:</w:t>
      </w:r>
      <w:r w:rsidR="007930EF" w:rsidRPr="00285CEF">
        <w:rPr>
          <w:noProof/>
          <w:sz w:val="22"/>
          <w:szCs w:val="22"/>
          <w:lang w:val="sr-Latn-ME"/>
        </w:rPr>
        <w:t xml:space="preserve"> kobimetinib</w:t>
      </w:r>
    </w:p>
    <w:p w:rsidR="006D20A5" w:rsidRPr="00285CEF" w:rsidRDefault="006D20A5">
      <w:pPr>
        <w:rPr>
          <w:bCs/>
          <w:sz w:val="22"/>
          <w:szCs w:val="22"/>
          <w:lang w:val="sr-Latn-ME"/>
        </w:rPr>
      </w:pPr>
    </w:p>
    <w:p w:rsidR="00530BD7" w:rsidRPr="00285CEF" w:rsidRDefault="00530BD7">
      <w:pPr>
        <w:rPr>
          <w:bCs/>
          <w:sz w:val="22"/>
          <w:szCs w:val="22"/>
          <w:lang w:val="sr-Latn-ME"/>
        </w:rPr>
      </w:pPr>
    </w:p>
    <w:p w:rsidR="00411B4B" w:rsidRPr="00285CE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2. </w:t>
      </w:r>
      <w:r w:rsidR="00F5167F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KVALITATIVNI I KVANTITATIVNI SASTAV</w:t>
      </w:r>
    </w:p>
    <w:p w:rsidR="007930EF" w:rsidRPr="00285CEF" w:rsidRDefault="007930EF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930EF" w:rsidRPr="00285CEF" w:rsidRDefault="007930EF" w:rsidP="007930EF">
      <w:pPr>
        <w:jc w:val="both"/>
        <w:rPr>
          <w:noProof/>
          <w:sz w:val="22"/>
          <w:szCs w:val="22"/>
          <w:lang w:val="sr-Latn-ME"/>
        </w:rPr>
      </w:pPr>
      <w:r w:rsidRPr="00285CEF">
        <w:rPr>
          <w:noProof/>
          <w:sz w:val="22"/>
          <w:szCs w:val="22"/>
          <w:lang w:val="sr-Latn-ME"/>
        </w:rPr>
        <w:t>Jedna film tableta sadrži 20 mg kobimetiniba u obliku kobimetinib hemifumarata.</w:t>
      </w:r>
    </w:p>
    <w:p w:rsidR="007930EF" w:rsidRPr="00285CEF" w:rsidRDefault="007930EF" w:rsidP="007930EF">
      <w:pPr>
        <w:jc w:val="both"/>
        <w:rPr>
          <w:noProof/>
          <w:sz w:val="22"/>
          <w:szCs w:val="22"/>
          <w:lang w:val="sr-Latn-ME"/>
        </w:rPr>
      </w:pPr>
    </w:p>
    <w:p w:rsidR="007930EF" w:rsidRPr="00285CEF" w:rsidRDefault="007930EF" w:rsidP="007930EF">
      <w:pPr>
        <w:jc w:val="both"/>
        <w:rPr>
          <w:noProof/>
          <w:sz w:val="22"/>
          <w:szCs w:val="22"/>
          <w:u w:val="single"/>
          <w:lang w:val="sr-Latn-ME"/>
        </w:rPr>
      </w:pPr>
      <w:r w:rsidRPr="00285CEF">
        <w:rPr>
          <w:noProof/>
          <w:sz w:val="22"/>
          <w:szCs w:val="22"/>
          <w:u w:val="single"/>
          <w:lang w:val="sr-Latn-ME"/>
        </w:rPr>
        <w:t xml:space="preserve">Pomoćna supstanca sa potvrđenim dejstvom: </w:t>
      </w:r>
    </w:p>
    <w:p w:rsidR="007930EF" w:rsidRPr="00285CEF" w:rsidRDefault="007930EF" w:rsidP="007930EF">
      <w:pPr>
        <w:jc w:val="both"/>
        <w:rPr>
          <w:noProof/>
          <w:sz w:val="22"/>
          <w:szCs w:val="22"/>
          <w:lang w:val="sr-Latn-ME"/>
        </w:rPr>
      </w:pPr>
      <w:r w:rsidRPr="00285CEF">
        <w:rPr>
          <w:noProof/>
          <w:sz w:val="22"/>
          <w:szCs w:val="22"/>
          <w:lang w:val="sr-Latn-ME"/>
        </w:rPr>
        <w:t xml:space="preserve">Jedna film tableta sadrži 36 mg laktoze monohidrata. </w:t>
      </w:r>
    </w:p>
    <w:p w:rsidR="005A0B2E" w:rsidRPr="00285CEF" w:rsidRDefault="005A0B2E">
      <w:pPr>
        <w:rPr>
          <w:noProof/>
          <w:sz w:val="22"/>
          <w:szCs w:val="22"/>
          <w:lang w:val="sr-Latn-ME"/>
        </w:rPr>
      </w:pPr>
    </w:p>
    <w:p w:rsidR="0003793F" w:rsidRPr="00285CEF" w:rsidRDefault="0003793F">
      <w:pPr>
        <w:rPr>
          <w:noProof/>
          <w:sz w:val="22"/>
          <w:szCs w:val="22"/>
          <w:lang w:val="sr-Latn-ME"/>
        </w:rPr>
      </w:pPr>
      <w:r w:rsidRPr="00285CEF">
        <w:rPr>
          <w:noProof/>
          <w:sz w:val="22"/>
          <w:szCs w:val="22"/>
          <w:lang w:val="sr-Latn-ME"/>
        </w:rPr>
        <w:t>Za spisak svih ekscipijenasa, pogledati dio 6.1.</w:t>
      </w:r>
    </w:p>
    <w:p w:rsidR="0003793F" w:rsidRPr="00285CEF" w:rsidRDefault="0003793F">
      <w:pPr>
        <w:rPr>
          <w:sz w:val="22"/>
          <w:szCs w:val="22"/>
          <w:lang w:val="sr-Latn-ME"/>
        </w:rPr>
      </w:pPr>
    </w:p>
    <w:p w:rsidR="00C37FD7" w:rsidRPr="00285CEF" w:rsidRDefault="00C37FD7">
      <w:pPr>
        <w:rPr>
          <w:sz w:val="22"/>
          <w:szCs w:val="22"/>
          <w:lang w:val="sr-Latn-ME"/>
        </w:rPr>
      </w:pPr>
    </w:p>
    <w:p w:rsidR="00411B4B" w:rsidRPr="00285CE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3. </w:t>
      </w:r>
      <w:r w:rsidR="00F5167F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FARMACEUTSKI OBLIK</w:t>
      </w:r>
      <w:r w:rsidR="009F2D23" w:rsidRPr="00285CEF">
        <w:rPr>
          <w:b/>
          <w:bCs/>
          <w:sz w:val="22"/>
          <w:szCs w:val="22"/>
          <w:lang w:val="sr-Latn-ME"/>
        </w:rPr>
        <w:t xml:space="preserve"> </w:t>
      </w:r>
    </w:p>
    <w:p w:rsidR="00411B4B" w:rsidRPr="00285CEF" w:rsidRDefault="00411B4B">
      <w:pPr>
        <w:rPr>
          <w:bCs/>
          <w:sz w:val="22"/>
          <w:szCs w:val="22"/>
          <w:lang w:val="sr-Latn-ME"/>
        </w:rPr>
      </w:pPr>
    </w:p>
    <w:p w:rsidR="007930EF" w:rsidRPr="00285CEF" w:rsidRDefault="007930EF" w:rsidP="007930EF">
      <w:pPr>
        <w:jc w:val="both"/>
        <w:rPr>
          <w:noProof/>
          <w:sz w:val="22"/>
          <w:szCs w:val="22"/>
          <w:lang w:val="sr-Latn-ME"/>
        </w:rPr>
      </w:pPr>
      <w:r w:rsidRPr="00285CEF">
        <w:rPr>
          <w:noProof/>
          <w:sz w:val="22"/>
          <w:szCs w:val="22"/>
          <w:lang w:val="sr-Latn-ME"/>
        </w:rPr>
        <w:t>Film tableta.</w:t>
      </w:r>
    </w:p>
    <w:p w:rsidR="007930EF" w:rsidRPr="00285CEF" w:rsidRDefault="007930EF" w:rsidP="007930EF">
      <w:pPr>
        <w:rPr>
          <w:bCs/>
          <w:sz w:val="22"/>
          <w:szCs w:val="22"/>
          <w:lang w:val="sr-Latn-ME"/>
        </w:rPr>
      </w:pPr>
    </w:p>
    <w:p w:rsidR="007930EF" w:rsidRPr="00285CEF" w:rsidRDefault="007930EF" w:rsidP="007930EF">
      <w:pPr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Bijel</w:t>
      </w:r>
      <w:r w:rsidR="009A6677" w:rsidRPr="00285CEF">
        <w:rPr>
          <w:bCs/>
          <w:sz w:val="22"/>
          <w:szCs w:val="22"/>
          <w:lang w:val="sr-Latn-ME"/>
        </w:rPr>
        <w:t>a</w:t>
      </w:r>
      <w:r w:rsidRPr="00285CEF">
        <w:rPr>
          <w:bCs/>
          <w:sz w:val="22"/>
          <w:szCs w:val="22"/>
          <w:lang w:val="sr-Latn-ME"/>
        </w:rPr>
        <w:t>, okrugl</w:t>
      </w:r>
      <w:r w:rsidR="009A6677" w:rsidRPr="00285CEF">
        <w:rPr>
          <w:bCs/>
          <w:sz w:val="22"/>
          <w:szCs w:val="22"/>
          <w:lang w:val="sr-Latn-ME"/>
        </w:rPr>
        <w:t>a</w:t>
      </w:r>
      <w:r w:rsidRPr="00285CEF">
        <w:rPr>
          <w:bCs/>
          <w:sz w:val="22"/>
          <w:szCs w:val="22"/>
          <w:lang w:val="sr-Latn-ME"/>
        </w:rPr>
        <w:t xml:space="preserve"> film tablet</w:t>
      </w:r>
      <w:r w:rsidR="009A6677" w:rsidRPr="00285CEF">
        <w:rPr>
          <w:bCs/>
          <w:sz w:val="22"/>
          <w:szCs w:val="22"/>
          <w:lang w:val="sr-Latn-ME"/>
        </w:rPr>
        <w:t>a,</w:t>
      </w:r>
      <w:r w:rsidRPr="00285CEF">
        <w:rPr>
          <w:bCs/>
          <w:sz w:val="22"/>
          <w:szCs w:val="22"/>
          <w:lang w:val="sr-Latn-ME"/>
        </w:rPr>
        <w:t xml:space="preserve"> prečnika približno 6,6 mm, s utisnutom oznakom "COB" na jednoj strani.</w:t>
      </w:r>
    </w:p>
    <w:p w:rsidR="00EC2532" w:rsidRPr="00285CEF" w:rsidRDefault="00EC2532">
      <w:pPr>
        <w:rPr>
          <w:bCs/>
          <w:sz w:val="22"/>
          <w:szCs w:val="22"/>
          <w:lang w:val="sr-Latn-ME"/>
        </w:rPr>
      </w:pPr>
    </w:p>
    <w:p w:rsidR="004A5F6A" w:rsidRPr="00285CEF" w:rsidRDefault="004A5F6A">
      <w:pPr>
        <w:rPr>
          <w:bCs/>
          <w:sz w:val="22"/>
          <w:szCs w:val="22"/>
          <w:lang w:val="sr-Latn-ME"/>
        </w:rPr>
      </w:pPr>
    </w:p>
    <w:p w:rsidR="00411B4B" w:rsidRPr="00285CEF" w:rsidRDefault="00411B4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KLINIČKI PODACI</w:t>
      </w:r>
    </w:p>
    <w:p w:rsidR="00CD6F02" w:rsidRPr="00285CEF" w:rsidRDefault="00CD6F02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85CEF" w:rsidRDefault="00411B4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4.1.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Terapijske indikacije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930EF" w:rsidRPr="00285CEF" w:rsidRDefault="004812D1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="007930EF" w:rsidRPr="00285CEF">
        <w:rPr>
          <w:bCs/>
          <w:sz w:val="22"/>
          <w:szCs w:val="22"/>
          <w:lang w:val="sr-Latn-ME"/>
        </w:rPr>
        <w:t>Cotellic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je </w:t>
      </w:r>
      <w:proofErr w:type="spellStart"/>
      <w:r w:rsidR="007930EF" w:rsidRPr="00285CEF">
        <w:rPr>
          <w:bCs/>
          <w:sz w:val="22"/>
          <w:szCs w:val="22"/>
          <w:lang w:val="sr-Latn-ME"/>
        </w:rPr>
        <w:t>indikovan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za primjenu u kombinaciji sa </w:t>
      </w:r>
      <w:proofErr w:type="spellStart"/>
      <w:r w:rsidR="007930EF" w:rsidRPr="00285CEF">
        <w:rPr>
          <w:bCs/>
          <w:sz w:val="22"/>
          <w:szCs w:val="22"/>
          <w:lang w:val="sr-Latn-ME"/>
        </w:rPr>
        <w:t>vemurafenibom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za liječenje odraslih pacijenata sa </w:t>
      </w:r>
      <w:proofErr w:type="spellStart"/>
      <w:r w:rsidR="007930EF" w:rsidRPr="00285CEF">
        <w:rPr>
          <w:bCs/>
          <w:sz w:val="22"/>
          <w:szCs w:val="22"/>
          <w:lang w:val="sr-Latn-ME"/>
        </w:rPr>
        <w:t>neoperabilnim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ili </w:t>
      </w:r>
      <w:proofErr w:type="spellStart"/>
      <w:r w:rsidR="007930EF" w:rsidRPr="00285CEF">
        <w:rPr>
          <w:bCs/>
          <w:sz w:val="22"/>
          <w:szCs w:val="22"/>
          <w:lang w:val="sr-Latn-ME"/>
        </w:rPr>
        <w:t>metastatskim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="007930EF" w:rsidRPr="00285CEF">
        <w:rPr>
          <w:bCs/>
          <w:sz w:val="22"/>
          <w:szCs w:val="22"/>
          <w:lang w:val="sr-Latn-ME"/>
        </w:rPr>
        <w:t>melanomom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sa mutacijom BRAF V600 (vidjeti </w:t>
      </w:r>
      <w:r w:rsidRPr="00285CEF">
        <w:rPr>
          <w:bCs/>
          <w:sz w:val="22"/>
          <w:szCs w:val="22"/>
          <w:lang w:val="sr-Latn-ME"/>
        </w:rPr>
        <w:t xml:space="preserve">djelove </w:t>
      </w:r>
      <w:r w:rsidR="007930EF" w:rsidRPr="00285CEF">
        <w:rPr>
          <w:bCs/>
          <w:sz w:val="22"/>
          <w:szCs w:val="22"/>
          <w:lang w:val="sr-Latn-ME"/>
        </w:rPr>
        <w:t>4.4 i 5.1).</w:t>
      </w:r>
    </w:p>
    <w:p w:rsidR="00411B4B" w:rsidRPr="00285CEF" w:rsidRDefault="00411B4B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85CEF" w:rsidRDefault="00411B4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4.2.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Doziranje i način primjene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mora započeti i nadgledati isključivo kvalifikovan ljekar sa iskustvom u primjeni ljekova za liječenje </w:t>
      </w:r>
      <w:proofErr w:type="spellStart"/>
      <w:r w:rsidRPr="00285CEF">
        <w:rPr>
          <w:bCs/>
          <w:sz w:val="22"/>
          <w:szCs w:val="22"/>
          <w:lang w:val="sr-Latn-ME"/>
        </w:rPr>
        <w:t>karcinoma</w:t>
      </w:r>
      <w:proofErr w:type="spellEnd"/>
      <w:r w:rsidRPr="00285CEF">
        <w:rPr>
          <w:bCs/>
          <w:sz w:val="22"/>
          <w:szCs w:val="22"/>
          <w:lang w:val="sr-Latn-ME"/>
        </w:rPr>
        <w:t xml:space="preserve">.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Prije početka ovoga liječenja, kod pacijenata se </w:t>
      </w:r>
      <w:proofErr w:type="spellStart"/>
      <w:r w:rsidRPr="00285CEF">
        <w:rPr>
          <w:bCs/>
          <w:sz w:val="22"/>
          <w:szCs w:val="22"/>
          <w:lang w:val="sr-Latn-ME"/>
        </w:rPr>
        <w:t>validiranim</w:t>
      </w:r>
      <w:proofErr w:type="spellEnd"/>
      <w:r w:rsidRPr="00285CEF">
        <w:rPr>
          <w:bCs/>
          <w:sz w:val="22"/>
          <w:szCs w:val="22"/>
          <w:lang w:val="sr-Latn-ME"/>
        </w:rPr>
        <w:t xml:space="preserve"> testom mora potvrditi da je </w:t>
      </w:r>
      <w:proofErr w:type="spellStart"/>
      <w:r w:rsidRPr="00285CEF">
        <w:rPr>
          <w:bCs/>
          <w:sz w:val="22"/>
          <w:szCs w:val="22"/>
          <w:lang w:val="sr-Latn-ME"/>
        </w:rPr>
        <w:t>melanomski</w:t>
      </w:r>
      <w:proofErr w:type="spellEnd"/>
      <w:r w:rsidRPr="00285CEF">
        <w:rPr>
          <w:bCs/>
          <w:sz w:val="22"/>
          <w:szCs w:val="22"/>
          <w:lang w:val="sr-Latn-ME"/>
        </w:rPr>
        <w:t xml:space="preserve"> tumor pozitivan na mutaciju BRAF V600 (vidjeti </w:t>
      </w:r>
      <w:r w:rsidR="004812D1" w:rsidRPr="00285CEF">
        <w:rPr>
          <w:bCs/>
          <w:sz w:val="22"/>
          <w:szCs w:val="22"/>
          <w:lang w:val="sr-Latn-ME"/>
        </w:rPr>
        <w:t xml:space="preserve">djelove </w:t>
      </w:r>
      <w:r w:rsidRPr="00285CEF">
        <w:rPr>
          <w:bCs/>
          <w:sz w:val="22"/>
          <w:szCs w:val="22"/>
          <w:lang w:val="sr-Latn-ME"/>
        </w:rPr>
        <w:t>4.4 i 5.1).</w:t>
      </w: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E9D" w:rsidRPr="00285CEF" w:rsidRDefault="00452E9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Doziranje</w:t>
      </w:r>
    </w:p>
    <w:p w:rsidR="00452E9D" w:rsidRPr="00285CEF" w:rsidRDefault="00452E9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Preporučena doza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je 60 mg (3 tablete od 20 mg) jednom dnevno.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56D81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="007930EF" w:rsidRPr="00285CEF">
        <w:rPr>
          <w:bCs/>
          <w:sz w:val="22"/>
          <w:szCs w:val="22"/>
          <w:lang w:val="sr-Latn-ME"/>
        </w:rPr>
        <w:t>Cotellic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se uzima u 28-dnevnim ciklusima. Svaka doza se sastoji od tri tablete od 20 mg (60 mg), a uzima se jednom dnevno tokom 21 uzastopnog dana (od 1. do 21. dana ciklusa liječenja), nakon čega slijedi 7-dnevna pauza (od 22. do 28. dana ciklusa). Svaki sljedeći ciklus liječenja lijekom </w:t>
      </w:r>
      <w:proofErr w:type="spellStart"/>
      <w:r w:rsidR="007930EF" w:rsidRPr="00285CEF">
        <w:rPr>
          <w:bCs/>
          <w:sz w:val="22"/>
          <w:szCs w:val="22"/>
          <w:lang w:val="sr-Latn-ME"/>
        </w:rPr>
        <w:t>Cotellic</w:t>
      </w:r>
      <w:proofErr w:type="spellEnd"/>
      <w:r w:rsidR="007930EF" w:rsidRPr="00285CEF">
        <w:rPr>
          <w:bCs/>
          <w:sz w:val="22"/>
          <w:szCs w:val="22"/>
          <w:lang w:val="sr-Latn-ME"/>
        </w:rPr>
        <w:t xml:space="preserve"> treba započeti nakon što prođe 7-dnevna pauza u liječenju. 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Za informacije o doziranju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vidjeti Sažetak karakteristika lijeka za taj lijek.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Trajanje liječenja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nastaviti sve dok pacijent više ne bude imao koristi od njega ili dok se ne razvije neprihvatljiva toksičnost (vidjeti Tabelu 1 u nastavku).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Propuštene doze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Ako se doza propusti, može se uzeti do 12 sati prije </w:t>
      </w:r>
      <w:proofErr w:type="spellStart"/>
      <w:r w:rsidRPr="00285CEF">
        <w:rPr>
          <w:bCs/>
          <w:sz w:val="22"/>
          <w:szCs w:val="22"/>
          <w:lang w:val="sr-Latn-ME"/>
        </w:rPr>
        <w:t>vremena</w:t>
      </w:r>
      <w:proofErr w:type="spellEnd"/>
      <w:r w:rsidRPr="00285CEF">
        <w:rPr>
          <w:bCs/>
          <w:sz w:val="22"/>
          <w:szCs w:val="22"/>
          <w:lang w:val="sr-Latn-ME"/>
        </w:rPr>
        <w:t xml:space="preserve"> predviđenog za sljedeću dozu</w:t>
      </w:r>
      <w:r w:rsidR="009E1492" w:rsidRPr="00285CEF">
        <w:rPr>
          <w:bCs/>
          <w:sz w:val="22"/>
          <w:szCs w:val="22"/>
          <w:lang w:val="sr-Latn-ME"/>
        </w:rPr>
        <w:t>,</w:t>
      </w:r>
      <w:r w:rsidRPr="00285CEF">
        <w:rPr>
          <w:bCs/>
          <w:sz w:val="22"/>
          <w:szCs w:val="22"/>
          <w:lang w:val="sr-Latn-ME"/>
        </w:rPr>
        <w:t xml:space="preserve"> kako bi se održao režim doziranja jednom dnevno.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Povraćanje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Ako pacijent povrati nakon primjene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, ne smije da uzme dodatnu dozu toga dana, već treba </w:t>
      </w:r>
      <w:r w:rsidR="009E1492" w:rsidRPr="00285CEF">
        <w:rPr>
          <w:bCs/>
          <w:sz w:val="22"/>
          <w:szCs w:val="22"/>
          <w:lang w:val="sr-Latn-ME"/>
        </w:rPr>
        <w:t xml:space="preserve">da </w:t>
      </w:r>
      <w:r w:rsidRPr="00285CEF">
        <w:rPr>
          <w:bCs/>
          <w:sz w:val="22"/>
          <w:szCs w:val="22"/>
          <w:lang w:val="sr-Latn-ME"/>
        </w:rPr>
        <w:t xml:space="preserve">nastavi liječenje </w:t>
      </w:r>
      <w:proofErr w:type="spellStart"/>
      <w:r w:rsidRPr="00285CEF">
        <w:rPr>
          <w:bCs/>
          <w:sz w:val="22"/>
          <w:szCs w:val="22"/>
          <w:lang w:val="sr-Latn-ME"/>
        </w:rPr>
        <w:t>sjutradan</w:t>
      </w:r>
      <w:proofErr w:type="spellEnd"/>
      <w:r w:rsidRPr="00285CEF">
        <w:rPr>
          <w:bCs/>
          <w:sz w:val="22"/>
          <w:szCs w:val="22"/>
          <w:lang w:val="sr-Latn-ME"/>
        </w:rPr>
        <w:t xml:space="preserve">, prema uobičajenom rasporedu.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Opšte prilagođavanje doze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Odluka o smanjenju doze jednoga ili oba lijeka treba da se zasniva na procjeni propisivača, bezbjednosti ili </w:t>
      </w:r>
      <w:proofErr w:type="spellStart"/>
      <w:r w:rsidRPr="00285CEF">
        <w:rPr>
          <w:bCs/>
          <w:sz w:val="22"/>
          <w:szCs w:val="22"/>
          <w:lang w:val="sr-Latn-ME"/>
        </w:rPr>
        <w:t>podnošljivosti</w:t>
      </w:r>
      <w:proofErr w:type="spellEnd"/>
      <w:r w:rsidRPr="00285CEF">
        <w:rPr>
          <w:bCs/>
          <w:sz w:val="22"/>
          <w:szCs w:val="22"/>
          <w:lang w:val="sr-Latn-ME"/>
        </w:rPr>
        <w:t xml:space="preserve"> kod pojedinog pacijenta. Prilagođavanje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ne zavisi od prilagođavanja doze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.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Ako se doze propuste zbog toksičnosti, te se doze ne smiju </w:t>
      </w:r>
      <w:r w:rsidR="009E1492" w:rsidRPr="00285CEF">
        <w:rPr>
          <w:bCs/>
          <w:sz w:val="22"/>
          <w:szCs w:val="22"/>
          <w:lang w:val="sr-Latn-ME"/>
        </w:rPr>
        <w:t>nadoknađivati</w:t>
      </w:r>
      <w:r w:rsidRPr="00285CEF">
        <w:rPr>
          <w:bCs/>
          <w:sz w:val="22"/>
          <w:szCs w:val="22"/>
          <w:lang w:val="sr-Latn-ME"/>
        </w:rPr>
        <w:t>. Nakon što se doza jednom smanji, naknadno se više ne smije povećavati.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U Tabeli 1 navode se opšte smjernice za prilagođavanje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Tabela 1 Preporučene prilagođene doze lijeka </w:t>
      </w:r>
      <w:proofErr w:type="spellStart"/>
      <w:r w:rsidRPr="00285CEF">
        <w:rPr>
          <w:b/>
          <w:bCs/>
          <w:sz w:val="22"/>
          <w:szCs w:val="22"/>
          <w:lang w:val="sr-Latn-ME"/>
        </w:rPr>
        <w:t>Cotellic</w:t>
      </w:r>
      <w:proofErr w:type="spellEnd"/>
    </w:p>
    <w:p w:rsidR="004A5F6A" w:rsidRPr="00285CEF" w:rsidRDefault="004A5F6A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9038" w:type="dxa"/>
        <w:tblInd w:w="26" w:type="dxa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10"/>
        <w:gridCol w:w="5128"/>
      </w:tblGrid>
      <w:tr w:rsidR="007930EF" w:rsidRPr="00285CEF" w:rsidTr="00A2277F">
        <w:trPr>
          <w:trHeight w:val="227"/>
          <w:tblHeader/>
        </w:trPr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7930EF" w:rsidRPr="00285CEF" w:rsidRDefault="007930EF" w:rsidP="007930EF">
            <w:pPr>
              <w:keepNext/>
              <w:jc w:val="center"/>
              <w:rPr>
                <w:rFonts w:eastAsia="MS Mincho"/>
                <w:b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b/>
                <w:noProof/>
                <w:sz w:val="22"/>
                <w:szCs w:val="22"/>
                <w:lang w:val="sr-Latn-ME" w:eastAsia="ja-JP"/>
              </w:rPr>
              <w:t>Stepen (CTC-AE)*</w:t>
            </w:r>
          </w:p>
        </w:tc>
        <w:tc>
          <w:tcPr>
            <w:tcW w:w="51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511AE2">
            <w:pPr>
              <w:keepNext/>
              <w:jc w:val="center"/>
              <w:rPr>
                <w:rFonts w:eastAsia="MS Mincho"/>
                <w:b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b/>
                <w:noProof/>
                <w:sz w:val="22"/>
                <w:szCs w:val="22"/>
                <w:lang w:val="sr-Latn-ME" w:eastAsia="ja-JP"/>
              </w:rPr>
              <w:t>Preporučena doza lijeka Cotellic</w:t>
            </w:r>
          </w:p>
        </w:tc>
      </w:tr>
      <w:tr w:rsidR="007930EF" w:rsidRPr="00285CEF" w:rsidTr="00A2277F">
        <w:trPr>
          <w:trHeight w:val="227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7930EF">
            <w:pPr>
              <w:keepNext/>
              <w:spacing w:before="100" w:beforeAutospacing="1" w:after="100" w:afterAutospacing="1"/>
              <w:rPr>
                <w:rFonts w:eastAsia="MS Mincho"/>
                <w:b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b/>
                <w:noProof/>
                <w:sz w:val="22"/>
                <w:szCs w:val="22"/>
                <w:lang w:val="sr-Latn-ME" w:eastAsia="ja-JP"/>
              </w:rPr>
              <w:t xml:space="preserve">1. stepen ili 2. stepen (podnošljivo)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511AE2">
            <w:pPr>
              <w:keepNext/>
              <w:spacing w:before="100" w:beforeAutospacing="1" w:after="100" w:afterAutospacing="1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Ne smanjivati dozu. Održavati dozu lijeka Cotellic od 60 mg jednom dnevno (3 tablete)</w:t>
            </w:r>
          </w:p>
        </w:tc>
      </w:tr>
      <w:tr w:rsidR="007930EF" w:rsidRPr="00285CEF" w:rsidTr="00A2277F">
        <w:trPr>
          <w:trHeight w:val="227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7930EF">
            <w:pPr>
              <w:keepNext/>
              <w:spacing w:before="100" w:beforeAutospacing="1" w:after="100" w:afterAutospacing="1"/>
              <w:rPr>
                <w:rFonts w:eastAsia="MS Mincho"/>
                <w:b/>
                <w:i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b/>
                <w:noProof/>
                <w:sz w:val="22"/>
                <w:szCs w:val="22"/>
                <w:lang w:val="sr-Latn-ME" w:eastAsia="ja-JP"/>
              </w:rPr>
              <w:t>2. stepen (nepodnošljivo) ili 3./4. stepen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7930EF">
            <w:pPr>
              <w:keepNext/>
              <w:spacing w:before="100" w:beforeAutospacing="1" w:after="100" w:afterAutospacing="1"/>
              <w:rPr>
                <w:rFonts w:eastAsia="MS Mincho"/>
                <w:b/>
                <w:noProof/>
                <w:sz w:val="22"/>
                <w:szCs w:val="22"/>
                <w:lang w:val="sr-Latn-ME" w:eastAsia="ja-JP"/>
              </w:rPr>
            </w:pPr>
          </w:p>
        </w:tc>
      </w:tr>
      <w:tr w:rsidR="007930EF" w:rsidRPr="00285CEF" w:rsidTr="00A2277F">
        <w:trPr>
          <w:trHeight w:val="227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8D0ED5" w:rsidP="008D0ED5">
            <w:pPr>
              <w:keepNext/>
              <w:spacing w:before="100" w:beforeAutospacing="1" w:after="100" w:afterAutospacing="1"/>
              <w:jc w:val="center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Prva pojava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7930EF">
            <w:pPr>
              <w:keepNext/>
              <w:spacing w:before="100" w:beforeAutospacing="1" w:after="100" w:afterAutospacing="1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Privremeno prekinuti liječenje dok se ne postigne ≤ 1. stepen, a zatim ponovno započeti liječenje dozom od 40 mg jednom dnevno (2 tablete)</w:t>
            </w:r>
          </w:p>
        </w:tc>
      </w:tr>
      <w:tr w:rsidR="007930EF" w:rsidRPr="00285CEF" w:rsidTr="00A2277F">
        <w:trPr>
          <w:trHeight w:val="227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8D0ED5" w:rsidP="008D0ED5">
            <w:pPr>
              <w:keepNext/>
              <w:spacing w:before="100" w:beforeAutospacing="1" w:after="100" w:afterAutospacing="1"/>
              <w:jc w:val="center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Druga pojava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7930EF">
            <w:pPr>
              <w:keepNext/>
              <w:spacing w:before="100" w:beforeAutospacing="1" w:after="100" w:afterAutospacing="1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Privremeno prekinuti liječenje dok se ne postigne ≤ 1. stepen, a zatim ponovno započeti liječenje dozom od 20 mg jednom dnevno (1 tableta)</w:t>
            </w:r>
          </w:p>
        </w:tc>
      </w:tr>
      <w:tr w:rsidR="007930EF" w:rsidRPr="00285CEF" w:rsidTr="00A2277F">
        <w:trPr>
          <w:trHeight w:val="28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8D0ED5" w:rsidP="008D0ED5">
            <w:pPr>
              <w:keepNext/>
              <w:spacing w:before="100" w:beforeAutospacing="1" w:after="100" w:afterAutospacing="1"/>
              <w:jc w:val="center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Treća pojava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F" w:rsidRPr="00285CEF" w:rsidRDefault="007930EF" w:rsidP="007930EF">
            <w:pPr>
              <w:keepNext/>
              <w:spacing w:before="100" w:beforeAutospacing="1" w:after="100" w:afterAutospacing="1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Razmotriti trajnu obustavu liječenja</w:t>
            </w:r>
          </w:p>
        </w:tc>
      </w:tr>
    </w:tbl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* Intenzitet kliničkih neželjenih dejstava ocijenjen prema verziji 4.0 Zajedničkih terminoloških kriterijuma za neželjena dejstva (engl. </w:t>
      </w:r>
      <w:proofErr w:type="spellStart"/>
      <w:r w:rsidRPr="00285CEF">
        <w:rPr>
          <w:bCs/>
          <w:i/>
          <w:sz w:val="22"/>
          <w:szCs w:val="22"/>
          <w:lang w:val="sr-Latn-ME"/>
        </w:rPr>
        <w:t>Common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lang w:val="sr-Latn-ME"/>
        </w:rPr>
        <w:t>Terminology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lang w:val="sr-Latn-ME"/>
        </w:rPr>
        <w:t>Criteria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lang w:val="sr-Latn-ME"/>
        </w:rPr>
        <w:t>for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lang w:val="sr-Latn-ME"/>
        </w:rPr>
        <w:t>Adverse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lang w:val="sr-Latn-ME"/>
        </w:rPr>
        <w:t>Events</w:t>
      </w:r>
      <w:proofErr w:type="spellEnd"/>
      <w:r w:rsidRPr="00285CEF">
        <w:rPr>
          <w:bCs/>
          <w:sz w:val="22"/>
          <w:szCs w:val="22"/>
          <w:lang w:val="sr-Latn-ME"/>
        </w:rPr>
        <w:t>, CTC-AE, v4.0)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85CEF">
        <w:rPr>
          <w:bCs/>
          <w:i/>
          <w:sz w:val="22"/>
          <w:szCs w:val="22"/>
          <w:u w:val="single"/>
          <w:lang w:val="sr-Latn-ME"/>
        </w:rPr>
        <w:t>Preporuka za prilagođavanje doze kod krvarenja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Događaji 4. stepena ili cerebralno krvarenje: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privremeno prekinuti.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trajno obustaviti kod događaja krvarenja koji se pripisuju lijeku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Događaji 3. stepena: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privremeno prekinuti tokom evaluacije događaja kako bi se izbjegao eventualni doprinos tom događaju. Nema podataka o efikasnosti prilagođavanja doze lijeka </w:t>
      </w:r>
      <w:proofErr w:type="spellStart"/>
      <w:r w:rsidRPr="00285CEF">
        <w:rPr>
          <w:bCs/>
          <w:sz w:val="22"/>
          <w:szCs w:val="22"/>
          <w:lang w:val="sr-Latn-ME"/>
        </w:rPr>
        <w:t>Cotelllic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u slučaju događaja krvarenja. Kada se razmatra ponovno uvođenje liječenja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, treba se voditi kliničkom procjenom. Primjena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se nastavi kada se prekine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, ukoliko je to klinički </w:t>
      </w:r>
      <w:proofErr w:type="spellStart"/>
      <w:r w:rsidRPr="00285CEF">
        <w:rPr>
          <w:bCs/>
          <w:sz w:val="22"/>
          <w:szCs w:val="22"/>
          <w:lang w:val="sr-Latn-ME"/>
        </w:rPr>
        <w:t>indikovano</w:t>
      </w:r>
      <w:proofErr w:type="spellEnd"/>
      <w:r w:rsidRPr="00285CEF">
        <w:rPr>
          <w:bCs/>
          <w:sz w:val="22"/>
          <w:szCs w:val="22"/>
          <w:lang w:val="sr-Latn-ME"/>
        </w:rPr>
        <w:t xml:space="preserve">.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85CEF">
        <w:rPr>
          <w:bCs/>
          <w:i/>
          <w:sz w:val="22"/>
          <w:szCs w:val="22"/>
          <w:u w:val="single"/>
          <w:lang w:val="sr-Latn-ME"/>
        </w:rPr>
        <w:t xml:space="preserve">Savjeti za prilagođavanje doze kod </w:t>
      </w:r>
      <w:proofErr w:type="spellStart"/>
      <w:r w:rsidRPr="00285CEF">
        <w:rPr>
          <w:bCs/>
          <w:i/>
          <w:sz w:val="22"/>
          <w:szCs w:val="22"/>
          <w:u w:val="single"/>
          <w:lang w:val="sr-Latn-ME"/>
        </w:rPr>
        <w:t>disfunkcije</w:t>
      </w:r>
      <w:proofErr w:type="spellEnd"/>
      <w:r w:rsidRPr="00285CEF">
        <w:rPr>
          <w:bCs/>
          <w:i/>
          <w:sz w:val="22"/>
          <w:szCs w:val="22"/>
          <w:u w:val="single"/>
          <w:lang w:val="sr-Latn-ME"/>
        </w:rPr>
        <w:t xml:space="preserve"> lijeve komore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Ako se neželjena dejstva na srce pripisuju lijeku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ako se ne poboljšaju nakon privremenog prekida primjene lijeka, potrebno je razmotriti trajno obustavljanje liječenja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. </w:t>
      </w: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7930EF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lastRenderedPageBreak/>
        <w:t xml:space="preserve">Tabela 2 Prilagođavanje preporučene doze lijeka </w:t>
      </w:r>
      <w:proofErr w:type="spellStart"/>
      <w:r w:rsidRPr="00285CEF">
        <w:rPr>
          <w:b/>
          <w:bCs/>
          <w:sz w:val="22"/>
          <w:szCs w:val="22"/>
          <w:lang w:val="sr-Latn-ME"/>
        </w:rPr>
        <w:t>Cotellic</w:t>
      </w:r>
      <w:proofErr w:type="spellEnd"/>
      <w:r w:rsidRPr="00285CEF">
        <w:rPr>
          <w:b/>
          <w:bCs/>
          <w:sz w:val="22"/>
          <w:szCs w:val="22"/>
          <w:lang w:val="sr-Latn-ME"/>
        </w:rPr>
        <w:t xml:space="preserve"> kod pacijenata sa smanjenom </w:t>
      </w:r>
      <w:proofErr w:type="spellStart"/>
      <w:r w:rsidRPr="00285CEF">
        <w:rPr>
          <w:b/>
          <w:bCs/>
          <w:sz w:val="22"/>
          <w:szCs w:val="22"/>
          <w:lang w:val="sr-Latn-ME"/>
        </w:rPr>
        <w:t>ejekcionom</w:t>
      </w:r>
      <w:proofErr w:type="spellEnd"/>
      <w:r w:rsidRPr="00285CEF">
        <w:rPr>
          <w:b/>
          <w:bCs/>
          <w:sz w:val="22"/>
          <w:szCs w:val="22"/>
          <w:lang w:val="sr-Latn-ME"/>
        </w:rPr>
        <w:t xml:space="preserve"> frakcijom lijeve komore (engl. </w:t>
      </w:r>
      <w:proofErr w:type="spellStart"/>
      <w:r w:rsidRPr="00285CEF">
        <w:rPr>
          <w:b/>
          <w:bCs/>
          <w:i/>
          <w:sz w:val="22"/>
          <w:szCs w:val="22"/>
          <w:lang w:val="sr-Latn-ME"/>
        </w:rPr>
        <w:t>left</w:t>
      </w:r>
      <w:proofErr w:type="spellEnd"/>
      <w:r w:rsidRPr="00285CEF">
        <w:rPr>
          <w:b/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/>
          <w:bCs/>
          <w:i/>
          <w:sz w:val="22"/>
          <w:szCs w:val="22"/>
          <w:lang w:val="sr-Latn-ME"/>
        </w:rPr>
        <w:t>ventricular</w:t>
      </w:r>
      <w:proofErr w:type="spellEnd"/>
      <w:r w:rsidRPr="00285CEF">
        <w:rPr>
          <w:b/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/>
          <w:bCs/>
          <w:i/>
          <w:sz w:val="22"/>
          <w:szCs w:val="22"/>
          <w:lang w:val="sr-Latn-ME"/>
        </w:rPr>
        <w:t>ejection</w:t>
      </w:r>
      <w:proofErr w:type="spellEnd"/>
      <w:r w:rsidRPr="00285CEF">
        <w:rPr>
          <w:b/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/>
          <w:bCs/>
          <w:i/>
          <w:sz w:val="22"/>
          <w:szCs w:val="22"/>
          <w:lang w:val="sr-Latn-ME"/>
        </w:rPr>
        <w:t>fraction</w:t>
      </w:r>
      <w:proofErr w:type="spellEnd"/>
      <w:r w:rsidRPr="00285CEF">
        <w:rPr>
          <w:b/>
          <w:bCs/>
          <w:sz w:val="22"/>
          <w:szCs w:val="22"/>
          <w:lang w:val="sr-Latn-ME"/>
        </w:rPr>
        <w:t>, LVEF) u odnosu na početnu vrijednost</w:t>
      </w:r>
    </w:p>
    <w:p w:rsidR="004A5F6A" w:rsidRPr="00285CEF" w:rsidRDefault="004A5F6A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903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275"/>
        <w:gridCol w:w="1561"/>
        <w:gridCol w:w="1984"/>
        <w:gridCol w:w="2579"/>
      </w:tblGrid>
      <w:tr w:rsidR="00513350" w:rsidRPr="00285CEF" w:rsidTr="00B64A8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Pacijent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Vrijed-nost</w:t>
            </w:r>
            <w:proofErr w:type="spellEnd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 LVEF</w:t>
            </w: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noBreakHyphen/>
            </w: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1AE2">
            <w:pPr>
              <w:keepNext/>
              <w:keepLines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Prilagođena preporučena </w:t>
            </w:r>
            <w:r w:rsidR="00860AF4"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doza </w:t>
            </w: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lijeka </w:t>
            </w:r>
            <w:proofErr w:type="spellStart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Cotellic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Vrijednost LVEF</w:t>
            </w: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noBreakHyphen/>
            </w: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a nakon privremenog prekida liječenja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1AE2">
            <w:pPr>
              <w:keepNext/>
              <w:keepLines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Preporučena dnevna doza lijeka </w:t>
            </w:r>
            <w:proofErr w:type="spellStart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Cotellic</w:t>
            </w:r>
            <w:proofErr w:type="spellEnd"/>
          </w:p>
        </w:tc>
      </w:tr>
      <w:tr w:rsidR="00513350" w:rsidRPr="00285CEF" w:rsidTr="00B64A87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Asimptomatski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≥ 50% </w:t>
            </w:r>
          </w:p>
          <w:p w:rsidR="00513350" w:rsidRPr="00285CEF" w:rsidRDefault="00513350" w:rsidP="00513350">
            <w:pPr>
              <w:keepNext/>
              <w:keepLines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(ili 40 – 49% i apsolutno smanjenje za &lt; 10% u odnosu na početnu vrijednost)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Nastaviti liječenje trenutnom dozom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N/P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keepLines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N/P </w:t>
            </w:r>
          </w:p>
        </w:tc>
      </w:tr>
      <w:tr w:rsidR="00513350" w:rsidRPr="00285CEF" w:rsidTr="00B64A87">
        <w:trPr>
          <w:trHeight w:val="40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&lt; 40% </w:t>
            </w:r>
          </w:p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(ili 40 – 49% i apsolutno smanjenje za ≥ 10% u odnosu na početnu vrijednost)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Prekinuti liječenje na 2 nedjelje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Apsolutno smanjenje za &lt; 10% u odnosu na početnu vrijednost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860AF4" w:rsidP="00860AF4">
            <w:pPr>
              <w:keepNext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Prva pojava</w:t>
            </w:r>
            <w:r w:rsidR="00513350"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: 40 mg</w:t>
            </w:r>
          </w:p>
        </w:tc>
      </w:tr>
      <w:tr w:rsidR="00513350" w:rsidRPr="00285CEF" w:rsidTr="00B64A87">
        <w:trPr>
          <w:trHeight w:val="40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860AF4" w:rsidP="00860AF4">
            <w:pPr>
              <w:keepNext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Druga pojava</w:t>
            </w:r>
            <w:r w:rsidR="00513350"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: 20 mg</w:t>
            </w:r>
          </w:p>
        </w:tc>
      </w:tr>
      <w:tr w:rsidR="00513350" w:rsidRPr="00285CEF" w:rsidTr="00B64A87">
        <w:trPr>
          <w:trHeight w:val="40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860AF4" w:rsidP="00513350">
            <w:pPr>
              <w:keepNext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Treća pojava</w:t>
            </w:r>
            <w:r w:rsidR="00513350"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: </w:t>
            </w:r>
          </w:p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trajna obustava liječenja</w:t>
            </w:r>
          </w:p>
        </w:tc>
      </w:tr>
      <w:tr w:rsidR="00513350" w:rsidRPr="00285CEF" w:rsidTr="00B64A87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&lt; 40% </w:t>
            </w:r>
          </w:p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(ili apsolutno smanjenje za ≥ 10% u odnosu na početnu vrijednost)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Trajna obustava liječenja</w:t>
            </w:r>
          </w:p>
        </w:tc>
      </w:tr>
      <w:tr w:rsidR="00513350" w:rsidRPr="00285CEF" w:rsidTr="00B64A87">
        <w:trPr>
          <w:trHeight w:val="400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Simptomatski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N/P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Prekinuti liječenje na 4 nedjelje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keepNext/>
              <w:jc w:val="center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Asimptomatsko</w:t>
            </w:r>
            <w:proofErr w:type="spellEnd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stanje i apsolutno smanjenje za &lt; 10% u odnosu na početnu vrijednost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860AF4" w:rsidP="00860AF4">
            <w:pPr>
              <w:keepNext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Prva pojava</w:t>
            </w:r>
            <w:r w:rsidR="00513350"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: 40 mg</w:t>
            </w:r>
          </w:p>
        </w:tc>
      </w:tr>
      <w:tr w:rsidR="00513350" w:rsidRPr="00285CEF" w:rsidTr="00B64A87">
        <w:trPr>
          <w:trHeight w:val="40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860AF4" w:rsidP="00860AF4">
            <w:pPr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Druga pojava</w:t>
            </w:r>
            <w:r w:rsidR="00513350"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: 20 mg</w:t>
            </w:r>
          </w:p>
        </w:tc>
      </w:tr>
      <w:tr w:rsidR="00513350" w:rsidRPr="00285CEF" w:rsidTr="00B64A87">
        <w:trPr>
          <w:trHeight w:val="40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860AF4" w:rsidP="00513350">
            <w:pPr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Treća pojava</w:t>
            </w:r>
            <w:r w:rsidR="00513350"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: </w:t>
            </w:r>
          </w:p>
          <w:p w:rsidR="00513350" w:rsidRPr="00285CEF" w:rsidRDefault="00513350" w:rsidP="00513350">
            <w:pPr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trajna obustava liječenja</w:t>
            </w:r>
          </w:p>
        </w:tc>
      </w:tr>
      <w:tr w:rsidR="00513350" w:rsidRPr="00285CEF" w:rsidTr="00B64A87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jc w:val="center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Asimptomatsko</w:t>
            </w:r>
            <w:proofErr w:type="spellEnd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stanje i &lt; 40% </w:t>
            </w:r>
          </w:p>
          <w:p w:rsidR="00513350" w:rsidRPr="00285CEF" w:rsidRDefault="00513350" w:rsidP="00513350">
            <w:pPr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(ili apsolutno smanjenje za ≥ 10% u odnosu na početnu vrijednost)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Trajna obustava liječenja</w:t>
            </w:r>
          </w:p>
        </w:tc>
      </w:tr>
      <w:tr w:rsidR="00513350" w:rsidRPr="00285CEF" w:rsidTr="00B64A87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jc w:val="center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Simptomatsko</w:t>
            </w:r>
            <w:proofErr w:type="spellEnd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stanje nezavisno od LVEF</w:t>
            </w: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noBreakHyphen/>
              <w:t>u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0" w:rsidRPr="00285CEF" w:rsidRDefault="00513350" w:rsidP="00513350">
            <w:pPr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Trajna obustava liječenja</w:t>
            </w:r>
          </w:p>
        </w:tc>
      </w:tr>
    </w:tbl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N/P = nije primjenjivo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Ukoliko je klinički </w:t>
      </w:r>
      <w:proofErr w:type="spellStart"/>
      <w:r w:rsidRPr="00285CEF">
        <w:rPr>
          <w:bCs/>
          <w:sz w:val="22"/>
          <w:szCs w:val="22"/>
          <w:lang w:val="sr-Latn-ME"/>
        </w:rPr>
        <w:t>indikovano</w:t>
      </w:r>
      <w:proofErr w:type="spellEnd"/>
      <w:r w:rsidRPr="00285CEF">
        <w:rPr>
          <w:bCs/>
          <w:sz w:val="22"/>
          <w:szCs w:val="22"/>
          <w:lang w:val="sr-Latn-ME"/>
        </w:rPr>
        <w:t xml:space="preserve">, liječenje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se nastaviti nakon prilagođavanja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85CEF">
        <w:rPr>
          <w:bCs/>
          <w:i/>
          <w:sz w:val="22"/>
          <w:szCs w:val="22"/>
          <w:u w:val="single"/>
          <w:lang w:val="sr-Latn-ME"/>
        </w:rPr>
        <w:t>Savjeti za prilagođava</w:t>
      </w:r>
      <w:r w:rsidR="009A6677" w:rsidRPr="00285CEF">
        <w:rPr>
          <w:bCs/>
          <w:i/>
          <w:sz w:val="22"/>
          <w:szCs w:val="22"/>
          <w:u w:val="single"/>
          <w:lang w:val="sr-Latn-ME"/>
        </w:rPr>
        <w:t>n</w:t>
      </w:r>
      <w:r w:rsidRPr="00285CEF">
        <w:rPr>
          <w:bCs/>
          <w:i/>
          <w:sz w:val="22"/>
          <w:szCs w:val="22"/>
          <w:u w:val="single"/>
          <w:lang w:val="sr-Latn-ME"/>
        </w:rPr>
        <w:t xml:space="preserve">je doze kod </w:t>
      </w:r>
      <w:proofErr w:type="spellStart"/>
      <w:r w:rsidRPr="00285CEF">
        <w:rPr>
          <w:bCs/>
          <w:i/>
          <w:sz w:val="22"/>
          <w:szCs w:val="22"/>
          <w:u w:val="single"/>
          <w:lang w:val="sr-Latn-ME"/>
        </w:rPr>
        <w:t>rabdomiolize</w:t>
      </w:r>
      <w:proofErr w:type="spellEnd"/>
      <w:r w:rsidRPr="00285CEF">
        <w:rPr>
          <w:bCs/>
          <w:i/>
          <w:sz w:val="22"/>
          <w:szCs w:val="22"/>
          <w:u w:val="single"/>
          <w:lang w:val="sr-Latn-ME"/>
        </w:rPr>
        <w:t xml:space="preserve"> i </w:t>
      </w:r>
      <w:r w:rsidR="00AC0109" w:rsidRPr="00285CEF">
        <w:rPr>
          <w:bCs/>
          <w:i/>
          <w:sz w:val="22"/>
          <w:szCs w:val="22"/>
          <w:u w:val="single"/>
          <w:lang w:val="sr-Latn-ME"/>
        </w:rPr>
        <w:t xml:space="preserve">povišene </w:t>
      </w:r>
      <w:r w:rsidRPr="00285CEF">
        <w:rPr>
          <w:bCs/>
          <w:i/>
          <w:sz w:val="22"/>
          <w:szCs w:val="22"/>
          <w:u w:val="single"/>
          <w:lang w:val="sr-Latn-ME"/>
        </w:rPr>
        <w:t xml:space="preserve">vrijednosti </w:t>
      </w:r>
      <w:proofErr w:type="spellStart"/>
      <w:r w:rsidRPr="00285CEF">
        <w:rPr>
          <w:bCs/>
          <w:i/>
          <w:sz w:val="22"/>
          <w:szCs w:val="22"/>
          <w:u w:val="single"/>
          <w:lang w:val="sr-Latn-ME"/>
        </w:rPr>
        <w:t>kreatin</w:t>
      </w:r>
      <w:proofErr w:type="spellEnd"/>
      <w:r w:rsidRPr="00285CEF">
        <w:rPr>
          <w:bCs/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u w:val="single"/>
          <w:lang w:val="sr-Latn-ME"/>
        </w:rPr>
        <w:t>fosfokinaze</w:t>
      </w:r>
      <w:proofErr w:type="spellEnd"/>
      <w:r w:rsidRPr="00285CEF">
        <w:rPr>
          <w:bCs/>
          <w:i/>
          <w:sz w:val="22"/>
          <w:szCs w:val="22"/>
          <w:u w:val="single"/>
          <w:lang w:val="sr-Latn-ME"/>
        </w:rPr>
        <w:t xml:space="preserve"> (CPK)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285CEF">
        <w:rPr>
          <w:bCs/>
          <w:i/>
          <w:sz w:val="22"/>
          <w:szCs w:val="22"/>
          <w:lang w:val="sr-Latn-ME"/>
        </w:rPr>
        <w:t>Rabdomioliza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ili </w:t>
      </w:r>
      <w:proofErr w:type="spellStart"/>
      <w:r w:rsidRPr="00285CEF">
        <w:rPr>
          <w:bCs/>
          <w:i/>
          <w:sz w:val="22"/>
          <w:szCs w:val="22"/>
          <w:lang w:val="sr-Latn-ME"/>
        </w:rPr>
        <w:t>simptomatsko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povišene vrijednosti CPK-a: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privremeno prekinuti. Ako se </w:t>
      </w:r>
      <w:proofErr w:type="spellStart"/>
      <w:r w:rsidRPr="00285CEF">
        <w:rPr>
          <w:bCs/>
          <w:sz w:val="22"/>
          <w:szCs w:val="22"/>
          <w:lang w:val="sr-Latn-ME"/>
        </w:rPr>
        <w:t>rabdomioliza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</w:t>
      </w:r>
      <w:proofErr w:type="spellStart"/>
      <w:r w:rsidRPr="00285CEF">
        <w:rPr>
          <w:bCs/>
          <w:sz w:val="22"/>
          <w:szCs w:val="22"/>
          <w:lang w:val="sr-Latn-ME"/>
        </w:rPr>
        <w:t>simptomatsko</w:t>
      </w:r>
      <w:proofErr w:type="spellEnd"/>
      <w:r w:rsidRPr="00285CEF">
        <w:rPr>
          <w:bCs/>
          <w:sz w:val="22"/>
          <w:szCs w:val="22"/>
          <w:lang w:val="sr-Latn-ME"/>
        </w:rPr>
        <w:t xml:space="preserve"> povišene vrijednosti CPK-a ne poboljšaju unutar 4 nedjelje,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trajno obustaviti. Ako se težina stanja smanji za najmanje jedan stepen u roku od 4 nedjelje,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se može ponovno uvesti u dozi smanjenoj za 20 mg, ako je to klinički </w:t>
      </w:r>
      <w:proofErr w:type="spellStart"/>
      <w:r w:rsidRPr="00285CEF">
        <w:rPr>
          <w:bCs/>
          <w:sz w:val="22"/>
          <w:szCs w:val="22"/>
          <w:lang w:val="sr-Latn-ME"/>
        </w:rPr>
        <w:t>indikovano</w:t>
      </w:r>
      <w:proofErr w:type="spellEnd"/>
      <w:r w:rsidRPr="00285CEF">
        <w:rPr>
          <w:bCs/>
          <w:sz w:val="22"/>
          <w:szCs w:val="22"/>
          <w:lang w:val="sr-Latn-ME"/>
        </w:rPr>
        <w:t xml:space="preserve">. Potrebno je pažljivo nadgledati pacijente. Primjena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se nastavi nakon prilagođavanja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285CEF">
        <w:rPr>
          <w:bCs/>
          <w:i/>
          <w:sz w:val="22"/>
          <w:szCs w:val="22"/>
          <w:lang w:val="sr-Latn-ME"/>
        </w:rPr>
        <w:lastRenderedPageBreak/>
        <w:t>Asimptomatsko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povišene vrijednosti CPK-a: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4. stepen: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privremeno prekinuti. Ako se povišene vrijednosti CPK-a ne poboljšaju do ≤ 3. stepena u roku od 4 nedjelje od privremenog prekida,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trajno obustaviti. Ako se CPK poboljša do ≤ 3. stepena u roku od 4 nedjelje, </w:t>
      </w:r>
      <w:r w:rsidR="00305A2E"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se može ponovno uvesti ako je to klinički </w:t>
      </w:r>
      <w:proofErr w:type="spellStart"/>
      <w:r w:rsidRPr="00285CEF">
        <w:rPr>
          <w:bCs/>
          <w:sz w:val="22"/>
          <w:szCs w:val="22"/>
          <w:lang w:val="sr-Latn-ME"/>
        </w:rPr>
        <w:t>indikovano</w:t>
      </w:r>
      <w:proofErr w:type="spellEnd"/>
      <w:r w:rsidRPr="00285CEF">
        <w:rPr>
          <w:bCs/>
          <w:sz w:val="22"/>
          <w:szCs w:val="22"/>
          <w:lang w:val="sr-Latn-ME"/>
        </w:rPr>
        <w:t xml:space="preserve">, u dozi smanjenoj za 20 mg i pacijenta treba pažljivo nadgledati. Primjena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se nastavi nakon prilagođava</w:t>
      </w:r>
      <w:r w:rsidR="009A6677" w:rsidRPr="00285CEF">
        <w:rPr>
          <w:bCs/>
          <w:sz w:val="22"/>
          <w:szCs w:val="22"/>
          <w:lang w:val="sr-Latn-ME"/>
        </w:rPr>
        <w:t>n</w:t>
      </w:r>
      <w:r w:rsidRPr="00285CEF">
        <w:rPr>
          <w:bCs/>
          <w:sz w:val="22"/>
          <w:szCs w:val="22"/>
          <w:lang w:val="sr-Latn-ME"/>
        </w:rPr>
        <w:t xml:space="preserve">ja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.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≤ 3. stepena: Nakon što se isključi </w:t>
      </w:r>
      <w:proofErr w:type="spellStart"/>
      <w:r w:rsidRPr="00285CEF">
        <w:rPr>
          <w:bCs/>
          <w:sz w:val="22"/>
          <w:szCs w:val="22"/>
          <w:lang w:val="sr-Latn-ME"/>
        </w:rPr>
        <w:t>rabdomioliza</w:t>
      </w:r>
      <w:proofErr w:type="spellEnd"/>
      <w:r w:rsidRPr="00285CEF">
        <w:rPr>
          <w:bCs/>
          <w:sz w:val="22"/>
          <w:szCs w:val="22"/>
          <w:lang w:val="sr-Latn-ME"/>
        </w:rPr>
        <w:t xml:space="preserve">, nije potrebno prilagođavanje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.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930EF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85CEF">
        <w:rPr>
          <w:bCs/>
          <w:i/>
          <w:sz w:val="22"/>
          <w:szCs w:val="22"/>
          <w:u w:val="single"/>
          <w:lang w:val="sr-Latn-ME"/>
        </w:rPr>
        <w:t xml:space="preserve">Savjeti za prilagođavanje doze lijeka </w:t>
      </w:r>
      <w:proofErr w:type="spellStart"/>
      <w:r w:rsidRPr="00285CEF">
        <w:rPr>
          <w:bCs/>
          <w:i/>
          <w:sz w:val="22"/>
          <w:szCs w:val="22"/>
          <w:u w:val="single"/>
          <w:lang w:val="sr-Latn-ME"/>
        </w:rPr>
        <w:t>Cotellic</w:t>
      </w:r>
      <w:proofErr w:type="spellEnd"/>
      <w:r w:rsidRPr="00285CEF">
        <w:rPr>
          <w:bCs/>
          <w:i/>
          <w:sz w:val="22"/>
          <w:szCs w:val="22"/>
          <w:u w:val="single"/>
          <w:lang w:val="sr-Latn-ME"/>
        </w:rPr>
        <w:t xml:space="preserve"> kod primjene sa </w:t>
      </w:r>
      <w:proofErr w:type="spellStart"/>
      <w:r w:rsidRPr="00285CEF">
        <w:rPr>
          <w:bCs/>
          <w:i/>
          <w:sz w:val="22"/>
          <w:szCs w:val="22"/>
          <w:u w:val="single"/>
          <w:lang w:val="sr-Latn-ME"/>
        </w:rPr>
        <w:t>vemurafenibom</w:t>
      </w:r>
      <w:proofErr w:type="spellEnd"/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Odstupanja u laboratorijskim vrijednostima parametara jetre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U slučaju odstupanja u laboratorijskim vrijednostima parametara jetre 1. i 2. stepena,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nastaviti dozom koja je propisana.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3. stepen: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="007C75C6" w:rsidRPr="00285CEF">
        <w:rPr>
          <w:bCs/>
          <w:sz w:val="22"/>
          <w:szCs w:val="22"/>
          <w:lang w:val="sr-Latn-ME"/>
        </w:rPr>
        <w:t xml:space="preserve"> </w:t>
      </w:r>
      <w:r w:rsidRPr="00285CEF">
        <w:rPr>
          <w:bCs/>
          <w:sz w:val="22"/>
          <w:szCs w:val="22"/>
          <w:lang w:val="sr-Latn-ME"/>
        </w:rPr>
        <w:t xml:space="preserve">treba nastaviti dozom koja je propisana. Doza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se smanjiti u skladu sa kliničkom indikacijom. Vidjeti Sažetak karakteristika lijeka za </w:t>
      </w:r>
      <w:proofErr w:type="spellStart"/>
      <w:r w:rsidRPr="00285CEF">
        <w:rPr>
          <w:bCs/>
          <w:sz w:val="22"/>
          <w:szCs w:val="22"/>
          <w:lang w:val="sr-Latn-ME"/>
        </w:rPr>
        <w:t>vemurafenib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4. stepen:</w:t>
      </w:r>
      <w:r w:rsidR="007C75C6" w:rsidRPr="00285CEF">
        <w:rPr>
          <w:bCs/>
          <w:sz w:val="22"/>
          <w:szCs w:val="22"/>
          <w:lang w:val="sr-Latn-ME"/>
        </w:rPr>
        <w:t xml:space="preserve"> </w:t>
      </w:r>
      <w:r w:rsidRPr="00285CEF">
        <w:rPr>
          <w:bCs/>
          <w:sz w:val="22"/>
          <w:szCs w:val="22"/>
          <w:lang w:val="sr-Latn-ME"/>
        </w:rPr>
        <w:t xml:space="preserve">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privremeno prekinuti. Ako se odstupanja u laboratorijskim vrijednostima poboljšaju do ≤ 1. stepena u roku od 4 nedjelje,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ponovno započeti dozom umanjenom za 20 mg, a liječenje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klinički odgovarajućom dozom, u skladu sa njegovim Sažetkom karakteristika lijeka.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se mora trajno obustaviti ako se odstupanja u laboratorijskim vrijednostima ne poboljšaju do ≤ 1. stepena unutar 4 nedjelje</w:t>
      </w:r>
      <w:r w:rsidR="007C75C6" w:rsidRPr="00285CEF">
        <w:rPr>
          <w:bCs/>
          <w:sz w:val="22"/>
          <w:szCs w:val="22"/>
          <w:lang w:val="sr-Latn-ME"/>
        </w:rPr>
        <w:t>,</w:t>
      </w:r>
      <w:r w:rsidRPr="00285CEF">
        <w:rPr>
          <w:bCs/>
          <w:sz w:val="22"/>
          <w:szCs w:val="22"/>
          <w:lang w:val="sr-Latn-ME"/>
        </w:rPr>
        <w:t xml:space="preserve"> ili ako nakon početnog poboljšanja ponovno dođe do odstupanja 4. stepena.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285CEF">
        <w:rPr>
          <w:bCs/>
          <w:i/>
          <w:sz w:val="22"/>
          <w:szCs w:val="22"/>
          <w:lang w:val="sr-Latn-ME"/>
        </w:rPr>
        <w:t>Fotosenzitivnost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Fotosenzitivnost</w:t>
      </w:r>
      <w:proofErr w:type="spellEnd"/>
      <w:r w:rsidRPr="00285CEF">
        <w:rPr>
          <w:bCs/>
          <w:sz w:val="22"/>
          <w:szCs w:val="22"/>
          <w:lang w:val="sr-Latn-ME"/>
        </w:rPr>
        <w:t xml:space="preserve"> ≤ 2. stepena (podnošljivu) treba zbrinuti potpornom </w:t>
      </w:r>
      <w:proofErr w:type="spellStart"/>
      <w:r w:rsidRPr="00285CEF">
        <w:rPr>
          <w:bCs/>
          <w:sz w:val="22"/>
          <w:szCs w:val="22"/>
          <w:lang w:val="sr-Latn-ME"/>
        </w:rPr>
        <w:t>njegom</w:t>
      </w:r>
      <w:proofErr w:type="spellEnd"/>
      <w:r w:rsidRPr="00285CEF">
        <w:rPr>
          <w:bCs/>
          <w:sz w:val="22"/>
          <w:szCs w:val="22"/>
          <w:lang w:val="sr-Latn-ME"/>
        </w:rPr>
        <w:t xml:space="preserve">.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Fotosenzitivnost</w:t>
      </w:r>
      <w:proofErr w:type="spellEnd"/>
      <w:r w:rsidRPr="00285CEF">
        <w:rPr>
          <w:bCs/>
          <w:sz w:val="22"/>
          <w:szCs w:val="22"/>
          <w:lang w:val="sr-Latn-ME"/>
        </w:rPr>
        <w:t xml:space="preserve"> 2. stepena (nepodnošljiva) ili ≥ 3. stepena: Primjenu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prekinuti dok se </w:t>
      </w:r>
      <w:proofErr w:type="spellStart"/>
      <w:r w:rsidRPr="00285CEF">
        <w:rPr>
          <w:bCs/>
          <w:sz w:val="22"/>
          <w:szCs w:val="22"/>
          <w:lang w:val="sr-Latn-ME"/>
        </w:rPr>
        <w:t>fotosenzitivnost</w:t>
      </w:r>
      <w:proofErr w:type="spellEnd"/>
      <w:r w:rsidRPr="00285CEF">
        <w:rPr>
          <w:bCs/>
          <w:sz w:val="22"/>
          <w:szCs w:val="22"/>
          <w:lang w:val="sr-Latn-ME"/>
        </w:rPr>
        <w:t xml:space="preserve"> ne ublaži do ≤ 1. stepena.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se započne ponovno bez promjene doze. Dozu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smanjiti u skladu sa kliničkom indikacijom; za više informacija vidjeti Sažetak karakteristika lijeka za </w:t>
      </w:r>
      <w:proofErr w:type="spellStart"/>
      <w:r w:rsidRPr="00285CEF">
        <w:rPr>
          <w:bCs/>
          <w:sz w:val="22"/>
          <w:szCs w:val="22"/>
          <w:lang w:val="sr-Latn-ME"/>
        </w:rPr>
        <w:t>vemurafenib</w:t>
      </w:r>
      <w:proofErr w:type="spellEnd"/>
      <w:r w:rsidRPr="00285CEF">
        <w:rPr>
          <w:bCs/>
          <w:sz w:val="22"/>
          <w:szCs w:val="22"/>
          <w:lang w:val="sr-Latn-ME"/>
        </w:rPr>
        <w:t xml:space="preserve">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Osip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Osip može da se javi i kod liječenja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kod liječenja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. Primjena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i/ili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 privremeno da se prekine i/ili da se njihova doza smanji, u skladu sa kliničkom indikacijom.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Uz to: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Osip ≤ 2. stepena (podnošljiv) treba zbrinuti potpornom </w:t>
      </w:r>
      <w:proofErr w:type="spellStart"/>
      <w:r w:rsidRPr="00285CEF">
        <w:rPr>
          <w:bCs/>
          <w:sz w:val="22"/>
          <w:szCs w:val="22"/>
          <w:lang w:val="sr-Latn-ME"/>
        </w:rPr>
        <w:t>njegom</w:t>
      </w:r>
      <w:proofErr w:type="spellEnd"/>
      <w:r w:rsidRPr="00285CEF">
        <w:rPr>
          <w:bCs/>
          <w:sz w:val="22"/>
          <w:szCs w:val="22"/>
          <w:lang w:val="sr-Latn-ME"/>
        </w:rPr>
        <w:t xml:space="preserve">.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se nastaviti bez prilagođavanja doze.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Akneiformni</w:t>
      </w:r>
      <w:proofErr w:type="spellEnd"/>
      <w:r w:rsidRPr="00285CEF">
        <w:rPr>
          <w:bCs/>
          <w:sz w:val="22"/>
          <w:szCs w:val="22"/>
          <w:lang w:val="sr-Latn-ME"/>
        </w:rPr>
        <w:t xml:space="preserve"> osip 2. stepena (nepodnošljiv) ili ≥ 3. stepena: Treba se pridržavati opštih preporuka za prilagođavanje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vertAlign w:val="superscript"/>
          <w:lang w:val="sr-Latn-ME"/>
        </w:rPr>
        <w:t xml:space="preserve"> </w:t>
      </w:r>
      <w:r w:rsidRPr="00285CEF">
        <w:rPr>
          <w:bCs/>
          <w:sz w:val="22"/>
          <w:szCs w:val="22"/>
          <w:lang w:val="sr-Latn-ME"/>
        </w:rPr>
        <w:t xml:space="preserve">navedenih u Tabeli 1. Liječenje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se nastavi nakon prilagođavanja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(ukoliko je to klinički </w:t>
      </w:r>
      <w:proofErr w:type="spellStart"/>
      <w:r w:rsidRPr="00285CEF">
        <w:rPr>
          <w:bCs/>
          <w:sz w:val="22"/>
          <w:szCs w:val="22"/>
          <w:lang w:val="sr-Latn-ME"/>
        </w:rPr>
        <w:t>indikovano</w:t>
      </w:r>
      <w:proofErr w:type="spellEnd"/>
      <w:r w:rsidRPr="00285CEF">
        <w:rPr>
          <w:bCs/>
          <w:sz w:val="22"/>
          <w:szCs w:val="22"/>
          <w:lang w:val="sr-Latn-ME"/>
        </w:rPr>
        <w:t xml:space="preserve">).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Neakneiformni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</w:t>
      </w:r>
      <w:proofErr w:type="spellStart"/>
      <w:r w:rsidRPr="00285CEF">
        <w:rPr>
          <w:bCs/>
          <w:sz w:val="22"/>
          <w:szCs w:val="22"/>
          <w:lang w:val="sr-Latn-ME"/>
        </w:rPr>
        <w:t>makulopapularni</w:t>
      </w:r>
      <w:proofErr w:type="spellEnd"/>
      <w:r w:rsidRPr="00285CEF">
        <w:rPr>
          <w:bCs/>
          <w:sz w:val="22"/>
          <w:szCs w:val="22"/>
          <w:lang w:val="sr-Latn-ME"/>
        </w:rPr>
        <w:t xml:space="preserve"> osip 2. stepena (nepodnošljiv) ili ≥ 3. stepena: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se nastavi bez prilagođavanja doze, ako je to klinički </w:t>
      </w:r>
      <w:proofErr w:type="spellStart"/>
      <w:r w:rsidRPr="00285CEF">
        <w:rPr>
          <w:bCs/>
          <w:sz w:val="22"/>
          <w:szCs w:val="22"/>
          <w:lang w:val="sr-Latn-ME"/>
        </w:rPr>
        <w:t>indikovano</w:t>
      </w:r>
      <w:proofErr w:type="spellEnd"/>
      <w:r w:rsidRPr="00285CEF">
        <w:rPr>
          <w:bCs/>
          <w:sz w:val="22"/>
          <w:szCs w:val="22"/>
          <w:lang w:val="sr-Latn-ME"/>
        </w:rPr>
        <w:t xml:space="preserve">. Primjena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se  privremeno prekine i/ili da se njegova doza smanji; za više informacija vidjeti Sažetak karakteristika lijeka za </w:t>
      </w:r>
      <w:proofErr w:type="spellStart"/>
      <w:r w:rsidRPr="00285CEF">
        <w:rPr>
          <w:bCs/>
          <w:sz w:val="22"/>
          <w:szCs w:val="22"/>
          <w:lang w:val="sr-Latn-ME"/>
        </w:rPr>
        <w:t>vemurafenib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Produženje QT intervala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lastRenderedPageBreak/>
        <w:t xml:space="preserve">Ako se tokom liječenja </w:t>
      </w:r>
      <w:proofErr w:type="spellStart"/>
      <w:r w:rsidRPr="00285CEF">
        <w:rPr>
          <w:bCs/>
          <w:sz w:val="22"/>
          <w:szCs w:val="22"/>
          <w:lang w:val="sr-Latn-ME"/>
        </w:rPr>
        <w:t>QTc</w:t>
      </w:r>
      <w:proofErr w:type="spellEnd"/>
      <w:r w:rsidRPr="00285CEF">
        <w:rPr>
          <w:bCs/>
          <w:sz w:val="22"/>
          <w:szCs w:val="22"/>
          <w:lang w:val="sr-Latn-ME"/>
        </w:rPr>
        <w:t xml:space="preserve"> interval produži na više od 500 </w:t>
      </w:r>
      <w:proofErr w:type="spellStart"/>
      <w:r w:rsidRPr="00285CEF">
        <w:rPr>
          <w:bCs/>
          <w:sz w:val="22"/>
          <w:szCs w:val="22"/>
          <w:lang w:val="sr-Latn-ME"/>
        </w:rPr>
        <w:t>ms</w:t>
      </w:r>
      <w:proofErr w:type="spellEnd"/>
      <w:r w:rsidRPr="00285CEF">
        <w:rPr>
          <w:bCs/>
          <w:sz w:val="22"/>
          <w:szCs w:val="22"/>
          <w:lang w:val="sr-Latn-ME"/>
        </w:rPr>
        <w:t xml:space="preserve">, vidjeti Sažetak karakteristika lijeka za </w:t>
      </w:r>
      <w:proofErr w:type="spellStart"/>
      <w:r w:rsidRPr="00285CEF">
        <w:rPr>
          <w:bCs/>
          <w:sz w:val="22"/>
          <w:szCs w:val="22"/>
          <w:lang w:val="sr-Latn-ME"/>
        </w:rPr>
        <w:t>vemurafenib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(</w:t>
      </w:r>
      <w:r w:rsidR="00450A0E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 xml:space="preserve">4.2) za informacije o prilagođavanju doze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. Nije potrebno prilagođavati dozu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kada se uzima u kombinaciji sa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Posebne grupe pacijenata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Stariji pacijenti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Nije potrebno prilagođavanje doze kod pacijenata starosti ≥ 65 godina.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Oštećenje funkcije bubrega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Prema </w:t>
      </w:r>
      <w:proofErr w:type="spellStart"/>
      <w:r w:rsidRPr="00285CEF">
        <w:rPr>
          <w:bCs/>
          <w:sz w:val="22"/>
          <w:szCs w:val="22"/>
          <w:lang w:val="sr-Latn-ME"/>
        </w:rPr>
        <w:t>populacijskoj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farmakokinetičkoj</w:t>
      </w:r>
      <w:proofErr w:type="spellEnd"/>
      <w:r w:rsidRPr="00285CEF">
        <w:rPr>
          <w:bCs/>
          <w:sz w:val="22"/>
          <w:szCs w:val="22"/>
          <w:lang w:val="sr-Latn-ME"/>
        </w:rPr>
        <w:t xml:space="preserve"> analizi, ne preporučuje se </w:t>
      </w:r>
      <w:r w:rsidR="0011477C" w:rsidRPr="00285CEF">
        <w:rPr>
          <w:bCs/>
          <w:sz w:val="22"/>
          <w:szCs w:val="22"/>
          <w:lang w:val="sr-Latn-ME"/>
        </w:rPr>
        <w:t xml:space="preserve">prilagođavanje doze </w:t>
      </w:r>
      <w:r w:rsidRPr="00285CEF">
        <w:rPr>
          <w:bCs/>
          <w:sz w:val="22"/>
          <w:szCs w:val="22"/>
          <w:lang w:val="sr-Latn-ME"/>
        </w:rPr>
        <w:t xml:space="preserve">kod pacijenata sa blagim ili umjerenim oštećenjem bubrežne funkcije (vidjeti </w:t>
      </w:r>
      <w:r w:rsidR="0011477C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 xml:space="preserve">5.2). Budući da postoji minimalna količina podataka o primjeni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kod pacijenata sa teškim oštećenjem bubrežne funkcije, dejstvo se ne može isključiti. </w:t>
      </w:r>
      <w:r w:rsidR="0011477C"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da se primjenjuje oprezno kod pacijenata sa teškim oštećenjem bubrežne funkcije.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Oštećenje funkcije jetre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Ne preporučuje se da se prilagođava doza kod pacijenata sa oštećenjem funkcije jetre. Pacijenti sa teškim oštećenjem funkcije jetre mogu da imaju povećane koncentracije nevezanog </w:t>
      </w:r>
      <w:proofErr w:type="spellStart"/>
      <w:r w:rsidRPr="00285CEF">
        <w:rPr>
          <w:bCs/>
          <w:sz w:val="22"/>
          <w:szCs w:val="22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u plazmi u poređenju sa pacijentima sa normalnom funkcijom jetre (vidjeti dio 5.2). Kod primjene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da dođe do odstupanja u laboratorijskim vrijednostima parametara jetre</w:t>
      </w:r>
      <w:r w:rsidR="0011477C" w:rsidRPr="00285CEF">
        <w:rPr>
          <w:bCs/>
          <w:sz w:val="22"/>
          <w:szCs w:val="22"/>
          <w:lang w:val="sr-Latn-ME"/>
        </w:rPr>
        <w:t>,</w:t>
      </w:r>
      <w:r w:rsidRPr="00285CEF">
        <w:rPr>
          <w:bCs/>
          <w:sz w:val="22"/>
          <w:szCs w:val="22"/>
          <w:lang w:val="sr-Latn-ME"/>
        </w:rPr>
        <w:t xml:space="preserve"> i zbog toga je potreban oprez kod pacijenata sa bilo kojim stepenom oštećenja funkcije jetre (vidjeti dio 4.4).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Pacijenti koji nijesu bijele rase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Bezbjednost i efikasnost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kod pacijenata koji nijesu bijele rase nijesu utvrđene.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Pedijatrijska populacija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Bezbjednost i efikasnost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kod djece i adolescenata mlađih od 18 godina nijesu utvrđene. </w:t>
      </w:r>
      <w:r w:rsidR="00821CE8" w:rsidRPr="00285CEF">
        <w:rPr>
          <w:noProof/>
          <w:sz w:val="22"/>
          <w:szCs w:val="22"/>
          <w:lang w:val="sr-Latn-ME" w:eastAsia="ja-JP"/>
        </w:rPr>
        <w:t xml:space="preserve"> </w:t>
      </w:r>
      <w:r w:rsidR="00821CE8" w:rsidRPr="00285CEF">
        <w:rPr>
          <w:bCs/>
          <w:sz w:val="22"/>
          <w:szCs w:val="22"/>
          <w:lang w:val="sr-Latn-ME"/>
        </w:rPr>
        <w:t>Trenutno dostupni podaci opisani su u djelovima 4.8, 5.1 i 5.2, međutim</w:t>
      </w:r>
      <w:r w:rsidR="0011477C" w:rsidRPr="00285CEF">
        <w:rPr>
          <w:bCs/>
          <w:sz w:val="22"/>
          <w:szCs w:val="22"/>
          <w:lang w:val="sr-Latn-ME"/>
        </w:rPr>
        <w:t>,</w:t>
      </w:r>
      <w:r w:rsidR="00821CE8" w:rsidRPr="00285CEF">
        <w:rPr>
          <w:bCs/>
          <w:sz w:val="22"/>
          <w:szCs w:val="22"/>
          <w:lang w:val="sr-Latn-ME"/>
        </w:rPr>
        <w:t xml:space="preserve"> nije moguće dati preporuke za doziranje.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E9D" w:rsidRPr="00285CEF" w:rsidRDefault="00452E9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Način primjene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je namijenjen za </w:t>
      </w:r>
      <w:proofErr w:type="spellStart"/>
      <w:r w:rsidRPr="00285CEF">
        <w:rPr>
          <w:bCs/>
          <w:sz w:val="22"/>
          <w:szCs w:val="22"/>
          <w:lang w:val="sr-Latn-ME"/>
        </w:rPr>
        <w:t>peroralnu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primjenu. Tablete treba progutati cijele, sa vodom. Mogu se uzimati sa hranom ili bez nje.</w:t>
      </w:r>
    </w:p>
    <w:p w:rsidR="00452E9D" w:rsidRPr="00285CEF" w:rsidRDefault="00452E9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85CEF" w:rsidRDefault="00411B4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4.3.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proofErr w:type="spellStart"/>
      <w:r w:rsidRPr="00285CEF">
        <w:rPr>
          <w:b/>
          <w:bCs/>
          <w:sz w:val="22"/>
          <w:szCs w:val="22"/>
          <w:lang w:val="sr-Latn-ME"/>
        </w:rPr>
        <w:t>Kontraindikacije</w:t>
      </w:r>
      <w:proofErr w:type="spellEnd"/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Preosjetljivost na aktivnu supstancu ili </w:t>
      </w:r>
      <w:r w:rsidR="0011477C" w:rsidRPr="00285CEF">
        <w:rPr>
          <w:bCs/>
          <w:sz w:val="22"/>
          <w:szCs w:val="22"/>
          <w:lang w:val="sr-Latn-ME"/>
        </w:rPr>
        <w:t xml:space="preserve">na </w:t>
      </w:r>
      <w:r w:rsidRPr="00285CEF">
        <w:rPr>
          <w:bCs/>
          <w:sz w:val="22"/>
          <w:szCs w:val="22"/>
          <w:lang w:val="sr-Latn-ME"/>
        </w:rPr>
        <w:t>bilo koju od pomoćnih supstanci navedenih u dijelu 6.1.</w:t>
      </w: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85CEF" w:rsidRDefault="00411B4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4.4.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Prije primjene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, kod pacijenata se </w:t>
      </w:r>
      <w:proofErr w:type="spellStart"/>
      <w:r w:rsidRPr="00285CEF">
        <w:rPr>
          <w:bCs/>
          <w:sz w:val="22"/>
          <w:szCs w:val="22"/>
          <w:lang w:val="sr-Latn-ME"/>
        </w:rPr>
        <w:t>validiranim</w:t>
      </w:r>
      <w:proofErr w:type="spellEnd"/>
      <w:r w:rsidRPr="00285CEF">
        <w:rPr>
          <w:bCs/>
          <w:sz w:val="22"/>
          <w:szCs w:val="22"/>
          <w:lang w:val="sr-Latn-ME"/>
        </w:rPr>
        <w:t xml:space="preserve"> testom mora potvrditi da je tumor pozitivan na mutaciju BRAF V600.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513350" w:rsidRPr="00285CEF" w:rsidRDefault="00CC3B0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Lijek </w:t>
      </w:r>
      <w:proofErr w:type="spellStart"/>
      <w:r w:rsidR="00513350" w:rsidRPr="00285CEF">
        <w:rPr>
          <w:bCs/>
          <w:sz w:val="22"/>
          <w:szCs w:val="22"/>
          <w:u w:val="single"/>
          <w:lang w:val="sr-Latn-ME"/>
        </w:rPr>
        <w:t>Cotellic</w:t>
      </w:r>
      <w:proofErr w:type="spellEnd"/>
      <w:r w:rsidR="00513350" w:rsidRPr="00285CEF">
        <w:rPr>
          <w:bCs/>
          <w:sz w:val="22"/>
          <w:szCs w:val="22"/>
          <w:u w:val="single"/>
          <w:lang w:val="sr-Latn-ME"/>
        </w:rPr>
        <w:t xml:space="preserve"> u kombinaciji sa </w:t>
      </w:r>
      <w:proofErr w:type="spellStart"/>
      <w:r w:rsidR="00513350" w:rsidRPr="00285CEF">
        <w:rPr>
          <w:bCs/>
          <w:sz w:val="22"/>
          <w:szCs w:val="22"/>
          <w:u w:val="single"/>
          <w:lang w:val="sr-Latn-ME"/>
        </w:rPr>
        <w:t>vemurafenibom</w:t>
      </w:r>
      <w:proofErr w:type="spellEnd"/>
      <w:r w:rsidR="00513350" w:rsidRPr="00285CEF">
        <w:rPr>
          <w:bCs/>
          <w:sz w:val="22"/>
          <w:szCs w:val="22"/>
          <w:u w:val="single"/>
          <w:lang w:val="sr-Latn-ME"/>
        </w:rPr>
        <w:t xml:space="preserve"> kod pacijenata koji su imali progresiju bolesti tokom liječenja BRAF </w:t>
      </w:r>
      <w:proofErr w:type="spellStart"/>
      <w:r w:rsidR="00513350" w:rsidRPr="00285CEF">
        <w:rPr>
          <w:bCs/>
          <w:sz w:val="22"/>
          <w:szCs w:val="22"/>
          <w:u w:val="single"/>
          <w:lang w:val="sr-Latn-ME"/>
        </w:rPr>
        <w:t>inhibitorom</w:t>
      </w:r>
      <w:proofErr w:type="spellEnd"/>
      <w:r w:rsidR="00513350" w:rsidRPr="00285CEF">
        <w:rPr>
          <w:bCs/>
          <w:sz w:val="22"/>
          <w:szCs w:val="22"/>
          <w:u w:val="single"/>
          <w:lang w:val="sr-Latn-ME"/>
        </w:rPr>
        <w:t xml:space="preserve">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Ograničeni su podaci o primjeni kombinacije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kod pacijenata koji su imali progresiju bolesti tokom prethodnog liječenja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. Ti podaci pokazuju da će efikasnost ove kombinacije biti manja kod tih pacijenata (vidjeti </w:t>
      </w:r>
      <w:r w:rsidR="00CC3B0C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 xml:space="preserve">5.1). Zbog toga je prije liječenja ovom kombinacijom u toj populaciji pacijenata prethodno liječenih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potrebno razmotriti druge mogućnosti liječenja. </w:t>
      </w:r>
      <w:proofErr w:type="spellStart"/>
      <w:r w:rsidRPr="00285CEF">
        <w:rPr>
          <w:bCs/>
          <w:sz w:val="22"/>
          <w:szCs w:val="22"/>
          <w:lang w:val="sr-Latn-ME"/>
        </w:rPr>
        <w:t>Redosljed</w:t>
      </w:r>
      <w:proofErr w:type="spellEnd"/>
      <w:r w:rsidRPr="00285CEF">
        <w:rPr>
          <w:bCs/>
          <w:sz w:val="22"/>
          <w:szCs w:val="22"/>
          <w:lang w:val="sr-Latn-ME"/>
        </w:rPr>
        <w:t xml:space="preserve"> liječenja nakon progresije tokom terapije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nije utvrđen.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 </w:t>
      </w:r>
    </w:p>
    <w:p w:rsidR="00513350" w:rsidRPr="00285CEF" w:rsidRDefault="00CC3B0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Lijek </w:t>
      </w:r>
      <w:proofErr w:type="spellStart"/>
      <w:r w:rsidR="00513350" w:rsidRPr="00285CEF">
        <w:rPr>
          <w:bCs/>
          <w:sz w:val="22"/>
          <w:szCs w:val="22"/>
          <w:u w:val="single"/>
          <w:lang w:val="sr-Latn-ME"/>
        </w:rPr>
        <w:t>Cotellic</w:t>
      </w:r>
      <w:proofErr w:type="spellEnd"/>
      <w:r w:rsidR="00513350" w:rsidRPr="00285CEF">
        <w:rPr>
          <w:bCs/>
          <w:sz w:val="22"/>
          <w:szCs w:val="22"/>
          <w:u w:val="single"/>
          <w:lang w:val="sr-Latn-ME"/>
        </w:rPr>
        <w:t xml:space="preserve"> u kombinaciji sa </w:t>
      </w:r>
      <w:proofErr w:type="spellStart"/>
      <w:r w:rsidR="00513350" w:rsidRPr="00285CEF">
        <w:rPr>
          <w:bCs/>
          <w:sz w:val="22"/>
          <w:szCs w:val="22"/>
          <w:u w:val="single"/>
          <w:lang w:val="sr-Latn-ME"/>
        </w:rPr>
        <w:t>vemurafenibom</w:t>
      </w:r>
      <w:proofErr w:type="spellEnd"/>
      <w:r w:rsidR="00513350" w:rsidRPr="00285CEF">
        <w:rPr>
          <w:bCs/>
          <w:sz w:val="22"/>
          <w:szCs w:val="22"/>
          <w:u w:val="single"/>
          <w:lang w:val="sr-Latn-ME"/>
        </w:rPr>
        <w:t xml:space="preserve"> kod pacijenata sa moždanim metastazama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EE629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lastRenderedPageBreak/>
        <w:t>Ograničeni podaci ukazuju da je b</w:t>
      </w:r>
      <w:r w:rsidR="00513350" w:rsidRPr="00285CEF">
        <w:rPr>
          <w:bCs/>
          <w:sz w:val="22"/>
          <w:szCs w:val="22"/>
          <w:lang w:val="sr-Latn-ME"/>
        </w:rPr>
        <w:t xml:space="preserve">ezbjednost i efikasnost kombinacije lijeka </w:t>
      </w:r>
      <w:proofErr w:type="spellStart"/>
      <w:r w:rsidR="00513350" w:rsidRPr="00285CEF">
        <w:rPr>
          <w:bCs/>
          <w:sz w:val="22"/>
          <w:szCs w:val="22"/>
          <w:lang w:val="sr-Latn-ME"/>
        </w:rPr>
        <w:t>Cotellic</w:t>
      </w:r>
      <w:proofErr w:type="spellEnd"/>
      <w:r w:rsidR="00513350"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="00513350" w:rsidRPr="00285CEF">
        <w:rPr>
          <w:bCs/>
          <w:sz w:val="22"/>
          <w:szCs w:val="22"/>
          <w:lang w:val="sr-Latn-ME"/>
        </w:rPr>
        <w:t>vemurafeniba</w:t>
      </w:r>
      <w:proofErr w:type="spellEnd"/>
      <w:r w:rsidR="00513350" w:rsidRPr="00285CEF">
        <w:rPr>
          <w:bCs/>
          <w:sz w:val="22"/>
          <w:szCs w:val="22"/>
          <w:lang w:val="sr-Latn-ME"/>
        </w:rPr>
        <w:t xml:space="preserve"> kod pacijenata sa </w:t>
      </w:r>
      <w:proofErr w:type="spellStart"/>
      <w:r w:rsidR="00513350" w:rsidRPr="00285CEF">
        <w:rPr>
          <w:bCs/>
          <w:sz w:val="22"/>
          <w:szCs w:val="22"/>
          <w:lang w:val="sr-Latn-ME"/>
        </w:rPr>
        <w:t>melanomom</w:t>
      </w:r>
      <w:proofErr w:type="spellEnd"/>
      <w:r w:rsidR="00513350" w:rsidRPr="00285CEF">
        <w:rPr>
          <w:bCs/>
          <w:sz w:val="22"/>
          <w:szCs w:val="22"/>
          <w:lang w:val="sr-Latn-ME"/>
        </w:rPr>
        <w:t xml:space="preserve"> pozitivnim na mutaciju BRAF V600 koji je metastazirao u mozak</w:t>
      </w:r>
      <w:r w:rsidRPr="00285CEF">
        <w:rPr>
          <w:bCs/>
          <w:sz w:val="22"/>
          <w:szCs w:val="22"/>
          <w:lang w:val="sr-Latn-ME"/>
        </w:rPr>
        <w:t xml:space="preserve"> u skladu sa </w:t>
      </w:r>
      <w:proofErr w:type="spellStart"/>
      <w:r w:rsidRPr="00285CEF">
        <w:rPr>
          <w:bCs/>
          <w:sz w:val="22"/>
          <w:szCs w:val="22"/>
          <w:lang w:val="sr-Latn-ME"/>
        </w:rPr>
        <w:t>bezbjednosnim</w:t>
      </w:r>
      <w:proofErr w:type="spellEnd"/>
      <w:r w:rsidRPr="00285CEF">
        <w:rPr>
          <w:bCs/>
          <w:sz w:val="22"/>
          <w:szCs w:val="22"/>
          <w:lang w:val="sr-Latn-ME"/>
        </w:rPr>
        <w:t xml:space="preserve"> profilom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. Kod tih pacijenata nije procijenjena efikasnost kombinacije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="00513350" w:rsidRPr="00285CEF">
        <w:rPr>
          <w:bCs/>
          <w:sz w:val="22"/>
          <w:szCs w:val="22"/>
          <w:lang w:val="sr-Latn-ME"/>
        </w:rPr>
        <w:t xml:space="preserve">. </w:t>
      </w:r>
      <w:proofErr w:type="spellStart"/>
      <w:r w:rsidR="00513350" w:rsidRPr="00285CEF">
        <w:rPr>
          <w:bCs/>
          <w:sz w:val="22"/>
          <w:szCs w:val="22"/>
          <w:lang w:val="sr-Latn-ME"/>
        </w:rPr>
        <w:t>Intrakranijalno</w:t>
      </w:r>
      <w:proofErr w:type="spellEnd"/>
      <w:r w:rsidR="00513350" w:rsidRPr="00285CEF">
        <w:rPr>
          <w:bCs/>
          <w:sz w:val="22"/>
          <w:szCs w:val="22"/>
          <w:lang w:val="sr-Latn-ME"/>
        </w:rPr>
        <w:t xml:space="preserve"> djelovanje </w:t>
      </w:r>
      <w:r w:rsidRPr="00285CEF">
        <w:rPr>
          <w:bCs/>
          <w:sz w:val="22"/>
          <w:szCs w:val="22"/>
          <w:lang w:val="sr-Latn-ME"/>
        </w:rPr>
        <w:t xml:space="preserve">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="00513350" w:rsidRPr="00285CEF">
        <w:rPr>
          <w:bCs/>
          <w:sz w:val="22"/>
          <w:szCs w:val="22"/>
          <w:lang w:val="sr-Latn-ME"/>
        </w:rPr>
        <w:t xml:space="preserve"> nije poznato (vidjeti </w:t>
      </w:r>
      <w:r w:rsidR="00CC3B0C" w:rsidRPr="00285CEF">
        <w:rPr>
          <w:bCs/>
          <w:sz w:val="22"/>
          <w:szCs w:val="22"/>
          <w:lang w:val="sr-Latn-ME"/>
        </w:rPr>
        <w:t xml:space="preserve">djelove </w:t>
      </w:r>
      <w:r w:rsidR="00513350" w:rsidRPr="00285CEF">
        <w:rPr>
          <w:bCs/>
          <w:sz w:val="22"/>
          <w:szCs w:val="22"/>
          <w:lang w:val="sr-Latn-ME"/>
        </w:rPr>
        <w:t>5.1 i 5.2).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513350" w:rsidRPr="00285CEF" w:rsidRDefault="00EF6AE2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Hemoragija</w:t>
      </w: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Mogu </w:t>
      </w:r>
      <w:r w:rsidR="00EF6AE2" w:rsidRPr="00285CEF">
        <w:rPr>
          <w:bCs/>
          <w:sz w:val="22"/>
          <w:szCs w:val="22"/>
          <w:lang w:val="sr-Latn-ME"/>
        </w:rPr>
        <w:t xml:space="preserve">se javiti </w:t>
      </w:r>
      <w:r w:rsidRPr="00285CEF">
        <w:rPr>
          <w:bCs/>
          <w:sz w:val="22"/>
          <w:szCs w:val="22"/>
          <w:lang w:val="sr-Latn-ME"/>
        </w:rPr>
        <w:t>događaji krvarenja, uključujući događaje većeg krvarenja (vidjeti dio 4.8).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Potreban je oprez kod pacijenata sa dodatnim rizičnim faktorima za krvarenje, kao što su moždane metastaze, i/ili kod pacijenata koji istovremeno uzimaju ljekove koji povećavaju rizik od krvarenja (uključujući </w:t>
      </w:r>
      <w:proofErr w:type="spellStart"/>
      <w:r w:rsidRPr="00285CEF">
        <w:rPr>
          <w:bCs/>
          <w:sz w:val="22"/>
          <w:szCs w:val="22"/>
          <w:lang w:val="sr-Latn-ME"/>
        </w:rPr>
        <w:t>antitrombocitne</w:t>
      </w:r>
      <w:proofErr w:type="spellEnd"/>
      <w:r w:rsidRPr="00285CEF">
        <w:rPr>
          <w:bCs/>
          <w:sz w:val="22"/>
          <w:szCs w:val="22"/>
          <w:lang w:val="sr-Latn-ME"/>
        </w:rPr>
        <w:t xml:space="preserve"> ljekove ili </w:t>
      </w:r>
      <w:proofErr w:type="spellStart"/>
      <w:r w:rsidRPr="00285CEF">
        <w:rPr>
          <w:bCs/>
          <w:sz w:val="22"/>
          <w:szCs w:val="22"/>
          <w:lang w:val="sr-Latn-ME"/>
        </w:rPr>
        <w:t>antikoagulanse</w:t>
      </w:r>
      <w:proofErr w:type="spellEnd"/>
      <w:r w:rsidRPr="00285CEF">
        <w:rPr>
          <w:bCs/>
          <w:sz w:val="22"/>
          <w:szCs w:val="22"/>
          <w:lang w:val="sr-Latn-ME"/>
        </w:rPr>
        <w:t xml:space="preserve">). Za </w:t>
      </w:r>
      <w:r w:rsidR="00016161" w:rsidRPr="00285CEF">
        <w:rPr>
          <w:bCs/>
          <w:sz w:val="22"/>
          <w:szCs w:val="22"/>
          <w:lang w:val="sr-Latn-ME"/>
        </w:rPr>
        <w:t xml:space="preserve">zbrinjavanje </w:t>
      </w:r>
      <w:r w:rsidRPr="00285CEF">
        <w:rPr>
          <w:bCs/>
          <w:sz w:val="22"/>
          <w:szCs w:val="22"/>
          <w:lang w:val="sr-Latn-ME"/>
        </w:rPr>
        <w:t xml:space="preserve">krvarenja vidjeti dio 4.2.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285CEF">
        <w:rPr>
          <w:bCs/>
          <w:sz w:val="22"/>
          <w:szCs w:val="22"/>
          <w:u w:val="single"/>
          <w:lang w:val="sr-Latn-ME"/>
        </w:rPr>
        <w:t>Serozna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u w:val="single"/>
          <w:lang w:val="sr-Latn-ME"/>
        </w:rPr>
        <w:t>retinopatija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</w:t>
      </w:r>
    </w:p>
    <w:p w:rsidR="00CC3B0C" w:rsidRPr="00285CEF" w:rsidRDefault="00CC3B0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Kod pacijenata liječenih MEK </w:t>
      </w:r>
      <w:proofErr w:type="spellStart"/>
      <w:r w:rsidRPr="00285CEF">
        <w:rPr>
          <w:bCs/>
          <w:sz w:val="22"/>
          <w:szCs w:val="22"/>
          <w:lang w:val="sr-Latn-ME"/>
        </w:rPr>
        <w:t>inhibitorima</w:t>
      </w:r>
      <w:proofErr w:type="spellEnd"/>
      <w:r w:rsidRPr="00285CEF">
        <w:rPr>
          <w:bCs/>
          <w:sz w:val="22"/>
          <w:szCs w:val="22"/>
          <w:lang w:val="sr-Latn-ME"/>
        </w:rPr>
        <w:t xml:space="preserve">, uključujući </w:t>
      </w:r>
      <w:r w:rsidR="00764E3B"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>, prim</w:t>
      </w:r>
      <w:r w:rsidR="00764E3B" w:rsidRPr="00285CEF">
        <w:rPr>
          <w:bCs/>
          <w:sz w:val="22"/>
          <w:szCs w:val="22"/>
          <w:lang w:val="sr-Latn-ME"/>
        </w:rPr>
        <w:t>i</w:t>
      </w:r>
      <w:r w:rsidRPr="00285CEF">
        <w:rPr>
          <w:bCs/>
          <w:sz w:val="22"/>
          <w:szCs w:val="22"/>
          <w:lang w:val="sr-Latn-ME"/>
        </w:rPr>
        <w:t xml:space="preserve">jećena je </w:t>
      </w:r>
      <w:proofErr w:type="spellStart"/>
      <w:r w:rsidRPr="00285CEF">
        <w:rPr>
          <w:bCs/>
          <w:sz w:val="22"/>
          <w:szCs w:val="22"/>
          <w:lang w:val="sr-Latn-ME"/>
        </w:rPr>
        <w:t>serozna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retinopatija</w:t>
      </w:r>
      <w:proofErr w:type="spellEnd"/>
      <w:r w:rsidRPr="00285CEF">
        <w:rPr>
          <w:bCs/>
          <w:sz w:val="22"/>
          <w:szCs w:val="22"/>
          <w:lang w:val="sr-Latn-ME"/>
        </w:rPr>
        <w:t xml:space="preserve"> (nakupljanje tečnosti unutar slojeva mrežnjače) (vidjeti </w:t>
      </w:r>
      <w:r w:rsidR="00764E3B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 xml:space="preserve">4.8). Većina događaja prijavljena je kao </w:t>
      </w:r>
      <w:proofErr w:type="spellStart"/>
      <w:r w:rsidRPr="00285CEF">
        <w:rPr>
          <w:bCs/>
          <w:sz w:val="22"/>
          <w:szCs w:val="22"/>
          <w:lang w:val="sr-Latn-ME"/>
        </w:rPr>
        <w:t>horioretinopatija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odvajanje mrežnjače.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vremena</w:t>
      </w:r>
      <w:proofErr w:type="spellEnd"/>
      <w:r w:rsidRPr="00285CEF">
        <w:rPr>
          <w:bCs/>
          <w:sz w:val="22"/>
          <w:szCs w:val="22"/>
          <w:lang w:val="sr-Latn-ME"/>
        </w:rPr>
        <w:t xml:space="preserve"> do prvog nastupa događaja </w:t>
      </w:r>
      <w:proofErr w:type="spellStart"/>
      <w:r w:rsidRPr="00285CEF">
        <w:rPr>
          <w:bCs/>
          <w:sz w:val="22"/>
          <w:szCs w:val="22"/>
          <w:lang w:val="sr-Latn-ME"/>
        </w:rPr>
        <w:t>serozne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retinopatije</w:t>
      </w:r>
      <w:proofErr w:type="spellEnd"/>
      <w:r w:rsidRPr="00285CEF">
        <w:rPr>
          <w:bCs/>
          <w:sz w:val="22"/>
          <w:szCs w:val="22"/>
          <w:lang w:val="sr-Latn-ME"/>
        </w:rPr>
        <w:t xml:space="preserve"> iznosila je 1 mjesec (raspon: 0 -  9 mjeseci). Većina događaja </w:t>
      </w:r>
      <w:proofErr w:type="spellStart"/>
      <w:r w:rsidRPr="00285CEF">
        <w:rPr>
          <w:bCs/>
          <w:sz w:val="22"/>
          <w:szCs w:val="22"/>
          <w:lang w:val="sr-Latn-ME"/>
        </w:rPr>
        <w:t>prim</w:t>
      </w:r>
      <w:r w:rsidR="00764E3B" w:rsidRPr="00285CEF">
        <w:rPr>
          <w:bCs/>
          <w:sz w:val="22"/>
          <w:szCs w:val="22"/>
          <w:lang w:val="sr-Latn-ME"/>
        </w:rPr>
        <w:t>i</w:t>
      </w:r>
      <w:r w:rsidRPr="00285CEF">
        <w:rPr>
          <w:bCs/>
          <w:sz w:val="22"/>
          <w:szCs w:val="22"/>
          <w:lang w:val="sr-Latn-ME"/>
        </w:rPr>
        <w:t>jećenih</w:t>
      </w:r>
      <w:proofErr w:type="spellEnd"/>
      <w:r w:rsidRPr="00285CEF">
        <w:rPr>
          <w:bCs/>
          <w:sz w:val="22"/>
          <w:szCs w:val="22"/>
          <w:lang w:val="sr-Latn-ME"/>
        </w:rPr>
        <w:t xml:space="preserve"> u kliničkim ispitivanjima se povukla ili poboljšala do </w:t>
      </w:r>
      <w:proofErr w:type="spellStart"/>
      <w:r w:rsidRPr="00285CEF">
        <w:rPr>
          <w:bCs/>
          <w:sz w:val="22"/>
          <w:szCs w:val="22"/>
          <w:lang w:val="sr-Latn-ME"/>
        </w:rPr>
        <w:t>asimptomatskog</w:t>
      </w:r>
      <w:proofErr w:type="spellEnd"/>
      <w:r w:rsidRPr="00285CEF">
        <w:rPr>
          <w:bCs/>
          <w:sz w:val="22"/>
          <w:szCs w:val="22"/>
          <w:lang w:val="sr-Latn-ME"/>
        </w:rPr>
        <w:t xml:space="preserve"> 1.  stepena nakon privremenog prekida primjene ili smanjenja doze. 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Pacijente je potrebno pregledati pri svakoj posjeti</w:t>
      </w:r>
      <w:r w:rsidR="00764E3B" w:rsidRPr="00285CEF">
        <w:rPr>
          <w:bCs/>
          <w:sz w:val="22"/>
          <w:szCs w:val="22"/>
          <w:lang w:val="sr-Latn-ME"/>
        </w:rPr>
        <w:t>,</w:t>
      </w:r>
      <w:r w:rsidRPr="00285CEF">
        <w:rPr>
          <w:bCs/>
          <w:sz w:val="22"/>
          <w:szCs w:val="22"/>
          <w:lang w:val="sr-Latn-ME"/>
        </w:rPr>
        <w:t xml:space="preserve"> kako bi se utvrdili mogući simptomi novih ili pogoršanje postojećih poremećaja vida. Ako se utvrde simptomi novih ili pogoršanje postojećih poremećaja vida, preporučuje se </w:t>
      </w:r>
      <w:proofErr w:type="spellStart"/>
      <w:r w:rsidRPr="00285CEF">
        <w:rPr>
          <w:bCs/>
          <w:sz w:val="22"/>
          <w:szCs w:val="22"/>
          <w:lang w:val="sr-Latn-ME"/>
        </w:rPr>
        <w:t>oftalmološki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pregled</w:t>
      </w:r>
      <w:proofErr w:type="spellEnd"/>
      <w:r w:rsidRPr="00285CEF">
        <w:rPr>
          <w:bCs/>
          <w:sz w:val="22"/>
          <w:szCs w:val="22"/>
          <w:lang w:val="sr-Latn-ME"/>
        </w:rPr>
        <w:t xml:space="preserve">. Ako se </w:t>
      </w:r>
      <w:proofErr w:type="spellStart"/>
      <w:r w:rsidRPr="00285CEF">
        <w:rPr>
          <w:bCs/>
          <w:sz w:val="22"/>
          <w:szCs w:val="22"/>
          <w:lang w:val="sr-Latn-ME"/>
        </w:rPr>
        <w:t>dijagnostifikuje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serozna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retinopatija</w:t>
      </w:r>
      <w:proofErr w:type="spellEnd"/>
      <w:r w:rsidRPr="00285CEF">
        <w:rPr>
          <w:bCs/>
          <w:sz w:val="22"/>
          <w:szCs w:val="22"/>
          <w:lang w:val="sr-Latn-ME"/>
        </w:rPr>
        <w:t xml:space="preserve">,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odložiti dok se </w:t>
      </w:r>
      <w:r w:rsidR="00016161" w:rsidRPr="00285CEF">
        <w:rPr>
          <w:bCs/>
          <w:sz w:val="22"/>
          <w:szCs w:val="22"/>
          <w:lang w:val="sr-Latn-ME"/>
        </w:rPr>
        <w:t xml:space="preserve">vizuelni </w:t>
      </w:r>
      <w:r w:rsidRPr="00285CEF">
        <w:rPr>
          <w:bCs/>
          <w:sz w:val="22"/>
          <w:szCs w:val="22"/>
          <w:lang w:val="sr-Latn-ME"/>
        </w:rPr>
        <w:t xml:space="preserve">simptomi ne poboljšaju do ≤ 1. stepena. </w:t>
      </w:r>
      <w:proofErr w:type="spellStart"/>
      <w:r w:rsidRPr="00285CEF">
        <w:rPr>
          <w:bCs/>
          <w:sz w:val="22"/>
          <w:szCs w:val="22"/>
          <w:lang w:val="sr-Latn-ME"/>
        </w:rPr>
        <w:t>Serozna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retinopatija</w:t>
      </w:r>
      <w:proofErr w:type="spellEnd"/>
      <w:r w:rsidRPr="00285CEF">
        <w:rPr>
          <w:bCs/>
          <w:sz w:val="22"/>
          <w:szCs w:val="22"/>
          <w:lang w:val="sr-Latn-ME"/>
        </w:rPr>
        <w:t xml:space="preserve"> može se zbrinuti privremenim prekidom primjene, smanjenjem doze ili trajnom obustavom liječenja (vidjeti Tabelu 1 u dijelu 4.2).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285CEF">
        <w:rPr>
          <w:bCs/>
          <w:sz w:val="22"/>
          <w:szCs w:val="22"/>
          <w:u w:val="single"/>
          <w:lang w:val="sr-Latn-ME"/>
        </w:rPr>
        <w:t>Disfunkcija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lijeve komore </w:t>
      </w:r>
    </w:p>
    <w:p w:rsidR="00E77C1F" w:rsidRPr="00285CEF" w:rsidRDefault="00E77C1F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Kod pacijenata liječenih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prijavljeno je smanjenje LVEF a u odnosu na početnu vrijednost (vidjeti </w:t>
      </w:r>
      <w:r w:rsidR="00DD65CE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 xml:space="preserve">4.8). </w:t>
      </w: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vremena</w:t>
      </w:r>
      <w:proofErr w:type="spellEnd"/>
      <w:r w:rsidRPr="00285CEF">
        <w:rPr>
          <w:bCs/>
          <w:sz w:val="22"/>
          <w:szCs w:val="22"/>
          <w:lang w:val="sr-Latn-ME"/>
        </w:rPr>
        <w:t xml:space="preserve"> do prvog nastupa događaja iznosila je 4 mjeseca (raspon: 1 – 13 mjeseci).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LVEF je potrebno procijeniti prije početka liječenja radi utvrđivanja početnih vrijednosti, onda nakon prvog mjeseca liječenja, a zatim najmanje svaka 3 mjeseca ili u skladu sa kliničkom indikacijom do prekida liječenja. Smanjenje LVEF-a od početne vrijednosti može se zbrinuti privremenim prekidom primjene, smanjenjem doze ili trajnom obustavom liječenja (vidjeti </w:t>
      </w:r>
      <w:r w:rsidR="00DD65CE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>4.2).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Kod svih pacijenata koji nastave liječenje smanjenom dozom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, potrebno je odrediti LVEF nakon približno 2 nedjelje, 4 nedjelje, 10 nedjelja i 16 nedjelja, a zatim u skladu sa kliničkom indikacijom.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Pacijenti sa početnim LVEF-om ispod donje granice normale (DGN) koju propisuje ustanova ili ispod 50% nijesu ispitivani u kliničkim ispitivanjima. 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Odstupanja u laboratorijskim vrijednostima parametara jetre</w:t>
      </w:r>
    </w:p>
    <w:p w:rsidR="00513350" w:rsidRPr="00285CEF" w:rsidRDefault="00513350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Odstupanja u laboratorijskim vrijednostima parametara jetre mogu da nastanu kada se </w:t>
      </w:r>
      <w:r w:rsidR="00897159"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primjenjuje u kombinaciji sa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="00897159" w:rsidRPr="00285CEF">
        <w:rPr>
          <w:bCs/>
          <w:sz w:val="22"/>
          <w:szCs w:val="22"/>
          <w:lang w:val="sr-Latn-ME"/>
        </w:rPr>
        <w:t>,</w:t>
      </w:r>
      <w:r w:rsidRPr="00285CEF">
        <w:rPr>
          <w:bCs/>
          <w:sz w:val="22"/>
          <w:szCs w:val="22"/>
          <w:lang w:val="sr-Latn-ME"/>
        </w:rPr>
        <w:t xml:space="preserve"> kao i kod </w:t>
      </w:r>
      <w:proofErr w:type="spellStart"/>
      <w:r w:rsidRPr="00285CEF">
        <w:rPr>
          <w:bCs/>
          <w:sz w:val="22"/>
          <w:szCs w:val="22"/>
          <w:lang w:val="sr-Latn-ME"/>
        </w:rPr>
        <w:t>monoterapije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(vidjeti Sažetak karakteristika lijeka za </w:t>
      </w:r>
      <w:proofErr w:type="spellStart"/>
      <w:r w:rsidRPr="00285CEF">
        <w:rPr>
          <w:bCs/>
          <w:sz w:val="22"/>
          <w:szCs w:val="22"/>
          <w:lang w:val="sr-Latn-ME"/>
        </w:rPr>
        <w:t>vemurafenib</w:t>
      </w:r>
      <w:proofErr w:type="spellEnd"/>
      <w:r w:rsidRPr="00285CEF">
        <w:rPr>
          <w:bCs/>
          <w:sz w:val="22"/>
          <w:szCs w:val="22"/>
          <w:lang w:val="sr-Latn-ME"/>
        </w:rPr>
        <w:t xml:space="preserve">).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lastRenderedPageBreak/>
        <w:t xml:space="preserve">Kod pacijenata liječenih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sa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primijećena su odstupanja u laboratorijskim vrijednostima parametara jetre, naročito povišene vrijednosti </w:t>
      </w:r>
      <w:proofErr w:type="spellStart"/>
      <w:r w:rsidRPr="00285CEF">
        <w:rPr>
          <w:bCs/>
          <w:sz w:val="22"/>
          <w:szCs w:val="22"/>
          <w:lang w:val="sr-Latn-ME"/>
        </w:rPr>
        <w:t>alanin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aminotransferaze</w:t>
      </w:r>
      <w:proofErr w:type="spellEnd"/>
      <w:r w:rsidRPr="00285CEF">
        <w:rPr>
          <w:bCs/>
          <w:sz w:val="22"/>
          <w:szCs w:val="22"/>
          <w:lang w:val="sr-Latn-ME"/>
        </w:rPr>
        <w:t xml:space="preserve"> (ALT), </w:t>
      </w:r>
      <w:proofErr w:type="spellStart"/>
      <w:r w:rsidRPr="00285CEF">
        <w:rPr>
          <w:bCs/>
          <w:sz w:val="22"/>
          <w:szCs w:val="22"/>
          <w:lang w:val="sr-Latn-ME"/>
        </w:rPr>
        <w:t>aspartat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aminotransferaze</w:t>
      </w:r>
      <w:proofErr w:type="spellEnd"/>
      <w:r w:rsidRPr="00285CEF">
        <w:rPr>
          <w:bCs/>
          <w:sz w:val="22"/>
          <w:szCs w:val="22"/>
          <w:lang w:val="sr-Latn-ME"/>
        </w:rPr>
        <w:t xml:space="preserve"> (AST) i alkalne </w:t>
      </w:r>
      <w:proofErr w:type="spellStart"/>
      <w:r w:rsidRPr="00285CEF">
        <w:rPr>
          <w:bCs/>
          <w:sz w:val="22"/>
          <w:szCs w:val="22"/>
          <w:lang w:val="sr-Latn-ME"/>
        </w:rPr>
        <w:t>fosfataze</w:t>
      </w:r>
      <w:proofErr w:type="spellEnd"/>
      <w:r w:rsidRPr="00285CEF">
        <w:rPr>
          <w:bCs/>
          <w:sz w:val="22"/>
          <w:szCs w:val="22"/>
          <w:lang w:val="sr-Latn-ME"/>
        </w:rPr>
        <w:t xml:space="preserve"> (ALP) (vidjeti </w:t>
      </w:r>
      <w:r w:rsidR="00897159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>4.8).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Odstupanja u laboratorijskim vrijednostima parametara jetre treba kontrolisati laboratorijskim analizama funkcije jetre prije početka kombinovanog liječenja i jednom mjesečno tokom liječenja ili češće, u skladu sa kliničkom indikacijom (vidjeti </w:t>
      </w:r>
      <w:r w:rsidR="00897159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>4.2).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Odstupanja u laboratorijskim vrijednostima parametara jetre 3. stepena treba zbrinuti privremenim prekidom liječenja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smanjenjem njegove doze. Odstupanja u laboratorijskim vrijednostima parametara jetre 4. stepena treba zbrinuti privremenim prekidom liječenja, smanjenjem doze ili trajnom obustavom liječenja i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(vidjeti </w:t>
      </w:r>
      <w:r w:rsidR="00897159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>4.2).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285CEF">
        <w:rPr>
          <w:bCs/>
          <w:sz w:val="22"/>
          <w:szCs w:val="22"/>
          <w:u w:val="single"/>
          <w:lang w:val="sr-Latn-ME"/>
        </w:rPr>
        <w:t>Rabdomioliza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i povišene vrijednosti CPK-a: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Kod pacijenata koji primaju </w:t>
      </w:r>
      <w:r w:rsidR="00591302"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prijavljena je </w:t>
      </w:r>
      <w:proofErr w:type="spellStart"/>
      <w:r w:rsidRPr="00285CEF">
        <w:rPr>
          <w:bCs/>
          <w:sz w:val="22"/>
          <w:szCs w:val="22"/>
          <w:lang w:val="sr-Latn-ME"/>
        </w:rPr>
        <w:t>rabdomioliza</w:t>
      </w:r>
      <w:proofErr w:type="spellEnd"/>
      <w:r w:rsidRPr="00285CEF">
        <w:rPr>
          <w:bCs/>
          <w:sz w:val="22"/>
          <w:szCs w:val="22"/>
          <w:lang w:val="sr-Latn-ME"/>
        </w:rPr>
        <w:t xml:space="preserve"> (vidjeti dio 4.8). 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Ako se </w:t>
      </w:r>
      <w:proofErr w:type="spellStart"/>
      <w:r w:rsidRPr="00285CEF">
        <w:rPr>
          <w:bCs/>
          <w:sz w:val="22"/>
          <w:szCs w:val="22"/>
          <w:lang w:val="sr-Latn-ME"/>
        </w:rPr>
        <w:t>rabdomioliza</w:t>
      </w:r>
      <w:proofErr w:type="spellEnd"/>
      <w:r w:rsidRPr="00285CEF">
        <w:rPr>
          <w:bCs/>
          <w:sz w:val="22"/>
          <w:szCs w:val="22"/>
          <w:lang w:val="sr-Latn-ME"/>
        </w:rPr>
        <w:t xml:space="preserve"> dijagnostikuje, liječenje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privremeno prekinuti, a vrijednosti CPK-a i druge simptome pratiti do povlačenja. Zavisno od težine </w:t>
      </w:r>
      <w:proofErr w:type="spellStart"/>
      <w:r w:rsidRPr="00285CEF">
        <w:rPr>
          <w:bCs/>
          <w:sz w:val="22"/>
          <w:szCs w:val="22"/>
          <w:lang w:val="sr-Latn-ME"/>
        </w:rPr>
        <w:t>rabdomiolize</w:t>
      </w:r>
      <w:proofErr w:type="spellEnd"/>
      <w:r w:rsidRPr="00285CEF">
        <w:rPr>
          <w:bCs/>
          <w:sz w:val="22"/>
          <w:szCs w:val="22"/>
          <w:lang w:val="sr-Latn-ME"/>
        </w:rPr>
        <w:t xml:space="preserve">, možda će biti potrebno smanjiti dozu ili trajno obustaviti liječenje (vidjeti dio 4.2).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Kod pacijenata koji su u kliničkim ispitivanjima primali </w:t>
      </w:r>
      <w:r w:rsidR="00591302" w:rsidRPr="00285CEF">
        <w:rPr>
          <w:bCs/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zajedno sa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javila su se i </w:t>
      </w:r>
      <w:r w:rsidR="00591302" w:rsidRPr="00285CEF">
        <w:rPr>
          <w:bCs/>
          <w:sz w:val="22"/>
          <w:szCs w:val="22"/>
          <w:lang w:val="sr-Latn-ME"/>
        </w:rPr>
        <w:t xml:space="preserve">povišene vrijednosti </w:t>
      </w:r>
      <w:r w:rsidRPr="00285CEF">
        <w:rPr>
          <w:bCs/>
          <w:sz w:val="22"/>
          <w:szCs w:val="22"/>
          <w:lang w:val="sr-Latn-ME"/>
        </w:rPr>
        <w:t xml:space="preserve">CPK 3. i 4. stepena, uključujući </w:t>
      </w:r>
      <w:proofErr w:type="spellStart"/>
      <w:r w:rsidRPr="00285CEF">
        <w:rPr>
          <w:bCs/>
          <w:sz w:val="22"/>
          <w:szCs w:val="22"/>
          <w:lang w:val="sr-Latn-ME"/>
        </w:rPr>
        <w:t>asimptomatska</w:t>
      </w:r>
      <w:proofErr w:type="spellEnd"/>
      <w:r w:rsidRPr="00285CEF">
        <w:rPr>
          <w:bCs/>
          <w:sz w:val="22"/>
          <w:szCs w:val="22"/>
          <w:lang w:val="sr-Latn-ME"/>
        </w:rPr>
        <w:t xml:space="preserve"> povišenja iznad početne vrijednosti (vidjeti dio 4.8). </w:t>
      </w: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vremena</w:t>
      </w:r>
      <w:proofErr w:type="spellEnd"/>
      <w:r w:rsidRPr="00285CEF">
        <w:rPr>
          <w:bCs/>
          <w:sz w:val="22"/>
          <w:szCs w:val="22"/>
          <w:lang w:val="sr-Latn-ME"/>
        </w:rPr>
        <w:t xml:space="preserve"> do </w:t>
      </w:r>
      <w:r w:rsidR="00591302" w:rsidRPr="00285CEF">
        <w:rPr>
          <w:bCs/>
          <w:sz w:val="22"/>
          <w:szCs w:val="22"/>
          <w:lang w:val="sr-Latn-ME"/>
        </w:rPr>
        <w:t xml:space="preserve">prve pojave povišene </w:t>
      </w:r>
      <w:r w:rsidRPr="00285CEF">
        <w:rPr>
          <w:bCs/>
          <w:sz w:val="22"/>
          <w:szCs w:val="22"/>
          <w:lang w:val="sr-Latn-ME"/>
        </w:rPr>
        <w:t xml:space="preserve">vrijednosti CPK-a 3. ili 4. stepena iznosila je 16 dana (raspon: 11 dana do 10 mjeseci); </w:t>
      </w: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vremena</w:t>
      </w:r>
      <w:proofErr w:type="spellEnd"/>
      <w:r w:rsidRPr="00285CEF">
        <w:rPr>
          <w:bCs/>
          <w:sz w:val="22"/>
          <w:szCs w:val="22"/>
          <w:lang w:val="sr-Latn-ME"/>
        </w:rPr>
        <w:t xml:space="preserve"> do potpunog povlačenja bila je 16 dana (raspon: 2 dana do 15 mjeseci).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Vrijednosti CPK-a i </w:t>
      </w:r>
      <w:proofErr w:type="spellStart"/>
      <w:r w:rsidRPr="00285CEF">
        <w:rPr>
          <w:bCs/>
          <w:sz w:val="22"/>
          <w:szCs w:val="22"/>
          <w:lang w:val="sr-Latn-ME"/>
        </w:rPr>
        <w:t>kreatinina</w:t>
      </w:r>
      <w:proofErr w:type="spellEnd"/>
      <w:r w:rsidRPr="00285CEF">
        <w:rPr>
          <w:bCs/>
          <w:sz w:val="22"/>
          <w:szCs w:val="22"/>
          <w:lang w:val="sr-Latn-ME"/>
        </w:rPr>
        <w:t xml:space="preserve"> u serumu treba izmjeriti prije započinjanja liječenja, kako bi se utvrdile početne vrijednosti, a zatim pratiti jednom mjesečno tokom liječenja ili u skladu sa kliničkom indikacijom. Ako su vrijednosti CPK u serumu povišene, treba provjeriti postoje li znaci i simptomi </w:t>
      </w:r>
      <w:proofErr w:type="spellStart"/>
      <w:r w:rsidRPr="00285CEF">
        <w:rPr>
          <w:bCs/>
          <w:sz w:val="22"/>
          <w:szCs w:val="22"/>
          <w:lang w:val="sr-Latn-ME"/>
        </w:rPr>
        <w:t>rabdmiolize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drugih uzroka. Zavisno od težine simptoma ili povišenja vrijednosti CPK-a, možda će biti potrebno privremeno prekinuti liječenje, smanjiti dozu ili trajno obustaviti liječenje (vidjeti dio 4.2).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Dijareja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Kod pacijenata liječenih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prijavljeni su slučajevi dijareje ≥ 3. stepena i ozbiljne dijareje. Dijareju treba zbrinuti </w:t>
      </w:r>
      <w:proofErr w:type="spellStart"/>
      <w:r w:rsidRPr="00285CEF">
        <w:rPr>
          <w:bCs/>
          <w:sz w:val="22"/>
          <w:szCs w:val="22"/>
          <w:lang w:val="sr-Latn-ME"/>
        </w:rPr>
        <w:t>antidijaroicima</w:t>
      </w:r>
      <w:proofErr w:type="spellEnd"/>
      <w:r w:rsidRPr="00285CEF">
        <w:rPr>
          <w:bCs/>
          <w:sz w:val="22"/>
          <w:szCs w:val="22"/>
          <w:lang w:val="sr-Latn-ME"/>
        </w:rPr>
        <w:t xml:space="preserve"> i potpornim liječenjem. Ako se uprkos potpornom liječenju razvije dijareja ≥ 3. stepena, primjenu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prekinuti sve dok se dijareja ne poboljša do ≤ 1. stepena. Ako se dijareja ≥ 3. stepena ponovno pojavi, potrebno je smanjiti doze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(vidjeti </w:t>
      </w:r>
      <w:r w:rsidR="001D0E17" w:rsidRPr="00285CEF">
        <w:rPr>
          <w:bCs/>
          <w:sz w:val="22"/>
          <w:szCs w:val="22"/>
          <w:lang w:val="sr-Latn-ME"/>
        </w:rPr>
        <w:t xml:space="preserve">dio </w:t>
      </w:r>
      <w:r w:rsidRPr="00285CEF">
        <w:rPr>
          <w:bCs/>
          <w:sz w:val="22"/>
          <w:szCs w:val="22"/>
          <w:lang w:val="sr-Latn-ME"/>
        </w:rPr>
        <w:t xml:space="preserve">4.2).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Interakcije između ljekova: </w:t>
      </w:r>
      <w:proofErr w:type="spellStart"/>
      <w:r w:rsidRPr="00285CEF">
        <w:rPr>
          <w:bCs/>
          <w:sz w:val="22"/>
          <w:szCs w:val="22"/>
          <w:u w:val="single"/>
          <w:lang w:val="sr-Latn-ME"/>
        </w:rPr>
        <w:t>Inhibitori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CYP3A4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Tokom liječenja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treba izbjegavati istovremenu primjenu snažnih </w:t>
      </w:r>
      <w:proofErr w:type="spellStart"/>
      <w:r w:rsidRPr="00285CEF">
        <w:rPr>
          <w:bCs/>
          <w:sz w:val="22"/>
          <w:szCs w:val="22"/>
          <w:lang w:val="sr-Latn-ME"/>
        </w:rPr>
        <w:t>inhibitora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CYP3A. Potreban je oprez ako se istovremeno sa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primjenjuje umjeren </w:t>
      </w:r>
      <w:proofErr w:type="spellStart"/>
      <w:r w:rsidRPr="00285CEF">
        <w:rPr>
          <w:bCs/>
          <w:sz w:val="22"/>
          <w:szCs w:val="22"/>
          <w:lang w:val="sr-Latn-ME"/>
        </w:rPr>
        <w:t>inhibitor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CYP3A4. Ako se istovremena primjena snažnog ili umjerenog </w:t>
      </w:r>
      <w:proofErr w:type="spellStart"/>
      <w:r w:rsidRPr="00285CEF">
        <w:rPr>
          <w:bCs/>
          <w:sz w:val="22"/>
          <w:szCs w:val="22"/>
          <w:lang w:val="sr-Latn-ME"/>
        </w:rPr>
        <w:t>inhibitora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 ne može izbjeći, pacijente je potrebno pažljivo nadgledati zbog mogućih neželjenih dejstava i prilagoditi dozu ako je to klinički </w:t>
      </w:r>
      <w:proofErr w:type="spellStart"/>
      <w:r w:rsidRPr="00285CEF">
        <w:rPr>
          <w:bCs/>
          <w:sz w:val="22"/>
          <w:szCs w:val="22"/>
          <w:lang w:val="sr-Latn-ME"/>
        </w:rPr>
        <w:t>indikovano</w:t>
      </w:r>
      <w:proofErr w:type="spellEnd"/>
      <w:r w:rsidRPr="00285CEF">
        <w:rPr>
          <w:bCs/>
          <w:sz w:val="22"/>
          <w:szCs w:val="22"/>
          <w:lang w:val="sr-Latn-ME"/>
        </w:rPr>
        <w:t xml:space="preserve"> (vidjeti Tabelu 1 u </w:t>
      </w:r>
      <w:r w:rsidR="007E5027" w:rsidRPr="00285CEF">
        <w:rPr>
          <w:bCs/>
          <w:sz w:val="22"/>
          <w:szCs w:val="22"/>
          <w:lang w:val="sr-Latn-ME"/>
        </w:rPr>
        <w:t xml:space="preserve">dijelu </w:t>
      </w:r>
      <w:r w:rsidRPr="00285CEF">
        <w:rPr>
          <w:bCs/>
          <w:sz w:val="22"/>
          <w:szCs w:val="22"/>
          <w:lang w:val="sr-Latn-ME"/>
        </w:rPr>
        <w:t xml:space="preserve">4.2).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Produženje QT intervala</w:t>
      </w: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Ako se tokom liječenja </w:t>
      </w:r>
      <w:proofErr w:type="spellStart"/>
      <w:r w:rsidRPr="00285CEF">
        <w:rPr>
          <w:bCs/>
          <w:sz w:val="22"/>
          <w:szCs w:val="22"/>
          <w:lang w:val="sr-Latn-ME"/>
        </w:rPr>
        <w:t>QTc</w:t>
      </w:r>
      <w:proofErr w:type="spellEnd"/>
      <w:r w:rsidRPr="00285CEF">
        <w:rPr>
          <w:bCs/>
          <w:sz w:val="22"/>
          <w:szCs w:val="22"/>
          <w:lang w:val="sr-Latn-ME"/>
        </w:rPr>
        <w:t xml:space="preserve"> interval produži na više od 500 </w:t>
      </w:r>
      <w:proofErr w:type="spellStart"/>
      <w:r w:rsidRPr="00285CEF">
        <w:rPr>
          <w:bCs/>
          <w:sz w:val="22"/>
          <w:szCs w:val="22"/>
          <w:lang w:val="sr-Latn-ME"/>
        </w:rPr>
        <w:t>ms</w:t>
      </w:r>
      <w:proofErr w:type="spellEnd"/>
      <w:r w:rsidRPr="00285CEF">
        <w:rPr>
          <w:bCs/>
          <w:sz w:val="22"/>
          <w:szCs w:val="22"/>
          <w:lang w:val="sr-Latn-ME"/>
        </w:rPr>
        <w:t xml:space="preserve">, vidjeti </w:t>
      </w:r>
      <w:r w:rsidR="00F304F3" w:rsidRPr="00285CEF">
        <w:rPr>
          <w:bCs/>
          <w:sz w:val="22"/>
          <w:szCs w:val="22"/>
          <w:lang w:val="sr-Latn-ME"/>
        </w:rPr>
        <w:t xml:space="preserve">djelove </w:t>
      </w:r>
      <w:r w:rsidRPr="00285CEF">
        <w:rPr>
          <w:bCs/>
          <w:sz w:val="22"/>
          <w:szCs w:val="22"/>
          <w:lang w:val="sr-Latn-ME"/>
        </w:rPr>
        <w:t xml:space="preserve">4.2 i 4.4 Sažetka karakteristika lijeka za </w:t>
      </w:r>
      <w:proofErr w:type="spellStart"/>
      <w:r w:rsidRPr="00285CEF">
        <w:rPr>
          <w:bCs/>
          <w:sz w:val="22"/>
          <w:szCs w:val="22"/>
          <w:lang w:val="sr-Latn-ME"/>
        </w:rPr>
        <w:t>vemurafenib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Pomoćne supstance</w:t>
      </w:r>
    </w:p>
    <w:p w:rsidR="00F304F3" w:rsidRPr="00285CEF" w:rsidRDefault="00F304F3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Ovaj lijek sadrži laktozu. Pacijenti sa rijetkim </w:t>
      </w:r>
      <w:proofErr w:type="spellStart"/>
      <w:r w:rsidRPr="00285CEF">
        <w:rPr>
          <w:bCs/>
          <w:sz w:val="22"/>
          <w:szCs w:val="22"/>
          <w:lang w:val="sr-Latn-ME"/>
        </w:rPr>
        <w:t>nasljednim</w:t>
      </w:r>
      <w:proofErr w:type="spellEnd"/>
      <w:r w:rsidRPr="00285CEF">
        <w:rPr>
          <w:bCs/>
          <w:sz w:val="22"/>
          <w:szCs w:val="22"/>
          <w:lang w:val="sr-Latn-ME"/>
        </w:rPr>
        <w:t xml:space="preserve"> problemima </w:t>
      </w:r>
      <w:proofErr w:type="spellStart"/>
      <w:r w:rsidRPr="00285CEF">
        <w:rPr>
          <w:bCs/>
          <w:sz w:val="22"/>
          <w:szCs w:val="22"/>
          <w:lang w:val="sr-Latn-ME"/>
        </w:rPr>
        <w:t>nepodnošenja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galaktoze</w:t>
      </w:r>
      <w:proofErr w:type="spellEnd"/>
      <w:r w:rsidRPr="00285CEF">
        <w:rPr>
          <w:bCs/>
          <w:sz w:val="22"/>
          <w:szCs w:val="22"/>
          <w:lang w:val="sr-Latn-ME"/>
        </w:rPr>
        <w:t xml:space="preserve">, urođenog nedostatka </w:t>
      </w:r>
      <w:proofErr w:type="spellStart"/>
      <w:r w:rsidRPr="00285CEF">
        <w:rPr>
          <w:bCs/>
          <w:sz w:val="22"/>
          <w:szCs w:val="22"/>
          <w:lang w:val="sr-Latn-ME"/>
        </w:rPr>
        <w:t>laktaze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</w:t>
      </w:r>
      <w:proofErr w:type="spellStart"/>
      <w:r w:rsidRPr="00285CEF">
        <w:rPr>
          <w:bCs/>
          <w:sz w:val="22"/>
          <w:szCs w:val="22"/>
          <w:lang w:val="sr-Latn-ME"/>
        </w:rPr>
        <w:t>malapsorpcije</w:t>
      </w:r>
      <w:proofErr w:type="spellEnd"/>
      <w:r w:rsidRPr="00285CEF">
        <w:rPr>
          <w:bCs/>
          <w:sz w:val="22"/>
          <w:szCs w:val="22"/>
          <w:lang w:val="sr-Latn-ME"/>
        </w:rPr>
        <w:t xml:space="preserve"> glukoze i </w:t>
      </w:r>
      <w:proofErr w:type="spellStart"/>
      <w:r w:rsidRPr="00285CEF">
        <w:rPr>
          <w:bCs/>
          <w:sz w:val="22"/>
          <w:szCs w:val="22"/>
          <w:lang w:val="sr-Latn-ME"/>
        </w:rPr>
        <w:t>galaktoze</w:t>
      </w:r>
      <w:proofErr w:type="spellEnd"/>
      <w:r w:rsidRPr="00285CEF">
        <w:rPr>
          <w:bCs/>
          <w:sz w:val="22"/>
          <w:szCs w:val="22"/>
          <w:lang w:val="sr-Latn-ME"/>
        </w:rPr>
        <w:t xml:space="preserve"> ne </w:t>
      </w:r>
      <w:r w:rsidR="00F304F3" w:rsidRPr="00285CEF">
        <w:rPr>
          <w:bCs/>
          <w:sz w:val="22"/>
          <w:szCs w:val="22"/>
          <w:lang w:val="sr-Latn-ME"/>
        </w:rPr>
        <w:t xml:space="preserve">smiju </w:t>
      </w:r>
      <w:r w:rsidRPr="00285CEF">
        <w:rPr>
          <w:bCs/>
          <w:sz w:val="22"/>
          <w:szCs w:val="22"/>
          <w:lang w:val="sr-Latn-ME"/>
        </w:rPr>
        <w:t>da uzimaju ovaj lijek.</w:t>
      </w: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06BAC" w:rsidRPr="00285CEF" w:rsidRDefault="00206BAC" w:rsidP="00A77B26">
      <w:pPr>
        <w:jc w:val="both"/>
        <w:rPr>
          <w:noProof/>
          <w:sz w:val="22"/>
          <w:szCs w:val="22"/>
          <w:lang w:val="sr-Latn-ME" w:eastAsia="ja-JP"/>
        </w:rPr>
      </w:pPr>
      <w:r w:rsidRPr="00285CEF">
        <w:rPr>
          <w:noProof/>
          <w:sz w:val="22"/>
          <w:szCs w:val="22"/>
          <w:lang w:val="sr-Latn-ME" w:eastAsia="ja-JP"/>
        </w:rPr>
        <w:t>Ovaj lijek sadrži manje od 1mmol natrijuma (23 mg) po tableti tj. suštinski je bez natrijuma.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85CEF" w:rsidRDefault="00411B4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>4.5.</w:t>
      </w:r>
      <w:r w:rsidR="000D60CC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Dejstvo drugih ljekova na </w:t>
      </w:r>
      <w:proofErr w:type="spellStart"/>
      <w:r w:rsidRPr="00285CEF">
        <w:rPr>
          <w:bCs/>
          <w:sz w:val="22"/>
          <w:szCs w:val="22"/>
          <w:u w:val="single"/>
          <w:lang w:val="sr-Latn-ME"/>
        </w:rPr>
        <w:t>kobimetinib</w:t>
      </w:r>
      <w:proofErr w:type="spellEnd"/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285CEF">
        <w:rPr>
          <w:bCs/>
          <w:i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CYP3A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Budući da se </w:t>
      </w: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metaboliše</w:t>
      </w:r>
      <w:proofErr w:type="spellEnd"/>
      <w:r w:rsidRPr="00285CEF">
        <w:rPr>
          <w:bCs/>
          <w:sz w:val="22"/>
          <w:szCs w:val="22"/>
          <w:lang w:val="sr-Latn-ME"/>
        </w:rPr>
        <w:t xml:space="preserve"> putem CYP3A, njegov </w:t>
      </w:r>
      <w:r w:rsidR="00D74729" w:rsidRPr="00285CEF">
        <w:rPr>
          <w:bCs/>
          <w:sz w:val="22"/>
          <w:szCs w:val="22"/>
          <w:lang w:val="sr-Latn-ME"/>
        </w:rPr>
        <w:t xml:space="preserve">PIK </w:t>
      </w:r>
      <w:r w:rsidRPr="00285CEF">
        <w:rPr>
          <w:bCs/>
          <w:sz w:val="22"/>
          <w:szCs w:val="22"/>
          <w:lang w:val="sr-Latn-ME"/>
        </w:rPr>
        <w:t xml:space="preserve">se povećao približno 7 puta kod primjene snažnog </w:t>
      </w:r>
      <w:proofErr w:type="spellStart"/>
      <w:r w:rsidRPr="00285CEF">
        <w:rPr>
          <w:bCs/>
          <w:sz w:val="22"/>
          <w:szCs w:val="22"/>
          <w:lang w:val="sr-Latn-ME"/>
        </w:rPr>
        <w:t>inhibitora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 (</w:t>
      </w:r>
      <w:proofErr w:type="spellStart"/>
      <w:r w:rsidRPr="00285CEF">
        <w:rPr>
          <w:bCs/>
          <w:sz w:val="22"/>
          <w:szCs w:val="22"/>
          <w:lang w:val="sr-Latn-ME"/>
        </w:rPr>
        <w:t>itrakonazola</w:t>
      </w:r>
      <w:proofErr w:type="spellEnd"/>
      <w:r w:rsidRPr="00285CEF">
        <w:rPr>
          <w:bCs/>
          <w:sz w:val="22"/>
          <w:szCs w:val="22"/>
          <w:lang w:val="sr-Latn-ME"/>
        </w:rPr>
        <w:t xml:space="preserve">) kod zdravih ispitanika. Opseg te interakcije mogao bi da bude manji kod pacijenata.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06BAC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Snažni </w:t>
      </w:r>
      <w:proofErr w:type="spellStart"/>
      <w:r w:rsidRPr="00285CEF">
        <w:rPr>
          <w:bCs/>
          <w:i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CYP3A (vidjeti </w:t>
      </w:r>
      <w:r w:rsidR="00D74729" w:rsidRPr="00285CEF">
        <w:rPr>
          <w:bCs/>
          <w:i/>
          <w:sz w:val="22"/>
          <w:szCs w:val="22"/>
          <w:lang w:val="sr-Latn-ME"/>
        </w:rPr>
        <w:t xml:space="preserve">dio </w:t>
      </w:r>
      <w:r w:rsidRPr="00285CEF">
        <w:rPr>
          <w:bCs/>
          <w:i/>
          <w:sz w:val="22"/>
          <w:szCs w:val="22"/>
          <w:lang w:val="sr-Latn-ME"/>
        </w:rPr>
        <w:t>4.4</w:t>
      </w:r>
      <w:r w:rsidRPr="00285CEF">
        <w:rPr>
          <w:bCs/>
          <w:sz w:val="22"/>
          <w:szCs w:val="22"/>
          <w:lang w:val="sr-Latn-ME"/>
        </w:rPr>
        <w:t>)</w:t>
      </w: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Tokom liječenja </w:t>
      </w:r>
      <w:proofErr w:type="spellStart"/>
      <w:r w:rsidRPr="00285CEF">
        <w:rPr>
          <w:bCs/>
          <w:sz w:val="22"/>
          <w:szCs w:val="22"/>
          <w:lang w:val="sr-Latn-ME"/>
        </w:rPr>
        <w:t>kobimetinibom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potrebno je da se izbjegava istovremena primjena snažnih </w:t>
      </w:r>
      <w:proofErr w:type="spellStart"/>
      <w:r w:rsidRPr="00285CEF">
        <w:rPr>
          <w:bCs/>
          <w:sz w:val="22"/>
          <w:szCs w:val="22"/>
          <w:lang w:val="sr-Latn-ME"/>
        </w:rPr>
        <w:t>inhibitora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CYP3A. Snažni </w:t>
      </w:r>
      <w:proofErr w:type="spellStart"/>
      <w:r w:rsidRPr="00285CEF">
        <w:rPr>
          <w:bCs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 uključuju, između ostalih, </w:t>
      </w:r>
      <w:proofErr w:type="spellStart"/>
      <w:r w:rsidRPr="00285CEF">
        <w:rPr>
          <w:bCs/>
          <w:sz w:val="22"/>
          <w:szCs w:val="22"/>
          <w:lang w:val="sr-Latn-ME"/>
        </w:rPr>
        <w:t>ritonavir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kobicistat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telaprevir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lopinavir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itrakonazol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vorikonazol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klaritromicin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telitromicin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posakonazol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nefazodon</w:t>
      </w:r>
      <w:proofErr w:type="spellEnd"/>
      <w:r w:rsidRPr="00285CEF">
        <w:rPr>
          <w:bCs/>
          <w:sz w:val="22"/>
          <w:szCs w:val="22"/>
          <w:lang w:val="sr-Latn-ME"/>
        </w:rPr>
        <w:t xml:space="preserve"> i sok od grejpfruta. Ako se </w:t>
      </w:r>
      <w:r w:rsidR="00D74729" w:rsidRPr="00285CEF">
        <w:rPr>
          <w:bCs/>
          <w:sz w:val="22"/>
          <w:szCs w:val="22"/>
          <w:lang w:val="sr-Latn-ME"/>
        </w:rPr>
        <w:t xml:space="preserve">istovremena </w:t>
      </w:r>
      <w:r w:rsidRPr="00285CEF">
        <w:rPr>
          <w:bCs/>
          <w:sz w:val="22"/>
          <w:szCs w:val="22"/>
          <w:lang w:val="sr-Latn-ME"/>
        </w:rPr>
        <w:t xml:space="preserve">primjena snažnog </w:t>
      </w:r>
      <w:proofErr w:type="spellStart"/>
      <w:r w:rsidRPr="00285CEF">
        <w:rPr>
          <w:bCs/>
          <w:sz w:val="22"/>
          <w:szCs w:val="22"/>
          <w:lang w:val="sr-Latn-ME"/>
        </w:rPr>
        <w:t>inhibitora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 ne može izbjeći, pacijente je potrebno pažljivo nadzirati zbog mogućih neželjenih dejstava. Ako se </w:t>
      </w:r>
      <w:proofErr w:type="spellStart"/>
      <w:r w:rsidRPr="00285CEF">
        <w:rPr>
          <w:bCs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 primjenjuju kratkotrajno (7 dana ili manje), treba da se razmotri privremeni prekid liječenja </w:t>
      </w:r>
      <w:proofErr w:type="spellStart"/>
      <w:r w:rsidRPr="00285CEF">
        <w:rPr>
          <w:bCs/>
          <w:sz w:val="22"/>
          <w:szCs w:val="22"/>
          <w:lang w:val="sr-Latn-ME"/>
        </w:rPr>
        <w:t>kobimetinibom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tokom primjene </w:t>
      </w:r>
      <w:proofErr w:type="spellStart"/>
      <w:r w:rsidRPr="00285CEF">
        <w:rPr>
          <w:bCs/>
          <w:sz w:val="22"/>
          <w:szCs w:val="22"/>
          <w:lang w:val="sr-Latn-ME"/>
        </w:rPr>
        <w:t>inhibitora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06BAC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Umjereni </w:t>
      </w:r>
      <w:proofErr w:type="spellStart"/>
      <w:r w:rsidRPr="00285CEF">
        <w:rPr>
          <w:bCs/>
          <w:i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CYP3A (vidjeti </w:t>
      </w:r>
      <w:r w:rsidR="005D0244" w:rsidRPr="00285CEF">
        <w:rPr>
          <w:bCs/>
          <w:i/>
          <w:sz w:val="22"/>
          <w:szCs w:val="22"/>
          <w:lang w:val="sr-Latn-ME"/>
        </w:rPr>
        <w:t xml:space="preserve">dio </w:t>
      </w:r>
      <w:r w:rsidRPr="00285CEF">
        <w:rPr>
          <w:bCs/>
          <w:i/>
          <w:sz w:val="22"/>
          <w:szCs w:val="22"/>
          <w:lang w:val="sr-Latn-ME"/>
        </w:rPr>
        <w:t>4.4</w:t>
      </w:r>
      <w:r w:rsidRPr="00285CEF">
        <w:rPr>
          <w:bCs/>
          <w:sz w:val="22"/>
          <w:szCs w:val="22"/>
          <w:lang w:val="sr-Latn-ME"/>
        </w:rPr>
        <w:t>)</w:t>
      </w: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Potreban je oprez ako se </w:t>
      </w: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primjenjuje istovremeno sa umjerenim </w:t>
      </w:r>
      <w:proofErr w:type="spellStart"/>
      <w:r w:rsidRPr="00285CEF">
        <w:rPr>
          <w:bCs/>
          <w:sz w:val="22"/>
          <w:szCs w:val="22"/>
          <w:lang w:val="sr-Latn-ME"/>
        </w:rPr>
        <w:t>inhibitorima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CYP3A. Umjereni </w:t>
      </w:r>
      <w:proofErr w:type="spellStart"/>
      <w:r w:rsidRPr="00285CEF">
        <w:rPr>
          <w:bCs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 uključuju, između ostalih, </w:t>
      </w:r>
      <w:proofErr w:type="spellStart"/>
      <w:r w:rsidRPr="00285CEF">
        <w:rPr>
          <w:bCs/>
          <w:sz w:val="22"/>
          <w:szCs w:val="22"/>
          <w:lang w:val="sr-Latn-ME"/>
        </w:rPr>
        <w:t>amjodaron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eritromicin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flukonazol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mikonazol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diltiazem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verapamil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delavirdin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amprenavir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fosamprenavir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imatinib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. Kada se </w:t>
      </w: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primjenjuje istovremeno sa umjerenim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CYP3A, pacijente je potrebno pažljivo nadgledati </w:t>
      </w:r>
      <w:r w:rsidR="005D0244" w:rsidRPr="00285CEF">
        <w:rPr>
          <w:bCs/>
          <w:sz w:val="22"/>
          <w:szCs w:val="22"/>
          <w:lang w:val="sr-Latn-ME"/>
        </w:rPr>
        <w:t>sa aspekta bezbjednosti</w:t>
      </w:r>
      <w:r w:rsidRPr="00285CEF">
        <w:rPr>
          <w:bCs/>
          <w:sz w:val="22"/>
          <w:szCs w:val="22"/>
          <w:lang w:val="sr-Latn-ME"/>
        </w:rPr>
        <w:t xml:space="preserve">.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06BAC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Blagi </w:t>
      </w:r>
      <w:proofErr w:type="spellStart"/>
      <w:r w:rsidRPr="00285CEF">
        <w:rPr>
          <w:bCs/>
          <w:i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CYP3A</w:t>
      </w:r>
    </w:p>
    <w:p w:rsidR="00206BAC" w:rsidRPr="00285CEF" w:rsidRDefault="00206BAC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se može primjenjivati istovremeno sa blagim </w:t>
      </w:r>
      <w:proofErr w:type="spellStart"/>
      <w:r w:rsidRPr="00285CEF">
        <w:rPr>
          <w:bCs/>
          <w:sz w:val="22"/>
          <w:szCs w:val="22"/>
          <w:lang w:val="sr-Latn-ME"/>
        </w:rPr>
        <w:t>inhibitorima</w:t>
      </w:r>
      <w:proofErr w:type="spellEnd"/>
      <w:r w:rsidRPr="00285CEF">
        <w:rPr>
          <w:bCs/>
          <w:sz w:val="22"/>
          <w:szCs w:val="22"/>
          <w:lang w:val="sr-Latn-ME"/>
        </w:rPr>
        <w:t xml:space="preserve"> CYP3A bez prilagođavanja doze.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Induktori CYP3A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Istovremena primjena </w:t>
      </w:r>
      <w:proofErr w:type="spellStart"/>
      <w:r w:rsidRPr="00285CEF">
        <w:rPr>
          <w:bCs/>
          <w:sz w:val="22"/>
          <w:szCs w:val="22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sa snažnim induktorima CYP3A nije se ocjenjivala u kliničkom ispitivanju, ali </w:t>
      </w:r>
      <w:r w:rsidR="00E10982" w:rsidRPr="00285CEF">
        <w:rPr>
          <w:bCs/>
          <w:sz w:val="22"/>
          <w:szCs w:val="22"/>
          <w:lang w:val="sr-Latn-ME"/>
        </w:rPr>
        <w:t xml:space="preserve">vjerovatno </w:t>
      </w:r>
      <w:r w:rsidRPr="00285CEF">
        <w:rPr>
          <w:bCs/>
          <w:sz w:val="22"/>
          <w:szCs w:val="22"/>
          <w:lang w:val="sr-Latn-ME"/>
        </w:rPr>
        <w:t xml:space="preserve">bi dovela do smanjene izloženosti </w:t>
      </w:r>
      <w:proofErr w:type="spellStart"/>
      <w:r w:rsidRPr="00285CEF">
        <w:rPr>
          <w:bCs/>
          <w:sz w:val="22"/>
          <w:szCs w:val="22"/>
          <w:lang w:val="sr-Latn-ME"/>
        </w:rPr>
        <w:t>kobimetinibu</w:t>
      </w:r>
      <w:proofErr w:type="spellEnd"/>
      <w:r w:rsidRPr="00285CEF">
        <w:rPr>
          <w:bCs/>
          <w:sz w:val="22"/>
          <w:szCs w:val="22"/>
          <w:lang w:val="sr-Latn-ME"/>
        </w:rPr>
        <w:t xml:space="preserve">. Zbog toga treba izbjegavati istovremenu primjenu umjerenih i snažnih induktora CYP3A (npr. </w:t>
      </w:r>
      <w:proofErr w:type="spellStart"/>
      <w:r w:rsidRPr="00285CEF">
        <w:rPr>
          <w:bCs/>
          <w:sz w:val="22"/>
          <w:szCs w:val="22"/>
          <w:lang w:val="sr-Latn-ME"/>
        </w:rPr>
        <w:t>karbamazepina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rifampicina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fenitoina</w:t>
      </w:r>
      <w:proofErr w:type="spellEnd"/>
      <w:r w:rsidRPr="00285CEF">
        <w:rPr>
          <w:bCs/>
          <w:sz w:val="22"/>
          <w:szCs w:val="22"/>
          <w:lang w:val="sr-Latn-ME"/>
        </w:rPr>
        <w:t xml:space="preserve"> i kantariona). Treba razmotriti druge ljekove koji ne indukuju ili minimalno indukuju CYP3A. S obzirom </w:t>
      </w:r>
      <w:r w:rsidR="00E10982" w:rsidRPr="00285CEF">
        <w:rPr>
          <w:bCs/>
          <w:sz w:val="22"/>
          <w:szCs w:val="22"/>
          <w:lang w:val="sr-Latn-ME"/>
        </w:rPr>
        <w:t xml:space="preserve">na to </w:t>
      </w:r>
      <w:r w:rsidRPr="00285CEF">
        <w:rPr>
          <w:bCs/>
          <w:sz w:val="22"/>
          <w:szCs w:val="22"/>
          <w:lang w:val="sr-Latn-ME"/>
        </w:rPr>
        <w:t xml:space="preserve">da će koncentracije </w:t>
      </w:r>
      <w:proofErr w:type="spellStart"/>
      <w:r w:rsidRPr="00285CEF">
        <w:rPr>
          <w:bCs/>
          <w:sz w:val="22"/>
          <w:szCs w:val="22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vjerovatno biti značajno smanjene pri istovremenoj primjeni s umjerenim do snažnim induktorima CYP3A, moguće je da će njegova efikasnost kod pacijenata biti smanjena.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285CEF">
        <w:rPr>
          <w:bCs/>
          <w:i/>
          <w:sz w:val="22"/>
          <w:szCs w:val="22"/>
          <w:lang w:val="sr-Latn-ME"/>
        </w:rPr>
        <w:t>Inhibitori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P </w:t>
      </w:r>
      <w:proofErr w:type="spellStart"/>
      <w:r w:rsidRPr="00285CEF">
        <w:rPr>
          <w:bCs/>
          <w:i/>
          <w:sz w:val="22"/>
          <w:szCs w:val="22"/>
          <w:lang w:val="sr-Latn-ME"/>
        </w:rPr>
        <w:t>glikoproteina</w:t>
      </w:r>
      <w:proofErr w:type="spellEnd"/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je supstrat P </w:t>
      </w:r>
      <w:proofErr w:type="spellStart"/>
      <w:r w:rsidRPr="00285CEF">
        <w:rPr>
          <w:bCs/>
          <w:sz w:val="22"/>
          <w:szCs w:val="22"/>
          <w:lang w:val="sr-Latn-ME"/>
        </w:rPr>
        <w:t>glikoproteina</w:t>
      </w:r>
      <w:proofErr w:type="spellEnd"/>
      <w:r w:rsidRPr="00285CEF">
        <w:rPr>
          <w:bCs/>
          <w:sz w:val="22"/>
          <w:szCs w:val="22"/>
          <w:lang w:val="sr-Latn-ME"/>
        </w:rPr>
        <w:t xml:space="preserve"> (P-</w:t>
      </w:r>
      <w:proofErr w:type="spellStart"/>
      <w:r w:rsidRPr="00285CEF">
        <w:rPr>
          <w:bCs/>
          <w:sz w:val="22"/>
          <w:szCs w:val="22"/>
          <w:lang w:val="sr-Latn-ME"/>
        </w:rPr>
        <w:t>gp</w:t>
      </w:r>
      <w:proofErr w:type="spellEnd"/>
      <w:r w:rsidRPr="00285CEF">
        <w:rPr>
          <w:bCs/>
          <w:sz w:val="22"/>
          <w:szCs w:val="22"/>
          <w:lang w:val="sr-Latn-ME"/>
        </w:rPr>
        <w:t xml:space="preserve">). Istovremena primjena </w:t>
      </w:r>
      <w:proofErr w:type="spellStart"/>
      <w:r w:rsidRPr="00285CEF">
        <w:rPr>
          <w:bCs/>
          <w:sz w:val="22"/>
          <w:szCs w:val="22"/>
          <w:lang w:val="sr-Latn-ME"/>
        </w:rPr>
        <w:t>inhibitora</w:t>
      </w:r>
      <w:proofErr w:type="spellEnd"/>
      <w:r w:rsidRPr="00285CEF">
        <w:rPr>
          <w:bCs/>
          <w:sz w:val="22"/>
          <w:szCs w:val="22"/>
          <w:lang w:val="sr-Latn-ME"/>
        </w:rPr>
        <w:t xml:space="preserve"> P-</w:t>
      </w:r>
      <w:proofErr w:type="spellStart"/>
      <w:r w:rsidRPr="00285CEF">
        <w:rPr>
          <w:bCs/>
          <w:sz w:val="22"/>
          <w:szCs w:val="22"/>
          <w:lang w:val="sr-Latn-ME"/>
        </w:rPr>
        <w:t>gp</w:t>
      </w:r>
      <w:proofErr w:type="spellEnd"/>
      <w:r w:rsidRPr="00285CEF">
        <w:rPr>
          <w:bCs/>
          <w:sz w:val="22"/>
          <w:szCs w:val="22"/>
          <w:lang w:val="sr-Latn-ME"/>
        </w:rPr>
        <w:t xml:space="preserve">-a, kao što su </w:t>
      </w:r>
      <w:proofErr w:type="spellStart"/>
      <w:r w:rsidRPr="00285CEF">
        <w:rPr>
          <w:bCs/>
          <w:sz w:val="22"/>
          <w:szCs w:val="22"/>
          <w:lang w:val="sr-Latn-ME"/>
        </w:rPr>
        <w:t>ciklosporin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verapamil</w:t>
      </w:r>
      <w:proofErr w:type="spellEnd"/>
      <w:r w:rsidRPr="00285CEF">
        <w:rPr>
          <w:bCs/>
          <w:sz w:val="22"/>
          <w:szCs w:val="22"/>
          <w:lang w:val="sr-Latn-ME"/>
        </w:rPr>
        <w:t xml:space="preserve">, može povećati koncentracije </w:t>
      </w:r>
      <w:proofErr w:type="spellStart"/>
      <w:r w:rsidRPr="00285CEF">
        <w:rPr>
          <w:bCs/>
          <w:sz w:val="22"/>
          <w:szCs w:val="22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u plazmi.</w:t>
      </w: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Dejstva </w:t>
      </w:r>
      <w:proofErr w:type="spellStart"/>
      <w:r w:rsidRPr="00285CEF">
        <w:rPr>
          <w:bCs/>
          <w:sz w:val="22"/>
          <w:szCs w:val="22"/>
          <w:u w:val="single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na druge ljekove 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Supstrati CYP3A i CYP2D6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Kliničko ispitivanje interakcija između ljekova kod pacijenata </w:t>
      </w:r>
      <w:proofErr w:type="spellStart"/>
      <w:r w:rsidRPr="00285CEF">
        <w:rPr>
          <w:bCs/>
          <w:sz w:val="22"/>
          <w:szCs w:val="22"/>
          <w:lang w:val="sr-Latn-ME"/>
        </w:rPr>
        <w:t>oboljelih</w:t>
      </w:r>
      <w:proofErr w:type="spellEnd"/>
      <w:r w:rsidRPr="00285CEF">
        <w:rPr>
          <w:bCs/>
          <w:sz w:val="22"/>
          <w:szCs w:val="22"/>
          <w:lang w:val="sr-Latn-ME"/>
        </w:rPr>
        <w:t xml:space="preserve"> od </w:t>
      </w:r>
      <w:proofErr w:type="spellStart"/>
      <w:r w:rsidRPr="00285CEF">
        <w:rPr>
          <w:bCs/>
          <w:sz w:val="22"/>
          <w:szCs w:val="22"/>
          <w:lang w:val="sr-Latn-ME"/>
        </w:rPr>
        <w:t>karcinoma</w:t>
      </w:r>
      <w:proofErr w:type="spellEnd"/>
      <w:r w:rsidRPr="00285CEF">
        <w:rPr>
          <w:bCs/>
          <w:sz w:val="22"/>
          <w:szCs w:val="22"/>
          <w:lang w:val="sr-Latn-ME"/>
        </w:rPr>
        <w:t xml:space="preserve"> pokazalo je da prisustvo </w:t>
      </w:r>
      <w:proofErr w:type="spellStart"/>
      <w:r w:rsidRPr="00285CEF">
        <w:rPr>
          <w:bCs/>
          <w:sz w:val="22"/>
          <w:szCs w:val="22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ne mijenja koncentracije </w:t>
      </w:r>
      <w:proofErr w:type="spellStart"/>
      <w:r w:rsidRPr="00285CEF">
        <w:rPr>
          <w:bCs/>
          <w:sz w:val="22"/>
          <w:szCs w:val="22"/>
          <w:lang w:val="sr-Latn-ME"/>
        </w:rPr>
        <w:t>midazolama</w:t>
      </w:r>
      <w:proofErr w:type="spellEnd"/>
      <w:r w:rsidRPr="00285CEF">
        <w:rPr>
          <w:bCs/>
          <w:sz w:val="22"/>
          <w:szCs w:val="22"/>
          <w:lang w:val="sr-Latn-ME"/>
        </w:rPr>
        <w:t xml:space="preserve"> (osjetljiv supstrat CYP3A) ni </w:t>
      </w:r>
      <w:proofErr w:type="spellStart"/>
      <w:r w:rsidRPr="00285CEF">
        <w:rPr>
          <w:bCs/>
          <w:sz w:val="22"/>
          <w:szCs w:val="22"/>
          <w:lang w:val="sr-Latn-ME"/>
        </w:rPr>
        <w:t>dekstrometorfana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(osjetljiv supstrat CYP2D6) u plazmi.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lastRenderedPageBreak/>
        <w:t>Supstrati CYP1A2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Budući da je </w:t>
      </w: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potencijalni induktor CYP1A2 </w:t>
      </w:r>
      <w:r w:rsidRPr="00285CEF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bCs/>
          <w:i/>
          <w:sz w:val="22"/>
          <w:szCs w:val="22"/>
          <w:lang w:val="sr-Latn-ME"/>
        </w:rPr>
        <w:t>vitro</w:t>
      </w:r>
      <w:proofErr w:type="spellEnd"/>
      <w:r w:rsidRPr="00285CEF">
        <w:rPr>
          <w:bCs/>
          <w:sz w:val="22"/>
          <w:szCs w:val="22"/>
          <w:lang w:val="sr-Latn-ME"/>
        </w:rPr>
        <w:t>, može smanjiti izloženost supstratima ovog enzima, npr. teofilinu. Nijesu sprovedena klinička ispitivanja interakcija između ljekova kojim bi se ocijenio klinički značaj tog nalaza.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Supstrati BCRP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bCs/>
          <w:i/>
          <w:sz w:val="22"/>
          <w:szCs w:val="22"/>
          <w:lang w:val="sr-Latn-ME"/>
        </w:rPr>
        <w:t>vitro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je umjereni </w:t>
      </w:r>
      <w:proofErr w:type="spellStart"/>
      <w:r w:rsidRPr="00285CEF">
        <w:rPr>
          <w:bCs/>
          <w:sz w:val="22"/>
          <w:szCs w:val="22"/>
          <w:lang w:val="sr-Latn-ME"/>
        </w:rPr>
        <w:t>inhibitor</w:t>
      </w:r>
      <w:proofErr w:type="spellEnd"/>
      <w:r w:rsidRPr="00285CEF">
        <w:rPr>
          <w:bCs/>
          <w:sz w:val="22"/>
          <w:szCs w:val="22"/>
          <w:lang w:val="sr-Latn-ME"/>
        </w:rPr>
        <w:t xml:space="preserve"> proteina koji uzrokuje rezistenciju </w:t>
      </w:r>
      <w:proofErr w:type="spellStart"/>
      <w:r w:rsidR="002B382B" w:rsidRPr="00285CEF">
        <w:rPr>
          <w:bCs/>
          <w:sz w:val="22"/>
          <w:szCs w:val="22"/>
          <w:lang w:val="sr-Latn-ME"/>
        </w:rPr>
        <w:t>karcinoma</w:t>
      </w:r>
      <w:proofErr w:type="spellEnd"/>
      <w:r w:rsidR="002B382B" w:rsidRPr="00285CEF">
        <w:rPr>
          <w:bCs/>
          <w:sz w:val="22"/>
          <w:szCs w:val="22"/>
          <w:lang w:val="sr-Latn-ME"/>
        </w:rPr>
        <w:t xml:space="preserve"> </w:t>
      </w:r>
      <w:r w:rsidRPr="00285CEF">
        <w:rPr>
          <w:bCs/>
          <w:sz w:val="22"/>
          <w:szCs w:val="22"/>
          <w:lang w:val="sr-Latn-ME"/>
        </w:rPr>
        <w:t xml:space="preserve">dojke na ljekove (engl. </w:t>
      </w:r>
      <w:proofErr w:type="spellStart"/>
      <w:r w:rsidRPr="00285CEF">
        <w:rPr>
          <w:bCs/>
          <w:i/>
          <w:sz w:val="22"/>
          <w:szCs w:val="22"/>
          <w:lang w:val="sr-Latn-ME"/>
        </w:rPr>
        <w:t>breast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lang w:val="sr-Latn-ME"/>
        </w:rPr>
        <w:t>cancer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i/>
          <w:sz w:val="22"/>
          <w:szCs w:val="22"/>
          <w:lang w:val="sr-Latn-ME"/>
        </w:rPr>
        <w:t>resistance</w:t>
      </w:r>
      <w:proofErr w:type="spellEnd"/>
      <w:r w:rsidRPr="00285CEF">
        <w:rPr>
          <w:bCs/>
          <w:i/>
          <w:sz w:val="22"/>
          <w:szCs w:val="22"/>
          <w:lang w:val="sr-Latn-ME"/>
        </w:rPr>
        <w:t xml:space="preserve"> protein</w:t>
      </w:r>
      <w:r w:rsidRPr="00285CEF">
        <w:rPr>
          <w:bCs/>
          <w:sz w:val="22"/>
          <w:szCs w:val="22"/>
          <w:lang w:val="sr-Latn-ME"/>
        </w:rPr>
        <w:t>, BCRP). Nijesu sprovedena klinička ispitivanja interakcija između ljekova kojim bi se ocijenio taj nalaz te se ne može isključiti klinički značajna inhibicija BCRP-a u crijevima.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Ostali ljekovi za liječenje </w:t>
      </w:r>
      <w:proofErr w:type="spellStart"/>
      <w:r w:rsidRPr="00285CEF">
        <w:rPr>
          <w:bCs/>
          <w:sz w:val="22"/>
          <w:szCs w:val="22"/>
          <w:u w:val="single"/>
          <w:lang w:val="sr-Latn-ME"/>
        </w:rPr>
        <w:t>karcinoma</w:t>
      </w:r>
      <w:proofErr w:type="spellEnd"/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285CEF">
        <w:rPr>
          <w:bCs/>
          <w:i/>
          <w:sz w:val="22"/>
          <w:szCs w:val="22"/>
          <w:lang w:val="sr-Latn-ME"/>
        </w:rPr>
        <w:t>Vemurafenib</w:t>
      </w:r>
      <w:proofErr w:type="spellEnd"/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Nema dokaza o klinički značajnim interakcijama između </w:t>
      </w:r>
      <w:proofErr w:type="spellStart"/>
      <w:r w:rsidRPr="00285CEF">
        <w:rPr>
          <w:bCs/>
          <w:sz w:val="22"/>
          <w:szCs w:val="22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vemurafeniba</w:t>
      </w:r>
      <w:proofErr w:type="spellEnd"/>
      <w:r w:rsidRPr="00285CEF">
        <w:rPr>
          <w:bCs/>
          <w:sz w:val="22"/>
          <w:szCs w:val="22"/>
          <w:lang w:val="sr-Latn-ME"/>
        </w:rPr>
        <w:t xml:space="preserve"> kod pacijenata sa </w:t>
      </w:r>
      <w:proofErr w:type="spellStart"/>
      <w:r w:rsidRPr="00285CEF">
        <w:rPr>
          <w:bCs/>
          <w:sz w:val="22"/>
          <w:szCs w:val="22"/>
          <w:lang w:val="sr-Latn-ME"/>
        </w:rPr>
        <w:t>neoperabilnim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</w:t>
      </w:r>
      <w:proofErr w:type="spellStart"/>
      <w:r w:rsidRPr="00285CEF">
        <w:rPr>
          <w:bCs/>
          <w:sz w:val="22"/>
          <w:szCs w:val="22"/>
          <w:lang w:val="sr-Latn-ME"/>
        </w:rPr>
        <w:t>metastatskim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melanomom</w:t>
      </w:r>
      <w:proofErr w:type="spellEnd"/>
      <w:r w:rsidR="003B5B15" w:rsidRPr="00285CEF">
        <w:rPr>
          <w:bCs/>
          <w:sz w:val="22"/>
          <w:szCs w:val="22"/>
          <w:lang w:val="sr-Latn-ME"/>
        </w:rPr>
        <w:t>,</w:t>
      </w:r>
      <w:r w:rsidRPr="00285CEF">
        <w:rPr>
          <w:bCs/>
          <w:sz w:val="22"/>
          <w:szCs w:val="22"/>
          <w:lang w:val="sr-Latn-ME"/>
        </w:rPr>
        <w:t xml:space="preserve"> i zbog toga se ne preporučuje prilagođavanje doze.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Dejstva </w:t>
      </w:r>
      <w:proofErr w:type="spellStart"/>
      <w:r w:rsidRPr="00285CEF">
        <w:rPr>
          <w:bCs/>
          <w:sz w:val="22"/>
          <w:szCs w:val="22"/>
          <w:u w:val="single"/>
          <w:lang w:val="sr-Latn-ME"/>
        </w:rPr>
        <w:t>kobimetiniba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na sisteme </w:t>
      </w:r>
      <w:proofErr w:type="spellStart"/>
      <w:r w:rsidRPr="00285CEF">
        <w:rPr>
          <w:bCs/>
          <w:sz w:val="22"/>
          <w:szCs w:val="22"/>
          <w:u w:val="single"/>
          <w:lang w:val="sr-Latn-ME"/>
        </w:rPr>
        <w:t>prenosa</w:t>
      </w:r>
      <w:proofErr w:type="spellEnd"/>
      <w:r w:rsidRPr="00285CEF">
        <w:rPr>
          <w:bCs/>
          <w:sz w:val="22"/>
          <w:szCs w:val="22"/>
          <w:u w:val="single"/>
          <w:lang w:val="sr-Latn-ME"/>
        </w:rPr>
        <w:t xml:space="preserve"> ljekova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Ispitivanja </w:t>
      </w:r>
      <w:r w:rsidRPr="00285CEF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bCs/>
          <w:i/>
          <w:sz w:val="22"/>
          <w:szCs w:val="22"/>
          <w:lang w:val="sr-Latn-ME"/>
        </w:rPr>
        <w:t>vitro</w:t>
      </w:r>
      <w:proofErr w:type="spellEnd"/>
      <w:r w:rsidRPr="00285CEF">
        <w:rPr>
          <w:bCs/>
          <w:sz w:val="22"/>
          <w:szCs w:val="22"/>
          <w:lang w:val="sr-Latn-ME"/>
        </w:rPr>
        <w:t xml:space="preserve"> su pokazala da </w:t>
      </w:r>
      <w:proofErr w:type="spellStart"/>
      <w:r w:rsidRPr="00285CEF">
        <w:rPr>
          <w:bCs/>
          <w:sz w:val="22"/>
          <w:szCs w:val="22"/>
          <w:lang w:val="sr-Latn-ME"/>
        </w:rPr>
        <w:t>kobimetinib</w:t>
      </w:r>
      <w:proofErr w:type="spellEnd"/>
      <w:r w:rsidRPr="00285CEF">
        <w:rPr>
          <w:bCs/>
          <w:sz w:val="22"/>
          <w:szCs w:val="22"/>
          <w:lang w:val="sr-Latn-ME"/>
        </w:rPr>
        <w:t xml:space="preserve"> nije supstrat </w:t>
      </w:r>
      <w:proofErr w:type="spellStart"/>
      <w:r w:rsidR="00217A5E" w:rsidRPr="00285CEF">
        <w:rPr>
          <w:bCs/>
          <w:sz w:val="22"/>
          <w:szCs w:val="22"/>
          <w:lang w:val="sr-Latn-ME"/>
        </w:rPr>
        <w:t>hepatičkih</w:t>
      </w:r>
      <w:proofErr w:type="spellEnd"/>
      <w:r w:rsidR="00217A5E" w:rsidRPr="00285CEF">
        <w:rPr>
          <w:bCs/>
          <w:sz w:val="22"/>
          <w:szCs w:val="22"/>
          <w:lang w:val="sr-Latn-ME"/>
        </w:rPr>
        <w:t xml:space="preserve"> transportera preuzimanja</w:t>
      </w:r>
      <w:r w:rsidRPr="00285CEF">
        <w:rPr>
          <w:bCs/>
          <w:sz w:val="22"/>
          <w:szCs w:val="22"/>
          <w:lang w:val="sr-Latn-ME"/>
        </w:rPr>
        <w:t xml:space="preserve"> supstanci OATP1B1, OATP1B3 i OCT1, ali blago inhibira te </w:t>
      </w:r>
      <w:r w:rsidR="00217A5E" w:rsidRPr="00285CEF">
        <w:rPr>
          <w:bCs/>
          <w:sz w:val="22"/>
          <w:szCs w:val="22"/>
          <w:lang w:val="sr-Latn-ME"/>
        </w:rPr>
        <w:t>transportere</w:t>
      </w:r>
      <w:r w:rsidRPr="00285CEF">
        <w:rPr>
          <w:bCs/>
          <w:sz w:val="22"/>
          <w:szCs w:val="22"/>
          <w:lang w:val="sr-Latn-ME"/>
        </w:rPr>
        <w:t xml:space="preserve">. Nije </w:t>
      </w:r>
      <w:r w:rsidR="00217A5E" w:rsidRPr="00285CEF">
        <w:rPr>
          <w:bCs/>
          <w:sz w:val="22"/>
          <w:szCs w:val="22"/>
          <w:lang w:val="sr-Latn-ME"/>
        </w:rPr>
        <w:t xml:space="preserve">ispitivan </w:t>
      </w:r>
      <w:r w:rsidRPr="00285CEF">
        <w:rPr>
          <w:bCs/>
          <w:sz w:val="22"/>
          <w:szCs w:val="22"/>
          <w:lang w:val="sr-Latn-ME"/>
        </w:rPr>
        <w:t>klinički značaj tih nalaza.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>Pedijatrijska populacija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Ispitivanja interakcija sprovedena su samo kod odraslih.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4.6.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="006D20A5" w:rsidRPr="00285CEF">
        <w:rPr>
          <w:b/>
          <w:sz w:val="22"/>
          <w:szCs w:val="22"/>
          <w:lang w:val="sr-Latn-ME"/>
        </w:rPr>
        <w:t>Plodnost, trudnoća i dojenje</w:t>
      </w:r>
    </w:p>
    <w:p w:rsidR="002031B3" w:rsidRPr="00285CEF" w:rsidRDefault="002031B3" w:rsidP="00B64A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B34BE5" w:rsidRPr="00285CEF" w:rsidRDefault="00B34BE5" w:rsidP="00A77B26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Žene u reproduktivnom periodu</w:t>
      </w:r>
      <w:r w:rsidR="00206BAC" w:rsidRPr="00285CEF">
        <w:rPr>
          <w:sz w:val="22"/>
          <w:szCs w:val="22"/>
          <w:u w:val="single"/>
          <w:lang w:val="sr-Latn-ME"/>
        </w:rPr>
        <w:t xml:space="preserve"> / Kontracepcija</w:t>
      </w:r>
    </w:p>
    <w:p w:rsidR="002031B3" w:rsidRPr="00285CEF" w:rsidRDefault="002031B3" w:rsidP="00B64A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Ženama u reproduktivnom periodu treba savjetovati da tokom liječenja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vertAlign w:val="superscript"/>
          <w:lang w:val="sr-Latn-ME"/>
        </w:rPr>
        <w:t xml:space="preserve"> </w:t>
      </w:r>
      <w:r w:rsidRPr="00285CEF">
        <w:rPr>
          <w:sz w:val="22"/>
          <w:szCs w:val="22"/>
          <w:lang w:val="sr-Latn-ME"/>
        </w:rPr>
        <w:t xml:space="preserve">i još najmanje tri mjeseca po završetku liječenja koriste dvije efikasne metode kontracepcije, poput prezervativa ili neke druge mehaničke metode (po mogućnosti sa </w:t>
      </w:r>
      <w:proofErr w:type="spellStart"/>
      <w:r w:rsidRPr="00285CEF">
        <w:rPr>
          <w:sz w:val="22"/>
          <w:szCs w:val="22"/>
          <w:lang w:val="sr-Latn-ME"/>
        </w:rPr>
        <w:t>spermicidom</w:t>
      </w:r>
      <w:proofErr w:type="spellEnd"/>
      <w:r w:rsidRPr="00285CEF">
        <w:rPr>
          <w:sz w:val="22"/>
          <w:szCs w:val="22"/>
          <w:lang w:val="sr-Latn-ME"/>
        </w:rPr>
        <w:t>).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B34BE5" w:rsidRPr="00285CEF" w:rsidRDefault="00B34BE5" w:rsidP="00B64A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Plodnost</w:t>
      </w:r>
    </w:p>
    <w:p w:rsidR="00B34BE5" w:rsidRPr="00285CEF" w:rsidRDefault="00B34BE5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B34BE5" w:rsidRPr="00285CEF" w:rsidRDefault="00B34BE5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Nema podataka o uticaju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na plodnost kod </w:t>
      </w:r>
      <w:proofErr w:type="spellStart"/>
      <w:r w:rsidRPr="00285CEF">
        <w:rPr>
          <w:sz w:val="22"/>
          <w:szCs w:val="22"/>
          <w:lang w:val="sr-Latn-ME"/>
        </w:rPr>
        <w:t>ljudi</w:t>
      </w:r>
      <w:proofErr w:type="spellEnd"/>
      <w:r w:rsidRPr="00285CEF">
        <w:rPr>
          <w:sz w:val="22"/>
          <w:szCs w:val="22"/>
          <w:lang w:val="sr-Latn-ME"/>
        </w:rPr>
        <w:t xml:space="preserve">. Nijesu sprovedena ispitivanja plodnosti na životinjama, ali primijećeni su štetni efekti na reproduktivne organe ženki (vidjeti </w:t>
      </w:r>
      <w:r w:rsidR="005F0EF1" w:rsidRPr="00285CEF">
        <w:rPr>
          <w:sz w:val="22"/>
          <w:szCs w:val="22"/>
          <w:lang w:val="sr-Latn-ME"/>
        </w:rPr>
        <w:t xml:space="preserve">dio </w:t>
      </w:r>
      <w:r w:rsidRPr="00285CEF">
        <w:rPr>
          <w:sz w:val="22"/>
          <w:szCs w:val="22"/>
          <w:lang w:val="sr-Latn-ME"/>
        </w:rPr>
        <w:t>5.3). Klinički značaj toga nije poznat.</w:t>
      </w:r>
    </w:p>
    <w:p w:rsidR="00B34BE5" w:rsidRPr="00285CEF" w:rsidRDefault="00B34BE5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A3ECB" w:rsidRPr="00285CEF" w:rsidRDefault="007A3ECB" w:rsidP="00B64A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Trudnoća</w:t>
      </w:r>
    </w:p>
    <w:p w:rsidR="002031B3" w:rsidRPr="00285CEF" w:rsidRDefault="002031B3" w:rsidP="00B64A8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Nema podataka o primjeni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kod trudnica. Ispitivanja na životinjama su ukazala na </w:t>
      </w:r>
      <w:proofErr w:type="spellStart"/>
      <w:r w:rsidRPr="00285CEF">
        <w:rPr>
          <w:sz w:val="22"/>
          <w:szCs w:val="22"/>
          <w:lang w:val="sr-Latn-ME"/>
        </w:rPr>
        <w:t>embrioletalnost</w:t>
      </w:r>
      <w:proofErr w:type="spellEnd"/>
      <w:r w:rsidRPr="00285CEF">
        <w:rPr>
          <w:sz w:val="22"/>
          <w:szCs w:val="22"/>
          <w:lang w:val="sr-Latn-ME"/>
        </w:rPr>
        <w:t xml:space="preserve"> i </w:t>
      </w:r>
      <w:proofErr w:type="spellStart"/>
      <w:r w:rsidRPr="00285CEF">
        <w:rPr>
          <w:sz w:val="22"/>
          <w:szCs w:val="22"/>
          <w:lang w:val="sr-Latn-ME"/>
        </w:rPr>
        <w:t>malformacije</w:t>
      </w:r>
      <w:proofErr w:type="spellEnd"/>
      <w:r w:rsidRPr="00285CEF">
        <w:rPr>
          <w:sz w:val="22"/>
          <w:szCs w:val="22"/>
          <w:lang w:val="sr-Latn-ME"/>
        </w:rPr>
        <w:t xml:space="preserve"> velikih krvnih sudova i lobanje ploda (vidjeti dio 5.3). </w:t>
      </w:r>
      <w:r w:rsidR="005F0EF1" w:rsidRPr="00285CEF">
        <w:rPr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se u trudnoći smije primjenjivati samo kada je to neophodno, nakon pažljive procjene majčinih potreba i rizika za plod.</w:t>
      </w:r>
    </w:p>
    <w:p w:rsidR="00F6062D" w:rsidRPr="00285CEF" w:rsidRDefault="00F6062D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285CEF" w:rsidRDefault="007A3EC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 xml:space="preserve">Dojenje </w:t>
      </w:r>
    </w:p>
    <w:p w:rsidR="00227BDB" w:rsidRPr="00285CEF" w:rsidRDefault="00227BDB" w:rsidP="00B64A8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F6062D" w:rsidRPr="00285CEF" w:rsidRDefault="00F606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Nije poznato da li se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izlučuje u majčino mlijeko. Ne može se isključiti rizik za novorođenčad/dojenčad. Potrebno je odlučiti da li prekinuti dojenje ili prekinuti liječenje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="005F0EF1" w:rsidRPr="00285CEF">
        <w:rPr>
          <w:sz w:val="22"/>
          <w:szCs w:val="22"/>
          <w:lang w:val="sr-Latn-ME"/>
        </w:rPr>
        <w:t>,</w:t>
      </w:r>
      <w:r w:rsidRPr="00285CEF">
        <w:rPr>
          <w:sz w:val="22"/>
          <w:szCs w:val="22"/>
          <w:lang w:val="sr-Latn-ME"/>
        </w:rPr>
        <w:t xml:space="preserve"> uzimajući u obzir korist dojenja za dijete i korist liječenja za ženu. </w:t>
      </w:r>
    </w:p>
    <w:p w:rsidR="00F6062D" w:rsidRPr="00285CEF" w:rsidRDefault="00F6062D" w:rsidP="00B64A8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 xml:space="preserve">Uticaj na </w:t>
      </w:r>
      <w:r w:rsidR="002031B3" w:rsidRPr="00285CE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285CEF">
        <w:rPr>
          <w:b/>
          <w:bCs/>
          <w:sz w:val="22"/>
          <w:szCs w:val="22"/>
          <w:lang w:val="sr-Latn-ME"/>
        </w:rPr>
        <w:t>upravljanja vozili</w:t>
      </w:r>
      <w:r w:rsidRPr="00285CEF">
        <w:rPr>
          <w:b/>
          <w:bCs/>
          <w:sz w:val="22"/>
          <w:szCs w:val="22"/>
          <w:lang w:val="sr-Latn-ME"/>
        </w:rPr>
        <w:t>m</w:t>
      </w:r>
      <w:r w:rsidR="00F34554" w:rsidRPr="00285CEF">
        <w:rPr>
          <w:b/>
          <w:bCs/>
          <w:sz w:val="22"/>
          <w:szCs w:val="22"/>
          <w:lang w:val="sr-Latn-ME"/>
        </w:rPr>
        <w:t>a</w:t>
      </w:r>
      <w:r w:rsidRPr="00285CEF">
        <w:rPr>
          <w:b/>
          <w:bCs/>
          <w:sz w:val="22"/>
          <w:szCs w:val="22"/>
          <w:lang w:val="sr-Latn-ME"/>
        </w:rPr>
        <w:t xml:space="preserve"> i </w:t>
      </w:r>
      <w:r w:rsidR="000D3449" w:rsidRPr="00285CEF">
        <w:rPr>
          <w:b/>
          <w:bCs/>
          <w:sz w:val="22"/>
          <w:szCs w:val="22"/>
          <w:lang w:val="sr-Latn-ME"/>
        </w:rPr>
        <w:t xml:space="preserve">rukovanje </w:t>
      </w:r>
      <w:r w:rsidRPr="00285CEF">
        <w:rPr>
          <w:b/>
          <w:bCs/>
          <w:sz w:val="22"/>
          <w:szCs w:val="22"/>
          <w:lang w:val="sr-Latn-ME"/>
        </w:rPr>
        <w:t>mašinama</w:t>
      </w:r>
    </w:p>
    <w:p w:rsidR="00B34BE5" w:rsidRPr="00285CEF" w:rsidRDefault="00B34BE5" w:rsidP="00B64A8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B34BE5" w:rsidRPr="00285CEF" w:rsidRDefault="000A3D28" w:rsidP="00A77B2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Lijek </w:t>
      </w:r>
      <w:proofErr w:type="spellStart"/>
      <w:r w:rsidR="00B34BE5" w:rsidRPr="00285CEF">
        <w:rPr>
          <w:sz w:val="22"/>
          <w:szCs w:val="22"/>
          <w:lang w:val="sr-Latn-ME"/>
        </w:rPr>
        <w:t>Cotellic</w:t>
      </w:r>
      <w:proofErr w:type="spellEnd"/>
      <w:r w:rsidR="00B34BE5" w:rsidRPr="00285CEF">
        <w:rPr>
          <w:sz w:val="22"/>
          <w:szCs w:val="22"/>
          <w:lang w:val="sr-Latn-ME"/>
        </w:rPr>
        <w:t xml:space="preserve"> malo utiče na sposobnost upravljanja vozilima i rukovanja mašinama. Kod nekih pacijenata liječenih </w:t>
      </w:r>
      <w:proofErr w:type="spellStart"/>
      <w:r w:rsidR="00B34BE5" w:rsidRPr="00285CEF">
        <w:rPr>
          <w:sz w:val="22"/>
          <w:szCs w:val="22"/>
          <w:lang w:val="sr-Latn-ME"/>
        </w:rPr>
        <w:t>kobimetinibom</w:t>
      </w:r>
      <w:proofErr w:type="spellEnd"/>
      <w:r w:rsidR="00B34BE5" w:rsidRPr="00285CEF">
        <w:rPr>
          <w:sz w:val="22"/>
          <w:szCs w:val="22"/>
          <w:lang w:val="sr-Latn-ME"/>
        </w:rPr>
        <w:t xml:space="preserve"> tokom kliničkih ispitivanja prijavljeni su poremećaji vida (vidjeti </w:t>
      </w:r>
      <w:r w:rsidRPr="00285CEF">
        <w:rPr>
          <w:sz w:val="22"/>
          <w:szCs w:val="22"/>
          <w:lang w:val="sr-Latn-ME"/>
        </w:rPr>
        <w:t xml:space="preserve">djelove </w:t>
      </w:r>
      <w:r w:rsidR="00B34BE5" w:rsidRPr="00285CEF">
        <w:rPr>
          <w:sz w:val="22"/>
          <w:szCs w:val="22"/>
          <w:lang w:val="sr-Latn-ME"/>
        </w:rPr>
        <w:t>4.4 i 4.8). Pacijentima treba savjetovati da ne upravljaju vozilima i ne rukuju mašinama ako prim</w:t>
      </w:r>
      <w:r w:rsidRPr="00285CEF">
        <w:rPr>
          <w:sz w:val="22"/>
          <w:szCs w:val="22"/>
          <w:lang w:val="sr-Latn-ME"/>
        </w:rPr>
        <w:t>i</w:t>
      </w:r>
      <w:r w:rsidR="00B34BE5" w:rsidRPr="00285CEF">
        <w:rPr>
          <w:sz w:val="22"/>
          <w:szCs w:val="22"/>
          <w:lang w:val="sr-Latn-ME"/>
        </w:rPr>
        <w:t xml:space="preserve">jete poremećaje vida ili bilo </w:t>
      </w:r>
      <w:r w:rsidRPr="00285CEF">
        <w:rPr>
          <w:sz w:val="22"/>
          <w:szCs w:val="22"/>
          <w:lang w:val="sr-Latn-ME"/>
        </w:rPr>
        <w:t>koja druga neželjena dejstva</w:t>
      </w:r>
      <w:r w:rsidR="00B34BE5" w:rsidRPr="00285CEF">
        <w:rPr>
          <w:sz w:val="22"/>
          <w:szCs w:val="22"/>
          <w:lang w:val="sr-Latn-ME"/>
        </w:rPr>
        <w:t xml:space="preserve"> </w:t>
      </w:r>
      <w:r w:rsidRPr="00285CEF">
        <w:rPr>
          <w:sz w:val="22"/>
          <w:szCs w:val="22"/>
          <w:lang w:val="sr-Latn-ME"/>
        </w:rPr>
        <w:t xml:space="preserve">koja </w:t>
      </w:r>
      <w:r w:rsidR="00B34BE5" w:rsidRPr="00285CEF">
        <w:rPr>
          <w:sz w:val="22"/>
          <w:szCs w:val="22"/>
          <w:lang w:val="sr-Latn-ME"/>
        </w:rPr>
        <w:t xml:space="preserve">bi </w:t>
      </w:r>
      <w:r w:rsidRPr="00285CEF">
        <w:rPr>
          <w:sz w:val="22"/>
          <w:szCs w:val="22"/>
          <w:lang w:val="sr-Latn-ME"/>
        </w:rPr>
        <w:t xml:space="preserve">mogla </w:t>
      </w:r>
      <w:r w:rsidR="00B34BE5" w:rsidRPr="00285CEF">
        <w:rPr>
          <w:sz w:val="22"/>
          <w:szCs w:val="22"/>
          <w:lang w:val="sr-Latn-ME"/>
        </w:rPr>
        <w:t>uticati na njihovu sposobnost.</w:t>
      </w:r>
    </w:p>
    <w:p w:rsidR="00B34BE5" w:rsidRPr="00285CEF" w:rsidRDefault="00B34BE5" w:rsidP="00B64A8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4.8.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Neželjena dejstva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B64A87">
      <w:pPr>
        <w:jc w:val="both"/>
        <w:rPr>
          <w:sz w:val="22"/>
          <w:szCs w:val="22"/>
          <w:u w:val="single"/>
          <w:lang w:val="sr-Latn-ME" w:eastAsia="ja-JP"/>
        </w:rPr>
      </w:pPr>
      <w:r w:rsidRPr="00285CEF">
        <w:rPr>
          <w:sz w:val="22"/>
          <w:szCs w:val="22"/>
          <w:u w:val="single"/>
          <w:lang w:val="sr-Latn-ME" w:eastAsia="ja-JP"/>
        </w:rPr>
        <w:t xml:space="preserve">Sažetak </w:t>
      </w:r>
      <w:proofErr w:type="spellStart"/>
      <w:r w:rsidRPr="00285CEF">
        <w:rPr>
          <w:sz w:val="22"/>
          <w:szCs w:val="22"/>
          <w:u w:val="single"/>
          <w:lang w:val="sr-Latn-ME" w:eastAsia="ja-JP"/>
        </w:rPr>
        <w:t>bezbjednosnog</w:t>
      </w:r>
      <w:proofErr w:type="spellEnd"/>
      <w:r w:rsidRPr="00285CEF">
        <w:rPr>
          <w:sz w:val="22"/>
          <w:szCs w:val="22"/>
          <w:u w:val="single"/>
          <w:lang w:val="sr-Latn-ME" w:eastAsia="ja-JP"/>
        </w:rPr>
        <w:t xml:space="preserve"> profila </w:t>
      </w:r>
    </w:p>
    <w:p w:rsidR="0013132D" w:rsidRPr="00285CEF" w:rsidRDefault="0013132D" w:rsidP="00B64A87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Bezbjednost lijeka </w:t>
      </w:r>
      <w:proofErr w:type="spellStart"/>
      <w:r w:rsidRPr="00285CEF">
        <w:rPr>
          <w:sz w:val="22"/>
          <w:szCs w:val="22"/>
          <w:lang w:val="sr-Latn-ME" w:eastAsia="ja-JP"/>
        </w:rPr>
        <w:t>Cotellic</w:t>
      </w:r>
      <w:proofErr w:type="spellEnd"/>
      <w:r w:rsidRPr="00285CEF">
        <w:rPr>
          <w:sz w:val="22"/>
          <w:szCs w:val="22"/>
          <w:lang w:val="sr-Latn-ME" w:eastAsia="ja-JP"/>
        </w:rPr>
        <w:t xml:space="preserve"> u kombinaciji sa </w:t>
      </w:r>
      <w:proofErr w:type="spellStart"/>
      <w:r w:rsidRPr="00285CEF">
        <w:rPr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je procjenjivana kod 247 pacijenta sa </w:t>
      </w:r>
      <w:proofErr w:type="spellStart"/>
      <w:r w:rsidRPr="00285CEF">
        <w:rPr>
          <w:sz w:val="22"/>
          <w:szCs w:val="22"/>
          <w:lang w:val="sr-Latn-ME" w:eastAsia="ja-JP"/>
        </w:rPr>
        <w:t>uznapredovalim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melanomom</w:t>
      </w:r>
      <w:proofErr w:type="spellEnd"/>
      <w:r w:rsidRPr="00285CEF">
        <w:rPr>
          <w:sz w:val="22"/>
          <w:szCs w:val="22"/>
          <w:lang w:val="sr-Latn-ME" w:eastAsia="ja-JP"/>
        </w:rPr>
        <w:t xml:space="preserve"> sa mutacijom BRAF V600 u studiji GO28141. </w:t>
      </w:r>
      <w:proofErr w:type="spellStart"/>
      <w:r w:rsidRPr="00285CEF">
        <w:rPr>
          <w:sz w:val="22"/>
          <w:szCs w:val="22"/>
          <w:lang w:val="sr-Latn-ME" w:eastAsia="ja-JP"/>
        </w:rPr>
        <w:t>Medijana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vremena</w:t>
      </w:r>
      <w:proofErr w:type="spellEnd"/>
      <w:r w:rsidRPr="00285CEF">
        <w:rPr>
          <w:sz w:val="22"/>
          <w:szCs w:val="22"/>
          <w:lang w:val="sr-Latn-ME" w:eastAsia="ja-JP"/>
        </w:rPr>
        <w:t xml:space="preserve"> do pojave prvih neželjenih događaja ≥ 3. stepena iznosila je 0,6 mjeseci u grupi koja je primala </w:t>
      </w:r>
      <w:r w:rsidR="0047247D" w:rsidRPr="00285CEF">
        <w:rPr>
          <w:sz w:val="22"/>
          <w:szCs w:val="22"/>
          <w:lang w:val="sr-Latn-ME" w:eastAsia="ja-JP"/>
        </w:rPr>
        <w:t xml:space="preserve">lijek </w:t>
      </w:r>
      <w:proofErr w:type="spellStart"/>
      <w:r w:rsidRPr="00285CEF">
        <w:rPr>
          <w:sz w:val="22"/>
          <w:szCs w:val="22"/>
          <w:lang w:val="sr-Latn-ME" w:eastAsia="ja-JP"/>
        </w:rPr>
        <w:t>Cotellic</w:t>
      </w:r>
      <w:proofErr w:type="spellEnd"/>
      <w:r w:rsidRPr="00285CEF">
        <w:rPr>
          <w:sz w:val="22"/>
          <w:szCs w:val="22"/>
          <w:lang w:val="sr-Latn-ME" w:eastAsia="ja-JP"/>
        </w:rPr>
        <w:t xml:space="preserve"> plus </w:t>
      </w:r>
      <w:proofErr w:type="spellStart"/>
      <w:r w:rsidRPr="00285CEF">
        <w:rPr>
          <w:sz w:val="22"/>
          <w:szCs w:val="22"/>
          <w:lang w:val="sr-Latn-ME" w:eastAsia="ja-JP"/>
        </w:rPr>
        <w:t>vemurafenib</w:t>
      </w:r>
      <w:proofErr w:type="spellEnd"/>
      <w:r w:rsidR="0047247D" w:rsidRPr="00285CEF">
        <w:rPr>
          <w:sz w:val="22"/>
          <w:szCs w:val="22"/>
          <w:lang w:val="sr-Latn-ME" w:eastAsia="ja-JP"/>
        </w:rPr>
        <w:t>,</w:t>
      </w:r>
      <w:r w:rsidRPr="00285CEF">
        <w:rPr>
          <w:sz w:val="22"/>
          <w:szCs w:val="22"/>
          <w:lang w:val="sr-Latn-ME" w:eastAsia="ja-JP"/>
        </w:rPr>
        <w:t xml:space="preserve"> i 0,8 mjeseci u grupi koja je primala </w:t>
      </w:r>
      <w:proofErr w:type="spellStart"/>
      <w:r w:rsidRPr="00285CEF">
        <w:rPr>
          <w:sz w:val="22"/>
          <w:szCs w:val="22"/>
          <w:lang w:val="sr-Latn-ME" w:eastAsia="ja-JP"/>
        </w:rPr>
        <w:t>placebo</w:t>
      </w:r>
      <w:proofErr w:type="spellEnd"/>
      <w:r w:rsidRPr="00285CEF">
        <w:rPr>
          <w:sz w:val="22"/>
          <w:szCs w:val="22"/>
          <w:lang w:val="sr-Latn-ME" w:eastAsia="ja-JP"/>
        </w:rPr>
        <w:t xml:space="preserve"> plus </w:t>
      </w:r>
      <w:proofErr w:type="spellStart"/>
      <w:r w:rsidRPr="00285CEF">
        <w:rPr>
          <w:sz w:val="22"/>
          <w:szCs w:val="22"/>
          <w:lang w:val="sr-Latn-ME" w:eastAsia="ja-JP"/>
        </w:rPr>
        <w:t>vemurafenib</w:t>
      </w:r>
      <w:proofErr w:type="spellEnd"/>
      <w:r w:rsidRPr="00285CEF">
        <w:rPr>
          <w:sz w:val="22"/>
          <w:szCs w:val="22"/>
          <w:lang w:val="sr-Latn-ME" w:eastAsia="ja-JP"/>
        </w:rPr>
        <w:t xml:space="preserve">.  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8D0ED5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Bezbjednost lijeka </w:t>
      </w:r>
      <w:proofErr w:type="spellStart"/>
      <w:r w:rsidRPr="00285CEF">
        <w:rPr>
          <w:sz w:val="22"/>
          <w:szCs w:val="22"/>
          <w:lang w:val="sr-Latn-ME" w:eastAsia="ja-JP"/>
        </w:rPr>
        <w:t>Cotellic</w:t>
      </w:r>
      <w:proofErr w:type="spellEnd"/>
      <w:r w:rsidRPr="00285CEF">
        <w:rPr>
          <w:sz w:val="22"/>
          <w:szCs w:val="22"/>
          <w:lang w:val="sr-Latn-ME" w:eastAsia="ja-JP"/>
        </w:rPr>
        <w:t xml:space="preserve"> u kombinaciji sa </w:t>
      </w:r>
      <w:proofErr w:type="spellStart"/>
      <w:r w:rsidRPr="00285CEF">
        <w:rPr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procjenjivana je i kod 129 pacijenata sa </w:t>
      </w:r>
      <w:proofErr w:type="spellStart"/>
      <w:r w:rsidRPr="00285CEF">
        <w:rPr>
          <w:sz w:val="22"/>
          <w:szCs w:val="22"/>
          <w:lang w:val="sr-Latn-ME" w:eastAsia="ja-JP"/>
        </w:rPr>
        <w:t>uznapredovalim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melanomom</w:t>
      </w:r>
      <w:proofErr w:type="spellEnd"/>
      <w:r w:rsidRPr="00285CEF">
        <w:rPr>
          <w:sz w:val="22"/>
          <w:szCs w:val="22"/>
          <w:lang w:val="sr-Latn-ME" w:eastAsia="ja-JP"/>
        </w:rPr>
        <w:t xml:space="preserve"> sa mutacijom BRAF V600 u studiji NO25395. </w:t>
      </w:r>
      <w:proofErr w:type="spellStart"/>
      <w:r w:rsidR="0047247D" w:rsidRPr="00285CEF">
        <w:rPr>
          <w:sz w:val="22"/>
          <w:szCs w:val="22"/>
          <w:lang w:val="sr-Latn-ME" w:eastAsia="ja-JP"/>
        </w:rPr>
        <w:t>Bezbjednosni</w:t>
      </w:r>
      <w:proofErr w:type="spellEnd"/>
      <w:r w:rsidR="0047247D" w:rsidRPr="00285CEF">
        <w:rPr>
          <w:sz w:val="22"/>
          <w:szCs w:val="22"/>
          <w:lang w:val="sr-Latn-ME" w:eastAsia="ja-JP"/>
        </w:rPr>
        <w:t xml:space="preserve"> </w:t>
      </w:r>
      <w:r w:rsidRPr="00285CEF">
        <w:rPr>
          <w:sz w:val="22"/>
          <w:szCs w:val="22"/>
          <w:lang w:val="sr-Latn-ME" w:eastAsia="ja-JP"/>
        </w:rPr>
        <w:t xml:space="preserve">profil u studiji NO25395 </w:t>
      </w:r>
      <w:r w:rsidR="0047247D" w:rsidRPr="00285CEF">
        <w:rPr>
          <w:sz w:val="22"/>
          <w:szCs w:val="22"/>
          <w:lang w:val="sr-Latn-ME" w:eastAsia="ja-JP"/>
        </w:rPr>
        <w:t xml:space="preserve">bio </w:t>
      </w:r>
      <w:r w:rsidRPr="00285CEF">
        <w:rPr>
          <w:sz w:val="22"/>
          <w:szCs w:val="22"/>
          <w:lang w:val="sr-Latn-ME" w:eastAsia="ja-JP"/>
        </w:rPr>
        <w:t xml:space="preserve">je u skladu sa </w:t>
      </w:r>
      <w:r w:rsidR="0047247D" w:rsidRPr="00285CEF">
        <w:rPr>
          <w:sz w:val="22"/>
          <w:szCs w:val="22"/>
          <w:lang w:val="sr-Latn-ME" w:eastAsia="ja-JP"/>
        </w:rPr>
        <w:t xml:space="preserve">onim </w:t>
      </w:r>
      <w:proofErr w:type="spellStart"/>
      <w:r w:rsidR="0047247D" w:rsidRPr="00285CEF">
        <w:rPr>
          <w:sz w:val="22"/>
          <w:szCs w:val="22"/>
          <w:lang w:val="sr-Latn-ME" w:eastAsia="ja-JP"/>
        </w:rPr>
        <w:t>primijećenim</w:t>
      </w:r>
      <w:proofErr w:type="spellEnd"/>
      <w:r w:rsidR="0047247D" w:rsidRPr="00285CEF">
        <w:rPr>
          <w:sz w:val="22"/>
          <w:szCs w:val="22"/>
          <w:lang w:val="sr-Latn-ME" w:eastAsia="ja-JP"/>
        </w:rPr>
        <w:t xml:space="preserve"> </w:t>
      </w:r>
      <w:r w:rsidRPr="00285CEF">
        <w:rPr>
          <w:sz w:val="22"/>
          <w:szCs w:val="22"/>
          <w:lang w:val="sr-Latn-ME" w:eastAsia="ja-JP"/>
        </w:rPr>
        <w:t xml:space="preserve">u studiji GO28141. </w:t>
      </w:r>
    </w:p>
    <w:p w:rsidR="0013132D" w:rsidRPr="00285CEF" w:rsidRDefault="0013132D" w:rsidP="00CC3B0C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B724B9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U studiji GO28141, najčešća neželjena dejstva (&gt; 20%) primijećena sa većom učestalošću u grupi koja je primala </w:t>
      </w:r>
      <w:r w:rsidR="0047247D" w:rsidRPr="00285CEF">
        <w:rPr>
          <w:sz w:val="22"/>
          <w:szCs w:val="22"/>
          <w:lang w:val="sr-Latn-ME" w:eastAsia="ja-JP"/>
        </w:rPr>
        <w:t xml:space="preserve">lijek </w:t>
      </w:r>
      <w:proofErr w:type="spellStart"/>
      <w:r w:rsidRPr="00285CEF">
        <w:rPr>
          <w:sz w:val="22"/>
          <w:szCs w:val="22"/>
          <w:lang w:val="sr-Latn-ME" w:eastAsia="ja-JP"/>
        </w:rPr>
        <w:t>Cotellic</w:t>
      </w:r>
      <w:proofErr w:type="spellEnd"/>
      <w:r w:rsidRPr="00285CEF">
        <w:rPr>
          <w:sz w:val="22"/>
          <w:szCs w:val="22"/>
          <w:lang w:val="sr-Latn-ME" w:eastAsia="ja-JP"/>
        </w:rPr>
        <w:t xml:space="preserve"> plus </w:t>
      </w:r>
      <w:proofErr w:type="spellStart"/>
      <w:r w:rsidRPr="00285CEF">
        <w:rPr>
          <w:sz w:val="22"/>
          <w:szCs w:val="22"/>
          <w:lang w:val="sr-Latn-ME" w:eastAsia="ja-JP"/>
        </w:rPr>
        <w:t>vemurafenib</w:t>
      </w:r>
      <w:proofErr w:type="spellEnd"/>
      <w:r w:rsidRPr="00285CEF">
        <w:rPr>
          <w:sz w:val="22"/>
          <w:szCs w:val="22"/>
          <w:lang w:val="sr-Latn-ME" w:eastAsia="ja-JP"/>
        </w:rPr>
        <w:t xml:space="preserve"> bila su dijareja, osip, mučnina, </w:t>
      </w:r>
      <w:proofErr w:type="spellStart"/>
      <w:r w:rsidRPr="00285CEF">
        <w:rPr>
          <w:sz w:val="22"/>
          <w:szCs w:val="22"/>
          <w:lang w:val="sr-Latn-ME" w:eastAsia="ja-JP"/>
        </w:rPr>
        <w:t>pireksija</w:t>
      </w:r>
      <w:proofErr w:type="spellEnd"/>
      <w:r w:rsidRPr="00285CEF">
        <w:rPr>
          <w:sz w:val="22"/>
          <w:szCs w:val="22"/>
          <w:lang w:val="sr-Latn-ME" w:eastAsia="ja-JP"/>
        </w:rPr>
        <w:t xml:space="preserve">, reakcija </w:t>
      </w:r>
      <w:proofErr w:type="spellStart"/>
      <w:r w:rsidR="005915FD" w:rsidRPr="00285CEF">
        <w:rPr>
          <w:sz w:val="22"/>
          <w:szCs w:val="22"/>
          <w:lang w:val="sr-Latn-ME" w:eastAsia="ja-JP"/>
        </w:rPr>
        <w:t>fotosenzitivnosti</w:t>
      </w:r>
      <w:proofErr w:type="spellEnd"/>
      <w:r w:rsidRPr="00285CEF">
        <w:rPr>
          <w:sz w:val="22"/>
          <w:szCs w:val="22"/>
          <w:lang w:val="sr-Latn-ME" w:eastAsia="ja-JP"/>
        </w:rPr>
        <w:t xml:space="preserve">, povišene vrijednosti </w:t>
      </w:r>
      <w:proofErr w:type="spellStart"/>
      <w:r w:rsidRPr="00285CEF">
        <w:rPr>
          <w:sz w:val="22"/>
          <w:szCs w:val="22"/>
          <w:lang w:val="sr-Latn-ME" w:eastAsia="ja-JP"/>
        </w:rPr>
        <w:t>alanin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aminotransferaze</w:t>
      </w:r>
      <w:proofErr w:type="spellEnd"/>
      <w:r w:rsidRPr="00285CEF">
        <w:rPr>
          <w:sz w:val="22"/>
          <w:szCs w:val="22"/>
          <w:lang w:val="sr-Latn-ME" w:eastAsia="ja-JP"/>
        </w:rPr>
        <w:t xml:space="preserve">, povišene vrijednosti </w:t>
      </w:r>
      <w:proofErr w:type="spellStart"/>
      <w:r w:rsidRPr="00285CEF">
        <w:rPr>
          <w:sz w:val="22"/>
          <w:szCs w:val="22"/>
          <w:lang w:val="sr-Latn-ME" w:eastAsia="ja-JP"/>
        </w:rPr>
        <w:t>aspartat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aminotransferaze</w:t>
      </w:r>
      <w:proofErr w:type="spellEnd"/>
      <w:r w:rsidRPr="00285CEF">
        <w:rPr>
          <w:sz w:val="22"/>
          <w:szCs w:val="22"/>
          <w:lang w:val="sr-Latn-ME" w:eastAsia="ja-JP"/>
        </w:rPr>
        <w:t xml:space="preserve">, povišene vrijednosti </w:t>
      </w:r>
      <w:proofErr w:type="spellStart"/>
      <w:r w:rsidRPr="00285CEF">
        <w:rPr>
          <w:sz w:val="22"/>
          <w:szCs w:val="22"/>
          <w:lang w:val="sr-Latn-ME" w:eastAsia="ja-JP"/>
        </w:rPr>
        <w:t>kreatin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fosfokinaze</w:t>
      </w:r>
      <w:proofErr w:type="spellEnd"/>
      <w:r w:rsidRPr="00285CEF">
        <w:rPr>
          <w:sz w:val="22"/>
          <w:szCs w:val="22"/>
          <w:lang w:val="sr-Latn-ME" w:eastAsia="ja-JP"/>
        </w:rPr>
        <w:t xml:space="preserve"> u krvi i povraćanje. Najčešća neželjena dejstva (&gt; 20%) primijećena sa većom učestalošću u grupi koja je primala </w:t>
      </w:r>
      <w:proofErr w:type="spellStart"/>
      <w:r w:rsidRPr="00285CEF">
        <w:rPr>
          <w:sz w:val="22"/>
          <w:szCs w:val="22"/>
          <w:lang w:val="sr-Latn-ME" w:eastAsia="ja-JP"/>
        </w:rPr>
        <w:t>placebo</w:t>
      </w:r>
      <w:proofErr w:type="spellEnd"/>
      <w:r w:rsidRPr="00285CEF">
        <w:rPr>
          <w:sz w:val="22"/>
          <w:szCs w:val="22"/>
          <w:lang w:val="sr-Latn-ME" w:eastAsia="ja-JP"/>
        </w:rPr>
        <w:t xml:space="preserve"> plus </w:t>
      </w:r>
      <w:proofErr w:type="spellStart"/>
      <w:r w:rsidRPr="00285CEF">
        <w:rPr>
          <w:sz w:val="22"/>
          <w:szCs w:val="22"/>
          <w:lang w:val="sr-Latn-ME" w:eastAsia="ja-JP"/>
        </w:rPr>
        <w:t>vemurafenib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r w:rsidR="0047247D" w:rsidRPr="00285CEF">
        <w:rPr>
          <w:sz w:val="22"/>
          <w:szCs w:val="22"/>
          <w:lang w:val="sr-Latn-ME" w:eastAsia="ja-JP"/>
        </w:rPr>
        <w:t xml:space="preserve">bila </w:t>
      </w:r>
      <w:r w:rsidRPr="00285CEF">
        <w:rPr>
          <w:sz w:val="22"/>
          <w:szCs w:val="22"/>
          <w:lang w:val="sr-Latn-ME" w:eastAsia="ja-JP"/>
        </w:rPr>
        <w:t xml:space="preserve">su </w:t>
      </w:r>
      <w:proofErr w:type="spellStart"/>
      <w:r w:rsidRPr="00285CEF">
        <w:rPr>
          <w:sz w:val="22"/>
          <w:szCs w:val="22"/>
          <w:lang w:val="sr-Latn-ME" w:eastAsia="ja-JP"/>
        </w:rPr>
        <w:t>artralgija</w:t>
      </w:r>
      <w:proofErr w:type="spellEnd"/>
      <w:r w:rsidRPr="00285CEF">
        <w:rPr>
          <w:sz w:val="22"/>
          <w:szCs w:val="22"/>
          <w:lang w:val="sr-Latn-ME" w:eastAsia="ja-JP"/>
        </w:rPr>
        <w:t xml:space="preserve">, alopecija i </w:t>
      </w:r>
      <w:proofErr w:type="spellStart"/>
      <w:r w:rsidRPr="00285CEF">
        <w:rPr>
          <w:sz w:val="22"/>
          <w:szCs w:val="22"/>
          <w:lang w:val="sr-Latn-ME" w:eastAsia="ja-JP"/>
        </w:rPr>
        <w:t>hiperkeratoza</w:t>
      </w:r>
      <w:proofErr w:type="spellEnd"/>
      <w:r w:rsidRPr="00285CEF">
        <w:rPr>
          <w:sz w:val="22"/>
          <w:szCs w:val="22"/>
          <w:lang w:val="sr-Latn-ME" w:eastAsia="ja-JP"/>
        </w:rPr>
        <w:t xml:space="preserve">. Umor je u obje grupe primijećen sa sličnom učestalošću. 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DA6C1D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Za kompletan opis svih neželjenih dejstava povezanih sa liječenjem </w:t>
      </w:r>
      <w:proofErr w:type="spellStart"/>
      <w:r w:rsidRPr="00285CEF">
        <w:rPr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vidjeti Sažetak karakteristika lijeka za </w:t>
      </w:r>
      <w:proofErr w:type="spellStart"/>
      <w:r w:rsidRPr="00285CEF">
        <w:rPr>
          <w:sz w:val="22"/>
          <w:szCs w:val="22"/>
          <w:lang w:val="sr-Latn-ME" w:eastAsia="ja-JP"/>
        </w:rPr>
        <w:t>vemurafenib</w:t>
      </w:r>
      <w:proofErr w:type="spellEnd"/>
      <w:r w:rsidRPr="00285CEF">
        <w:rPr>
          <w:sz w:val="22"/>
          <w:szCs w:val="22"/>
          <w:lang w:val="sr-Latn-ME" w:eastAsia="ja-JP"/>
        </w:rPr>
        <w:t>.</w:t>
      </w:r>
    </w:p>
    <w:p w:rsidR="0013132D" w:rsidRPr="00285CEF" w:rsidRDefault="0013132D" w:rsidP="00B64A87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B64A87">
      <w:pPr>
        <w:jc w:val="both"/>
        <w:rPr>
          <w:sz w:val="22"/>
          <w:szCs w:val="22"/>
          <w:u w:val="single"/>
          <w:lang w:val="sr-Latn-ME" w:eastAsia="ja-JP"/>
        </w:rPr>
      </w:pPr>
      <w:r w:rsidRPr="00285CEF">
        <w:rPr>
          <w:sz w:val="22"/>
          <w:szCs w:val="22"/>
          <w:u w:val="single"/>
          <w:lang w:val="sr-Latn-ME" w:eastAsia="ja-JP"/>
        </w:rPr>
        <w:t xml:space="preserve">Tabelarni prikaz neželjenih dejstava </w:t>
      </w:r>
    </w:p>
    <w:p w:rsidR="00E77C1F" w:rsidRPr="00285CEF" w:rsidRDefault="00E77C1F" w:rsidP="00B64A87">
      <w:pPr>
        <w:jc w:val="both"/>
        <w:rPr>
          <w:sz w:val="22"/>
          <w:szCs w:val="22"/>
          <w:u w:val="single"/>
          <w:lang w:val="sr-Latn-ME" w:eastAsia="ja-JP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Neželjena dejstva se zasnivaju na rezultatima iz </w:t>
      </w:r>
      <w:proofErr w:type="spellStart"/>
      <w:r w:rsidRPr="00285CEF">
        <w:rPr>
          <w:sz w:val="22"/>
          <w:szCs w:val="22"/>
          <w:lang w:val="sr-Latn-ME" w:eastAsia="ja-JP"/>
        </w:rPr>
        <w:t>multicentrične</w:t>
      </w:r>
      <w:proofErr w:type="spellEnd"/>
      <w:r w:rsidRPr="00285CEF">
        <w:rPr>
          <w:sz w:val="22"/>
          <w:szCs w:val="22"/>
          <w:lang w:val="sr-Latn-ME" w:eastAsia="ja-JP"/>
        </w:rPr>
        <w:t xml:space="preserve">, </w:t>
      </w:r>
      <w:proofErr w:type="spellStart"/>
      <w:r w:rsidRPr="00285CEF">
        <w:rPr>
          <w:sz w:val="22"/>
          <w:szCs w:val="22"/>
          <w:lang w:val="sr-Latn-ME" w:eastAsia="ja-JP"/>
        </w:rPr>
        <w:t>randomizovane</w:t>
      </w:r>
      <w:proofErr w:type="spellEnd"/>
      <w:r w:rsidRPr="00285CEF">
        <w:rPr>
          <w:sz w:val="22"/>
          <w:szCs w:val="22"/>
          <w:lang w:val="sr-Latn-ME" w:eastAsia="ja-JP"/>
        </w:rPr>
        <w:t xml:space="preserve">, dvostruko slijepe, </w:t>
      </w:r>
      <w:proofErr w:type="spellStart"/>
      <w:r w:rsidRPr="00285CEF">
        <w:rPr>
          <w:sz w:val="22"/>
          <w:szCs w:val="22"/>
          <w:lang w:val="sr-Latn-ME" w:eastAsia="ja-JP"/>
        </w:rPr>
        <w:t>placebom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kontrolisane studije faze III (GO28141) u kojoj su se ocjenjivale bezbjednost i efikasnost lijeka </w:t>
      </w:r>
      <w:proofErr w:type="spellStart"/>
      <w:r w:rsidRPr="00285CEF">
        <w:rPr>
          <w:sz w:val="22"/>
          <w:szCs w:val="22"/>
          <w:lang w:val="sr-Latn-ME" w:eastAsia="ja-JP"/>
        </w:rPr>
        <w:t>Cotellic</w:t>
      </w:r>
      <w:proofErr w:type="spellEnd"/>
      <w:r w:rsidRPr="00285CEF">
        <w:rPr>
          <w:sz w:val="22"/>
          <w:szCs w:val="22"/>
          <w:lang w:val="sr-Latn-ME" w:eastAsia="ja-JP"/>
        </w:rPr>
        <w:t xml:space="preserve"> u kombinaciji sa </w:t>
      </w:r>
      <w:proofErr w:type="spellStart"/>
      <w:r w:rsidRPr="00285CEF">
        <w:rPr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u odnosu na </w:t>
      </w:r>
      <w:proofErr w:type="spellStart"/>
      <w:r w:rsidRPr="00285CEF">
        <w:rPr>
          <w:sz w:val="22"/>
          <w:szCs w:val="22"/>
          <w:lang w:val="sr-Latn-ME" w:eastAsia="ja-JP"/>
        </w:rPr>
        <w:t>monoterapiju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kod prethodno </w:t>
      </w:r>
      <w:proofErr w:type="spellStart"/>
      <w:r w:rsidRPr="00285CEF">
        <w:rPr>
          <w:sz w:val="22"/>
          <w:szCs w:val="22"/>
          <w:lang w:val="sr-Latn-ME" w:eastAsia="ja-JP"/>
        </w:rPr>
        <w:t>neliječenih</w:t>
      </w:r>
      <w:proofErr w:type="spellEnd"/>
      <w:r w:rsidRPr="00285CEF">
        <w:rPr>
          <w:sz w:val="22"/>
          <w:szCs w:val="22"/>
          <w:lang w:val="sr-Latn-ME" w:eastAsia="ja-JP"/>
        </w:rPr>
        <w:t xml:space="preserve"> pacijenata sa </w:t>
      </w:r>
      <w:proofErr w:type="spellStart"/>
      <w:r w:rsidRPr="00285CEF">
        <w:rPr>
          <w:sz w:val="22"/>
          <w:szCs w:val="22"/>
          <w:lang w:val="sr-Latn-ME" w:eastAsia="ja-JP"/>
        </w:rPr>
        <w:t>neoperabilnim</w:t>
      </w:r>
      <w:proofErr w:type="spellEnd"/>
      <w:r w:rsidRPr="00285CEF">
        <w:rPr>
          <w:sz w:val="22"/>
          <w:szCs w:val="22"/>
          <w:lang w:val="sr-Latn-ME" w:eastAsia="ja-JP"/>
        </w:rPr>
        <w:t xml:space="preserve">, lokalno </w:t>
      </w:r>
      <w:proofErr w:type="spellStart"/>
      <w:r w:rsidRPr="00285CEF">
        <w:rPr>
          <w:sz w:val="22"/>
          <w:szCs w:val="22"/>
          <w:lang w:val="sr-Latn-ME" w:eastAsia="ja-JP"/>
        </w:rPr>
        <w:t>uznapredovalim</w:t>
      </w:r>
      <w:proofErr w:type="spellEnd"/>
      <w:r w:rsidRPr="00285CEF">
        <w:rPr>
          <w:sz w:val="22"/>
          <w:szCs w:val="22"/>
          <w:lang w:val="sr-Latn-ME" w:eastAsia="ja-JP"/>
        </w:rPr>
        <w:t xml:space="preserve"> (stadijum </w:t>
      </w:r>
      <w:proofErr w:type="spellStart"/>
      <w:r w:rsidRPr="00285CEF">
        <w:rPr>
          <w:sz w:val="22"/>
          <w:szCs w:val="22"/>
          <w:lang w:val="sr-Latn-ME" w:eastAsia="ja-JP"/>
        </w:rPr>
        <w:t>IIIc</w:t>
      </w:r>
      <w:proofErr w:type="spellEnd"/>
      <w:r w:rsidRPr="00285CEF">
        <w:rPr>
          <w:sz w:val="22"/>
          <w:szCs w:val="22"/>
          <w:lang w:val="sr-Latn-ME" w:eastAsia="ja-JP"/>
        </w:rPr>
        <w:t xml:space="preserve">) ili </w:t>
      </w:r>
      <w:proofErr w:type="spellStart"/>
      <w:r w:rsidRPr="00285CEF">
        <w:rPr>
          <w:sz w:val="22"/>
          <w:szCs w:val="22"/>
          <w:lang w:val="sr-Latn-ME" w:eastAsia="ja-JP"/>
        </w:rPr>
        <w:t>metastatskim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melanomom</w:t>
      </w:r>
      <w:proofErr w:type="spellEnd"/>
      <w:r w:rsidRPr="00285CEF">
        <w:rPr>
          <w:sz w:val="22"/>
          <w:szCs w:val="22"/>
          <w:lang w:val="sr-Latn-ME" w:eastAsia="ja-JP"/>
        </w:rPr>
        <w:t xml:space="preserve"> (stadijum IV), koji su bili pozitivni na mutaciju BRAF V600.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8D0ED5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Učestalost neželjenih dejstava određena je na osnovu analize bezbjednosti primjene kod pacijenata liječenih </w:t>
      </w:r>
      <w:proofErr w:type="spellStart"/>
      <w:r w:rsidRPr="00285CEF">
        <w:rPr>
          <w:sz w:val="22"/>
          <w:szCs w:val="22"/>
          <w:lang w:val="sr-Latn-ME" w:eastAsia="ja-JP"/>
        </w:rPr>
        <w:t>kobimetinibom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plus </w:t>
      </w:r>
      <w:proofErr w:type="spellStart"/>
      <w:r w:rsidRPr="00285CEF">
        <w:rPr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, uz </w:t>
      </w:r>
      <w:proofErr w:type="spellStart"/>
      <w:r w:rsidRPr="00285CEF">
        <w:rPr>
          <w:sz w:val="22"/>
          <w:szCs w:val="22"/>
          <w:lang w:val="sr-Latn-ME" w:eastAsia="ja-JP"/>
        </w:rPr>
        <w:t>medijanu</w:t>
      </w:r>
      <w:proofErr w:type="spellEnd"/>
      <w:r w:rsidRPr="00285CEF">
        <w:rPr>
          <w:sz w:val="22"/>
          <w:szCs w:val="22"/>
          <w:lang w:val="sr-Latn-ME" w:eastAsia="ja-JP"/>
        </w:rPr>
        <w:t xml:space="preserve"> trajanja praćenja od 11,2 mjeseci (podaci prikupljeni do 19. septembra 2014.).</w:t>
      </w:r>
    </w:p>
    <w:p w:rsidR="0013132D" w:rsidRPr="00285CEF" w:rsidRDefault="0013132D" w:rsidP="00B64A87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Neželjena dejstva prijavljena kod pacijenata sa </w:t>
      </w:r>
      <w:proofErr w:type="spellStart"/>
      <w:r w:rsidRPr="00285CEF">
        <w:rPr>
          <w:sz w:val="22"/>
          <w:szCs w:val="22"/>
          <w:lang w:val="sr-Latn-ME" w:eastAsia="ja-JP"/>
        </w:rPr>
        <w:t>melanomom</w:t>
      </w:r>
      <w:proofErr w:type="spellEnd"/>
      <w:r w:rsidRPr="00285CEF">
        <w:rPr>
          <w:sz w:val="22"/>
          <w:szCs w:val="22"/>
          <w:lang w:val="sr-Latn-ME" w:eastAsia="ja-JP"/>
        </w:rPr>
        <w:t xml:space="preserve"> navedena su prema </w:t>
      </w:r>
      <w:proofErr w:type="spellStart"/>
      <w:r w:rsidRPr="00285CEF">
        <w:rPr>
          <w:sz w:val="22"/>
          <w:szCs w:val="22"/>
          <w:lang w:val="sr-Latn-ME" w:eastAsia="ja-JP"/>
        </w:rPr>
        <w:t>MedDRA</w:t>
      </w:r>
      <w:proofErr w:type="spellEnd"/>
      <w:r w:rsidRPr="00285CEF">
        <w:rPr>
          <w:sz w:val="22"/>
          <w:szCs w:val="22"/>
          <w:lang w:val="sr-Latn-ME" w:eastAsia="ja-JP"/>
        </w:rPr>
        <w:t xml:space="preserve"> klasifikaciji organskih sistema, učestalosti i stepenu težine. Za određivanje učestalosti ispoljavanja korištene su sljedeće kategorije: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8D0ED5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>Veoma često ≥ 1/10</w:t>
      </w:r>
    </w:p>
    <w:p w:rsidR="0013132D" w:rsidRPr="00285CEF" w:rsidRDefault="0013132D" w:rsidP="00CC3B0C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>Često ≥ 1/100 i &lt; 1/10</w:t>
      </w:r>
    </w:p>
    <w:p w:rsidR="0013132D" w:rsidRPr="00285CEF" w:rsidRDefault="0013132D" w:rsidP="00B724B9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>Povremeno ≥ 1/1000 i &lt; 1/100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Rijetko ≥ 1/10 000 i &lt; 1/1000 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>Veoma rijetko &lt; 1/10 000.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DA6C1D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U Tabeli 3 navode se neželjena dejstva koja se smatraju povezanim sa primjenom lijeka </w:t>
      </w:r>
      <w:proofErr w:type="spellStart"/>
      <w:r w:rsidRPr="00285CEF">
        <w:rPr>
          <w:sz w:val="22"/>
          <w:szCs w:val="22"/>
          <w:lang w:val="sr-Latn-ME" w:eastAsia="ja-JP"/>
        </w:rPr>
        <w:t>Cotellic</w:t>
      </w:r>
      <w:proofErr w:type="spellEnd"/>
      <w:r w:rsidRPr="00285CEF">
        <w:rPr>
          <w:sz w:val="22"/>
          <w:szCs w:val="22"/>
          <w:lang w:val="sr-Latn-ME" w:eastAsia="ja-JP"/>
        </w:rPr>
        <w:t>. U okviru svake kategorije učestalosti</w:t>
      </w:r>
      <w:r w:rsidR="0047247D" w:rsidRPr="00285CEF">
        <w:rPr>
          <w:sz w:val="22"/>
          <w:szCs w:val="22"/>
          <w:lang w:val="sr-Latn-ME" w:eastAsia="ja-JP"/>
        </w:rPr>
        <w:t>,</w:t>
      </w:r>
      <w:r w:rsidRPr="00285CEF">
        <w:rPr>
          <w:sz w:val="22"/>
          <w:szCs w:val="22"/>
          <w:lang w:val="sr-Latn-ME" w:eastAsia="ja-JP"/>
        </w:rPr>
        <w:t xml:space="preserve"> neželjena dejstva su navedena u padajućem nizu prema težini, a prijavljena su u skladu sa verzijom 4.0 kriterijuma Zajedničkih terminoloških kriterijuma za neželjena </w:t>
      </w:r>
      <w:r w:rsidRPr="00285CEF">
        <w:rPr>
          <w:sz w:val="22"/>
          <w:szCs w:val="22"/>
          <w:lang w:val="sr-Latn-ME" w:eastAsia="ja-JP"/>
        </w:rPr>
        <w:lastRenderedPageBreak/>
        <w:t xml:space="preserve">dejstva nacionalnog instituta za </w:t>
      </w:r>
      <w:proofErr w:type="spellStart"/>
      <w:r w:rsidR="0047247D" w:rsidRPr="00285CEF">
        <w:rPr>
          <w:sz w:val="22"/>
          <w:szCs w:val="22"/>
          <w:lang w:val="sr-Latn-ME" w:eastAsia="ja-JP"/>
        </w:rPr>
        <w:t>karcinom</w:t>
      </w:r>
      <w:proofErr w:type="spellEnd"/>
      <w:r w:rsidR="0047247D" w:rsidRPr="00285CEF">
        <w:rPr>
          <w:sz w:val="22"/>
          <w:szCs w:val="22"/>
          <w:lang w:val="sr-Latn-ME" w:eastAsia="ja-JP"/>
        </w:rPr>
        <w:t xml:space="preserve"> </w:t>
      </w:r>
      <w:r w:rsidRPr="00285CEF">
        <w:rPr>
          <w:sz w:val="22"/>
          <w:szCs w:val="22"/>
          <w:lang w:val="sr-Latn-ME" w:eastAsia="ja-JP"/>
        </w:rPr>
        <w:t xml:space="preserve">(engl. </w:t>
      </w:r>
      <w:proofErr w:type="spellStart"/>
      <w:r w:rsidRPr="00285CEF">
        <w:rPr>
          <w:i/>
          <w:sz w:val="22"/>
          <w:szCs w:val="22"/>
          <w:lang w:val="sr-Latn-ME" w:eastAsia="ja-JP"/>
        </w:rPr>
        <w:t>National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i/>
          <w:sz w:val="22"/>
          <w:szCs w:val="22"/>
          <w:lang w:val="sr-Latn-ME" w:eastAsia="ja-JP"/>
        </w:rPr>
        <w:t>Cancer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Institute </w:t>
      </w:r>
      <w:proofErr w:type="spellStart"/>
      <w:r w:rsidRPr="00285CEF">
        <w:rPr>
          <w:i/>
          <w:sz w:val="22"/>
          <w:szCs w:val="22"/>
          <w:lang w:val="sr-Latn-ME" w:eastAsia="ja-JP"/>
        </w:rPr>
        <w:t>Common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i/>
          <w:sz w:val="22"/>
          <w:szCs w:val="22"/>
          <w:lang w:val="sr-Latn-ME" w:eastAsia="ja-JP"/>
        </w:rPr>
        <w:t>Terminology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i/>
          <w:sz w:val="22"/>
          <w:szCs w:val="22"/>
          <w:lang w:val="sr-Latn-ME" w:eastAsia="ja-JP"/>
        </w:rPr>
        <w:t>Criteria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i/>
          <w:sz w:val="22"/>
          <w:szCs w:val="22"/>
          <w:lang w:val="sr-Latn-ME" w:eastAsia="ja-JP"/>
        </w:rPr>
        <w:t>for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i/>
          <w:sz w:val="22"/>
          <w:szCs w:val="22"/>
          <w:lang w:val="sr-Latn-ME" w:eastAsia="ja-JP"/>
        </w:rPr>
        <w:t>Adverse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i/>
          <w:sz w:val="22"/>
          <w:szCs w:val="22"/>
          <w:lang w:val="sr-Latn-ME" w:eastAsia="ja-JP"/>
        </w:rPr>
        <w:t>Events</w:t>
      </w:r>
      <w:proofErr w:type="spellEnd"/>
      <w:r w:rsidRPr="00285CEF">
        <w:rPr>
          <w:sz w:val="22"/>
          <w:szCs w:val="22"/>
          <w:lang w:val="sr-Latn-ME" w:eastAsia="ja-JP"/>
        </w:rPr>
        <w:t xml:space="preserve">, NCI-CTCAE, v4.0) za procjenu toksičnosti u studiji GO28141. 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 w:eastAsia="ja-JP"/>
        </w:rPr>
      </w:pPr>
    </w:p>
    <w:p w:rsidR="0013132D" w:rsidRPr="00285CEF" w:rsidRDefault="0013132D" w:rsidP="00B64A87">
      <w:pPr>
        <w:ind w:left="885" w:hanging="885"/>
        <w:jc w:val="both"/>
        <w:rPr>
          <w:b/>
          <w:sz w:val="22"/>
          <w:szCs w:val="22"/>
          <w:lang w:val="sr-Latn-ME" w:eastAsia="ja-JP"/>
        </w:rPr>
      </w:pPr>
      <w:r w:rsidRPr="00285CEF">
        <w:rPr>
          <w:b/>
          <w:sz w:val="22"/>
          <w:szCs w:val="22"/>
          <w:lang w:val="sr-Latn-ME" w:eastAsia="ja-JP"/>
        </w:rPr>
        <w:t xml:space="preserve">Tabela 3 Neželjena dejstva kod pacijenata liječenih lijekom </w:t>
      </w:r>
      <w:proofErr w:type="spellStart"/>
      <w:r w:rsidRPr="00285CEF">
        <w:rPr>
          <w:b/>
          <w:sz w:val="22"/>
          <w:szCs w:val="22"/>
          <w:lang w:val="sr-Latn-ME" w:eastAsia="ja-JP"/>
        </w:rPr>
        <w:t>Cotellic</w:t>
      </w:r>
      <w:proofErr w:type="spellEnd"/>
      <w:r w:rsidRPr="00285CEF">
        <w:rPr>
          <w:b/>
          <w:sz w:val="22"/>
          <w:szCs w:val="22"/>
          <w:lang w:val="sr-Latn-ME" w:eastAsia="ja-JP"/>
        </w:rPr>
        <w:t xml:space="preserve"> u kombinaciji sa </w:t>
      </w:r>
      <w:proofErr w:type="spellStart"/>
      <w:r w:rsidRPr="00285CEF">
        <w:rPr>
          <w:b/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b/>
          <w:sz w:val="22"/>
          <w:szCs w:val="22"/>
          <w:lang w:val="sr-Latn-ME" w:eastAsia="ja-JP"/>
        </w:rPr>
        <w:t xml:space="preserve"> u studiji GO28141^</w:t>
      </w:r>
    </w:p>
    <w:p w:rsidR="004A5F6A" w:rsidRPr="00285CEF" w:rsidRDefault="004A5F6A" w:rsidP="00B64A87">
      <w:pPr>
        <w:ind w:left="885" w:hanging="885"/>
        <w:jc w:val="both"/>
        <w:rPr>
          <w:b/>
          <w:sz w:val="22"/>
          <w:szCs w:val="22"/>
          <w:lang w:val="sr-Latn-ME" w:eastAsia="ja-JP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2250"/>
        <w:gridCol w:w="2700"/>
        <w:gridCol w:w="2052"/>
      </w:tblGrid>
      <w:tr w:rsidR="0013132D" w:rsidRPr="00285CEF" w:rsidTr="00B64A87">
        <w:trPr>
          <w:trHeight w:val="244"/>
        </w:trPr>
        <w:tc>
          <w:tcPr>
            <w:tcW w:w="2065" w:type="dxa"/>
            <w:shd w:val="clear" w:color="auto" w:fill="auto"/>
            <w:vAlign w:val="center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rFonts w:eastAsia="MS Mincho"/>
                <w:b/>
                <w:bCs/>
                <w:sz w:val="22"/>
                <w:szCs w:val="22"/>
                <w:lang w:val="sr-Latn-ME" w:eastAsia="zh-CN" w:bidi="th-TH"/>
              </w:rPr>
              <w:t xml:space="preserve">Klasa sistema organa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</w:p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Veoma često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</w:p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Često</w:t>
            </w: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</w:p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Povremeno</w:t>
            </w:r>
          </w:p>
        </w:tc>
      </w:tr>
      <w:tr w:rsidR="0013132D" w:rsidRPr="00285CEF" w:rsidTr="00B64A87">
        <w:trPr>
          <w:trHeight w:val="750"/>
        </w:trPr>
        <w:tc>
          <w:tcPr>
            <w:tcW w:w="2065" w:type="dxa"/>
            <w:shd w:val="clear" w:color="auto" w:fill="auto"/>
          </w:tcPr>
          <w:p w:rsidR="0013132D" w:rsidRPr="00285CEF" w:rsidRDefault="00E912F7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Benigne</w:t>
            </w:r>
            <w:r w:rsidR="0013132D" w:rsidRPr="00285CEF">
              <w:rPr>
                <w:b/>
                <w:sz w:val="22"/>
                <w:szCs w:val="22"/>
                <w:lang w:val="sr-Latn-ME" w:eastAsia="ja-JP"/>
              </w:rPr>
              <w:t xml:space="preserve">, maligne i </w:t>
            </w:r>
            <w:proofErr w:type="spellStart"/>
            <w:r w:rsidR="0013132D" w:rsidRPr="00285CEF">
              <w:rPr>
                <w:b/>
                <w:sz w:val="22"/>
                <w:szCs w:val="22"/>
                <w:lang w:val="sr-Latn-ME" w:eastAsia="ja-JP"/>
              </w:rPr>
              <w:t>nespecifične</w:t>
            </w:r>
            <w:proofErr w:type="spellEnd"/>
            <w:r w:rsidR="0013132D" w:rsidRPr="00285CEF">
              <w:rPr>
                <w:b/>
                <w:sz w:val="22"/>
                <w:szCs w:val="22"/>
                <w:lang w:val="sr-Latn-ME" w:eastAsia="ja-JP"/>
              </w:rPr>
              <w:t xml:space="preserve"> </w:t>
            </w:r>
            <w:proofErr w:type="spellStart"/>
            <w:r w:rsidR="0013132D" w:rsidRPr="00285CEF">
              <w:rPr>
                <w:b/>
                <w:sz w:val="22"/>
                <w:szCs w:val="22"/>
                <w:lang w:val="sr-Latn-ME" w:eastAsia="ja-JP"/>
              </w:rPr>
              <w:t>neoplazme</w:t>
            </w:r>
            <w:proofErr w:type="spellEnd"/>
            <w:r w:rsidR="0013132D" w:rsidRPr="00285CEF">
              <w:rPr>
                <w:b/>
                <w:sz w:val="22"/>
                <w:szCs w:val="22"/>
                <w:lang w:val="sr-Latn-ME" w:eastAsia="ja-JP"/>
              </w:rPr>
              <w:t xml:space="preserve"> (uključujući ciste i polipe)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vertAlign w:val="superscript"/>
                <w:lang w:val="sr-Latn-ME" w:eastAsia="ja-JP"/>
              </w:rPr>
            </w:pP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karcinom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bazalnih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ćelija,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planocelularni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karcinom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kože**,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keratoakantom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>**</w:t>
            </w: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506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 xml:space="preserve">Poremećaji krvi i limfnog sistema 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sz w:val="22"/>
                <w:szCs w:val="22"/>
                <w:lang w:val="sr-Latn-ME" w:eastAsia="ja-JP"/>
              </w:rPr>
              <w:t xml:space="preserve">anemija </w:t>
            </w: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487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 xml:space="preserve">Poremećaji ishrane i metabolizma 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sz w:val="22"/>
                <w:szCs w:val="22"/>
                <w:lang w:val="sr-Latn-ME" w:eastAsia="ja-JP"/>
              </w:rPr>
              <w:t>dehidra</w:t>
            </w:r>
            <w:r w:rsidR="00315630" w:rsidRPr="00285CEF">
              <w:rPr>
                <w:sz w:val="22"/>
                <w:szCs w:val="22"/>
                <w:lang w:val="sr-Latn-ME" w:eastAsia="ja-JP"/>
              </w:rPr>
              <w:t>ta</w:t>
            </w:r>
            <w:r w:rsidRPr="00285CEF">
              <w:rPr>
                <w:sz w:val="22"/>
                <w:szCs w:val="22"/>
                <w:lang w:val="sr-Latn-ME" w:eastAsia="ja-JP"/>
              </w:rPr>
              <w:t xml:space="preserve">cija,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hipofosfatemija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hiponatrijemija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hiperglikemija</w:t>
            </w:r>
            <w:proofErr w:type="spellEnd"/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244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Poremećaji oka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serozna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retinopatija</w:t>
            </w:r>
            <w:r w:rsidRPr="00285CEF">
              <w:rPr>
                <w:sz w:val="22"/>
                <w:szCs w:val="22"/>
                <w:vertAlign w:val="superscript"/>
                <w:lang w:val="sr-Latn-ME"/>
              </w:rPr>
              <w:t>a</w:t>
            </w:r>
            <w:proofErr w:type="spellEnd"/>
            <w:r w:rsidRPr="00285CEF">
              <w:rPr>
                <w:sz w:val="22"/>
                <w:szCs w:val="22"/>
                <w:lang w:val="sr-Latn-ME"/>
              </w:rPr>
              <w:t>, zamagljen vid</w:t>
            </w: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/>
              </w:rPr>
            </w:pPr>
            <w:r w:rsidRPr="00285CEF">
              <w:rPr>
                <w:sz w:val="22"/>
                <w:szCs w:val="22"/>
                <w:lang w:val="sr-Latn-ME" w:eastAsia="ja-JP"/>
              </w:rPr>
              <w:t>poremećaj vida</w:t>
            </w: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263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Vaskularni poremećaji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E912F7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sz w:val="22"/>
                <w:szCs w:val="22"/>
                <w:lang w:val="sr-Latn-ME" w:eastAsia="ja-JP"/>
              </w:rPr>
              <w:t xml:space="preserve">hipertenzija, </w:t>
            </w:r>
            <w:r w:rsidR="00E912F7" w:rsidRPr="00285CEF">
              <w:rPr>
                <w:sz w:val="22"/>
                <w:szCs w:val="22"/>
                <w:lang w:val="sr-Latn-ME" w:eastAsia="ja-JP"/>
              </w:rPr>
              <w:t>hemoragija</w:t>
            </w:r>
            <w:r w:rsidRPr="00285CEF">
              <w:rPr>
                <w:sz w:val="22"/>
                <w:szCs w:val="22"/>
                <w:lang w:val="sr-Latn-ME" w:eastAsia="ja-JP"/>
              </w:rPr>
              <w:t>*</w:t>
            </w: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487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 xml:space="preserve">Respiratorni, torakalni i </w:t>
            </w:r>
            <w:proofErr w:type="spellStart"/>
            <w:r w:rsidRPr="00285CEF">
              <w:rPr>
                <w:b/>
                <w:sz w:val="22"/>
                <w:szCs w:val="22"/>
                <w:lang w:val="sr-Latn-ME" w:eastAsia="ja-JP"/>
              </w:rPr>
              <w:t>medijastinalni</w:t>
            </w:r>
            <w:proofErr w:type="spellEnd"/>
            <w:r w:rsidRPr="00285CEF">
              <w:rPr>
                <w:b/>
                <w:sz w:val="22"/>
                <w:szCs w:val="22"/>
                <w:lang w:val="sr-Latn-ME" w:eastAsia="ja-JP"/>
              </w:rPr>
              <w:t xml:space="preserve"> poremećaji 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pneumonitis</w:t>
            </w:r>
            <w:proofErr w:type="spellEnd"/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244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Gastrointestinalni poremećaji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sz w:val="22"/>
                <w:szCs w:val="22"/>
                <w:lang w:val="sr-Latn-ME" w:eastAsia="ja-JP"/>
              </w:rPr>
              <w:t>dijareja, mučnina, povraćanje</w:t>
            </w:r>
            <w:r w:rsidR="009F7A08" w:rsidRPr="00285CEF">
              <w:rPr>
                <w:sz w:val="22"/>
                <w:szCs w:val="22"/>
                <w:lang w:val="sr-Latn-ME" w:eastAsia="ja-JP"/>
              </w:rPr>
              <w:t xml:space="preserve">, </w:t>
            </w:r>
            <w:proofErr w:type="spellStart"/>
            <w:r w:rsidR="009F7A08" w:rsidRPr="00285CEF">
              <w:rPr>
                <w:sz w:val="22"/>
                <w:szCs w:val="22"/>
                <w:lang w:val="sr-Latn-ME" w:eastAsia="ja-JP"/>
              </w:rPr>
              <w:t>stomatitis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750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 xml:space="preserve">Poremećaji kože i potkožnog tkiva 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fotosenzitivnost</w:t>
            </w:r>
            <w:r w:rsidRPr="00285CEF">
              <w:rPr>
                <w:sz w:val="22"/>
                <w:szCs w:val="22"/>
                <w:vertAlign w:val="superscript"/>
                <w:lang w:val="sr-Latn-ME" w:eastAsia="ja-JP"/>
              </w:rPr>
              <w:t>b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, osip,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makulopapularni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osip,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akneiformni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dermatitis,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hiperkeratoza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>**</w:t>
            </w:r>
            <w:r w:rsidR="006E525B" w:rsidRPr="00285CEF">
              <w:rPr>
                <w:sz w:val="22"/>
                <w:szCs w:val="22"/>
                <w:lang w:val="sr-Latn-ME" w:eastAsia="ja-JP"/>
              </w:rPr>
              <w:t xml:space="preserve">, </w:t>
            </w:r>
            <w:proofErr w:type="spellStart"/>
            <w:r w:rsidR="006E525B" w:rsidRPr="00285CEF">
              <w:rPr>
                <w:sz w:val="22"/>
                <w:szCs w:val="22"/>
                <w:lang w:val="sr-Latn-ME" w:eastAsia="ja-JP"/>
              </w:rPr>
              <w:t>pruritus</w:t>
            </w:r>
            <w:proofErr w:type="spellEnd"/>
            <w:r w:rsidR="006E525B" w:rsidRPr="00285CEF">
              <w:rPr>
                <w:sz w:val="22"/>
                <w:szCs w:val="22"/>
                <w:lang w:val="sr-Latn-ME" w:eastAsia="ja-JP"/>
              </w:rPr>
              <w:t xml:space="preserve">, suva </w:t>
            </w:r>
            <w:proofErr w:type="spellStart"/>
            <w:r w:rsidR="006E525B" w:rsidRPr="00285CEF">
              <w:rPr>
                <w:sz w:val="22"/>
                <w:szCs w:val="22"/>
                <w:lang w:val="sr-Latn-ME" w:eastAsia="ja-JP"/>
              </w:rPr>
              <w:t>koža</w:t>
            </w:r>
            <w:r w:rsidR="006E525B" w:rsidRPr="00285CEF">
              <w:rPr>
                <w:sz w:val="22"/>
                <w:szCs w:val="22"/>
                <w:vertAlign w:val="superscript"/>
                <w:lang w:val="sr-Latn-ME" w:eastAsia="ja-JP"/>
              </w:rPr>
              <w:t>c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  <w:tr w:rsidR="0013132D" w:rsidRPr="00285CEF" w:rsidTr="00B64A87">
        <w:trPr>
          <w:trHeight w:val="750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Poremećaji mišićno-skeletnog sistema i vezivnog tkiva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vertAlign w:val="superscript"/>
                <w:lang w:val="sr-Latn-ME" w:eastAsia="ja-JP"/>
              </w:rPr>
            </w:pP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rabdomioliza</w:t>
            </w:r>
            <w:proofErr w:type="spellEnd"/>
            <w:r w:rsidRPr="00285CEF">
              <w:rPr>
                <w:sz w:val="22"/>
                <w:szCs w:val="22"/>
                <w:vertAlign w:val="superscript"/>
                <w:lang w:val="sr-Latn-ME" w:eastAsia="ja-JP"/>
              </w:rPr>
              <w:t>***</w:t>
            </w:r>
          </w:p>
        </w:tc>
      </w:tr>
      <w:tr w:rsidR="0013132D" w:rsidRPr="00285CEF" w:rsidTr="00B64A87">
        <w:trPr>
          <w:trHeight w:val="675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Opšti poremećaji i poremećaji na mjestu primjene</w:t>
            </w:r>
          </w:p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</w:p>
          <w:p w:rsidR="0013132D" w:rsidRPr="00285CEF" w:rsidRDefault="0013132D" w:rsidP="0013132D">
            <w:pPr>
              <w:rPr>
                <w:b/>
                <w:sz w:val="22"/>
                <w:szCs w:val="22"/>
                <w:lang w:val="sr-Latn-ME" w:eastAsia="ja-JP"/>
              </w:rPr>
            </w:pP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E912F7">
            <w:pPr>
              <w:rPr>
                <w:sz w:val="22"/>
                <w:szCs w:val="22"/>
                <w:lang w:val="sr-Latn-ME" w:eastAsia="ja-JP"/>
              </w:rPr>
            </w:pP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pireksija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, </w:t>
            </w:r>
            <w:r w:rsidR="00E912F7" w:rsidRPr="00285CEF">
              <w:rPr>
                <w:sz w:val="22"/>
                <w:szCs w:val="22"/>
                <w:lang w:val="sr-Latn-ME" w:eastAsia="ja-JP"/>
              </w:rPr>
              <w:t>drhtavica</w:t>
            </w:r>
            <w:r w:rsidR="006E525B" w:rsidRPr="00285CEF">
              <w:rPr>
                <w:sz w:val="22"/>
                <w:szCs w:val="22"/>
                <w:lang w:val="sr-Latn-ME" w:eastAsia="ja-JP"/>
              </w:rPr>
              <w:t xml:space="preserve">, periferni </w:t>
            </w:r>
            <w:proofErr w:type="spellStart"/>
            <w:r w:rsidR="006E525B" w:rsidRPr="00285CEF">
              <w:rPr>
                <w:sz w:val="22"/>
                <w:szCs w:val="22"/>
                <w:lang w:val="sr-Latn-ME" w:eastAsia="ja-JP"/>
              </w:rPr>
              <w:t>edem</w:t>
            </w:r>
            <w:r w:rsidR="006E525B" w:rsidRPr="00285CEF">
              <w:rPr>
                <w:sz w:val="22"/>
                <w:szCs w:val="22"/>
                <w:vertAlign w:val="superscript"/>
                <w:lang w:val="sr-Latn-ME" w:eastAsia="ja-JP"/>
              </w:rPr>
              <w:t>c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vertAlign w:val="superscript"/>
                <w:lang w:val="sr-Latn-ME" w:eastAsia="ja-JP"/>
              </w:rPr>
            </w:pP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vertAlign w:val="superscript"/>
                <w:lang w:val="sr-Latn-ME" w:eastAsia="ja-JP"/>
              </w:rPr>
            </w:pPr>
          </w:p>
        </w:tc>
      </w:tr>
      <w:tr w:rsidR="0013132D" w:rsidRPr="00285CEF" w:rsidTr="00B64A87">
        <w:trPr>
          <w:trHeight w:val="2385"/>
        </w:trPr>
        <w:tc>
          <w:tcPr>
            <w:tcW w:w="2065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b/>
                <w:sz w:val="22"/>
                <w:szCs w:val="22"/>
                <w:lang w:val="sr-Latn-ME" w:eastAsia="ja-JP"/>
              </w:rPr>
              <w:t>Nalazi</w:t>
            </w:r>
          </w:p>
        </w:tc>
        <w:tc>
          <w:tcPr>
            <w:tcW w:w="225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sz w:val="22"/>
                <w:szCs w:val="22"/>
                <w:lang w:val="sr-Latn-ME" w:eastAsia="ja-JP"/>
              </w:rPr>
              <w:t xml:space="preserve">povišene vrijednosti CPK u krvi, povišene vrijednosti ALT, povišene vrijednosti AST, povišene vrijednosti gama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glutamiltransferaze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(GGT), povišene vrijednosti ALP u krvi</w:t>
            </w:r>
          </w:p>
        </w:tc>
        <w:tc>
          <w:tcPr>
            <w:tcW w:w="2700" w:type="dxa"/>
            <w:shd w:val="clear" w:color="auto" w:fill="auto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  <w:r w:rsidRPr="00285CEF">
              <w:rPr>
                <w:sz w:val="22"/>
                <w:szCs w:val="22"/>
                <w:lang w:val="sr-Latn-ME" w:eastAsia="ja-JP"/>
              </w:rPr>
              <w:t xml:space="preserve">smanjena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ejekciona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frakcija, povišene vrijednosti </w:t>
            </w:r>
            <w:proofErr w:type="spellStart"/>
            <w:r w:rsidRPr="00285CEF">
              <w:rPr>
                <w:sz w:val="22"/>
                <w:szCs w:val="22"/>
                <w:lang w:val="sr-Latn-ME" w:eastAsia="ja-JP"/>
              </w:rPr>
              <w:t>bilirubina</w:t>
            </w:r>
            <w:proofErr w:type="spellEnd"/>
            <w:r w:rsidRPr="00285CEF">
              <w:rPr>
                <w:sz w:val="22"/>
                <w:szCs w:val="22"/>
                <w:lang w:val="sr-Latn-ME" w:eastAsia="ja-JP"/>
              </w:rPr>
              <w:t xml:space="preserve"> u krvi</w:t>
            </w:r>
          </w:p>
        </w:tc>
        <w:tc>
          <w:tcPr>
            <w:tcW w:w="2052" w:type="dxa"/>
          </w:tcPr>
          <w:p w:rsidR="0013132D" w:rsidRPr="00285CEF" w:rsidRDefault="0013132D" w:rsidP="0013132D">
            <w:pPr>
              <w:rPr>
                <w:sz w:val="22"/>
                <w:szCs w:val="22"/>
                <w:lang w:val="sr-Latn-ME" w:eastAsia="ja-JP"/>
              </w:rPr>
            </w:pPr>
          </w:p>
        </w:tc>
      </w:tr>
    </w:tbl>
    <w:p w:rsidR="0013132D" w:rsidRPr="00285CEF" w:rsidRDefault="0013132D" w:rsidP="00A77B26">
      <w:pPr>
        <w:keepNext/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lastRenderedPageBreak/>
        <w:t>^ Podaci prikupljeni do 19. septembra 2014.</w:t>
      </w:r>
    </w:p>
    <w:p w:rsidR="0013132D" w:rsidRPr="00285CEF" w:rsidRDefault="0013132D" w:rsidP="004812D1">
      <w:pPr>
        <w:keepNext/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* Vidjeti </w:t>
      </w:r>
      <w:r w:rsidR="00315630" w:rsidRPr="00285CEF">
        <w:rPr>
          <w:sz w:val="22"/>
          <w:szCs w:val="22"/>
          <w:lang w:val="sr-Latn-ME" w:eastAsia="ja-JP"/>
        </w:rPr>
        <w:t xml:space="preserve">dio </w:t>
      </w:r>
      <w:r w:rsidR="00E912F7" w:rsidRPr="00285CEF">
        <w:rPr>
          <w:i/>
          <w:sz w:val="22"/>
          <w:szCs w:val="22"/>
          <w:lang w:val="sr-Latn-ME" w:eastAsia="ja-JP"/>
        </w:rPr>
        <w:t>Hemoragija</w:t>
      </w:r>
      <w:r w:rsidR="00E912F7" w:rsidRPr="00285CEF">
        <w:rPr>
          <w:sz w:val="22"/>
          <w:szCs w:val="22"/>
          <w:lang w:val="sr-Latn-ME" w:eastAsia="ja-JP"/>
        </w:rPr>
        <w:t xml:space="preserve"> </w:t>
      </w:r>
      <w:r w:rsidRPr="00285CEF">
        <w:rPr>
          <w:sz w:val="22"/>
          <w:szCs w:val="22"/>
          <w:lang w:val="sr-Latn-ME" w:eastAsia="ja-JP"/>
        </w:rPr>
        <w:t>u dijelu "Opis odabranih neželjenih dejstava"</w:t>
      </w:r>
    </w:p>
    <w:p w:rsidR="0013132D" w:rsidRPr="00285CEF" w:rsidRDefault="0013132D" w:rsidP="008D0ED5">
      <w:pPr>
        <w:keepNext/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** Vidjeti </w:t>
      </w:r>
      <w:r w:rsidR="00315630" w:rsidRPr="00285CEF">
        <w:rPr>
          <w:sz w:val="22"/>
          <w:szCs w:val="22"/>
          <w:lang w:val="sr-Latn-ME" w:eastAsia="ja-JP"/>
        </w:rPr>
        <w:t xml:space="preserve">dio </w:t>
      </w:r>
      <w:proofErr w:type="spellStart"/>
      <w:r w:rsidRPr="00285CEF">
        <w:rPr>
          <w:i/>
          <w:sz w:val="22"/>
          <w:szCs w:val="22"/>
          <w:lang w:val="sr-Latn-ME" w:eastAsia="ja-JP"/>
        </w:rPr>
        <w:t>Planocelularni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i/>
          <w:sz w:val="22"/>
          <w:szCs w:val="22"/>
          <w:lang w:val="sr-Latn-ME" w:eastAsia="ja-JP"/>
        </w:rPr>
        <w:t>karcinom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kože, </w:t>
      </w:r>
      <w:proofErr w:type="spellStart"/>
      <w:r w:rsidRPr="00285CEF">
        <w:rPr>
          <w:i/>
          <w:sz w:val="22"/>
          <w:szCs w:val="22"/>
          <w:lang w:val="sr-Latn-ME" w:eastAsia="ja-JP"/>
        </w:rPr>
        <w:t>keratoakantom</w:t>
      </w:r>
      <w:proofErr w:type="spellEnd"/>
      <w:r w:rsidRPr="00285CEF">
        <w:rPr>
          <w:i/>
          <w:sz w:val="22"/>
          <w:szCs w:val="22"/>
          <w:lang w:val="sr-Latn-ME" w:eastAsia="ja-JP"/>
        </w:rPr>
        <w:t xml:space="preserve"> i </w:t>
      </w:r>
      <w:proofErr w:type="spellStart"/>
      <w:r w:rsidRPr="00285CEF">
        <w:rPr>
          <w:i/>
          <w:sz w:val="22"/>
          <w:szCs w:val="22"/>
          <w:lang w:val="sr-Latn-ME" w:eastAsia="ja-JP"/>
        </w:rPr>
        <w:t>hiperkeratoza</w:t>
      </w:r>
      <w:proofErr w:type="spellEnd"/>
      <w:r w:rsidRPr="00285CEF">
        <w:rPr>
          <w:sz w:val="22"/>
          <w:szCs w:val="22"/>
          <w:lang w:val="sr-Latn-ME" w:eastAsia="ja-JP"/>
        </w:rPr>
        <w:t xml:space="preserve"> u dijelu "Opis odabranih neželjenih dejstava"</w:t>
      </w:r>
    </w:p>
    <w:p w:rsidR="0013132D" w:rsidRPr="00285CEF" w:rsidRDefault="0013132D" w:rsidP="00CC3B0C">
      <w:pPr>
        <w:keepNext/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lang w:val="sr-Latn-ME" w:eastAsia="ja-JP"/>
        </w:rPr>
        <w:t xml:space="preserve">*** Vidjeti </w:t>
      </w:r>
      <w:r w:rsidR="00315630" w:rsidRPr="00285CEF">
        <w:rPr>
          <w:sz w:val="22"/>
          <w:szCs w:val="22"/>
          <w:lang w:val="sr-Latn-ME" w:eastAsia="ja-JP"/>
        </w:rPr>
        <w:t xml:space="preserve">dio </w:t>
      </w:r>
      <w:proofErr w:type="spellStart"/>
      <w:r w:rsidRPr="00285CEF">
        <w:rPr>
          <w:i/>
          <w:sz w:val="22"/>
          <w:szCs w:val="22"/>
          <w:lang w:val="sr-Latn-ME" w:eastAsia="ja-JP"/>
        </w:rPr>
        <w:t>Rabdomioliza</w:t>
      </w:r>
      <w:proofErr w:type="spellEnd"/>
      <w:r w:rsidRPr="00285CEF">
        <w:rPr>
          <w:sz w:val="22"/>
          <w:szCs w:val="22"/>
          <w:lang w:val="sr-Latn-ME" w:eastAsia="ja-JP"/>
        </w:rPr>
        <w:t xml:space="preserve"> u dijelu "Opis odabranih neželjenih dejstava"</w:t>
      </w:r>
    </w:p>
    <w:p w:rsidR="0013132D" w:rsidRPr="00285CEF" w:rsidRDefault="0013132D" w:rsidP="00B724B9">
      <w:pPr>
        <w:keepNext/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vertAlign w:val="superscript"/>
          <w:lang w:val="sr-Latn-ME" w:eastAsia="ja-JP"/>
        </w:rPr>
        <w:t>a</w:t>
      </w:r>
      <w:r w:rsidRPr="00285CEF">
        <w:rPr>
          <w:sz w:val="22"/>
          <w:szCs w:val="22"/>
          <w:lang w:val="sr-Latn-ME" w:eastAsia="ja-JP"/>
        </w:rPr>
        <w:t xml:space="preserve"> Uključuje i događaje </w:t>
      </w:r>
      <w:proofErr w:type="spellStart"/>
      <w:r w:rsidR="00E912F7" w:rsidRPr="00285CEF">
        <w:rPr>
          <w:sz w:val="22"/>
          <w:szCs w:val="22"/>
          <w:lang w:val="sr-Latn-ME" w:eastAsia="ja-JP"/>
        </w:rPr>
        <w:t>horioretinopatije</w:t>
      </w:r>
      <w:proofErr w:type="spellEnd"/>
      <w:r w:rsidR="00E912F7" w:rsidRPr="00285CEF">
        <w:rPr>
          <w:sz w:val="22"/>
          <w:szCs w:val="22"/>
          <w:lang w:val="sr-Latn-ME" w:eastAsia="ja-JP"/>
        </w:rPr>
        <w:t xml:space="preserve"> </w:t>
      </w:r>
      <w:r w:rsidRPr="00285CEF">
        <w:rPr>
          <w:sz w:val="22"/>
          <w:szCs w:val="22"/>
          <w:lang w:val="sr-Latn-ME" w:eastAsia="ja-JP"/>
        </w:rPr>
        <w:t xml:space="preserve">i događaje odvajanja </w:t>
      </w:r>
      <w:r w:rsidR="00E912F7" w:rsidRPr="00285CEF">
        <w:rPr>
          <w:sz w:val="22"/>
          <w:szCs w:val="22"/>
          <w:lang w:val="sr-Latn-ME" w:eastAsia="ja-JP"/>
        </w:rPr>
        <w:t xml:space="preserve">mrežnjače </w:t>
      </w:r>
      <w:r w:rsidRPr="00285CEF">
        <w:rPr>
          <w:sz w:val="22"/>
          <w:szCs w:val="22"/>
          <w:lang w:val="sr-Latn-ME" w:eastAsia="ja-JP"/>
        </w:rPr>
        <w:t xml:space="preserve">koji upućuju na </w:t>
      </w:r>
      <w:proofErr w:type="spellStart"/>
      <w:r w:rsidRPr="00285CEF">
        <w:rPr>
          <w:sz w:val="22"/>
          <w:szCs w:val="22"/>
          <w:lang w:val="sr-Latn-ME" w:eastAsia="ja-JP"/>
        </w:rPr>
        <w:t>seroznu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retinopatiju</w:t>
      </w:r>
      <w:proofErr w:type="spellEnd"/>
      <w:r w:rsidRPr="00285CEF">
        <w:rPr>
          <w:sz w:val="22"/>
          <w:szCs w:val="22"/>
          <w:lang w:val="sr-Latn-ME" w:eastAsia="ja-JP"/>
        </w:rPr>
        <w:t xml:space="preserve"> (vidjeti dio 4.4)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vertAlign w:val="superscript"/>
          <w:lang w:val="sr-Latn-ME" w:eastAsia="ja-JP"/>
        </w:rPr>
        <w:t>b</w:t>
      </w:r>
      <w:r w:rsidRPr="00285CEF">
        <w:rPr>
          <w:sz w:val="22"/>
          <w:szCs w:val="22"/>
          <w:lang w:val="sr-Latn-ME" w:eastAsia="ja-JP"/>
        </w:rPr>
        <w:t xml:space="preserve"> Ukupan broj uključuje prijavljene slučajeve reakcija </w:t>
      </w:r>
      <w:proofErr w:type="spellStart"/>
      <w:r w:rsidRPr="00285CEF">
        <w:rPr>
          <w:sz w:val="22"/>
          <w:szCs w:val="22"/>
          <w:lang w:val="sr-Latn-ME" w:eastAsia="ja-JP"/>
        </w:rPr>
        <w:t>fotosenzitivnosti</w:t>
      </w:r>
      <w:proofErr w:type="spellEnd"/>
      <w:r w:rsidRPr="00285CEF">
        <w:rPr>
          <w:sz w:val="22"/>
          <w:szCs w:val="22"/>
          <w:lang w:val="sr-Latn-ME" w:eastAsia="ja-JP"/>
        </w:rPr>
        <w:t xml:space="preserve">, sunčanih opekotina, solarnog dermatitisa i </w:t>
      </w:r>
      <w:proofErr w:type="spellStart"/>
      <w:r w:rsidRPr="00285CEF">
        <w:rPr>
          <w:sz w:val="22"/>
          <w:szCs w:val="22"/>
          <w:lang w:val="sr-Latn-ME" w:eastAsia="ja-JP"/>
        </w:rPr>
        <w:t>aktiničke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elastoze</w:t>
      </w:r>
      <w:proofErr w:type="spellEnd"/>
    </w:p>
    <w:p w:rsidR="006E525B" w:rsidRPr="00285CEF" w:rsidRDefault="006E525B" w:rsidP="00F304F3">
      <w:pPr>
        <w:jc w:val="both"/>
        <w:rPr>
          <w:sz w:val="22"/>
          <w:szCs w:val="22"/>
          <w:lang w:val="sr-Latn-ME" w:eastAsia="ja-JP"/>
        </w:rPr>
      </w:pPr>
      <w:r w:rsidRPr="00285CEF">
        <w:rPr>
          <w:sz w:val="22"/>
          <w:szCs w:val="22"/>
          <w:vertAlign w:val="superscript"/>
          <w:lang w:val="sr-Latn-ME" w:eastAsia="ja-JP"/>
        </w:rPr>
        <w:t>c</w:t>
      </w:r>
      <w:r w:rsidRPr="00285CEF">
        <w:rPr>
          <w:sz w:val="22"/>
          <w:szCs w:val="22"/>
          <w:lang w:val="sr-Latn-ME" w:eastAsia="ja-JP"/>
        </w:rPr>
        <w:t xml:space="preserve"> Neželjena dejstva uočena tokom ispitivanja </w:t>
      </w:r>
      <w:proofErr w:type="spellStart"/>
      <w:r w:rsidRPr="00285CEF">
        <w:rPr>
          <w:sz w:val="22"/>
          <w:szCs w:val="22"/>
          <w:lang w:val="sr-Latn-ME" w:eastAsia="ja-JP"/>
        </w:rPr>
        <w:t>kobimetiniba</w:t>
      </w:r>
      <w:proofErr w:type="spellEnd"/>
      <w:r w:rsidRPr="00285CEF">
        <w:rPr>
          <w:sz w:val="22"/>
          <w:szCs w:val="22"/>
          <w:lang w:val="sr-Latn-ME" w:eastAsia="ja-JP"/>
        </w:rPr>
        <w:t xml:space="preserve"> kao </w:t>
      </w:r>
      <w:proofErr w:type="spellStart"/>
      <w:r w:rsidRPr="00285CEF">
        <w:rPr>
          <w:sz w:val="22"/>
          <w:szCs w:val="22"/>
          <w:lang w:val="sr-Latn-ME" w:eastAsia="ja-JP"/>
        </w:rPr>
        <w:t>monoterapije</w:t>
      </w:r>
      <w:proofErr w:type="spellEnd"/>
      <w:r w:rsidRPr="00285CEF">
        <w:rPr>
          <w:sz w:val="22"/>
          <w:szCs w:val="22"/>
          <w:lang w:val="sr-Latn-ME" w:eastAsia="ja-JP"/>
        </w:rPr>
        <w:t xml:space="preserve"> (ML29733; studija u SAD-u). Međutim, ova neželjena dejstva su zabilježena i za </w:t>
      </w:r>
      <w:proofErr w:type="spellStart"/>
      <w:r w:rsidRPr="00285CEF">
        <w:rPr>
          <w:sz w:val="22"/>
          <w:szCs w:val="22"/>
          <w:lang w:val="sr-Latn-ME" w:eastAsia="ja-JP"/>
        </w:rPr>
        <w:t>kobimetinib</w:t>
      </w:r>
      <w:proofErr w:type="spellEnd"/>
      <w:r w:rsidRPr="00285CEF">
        <w:rPr>
          <w:sz w:val="22"/>
          <w:szCs w:val="22"/>
          <w:lang w:val="sr-Latn-ME" w:eastAsia="ja-JP"/>
        </w:rPr>
        <w:t xml:space="preserve"> u kombinaciji sa </w:t>
      </w:r>
      <w:proofErr w:type="spellStart"/>
      <w:r w:rsidRPr="00285CEF">
        <w:rPr>
          <w:sz w:val="22"/>
          <w:szCs w:val="22"/>
          <w:lang w:val="sr-Latn-ME" w:eastAsia="ja-JP"/>
        </w:rPr>
        <w:t>vemurafenibom</w:t>
      </w:r>
      <w:proofErr w:type="spellEnd"/>
      <w:r w:rsidRPr="00285CEF">
        <w:rPr>
          <w:sz w:val="22"/>
          <w:szCs w:val="22"/>
          <w:lang w:val="sr-Latn-ME" w:eastAsia="ja-JP"/>
        </w:rPr>
        <w:t xml:space="preserve"> u kliničkim ispitivanjima sprovedenim kod pacijenata sa </w:t>
      </w:r>
      <w:proofErr w:type="spellStart"/>
      <w:r w:rsidRPr="00285CEF">
        <w:rPr>
          <w:sz w:val="22"/>
          <w:szCs w:val="22"/>
          <w:lang w:val="sr-Latn-ME" w:eastAsia="ja-JP"/>
        </w:rPr>
        <w:t>neoperabilnim</w:t>
      </w:r>
      <w:proofErr w:type="spellEnd"/>
      <w:r w:rsidRPr="00285CEF">
        <w:rPr>
          <w:sz w:val="22"/>
          <w:szCs w:val="22"/>
          <w:lang w:val="sr-Latn-ME" w:eastAsia="ja-JP"/>
        </w:rPr>
        <w:t xml:space="preserve"> ili </w:t>
      </w:r>
      <w:proofErr w:type="spellStart"/>
      <w:r w:rsidRPr="00285CEF">
        <w:rPr>
          <w:sz w:val="22"/>
          <w:szCs w:val="22"/>
          <w:lang w:val="sr-Latn-ME" w:eastAsia="ja-JP"/>
        </w:rPr>
        <w:t>metastatskim</w:t>
      </w:r>
      <w:proofErr w:type="spellEnd"/>
      <w:r w:rsidRPr="00285CEF">
        <w:rPr>
          <w:sz w:val="22"/>
          <w:szCs w:val="22"/>
          <w:lang w:val="sr-Latn-ME" w:eastAsia="ja-JP"/>
        </w:rPr>
        <w:t xml:space="preserve"> </w:t>
      </w:r>
      <w:proofErr w:type="spellStart"/>
      <w:r w:rsidRPr="00285CEF">
        <w:rPr>
          <w:sz w:val="22"/>
          <w:szCs w:val="22"/>
          <w:lang w:val="sr-Latn-ME" w:eastAsia="ja-JP"/>
        </w:rPr>
        <w:t>melanomom</w:t>
      </w:r>
      <w:proofErr w:type="spellEnd"/>
    </w:p>
    <w:p w:rsidR="0013132D" w:rsidRPr="00285CEF" w:rsidRDefault="0013132D" w:rsidP="00B64A87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B64A87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Opis odabranih neželjenih dejstava</w:t>
      </w:r>
    </w:p>
    <w:p w:rsidR="0013132D" w:rsidRPr="00285CEF" w:rsidRDefault="0013132D" w:rsidP="00B64A87">
      <w:pPr>
        <w:jc w:val="both"/>
        <w:rPr>
          <w:sz w:val="22"/>
          <w:szCs w:val="22"/>
          <w:lang w:val="sr-Latn-ME"/>
        </w:rPr>
      </w:pPr>
    </w:p>
    <w:p w:rsidR="0013132D" w:rsidRPr="00285CEF" w:rsidRDefault="00E912F7" w:rsidP="00B64A87">
      <w:pPr>
        <w:jc w:val="both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Hemoragija</w:t>
      </w:r>
    </w:p>
    <w:p w:rsidR="0013132D" w:rsidRPr="00285CEF" w:rsidRDefault="0013132D" w:rsidP="00B64A87">
      <w:pPr>
        <w:jc w:val="both"/>
        <w:rPr>
          <w:i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Događaji krvarenja češće su prijavljivani u grupi koja je primala </w:t>
      </w:r>
      <w:r w:rsidR="00E912F7" w:rsidRPr="00285CEF">
        <w:rPr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nego u onoj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(sve vrste i stepeni: 13% u odnosu na 7%). </w:t>
      </w:r>
      <w:proofErr w:type="spellStart"/>
      <w:r w:rsidRPr="00285CEF">
        <w:rPr>
          <w:sz w:val="22"/>
          <w:szCs w:val="22"/>
          <w:lang w:val="sr-Latn-ME"/>
        </w:rPr>
        <w:t>Medijana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vremena</w:t>
      </w:r>
      <w:proofErr w:type="spellEnd"/>
      <w:r w:rsidRPr="00285CEF">
        <w:rPr>
          <w:sz w:val="22"/>
          <w:szCs w:val="22"/>
          <w:lang w:val="sr-Latn-ME"/>
        </w:rPr>
        <w:t xml:space="preserve"> do prvog pojavljivanja u grupi liječenoj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iznosila je 6,1 mjeseci. 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Većina događaja bila je 1. ili 2. stepena težine i nije bila ozbiljna. Većina događaja povukla se bez promjene doze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>. Nakon stavljanja lijeka u promet</w:t>
      </w:r>
      <w:r w:rsidR="00E912F7" w:rsidRPr="00285CEF">
        <w:rPr>
          <w:sz w:val="22"/>
          <w:szCs w:val="22"/>
          <w:lang w:val="sr-Latn-ME"/>
        </w:rPr>
        <w:t>,</w:t>
      </w:r>
      <w:r w:rsidRPr="00285CEF">
        <w:rPr>
          <w:sz w:val="22"/>
          <w:szCs w:val="22"/>
          <w:lang w:val="sr-Latn-ME"/>
        </w:rPr>
        <w:t xml:space="preserve"> prijavljeni su događaji većeg krvarenja (uključujući </w:t>
      </w:r>
      <w:proofErr w:type="spellStart"/>
      <w:r w:rsidRPr="00285CEF">
        <w:rPr>
          <w:sz w:val="22"/>
          <w:szCs w:val="22"/>
          <w:lang w:val="sr-Latn-ME"/>
        </w:rPr>
        <w:t>intrakranijalno</w:t>
      </w:r>
      <w:proofErr w:type="spellEnd"/>
      <w:r w:rsidRPr="00285CEF">
        <w:rPr>
          <w:sz w:val="22"/>
          <w:szCs w:val="22"/>
          <w:lang w:val="sr-Latn-ME"/>
        </w:rPr>
        <w:t xml:space="preserve"> i gastrointestinalno krvarenje). Rizik od krvarenja može biti povećan kod istovremene primjene </w:t>
      </w:r>
      <w:proofErr w:type="spellStart"/>
      <w:r w:rsidRPr="00285CEF">
        <w:rPr>
          <w:sz w:val="22"/>
          <w:szCs w:val="22"/>
          <w:lang w:val="sr-Latn-ME"/>
        </w:rPr>
        <w:t>antitrombocitnih</w:t>
      </w:r>
      <w:proofErr w:type="spellEnd"/>
      <w:r w:rsidRPr="00285CEF">
        <w:rPr>
          <w:sz w:val="22"/>
          <w:szCs w:val="22"/>
          <w:lang w:val="sr-Latn-ME"/>
        </w:rPr>
        <w:t xml:space="preserve"> ljekova ili </w:t>
      </w:r>
      <w:proofErr w:type="spellStart"/>
      <w:r w:rsidRPr="00285CEF">
        <w:rPr>
          <w:sz w:val="22"/>
          <w:szCs w:val="22"/>
          <w:lang w:val="sr-Latn-ME"/>
        </w:rPr>
        <w:t>antikoagulansa</w:t>
      </w:r>
      <w:proofErr w:type="spellEnd"/>
      <w:r w:rsidRPr="00285CEF">
        <w:rPr>
          <w:sz w:val="22"/>
          <w:szCs w:val="22"/>
          <w:lang w:val="sr-Latn-ME"/>
        </w:rPr>
        <w:t xml:space="preserve">. Ukoliko nastupi krvarenje, treba ga liječiti u skladu sa kliničkom indikacijom (vidjeti djelove 4.2 i 4.4).  </w:t>
      </w:r>
    </w:p>
    <w:p w:rsidR="0013132D" w:rsidRPr="00285CEF" w:rsidRDefault="0013132D" w:rsidP="00B64A87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 </w:t>
      </w:r>
    </w:p>
    <w:p w:rsidR="0013132D" w:rsidRPr="00285CEF" w:rsidRDefault="0013132D" w:rsidP="00B64A87">
      <w:pPr>
        <w:jc w:val="both"/>
        <w:rPr>
          <w:i/>
          <w:sz w:val="22"/>
          <w:szCs w:val="22"/>
          <w:lang w:val="sr-Latn-ME"/>
        </w:rPr>
      </w:pPr>
      <w:proofErr w:type="spellStart"/>
      <w:r w:rsidRPr="00285CEF">
        <w:rPr>
          <w:i/>
          <w:sz w:val="22"/>
          <w:szCs w:val="22"/>
          <w:lang w:val="sr-Latn-ME"/>
        </w:rPr>
        <w:t>Rabdomioliza</w:t>
      </w:r>
      <w:proofErr w:type="spellEnd"/>
    </w:p>
    <w:p w:rsidR="0013132D" w:rsidRPr="00285CEF" w:rsidRDefault="0013132D" w:rsidP="00B64A87">
      <w:pPr>
        <w:jc w:val="both"/>
        <w:rPr>
          <w:i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Prijavljena je </w:t>
      </w:r>
      <w:proofErr w:type="spellStart"/>
      <w:r w:rsidRPr="00285CEF">
        <w:rPr>
          <w:sz w:val="22"/>
          <w:szCs w:val="22"/>
          <w:lang w:val="sr-Latn-ME"/>
        </w:rPr>
        <w:t>rabdomioliza</w:t>
      </w:r>
      <w:proofErr w:type="spellEnd"/>
      <w:r w:rsidRPr="00285CEF">
        <w:rPr>
          <w:sz w:val="22"/>
          <w:szCs w:val="22"/>
          <w:lang w:val="sr-Latn-ME"/>
        </w:rPr>
        <w:t xml:space="preserve"> u periodu nakon stavljanja lijeka u promet. Znakovi ili simptomi </w:t>
      </w:r>
      <w:proofErr w:type="spellStart"/>
      <w:r w:rsidRPr="00285CEF">
        <w:rPr>
          <w:sz w:val="22"/>
          <w:szCs w:val="22"/>
          <w:lang w:val="sr-Latn-ME"/>
        </w:rPr>
        <w:t>rabdomiolize</w:t>
      </w:r>
      <w:proofErr w:type="spellEnd"/>
      <w:r w:rsidRPr="00285CEF">
        <w:rPr>
          <w:sz w:val="22"/>
          <w:szCs w:val="22"/>
          <w:lang w:val="sr-Latn-ME"/>
        </w:rPr>
        <w:t xml:space="preserve"> nalažu odgovarajuću kliničku procjenu i liječenje u skladu sa indikacijom, uz prilagođavanje doze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ili obustavu liječenja u skladu sa težinom neželjenih dejstava (vidjeti djelove 4.2 i 4.4). </w:t>
      </w:r>
    </w:p>
    <w:p w:rsidR="0013132D" w:rsidRPr="00285CEF" w:rsidRDefault="0013132D" w:rsidP="00B64A87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B64A87">
      <w:pPr>
        <w:jc w:val="both"/>
        <w:rPr>
          <w:i/>
          <w:sz w:val="22"/>
          <w:szCs w:val="22"/>
          <w:lang w:val="sr-Latn-ME"/>
        </w:rPr>
      </w:pPr>
      <w:proofErr w:type="spellStart"/>
      <w:r w:rsidRPr="00285CEF">
        <w:rPr>
          <w:i/>
          <w:sz w:val="22"/>
          <w:szCs w:val="22"/>
          <w:lang w:val="sr-Latn-ME"/>
        </w:rPr>
        <w:t>Fotosenzitivnost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</w:p>
    <w:p w:rsidR="0013132D" w:rsidRPr="00285CEF" w:rsidRDefault="0013132D" w:rsidP="00B64A87">
      <w:pPr>
        <w:jc w:val="both"/>
        <w:rPr>
          <w:i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Fotosenzitivnost</w:t>
      </w:r>
      <w:proofErr w:type="spellEnd"/>
      <w:r w:rsidRPr="00285CEF">
        <w:rPr>
          <w:sz w:val="22"/>
          <w:szCs w:val="22"/>
          <w:lang w:val="sr-Latn-ME"/>
        </w:rPr>
        <w:t xml:space="preserve"> je primijećena sa većom učestalošću u grupi liječenoj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nego u onoj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(47% u odnosu na 35%). Većina događaja bila je 1. ili 2. stepena težine, dok su se događaji ≥ 3. stepena javili kod 4% pacijenata u grupi koja je primala </w:t>
      </w:r>
      <w:r w:rsidR="005915FD" w:rsidRPr="00285CEF">
        <w:rPr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, u odnosu na 0% pacijenata u grupi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.  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 </w:t>
      </w:r>
    </w:p>
    <w:p w:rsidR="0013132D" w:rsidRPr="00285CEF" w:rsidRDefault="0013132D" w:rsidP="008D0ED5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Nijesu primijećeni nikakvi trendovi s obzirom na vrijeme pojave događaja ≥ 3. stepena. Događaji </w:t>
      </w:r>
      <w:proofErr w:type="spellStart"/>
      <w:r w:rsidRPr="00285CEF">
        <w:rPr>
          <w:sz w:val="22"/>
          <w:szCs w:val="22"/>
          <w:lang w:val="sr-Latn-ME"/>
        </w:rPr>
        <w:t>fotosenzitivnosti</w:t>
      </w:r>
      <w:proofErr w:type="spellEnd"/>
      <w:r w:rsidRPr="00285CEF">
        <w:rPr>
          <w:sz w:val="22"/>
          <w:szCs w:val="22"/>
          <w:lang w:val="sr-Latn-ME"/>
        </w:rPr>
        <w:t xml:space="preserve"> ≥ 3. stepena u grupi koja je primala </w:t>
      </w:r>
      <w:r w:rsidR="005915FD" w:rsidRPr="00285CEF">
        <w:rPr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liječeni su primarnim </w:t>
      </w:r>
      <w:proofErr w:type="spellStart"/>
      <w:r w:rsidR="005915FD" w:rsidRPr="00285CEF">
        <w:rPr>
          <w:sz w:val="22"/>
          <w:szCs w:val="22"/>
          <w:lang w:val="sr-Latn-ME"/>
        </w:rPr>
        <w:t>topikalnim</w:t>
      </w:r>
      <w:proofErr w:type="spellEnd"/>
      <w:r w:rsidR="005915FD" w:rsidRPr="00285CEF">
        <w:rPr>
          <w:sz w:val="22"/>
          <w:szCs w:val="22"/>
          <w:lang w:val="sr-Latn-ME"/>
        </w:rPr>
        <w:t xml:space="preserve"> </w:t>
      </w:r>
      <w:r w:rsidRPr="00285CEF">
        <w:rPr>
          <w:sz w:val="22"/>
          <w:szCs w:val="22"/>
          <w:lang w:val="sr-Latn-ME"/>
        </w:rPr>
        <w:t xml:space="preserve">ljekovima u kombinaciji sa privremenim prekidom primjene i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i </w:t>
      </w:r>
      <w:proofErr w:type="spellStart"/>
      <w:r w:rsidRPr="00285CEF">
        <w:rPr>
          <w:sz w:val="22"/>
          <w:szCs w:val="22"/>
          <w:lang w:val="sr-Latn-ME"/>
        </w:rPr>
        <w:t>vemurafeniba</w:t>
      </w:r>
      <w:proofErr w:type="spellEnd"/>
      <w:r w:rsidRPr="00285CEF">
        <w:rPr>
          <w:sz w:val="22"/>
          <w:szCs w:val="22"/>
          <w:lang w:val="sr-Latn-ME"/>
        </w:rPr>
        <w:t xml:space="preserve"> (vidjeti </w:t>
      </w:r>
      <w:r w:rsidR="005915FD" w:rsidRPr="00285CEF">
        <w:rPr>
          <w:sz w:val="22"/>
          <w:szCs w:val="22"/>
          <w:lang w:val="sr-Latn-ME"/>
        </w:rPr>
        <w:t xml:space="preserve">dio </w:t>
      </w:r>
      <w:r w:rsidRPr="00285CEF">
        <w:rPr>
          <w:sz w:val="22"/>
          <w:szCs w:val="22"/>
          <w:lang w:val="sr-Latn-ME"/>
        </w:rPr>
        <w:t>4.2).</w:t>
      </w:r>
    </w:p>
    <w:p w:rsidR="0013132D" w:rsidRPr="00285CEF" w:rsidRDefault="0013132D" w:rsidP="00CC3B0C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B724B9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Nijesu primijećeni znaci </w:t>
      </w:r>
      <w:proofErr w:type="spellStart"/>
      <w:r w:rsidRPr="00285CEF">
        <w:rPr>
          <w:sz w:val="22"/>
          <w:szCs w:val="22"/>
          <w:lang w:val="sr-Latn-ME"/>
        </w:rPr>
        <w:t>fototoksičnosti</w:t>
      </w:r>
      <w:proofErr w:type="spellEnd"/>
      <w:r w:rsidRPr="00285CEF">
        <w:rPr>
          <w:sz w:val="22"/>
          <w:szCs w:val="22"/>
          <w:lang w:val="sr-Latn-ME"/>
        </w:rPr>
        <w:t xml:space="preserve"> kada se </w:t>
      </w:r>
      <w:r w:rsidR="005915FD" w:rsidRPr="00285CEF">
        <w:rPr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primjenjivao u </w:t>
      </w:r>
      <w:proofErr w:type="spellStart"/>
      <w:r w:rsidRPr="00285CEF">
        <w:rPr>
          <w:sz w:val="22"/>
          <w:szCs w:val="22"/>
          <w:lang w:val="sr-Latn-ME"/>
        </w:rPr>
        <w:t>monoterapiji</w:t>
      </w:r>
      <w:proofErr w:type="spellEnd"/>
      <w:r w:rsidRPr="00285CEF">
        <w:rPr>
          <w:sz w:val="22"/>
          <w:szCs w:val="22"/>
          <w:lang w:val="sr-Latn-ME"/>
        </w:rPr>
        <w:t>.</w:t>
      </w:r>
    </w:p>
    <w:p w:rsidR="0013132D" w:rsidRPr="00285CEF" w:rsidRDefault="0013132D" w:rsidP="00B64A87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 </w:t>
      </w:r>
    </w:p>
    <w:p w:rsidR="0013132D" w:rsidRPr="00285CEF" w:rsidRDefault="0013132D" w:rsidP="00B64A87">
      <w:pPr>
        <w:jc w:val="both"/>
        <w:rPr>
          <w:i/>
          <w:sz w:val="22"/>
          <w:szCs w:val="22"/>
          <w:lang w:val="sr-Latn-ME"/>
        </w:rPr>
      </w:pPr>
      <w:proofErr w:type="spellStart"/>
      <w:r w:rsidRPr="00285CEF">
        <w:rPr>
          <w:i/>
          <w:sz w:val="22"/>
          <w:szCs w:val="22"/>
          <w:lang w:val="sr-Latn-ME"/>
        </w:rPr>
        <w:t>Planocelularni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karcinom</w:t>
      </w:r>
      <w:proofErr w:type="spellEnd"/>
      <w:r w:rsidRPr="00285CEF">
        <w:rPr>
          <w:i/>
          <w:sz w:val="22"/>
          <w:szCs w:val="22"/>
          <w:lang w:val="sr-Latn-ME"/>
        </w:rPr>
        <w:t xml:space="preserve"> kože, </w:t>
      </w:r>
      <w:proofErr w:type="spellStart"/>
      <w:r w:rsidRPr="00285CEF">
        <w:rPr>
          <w:i/>
          <w:sz w:val="22"/>
          <w:szCs w:val="22"/>
          <w:lang w:val="sr-Latn-ME"/>
        </w:rPr>
        <w:t>keratoakantom</w:t>
      </w:r>
      <w:proofErr w:type="spellEnd"/>
      <w:r w:rsidRPr="00285CEF">
        <w:rPr>
          <w:i/>
          <w:sz w:val="22"/>
          <w:szCs w:val="22"/>
          <w:lang w:val="sr-Latn-ME"/>
        </w:rPr>
        <w:t xml:space="preserve"> i </w:t>
      </w:r>
      <w:proofErr w:type="spellStart"/>
      <w:r w:rsidRPr="00285CEF">
        <w:rPr>
          <w:i/>
          <w:sz w:val="22"/>
          <w:szCs w:val="22"/>
          <w:lang w:val="sr-Latn-ME"/>
        </w:rPr>
        <w:t>hiperkeratoza</w:t>
      </w:r>
      <w:proofErr w:type="spellEnd"/>
    </w:p>
    <w:p w:rsidR="0013132D" w:rsidRPr="00285CEF" w:rsidRDefault="0013132D" w:rsidP="00B64A87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Planocelularni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karcinom</w:t>
      </w:r>
      <w:proofErr w:type="spellEnd"/>
      <w:r w:rsidRPr="00285CEF">
        <w:rPr>
          <w:sz w:val="22"/>
          <w:szCs w:val="22"/>
          <w:lang w:val="sr-Latn-ME"/>
        </w:rPr>
        <w:t xml:space="preserve"> kože prijavljivan je sa manjom učestalošću u grupi liječenoj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nego u onoj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(svi stepeni: 3% naspram 13%). </w:t>
      </w:r>
      <w:proofErr w:type="spellStart"/>
      <w:r w:rsidRPr="00285CEF">
        <w:rPr>
          <w:sz w:val="22"/>
          <w:szCs w:val="22"/>
          <w:lang w:val="sr-Latn-ME"/>
        </w:rPr>
        <w:t>Keratoakantom</w:t>
      </w:r>
      <w:proofErr w:type="spellEnd"/>
      <w:r w:rsidRPr="00285CEF">
        <w:rPr>
          <w:sz w:val="22"/>
          <w:szCs w:val="22"/>
          <w:lang w:val="sr-Latn-ME"/>
        </w:rPr>
        <w:t xml:space="preserve"> je prijavljivan sa manjom učestalošću u grupi liječenoj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nego u onoj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(svi stepeni: 2% u odnosu na 9%). </w:t>
      </w:r>
      <w:proofErr w:type="spellStart"/>
      <w:r w:rsidRPr="00285CEF">
        <w:rPr>
          <w:sz w:val="22"/>
          <w:szCs w:val="22"/>
          <w:lang w:val="sr-Latn-ME"/>
        </w:rPr>
        <w:lastRenderedPageBreak/>
        <w:t>Hiperkeratoza</w:t>
      </w:r>
      <w:proofErr w:type="spellEnd"/>
      <w:r w:rsidRPr="00285CEF">
        <w:rPr>
          <w:sz w:val="22"/>
          <w:szCs w:val="22"/>
          <w:lang w:val="sr-Latn-ME"/>
        </w:rPr>
        <w:t xml:space="preserve"> je prijavljivana sa manjom učestalošću u grupi liječenoj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nego u onoj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(svi stepeni: 11% u odnosu na 30%). </w:t>
      </w:r>
    </w:p>
    <w:p w:rsidR="0013132D" w:rsidRPr="00285CEF" w:rsidRDefault="0013132D" w:rsidP="008D0ED5">
      <w:pPr>
        <w:jc w:val="both"/>
        <w:rPr>
          <w:i/>
          <w:sz w:val="22"/>
          <w:szCs w:val="22"/>
          <w:lang w:val="sr-Latn-ME"/>
        </w:rPr>
      </w:pPr>
      <w:proofErr w:type="spellStart"/>
      <w:r w:rsidRPr="00285CEF">
        <w:rPr>
          <w:i/>
          <w:sz w:val="22"/>
          <w:szCs w:val="22"/>
          <w:lang w:val="sr-Latn-ME"/>
        </w:rPr>
        <w:t>Serozna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retinopatija</w:t>
      </w:r>
      <w:proofErr w:type="spellEnd"/>
      <w:r w:rsidRPr="00285CEF">
        <w:rPr>
          <w:i/>
          <w:sz w:val="22"/>
          <w:szCs w:val="22"/>
          <w:lang w:val="sr-Latn-ME"/>
        </w:rPr>
        <w:t xml:space="preserve">   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Kod pacijenata liječenih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prijavljeni su slučajevi </w:t>
      </w:r>
      <w:proofErr w:type="spellStart"/>
      <w:r w:rsidRPr="00285CEF">
        <w:rPr>
          <w:sz w:val="22"/>
          <w:szCs w:val="22"/>
          <w:lang w:val="sr-Latn-ME"/>
        </w:rPr>
        <w:t>serozne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retinopatije</w:t>
      </w:r>
      <w:proofErr w:type="spellEnd"/>
      <w:r w:rsidRPr="00285CEF">
        <w:rPr>
          <w:sz w:val="22"/>
          <w:szCs w:val="22"/>
          <w:lang w:val="sr-Latn-ME"/>
        </w:rPr>
        <w:t xml:space="preserve"> (vidjeti </w:t>
      </w:r>
      <w:r w:rsidR="00C93C57" w:rsidRPr="00285CEF">
        <w:rPr>
          <w:sz w:val="22"/>
          <w:szCs w:val="22"/>
          <w:lang w:val="sr-Latn-ME"/>
        </w:rPr>
        <w:t xml:space="preserve">dio </w:t>
      </w:r>
      <w:r w:rsidRPr="00285CEF">
        <w:rPr>
          <w:sz w:val="22"/>
          <w:szCs w:val="22"/>
          <w:lang w:val="sr-Latn-ME"/>
        </w:rPr>
        <w:t xml:space="preserve">4.4). Kod pacijenata koji prijave razvoj </w:t>
      </w:r>
      <w:r w:rsidR="00C93C57" w:rsidRPr="00285CEF">
        <w:rPr>
          <w:sz w:val="22"/>
          <w:szCs w:val="22"/>
          <w:lang w:val="sr-Latn-ME"/>
        </w:rPr>
        <w:t xml:space="preserve">novog </w:t>
      </w:r>
      <w:r w:rsidRPr="00285CEF">
        <w:rPr>
          <w:sz w:val="22"/>
          <w:szCs w:val="22"/>
          <w:lang w:val="sr-Latn-ME"/>
        </w:rPr>
        <w:t xml:space="preserve">ili pogoršanje postojećih poremećaja vida preporučuje se </w:t>
      </w:r>
      <w:proofErr w:type="spellStart"/>
      <w:r w:rsidRPr="00285CEF">
        <w:rPr>
          <w:sz w:val="22"/>
          <w:szCs w:val="22"/>
          <w:lang w:val="sr-Latn-ME"/>
        </w:rPr>
        <w:t>oftalmološki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pregled</w:t>
      </w:r>
      <w:proofErr w:type="spellEnd"/>
      <w:r w:rsidRPr="00285CEF">
        <w:rPr>
          <w:sz w:val="22"/>
          <w:szCs w:val="22"/>
          <w:lang w:val="sr-Latn-ME"/>
        </w:rPr>
        <w:t xml:space="preserve">. </w:t>
      </w:r>
      <w:proofErr w:type="spellStart"/>
      <w:r w:rsidRPr="00285CEF">
        <w:rPr>
          <w:sz w:val="22"/>
          <w:szCs w:val="22"/>
          <w:lang w:val="sr-Latn-ME"/>
        </w:rPr>
        <w:t>Serozna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retinopatija</w:t>
      </w:r>
      <w:proofErr w:type="spellEnd"/>
      <w:r w:rsidRPr="00285CEF">
        <w:rPr>
          <w:sz w:val="22"/>
          <w:szCs w:val="22"/>
          <w:lang w:val="sr-Latn-ME"/>
        </w:rPr>
        <w:t xml:space="preserve"> može se zbrinuti privremenim prekidom primjene, smanjenjem doze ili trajnom obustavom liječenja (vidjeti Tabelu 1 u </w:t>
      </w:r>
      <w:r w:rsidR="00C93C57" w:rsidRPr="00285CEF">
        <w:rPr>
          <w:sz w:val="22"/>
          <w:szCs w:val="22"/>
          <w:lang w:val="sr-Latn-ME"/>
        </w:rPr>
        <w:t xml:space="preserve">dijelu </w:t>
      </w:r>
      <w:r w:rsidRPr="00285CEF">
        <w:rPr>
          <w:sz w:val="22"/>
          <w:szCs w:val="22"/>
          <w:lang w:val="sr-Latn-ME"/>
        </w:rPr>
        <w:t xml:space="preserve">4.2). 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8D0ED5">
      <w:pPr>
        <w:jc w:val="both"/>
        <w:rPr>
          <w:i/>
          <w:sz w:val="22"/>
          <w:szCs w:val="22"/>
          <w:lang w:val="sr-Latn-ME"/>
        </w:rPr>
      </w:pPr>
      <w:proofErr w:type="spellStart"/>
      <w:r w:rsidRPr="00285CEF">
        <w:rPr>
          <w:i/>
          <w:sz w:val="22"/>
          <w:szCs w:val="22"/>
          <w:lang w:val="sr-Latn-ME"/>
        </w:rPr>
        <w:t>Disfunkcija</w:t>
      </w:r>
      <w:proofErr w:type="spellEnd"/>
      <w:r w:rsidRPr="00285CEF">
        <w:rPr>
          <w:i/>
          <w:sz w:val="22"/>
          <w:szCs w:val="22"/>
          <w:lang w:val="sr-Latn-ME"/>
        </w:rPr>
        <w:t xml:space="preserve"> lijeve komore </w:t>
      </w:r>
    </w:p>
    <w:p w:rsidR="0013132D" w:rsidRPr="00285CEF" w:rsidRDefault="0013132D" w:rsidP="00CC3B0C">
      <w:pPr>
        <w:jc w:val="both"/>
        <w:rPr>
          <w:sz w:val="22"/>
          <w:szCs w:val="22"/>
          <w:u w:val="single"/>
          <w:lang w:val="sr-Latn-ME"/>
        </w:rPr>
      </w:pPr>
    </w:p>
    <w:p w:rsidR="0013132D" w:rsidRPr="00285CEF" w:rsidRDefault="0013132D" w:rsidP="00B724B9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Kod pacijenata liječenih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prijavljeno je smanjenje LVEF u odnosu na početnu vrijednost (vidjeti </w:t>
      </w:r>
      <w:r w:rsidR="00DA6C1D" w:rsidRPr="00285CEF">
        <w:rPr>
          <w:sz w:val="22"/>
          <w:szCs w:val="22"/>
          <w:lang w:val="sr-Latn-ME"/>
        </w:rPr>
        <w:t xml:space="preserve">dio </w:t>
      </w:r>
      <w:r w:rsidRPr="00285CEF">
        <w:rPr>
          <w:sz w:val="22"/>
          <w:szCs w:val="22"/>
          <w:lang w:val="sr-Latn-ME"/>
        </w:rPr>
        <w:t xml:space="preserve">4.4). LVEF je potrebno procijeniti prije početka liječenja radi utvrđivanja početnih vrijednosti, potom nakon prvog mjeseca liječenja, a zatim najmanje svaka 3 mjeseca ili u skladu sa kliničkom indikacijom do prekida liječenja. Smanjenje LVEF od početne vrijednosti može se zbrinuti privremenim prekidom primjene, smanjenjem doze ili trajnom obustavom liječenja (vidjeti </w:t>
      </w:r>
      <w:r w:rsidR="00DA6C1D" w:rsidRPr="00285CEF">
        <w:rPr>
          <w:sz w:val="22"/>
          <w:szCs w:val="22"/>
          <w:lang w:val="sr-Latn-ME"/>
        </w:rPr>
        <w:t xml:space="preserve">dio </w:t>
      </w:r>
      <w:r w:rsidRPr="00285CEF">
        <w:rPr>
          <w:sz w:val="22"/>
          <w:szCs w:val="22"/>
          <w:lang w:val="sr-Latn-ME"/>
        </w:rPr>
        <w:t>4.2).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DA6C1D">
      <w:pPr>
        <w:jc w:val="both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 xml:space="preserve">Odstupanja u laboratorijskim vrijednostima 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DA6C1D">
      <w:pPr>
        <w:jc w:val="both"/>
        <w:rPr>
          <w:i/>
          <w:sz w:val="22"/>
          <w:szCs w:val="22"/>
          <w:u w:val="single"/>
          <w:lang w:val="sr-Latn-ME"/>
        </w:rPr>
      </w:pPr>
      <w:r w:rsidRPr="00285CEF">
        <w:rPr>
          <w:i/>
          <w:sz w:val="22"/>
          <w:szCs w:val="22"/>
          <w:u w:val="single"/>
          <w:lang w:val="sr-Latn-ME"/>
        </w:rPr>
        <w:t xml:space="preserve">Odstupanja u laboratorijskim vrijednostima parametara jetre </w:t>
      </w:r>
    </w:p>
    <w:p w:rsidR="0013132D" w:rsidRPr="00285CEF" w:rsidRDefault="0013132D" w:rsidP="0006194A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Kod pacijenata liječenih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primijećena su odstupanja u laboratorijskim vrijednostima parametara jetre, naročito vrijednostima ALT, AST i ALP (vidjeti </w:t>
      </w:r>
      <w:r w:rsidR="00DA6C1D" w:rsidRPr="00285CEF">
        <w:rPr>
          <w:sz w:val="22"/>
          <w:szCs w:val="22"/>
          <w:lang w:val="sr-Latn-ME"/>
        </w:rPr>
        <w:t xml:space="preserve">dio </w:t>
      </w:r>
      <w:r w:rsidRPr="00285CEF">
        <w:rPr>
          <w:sz w:val="22"/>
          <w:szCs w:val="22"/>
          <w:lang w:val="sr-Latn-ME"/>
        </w:rPr>
        <w:t xml:space="preserve">4.4). 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Laboratorijske vrijednosti parametara jetre treba kontrolisati prije početka kombinovanog liječenja i jednom mjesečno tokom liječenja ili češće, ako je to klinički </w:t>
      </w:r>
      <w:proofErr w:type="spellStart"/>
      <w:r w:rsidRPr="00285CEF">
        <w:rPr>
          <w:sz w:val="22"/>
          <w:szCs w:val="22"/>
          <w:lang w:val="sr-Latn-ME"/>
        </w:rPr>
        <w:t>indikovano</w:t>
      </w:r>
      <w:proofErr w:type="spellEnd"/>
      <w:r w:rsidRPr="00285CEF">
        <w:rPr>
          <w:sz w:val="22"/>
          <w:szCs w:val="22"/>
          <w:lang w:val="sr-Latn-ME"/>
        </w:rPr>
        <w:t xml:space="preserve"> (vidjeti </w:t>
      </w:r>
      <w:r w:rsidR="00DA6C1D" w:rsidRPr="00285CEF">
        <w:rPr>
          <w:sz w:val="22"/>
          <w:szCs w:val="22"/>
          <w:lang w:val="sr-Latn-ME"/>
        </w:rPr>
        <w:t xml:space="preserve">dio </w:t>
      </w:r>
      <w:r w:rsidRPr="00285CEF">
        <w:rPr>
          <w:sz w:val="22"/>
          <w:szCs w:val="22"/>
          <w:lang w:val="sr-Latn-ME"/>
        </w:rPr>
        <w:t>4.2).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i/>
          <w:sz w:val="22"/>
          <w:szCs w:val="22"/>
          <w:u w:val="single"/>
          <w:lang w:val="sr-Latn-ME"/>
        </w:rPr>
      </w:pPr>
      <w:r w:rsidRPr="00285CEF">
        <w:rPr>
          <w:i/>
          <w:sz w:val="22"/>
          <w:szCs w:val="22"/>
          <w:u w:val="single"/>
          <w:lang w:val="sr-Latn-ME"/>
        </w:rPr>
        <w:t xml:space="preserve">Povišene vrijednosti </w:t>
      </w:r>
      <w:proofErr w:type="spellStart"/>
      <w:r w:rsidRPr="00285CEF">
        <w:rPr>
          <w:i/>
          <w:sz w:val="22"/>
          <w:szCs w:val="22"/>
          <w:u w:val="single"/>
          <w:lang w:val="sr-Latn-ME"/>
        </w:rPr>
        <w:t>kreatin</w:t>
      </w:r>
      <w:proofErr w:type="spellEnd"/>
      <w:r w:rsidRPr="00285CEF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u w:val="single"/>
          <w:lang w:val="sr-Latn-ME"/>
        </w:rPr>
        <w:t>fosfokinaze</w:t>
      </w:r>
      <w:proofErr w:type="spellEnd"/>
      <w:r w:rsidRPr="00285CEF">
        <w:rPr>
          <w:i/>
          <w:sz w:val="22"/>
          <w:szCs w:val="22"/>
          <w:u w:val="single"/>
          <w:lang w:val="sr-Latn-ME"/>
        </w:rPr>
        <w:t xml:space="preserve"> u krvi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U studiji GO28141, </w:t>
      </w:r>
      <w:proofErr w:type="spellStart"/>
      <w:r w:rsidRPr="00285CEF">
        <w:rPr>
          <w:sz w:val="22"/>
          <w:szCs w:val="22"/>
          <w:lang w:val="sr-Latn-ME"/>
        </w:rPr>
        <w:t>asimptomatska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r w:rsidR="00DA6C1D" w:rsidRPr="00285CEF">
        <w:rPr>
          <w:sz w:val="22"/>
          <w:szCs w:val="22"/>
          <w:lang w:val="sr-Latn-ME"/>
        </w:rPr>
        <w:t xml:space="preserve">povećanja </w:t>
      </w:r>
      <w:r w:rsidRPr="00285CEF">
        <w:rPr>
          <w:sz w:val="22"/>
          <w:szCs w:val="22"/>
          <w:lang w:val="sr-Latn-ME"/>
        </w:rPr>
        <w:t xml:space="preserve">vrijednosti CPK u krvi primijećena su sa većom učestalošću u grupi liječenoj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nego u onoj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plus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(vidjeti </w:t>
      </w:r>
      <w:r w:rsidR="00DA6C1D" w:rsidRPr="00285CEF">
        <w:rPr>
          <w:sz w:val="22"/>
          <w:szCs w:val="22"/>
          <w:lang w:val="sr-Latn-ME"/>
        </w:rPr>
        <w:t xml:space="preserve">djelove </w:t>
      </w:r>
      <w:r w:rsidRPr="00285CEF">
        <w:rPr>
          <w:sz w:val="22"/>
          <w:szCs w:val="22"/>
          <w:lang w:val="sr-Latn-ME"/>
        </w:rPr>
        <w:t xml:space="preserve">4.2 i 4.4). Tokom studije je u obje liječene grupe primijećen po jedan događaj </w:t>
      </w:r>
      <w:proofErr w:type="spellStart"/>
      <w:r w:rsidRPr="00285CEF">
        <w:rPr>
          <w:sz w:val="22"/>
          <w:szCs w:val="22"/>
          <w:lang w:val="sr-Latn-ME"/>
        </w:rPr>
        <w:t>rabdomiolize</w:t>
      </w:r>
      <w:proofErr w:type="spellEnd"/>
      <w:r w:rsidRPr="00285CEF">
        <w:rPr>
          <w:sz w:val="22"/>
          <w:szCs w:val="22"/>
          <w:lang w:val="sr-Latn-ME"/>
        </w:rPr>
        <w:t xml:space="preserve">, uz istovremena </w:t>
      </w:r>
      <w:r w:rsidR="00DA6C1D" w:rsidRPr="00285CEF">
        <w:rPr>
          <w:sz w:val="22"/>
          <w:szCs w:val="22"/>
          <w:lang w:val="sr-Latn-ME"/>
        </w:rPr>
        <w:t xml:space="preserve">povećanja </w:t>
      </w:r>
      <w:r w:rsidRPr="00285CEF">
        <w:rPr>
          <w:sz w:val="22"/>
          <w:szCs w:val="22"/>
          <w:lang w:val="sr-Latn-ME"/>
        </w:rPr>
        <w:t>vrijednosti CPK u krvi.</w:t>
      </w:r>
    </w:p>
    <w:p w:rsidR="00DA6C1D" w:rsidRPr="00285CEF" w:rsidRDefault="00DA6C1D" w:rsidP="00DA6C1D">
      <w:pPr>
        <w:jc w:val="both"/>
        <w:rPr>
          <w:sz w:val="22"/>
          <w:szCs w:val="22"/>
          <w:lang w:val="sr-Latn-ME"/>
        </w:rPr>
      </w:pPr>
    </w:p>
    <w:p w:rsidR="00DA6C1D" w:rsidRPr="00285CEF" w:rsidRDefault="00DA6C1D" w:rsidP="00DA6C1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Tabela 4 prikazuje učestalost izmjerenih odstupanja u laboratorijskim vrijednostima parametara za procjenu funkcije jetre i povećanih vrijednosti </w:t>
      </w:r>
      <w:proofErr w:type="spellStart"/>
      <w:r w:rsidRPr="00285CEF">
        <w:rPr>
          <w:sz w:val="22"/>
          <w:szCs w:val="22"/>
          <w:lang w:val="sr-Latn-ME"/>
        </w:rPr>
        <w:t>kreatin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fosfokinaze</w:t>
      </w:r>
      <w:proofErr w:type="spellEnd"/>
      <w:r w:rsidRPr="00285CEF">
        <w:rPr>
          <w:sz w:val="22"/>
          <w:szCs w:val="22"/>
          <w:lang w:val="sr-Latn-ME"/>
        </w:rPr>
        <w:t xml:space="preserve"> za sve stepene i stepene 3. - 4.</w:t>
      </w:r>
    </w:p>
    <w:p w:rsidR="0013132D" w:rsidRPr="00285CEF" w:rsidRDefault="0013132D" w:rsidP="00B64A87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:rsidR="0013132D" w:rsidRPr="00285CEF" w:rsidRDefault="0013132D" w:rsidP="00B64A87">
      <w:pPr>
        <w:ind w:left="1560" w:hanging="1560"/>
        <w:jc w:val="both"/>
        <w:rPr>
          <w:b/>
          <w:sz w:val="22"/>
          <w:szCs w:val="22"/>
          <w:lang w:val="sr-Latn-ME" w:eastAsia="ja-JP"/>
        </w:rPr>
      </w:pPr>
      <w:r w:rsidRPr="00285CEF">
        <w:rPr>
          <w:b/>
          <w:sz w:val="22"/>
          <w:szCs w:val="22"/>
          <w:lang w:val="sr-Latn-ME" w:eastAsia="ja-JP"/>
        </w:rPr>
        <w:t>Tabela 4     Nalazi testova funkcije jetre i drugih laboratorijskih analiza u studiji faze III GO28141</w:t>
      </w:r>
    </w:p>
    <w:p w:rsidR="004A5F6A" w:rsidRPr="00285CEF" w:rsidRDefault="004A5F6A" w:rsidP="00B64A87">
      <w:pPr>
        <w:ind w:left="1560" w:hanging="1560"/>
        <w:jc w:val="both"/>
        <w:rPr>
          <w:b/>
          <w:sz w:val="22"/>
          <w:szCs w:val="22"/>
          <w:lang w:val="sr-Latn-ME" w:eastAsia="ja-JP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08"/>
        <w:gridCol w:w="1285"/>
        <w:gridCol w:w="1276"/>
        <w:gridCol w:w="1417"/>
      </w:tblGrid>
      <w:tr w:rsidR="0013132D" w:rsidRPr="00285CEF" w:rsidTr="0013132D">
        <w:trPr>
          <w:trHeight w:val="926"/>
          <w:jc w:val="center"/>
        </w:trPr>
        <w:tc>
          <w:tcPr>
            <w:tcW w:w="2660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Promjene u prijavljenim laboratorijskim vrijednostima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285CEF">
              <w:rPr>
                <w:b/>
                <w:sz w:val="22"/>
                <w:szCs w:val="22"/>
                <w:lang w:val="sr-Latn-ME"/>
              </w:rPr>
              <w:t>Kobimetinib</w:t>
            </w:r>
            <w:proofErr w:type="spellEnd"/>
            <w:r w:rsidRPr="00285CEF">
              <w:rPr>
                <w:b/>
                <w:sz w:val="22"/>
                <w:szCs w:val="22"/>
                <w:lang w:val="sr-Latn-ME"/>
              </w:rPr>
              <w:t xml:space="preserve"> plus </w:t>
            </w:r>
            <w:proofErr w:type="spellStart"/>
            <w:r w:rsidRPr="00285CEF">
              <w:rPr>
                <w:b/>
                <w:sz w:val="22"/>
                <w:szCs w:val="22"/>
                <w:lang w:val="sr-Latn-ME"/>
              </w:rPr>
              <w:t>vemurafenib</w:t>
            </w:r>
            <w:proofErr w:type="spellEnd"/>
          </w:p>
          <w:p w:rsidR="0013132D" w:rsidRPr="00285CEF" w:rsidRDefault="0013132D" w:rsidP="0013132D">
            <w:pPr>
              <w:keepNext/>
              <w:jc w:val="center"/>
              <w:rPr>
                <w:b/>
                <w:sz w:val="22"/>
                <w:szCs w:val="22"/>
                <w:lang w:val="sr-Latn-ME"/>
              </w:rPr>
            </w:pPr>
            <w:r w:rsidRPr="00285CEF">
              <w:rPr>
                <w:b/>
                <w:sz w:val="22"/>
                <w:szCs w:val="22"/>
                <w:lang w:val="sr-Latn-ME"/>
              </w:rPr>
              <w:t>(n = 247)</w:t>
            </w:r>
          </w:p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 xml:space="preserve"> (%)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285CEF">
              <w:rPr>
                <w:b/>
                <w:sz w:val="22"/>
                <w:szCs w:val="22"/>
                <w:lang w:val="sr-Latn-ME"/>
              </w:rPr>
              <w:t>Placebo</w:t>
            </w:r>
            <w:proofErr w:type="spellEnd"/>
            <w:r w:rsidRPr="00285CEF">
              <w:rPr>
                <w:b/>
                <w:sz w:val="22"/>
                <w:szCs w:val="22"/>
                <w:lang w:val="sr-Latn-ME"/>
              </w:rPr>
              <w:t xml:space="preserve"> plus </w:t>
            </w:r>
            <w:proofErr w:type="spellStart"/>
            <w:r w:rsidRPr="00285CEF">
              <w:rPr>
                <w:b/>
                <w:sz w:val="22"/>
                <w:szCs w:val="22"/>
                <w:lang w:val="sr-Latn-ME"/>
              </w:rPr>
              <w:t>vemurafenib</w:t>
            </w:r>
            <w:proofErr w:type="spellEnd"/>
          </w:p>
          <w:p w:rsidR="0013132D" w:rsidRPr="00285CEF" w:rsidRDefault="0013132D" w:rsidP="0013132D">
            <w:pPr>
              <w:keepNext/>
              <w:jc w:val="center"/>
              <w:rPr>
                <w:b/>
                <w:sz w:val="22"/>
                <w:szCs w:val="22"/>
                <w:lang w:val="sr-Latn-ME"/>
              </w:rPr>
            </w:pPr>
            <w:r w:rsidRPr="00285CEF">
              <w:rPr>
                <w:b/>
                <w:sz w:val="22"/>
                <w:szCs w:val="22"/>
                <w:lang w:val="sr-Latn-ME"/>
              </w:rPr>
              <w:t>(n = 246)</w:t>
            </w:r>
          </w:p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>(%)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 xml:space="preserve">Svi </w:t>
            </w:r>
          </w:p>
          <w:p w:rsidR="0013132D" w:rsidRPr="00285CEF" w:rsidRDefault="0013132D" w:rsidP="0013132D">
            <w:pPr>
              <w:keepNext/>
              <w:jc w:val="center"/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>stepeni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>3. – 4. stepen</w:t>
            </w:r>
          </w:p>
        </w:tc>
        <w:tc>
          <w:tcPr>
            <w:tcW w:w="1276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 xml:space="preserve">Svi </w:t>
            </w:r>
          </w:p>
          <w:p w:rsidR="0013132D" w:rsidRPr="00285CEF" w:rsidRDefault="0013132D" w:rsidP="0013132D">
            <w:pPr>
              <w:keepNext/>
              <w:jc w:val="center"/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>stepeni</w:t>
            </w:r>
          </w:p>
        </w:tc>
        <w:tc>
          <w:tcPr>
            <w:tcW w:w="1417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>3. – 4. stepen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>Test funkcije jetre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Povišena vrijednost ALP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69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3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2660" w:type="dxa"/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Povišena vrijednost ALT</w:t>
            </w:r>
          </w:p>
        </w:tc>
        <w:tc>
          <w:tcPr>
            <w:tcW w:w="1408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67</w:t>
            </w:r>
          </w:p>
        </w:tc>
        <w:tc>
          <w:tcPr>
            <w:tcW w:w="1285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5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Povišena vrijednost AST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71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2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Povišena vrijednost GGT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62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17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Povišena vrijednost bilirubina u krvi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33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1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noProof/>
                <w:sz w:val="22"/>
                <w:szCs w:val="22"/>
                <w:lang w:val="sr-Latn-ME" w:eastAsia="hr-HR" w:bidi="hr-HR"/>
              </w:rPr>
              <w:t>Ostala odstupanja u laboratorijskim vrijednostima</w:t>
            </w:r>
          </w:p>
        </w:tc>
      </w:tr>
      <w:tr w:rsidR="0013132D" w:rsidRPr="00285CEF" w:rsidTr="0013132D">
        <w:trPr>
          <w:trHeight w:val="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Povišena vrijednost CPK u krvi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70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13132D" w:rsidRPr="00285CEF" w:rsidRDefault="0013132D" w:rsidP="0013132D">
            <w:pPr>
              <w:keepNext/>
              <w:jc w:val="center"/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noProof/>
                <w:sz w:val="22"/>
                <w:szCs w:val="22"/>
                <w:lang w:val="sr-Latn-ME" w:eastAsia="hr-HR" w:bidi="hr-HR"/>
              </w:rPr>
              <w:t>&lt;1</w:t>
            </w:r>
          </w:p>
        </w:tc>
      </w:tr>
    </w:tbl>
    <w:p w:rsidR="0013132D" w:rsidRPr="00285CEF" w:rsidRDefault="0013132D" w:rsidP="0013132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B64A87">
      <w:pPr>
        <w:jc w:val="both"/>
        <w:outlineLvl w:val="0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Posebne grupe pacijenata</w:t>
      </w:r>
    </w:p>
    <w:p w:rsidR="0013132D" w:rsidRPr="00285CEF" w:rsidRDefault="0013132D" w:rsidP="00B64A87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DA6C1D" w:rsidP="00B64A87">
      <w:pPr>
        <w:jc w:val="both"/>
        <w:outlineLvl w:val="0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Stariji pacijenti</w:t>
      </w:r>
    </w:p>
    <w:p w:rsidR="0013132D" w:rsidRPr="00285CEF" w:rsidRDefault="0013132D" w:rsidP="00B64A87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lastRenderedPageBreak/>
        <w:t xml:space="preserve">U studiji faze III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kod pacijenata sa </w:t>
      </w:r>
      <w:proofErr w:type="spellStart"/>
      <w:r w:rsidRPr="00285CEF">
        <w:rPr>
          <w:sz w:val="22"/>
          <w:szCs w:val="22"/>
          <w:lang w:val="sr-Latn-ME"/>
        </w:rPr>
        <w:t>neoperabilnim</w:t>
      </w:r>
      <w:proofErr w:type="spellEnd"/>
      <w:r w:rsidRPr="00285CEF">
        <w:rPr>
          <w:sz w:val="22"/>
          <w:szCs w:val="22"/>
          <w:lang w:val="sr-Latn-ME"/>
        </w:rPr>
        <w:t xml:space="preserve"> ili </w:t>
      </w:r>
      <w:proofErr w:type="spellStart"/>
      <w:r w:rsidRPr="00285CEF">
        <w:rPr>
          <w:sz w:val="22"/>
          <w:szCs w:val="22"/>
          <w:lang w:val="sr-Latn-ME"/>
        </w:rPr>
        <w:t>metastatskim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melanomom</w:t>
      </w:r>
      <w:proofErr w:type="spellEnd"/>
      <w:r w:rsidRPr="00285CEF">
        <w:rPr>
          <w:sz w:val="22"/>
          <w:szCs w:val="22"/>
          <w:lang w:val="sr-Latn-ME"/>
        </w:rPr>
        <w:t xml:space="preserve"> (n = 247), 183 pacijenta (74%) imalo je &lt; 65 godina, 44 pacijenta (18%) </w:t>
      </w:r>
      <w:r w:rsidR="00DA6C1D" w:rsidRPr="00285CEF">
        <w:rPr>
          <w:sz w:val="22"/>
          <w:szCs w:val="22"/>
          <w:lang w:val="sr-Latn-ME"/>
        </w:rPr>
        <w:t>imalo je</w:t>
      </w:r>
      <w:r w:rsidRPr="00285CEF">
        <w:rPr>
          <w:sz w:val="22"/>
          <w:szCs w:val="22"/>
          <w:lang w:val="sr-Latn-ME"/>
        </w:rPr>
        <w:t xml:space="preserve"> 65 – 74 godine, njih 16 (6%) </w:t>
      </w:r>
      <w:r w:rsidR="00DA6C1D" w:rsidRPr="00285CEF">
        <w:rPr>
          <w:sz w:val="22"/>
          <w:szCs w:val="22"/>
          <w:lang w:val="sr-Latn-ME"/>
        </w:rPr>
        <w:t>imalo je</w:t>
      </w:r>
      <w:r w:rsidRPr="00285CEF">
        <w:rPr>
          <w:sz w:val="22"/>
          <w:szCs w:val="22"/>
          <w:lang w:val="sr-Latn-ME"/>
        </w:rPr>
        <w:t xml:space="preserve"> 75 – 84 godine, dok su 4 pacijenta (2%) </w:t>
      </w:r>
      <w:r w:rsidR="00DA6C1D" w:rsidRPr="00285CEF">
        <w:rPr>
          <w:sz w:val="22"/>
          <w:szCs w:val="22"/>
          <w:lang w:val="sr-Latn-ME"/>
        </w:rPr>
        <w:t>imala</w:t>
      </w:r>
      <w:r w:rsidRPr="00285CEF">
        <w:rPr>
          <w:sz w:val="22"/>
          <w:szCs w:val="22"/>
          <w:lang w:val="sr-Latn-ME"/>
        </w:rPr>
        <w:t xml:space="preserve"> </w:t>
      </w:r>
      <w:r w:rsidRPr="00285CEF">
        <w:rPr>
          <w:noProof/>
          <w:sz w:val="22"/>
          <w:szCs w:val="22"/>
          <w:lang w:val="sr-Latn-ME"/>
        </w:rPr>
        <w:sym w:font="Symbol" w:char="F0B3"/>
      </w:r>
      <w:r w:rsidRPr="00285CEF">
        <w:rPr>
          <w:sz w:val="22"/>
          <w:szCs w:val="22"/>
          <w:lang w:val="sr-Latn-ME"/>
        </w:rPr>
        <w:t xml:space="preserve"> 85 godina. </w:t>
      </w:r>
      <w:proofErr w:type="spellStart"/>
      <w:r w:rsidRPr="00285CEF">
        <w:rPr>
          <w:sz w:val="22"/>
          <w:szCs w:val="22"/>
          <w:lang w:val="sr-Latn-ME"/>
        </w:rPr>
        <w:t>Udio</w:t>
      </w:r>
      <w:proofErr w:type="spellEnd"/>
      <w:r w:rsidRPr="00285CEF">
        <w:rPr>
          <w:sz w:val="22"/>
          <w:szCs w:val="22"/>
          <w:lang w:val="sr-Latn-ME"/>
        </w:rPr>
        <w:t xml:space="preserve"> pacijenata kod kojih su zabilježeni neželjeni događaji bio je sličan kod pacijenata </w:t>
      </w:r>
      <w:r w:rsidR="00DA6C1D" w:rsidRPr="00285CEF">
        <w:rPr>
          <w:sz w:val="22"/>
          <w:szCs w:val="22"/>
          <w:lang w:val="sr-Latn-ME"/>
        </w:rPr>
        <w:t>koji su imali</w:t>
      </w:r>
      <w:r w:rsidRPr="00285CEF">
        <w:rPr>
          <w:sz w:val="22"/>
          <w:szCs w:val="22"/>
          <w:lang w:val="sr-Latn-ME"/>
        </w:rPr>
        <w:t xml:space="preserve"> &lt;  65 godina i onih </w:t>
      </w:r>
      <w:r w:rsidR="00DA6C1D" w:rsidRPr="00285CEF">
        <w:rPr>
          <w:sz w:val="22"/>
          <w:szCs w:val="22"/>
          <w:lang w:val="sr-Latn-ME"/>
        </w:rPr>
        <w:t>koji su imali</w:t>
      </w:r>
      <w:r w:rsidRPr="00285CEF">
        <w:rPr>
          <w:sz w:val="22"/>
          <w:szCs w:val="22"/>
          <w:lang w:val="sr-Latn-ME"/>
        </w:rPr>
        <w:t xml:space="preserve"> </w:t>
      </w:r>
      <w:r w:rsidRPr="00285CEF">
        <w:rPr>
          <w:noProof/>
          <w:sz w:val="22"/>
          <w:szCs w:val="22"/>
          <w:lang w:val="sr-Latn-ME"/>
        </w:rPr>
        <w:sym w:font="Symbol" w:char="F0B3"/>
      </w:r>
      <w:r w:rsidRPr="00285CEF">
        <w:rPr>
          <w:sz w:val="22"/>
          <w:szCs w:val="22"/>
          <w:lang w:val="sr-Latn-ME"/>
        </w:rPr>
        <w:t xml:space="preserve"> 65 godina. Vjerovatnost pojave ozbiljnog neželjenog događaja kao i neželjenih događaja koji su zahtijevali prekid liječenja </w:t>
      </w:r>
      <w:proofErr w:type="spellStart"/>
      <w:r w:rsidRPr="00285CEF">
        <w:rPr>
          <w:sz w:val="22"/>
          <w:szCs w:val="22"/>
          <w:lang w:val="sr-Latn-ME"/>
        </w:rPr>
        <w:t>kobimetinibom</w:t>
      </w:r>
      <w:proofErr w:type="spellEnd"/>
      <w:r w:rsidRPr="00285CEF">
        <w:rPr>
          <w:sz w:val="22"/>
          <w:szCs w:val="22"/>
          <w:lang w:val="sr-Latn-ME"/>
        </w:rPr>
        <w:t xml:space="preserve"> bila je veća kod </w:t>
      </w:r>
      <w:r w:rsidR="00DA6C1D" w:rsidRPr="00285CEF">
        <w:rPr>
          <w:sz w:val="22"/>
          <w:szCs w:val="22"/>
          <w:lang w:val="sr-Latn-ME"/>
        </w:rPr>
        <w:t>pacijenata koji su imali</w:t>
      </w:r>
      <w:r w:rsidRPr="00285CEF">
        <w:rPr>
          <w:sz w:val="22"/>
          <w:szCs w:val="22"/>
          <w:lang w:val="sr-Latn-ME"/>
        </w:rPr>
        <w:t xml:space="preserve"> ≥ 65 godina nego kod onih </w:t>
      </w:r>
      <w:r w:rsidR="00DA6C1D" w:rsidRPr="00285CEF">
        <w:rPr>
          <w:sz w:val="22"/>
          <w:szCs w:val="22"/>
          <w:lang w:val="sr-Latn-ME"/>
        </w:rPr>
        <w:t>koji su imali</w:t>
      </w:r>
      <w:r w:rsidRPr="00285CEF">
        <w:rPr>
          <w:sz w:val="22"/>
          <w:szCs w:val="22"/>
          <w:lang w:val="sr-Latn-ME"/>
        </w:rPr>
        <w:t xml:space="preserve"> &lt; 65 godina.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821CE8" w:rsidRPr="00285CEF" w:rsidRDefault="00821CE8" w:rsidP="00B64A87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val="sr-Latn-ME" w:eastAsia="ja-JP"/>
        </w:rPr>
      </w:pPr>
      <w:r w:rsidRPr="00285CEF">
        <w:rPr>
          <w:i/>
          <w:noProof/>
          <w:sz w:val="22"/>
          <w:szCs w:val="22"/>
          <w:lang w:val="sr-Latn-ME" w:eastAsia="ja-JP"/>
        </w:rPr>
        <w:t>Pedijatrijska populacija</w:t>
      </w:r>
    </w:p>
    <w:p w:rsidR="00821CE8" w:rsidRPr="00285CEF" w:rsidRDefault="00821CE8" w:rsidP="00B64A87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u w:val="single"/>
          <w:lang w:val="sr-Latn-ME" w:eastAsia="ja-JP"/>
        </w:rPr>
      </w:pPr>
    </w:p>
    <w:p w:rsidR="00821CE8" w:rsidRPr="00285CEF" w:rsidRDefault="00821CE8" w:rsidP="00B64A8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ja-JP"/>
        </w:rPr>
      </w:pPr>
      <w:r w:rsidRPr="00285CEF">
        <w:rPr>
          <w:noProof/>
          <w:sz w:val="22"/>
          <w:szCs w:val="22"/>
          <w:lang w:val="sr-Latn-ME" w:eastAsia="ja-JP"/>
        </w:rPr>
        <w:t>Bezbjednost lijeka Cotellic kod d</w:t>
      </w:r>
      <w:r w:rsidR="002F786F" w:rsidRPr="00285CEF">
        <w:rPr>
          <w:noProof/>
          <w:sz w:val="22"/>
          <w:szCs w:val="22"/>
          <w:lang w:val="sr-Latn-ME" w:eastAsia="ja-JP"/>
        </w:rPr>
        <w:t>j</w:t>
      </w:r>
      <w:r w:rsidRPr="00285CEF">
        <w:rPr>
          <w:noProof/>
          <w:sz w:val="22"/>
          <w:szCs w:val="22"/>
          <w:lang w:val="sr-Latn-ME" w:eastAsia="ja-JP"/>
        </w:rPr>
        <w:t>ece i adolescenata nije u potpunosti utvrđena. Bezbjednost lijeka Cotellic procjenjivana je u multicentričnom, otvorenom ispitivanju sa postepenim povećanjem doze sprovedenom kod 55 pedijatrijskih pacijenata uzrasta od 2 do 17 godina sa solidnim tumorima. Bezbjednosni profil lijeka Cotellic kod tih pacijenata bio je u skladu sa onim u odrasloj populaciji (vidjeti dio 5.2).</w:t>
      </w:r>
    </w:p>
    <w:p w:rsidR="00821CE8" w:rsidRPr="00285CEF" w:rsidRDefault="00821CE8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B64A87">
      <w:pPr>
        <w:jc w:val="both"/>
        <w:outlineLvl w:val="0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 xml:space="preserve">Oštećenje funkcije bubrega </w:t>
      </w:r>
    </w:p>
    <w:p w:rsidR="0013132D" w:rsidRPr="00285CEF" w:rsidRDefault="0013132D" w:rsidP="00B64A87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Nije sprovedeno nijedno </w:t>
      </w:r>
      <w:proofErr w:type="spellStart"/>
      <w:r w:rsidRPr="00285CEF">
        <w:rPr>
          <w:sz w:val="22"/>
          <w:szCs w:val="22"/>
          <w:lang w:val="sr-Latn-ME"/>
        </w:rPr>
        <w:t>farmakokinetičko</w:t>
      </w:r>
      <w:proofErr w:type="spellEnd"/>
      <w:r w:rsidRPr="00285CEF">
        <w:rPr>
          <w:sz w:val="22"/>
          <w:szCs w:val="22"/>
          <w:lang w:val="sr-Latn-ME"/>
        </w:rPr>
        <w:t xml:space="preserve"> ispitivanje kod ispitanika sa oštećenjem bubrežne funkcije. Prema rezultatima </w:t>
      </w:r>
      <w:proofErr w:type="spellStart"/>
      <w:r w:rsidRPr="00285CEF">
        <w:rPr>
          <w:sz w:val="22"/>
          <w:szCs w:val="22"/>
          <w:lang w:val="sr-Latn-ME"/>
        </w:rPr>
        <w:t>populacijske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farmakokinetičke</w:t>
      </w:r>
      <w:proofErr w:type="spellEnd"/>
      <w:r w:rsidRPr="00285CEF">
        <w:rPr>
          <w:sz w:val="22"/>
          <w:szCs w:val="22"/>
          <w:lang w:val="sr-Latn-ME"/>
        </w:rPr>
        <w:t xml:space="preserve"> analize, ne preporučuje se </w:t>
      </w:r>
      <w:r w:rsidR="00055578" w:rsidRPr="00285CEF">
        <w:rPr>
          <w:sz w:val="22"/>
          <w:szCs w:val="22"/>
          <w:lang w:val="sr-Latn-ME"/>
        </w:rPr>
        <w:t xml:space="preserve">prilagođavanje doze </w:t>
      </w:r>
      <w:r w:rsidRPr="00285CEF">
        <w:rPr>
          <w:sz w:val="22"/>
          <w:szCs w:val="22"/>
          <w:lang w:val="sr-Latn-ME"/>
        </w:rPr>
        <w:t xml:space="preserve">kod pacijenata sa blagim do umjerenim oštećenjem bubrežne funkcije. Postoji minimalna količina podataka o primjeni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kod pacijenata sa teškim oštećenjem bubrežne funkcije. </w:t>
      </w:r>
      <w:r w:rsidR="00055578" w:rsidRPr="00285CEF">
        <w:rPr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treba primjenjivati oprezno kod pacijenata sa teškim oštećenjem bubrežne funkcije. </w:t>
      </w:r>
    </w:p>
    <w:p w:rsidR="0013132D" w:rsidRPr="00285CEF" w:rsidRDefault="0013132D" w:rsidP="00B64A87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 </w:t>
      </w:r>
    </w:p>
    <w:p w:rsidR="0013132D" w:rsidRPr="00285CEF" w:rsidRDefault="0013132D" w:rsidP="00B64A87">
      <w:pPr>
        <w:jc w:val="both"/>
        <w:outlineLvl w:val="0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Oštećenje funkcije jetre</w:t>
      </w:r>
    </w:p>
    <w:p w:rsidR="0013132D" w:rsidRPr="00285CEF" w:rsidRDefault="0013132D" w:rsidP="00B64A87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B64A87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>Ne preporučuje se prilagođavanje doze kod pacijenata sa oštećenjem funkcije jetre (vidjeti dio 5.2).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6E525B" w:rsidRPr="00285CEF" w:rsidRDefault="006E525B" w:rsidP="006E525B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285CE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6E525B" w:rsidRPr="00285CEF" w:rsidRDefault="006E525B" w:rsidP="006E525B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85CE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6E525B" w:rsidRPr="00285CEF" w:rsidRDefault="006E525B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85CEF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:rsidR="006E525B" w:rsidRPr="00285CEF" w:rsidRDefault="006E525B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85CEF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285CEF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:rsidR="006E525B" w:rsidRPr="00285CEF" w:rsidRDefault="006E525B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85CEF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6E525B" w:rsidRPr="00285CEF" w:rsidRDefault="006E525B" w:rsidP="006E525B">
      <w:pPr>
        <w:pStyle w:val="NoSpacing"/>
        <w:rPr>
          <w:rFonts w:eastAsia="Calibri"/>
          <w:sz w:val="22"/>
          <w:szCs w:val="22"/>
          <w:lang w:val="sr-Latn-ME"/>
        </w:rPr>
      </w:pPr>
    </w:p>
    <w:p w:rsidR="006E525B" w:rsidRPr="00285CEF" w:rsidRDefault="006E525B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85CEF">
        <w:rPr>
          <w:rFonts w:eastAsia="Calibri"/>
          <w:sz w:val="22"/>
          <w:szCs w:val="22"/>
          <w:lang w:val="sr-Latn-ME"/>
        </w:rPr>
        <w:t>tel: +382 (0) 20 310 280</w:t>
      </w:r>
    </w:p>
    <w:p w:rsidR="006E525B" w:rsidRPr="00285CEF" w:rsidRDefault="006E525B" w:rsidP="006E525B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285CEF">
        <w:rPr>
          <w:rFonts w:eastAsia="Calibri"/>
          <w:sz w:val="22"/>
          <w:szCs w:val="22"/>
          <w:lang w:val="sr-Latn-ME"/>
        </w:rPr>
        <w:t>fax</w:t>
      </w:r>
      <w:proofErr w:type="spellEnd"/>
      <w:r w:rsidRPr="00285CEF">
        <w:rPr>
          <w:rFonts w:eastAsia="Calibri"/>
          <w:sz w:val="22"/>
          <w:szCs w:val="22"/>
          <w:lang w:val="sr-Latn-ME"/>
        </w:rPr>
        <w:t>: +382 (0) 20 310 581</w:t>
      </w:r>
      <w:r w:rsidRPr="00285CEF">
        <w:rPr>
          <w:rFonts w:eastAsia="Calibri"/>
          <w:sz w:val="22"/>
          <w:szCs w:val="22"/>
          <w:lang w:val="sr-Latn-ME"/>
        </w:rPr>
        <w:tab/>
      </w:r>
    </w:p>
    <w:p w:rsidR="006E525B" w:rsidRPr="00285CEF" w:rsidRDefault="00EA02A7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6E525B" w:rsidRPr="00285CE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6E525B" w:rsidRPr="00285CEF" w:rsidRDefault="00EA02A7" w:rsidP="006E525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6E525B" w:rsidRPr="00285CE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6E525B" w:rsidRPr="00285CEF" w:rsidRDefault="006E525B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85CEF">
        <w:rPr>
          <w:rFonts w:eastAsia="Calibri"/>
          <w:sz w:val="22"/>
          <w:szCs w:val="22"/>
          <w:lang w:val="sr-Latn-ME"/>
        </w:rPr>
        <w:t>putem IS zdravstvene zaštite</w:t>
      </w:r>
    </w:p>
    <w:p w:rsidR="006E525B" w:rsidRPr="00285CEF" w:rsidRDefault="006E525B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85CEF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285CEF">
        <w:rPr>
          <w:rFonts w:eastAsia="Calibri"/>
          <w:sz w:val="22"/>
          <w:szCs w:val="22"/>
          <w:lang w:val="sr-Latn-ME"/>
        </w:rPr>
        <w:t>online</w:t>
      </w:r>
      <w:proofErr w:type="spellEnd"/>
      <w:r w:rsidRPr="00285CEF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:rsidR="006E525B" w:rsidRPr="00285CEF" w:rsidRDefault="006E525B" w:rsidP="006E525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6E525B" w:rsidRPr="00285CEF" w:rsidRDefault="00272ED2" w:rsidP="006E525B">
      <w:pPr>
        <w:pStyle w:val="NoSpacing"/>
        <w:rPr>
          <w:rFonts w:eastAsia="Calibri"/>
          <w:sz w:val="22"/>
          <w:szCs w:val="22"/>
          <w:lang w:val="sr-Latn-ME"/>
        </w:rPr>
      </w:pPr>
      <w:r w:rsidRPr="00285CEF">
        <w:rPr>
          <w:b/>
          <w:bCs/>
          <w:noProof/>
          <w:sz w:val="22"/>
          <w:szCs w:val="22"/>
        </w:rPr>
        <w:drawing>
          <wp:inline distT="0" distB="0" distL="0" distR="0" wp14:anchorId="15E1699B" wp14:editId="039D156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605" w:rsidRPr="00285CEF" w:rsidRDefault="00D52605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D6F02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4.9.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proofErr w:type="spellStart"/>
      <w:r w:rsidRPr="00285CEF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285CEF">
        <w:rPr>
          <w:b/>
          <w:bCs/>
          <w:sz w:val="22"/>
          <w:szCs w:val="22"/>
          <w:lang w:val="sr-Latn-ME"/>
        </w:rPr>
        <w:t xml:space="preserve"> </w:t>
      </w:r>
    </w:p>
    <w:p w:rsidR="00CD6F02" w:rsidRPr="00285CEF" w:rsidRDefault="00CD6F02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Nema iskustva sa </w:t>
      </w:r>
      <w:proofErr w:type="spellStart"/>
      <w:r w:rsidRPr="00285CEF">
        <w:rPr>
          <w:sz w:val="22"/>
          <w:szCs w:val="22"/>
          <w:lang w:val="sr-Latn-ME"/>
        </w:rPr>
        <w:t>predoziranjem</w:t>
      </w:r>
      <w:proofErr w:type="spellEnd"/>
      <w:r w:rsidRPr="00285CEF">
        <w:rPr>
          <w:sz w:val="22"/>
          <w:szCs w:val="22"/>
          <w:lang w:val="sr-Latn-ME"/>
        </w:rPr>
        <w:t xml:space="preserve"> iz kliničkih ispitivanja sprovedenih kod </w:t>
      </w:r>
      <w:proofErr w:type="spellStart"/>
      <w:r w:rsidRPr="00285CEF">
        <w:rPr>
          <w:sz w:val="22"/>
          <w:szCs w:val="22"/>
          <w:lang w:val="sr-Latn-ME"/>
        </w:rPr>
        <w:t>ljudi</w:t>
      </w:r>
      <w:proofErr w:type="spellEnd"/>
      <w:r w:rsidRPr="00285CEF">
        <w:rPr>
          <w:sz w:val="22"/>
          <w:szCs w:val="22"/>
          <w:lang w:val="sr-Latn-ME"/>
        </w:rPr>
        <w:t xml:space="preserve">. U slučaju sumnje na </w:t>
      </w:r>
      <w:proofErr w:type="spellStart"/>
      <w:r w:rsidRPr="00285CEF">
        <w:rPr>
          <w:sz w:val="22"/>
          <w:szCs w:val="22"/>
          <w:lang w:val="sr-Latn-ME"/>
        </w:rPr>
        <w:t>predoziranje</w:t>
      </w:r>
      <w:proofErr w:type="spellEnd"/>
      <w:r w:rsidRPr="00285CEF">
        <w:rPr>
          <w:sz w:val="22"/>
          <w:szCs w:val="22"/>
          <w:lang w:val="sr-Latn-ME"/>
        </w:rPr>
        <w:t xml:space="preserve">, potrebno je </w:t>
      </w:r>
      <w:r w:rsidR="00952991" w:rsidRPr="00285CEF">
        <w:rPr>
          <w:sz w:val="22"/>
          <w:szCs w:val="22"/>
          <w:lang w:val="sr-Latn-ME"/>
        </w:rPr>
        <w:t>prekinu</w:t>
      </w:r>
      <w:r w:rsidR="00055578" w:rsidRPr="00285CEF">
        <w:rPr>
          <w:sz w:val="22"/>
          <w:szCs w:val="22"/>
          <w:lang w:val="sr-Latn-ME"/>
        </w:rPr>
        <w:t xml:space="preserve">ti </w:t>
      </w:r>
      <w:r w:rsidRPr="00285CEF">
        <w:rPr>
          <w:sz w:val="22"/>
          <w:szCs w:val="22"/>
          <w:lang w:val="sr-Latn-ME"/>
        </w:rPr>
        <w:t xml:space="preserve">primjenu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i uvesti potporno liječenje. Nema specifičnog pro</w:t>
      </w:r>
      <w:bookmarkStart w:id="0" w:name="_GoBack"/>
      <w:bookmarkEnd w:id="0"/>
      <w:r w:rsidRPr="00285CEF">
        <w:rPr>
          <w:sz w:val="22"/>
          <w:szCs w:val="22"/>
          <w:lang w:val="sr-Latn-ME"/>
        </w:rPr>
        <w:t xml:space="preserve">tivotrova za </w:t>
      </w:r>
      <w:proofErr w:type="spellStart"/>
      <w:r w:rsidRPr="00285CEF">
        <w:rPr>
          <w:sz w:val="22"/>
          <w:szCs w:val="22"/>
          <w:lang w:val="sr-Latn-ME"/>
        </w:rPr>
        <w:t>predoziranje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kobimetinibom</w:t>
      </w:r>
      <w:proofErr w:type="spellEnd"/>
      <w:r w:rsidRPr="00285CEF">
        <w:rPr>
          <w:sz w:val="22"/>
          <w:szCs w:val="22"/>
          <w:lang w:val="sr-Latn-ME"/>
        </w:rPr>
        <w:t>.</w:t>
      </w:r>
    </w:p>
    <w:p w:rsidR="00227BDB" w:rsidRPr="00285CEF" w:rsidRDefault="00227BDB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C6ACD" w:rsidRPr="00285CEF" w:rsidRDefault="00FC6AC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5.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FARMAKOLOŠK</w:t>
      </w:r>
      <w:r w:rsidR="000D425A" w:rsidRPr="00285CEF">
        <w:rPr>
          <w:b/>
          <w:bCs/>
          <w:sz w:val="22"/>
          <w:szCs w:val="22"/>
          <w:lang w:val="sr-Latn-ME"/>
        </w:rPr>
        <w:t>I</w:t>
      </w:r>
      <w:r w:rsidRPr="00285CEF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5.1.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proofErr w:type="spellStart"/>
      <w:r w:rsidRPr="00285CEF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285CEF">
        <w:rPr>
          <w:b/>
          <w:bCs/>
          <w:sz w:val="22"/>
          <w:szCs w:val="22"/>
          <w:lang w:val="sr-Latn-ME"/>
        </w:rPr>
        <w:t xml:space="preserve"> podaci</w:t>
      </w:r>
      <w:r w:rsidR="003A7059" w:rsidRPr="00285CEF">
        <w:rPr>
          <w:b/>
          <w:bCs/>
          <w:sz w:val="22"/>
          <w:szCs w:val="22"/>
          <w:lang w:val="sr-Latn-ME"/>
        </w:rPr>
        <w:t xml:space="preserve"> </w:t>
      </w:r>
    </w:p>
    <w:p w:rsidR="00F45F77" w:rsidRPr="00285CEF" w:rsidRDefault="00F45F77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Farmakoterapijska</w:t>
      </w:r>
      <w:proofErr w:type="spellEnd"/>
      <w:r w:rsidRPr="00285CEF">
        <w:rPr>
          <w:bCs/>
          <w:sz w:val="22"/>
          <w:szCs w:val="22"/>
          <w:lang w:val="sr-Latn-ME"/>
        </w:rPr>
        <w:t xml:space="preserve"> grupa:</w:t>
      </w:r>
      <w:r w:rsidR="0013132D"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="0013132D" w:rsidRPr="00285CEF">
        <w:rPr>
          <w:sz w:val="22"/>
          <w:szCs w:val="22"/>
          <w:lang w:val="sr-Latn-ME"/>
        </w:rPr>
        <w:t>Antineoplastici</w:t>
      </w:r>
      <w:proofErr w:type="spellEnd"/>
      <w:r w:rsidR="00206BAC" w:rsidRPr="00285CEF">
        <w:rPr>
          <w:sz w:val="22"/>
          <w:szCs w:val="22"/>
          <w:lang w:val="sr-Latn-ME"/>
        </w:rPr>
        <w:t xml:space="preserve">, </w:t>
      </w:r>
      <w:proofErr w:type="spellStart"/>
      <w:r w:rsidR="00206BAC" w:rsidRPr="00285CEF">
        <w:rPr>
          <w:sz w:val="22"/>
          <w:szCs w:val="22"/>
          <w:lang w:val="sr-Latn-ME"/>
        </w:rPr>
        <w:t>inhibitori</w:t>
      </w:r>
      <w:proofErr w:type="spellEnd"/>
      <w:r w:rsidR="00206BAC" w:rsidRPr="00285CEF">
        <w:rPr>
          <w:sz w:val="22"/>
          <w:szCs w:val="22"/>
          <w:lang w:val="sr-Latn-ME"/>
        </w:rPr>
        <w:t xml:space="preserve"> protein </w:t>
      </w:r>
      <w:proofErr w:type="spellStart"/>
      <w:r w:rsidR="00206BAC" w:rsidRPr="00285CEF">
        <w:rPr>
          <w:sz w:val="22"/>
          <w:szCs w:val="22"/>
          <w:lang w:val="sr-Latn-ME"/>
        </w:rPr>
        <w:t>kinaze</w:t>
      </w:r>
      <w:proofErr w:type="spellEnd"/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ATC kod:</w:t>
      </w:r>
      <w:r w:rsidR="0013132D" w:rsidRPr="00285CEF">
        <w:rPr>
          <w:bCs/>
          <w:sz w:val="22"/>
          <w:szCs w:val="22"/>
          <w:lang w:val="sr-Latn-ME"/>
        </w:rPr>
        <w:t xml:space="preserve"> </w:t>
      </w:r>
      <w:r w:rsidR="00C808C9" w:rsidRPr="00285CEF">
        <w:rPr>
          <w:bCs/>
          <w:sz w:val="22"/>
          <w:szCs w:val="22"/>
          <w:lang w:val="sr-Latn-ME"/>
        </w:rPr>
        <w:t>L01EE02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outlineLvl w:val="0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Mehanizam djelovanja</w:t>
      </w:r>
    </w:p>
    <w:p w:rsidR="0013132D" w:rsidRPr="00285CEF" w:rsidRDefault="0013132D" w:rsidP="004812D1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8D0ED5">
      <w:pPr>
        <w:jc w:val="both"/>
        <w:outlineLvl w:val="0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je </w:t>
      </w:r>
      <w:proofErr w:type="spellStart"/>
      <w:r w:rsidRPr="00285CEF">
        <w:rPr>
          <w:sz w:val="22"/>
          <w:szCs w:val="22"/>
          <w:lang w:val="sr-Latn-ME"/>
        </w:rPr>
        <w:t>reverzibilni</w:t>
      </w:r>
      <w:proofErr w:type="spellEnd"/>
      <w:r w:rsidRPr="00285CEF">
        <w:rPr>
          <w:sz w:val="22"/>
          <w:szCs w:val="22"/>
          <w:lang w:val="sr-Latn-ME"/>
        </w:rPr>
        <w:t xml:space="preserve">, selektivni, </w:t>
      </w:r>
      <w:proofErr w:type="spellStart"/>
      <w:r w:rsidRPr="00285CEF">
        <w:rPr>
          <w:sz w:val="22"/>
          <w:szCs w:val="22"/>
          <w:lang w:val="sr-Latn-ME"/>
        </w:rPr>
        <w:t>alosterni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inhibitor</w:t>
      </w:r>
      <w:proofErr w:type="spellEnd"/>
      <w:r w:rsidRPr="00285CEF">
        <w:rPr>
          <w:sz w:val="22"/>
          <w:szCs w:val="22"/>
          <w:lang w:val="sr-Latn-ME"/>
        </w:rPr>
        <w:t xml:space="preserve"> za </w:t>
      </w:r>
      <w:proofErr w:type="spellStart"/>
      <w:r w:rsidRPr="00285CEF">
        <w:rPr>
          <w:sz w:val="22"/>
          <w:szCs w:val="22"/>
          <w:lang w:val="sr-Latn-ME"/>
        </w:rPr>
        <w:t>peroralnu</w:t>
      </w:r>
      <w:proofErr w:type="spellEnd"/>
      <w:r w:rsidRPr="00285CEF">
        <w:rPr>
          <w:sz w:val="22"/>
          <w:szCs w:val="22"/>
          <w:lang w:val="sr-Latn-ME"/>
        </w:rPr>
        <w:t xml:space="preserve"> primjenu koji blokira signalni put proteinskih </w:t>
      </w:r>
      <w:proofErr w:type="spellStart"/>
      <w:r w:rsidRPr="00285CEF">
        <w:rPr>
          <w:sz w:val="22"/>
          <w:szCs w:val="22"/>
          <w:lang w:val="sr-Latn-ME"/>
        </w:rPr>
        <w:t>kinaza</w:t>
      </w:r>
      <w:proofErr w:type="spellEnd"/>
      <w:r w:rsidRPr="00285CEF">
        <w:rPr>
          <w:sz w:val="22"/>
          <w:szCs w:val="22"/>
          <w:lang w:val="sr-Latn-ME"/>
        </w:rPr>
        <w:t xml:space="preserve"> aktiviranih </w:t>
      </w:r>
      <w:proofErr w:type="spellStart"/>
      <w:r w:rsidRPr="00285CEF">
        <w:rPr>
          <w:sz w:val="22"/>
          <w:szCs w:val="22"/>
          <w:lang w:val="sr-Latn-ME"/>
        </w:rPr>
        <w:t>mitogenom</w:t>
      </w:r>
      <w:proofErr w:type="spellEnd"/>
      <w:r w:rsidRPr="00285CEF">
        <w:rPr>
          <w:sz w:val="22"/>
          <w:szCs w:val="22"/>
          <w:lang w:val="sr-Latn-ME"/>
        </w:rPr>
        <w:t xml:space="preserve"> (engl. </w:t>
      </w:r>
      <w:proofErr w:type="spellStart"/>
      <w:r w:rsidRPr="00285CEF">
        <w:rPr>
          <w:i/>
          <w:sz w:val="22"/>
          <w:szCs w:val="22"/>
          <w:lang w:val="sr-Latn-ME"/>
        </w:rPr>
        <w:t>mitogen-activated</w:t>
      </w:r>
      <w:proofErr w:type="spellEnd"/>
      <w:r w:rsidRPr="00285CEF">
        <w:rPr>
          <w:i/>
          <w:sz w:val="22"/>
          <w:szCs w:val="22"/>
          <w:lang w:val="sr-Latn-ME"/>
        </w:rPr>
        <w:t xml:space="preserve"> protein </w:t>
      </w:r>
      <w:proofErr w:type="spellStart"/>
      <w:r w:rsidRPr="00285CEF">
        <w:rPr>
          <w:i/>
          <w:sz w:val="22"/>
          <w:szCs w:val="22"/>
          <w:lang w:val="sr-Latn-ME"/>
        </w:rPr>
        <w:t>kinase</w:t>
      </w:r>
      <w:proofErr w:type="spellEnd"/>
      <w:r w:rsidRPr="00285CEF">
        <w:rPr>
          <w:sz w:val="22"/>
          <w:szCs w:val="22"/>
          <w:lang w:val="sr-Latn-ME"/>
        </w:rPr>
        <w:t xml:space="preserve">, MAPK) tako što ciljano djeluje na </w:t>
      </w:r>
      <w:proofErr w:type="spellStart"/>
      <w:r w:rsidRPr="00285CEF">
        <w:rPr>
          <w:sz w:val="22"/>
          <w:szCs w:val="22"/>
          <w:lang w:val="sr-Latn-ME"/>
        </w:rPr>
        <w:t>mitogenom</w:t>
      </w:r>
      <w:proofErr w:type="spellEnd"/>
      <w:r w:rsidRPr="00285CEF">
        <w:rPr>
          <w:sz w:val="22"/>
          <w:szCs w:val="22"/>
          <w:lang w:val="sr-Latn-ME"/>
        </w:rPr>
        <w:t xml:space="preserve"> aktivirane </w:t>
      </w:r>
      <w:proofErr w:type="spellStart"/>
      <w:r w:rsidRPr="00285CEF">
        <w:rPr>
          <w:sz w:val="22"/>
          <w:szCs w:val="22"/>
          <w:lang w:val="sr-Latn-ME"/>
        </w:rPr>
        <w:t>kinaze</w:t>
      </w:r>
      <w:proofErr w:type="spellEnd"/>
      <w:r w:rsidRPr="00285CEF">
        <w:rPr>
          <w:sz w:val="22"/>
          <w:szCs w:val="22"/>
          <w:lang w:val="sr-Latn-ME"/>
        </w:rPr>
        <w:t xml:space="preserve"> (engl. </w:t>
      </w:r>
      <w:proofErr w:type="spellStart"/>
      <w:r w:rsidRPr="00285CEF">
        <w:rPr>
          <w:i/>
          <w:sz w:val="22"/>
          <w:szCs w:val="22"/>
          <w:lang w:val="sr-Latn-ME"/>
        </w:rPr>
        <w:t>mitogen-activated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kinase</w:t>
      </w:r>
      <w:proofErr w:type="spellEnd"/>
      <w:r w:rsidRPr="00285CEF">
        <w:rPr>
          <w:sz w:val="22"/>
          <w:szCs w:val="22"/>
          <w:lang w:val="sr-Latn-ME"/>
        </w:rPr>
        <w:t xml:space="preserve">) MEK 1 i MEK 2 regulisane </w:t>
      </w:r>
      <w:proofErr w:type="spellStart"/>
      <w:r w:rsidRPr="00285CEF">
        <w:rPr>
          <w:sz w:val="22"/>
          <w:szCs w:val="22"/>
          <w:lang w:val="sr-Latn-ME"/>
        </w:rPr>
        <w:t>vanćelijskim</w:t>
      </w:r>
      <w:proofErr w:type="spellEnd"/>
      <w:r w:rsidRPr="00285CEF">
        <w:rPr>
          <w:sz w:val="22"/>
          <w:szCs w:val="22"/>
          <w:lang w:val="sr-Latn-ME"/>
        </w:rPr>
        <w:t xml:space="preserve"> signalom, što dovodi do inhibicije </w:t>
      </w:r>
      <w:proofErr w:type="spellStart"/>
      <w:r w:rsidRPr="00285CEF">
        <w:rPr>
          <w:sz w:val="22"/>
          <w:szCs w:val="22"/>
          <w:lang w:val="sr-Latn-ME"/>
        </w:rPr>
        <w:t>fosforilacije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kinaza</w:t>
      </w:r>
      <w:proofErr w:type="spellEnd"/>
      <w:r w:rsidRPr="00285CEF">
        <w:rPr>
          <w:sz w:val="22"/>
          <w:szCs w:val="22"/>
          <w:lang w:val="sr-Latn-ME"/>
        </w:rPr>
        <w:t xml:space="preserve"> regulisanih </w:t>
      </w:r>
      <w:proofErr w:type="spellStart"/>
      <w:r w:rsidRPr="00285CEF">
        <w:rPr>
          <w:sz w:val="22"/>
          <w:szCs w:val="22"/>
          <w:lang w:val="sr-Latn-ME"/>
        </w:rPr>
        <w:t>vanćelijskim</w:t>
      </w:r>
      <w:proofErr w:type="spellEnd"/>
      <w:r w:rsidRPr="00285CEF">
        <w:rPr>
          <w:sz w:val="22"/>
          <w:szCs w:val="22"/>
          <w:lang w:val="sr-Latn-ME"/>
        </w:rPr>
        <w:t xml:space="preserve"> signalom (engl. </w:t>
      </w:r>
      <w:proofErr w:type="spellStart"/>
      <w:r w:rsidRPr="00285CEF">
        <w:rPr>
          <w:i/>
          <w:sz w:val="22"/>
          <w:szCs w:val="22"/>
          <w:lang w:val="sr-Latn-ME"/>
        </w:rPr>
        <w:t>extracellular</w:t>
      </w:r>
      <w:proofErr w:type="spellEnd"/>
      <w:r w:rsidRPr="00285CEF">
        <w:rPr>
          <w:i/>
          <w:sz w:val="22"/>
          <w:szCs w:val="22"/>
          <w:lang w:val="sr-Latn-ME"/>
        </w:rPr>
        <w:t xml:space="preserve"> signal-</w:t>
      </w:r>
      <w:proofErr w:type="spellStart"/>
      <w:r w:rsidRPr="00285CEF">
        <w:rPr>
          <w:i/>
          <w:sz w:val="22"/>
          <w:szCs w:val="22"/>
          <w:lang w:val="sr-Latn-ME"/>
        </w:rPr>
        <w:t>regulated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kinase</w:t>
      </w:r>
      <w:proofErr w:type="spellEnd"/>
      <w:r w:rsidRPr="00285CEF">
        <w:rPr>
          <w:sz w:val="22"/>
          <w:szCs w:val="22"/>
          <w:lang w:val="sr-Latn-ME"/>
        </w:rPr>
        <w:t xml:space="preserve">) ERK 1 i ERK 2. Dakle,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blokira </w:t>
      </w:r>
      <w:proofErr w:type="spellStart"/>
      <w:r w:rsidRPr="00285CEF">
        <w:rPr>
          <w:sz w:val="22"/>
          <w:szCs w:val="22"/>
          <w:lang w:val="sr-Latn-ME"/>
        </w:rPr>
        <w:t>proliferaciju</w:t>
      </w:r>
      <w:proofErr w:type="spellEnd"/>
      <w:r w:rsidRPr="00285CEF">
        <w:rPr>
          <w:sz w:val="22"/>
          <w:szCs w:val="22"/>
          <w:lang w:val="sr-Latn-ME"/>
        </w:rPr>
        <w:t xml:space="preserve"> ćelija koju indukuje signalni put MAPK tako što inhibira signalni čvor MEK 1/2.</w:t>
      </w:r>
    </w:p>
    <w:p w:rsidR="0013132D" w:rsidRPr="00285CEF" w:rsidRDefault="0013132D" w:rsidP="00CC3B0C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B724B9">
      <w:pPr>
        <w:jc w:val="both"/>
        <w:outlineLvl w:val="0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Pretklinički</w:t>
      </w:r>
      <w:proofErr w:type="spellEnd"/>
      <w:r w:rsidRPr="00285CEF">
        <w:rPr>
          <w:sz w:val="22"/>
          <w:szCs w:val="22"/>
          <w:lang w:val="sr-Latn-ME"/>
        </w:rPr>
        <w:t xml:space="preserve"> modeli su pokazali da simultano ciljano djelovanje kombinacije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i </w:t>
      </w:r>
      <w:proofErr w:type="spellStart"/>
      <w:r w:rsidRPr="00285CEF">
        <w:rPr>
          <w:sz w:val="22"/>
          <w:szCs w:val="22"/>
          <w:lang w:val="sr-Latn-ME"/>
        </w:rPr>
        <w:t>vemurafeniba</w:t>
      </w:r>
      <w:proofErr w:type="spellEnd"/>
      <w:r w:rsidRPr="00285CEF">
        <w:rPr>
          <w:sz w:val="22"/>
          <w:szCs w:val="22"/>
          <w:lang w:val="sr-Latn-ME"/>
        </w:rPr>
        <w:t xml:space="preserve"> na proteine sa mutacijom BRAF V600 i MEK proteine u ćelijama </w:t>
      </w:r>
      <w:proofErr w:type="spellStart"/>
      <w:r w:rsidRPr="00285CEF">
        <w:rPr>
          <w:sz w:val="22"/>
          <w:szCs w:val="22"/>
          <w:lang w:val="sr-Latn-ME"/>
        </w:rPr>
        <w:t>melanoma</w:t>
      </w:r>
      <w:proofErr w:type="spellEnd"/>
      <w:r w:rsidRPr="00285CEF">
        <w:rPr>
          <w:sz w:val="22"/>
          <w:szCs w:val="22"/>
          <w:lang w:val="sr-Latn-ME"/>
        </w:rPr>
        <w:t xml:space="preserve"> inhibira </w:t>
      </w:r>
      <w:proofErr w:type="spellStart"/>
      <w:r w:rsidRPr="00285CEF">
        <w:rPr>
          <w:sz w:val="22"/>
          <w:szCs w:val="22"/>
          <w:lang w:val="sr-Latn-ME"/>
        </w:rPr>
        <w:t>reaktivaciju</w:t>
      </w:r>
      <w:proofErr w:type="spellEnd"/>
      <w:r w:rsidRPr="00285CEF">
        <w:rPr>
          <w:sz w:val="22"/>
          <w:szCs w:val="22"/>
          <w:lang w:val="sr-Latn-ME"/>
        </w:rPr>
        <w:t xml:space="preserve"> signalnog puta MAPK putem MEK 1/2, što dovodi do snažnije inhibicije </w:t>
      </w:r>
      <w:proofErr w:type="spellStart"/>
      <w:r w:rsidRPr="00285CEF">
        <w:rPr>
          <w:sz w:val="22"/>
          <w:szCs w:val="22"/>
          <w:lang w:val="sr-Latn-ME"/>
        </w:rPr>
        <w:t>unutarćelijske</w:t>
      </w:r>
      <w:proofErr w:type="spellEnd"/>
      <w:r w:rsidRPr="00285CEF">
        <w:rPr>
          <w:sz w:val="22"/>
          <w:szCs w:val="22"/>
          <w:lang w:val="sr-Latn-ME"/>
        </w:rPr>
        <w:t xml:space="preserve"> signalizacije i smanjene </w:t>
      </w:r>
      <w:proofErr w:type="spellStart"/>
      <w:r w:rsidRPr="00285CEF">
        <w:rPr>
          <w:sz w:val="22"/>
          <w:szCs w:val="22"/>
          <w:lang w:val="sr-Latn-ME"/>
        </w:rPr>
        <w:t>proliferacije</w:t>
      </w:r>
      <w:proofErr w:type="spellEnd"/>
      <w:r w:rsidRPr="00285CEF">
        <w:rPr>
          <w:sz w:val="22"/>
          <w:szCs w:val="22"/>
          <w:lang w:val="sr-Latn-ME"/>
        </w:rPr>
        <w:t xml:space="preserve"> tumorskih ćelija. </w:t>
      </w:r>
    </w:p>
    <w:p w:rsidR="0013132D" w:rsidRPr="00285CEF" w:rsidRDefault="0013132D" w:rsidP="00F304F3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DA6C1D">
      <w:pPr>
        <w:jc w:val="both"/>
        <w:outlineLvl w:val="0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Klinička efikasnost i bezbjednost</w:t>
      </w:r>
    </w:p>
    <w:p w:rsidR="0013132D" w:rsidRPr="00285CEF" w:rsidRDefault="0013132D" w:rsidP="00DA6C1D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EE629D" w:rsidP="00DA6C1D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>Podaci</w:t>
      </w:r>
      <w:r w:rsidR="0013132D" w:rsidRPr="00285CEF">
        <w:rPr>
          <w:sz w:val="22"/>
          <w:szCs w:val="22"/>
          <w:lang w:val="sr-Latn-ME"/>
        </w:rPr>
        <w:t xml:space="preserve"> o bezbjednosti lijeka </w:t>
      </w:r>
      <w:proofErr w:type="spellStart"/>
      <w:r w:rsidR="0013132D" w:rsidRPr="00285CEF">
        <w:rPr>
          <w:sz w:val="22"/>
          <w:szCs w:val="22"/>
          <w:lang w:val="sr-Latn-ME"/>
        </w:rPr>
        <w:t>Cotellic</w:t>
      </w:r>
      <w:proofErr w:type="spellEnd"/>
      <w:r w:rsidR="0013132D"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="0013132D" w:rsidRPr="00285CEF">
        <w:rPr>
          <w:sz w:val="22"/>
          <w:szCs w:val="22"/>
          <w:lang w:val="sr-Latn-ME"/>
        </w:rPr>
        <w:t>vemurafenibom</w:t>
      </w:r>
      <w:proofErr w:type="spellEnd"/>
      <w:r w:rsidR="0013132D" w:rsidRPr="00285CEF">
        <w:rPr>
          <w:sz w:val="22"/>
          <w:szCs w:val="22"/>
          <w:lang w:val="sr-Latn-ME"/>
        </w:rPr>
        <w:t xml:space="preserve"> kod pacijenata sa metastazama u centralnom nervnom sistemu</w:t>
      </w:r>
      <w:r w:rsidRPr="00285CEF">
        <w:rPr>
          <w:sz w:val="22"/>
          <w:szCs w:val="22"/>
          <w:lang w:val="sr-Latn-ME"/>
        </w:rPr>
        <w:t xml:space="preserve"> su ograničeni, a podaci o efikasnosti nisu dostupni. Nema podataka o primjeni </w:t>
      </w:r>
      <w:r w:rsidR="0013132D" w:rsidRPr="00285CEF">
        <w:rPr>
          <w:sz w:val="22"/>
          <w:szCs w:val="22"/>
          <w:lang w:val="sr-Latn-ME"/>
        </w:rPr>
        <w:t xml:space="preserve">kod pacijenata sa </w:t>
      </w:r>
      <w:proofErr w:type="spellStart"/>
      <w:r w:rsidR="0013132D" w:rsidRPr="00285CEF">
        <w:rPr>
          <w:sz w:val="22"/>
          <w:szCs w:val="22"/>
          <w:lang w:val="sr-Latn-ME"/>
        </w:rPr>
        <w:t>metastatskim</w:t>
      </w:r>
      <w:proofErr w:type="spellEnd"/>
      <w:r w:rsidR="0013132D" w:rsidRPr="00285CEF">
        <w:rPr>
          <w:sz w:val="22"/>
          <w:szCs w:val="22"/>
          <w:lang w:val="sr-Latn-ME"/>
        </w:rPr>
        <w:t xml:space="preserve"> </w:t>
      </w:r>
      <w:proofErr w:type="spellStart"/>
      <w:r w:rsidR="0013132D" w:rsidRPr="00285CEF">
        <w:rPr>
          <w:sz w:val="22"/>
          <w:szCs w:val="22"/>
          <w:lang w:val="sr-Latn-ME"/>
        </w:rPr>
        <w:t>melanomom</w:t>
      </w:r>
      <w:proofErr w:type="spellEnd"/>
      <w:r w:rsidR="0013132D" w:rsidRPr="00285CEF">
        <w:rPr>
          <w:sz w:val="22"/>
          <w:szCs w:val="22"/>
          <w:lang w:val="sr-Latn-ME"/>
        </w:rPr>
        <w:t xml:space="preserve"> koji ne zahvata kožu.</w:t>
      </w:r>
    </w:p>
    <w:p w:rsidR="0013132D" w:rsidRPr="00285CEF" w:rsidRDefault="0013132D" w:rsidP="0006194A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Studija GO28141 (</w:t>
      </w:r>
      <w:proofErr w:type="spellStart"/>
      <w:r w:rsidRPr="00285CEF">
        <w:rPr>
          <w:i/>
          <w:sz w:val="22"/>
          <w:szCs w:val="22"/>
          <w:lang w:val="sr-Latn-ME"/>
        </w:rPr>
        <w:t>coBRIM</w:t>
      </w:r>
      <w:proofErr w:type="spellEnd"/>
      <w:r w:rsidRPr="00285CEF">
        <w:rPr>
          <w:sz w:val="22"/>
          <w:szCs w:val="22"/>
          <w:lang w:val="sr-Latn-ME"/>
        </w:rPr>
        <w:t xml:space="preserve">) </w:t>
      </w:r>
    </w:p>
    <w:p w:rsidR="0013132D" w:rsidRPr="00285CEF" w:rsidRDefault="0013132D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GO28141 je </w:t>
      </w:r>
      <w:proofErr w:type="spellStart"/>
      <w:r w:rsidRPr="00285CEF">
        <w:rPr>
          <w:sz w:val="22"/>
          <w:szCs w:val="22"/>
          <w:lang w:val="sr-Latn-ME"/>
        </w:rPr>
        <w:t>multicentrična</w:t>
      </w:r>
      <w:proofErr w:type="spellEnd"/>
      <w:r w:rsidRPr="00285CEF">
        <w:rPr>
          <w:sz w:val="22"/>
          <w:szCs w:val="22"/>
          <w:lang w:val="sr-Latn-ME"/>
        </w:rPr>
        <w:t xml:space="preserve">, </w:t>
      </w:r>
      <w:proofErr w:type="spellStart"/>
      <w:r w:rsidRPr="00285CEF">
        <w:rPr>
          <w:sz w:val="22"/>
          <w:szCs w:val="22"/>
          <w:lang w:val="sr-Latn-ME"/>
        </w:rPr>
        <w:t>randomizovana</w:t>
      </w:r>
      <w:proofErr w:type="spellEnd"/>
      <w:r w:rsidRPr="00285CEF">
        <w:rPr>
          <w:sz w:val="22"/>
          <w:szCs w:val="22"/>
          <w:lang w:val="sr-Latn-ME"/>
        </w:rPr>
        <w:t xml:space="preserve">, dvostruko slijepa, </w:t>
      </w:r>
      <w:proofErr w:type="spellStart"/>
      <w:r w:rsidRPr="00285CEF">
        <w:rPr>
          <w:sz w:val="22"/>
          <w:szCs w:val="22"/>
          <w:lang w:val="sr-Latn-ME"/>
        </w:rPr>
        <w:t>placebom</w:t>
      </w:r>
      <w:proofErr w:type="spellEnd"/>
      <w:r w:rsidRPr="00285CEF">
        <w:rPr>
          <w:sz w:val="22"/>
          <w:szCs w:val="22"/>
          <w:lang w:val="sr-Latn-ME"/>
        </w:rPr>
        <w:t xml:space="preserve"> kontrolisana studija faze III u kojoj su se ocjenjivale bezbjednost i efikasnost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u odnosu na </w:t>
      </w:r>
      <w:proofErr w:type="spellStart"/>
      <w:r w:rsidRPr="00285CEF">
        <w:rPr>
          <w:sz w:val="22"/>
          <w:szCs w:val="22"/>
          <w:lang w:val="sr-Latn-ME"/>
        </w:rPr>
        <w:t>vemurafenib</w:t>
      </w:r>
      <w:proofErr w:type="spellEnd"/>
      <w:r w:rsidRPr="00285CEF">
        <w:rPr>
          <w:sz w:val="22"/>
          <w:szCs w:val="22"/>
          <w:lang w:val="sr-Latn-ME"/>
        </w:rPr>
        <w:t xml:space="preserve"> sa </w:t>
      </w:r>
      <w:proofErr w:type="spellStart"/>
      <w:r w:rsidRPr="00285CEF">
        <w:rPr>
          <w:sz w:val="22"/>
          <w:szCs w:val="22"/>
          <w:lang w:val="sr-Latn-ME"/>
        </w:rPr>
        <w:t>placebom</w:t>
      </w:r>
      <w:proofErr w:type="spellEnd"/>
      <w:r w:rsidRPr="00285CEF">
        <w:rPr>
          <w:sz w:val="22"/>
          <w:szCs w:val="22"/>
          <w:lang w:val="sr-Latn-ME"/>
        </w:rPr>
        <w:t xml:space="preserve"> kod prethodno </w:t>
      </w:r>
      <w:proofErr w:type="spellStart"/>
      <w:r w:rsidRPr="00285CEF">
        <w:rPr>
          <w:sz w:val="22"/>
          <w:szCs w:val="22"/>
          <w:lang w:val="sr-Latn-ME"/>
        </w:rPr>
        <w:t>neliječenih</w:t>
      </w:r>
      <w:proofErr w:type="spellEnd"/>
      <w:r w:rsidRPr="00285CEF">
        <w:rPr>
          <w:sz w:val="22"/>
          <w:szCs w:val="22"/>
          <w:lang w:val="sr-Latn-ME"/>
        </w:rPr>
        <w:t xml:space="preserve"> pacijenata sa </w:t>
      </w:r>
      <w:proofErr w:type="spellStart"/>
      <w:r w:rsidRPr="00285CEF">
        <w:rPr>
          <w:sz w:val="22"/>
          <w:szCs w:val="22"/>
          <w:lang w:val="sr-Latn-ME"/>
        </w:rPr>
        <w:t>neoperabilnim</w:t>
      </w:r>
      <w:proofErr w:type="spellEnd"/>
      <w:r w:rsidRPr="00285CEF">
        <w:rPr>
          <w:sz w:val="22"/>
          <w:szCs w:val="22"/>
          <w:lang w:val="sr-Latn-ME"/>
        </w:rPr>
        <w:t xml:space="preserve">, lokalno </w:t>
      </w:r>
      <w:proofErr w:type="spellStart"/>
      <w:r w:rsidRPr="00285CEF">
        <w:rPr>
          <w:sz w:val="22"/>
          <w:szCs w:val="22"/>
          <w:lang w:val="sr-Latn-ME"/>
        </w:rPr>
        <w:t>uznapredovalim</w:t>
      </w:r>
      <w:proofErr w:type="spellEnd"/>
      <w:r w:rsidRPr="00285CEF">
        <w:rPr>
          <w:sz w:val="22"/>
          <w:szCs w:val="22"/>
          <w:lang w:val="sr-Latn-ME"/>
        </w:rPr>
        <w:t xml:space="preserve"> (stadijum </w:t>
      </w:r>
      <w:proofErr w:type="spellStart"/>
      <w:r w:rsidRPr="00285CEF">
        <w:rPr>
          <w:sz w:val="22"/>
          <w:szCs w:val="22"/>
          <w:lang w:val="sr-Latn-ME"/>
        </w:rPr>
        <w:t>IIIc</w:t>
      </w:r>
      <w:proofErr w:type="spellEnd"/>
      <w:r w:rsidRPr="00285CEF">
        <w:rPr>
          <w:sz w:val="22"/>
          <w:szCs w:val="22"/>
          <w:lang w:val="sr-Latn-ME"/>
        </w:rPr>
        <w:t xml:space="preserve">) ili </w:t>
      </w:r>
      <w:proofErr w:type="spellStart"/>
      <w:r w:rsidRPr="00285CEF">
        <w:rPr>
          <w:sz w:val="22"/>
          <w:szCs w:val="22"/>
          <w:lang w:val="sr-Latn-ME"/>
        </w:rPr>
        <w:t>metastatskim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melanomom</w:t>
      </w:r>
      <w:proofErr w:type="spellEnd"/>
      <w:r w:rsidRPr="00285CEF">
        <w:rPr>
          <w:sz w:val="22"/>
          <w:szCs w:val="22"/>
          <w:lang w:val="sr-Latn-ME"/>
        </w:rPr>
        <w:t xml:space="preserve"> (stadijum IV) pozitivnim na mutaciju BRAF V600.</w:t>
      </w:r>
    </w:p>
    <w:p w:rsidR="0013132D" w:rsidRPr="00285CEF" w:rsidRDefault="0013132D">
      <w:pPr>
        <w:jc w:val="both"/>
        <w:rPr>
          <w:b/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U </w:t>
      </w:r>
      <w:r w:rsidR="004D34ED" w:rsidRPr="00285CEF">
        <w:rPr>
          <w:sz w:val="22"/>
          <w:szCs w:val="22"/>
          <w:lang w:val="sr-Latn-ME"/>
        </w:rPr>
        <w:t xml:space="preserve">studiju </w:t>
      </w:r>
      <w:r w:rsidRPr="00285CEF">
        <w:rPr>
          <w:sz w:val="22"/>
          <w:szCs w:val="22"/>
          <w:lang w:val="sr-Latn-ME"/>
        </w:rPr>
        <w:t>GO28141 su bili uključeni samo pacijenti sa ECOG funkcionalnim statusom 0 ili 1. Pacijenti sa ECOG funkcionalnim statusom 2 ili više nijesu bili uključeni u studiju.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Nakon potvrde prisutnosti mutacije BRAF V600 uz pomoć testa </w:t>
      </w:r>
      <w:proofErr w:type="spellStart"/>
      <w:r w:rsidRPr="00285CEF">
        <w:rPr>
          <w:sz w:val="22"/>
          <w:szCs w:val="22"/>
          <w:lang w:val="sr-Latn-ME"/>
        </w:rPr>
        <w:t>cobas</w:t>
      </w:r>
      <w:proofErr w:type="spellEnd"/>
      <w:r w:rsidRPr="00285CEF">
        <w:rPr>
          <w:sz w:val="22"/>
          <w:szCs w:val="22"/>
          <w:lang w:val="sr-Latn-ME"/>
        </w:rPr>
        <w:t xml:space="preserve">® 4800 BRAF V600 </w:t>
      </w:r>
      <w:proofErr w:type="spellStart"/>
      <w:r w:rsidRPr="00285CEF">
        <w:rPr>
          <w:sz w:val="22"/>
          <w:szCs w:val="22"/>
          <w:lang w:val="sr-Latn-ME"/>
        </w:rPr>
        <w:t>Mutation</w:t>
      </w:r>
      <w:proofErr w:type="spellEnd"/>
      <w:r w:rsidRPr="00285CEF">
        <w:rPr>
          <w:sz w:val="22"/>
          <w:szCs w:val="22"/>
          <w:lang w:val="sr-Latn-ME"/>
        </w:rPr>
        <w:t xml:space="preserve"> Test, 495 prethodno </w:t>
      </w:r>
      <w:proofErr w:type="spellStart"/>
      <w:r w:rsidRPr="00285CEF">
        <w:rPr>
          <w:sz w:val="22"/>
          <w:szCs w:val="22"/>
          <w:lang w:val="sr-Latn-ME"/>
        </w:rPr>
        <w:t>neliječeni</w:t>
      </w:r>
      <w:r w:rsidR="004D34ED" w:rsidRPr="00285CEF">
        <w:rPr>
          <w:sz w:val="22"/>
          <w:szCs w:val="22"/>
          <w:lang w:val="sr-Latn-ME"/>
        </w:rPr>
        <w:t>h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r w:rsidR="004D34ED" w:rsidRPr="00285CEF">
        <w:rPr>
          <w:sz w:val="22"/>
          <w:szCs w:val="22"/>
          <w:lang w:val="sr-Latn-ME"/>
        </w:rPr>
        <w:t xml:space="preserve">pacijenata </w:t>
      </w:r>
      <w:r w:rsidRPr="00285CEF">
        <w:rPr>
          <w:sz w:val="22"/>
          <w:szCs w:val="22"/>
          <w:lang w:val="sr-Latn-ME"/>
        </w:rPr>
        <w:t xml:space="preserve">sa </w:t>
      </w:r>
      <w:proofErr w:type="spellStart"/>
      <w:r w:rsidRPr="00285CEF">
        <w:rPr>
          <w:sz w:val="22"/>
          <w:szCs w:val="22"/>
          <w:lang w:val="sr-Latn-ME"/>
        </w:rPr>
        <w:t>neoperabilnim</w:t>
      </w:r>
      <w:proofErr w:type="spellEnd"/>
      <w:r w:rsidRPr="00285CEF">
        <w:rPr>
          <w:sz w:val="22"/>
          <w:szCs w:val="22"/>
          <w:lang w:val="sr-Latn-ME"/>
        </w:rPr>
        <w:t xml:space="preserve">, lokalno </w:t>
      </w:r>
      <w:proofErr w:type="spellStart"/>
      <w:r w:rsidRPr="00285CEF">
        <w:rPr>
          <w:sz w:val="22"/>
          <w:szCs w:val="22"/>
          <w:lang w:val="sr-Latn-ME"/>
        </w:rPr>
        <w:t>uznapredovalim</w:t>
      </w:r>
      <w:proofErr w:type="spellEnd"/>
      <w:r w:rsidRPr="00285CEF">
        <w:rPr>
          <w:sz w:val="22"/>
          <w:szCs w:val="22"/>
          <w:lang w:val="sr-Latn-ME"/>
        </w:rPr>
        <w:t xml:space="preserve"> ili </w:t>
      </w:r>
      <w:proofErr w:type="spellStart"/>
      <w:r w:rsidRPr="00285CEF">
        <w:rPr>
          <w:sz w:val="22"/>
          <w:szCs w:val="22"/>
          <w:lang w:val="sr-Latn-ME"/>
        </w:rPr>
        <w:t>metastatskim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melanomom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="004D34ED" w:rsidRPr="00285CEF">
        <w:rPr>
          <w:sz w:val="22"/>
          <w:szCs w:val="22"/>
          <w:lang w:val="sr-Latn-ME"/>
        </w:rPr>
        <w:t>randomizovano</w:t>
      </w:r>
      <w:proofErr w:type="spellEnd"/>
      <w:r w:rsidR="004D34ED" w:rsidRPr="00285CEF">
        <w:rPr>
          <w:sz w:val="22"/>
          <w:szCs w:val="22"/>
          <w:lang w:val="sr-Latn-ME"/>
        </w:rPr>
        <w:t xml:space="preserve"> je </w:t>
      </w:r>
      <w:r w:rsidRPr="00285CEF">
        <w:rPr>
          <w:sz w:val="22"/>
          <w:szCs w:val="22"/>
          <w:lang w:val="sr-Latn-ME"/>
        </w:rPr>
        <w:t>u grupe koje su primale:</w:t>
      </w:r>
    </w:p>
    <w:p w:rsidR="0013132D" w:rsidRPr="00285CEF" w:rsidRDefault="0013132D">
      <w:pPr>
        <w:numPr>
          <w:ilvl w:val="0"/>
          <w:numId w:val="12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jednom dnevno od 1. do 21. dana svakog 28-dnevnog ciklusa liječenja i 960 mg </w:t>
      </w:r>
      <w:proofErr w:type="spellStart"/>
      <w:r w:rsidRPr="00285CEF">
        <w:rPr>
          <w:sz w:val="22"/>
          <w:szCs w:val="22"/>
          <w:lang w:val="sr-Latn-ME"/>
        </w:rPr>
        <w:t>vemurafeniba</w:t>
      </w:r>
      <w:proofErr w:type="spellEnd"/>
      <w:r w:rsidRPr="00285CEF">
        <w:rPr>
          <w:sz w:val="22"/>
          <w:szCs w:val="22"/>
          <w:lang w:val="sr-Latn-ME"/>
        </w:rPr>
        <w:t xml:space="preserve"> dva puta dnevno od 1. do 28. dana ciklusa, ili</w:t>
      </w:r>
    </w:p>
    <w:p w:rsidR="0013132D" w:rsidRPr="00285CEF" w:rsidRDefault="004D34ED">
      <w:pPr>
        <w:numPr>
          <w:ilvl w:val="0"/>
          <w:numId w:val="12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lijek </w:t>
      </w:r>
      <w:proofErr w:type="spellStart"/>
      <w:r w:rsidR="0013132D" w:rsidRPr="00285CEF">
        <w:rPr>
          <w:sz w:val="22"/>
          <w:szCs w:val="22"/>
          <w:lang w:val="sr-Latn-ME"/>
        </w:rPr>
        <w:t>Cotellic</w:t>
      </w:r>
      <w:proofErr w:type="spellEnd"/>
      <w:r w:rsidR="0013132D" w:rsidRPr="00285CEF">
        <w:rPr>
          <w:sz w:val="22"/>
          <w:szCs w:val="22"/>
          <w:lang w:val="sr-Latn-ME"/>
        </w:rPr>
        <w:t xml:space="preserve"> u dozi od 60 mg jednom dnevno od 1. do 21. dana svakog 28-dnevnog ciklusa liječenja i 960 mg </w:t>
      </w:r>
      <w:proofErr w:type="spellStart"/>
      <w:r w:rsidR="0013132D" w:rsidRPr="00285CEF">
        <w:rPr>
          <w:sz w:val="22"/>
          <w:szCs w:val="22"/>
          <w:lang w:val="sr-Latn-ME"/>
        </w:rPr>
        <w:t>vemurafeniba</w:t>
      </w:r>
      <w:proofErr w:type="spellEnd"/>
      <w:r w:rsidR="0013132D" w:rsidRPr="00285CEF">
        <w:rPr>
          <w:sz w:val="22"/>
          <w:szCs w:val="22"/>
          <w:lang w:val="sr-Latn-ME"/>
        </w:rPr>
        <w:t xml:space="preserve"> dva puta dnevno od 1. do 28. dana ciklusa 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Primarna mjera ishoda bilo je preživljavanje bez progresije bolesti (engl. </w:t>
      </w:r>
      <w:proofErr w:type="spellStart"/>
      <w:r w:rsidRPr="00285CEF">
        <w:rPr>
          <w:i/>
          <w:sz w:val="22"/>
          <w:szCs w:val="22"/>
          <w:lang w:val="sr-Latn-ME"/>
        </w:rPr>
        <w:t>progression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free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survival</w:t>
      </w:r>
      <w:proofErr w:type="spellEnd"/>
      <w:r w:rsidRPr="00285CEF">
        <w:rPr>
          <w:sz w:val="22"/>
          <w:szCs w:val="22"/>
          <w:lang w:val="sr-Latn-ME"/>
        </w:rPr>
        <w:t xml:space="preserve">, PFS) prema ocjeni istraživača. Sekundarne mjere ishoda za efikasnost uključivale su ukupno preživljavanje (engl. </w:t>
      </w:r>
      <w:proofErr w:type="spellStart"/>
      <w:r w:rsidRPr="00285CEF">
        <w:rPr>
          <w:i/>
          <w:sz w:val="22"/>
          <w:szCs w:val="22"/>
          <w:lang w:val="sr-Latn-ME"/>
        </w:rPr>
        <w:t>overall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survival</w:t>
      </w:r>
      <w:proofErr w:type="spellEnd"/>
      <w:r w:rsidRPr="00285CEF">
        <w:rPr>
          <w:sz w:val="22"/>
          <w:szCs w:val="22"/>
          <w:lang w:val="sr-Latn-ME"/>
        </w:rPr>
        <w:t xml:space="preserve">, OS), stepen objektivnog odgovora (engl. </w:t>
      </w:r>
      <w:proofErr w:type="spellStart"/>
      <w:r w:rsidRPr="00285CEF">
        <w:rPr>
          <w:i/>
          <w:sz w:val="22"/>
          <w:szCs w:val="22"/>
          <w:lang w:val="sr-Latn-ME"/>
        </w:rPr>
        <w:t>objective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response</w:t>
      </w:r>
      <w:proofErr w:type="spellEnd"/>
      <w:r w:rsidRPr="00285CEF">
        <w:rPr>
          <w:i/>
          <w:sz w:val="22"/>
          <w:szCs w:val="22"/>
          <w:lang w:val="sr-Latn-ME"/>
        </w:rPr>
        <w:t xml:space="preserve"> rate</w:t>
      </w:r>
      <w:r w:rsidRPr="00285CEF">
        <w:rPr>
          <w:sz w:val="22"/>
          <w:szCs w:val="22"/>
          <w:lang w:val="sr-Latn-ME"/>
        </w:rPr>
        <w:t>, ORR), trajanje odgovora prema ocjeni istraživača i PFS prema ocjeni nezavisnog ocjenjivačkog tijela.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Ključne početne karakteristike uključivale su sljedeće: 58% pacijenata bili su muškarci, </w:t>
      </w:r>
      <w:proofErr w:type="spellStart"/>
      <w:r w:rsidRPr="00285CEF">
        <w:rPr>
          <w:sz w:val="22"/>
          <w:szCs w:val="22"/>
          <w:lang w:val="sr-Latn-ME"/>
        </w:rPr>
        <w:t>medijana</w:t>
      </w:r>
      <w:proofErr w:type="spellEnd"/>
      <w:r w:rsidRPr="00285CEF">
        <w:rPr>
          <w:sz w:val="22"/>
          <w:szCs w:val="22"/>
          <w:lang w:val="sr-Latn-ME"/>
        </w:rPr>
        <w:t xml:space="preserve"> uzrasta iznosila je 55 godina (raspon: 23 – 88 godina), 60% pacijenata imalo je </w:t>
      </w:r>
      <w:proofErr w:type="spellStart"/>
      <w:r w:rsidRPr="00285CEF">
        <w:rPr>
          <w:sz w:val="22"/>
          <w:szCs w:val="22"/>
          <w:lang w:val="sr-Latn-ME"/>
        </w:rPr>
        <w:t>metastatski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melanom</w:t>
      </w:r>
      <w:proofErr w:type="spellEnd"/>
      <w:r w:rsidRPr="00285CEF">
        <w:rPr>
          <w:sz w:val="22"/>
          <w:szCs w:val="22"/>
          <w:lang w:val="sr-Latn-ME"/>
        </w:rPr>
        <w:t xml:space="preserve"> stadija M1c, dok je </w:t>
      </w:r>
      <w:proofErr w:type="spellStart"/>
      <w:r w:rsidRPr="00285CEF">
        <w:rPr>
          <w:sz w:val="22"/>
          <w:szCs w:val="22"/>
          <w:lang w:val="sr-Latn-ME"/>
        </w:rPr>
        <w:t>udio</w:t>
      </w:r>
      <w:proofErr w:type="spellEnd"/>
      <w:r w:rsidRPr="00285CEF">
        <w:rPr>
          <w:sz w:val="22"/>
          <w:szCs w:val="22"/>
          <w:lang w:val="sr-Latn-ME"/>
        </w:rPr>
        <w:t xml:space="preserve"> pacijenata sa povišenom vrijednošću </w:t>
      </w:r>
      <w:proofErr w:type="spellStart"/>
      <w:r w:rsidRPr="00285CEF">
        <w:rPr>
          <w:sz w:val="22"/>
          <w:szCs w:val="22"/>
          <w:lang w:val="sr-Latn-ME"/>
        </w:rPr>
        <w:t>laktat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dehidrogenaze</w:t>
      </w:r>
      <w:proofErr w:type="spellEnd"/>
      <w:r w:rsidRPr="00285CEF">
        <w:rPr>
          <w:sz w:val="22"/>
          <w:szCs w:val="22"/>
          <w:lang w:val="sr-Latn-ME"/>
        </w:rPr>
        <w:t xml:space="preserve"> (LDH) iznosio </w:t>
      </w:r>
      <w:r w:rsidRPr="00285CEF">
        <w:rPr>
          <w:sz w:val="22"/>
          <w:szCs w:val="22"/>
          <w:lang w:val="sr-Latn-ME"/>
        </w:rPr>
        <w:lastRenderedPageBreak/>
        <w:t xml:space="preserve">46,3% u grupi liječenoj </w:t>
      </w:r>
      <w:proofErr w:type="spellStart"/>
      <w:r w:rsidRPr="00285CEF">
        <w:rPr>
          <w:sz w:val="22"/>
          <w:szCs w:val="22"/>
          <w:lang w:val="sr-Latn-ME"/>
        </w:rPr>
        <w:t>kobimetinibom</w:t>
      </w:r>
      <w:proofErr w:type="spellEnd"/>
      <w:r w:rsidRPr="00285CEF">
        <w:rPr>
          <w:sz w:val="22"/>
          <w:szCs w:val="22"/>
          <w:lang w:val="sr-Latn-ME"/>
        </w:rPr>
        <w:t xml:space="preserve">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te 43,0% u grupi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. 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8D0ED5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U studiji GO28141 učestvovalo je 89 pacijenata (18,1%) </w:t>
      </w:r>
      <w:r w:rsidR="005301B8" w:rsidRPr="00285CEF">
        <w:rPr>
          <w:sz w:val="22"/>
          <w:szCs w:val="22"/>
          <w:lang w:val="sr-Latn-ME"/>
        </w:rPr>
        <w:t xml:space="preserve">koji su imali </w:t>
      </w:r>
      <w:r w:rsidRPr="00285CEF">
        <w:rPr>
          <w:sz w:val="22"/>
          <w:szCs w:val="22"/>
          <w:lang w:val="sr-Latn-ME"/>
        </w:rPr>
        <w:t xml:space="preserve">65 – 74 godine, 38 pacijenata (7,7%) </w:t>
      </w:r>
      <w:r w:rsidR="005301B8" w:rsidRPr="00285CEF">
        <w:rPr>
          <w:sz w:val="22"/>
          <w:szCs w:val="22"/>
          <w:lang w:val="sr-Latn-ME"/>
        </w:rPr>
        <w:t xml:space="preserve">koji su imali </w:t>
      </w:r>
      <w:r w:rsidRPr="00285CEF">
        <w:rPr>
          <w:sz w:val="22"/>
          <w:szCs w:val="22"/>
          <w:lang w:val="sr-Latn-ME"/>
        </w:rPr>
        <w:t xml:space="preserve">75 – 84 godine i 5 pacijenata (1,0%) </w:t>
      </w:r>
      <w:r w:rsidR="005301B8" w:rsidRPr="00285CEF">
        <w:rPr>
          <w:sz w:val="22"/>
          <w:szCs w:val="22"/>
          <w:lang w:val="sr-Latn-ME"/>
        </w:rPr>
        <w:t xml:space="preserve">koji su imali </w:t>
      </w:r>
      <w:r w:rsidRPr="00285CEF">
        <w:rPr>
          <w:sz w:val="22"/>
          <w:szCs w:val="22"/>
          <w:lang w:val="sr-Latn-ME"/>
        </w:rPr>
        <w:t>85</w:t>
      </w:r>
      <w:r w:rsidR="00462054" w:rsidRPr="00285CEF">
        <w:rPr>
          <w:sz w:val="22"/>
          <w:szCs w:val="22"/>
          <w:lang w:val="sr-Latn-ME"/>
        </w:rPr>
        <w:t xml:space="preserve"> i više</w:t>
      </w:r>
      <w:r w:rsidRPr="00285CEF">
        <w:rPr>
          <w:sz w:val="22"/>
          <w:szCs w:val="22"/>
          <w:lang w:val="sr-Latn-ME"/>
        </w:rPr>
        <w:t xml:space="preserve"> godina.</w:t>
      </w:r>
    </w:p>
    <w:p w:rsidR="0013132D" w:rsidRPr="00285CEF" w:rsidRDefault="0013132D" w:rsidP="00CC3B0C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 </w:t>
      </w:r>
    </w:p>
    <w:p w:rsidR="0013132D" w:rsidRPr="00285CEF" w:rsidRDefault="0013132D" w:rsidP="00B724B9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>Rezultati za efikasnost sažeto su prikazani u Tabeli 5.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B64A87">
      <w:pPr>
        <w:ind w:left="1560" w:hanging="1560"/>
        <w:jc w:val="both"/>
        <w:rPr>
          <w:b/>
          <w:sz w:val="22"/>
          <w:szCs w:val="22"/>
          <w:lang w:val="sr-Latn-ME" w:eastAsia="ja-JP"/>
        </w:rPr>
      </w:pPr>
      <w:r w:rsidRPr="00285CEF">
        <w:rPr>
          <w:b/>
          <w:sz w:val="22"/>
          <w:szCs w:val="22"/>
          <w:lang w:val="sr-Latn-ME" w:eastAsia="ja-JP"/>
        </w:rPr>
        <w:t>Tabela 5 - Rezultati za efikasnost iz studije GO28141 (</w:t>
      </w:r>
      <w:proofErr w:type="spellStart"/>
      <w:r w:rsidRPr="00285CEF">
        <w:rPr>
          <w:b/>
          <w:sz w:val="22"/>
          <w:szCs w:val="22"/>
          <w:lang w:val="sr-Latn-ME" w:eastAsia="ja-JP"/>
        </w:rPr>
        <w:t>coBRIM</w:t>
      </w:r>
      <w:proofErr w:type="spellEnd"/>
      <w:r w:rsidRPr="00285CEF">
        <w:rPr>
          <w:b/>
          <w:sz w:val="22"/>
          <w:szCs w:val="22"/>
          <w:lang w:val="sr-Latn-ME" w:eastAsia="ja-JP"/>
        </w:rPr>
        <w:t xml:space="preserve">) </w:t>
      </w:r>
    </w:p>
    <w:p w:rsidR="004A5F6A" w:rsidRPr="00285CEF" w:rsidRDefault="004A5F6A" w:rsidP="00B64A87">
      <w:pPr>
        <w:ind w:left="1560" w:hanging="1560"/>
        <w:jc w:val="both"/>
        <w:rPr>
          <w:b/>
          <w:sz w:val="22"/>
          <w:szCs w:val="22"/>
          <w:lang w:val="sr-Latn-ME" w:eastAsia="ja-JP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2438"/>
      </w:tblGrid>
      <w:tr w:rsidR="0013132D" w:rsidRPr="00285CEF" w:rsidTr="00B64A87">
        <w:trPr>
          <w:trHeight w:val="1140"/>
        </w:trPr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  <w:highlight w:val="yellow"/>
                <w:lang w:val="sr-Latn-ME" w:eastAsia="hr-HR" w:bidi="hr-HR"/>
              </w:rPr>
            </w:pPr>
          </w:p>
        </w:tc>
        <w:tc>
          <w:tcPr>
            <w:tcW w:w="2126" w:type="dxa"/>
            <w:vAlign w:val="center"/>
          </w:tcPr>
          <w:p w:rsidR="0013132D" w:rsidRPr="00285CEF" w:rsidRDefault="004B76A0" w:rsidP="0013132D">
            <w:pPr>
              <w:keepNext/>
              <w:keepLines/>
              <w:widowControl w:val="0"/>
              <w:jc w:val="center"/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Lijek </w:t>
            </w:r>
            <w:proofErr w:type="spellStart"/>
            <w:r w:rsidR="0013132D"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Cotellic</w:t>
            </w:r>
            <w:proofErr w:type="spellEnd"/>
            <w:r w:rsidR="0013132D"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 + </w:t>
            </w:r>
            <w:proofErr w:type="spellStart"/>
            <w:r w:rsidR="0013132D"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vemurafenib</w:t>
            </w:r>
            <w:proofErr w:type="spellEnd"/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  <w:highlight w:val="yellow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N=247</w:t>
            </w: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Placebo</w:t>
            </w:r>
            <w:proofErr w:type="spellEnd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 + </w:t>
            </w:r>
            <w:proofErr w:type="spellStart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vemurafenib</w:t>
            </w:r>
            <w:proofErr w:type="spellEnd"/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  <w:highlight w:val="yellow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N=248</w:t>
            </w:r>
          </w:p>
        </w:tc>
      </w:tr>
      <w:tr w:rsidR="0013132D" w:rsidRPr="00285CEF" w:rsidTr="00B64A87">
        <w:tc>
          <w:tcPr>
            <w:tcW w:w="9067" w:type="dxa"/>
            <w:gridSpan w:val="3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highlight w:val="yellow"/>
                <w:vertAlign w:val="superscript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u w:val="single"/>
                <w:lang w:val="sr-Latn-ME" w:eastAsia="hr-HR" w:bidi="hr-HR"/>
              </w:rPr>
              <w:t xml:space="preserve">Primarna mjera </w:t>
            </w:r>
            <w:proofErr w:type="spellStart"/>
            <w:r w:rsidRPr="00285CEF">
              <w:rPr>
                <w:rFonts w:eastAsia="SimSun"/>
                <w:b/>
                <w:sz w:val="22"/>
                <w:szCs w:val="22"/>
                <w:u w:val="single"/>
                <w:lang w:val="sr-Latn-ME" w:eastAsia="hr-HR" w:bidi="hr-HR"/>
              </w:rPr>
              <w:t>ishoda</w:t>
            </w:r>
            <w:r w:rsidRPr="00285CEF">
              <w:rPr>
                <w:rFonts w:eastAsia="SimSun"/>
                <w:b/>
                <w:sz w:val="22"/>
                <w:szCs w:val="22"/>
                <w:u w:val="single"/>
                <w:vertAlign w:val="superscript"/>
                <w:lang w:val="sr-Latn-ME" w:eastAsia="hr-HR" w:bidi="hr-HR"/>
              </w:rPr>
              <w:t>a,f</w:t>
            </w:r>
            <w:proofErr w:type="spellEnd"/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Preživljavanje bez progresije bolesti (PFS)</w:t>
            </w:r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Medijana</w:t>
            </w:r>
            <w:proofErr w:type="spellEnd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(mjeseci)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95 % CI</w:t>
            </w:r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12,3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(9,5; 13,4)</w:t>
            </w: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7,2 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(5,6; 7,5)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Odnos rizika (95% CI)</w:t>
            </w:r>
            <w:r w:rsidRPr="00285CEF"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  <w:t>b</w:t>
            </w:r>
          </w:p>
        </w:tc>
        <w:tc>
          <w:tcPr>
            <w:tcW w:w="4564" w:type="dxa"/>
            <w:gridSpan w:val="2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0,58 (0,46; 0,72)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</w:p>
        </w:tc>
      </w:tr>
      <w:tr w:rsidR="0013132D" w:rsidRPr="00285CEF" w:rsidTr="00B64A87">
        <w:tc>
          <w:tcPr>
            <w:tcW w:w="9067" w:type="dxa"/>
            <w:gridSpan w:val="3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vertAlign w:val="superscript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u w:val="single"/>
                <w:lang w:val="sr-Latn-ME" w:eastAsia="hr-HR" w:bidi="hr-HR"/>
              </w:rPr>
              <w:t xml:space="preserve">Ključne sekundarne mjere </w:t>
            </w:r>
            <w:proofErr w:type="spellStart"/>
            <w:r w:rsidRPr="00285CEF">
              <w:rPr>
                <w:rFonts w:eastAsia="SimSun"/>
                <w:b/>
                <w:sz w:val="22"/>
                <w:szCs w:val="22"/>
                <w:u w:val="single"/>
                <w:lang w:val="sr-Latn-ME" w:eastAsia="hr-HR" w:bidi="hr-HR"/>
              </w:rPr>
              <w:t>ishoda</w:t>
            </w:r>
            <w:r w:rsidRPr="00285CEF">
              <w:rPr>
                <w:rFonts w:eastAsia="SimSun"/>
                <w:b/>
                <w:sz w:val="22"/>
                <w:szCs w:val="22"/>
                <w:u w:val="single"/>
                <w:vertAlign w:val="superscript"/>
                <w:lang w:val="sr-Latn-ME" w:eastAsia="hr-HR" w:bidi="hr-HR"/>
              </w:rPr>
              <w:t>a,f</w:t>
            </w:r>
            <w:proofErr w:type="spellEnd"/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vertAlign w:val="superscript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Ukupno preživljavanje (OS)</w:t>
            </w:r>
            <w:r w:rsidRPr="00285CEF">
              <w:rPr>
                <w:rFonts w:eastAsia="SimSun"/>
                <w:b/>
                <w:sz w:val="22"/>
                <w:szCs w:val="22"/>
                <w:vertAlign w:val="superscript"/>
                <w:lang w:val="sr-Latn-ME" w:eastAsia="hr-HR" w:bidi="hr-HR"/>
              </w:rPr>
              <w:t>g</w:t>
            </w:r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  <w:u w:val="single"/>
                <w:lang w:val="sr-Latn-ME" w:eastAsia="hr-HR" w:bidi="hr-HR"/>
              </w:rPr>
            </w:pP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  <w:u w:val="single"/>
                <w:lang w:val="sr-Latn-ME" w:eastAsia="hr-HR" w:bidi="hr-HR"/>
              </w:rPr>
            </w:pPr>
          </w:p>
        </w:tc>
      </w:tr>
      <w:tr w:rsidR="0013132D" w:rsidRPr="00285CEF" w:rsidTr="00B64A87">
        <w:tc>
          <w:tcPr>
            <w:tcW w:w="4503" w:type="dxa"/>
            <w:shd w:val="clear" w:color="auto" w:fill="auto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Medijana</w:t>
            </w:r>
            <w:proofErr w:type="spellEnd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(mjeseci)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95 % CI</w:t>
            </w:r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spacing w:before="50" w:after="50" w:line="240" w:lineRule="exact"/>
              <w:jc w:val="center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22,3 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(20,3; NO)</w:t>
            </w: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spacing w:before="50" w:after="50" w:line="240" w:lineRule="exact"/>
              <w:jc w:val="center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17,4 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(15,0; 19,8)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u w:val="single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Odnos rizika (95% CI)</w:t>
            </w:r>
            <w:r w:rsidRPr="00285CEF"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  <w:t>b</w:t>
            </w:r>
          </w:p>
        </w:tc>
        <w:tc>
          <w:tcPr>
            <w:tcW w:w="4564" w:type="dxa"/>
            <w:gridSpan w:val="2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spacing w:before="50" w:after="50" w:line="240" w:lineRule="exact"/>
              <w:jc w:val="center"/>
              <w:rPr>
                <w:rFonts w:eastAsia="SimSun"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0,70 (95% CI: 0,55, 0,90)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  <w:u w:val="single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(p-vrijednost = 0,0050e)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Stopa objektivnog odgovora (ORR)</w:t>
            </w:r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172 (69,6%)</w:t>
            </w: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124 (50,0%)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u w:val="single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95% CI za </w:t>
            </w: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ORR</w:t>
            </w:r>
            <w:r w:rsidRPr="00285CEF"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  <w:t>c</w:t>
            </w:r>
            <w:proofErr w:type="spellEnd"/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(63,5%, 75,3%)</w:t>
            </w: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(43,6%, 56,4%)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Razlika u % ORR</w:t>
            </w: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noBreakHyphen/>
              <w:t xml:space="preserve">a 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vertAlign w:val="superscript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(95% CI)</w:t>
            </w:r>
            <w:r w:rsidRPr="00285CEF">
              <w:rPr>
                <w:rFonts w:eastAsia="SimSun"/>
                <w:sz w:val="22"/>
                <w:szCs w:val="22"/>
                <w:vertAlign w:val="superscript"/>
                <w:lang w:val="sr-Latn-ME" w:eastAsia="hr-HR" w:bidi="hr-HR"/>
              </w:rPr>
              <w:t>d</w:t>
            </w:r>
          </w:p>
        </w:tc>
        <w:tc>
          <w:tcPr>
            <w:tcW w:w="4564" w:type="dxa"/>
            <w:gridSpan w:val="2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19,6 (11,0; 28,3)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Najbolji ukupan odgovor</w:t>
            </w:r>
          </w:p>
        </w:tc>
        <w:tc>
          <w:tcPr>
            <w:tcW w:w="2126" w:type="dxa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Potpun odgovor</w:t>
            </w:r>
          </w:p>
        </w:tc>
        <w:tc>
          <w:tcPr>
            <w:tcW w:w="2126" w:type="dxa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39 (15,8%)</w:t>
            </w:r>
          </w:p>
        </w:tc>
        <w:tc>
          <w:tcPr>
            <w:tcW w:w="2438" w:type="dxa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26 (10,5%)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Djelimičan odgovor</w:t>
            </w:r>
          </w:p>
        </w:tc>
        <w:tc>
          <w:tcPr>
            <w:tcW w:w="2126" w:type="dxa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133 (53,8%)</w:t>
            </w:r>
          </w:p>
        </w:tc>
        <w:tc>
          <w:tcPr>
            <w:tcW w:w="2438" w:type="dxa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98 (39,5%)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Stabilna bolest</w:t>
            </w:r>
          </w:p>
        </w:tc>
        <w:tc>
          <w:tcPr>
            <w:tcW w:w="2126" w:type="dxa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44 (17,8%)</w:t>
            </w:r>
          </w:p>
        </w:tc>
        <w:tc>
          <w:tcPr>
            <w:tcW w:w="2438" w:type="dxa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92 (37,1%)</w:t>
            </w: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b/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Trajanje odgovora (engl.</w:t>
            </w:r>
            <w:r w:rsidRPr="00285CEF">
              <w:rPr>
                <w:rFonts w:eastAsia="SimSun"/>
                <w:b/>
                <w:i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285CEF">
              <w:rPr>
                <w:rFonts w:eastAsia="SimSun"/>
                <w:b/>
                <w:i/>
                <w:sz w:val="22"/>
                <w:szCs w:val="22"/>
                <w:lang w:val="sr-Latn-ME" w:eastAsia="hr-HR" w:bidi="hr-HR"/>
              </w:rPr>
              <w:t>Duration</w:t>
            </w:r>
            <w:proofErr w:type="spellEnd"/>
            <w:r w:rsidRPr="00285CEF">
              <w:rPr>
                <w:rFonts w:eastAsia="SimSun"/>
                <w:b/>
                <w:i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285CEF">
              <w:rPr>
                <w:rFonts w:eastAsia="SimSun"/>
                <w:b/>
                <w:i/>
                <w:sz w:val="22"/>
                <w:szCs w:val="22"/>
                <w:lang w:val="sr-Latn-ME" w:eastAsia="hr-HR" w:bidi="hr-HR"/>
              </w:rPr>
              <w:t>of</w:t>
            </w:r>
            <w:proofErr w:type="spellEnd"/>
            <w:r w:rsidRPr="00285CEF">
              <w:rPr>
                <w:rFonts w:eastAsia="SimSun"/>
                <w:b/>
                <w:i/>
                <w:sz w:val="22"/>
                <w:szCs w:val="22"/>
                <w:lang w:val="sr-Latn-ME" w:eastAsia="hr-HR" w:bidi="hr-HR"/>
              </w:rPr>
              <w:t xml:space="preserve"> </w:t>
            </w:r>
            <w:proofErr w:type="spellStart"/>
            <w:r w:rsidRPr="00285CEF">
              <w:rPr>
                <w:rFonts w:eastAsia="SimSun"/>
                <w:b/>
                <w:i/>
                <w:sz w:val="22"/>
                <w:szCs w:val="22"/>
                <w:lang w:val="sr-Latn-ME" w:eastAsia="hr-HR" w:bidi="hr-HR"/>
              </w:rPr>
              <w:t>Response</w:t>
            </w:r>
            <w:proofErr w:type="spellEnd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 xml:space="preserve">, </w:t>
            </w:r>
            <w:proofErr w:type="spellStart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DoR</w:t>
            </w:r>
            <w:proofErr w:type="spellEnd"/>
            <w:r w:rsidRPr="00285CEF">
              <w:rPr>
                <w:rFonts w:eastAsia="SimSun"/>
                <w:b/>
                <w:sz w:val="22"/>
                <w:szCs w:val="22"/>
                <w:lang w:val="sr-Latn-ME" w:eastAsia="hr-HR" w:bidi="hr-HR"/>
              </w:rPr>
              <w:t>)</w:t>
            </w:r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</w:p>
        </w:tc>
      </w:tr>
      <w:tr w:rsidR="0013132D" w:rsidRPr="00285CEF" w:rsidTr="00B64A87">
        <w:tc>
          <w:tcPr>
            <w:tcW w:w="4503" w:type="dxa"/>
            <w:shd w:val="clear" w:color="auto" w:fill="auto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Medijana</w:t>
            </w:r>
            <w:proofErr w:type="spellEnd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 trajanja odgovora (mjeseci)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 xml:space="preserve">95% CI za </w:t>
            </w:r>
            <w:proofErr w:type="spellStart"/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medijanu</w:t>
            </w:r>
            <w:proofErr w:type="spellEnd"/>
          </w:p>
        </w:tc>
        <w:tc>
          <w:tcPr>
            <w:tcW w:w="2126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13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(11,1; 16,6)</w:t>
            </w:r>
          </w:p>
        </w:tc>
        <w:tc>
          <w:tcPr>
            <w:tcW w:w="2438" w:type="dxa"/>
            <w:vAlign w:val="center"/>
          </w:tcPr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9,2</w:t>
            </w:r>
          </w:p>
          <w:p w:rsidR="0013132D" w:rsidRPr="00285CEF" w:rsidRDefault="0013132D" w:rsidP="0013132D">
            <w:pPr>
              <w:keepNext/>
              <w:keepLines/>
              <w:widowControl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285CEF">
              <w:rPr>
                <w:rFonts w:eastAsia="SimSun"/>
                <w:sz w:val="22"/>
                <w:szCs w:val="22"/>
                <w:lang w:val="sr-Latn-ME" w:eastAsia="hr-HR" w:bidi="hr-HR"/>
              </w:rPr>
              <w:t>(7,5; 12,8)</w:t>
            </w:r>
          </w:p>
        </w:tc>
      </w:tr>
    </w:tbl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>NO = ne može se oc</w:t>
      </w:r>
      <w:r w:rsidR="004B76A0" w:rsidRPr="00285CEF">
        <w:rPr>
          <w:sz w:val="22"/>
          <w:szCs w:val="22"/>
          <w:lang w:val="sr-Latn-ME"/>
        </w:rPr>
        <w:t>i</w:t>
      </w:r>
      <w:r w:rsidRPr="00285CEF">
        <w:rPr>
          <w:sz w:val="22"/>
          <w:szCs w:val="22"/>
          <w:lang w:val="sr-Latn-ME"/>
        </w:rPr>
        <w:t>jeniti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vertAlign w:val="superscript"/>
          <w:lang w:val="sr-Latn-ME"/>
        </w:rPr>
        <w:t>a</w:t>
      </w:r>
      <w:r w:rsidRPr="00285CEF">
        <w:rPr>
          <w:sz w:val="22"/>
          <w:szCs w:val="22"/>
          <w:lang w:val="sr-Latn-ME"/>
        </w:rPr>
        <w:t>Oc</w:t>
      </w:r>
      <w:r w:rsidR="004B76A0" w:rsidRPr="00285CEF">
        <w:rPr>
          <w:sz w:val="22"/>
          <w:szCs w:val="22"/>
          <w:lang w:val="sr-Latn-ME"/>
        </w:rPr>
        <w:t>i</w:t>
      </w:r>
      <w:r w:rsidRPr="00285CEF">
        <w:rPr>
          <w:sz w:val="22"/>
          <w:szCs w:val="22"/>
          <w:lang w:val="sr-Latn-ME"/>
        </w:rPr>
        <w:t>jenio</w:t>
      </w:r>
      <w:proofErr w:type="spellEnd"/>
      <w:r w:rsidRPr="00285CEF">
        <w:rPr>
          <w:sz w:val="22"/>
          <w:szCs w:val="22"/>
          <w:lang w:val="sr-Latn-ME"/>
        </w:rPr>
        <w:t xml:space="preserve"> i potvrdio istraživač na osnovu verzije 1.1 Kriterijuma za ocjenu odgovora kod solidnih tumora (engl. </w:t>
      </w:r>
      <w:proofErr w:type="spellStart"/>
      <w:r w:rsidRPr="00285CEF">
        <w:rPr>
          <w:i/>
          <w:sz w:val="22"/>
          <w:szCs w:val="22"/>
          <w:lang w:val="sr-Latn-ME"/>
        </w:rPr>
        <w:t>Response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Evaluation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Criteria</w:t>
      </w:r>
      <w:proofErr w:type="spellEnd"/>
      <w:r w:rsidRPr="00285CEF">
        <w:rPr>
          <w:i/>
          <w:sz w:val="22"/>
          <w:szCs w:val="22"/>
          <w:lang w:val="sr-Latn-ME"/>
        </w:rPr>
        <w:t xml:space="preserve"> In </w:t>
      </w:r>
      <w:proofErr w:type="spellStart"/>
      <w:r w:rsidRPr="00285CEF">
        <w:rPr>
          <w:i/>
          <w:sz w:val="22"/>
          <w:szCs w:val="22"/>
          <w:lang w:val="sr-Latn-ME"/>
        </w:rPr>
        <w:t>Solid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Tumors</w:t>
      </w:r>
      <w:proofErr w:type="spellEnd"/>
      <w:r w:rsidRPr="00285CEF">
        <w:rPr>
          <w:sz w:val="22"/>
          <w:szCs w:val="22"/>
          <w:lang w:val="sr-Latn-ME"/>
        </w:rPr>
        <w:t>, RECIST)</w:t>
      </w:r>
    </w:p>
    <w:p w:rsidR="0013132D" w:rsidRPr="00285CEF" w:rsidRDefault="00D70D25" w:rsidP="008D0ED5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vertAlign w:val="superscript"/>
          <w:lang w:val="sr-Latn-ME"/>
        </w:rPr>
        <w:t>b</w:t>
      </w:r>
      <w:r w:rsidRPr="00285CEF">
        <w:rPr>
          <w:sz w:val="22"/>
          <w:szCs w:val="22"/>
          <w:lang w:val="sr-Latn-ME"/>
        </w:rPr>
        <w:t>Stratifikovana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r w:rsidR="0013132D" w:rsidRPr="00285CEF">
        <w:rPr>
          <w:sz w:val="22"/>
          <w:szCs w:val="22"/>
          <w:lang w:val="sr-Latn-ME"/>
        </w:rPr>
        <w:t>analiza prema geografskim regijama i klasifikaciji metastaza (stadijumu bolesti)</w:t>
      </w:r>
    </w:p>
    <w:p w:rsidR="0013132D" w:rsidRPr="00285CEF" w:rsidRDefault="0013132D" w:rsidP="00CC3B0C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vertAlign w:val="superscript"/>
          <w:lang w:val="sr-Latn-ME"/>
        </w:rPr>
        <w:t>c</w:t>
      </w:r>
      <w:r w:rsidRPr="00285CEF">
        <w:rPr>
          <w:sz w:val="22"/>
          <w:szCs w:val="22"/>
          <w:lang w:val="sr-Latn-ME"/>
        </w:rPr>
        <w:t>Koristeći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Clopper</w:t>
      </w:r>
      <w:proofErr w:type="spellEnd"/>
      <w:r w:rsidRPr="00285CEF">
        <w:rPr>
          <w:i/>
          <w:sz w:val="22"/>
          <w:szCs w:val="22"/>
          <w:lang w:val="sr-Latn-ME"/>
        </w:rPr>
        <w:t>-</w:t>
      </w:r>
      <w:proofErr w:type="spellStart"/>
      <w:r w:rsidRPr="00285CEF">
        <w:rPr>
          <w:i/>
          <w:sz w:val="22"/>
          <w:szCs w:val="22"/>
          <w:lang w:val="sr-Latn-ME"/>
        </w:rPr>
        <w:t>Pearson</w:t>
      </w:r>
      <w:proofErr w:type="spellEnd"/>
      <w:r w:rsidR="00D70D25" w:rsidRPr="00285CEF">
        <w:rPr>
          <w:sz w:val="22"/>
          <w:szCs w:val="22"/>
          <w:lang w:val="sr-Latn-ME"/>
        </w:rPr>
        <w:t>-</w:t>
      </w:r>
      <w:r w:rsidRPr="00285CEF">
        <w:rPr>
          <w:sz w:val="22"/>
          <w:szCs w:val="22"/>
          <w:lang w:val="sr-Latn-ME"/>
        </w:rPr>
        <w:t>ovu metodu</w:t>
      </w:r>
    </w:p>
    <w:p w:rsidR="0013132D" w:rsidRPr="00285CEF" w:rsidRDefault="0013132D" w:rsidP="00B724B9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vertAlign w:val="superscript"/>
          <w:lang w:val="sr-Latn-ME"/>
        </w:rPr>
        <w:t>d</w:t>
      </w:r>
      <w:r w:rsidRPr="00285CEF">
        <w:rPr>
          <w:sz w:val="22"/>
          <w:szCs w:val="22"/>
          <w:lang w:val="sr-Latn-ME"/>
        </w:rPr>
        <w:t>Koristeći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Hauck</w:t>
      </w:r>
      <w:proofErr w:type="spellEnd"/>
      <w:r w:rsidRPr="00285CEF">
        <w:rPr>
          <w:i/>
          <w:sz w:val="22"/>
          <w:szCs w:val="22"/>
          <w:lang w:val="sr-Latn-ME"/>
        </w:rPr>
        <w:t>-</w:t>
      </w:r>
      <w:proofErr w:type="spellStart"/>
      <w:r w:rsidRPr="00285CEF">
        <w:rPr>
          <w:i/>
          <w:sz w:val="22"/>
          <w:szCs w:val="22"/>
          <w:lang w:val="sr-Latn-ME"/>
        </w:rPr>
        <w:t>Anderson</w:t>
      </w:r>
      <w:proofErr w:type="spellEnd"/>
      <w:r w:rsidR="00D70D25" w:rsidRPr="00285CEF">
        <w:rPr>
          <w:sz w:val="22"/>
          <w:szCs w:val="22"/>
          <w:lang w:val="sr-Latn-ME"/>
        </w:rPr>
        <w:t>-</w:t>
      </w:r>
      <w:r w:rsidRPr="00285CEF">
        <w:rPr>
          <w:sz w:val="22"/>
          <w:szCs w:val="22"/>
          <w:lang w:val="sr-Latn-ME"/>
        </w:rPr>
        <w:t>ovu metodu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vertAlign w:val="superscript"/>
          <w:lang w:val="sr-Latn-ME"/>
        </w:rPr>
        <w:t>e</w:t>
      </w:r>
      <w:r w:rsidRPr="00285CEF">
        <w:rPr>
          <w:sz w:val="22"/>
          <w:szCs w:val="22"/>
          <w:lang w:val="sr-Latn-ME"/>
        </w:rPr>
        <w:t xml:space="preserve"> p-vrijednost za OS (0,0050) </w:t>
      </w:r>
      <w:proofErr w:type="spellStart"/>
      <w:r w:rsidRPr="00285CEF">
        <w:rPr>
          <w:sz w:val="22"/>
          <w:szCs w:val="22"/>
          <w:lang w:val="sr-Latn-ME"/>
        </w:rPr>
        <w:t>prešla</w:t>
      </w:r>
      <w:proofErr w:type="spellEnd"/>
      <w:r w:rsidRPr="00285CEF">
        <w:rPr>
          <w:sz w:val="22"/>
          <w:szCs w:val="22"/>
          <w:lang w:val="sr-Latn-ME"/>
        </w:rPr>
        <w:t xml:space="preserve"> je unaprijed utvrđenu granicu (p-vrijednost &lt;0,0499)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vertAlign w:val="superscript"/>
          <w:lang w:val="sr-Latn-ME"/>
        </w:rPr>
        <w:t>f</w:t>
      </w:r>
      <w:r w:rsidRPr="00285CEF">
        <w:rPr>
          <w:sz w:val="22"/>
          <w:szCs w:val="22"/>
          <w:lang w:val="sr-Latn-ME"/>
        </w:rPr>
        <w:t xml:space="preserve"> Završni datum prikupljanja podataka za ovu ažuriranu analizu PFS-a i sekundarne mjere ishoda ORR, najbolji  ukupan odgovor i trajanje odgovora bio je 16. januar 2015. </w:t>
      </w:r>
      <w:proofErr w:type="spellStart"/>
      <w:r w:rsidRPr="00285CEF">
        <w:rPr>
          <w:sz w:val="22"/>
          <w:szCs w:val="22"/>
          <w:lang w:val="sr-Latn-ME"/>
        </w:rPr>
        <w:t>Medijana</w:t>
      </w:r>
      <w:proofErr w:type="spellEnd"/>
      <w:r w:rsidRPr="00285CEF">
        <w:rPr>
          <w:sz w:val="22"/>
          <w:szCs w:val="22"/>
          <w:lang w:val="sr-Latn-ME"/>
        </w:rPr>
        <w:t xml:space="preserve"> trajanja praćenja iznosila je 14,2 mjeseca</w:t>
      </w:r>
      <w:r w:rsidR="00D70D25" w:rsidRPr="00285CEF">
        <w:rPr>
          <w:sz w:val="22"/>
          <w:szCs w:val="22"/>
          <w:lang w:val="sr-Latn-ME"/>
        </w:rPr>
        <w:t>.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vertAlign w:val="superscript"/>
          <w:lang w:val="sr-Latn-ME"/>
        </w:rPr>
        <w:t>g</w:t>
      </w:r>
      <w:r w:rsidRPr="00285CEF">
        <w:rPr>
          <w:sz w:val="22"/>
          <w:szCs w:val="22"/>
          <w:lang w:val="sr-Latn-ME"/>
        </w:rPr>
        <w:t xml:space="preserve"> Završni datum prikupljanja podataka za konačnu analizu OS-a bio je 28. </w:t>
      </w:r>
      <w:r w:rsidR="00D70D25" w:rsidRPr="00285CEF">
        <w:rPr>
          <w:sz w:val="22"/>
          <w:szCs w:val="22"/>
          <w:lang w:val="sr-Latn-ME"/>
        </w:rPr>
        <w:t xml:space="preserve">oktobar </w:t>
      </w:r>
      <w:r w:rsidRPr="00285CEF">
        <w:rPr>
          <w:sz w:val="22"/>
          <w:szCs w:val="22"/>
          <w:lang w:val="sr-Latn-ME"/>
        </w:rPr>
        <w:t xml:space="preserve">2015., a </w:t>
      </w:r>
      <w:proofErr w:type="spellStart"/>
      <w:r w:rsidRPr="00285CEF">
        <w:rPr>
          <w:sz w:val="22"/>
          <w:szCs w:val="22"/>
          <w:lang w:val="sr-Latn-ME"/>
        </w:rPr>
        <w:t>medijana</w:t>
      </w:r>
      <w:proofErr w:type="spellEnd"/>
      <w:r w:rsidRPr="00285CEF">
        <w:rPr>
          <w:sz w:val="22"/>
          <w:szCs w:val="22"/>
          <w:lang w:val="sr-Latn-ME"/>
        </w:rPr>
        <w:t xml:space="preserve"> trajanja praćenja iznosila je 18,5 mjeseci</w:t>
      </w:r>
      <w:r w:rsidR="00D70D25" w:rsidRPr="00285CEF">
        <w:rPr>
          <w:sz w:val="22"/>
          <w:szCs w:val="22"/>
          <w:lang w:val="sr-Latn-ME"/>
        </w:rPr>
        <w:t>.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Primarna analiza ispitivanja GO28141 sprovedena je sa podacima prikupljenim do 9. maja 2014. U grupi pacijenata kojima je bilo dodijeljeno liječenje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prim</w:t>
      </w:r>
      <w:r w:rsidR="00D70D25" w:rsidRPr="00285CEF">
        <w:rPr>
          <w:sz w:val="22"/>
          <w:szCs w:val="22"/>
          <w:lang w:val="sr-Latn-ME"/>
        </w:rPr>
        <w:t>i</w:t>
      </w:r>
      <w:r w:rsidRPr="00285CEF">
        <w:rPr>
          <w:sz w:val="22"/>
          <w:szCs w:val="22"/>
          <w:lang w:val="sr-Latn-ME"/>
        </w:rPr>
        <w:t xml:space="preserve">jećeno je značajno poboljšanje primarne mjere ishoda – PFS-a prema ocjeni istraživača – u </w:t>
      </w:r>
      <w:r w:rsidRPr="00285CEF">
        <w:rPr>
          <w:sz w:val="22"/>
          <w:szCs w:val="22"/>
          <w:lang w:val="sr-Latn-ME"/>
        </w:rPr>
        <w:lastRenderedPageBreak/>
        <w:t xml:space="preserve">poređenju sa grupom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(HR: 0,51 [0,39; 0,68); p vrijednost &lt;0,0001).</w:t>
      </w:r>
    </w:p>
    <w:p w:rsidR="0013132D" w:rsidRPr="00285CEF" w:rsidRDefault="0013132D" w:rsidP="004812D1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8D0ED5">
      <w:pPr>
        <w:jc w:val="both"/>
        <w:outlineLvl w:val="0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Medijana</w:t>
      </w:r>
      <w:proofErr w:type="spellEnd"/>
      <w:r w:rsidRPr="00285CEF">
        <w:rPr>
          <w:sz w:val="22"/>
          <w:szCs w:val="22"/>
          <w:lang w:val="sr-Latn-ME"/>
        </w:rPr>
        <w:t xml:space="preserve"> procijenjene vrijednosti PFS-a prema ocjeni istraživača iznosila je 9,9 mjeseci za grupu koja je primala </w:t>
      </w:r>
      <w:r w:rsidR="00D70D25" w:rsidRPr="00285CEF">
        <w:rPr>
          <w:sz w:val="22"/>
          <w:szCs w:val="22"/>
          <w:lang w:val="sr-Latn-ME"/>
        </w:rPr>
        <w:t xml:space="preserve">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, u odnosu na 6,2 mjeseca za grupu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. </w:t>
      </w:r>
      <w:proofErr w:type="spellStart"/>
      <w:r w:rsidRPr="00285CEF">
        <w:rPr>
          <w:sz w:val="22"/>
          <w:szCs w:val="22"/>
          <w:lang w:val="sr-Latn-ME"/>
        </w:rPr>
        <w:t>Medijana</w:t>
      </w:r>
      <w:proofErr w:type="spellEnd"/>
      <w:r w:rsidRPr="00285CEF">
        <w:rPr>
          <w:sz w:val="22"/>
          <w:szCs w:val="22"/>
          <w:lang w:val="sr-Latn-ME"/>
        </w:rPr>
        <w:t xml:space="preserve"> procijenjene vrijednosti PFS-a prema ocjeni nezavisnog ocjenjivačkog tijela iznosila je 11,3 mjeseca za grupu liječenu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, u odnosu na 6,0 mjeseci za grupu koja je primala 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(HR: 0,60 [0,45; 0,79]; p vrijednost = 0,0003). Stopa objektivnog odgovora (ORR) u grupi liječenoj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iznosila je 67,6%, u odnosu na 44,8%  u grupi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. Razlika u ORR u bila je 22,9% (p vrijednost &lt;0,0001).  </w:t>
      </w:r>
    </w:p>
    <w:p w:rsidR="0013132D" w:rsidRPr="00285CEF" w:rsidRDefault="0013132D" w:rsidP="008D0ED5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CC3B0C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Konačna analiza ukupnog preživljavanja u studiji GO28141 sprovedena je sa podacima prikupljenim do 28. avgusta 2015. U grupi pacijenata kojima je bilo dodijeljeno liječenje lijekom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primjećeno je značajno poboljšanje ukupnog preživljavanja u poređenju sa grupom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(Slika 1). Procijenjene stope 1-godišnjeg (75 %) i 2-godišnjeg (48 %) ukupnog preživljavanja za grupu koja je primala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bile su veće nego za grupu koja je primala </w:t>
      </w:r>
      <w:proofErr w:type="spellStart"/>
      <w:r w:rsidRPr="00285CEF">
        <w:rPr>
          <w:sz w:val="22"/>
          <w:szCs w:val="22"/>
          <w:lang w:val="sr-Latn-ME"/>
        </w:rPr>
        <w:t>placebo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="0038453E" w:rsidRPr="00285CEF">
        <w:rPr>
          <w:sz w:val="22"/>
          <w:szCs w:val="22"/>
          <w:lang w:val="sr-Latn-ME"/>
        </w:rPr>
        <w:t>vemurafenibom</w:t>
      </w:r>
      <w:proofErr w:type="spellEnd"/>
      <w:r w:rsidR="0038453E" w:rsidRPr="00285CEF">
        <w:rPr>
          <w:sz w:val="22"/>
          <w:szCs w:val="22"/>
          <w:lang w:val="sr-Latn-ME"/>
        </w:rPr>
        <w:t xml:space="preserve"> </w:t>
      </w:r>
      <w:r w:rsidRPr="00285CEF">
        <w:rPr>
          <w:sz w:val="22"/>
          <w:szCs w:val="22"/>
          <w:lang w:val="sr-Latn-ME"/>
        </w:rPr>
        <w:t>(64 % odnosno 38 %).</w:t>
      </w:r>
    </w:p>
    <w:p w:rsidR="0013132D" w:rsidRPr="00285CEF" w:rsidRDefault="0013132D" w:rsidP="00B724B9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 w:rsidP="00B64A87">
      <w:pPr>
        <w:keepNext/>
        <w:keepLines/>
        <w:jc w:val="both"/>
        <w:rPr>
          <w:b/>
          <w:sz w:val="22"/>
          <w:szCs w:val="22"/>
          <w:lang w:val="sr-Latn-ME"/>
        </w:rPr>
      </w:pPr>
      <w:r w:rsidRPr="00285CEF">
        <w:rPr>
          <w:b/>
          <w:sz w:val="22"/>
          <w:szCs w:val="22"/>
          <w:lang w:val="sr-Latn-ME"/>
        </w:rPr>
        <w:t xml:space="preserve">Slika 1 </w:t>
      </w:r>
      <w:proofErr w:type="spellStart"/>
      <w:r w:rsidRPr="00285CEF">
        <w:rPr>
          <w:b/>
          <w:i/>
          <w:sz w:val="22"/>
          <w:szCs w:val="22"/>
          <w:lang w:val="sr-Latn-ME"/>
        </w:rPr>
        <w:t>Kaplan</w:t>
      </w:r>
      <w:proofErr w:type="spellEnd"/>
      <w:r w:rsidRPr="00285CEF">
        <w:rPr>
          <w:i/>
          <w:sz w:val="22"/>
          <w:szCs w:val="22"/>
          <w:lang w:val="sr-Latn-ME"/>
        </w:rPr>
        <w:noBreakHyphen/>
      </w:r>
      <w:proofErr w:type="spellStart"/>
      <w:r w:rsidRPr="00285CEF">
        <w:rPr>
          <w:b/>
          <w:i/>
          <w:sz w:val="22"/>
          <w:szCs w:val="22"/>
          <w:lang w:val="sr-Latn-ME"/>
        </w:rPr>
        <w:t>Meier</w:t>
      </w:r>
      <w:proofErr w:type="spellEnd"/>
      <w:r w:rsidR="00F311DF" w:rsidRPr="00285CEF">
        <w:rPr>
          <w:b/>
          <w:sz w:val="22"/>
          <w:szCs w:val="22"/>
          <w:lang w:val="sr-Latn-ME"/>
        </w:rPr>
        <w:t>-</w:t>
      </w:r>
      <w:r w:rsidRPr="00285CEF">
        <w:rPr>
          <w:b/>
          <w:sz w:val="22"/>
          <w:szCs w:val="22"/>
          <w:lang w:val="sr-Latn-ME"/>
        </w:rPr>
        <w:t>ove krive konačnog ukupnog preživljavanja – populacija pacijenata predviđenih za liječenje (eng</w:t>
      </w:r>
      <w:r w:rsidR="00F311DF" w:rsidRPr="00285CEF">
        <w:rPr>
          <w:b/>
          <w:sz w:val="22"/>
          <w:szCs w:val="22"/>
          <w:lang w:val="sr-Latn-ME"/>
        </w:rPr>
        <w:t>l</w:t>
      </w:r>
      <w:r w:rsidRPr="00285CEF">
        <w:rPr>
          <w:b/>
          <w:sz w:val="22"/>
          <w:szCs w:val="22"/>
          <w:lang w:val="sr-Latn-ME"/>
        </w:rPr>
        <w:t xml:space="preserve">. </w:t>
      </w:r>
      <w:proofErr w:type="spellStart"/>
      <w:r w:rsidRPr="00285CEF">
        <w:rPr>
          <w:b/>
          <w:i/>
          <w:sz w:val="22"/>
          <w:szCs w:val="22"/>
          <w:lang w:val="sr-Latn-ME"/>
        </w:rPr>
        <w:t>Intent</w:t>
      </w:r>
      <w:proofErr w:type="spellEnd"/>
      <w:r w:rsidRPr="00285CEF">
        <w:rPr>
          <w:b/>
          <w:i/>
          <w:sz w:val="22"/>
          <w:szCs w:val="22"/>
          <w:lang w:val="sr-Latn-ME"/>
        </w:rPr>
        <w:t xml:space="preserve"> to </w:t>
      </w:r>
      <w:proofErr w:type="spellStart"/>
      <w:r w:rsidRPr="00285CEF">
        <w:rPr>
          <w:b/>
          <w:i/>
          <w:sz w:val="22"/>
          <w:szCs w:val="22"/>
          <w:lang w:val="sr-Latn-ME"/>
        </w:rPr>
        <w:t>treat</w:t>
      </w:r>
      <w:proofErr w:type="spellEnd"/>
      <w:r w:rsidRPr="00285CEF">
        <w:rPr>
          <w:b/>
          <w:sz w:val="22"/>
          <w:szCs w:val="22"/>
          <w:lang w:val="sr-Latn-ME"/>
        </w:rPr>
        <w:t>) (podaci prikupljeni do 28. avgusta 2015.)</w:t>
      </w:r>
    </w:p>
    <w:p w:rsidR="0013132D" w:rsidRPr="00285CEF" w:rsidRDefault="0013132D" w:rsidP="001313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A5F6A" w:rsidRPr="00285CEF" w:rsidRDefault="0013132D" w:rsidP="001313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/>
          <w:noProof/>
          <w:sz w:val="22"/>
          <w:szCs w:val="22"/>
        </w:rPr>
        <w:drawing>
          <wp:inline distT="0" distB="0" distL="0" distR="0" wp14:anchorId="2E925ACA" wp14:editId="3FB1CD7A">
            <wp:extent cx="5137150" cy="3116276"/>
            <wp:effectExtent l="0" t="0" r="6350" b="8255"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674" cy="312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6A" w:rsidRPr="00285CEF" w:rsidRDefault="004A5F6A" w:rsidP="001313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3132D" w:rsidRPr="00285CEF" w:rsidRDefault="0013132D" w:rsidP="0013132D">
      <w:pPr>
        <w:jc w:val="both"/>
        <w:outlineLvl w:val="0"/>
        <w:rPr>
          <w:sz w:val="22"/>
          <w:szCs w:val="22"/>
          <w:lang w:val="sr-Latn-ME"/>
        </w:rPr>
      </w:pPr>
      <w:r w:rsidRPr="00285CEF">
        <w:rPr>
          <w:b/>
          <w:sz w:val="22"/>
          <w:szCs w:val="22"/>
          <w:lang w:val="sr-Latn-ME"/>
        </w:rPr>
        <w:t xml:space="preserve">Slika 2 Grafikon raspona pouzdanosti (engl. </w:t>
      </w:r>
      <w:proofErr w:type="spellStart"/>
      <w:r w:rsidRPr="00285CEF">
        <w:rPr>
          <w:b/>
          <w:i/>
          <w:sz w:val="22"/>
          <w:szCs w:val="22"/>
          <w:lang w:val="sr-Latn-ME"/>
        </w:rPr>
        <w:t>forest</w:t>
      </w:r>
      <w:proofErr w:type="spellEnd"/>
      <w:r w:rsidRPr="00285CEF">
        <w:rPr>
          <w:b/>
          <w:i/>
          <w:sz w:val="22"/>
          <w:szCs w:val="22"/>
          <w:lang w:val="sr-Latn-ME"/>
        </w:rPr>
        <w:t xml:space="preserve"> plot</w:t>
      </w:r>
      <w:r w:rsidRPr="00285CEF">
        <w:rPr>
          <w:b/>
          <w:sz w:val="22"/>
          <w:szCs w:val="22"/>
          <w:lang w:val="sr-Latn-ME"/>
        </w:rPr>
        <w:t>) za odnose rizika u analizama konačnog ukupnog preživljavanja po podgrupama – populacija pacijenata predviđenih za liječenje (eng</w:t>
      </w:r>
      <w:r w:rsidR="00F311DF" w:rsidRPr="00285CEF">
        <w:rPr>
          <w:b/>
          <w:sz w:val="22"/>
          <w:szCs w:val="22"/>
          <w:lang w:val="sr-Latn-ME"/>
        </w:rPr>
        <w:t>l</w:t>
      </w:r>
      <w:r w:rsidRPr="00285CEF">
        <w:rPr>
          <w:b/>
          <w:sz w:val="22"/>
          <w:szCs w:val="22"/>
          <w:lang w:val="sr-Latn-ME"/>
        </w:rPr>
        <w:t xml:space="preserve">. </w:t>
      </w:r>
      <w:proofErr w:type="spellStart"/>
      <w:r w:rsidRPr="00285CEF">
        <w:rPr>
          <w:b/>
          <w:i/>
          <w:sz w:val="22"/>
          <w:szCs w:val="22"/>
          <w:lang w:val="sr-Latn-ME"/>
        </w:rPr>
        <w:t>Intent</w:t>
      </w:r>
      <w:proofErr w:type="spellEnd"/>
      <w:r w:rsidRPr="00285CEF">
        <w:rPr>
          <w:b/>
          <w:i/>
          <w:sz w:val="22"/>
          <w:szCs w:val="22"/>
          <w:lang w:val="sr-Latn-ME"/>
        </w:rPr>
        <w:t xml:space="preserve"> to </w:t>
      </w:r>
      <w:proofErr w:type="spellStart"/>
      <w:r w:rsidRPr="00285CEF">
        <w:rPr>
          <w:b/>
          <w:i/>
          <w:sz w:val="22"/>
          <w:szCs w:val="22"/>
          <w:lang w:val="sr-Latn-ME"/>
        </w:rPr>
        <w:t>treat</w:t>
      </w:r>
      <w:proofErr w:type="spellEnd"/>
      <w:r w:rsidRPr="00285CEF">
        <w:rPr>
          <w:b/>
          <w:sz w:val="22"/>
          <w:szCs w:val="22"/>
          <w:lang w:val="sr-Latn-ME"/>
        </w:rPr>
        <w:t>) (podaci prikupljeni do 28. avgusta 2015.)</w:t>
      </w:r>
    </w:p>
    <w:p w:rsidR="0013132D" w:rsidRPr="00285CEF" w:rsidRDefault="0013132D" w:rsidP="001313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3132D" w:rsidRPr="00285CEF" w:rsidRDefault="0013132D" w:rsidP="001313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noProof/>
          <w:sz w:val="22"/>
          <w:szCs w:val="22"/>
        </w:rPr>
        <w:lastRenderedPageBreak/>
        <w:drawing>
          <wp:inline distT="0" distB="0" distL="0" distR="0" wp14:anchorId="3880FDCC" wp14:editId="47955F11">
            <wp:extent cx="5768975" cy="3642277"/>
            <wp:effectExtent l="0" t="0" r="3175" b="0"/>
            <wp:docPr id="5" name="Picture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64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32D" w:rsidRPr="00285CEF" w:rsidRDefault="0013132D" w:rsidP="001313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Opšti zdravstveni status / kvalitet života vezan uz zdravlje koje su prijavljivali pacijenti određivali su se na osnovu upitnika za procjenu kvaliteta života EORTC – </w:t>
      </w:r>
      <w:proofErr w:type="spellStart"/>
      <w:r w:rsidRPr="00285CEF">
        <w:rPr>
          <w:bCs/>
          <w:sz w:val="22"/>
          <w:szCs w:val="22"/>
          <w:lang w:val="sr-Latn-ME"/>
        </w:rPr>
        <w:t>Core</w:t>
      </w:r>
      <w:proofErr w:type="spellEnd"/>
      <w:r w:rsidRPr="00285CEF">
        <w:rPr>
          <w:bCs/>
          <w:sz w:val="22"/>
          <w:szCs w:val="22"/>
          <w:lang w:val="sr-Latn-ME"/>
        </w:rPr>
        <w:t xml:space="preserve"> 30 (QLQ-C30). Rezultati </w:t>
      </w:r>
      <w:r w:rsidR="00972E52" w:rsidRPr="00285CEF">
        <w:rPr>
          <w:bCs/>
          <w:sz w:val="22"/>
          <w:szCs w:val="22"/>
          <w:lang w:val="sr-Latn-ME"/>
        </w:rPr>
        <w:t xml:space="preserve">za </w:t>
      </w:r>
      <w:r w:rsidRPr="00285CEF">
        <w:rPr>
          <w:bCs/>
          <w:sz w:val="22"/>
          <w:szCs w:val="22"/>
          <w:lang w:val="sr-Latn-ME"/>
        </w:rPr>
        <w:t xml:space="preserve">sve domene funkcionisanja i većinu simptoma (gubitak apetita, konstipacija, mučnina i povraćanje, </w:t>
      </w:r>
      <w:proofErr w:type="spellStart"/>
      <w:r w:rsidRPr="00285CEF">
        <w:rPr>
          <w:bCs/>
          <w:sz w:val="22"/>
          <w:szCs w:val="22"/>
          <w:lang w:val="sr-Latn-ME"/>
        </w:rPr>
        <w:t>dispneja</w:t>
      </w:r>
      <w:proofErr w:type="spellEnd"/>
      <w:r w:rsidRPr="00285CEF">
        <w:rPr>
          <w:bCs/>
          <w:sz w:val="22"/>
          <w:szCs w:val="22"/>
          <w:lang w:val="sr-Latn-ME"/>
        </w:rPr>
        <w:t>, bol, umor) pokazali su da je srednja vrijednost promjene od početnih vrijednosti bila slična u obje liječene grupe i nijesu pokazali klinički značajnu promjenu (kod svih rezultata razlika je u odnosu na početnu vrijednost bila  ≤ 10 bodova).</w:t>
      </w:r>
    </w:p>
    <w:p w:rsidR="0013132D" w:rsidRPr="00285CEF" w:rsidRDefault="0013132D" w:rsidP="004812D1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8D0ED5">
      <w:pPr>
        <w:tabs>
          <w:tab w:val="left" w:pos="284"/>
          <w:tab w:val="center" w:pos="4320"/>
          <w:tab w:val="right" w:pos="8640"/>
        </w:tabs>
        <w:jc w:val="both"/>
        <w:rPr>
          <w:bCs/>
          <w:i/>
          <w:sz w:val="22"/>
          <w:szCs w:val="22"/>
          <w:lang w:val="sr-Latn-ME"/>
        </w:rPr>
      </w:pPr>
      <w:r w:rsidRPr="00285CEF">
        <w:rPr>
          <w:bCs/>
          <w:i/>
          <w:sz w:val="22"/>
          <w:szCs w:val="22"/>
          <w:lang w:val="sr-Latn-ME"/>
        </w:rPr>
        <w:t>Studija  NO25395 (BRIM7)</w:t>
      </w:r>
    </w:p>
    <w:p w:rsidR="0013132D" w:rsidRPr="00285CEF" w:rsidRDefault="0013132D" w:rsidP="00CC3B0C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B724B9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Efikasnost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ocjenjivana je u studiji faze Ib, NO25395, koja je bila dizajnirana da ocijeni bezbjednost, </w:t>
      </w:r>
      <w:proofErr w:type="spellStart"/>
      <w:r w:rsidRPr="00285CEF">
        <w:rPr>
          <w:bCs/>
          <w:sz w:val="22"/>
          <w:szCs w:val="22"/>
          <w:lang w:val="sr-Latn-ME"/>
        </w:rPr>
        <w:t>podnošljivost</w:t>
      </w:r>
      <w:proofErr w:type="spellEnd"/>
      <w:r w:rsidRPr="00285CEF">
        <w:rPr>
          <w:bCs/>
          <w:sz w:val="22"/>
          <w:szCs w:val="22"/>
          <w:lang w:val="sr-Latn-ME"/>
        </w:rPr>
        <w:t xml:space="preserve">, </w:t>
      </w:r>
      <w:proofErr w:type="spellStart"/>
      <w:r w:rsidRPr="00285CEF">
        <w:rPr>
          <w:bCs/>
          <w:sz w:val="22"/>
          <w:szCs w:val="22"/>
          <w:lang w:val="sr-Latn-ME"/>
        </w:rPr>
        <w:t>farmakokinetiku</w:t>
      </w:r>
      <w:proofErr w:type="spellEnd"/>
      <w:r w:rsidRPr="00285CEF">
        <w:rPr>
          <w:bCs/>
          <w:sz w:val="22"/>
          <w:szCs w:val="22"/>
          <w:lang w:val="sr-Latn-ME"/>
        </w:rPr>
        <w:t xml:space="preserve"> i efikasnost lijeka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kao dodatka </w:t>
      </w:r>
      <w:proofErr w:type="spellStart"/>
      <w:r w:rsidRPr="00285CEF">
        <w:rPr>
          <w:bCs/>
          <w:sz w:val="22"/>
          <w:szCs w:val="22"/>
          <w:lang w:val="sr-Latn-ME"/>
        </w:rPr>
        <w:t>vemurafenibu</w:t>
      </w:r>
      <w:proofErr w:type="spellEnd"/>
      <w:r w:rsidRPr="00285CEF">
        <w:rPr>
          <w:bCs/>
          <w:sz w:val="22"/>
          <w:szCs w:val="22"/>
          <w:lang w:val="sr-Latn-ME"/>
        </w:rPr>
        <w:t xml:space="preserve"> u liječenju pacijenata sa </w:t>
      </w:r>
      <w:proofErr w:type="spellStart"/>
      <w:r w:rsidRPr="00285CEF">
        <w:rPr>
          <w:bCs/>
          <w:sz w:val="22"/>
          <w:szCs w:val="22"/>
          <w:lang w:val="sr-Latn-ME"/>
        </w:rPr>
        <w:t>neoperabilnim</w:t>
      </w:r>
      <w:proofErr w:type="spellEnd"/>
      <w:r w:rsidRPr="00285CEF">
        <w:rPr>
          <w:bCs/>
          <w:sz w:val="22"/>
          <w:szCs w:val="22"/>
          <w:lang w:val="sr-Latn-ME"/>
        </w:rPr>
        <w:t xml:space="preserve"> ili </w:t>
      </w:r>
      <w:proofErr w:type="spellStart"/>
      <w:r w:rsidRPr="00285CEF">
        <w:rPr>
          <w:bCs/>
          <w:sz w:val="22"/>
          <w:szCs w:val="22"/>
          <w:lang w:val="sr-Latn-ME"/>
        </w:rPr>
        <w:t>metastatskim</w:t>
      </w:r>
      <w:proofErr w:type="spellEnd"/>
      <w:r w:rsidRPr="00285CEF">
        <w:rPr>
          <w:bCs/>
          <w:sz w:val="22"/>
          <w:szCs w:val="22"/>
          <w:lang w:val="sr-Latn-ME"/>
        </w:rPr>
        <w:t xml:space="preserve"> </w:t>
      </w:r>
      <w:proofErr w:type="spellStart"/>
      <w:r w:rsidRPr="00285CEF">
        <w:rPr>
          <w:bCs/>
          <w:sz w:val="22"/>
          <w:szCs w:val="22"/>
          <w:lang w:val="sr-Latn-ME"/>
        </w:rPr>
        <w:t>melanomom</w:t>
      </w:r>
      <w:proofErr w:type="spellEnd"/>
      <w:r w:rsidRPr="00285CEF">
        <w:rPr>
          <w:bCs/>
          <w:sz w:val="22"/>
          <w:szCs w:val="22"/>
          <w:lang w:val="sr-Latn-ME"/>
        </w:rPr>
        <w:t xml:space="preserve"> pozitivnim na mutaciju BRAF V600 (koja je potvrđena testom </w:t>
      </w:r>
      <w:proofErr w:type="spellStart"/>
      <w:r w:rsidRPr="00285CEF">
        <w:rPr>
          <w:bCs/>
          <w:sz w:val="22"/>
          <w:szCs w:val="22"/>
          <w:lang w:val="sr-Latn-ME"/>
        </w:rPr>
        <w:t>cobas</w:t>
      </w:r>
      <w:proofErr w:type="spellEnd"/>
      <w:r w:rsidRPr="00285CEF">
        <w:rPr>
          <w:sz w:val="22"/>
          <w:szCs w:val="22"/>
          <w:vertAlign w:val="superscript"/>
          <w:lang w:val="sr-Latn-ME"/>
        </w:rPr>
        <w:t>®</w:t>
      </w:r>
      <w:r w:rsidRPr="00285CEF">
        <w:rPr>
          <w:bCs/>
          <w:sz w:val="22"/>
          <w:szCs w:val="22"/>
          <w:lang w:val="sr-Latn-ME"/>
        </w:rPr>
        <w:t xml:space="preserve"> 4800 BRAF V600 </w:t>
      </w:r>
      <w:proofErr w:type="spellStart"/>
      <w:r w:rsidRPr="00285CEF">
        <w:rPr>
          <w:bCs/>
          <w:sz w:val="22"/>
          <w:szCs w:val="22"/>
          <w:lang w:val="sr-Latn-ME"/>
        </w:rPr>
        <w:t>Mutation</w:t>
      </w:r>
      <w:proofErr w:type="spellEnd"/>
      <w:r w:rsidRPr="00285CEF">
        <w:rPr>
          <w:bCs/>
          <w:sz w:val="22"/>
          <w:szCs w:val="22"/>
          <w:lang w:val="sr-Latn-ME"/>
        </w:rPr>
        <w:t xml:space="preserve"> Test). </w:t>
      </w:r>
    </w:p>
    <w:p w:rsidR="0013132D" w:rsidRPr="00285CEF" w:rsidRDefault="0013132D" w:rsidP="00F304F3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DA6C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U toj je studiji 129 pacijenata liječeno lijekom </w:t>
      </w:r>
      <w:proofErr w:type="spellStart"/>
      <w:r w:rsidRPr="00285CEF">
        <w:rPr>
          <w:bCs/>
          <w:sz w:val="22"/>
          <w:szCs w:val="22"/>
          <w:lang w:val="sr-Latn-ME"/>
        </w:rPr>
        <w:t>Cotellic</w:t>
      </w:r>
      <w:proofErr w:type="spellEnd"/>
      <w:r w:rsidRPr="00285CEF">
        <w:rPr>
          <w:bCs/>
          <w:sz w:val="22"/>
          <w:szCs w:val="22"/>
          <w:lang w:val="sr-Latn-ME"/>
        </w:rPr>
        <w:t xml:space="preserve"> i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: 63 pacijenta prethodno nijesu primala terapiju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, dok je 66 pacijenata doživjelo progresiju bolesti tokom prethodne terapije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. Među 63 pacijenta koji se prethodno nijesu liječili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, njih 20 je prethodno primalo sistemsku terapiju za uznapredovali </w:t>
      </w:r>
      <w:proofErr w:type="spellStart"/>
      <w:r w:rsidRPr="00285CEF">
        <w:rPr>
          <w:bCs/>
          <w:sz w:val="22"/>
          <w:szCs w:val="22"/>
          <w:lang w:val="sr-Latn-ME"/>
        </w:rPr>
        <w:t>melanom</w:t>
      </w:r>
      <w:proofErr w:type="spellEnd"/>
      <w:r w:rsidRPr="00285CEF">
        <w:rPr>
          <w:bCs/>
          <w:sz w:val="22"/>
          <w:szCs w:val="22"/>
          <w:lang w:val="sr-Latn-ME"/>
        </w:rPr>
        <w:t xml:space="preserve">, koja je u većini slučajeva (80%) bila </w:t>
      </w:r>
      <w:proofErr w:type="spellStart"/>
      <w:r w:rsidRPr="00285CEF">
        <w:rPr>
          <w:bCs/>
          <w:sz w:val="22"/>
          <w:szCs w:val="22"/>
          <w:lang w:val="sr-Latn-ME"/>
        </w:rPr>
        <w:t>imunoterapija</w:t>
      </w:r>
      <w:proofErr w:type="spellEnd"/>
      <w:r w:rsidRPr="00285CEF">
        <w:rPr>
          <w:bCs/>
          <w:sz w:val="22"/>
          <w:szCs w:val="22"/>
          <w:lang w:val="sr-Latn-ME"/>
        </w:rPr>
        <w:t>.</w:t>
      </w:r>
    </w:p>
    <w:p w:rsidR="0013132D" w:rsidRPr="00285CEF" w:rsidRDefault="0013132D" w:rsidP="00DA6C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  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Rezultati u populaciji koja prethodno nije bila liječena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ostvareni u studiji NO25395 u načelu su bili u skladu s onima viđenima u studiji GO28141. Pacijenti koji se prethodno nijesu liječili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(n = 63) ostvarili su stepen objektivnog odgovora od 87%, a 16% njih ostvarilo je potpun odgovor.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trajanja odgovora iznosila je 14,3 mjeseci. </w:t>
      </w: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PFS-a kod pacijenata koji se prethodno nijesu liječili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iznosila je 13,8 mjeseci, uz </w:t>
      </w:r>
      <w:proofErr w:type="spellStart"/>
      <w:r w:rsidRPr="00285CEF">
        <w:rPr>
          <w:bCs/>
          <w:sz w:val="22"/>
          <w:szCs w:val="22"/>
          <w:lang w:val="sr-Latn-ME"/>
        </w:rPr>
        <w:t>medijanu</w:t>
      </w:r>
      <w:proofErr w:type="spellEnd"/>
      <w:r w:rsidRPr="00285CEF">
        <w:rPr>
          <w:bCs/>
          <w:sz w:val="22"/>
          <w:szCs w:val="22"/>
          <w:lang w:val="sr-Latn-ME"/>
        </w:rPr>
        <w:t xml:space="preserve"> praćenja od 20,6 mjeseci.</w:t>
      </w:r>
    </w:p>
    <w:p w:rsidR="0013132D" w:rsidRPr="00285CEF" w:rsidRDefault="0013132D" w:rsidP="004812D1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8D0ED5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Među pacijentima koji su doživjeli progresiju bolesti tokom liječenja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(n = 66), stopa objektivnog odgovora iznosila je 15%. </w:t>
      </w: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trajanja odgovora iznosila je 6,8 mjeseci. </w:t>
      </w: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PFS-a kod pacijenata koji su doživjeli progresiju bolesti tokom liječenja </w:t>
      </w:r>
      <w:proofErr w:type="spellStart"/>
      <w:r w:rsidRPr="00285CEF">
        <w:rPr>
          <w:bCs/>
          <w:sz w:val="22"/>
          <w:szCs w:val="22"/>
          <w:lang w:val="sr-Latn-ME"/>
        </w:rPr>
        <w:t>vemurafenibom</w:t>
      </w:r>
      <w:proofErr w:type="spellEnd"/>
      <w:r w:rsidRPr="00285CEF">
        <w:rPr>
          <w:bCs/>
          <w:sz w:val="22"/>
          <w:szCs w:val="22"/>
          <w:lang w:val="sr-Latn-ME"/>
        </w:rPr>
        <w:t xml:space="preserve"> iznosila je 2,8 mjeseci</w:t>
      </w:r>
      <w:r w:rsidRPr="00285CEF">
        <w:rPr>
          <w:sz w:val="22"/>
          <w:szCs w:val="22"/>
          <w:lang w:val="sr-Latn-ME"/>
        </w:rPr>
        <w:t xml:space="preserve"> </w:t>
      </w:r>
      <w:r w:rsidRPr="00285CEF">
        <w:rPr>
          <w:bCs/>
          <w:sz w:val="22"/>
          <w:szCs w:val="22"/>
          <w:lang w:val="sr-Latn-ME"/>
        </w:rPr>
        <w:t xml:space="preserve">uz </w:t>
      </w:r>
      <w:proofErr w:type="spellStart"/>
      <w:r w:rsidRPr="00285CEF">
        <w:rPr>
          <w:bCs/>
          <w:sz w:val="22"/>
          <w:szCs w:val="22"/>
          <w:lang w:val="sr-Latn-ME"/>
        </w:rPr>
        <w:t>medijanu</w:t>
      </w:r>
      <w:proofErr w:type="spellEnd"/>
      <w:r w:rsidRPr="00285CEF">
        <w:rPr>
          <w:bCs/>
          <w:sz w:val="22"/>
          <w:szCs w:val="22"/>
          <w:lang w:val="sr-Latn-ME"/>
        </w:rPr>
        <w:t xml:space="preserve"> praćenja od 8,1 mjesec. </w:t>
      </w:r>
    </w:p>
    <w:p w:rsidR="0013132D" w:rsidRPr="00285CEF" w:rsidRDefault="0013132D" w:rsidP="00CC3B0C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CC3B0C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85CEF">
        <w:rPr>
          <w:bCs/>
          <w:sz w:val="22"/>
          <w:szCs w:val="22"/>
          <w:lang w:val="sr-Latn-ME"/>
        </w:rPr>
        <w:lastRenderedPageBreak/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ukupnog preživljavanja kod pacijenata koji se prethodno nijesu liječili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iznosila je 28,5 mjeseci (95% CI: 23,3-34,6). </w:t>
      </w:r>
      <w:proofErr w:type="spellStart"/>
      <w:r w:rsidRPr="00285CEF">
        <w:rPr>
          <w:bCs/>
          <w:sz w:val="22"/>
          <w:szCs w:val="22"/>
          <w:lang w:val="sr-Latn-ME"/>
        </w:rPr>
        <w:t>Medijana</w:t>
      </w:r>
      <w:proofErr w:type="spellEnd"/>
      <w:r w:rsidRPr="00285CEF">
        <w:rPr>
          <w:bCs/>
          <w:sz w:val="22"/>
          <w:szCs w:val="22"/>
          <w:lang w:val="sr-Latn-ME"/>
        </w:rPr>
        <w:t xml:space="preserve"> ukupnog preživljavanja kod pacijenata koji su doživjeli progresiju bolesti za vrijeme terapije BRAF </w:t>
      </w:r>
      <w:proofErr w:type="spellStart"/>
      <w:r w:rsidRPr="00285CEF">
        <w:rPr>
          <w:bCs/>
          <w:sz w:val="22"/>
          <w:szCs w:val="22"/>
          <w:lang w:val="sr-Latn-ME"/>
        </w:rPr>
        <w:t>inhibitorom</w:t>
      </w:r>
      <w:proofErr w:type="spellEnd"/>
      <w:r w:rsidRPr="00285CEF">
        <w:rPr>
          <w:bCs/>
          <w:sz w:val="22"/>
          <w:szCs w:val="22"/>
          <w:lang w:val="sr-Latn-ME"/>
        </w:rPr>
        <w:t xml:space="preserve"> iznosila je 8,4 mjeseca (95% CI: 6,7-11,1).</w:t>
      </w:r>
    </w:p>
    <w:p w:rsidR="0013132D" w:rsidRPr="00285CEF" w:rsidRDefault="0013132D" w:rsidP="00333773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F304F3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u w:val="single"/>
          <w:lang w:val="sr-Latn-ME"/>
        </w:rPr>
      </w:pPr>
      <w:r w:rsidRPr="00285CEF">
        <w:rPr>
          <w:bCs/>
          <w:sz w:val="22"/>
          <w:szCs w:val="22"/>
          <w:u w:val="single"/>
          <w:lang w:val="sr-Latn-ME"/>
        </w:rPr>
        <w:t xml:space="preserve">Pedijatrijska populacija  </w:t>
      </w:r>
    </w:p>
    <w:p w:rsidR="0013132D" w:rsidRPr="00285CEF" w:rsidRDefault="0013132D" w:rsidP="00DA6C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:rsidR="00821CE8" w:rsidRPr="00285CEF" w:rsidRDefault="00821CE8" w:rsidP="00DA6C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Sprovedeno je </w:t>
      </w:r>
      <w:proofErr w:type="spellStart"/>
      <w:r w:rsidRPr="00285CEF">
        <w:rPr>
          <w:sz w:val="22"/>
          <w:szCs w:val="22"/>
          <w:lang w:val="sr-Latn-ME"/>
        </w:rPr>
        <w:t>multicentrično</w:t>
      </w:r>
      <w:proofErr w:type="spellEnd"/>
      <w:r w:rsidRPr="00285CEF">
        <w:rPr>
          <w:sz w:val="22"/>
          <w:szCs w:val="22"/>
          <w:lang w:val="sr-Latn-ME"/>
        </w:rPr>
        <w:t xml:space="preserve">, otvoreno ispitivanje faze I/II sa </w:t>
      </w:r>
      <w:proofErr w:type="spellStart"/>
      <w:r w:rsidRPr="00285CEF">
        <w:rPr>
          <w:sz w:val="22"/>
          <w:szCs w:val="22"/>
          <w:lang w:val="sr-Latn-ME"/>
        </w:rPr>
        <w:t>postepenim</w:t>
      </w:r>
      <w:proofErr w:type="spellEnd"/>
      <w:r w:rsidRPr="00285CEF">
        <w:rPr>
          <w:sz w:val="22"/>
          <w:szCs w:val="22"/>
          <w:lang w:val="sr-Latn-ME"/>
        </w:rPr>
        <w:t xml:space="preserve"> povećavanjem doze kod pedijatrijskih pacijenata (&lt; 18 godina, n=55) radi procjene bezbjednosti, efikasnosti i </w:t>
      </w:r>
      <w:proofErr w:type="spellStart"/>
      <w:r w:rsidRPr="00285CEF">
        <w:rPr>
          <w:sz w:val="22"/>
          <w:szCs w:val="22"/>
          <w:lang w:val="sr-Latn-ME"/>
        </w:rPr>
        <w:t>farmakokinetike</w:t>
      </w:r>
      <w:proofErr w:type="spellEnd"/>
      <w:r w:rsidRPr="00285CEF">
        <w:rPr>
          <w:sz w:val="22"/>
          <w:szCs w:val="22"/>
          <w:lang w:val="sr-Latn-ME"/>
        </w:rPr>
        <w:t xml:space="preserve">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. U ispitivanje su bili uključeni pedijatrijski pacijenti sa solidnim tumorima i potvrđenom ili mogućom </w:t>
      </w:r>
      <w:proofErr w:type="spellStart"/>
      <w:r w:rsidRPr="00285CEF">
        <w:rPr>
          <w:sz w:val="22"/>
          <w:szCs w:val="22"/>
          <w:lang w:val="sr-Latn-ME"/>
        </w:rPr>
        <w:t>aktivacijom</w:t>
      </w:r>
      <w:proofErr w:type="spellEnd"/>
      <w:r w:rsidRPr="00285CEF">
        <w:rPr>
          <w:sz w:val="22"/>
          <w:szCs w:val="22"/>
          <w:lang w:val="sr-Latn-ME"/>
        </w:rPr>
        <w:t xml:space="preserve"> signalnog puta RAS/RAF/MEK/ERK za koje standardna terapija dokazano nije bila </w:t>
      </w:r>
      <w:r w:rsidR="00F07A45" w:rsidRPr="00285CEF">
        <w:rPr>
          <w:sz w:val="22"/>
          <w:szCs w:val="22"/>
          <w:lang w:val="sr-Latn-ME"/>
        </w:rPr>
        <w:t xml:space="preserve">efikasna </w:t>
      </w:r>
      <w:r w:rsidRPr="00285CEF">
        <w:rPr>
          <w:sz w:val="22"/>
          <w:szCs w:val="22"/>
          <w:lang w:val="sr-Latn-ME"/>
        </w:rPr>
        <w:t xml:space="preserve">ili </w:t>
      </w:r>
      <w:r w:rsidR="00F07A45" w:rsidRPr="00285CEF">
        <w:rPr>
          <w:sz w:val="22"/>
          <w:szCs w:val="22"/>
          <w:lang w:val="sr-Latn-ME"/>
        </w:rPr>
        <w:t xml:space="preserve">da </w:t>
      </w:r>
      <w:r w:rsidRPr="00285CEF">
        <w:rPr>
          <w:sz w:val="22"/>
          <w:szCs w:val="22"/>
          <w:lang w:val="sr-Latn-ME"/>
        </w:rPr>
        <w:t xml:space="preserve">je ne podnose ili za koje ne postoje standardne </w:t>
      </w:r>
      <w:proofErr w:type="spellStart"/>
      <w:r w:rsidRPr="00285CEF">
        <w:rPr>
          <w:sz w:val="22"/>
          <w:szCs w:val="22"/>
          <w:lang w:val="sr-Latn-ME"/>
        </w:rPr>
        <w:t>kurativne</w:t>
      </w:r>
      <w:proofErr w:type="spellEnd"/>
      <w:r w:rsidRPr="00285CEF">
        <w:rPr>
          <w:sz w:val="22"/>
          <w:szCs w:val="22"/>
          <w:lang w:val="sr-Latn-ME"/>
        </w:rPr>
        <w:t xml:space="preserve"> opcije liječenja. Pacijenti su primali lijek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u </w:t>
      </w:r>
      <w:proofErr w:type="spellStart"/>
      <w:r w:rsidRPr="00285CEF">
        <w:rPr>
          <w:sz w:val="22"/>
          <w:szCs w:val="22"/>
          <w:lang w:val="sr-Latn-ME"/>
        </w:rPr>
        <w:t>peroralnoj</w:t>
      </w:r>
      <w:proofErr w:type="spellEnd"/>
      <w:r w:rsidRPr="00285CEF">
        <w:rPr>
          <w:sz w:val="22"/>
          <w:szCs w:val="22"/>
          <w:lang w:val="sr-Latn-ME"/>
        </w:rPr>
        <w:t xml:space="preserve"> dozi do 60 mg jednom dnevno od 1. do 21. dana svakog 28-dnevnog ciklusa. Stopa ukupnog odgovora bila je niska, uz samo 2 d</w:t>
      </w:r>
      <w:r w:rsidR="002F479D" w:rsidRPr="00285CEF">
        <w:rPr>
          <w:sz w:val="22"/>
          <w:szCs w:val="22"/>
          <w:lang w:val="sr-Latn-ME"/>
        </w:rPr>
        <w:t>j</w:t>
      </w:r>
      <w:r w:rsidRPr="00285CEF">
        <w:rPr>
          <w:sz w:val="22"/>
          <w:szCs w:val="22"/>
          <w:lang w:val="sr-Latn-ME"/>
        </w:rPr>
        <w:t>elimična odgovora (3,6%).</w:t>
      </w:r>
    </w:p>
    <w:p w:rsidR="00821CE8" w:rsidRPr="00285CEF" w:rsidRDefault="00821CE8" w:rsidP="00DA6C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5.2.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proofErr w:type="spellStart"/>
      <w:r w:rsidRPr="00285CEF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285CEF">
        <w:rPr>
          <w:b/>
          <w:bCs/>
          <w:sz w:val="22"/>
          <w:szCs w:val="22"/>
          <w:lang w:val="sr-Latn-ME"/>
        </w:rPr>
        <w:t xml:space="preserve"> podaci</w:t>
      </w:r>
      <w:r w:rsidR="003A7059" w:rsidRPr="00285CEF">
        <w:rPr>
          <w:b/>
          <w:bCs/>
          <w:sz w:val="22"/>
          <w:szCs w:val="22"/>
          <w:lang w:val="sr-Latn-ME"/>
        </w:rPr>
        <w:t xml:space="preserve"> 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Resorpcija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8D0ED5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Nakon </w:t>
      </w:r>
      <w:proofErr w:type="spellStart"/>
      <w:r w:rsidRPr="00285CEF">
        <w:rPr>
          <w:sz w:val="22"/>
          <w:szCs w:val="22"/>
          <w:lang w:val="sr-Latn-ME"/>
        </w:rPr>
        <w:t>peroralne</w:t>
      </w:r>
      <w:proofErr w:type="spellEnd"/>
      <w:r w:rsidRPr="00285CEF">
        <w:rPr>
          <w:sz w:val="22"/>
          <w:szCs w:val="22"/>
          <w:lang w:val="sr-Latn-ME"/>
        </w:rPr>
        <w:t xml:space="preserve"> primjene doze od 60 mg kod pacijenata </w:t>
      </w:r>
      <w:proofErr w:type="spellStart"/>
      <w:r w:rsidRPr="00285CEF">
        <w:rPr>
          <w:sz w:val="22"/>
          <w:szCs w:val="22"/>
          <w:lang w:val="sr-Latn-ME"/>
        </w:rPr>
        <w:t>oboljelih</w:t>
      </w:r>
      <w:proofErr w:type="spellEnd"/>
      <w:r w:rsidRPr="00285CEF">
        <w:rPr>
          <w:sz w:val="22"/>
          <w:szCs w:val="22"/>
          <w:lang w:val="sr-Latn-ME"/>
        </w:rPr>
        <w:t xml:space="preserve"> od </w:t>
      </w:r>
      <w:proofErr w:type="spellStart"/>
      <w:r w:rsidRPr="00285CEF">
        <w:rPr>
          <w:sz w:val="22"/>
          <w:szCs w:val="22"/>
          <w:lang w:val="sr-Latn-ME"/>
        </w:rPr>
        <w:t>karcinoma</w:t>
      </w:r>
      <w:proofErr w:type="spellEnd"/>
      <w:r w:rsidRPr="00285CEF">
        <w:rPr>
          <w:sz w:val="22"/>
          <w:szCs w:val="22"/>
          <w:lang w:val="sr-Latn-ME"/>
        </w:rPr>
        <w:t xml:space="preserve">,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je pokazao umjerenu brzinu resorpcije, uz </w:t>
      </w:r>
      <w:proofErr w:type="spellStart"/>
      <w:r w:rsidRPr="00285CEF">
        <w:rPr>
          <w:sz w:val="22"/>
          <w:szCs w:val="22"/>
          <w:lang w:val="sr-Latn-ME"/>
        </w:rPr>
        <w:t>medijanu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T</w:t>
      </w:r>
      <w:r w:rsidRPr="00285CEF">
        <w:rPr>
          <w:sz w:val="22"/>
          <w:szCs w:val="22"/>
          <w:vertAlign w:val="subscript"/>
          <w:lang w:val="sr-Latn-ME"/>
        </w:rPr>
        <w:t>max</w:t>
      </w:r>
      <w:proofErr w:type="spellEnd"/>
      <w:r w:rsidRPr="00285CEF">
        <w:rPr>
          <w:sz w:val="22"/>
          <w:szCs w:val="22"/>
          <w:vertAlign w:val="subscript"/>
          <w:lang w:val="sr-Latn-ME"/>
        </w:rPr>
        <w:t xml:space="preserve"> </w:t>
      </w:r>
      <w:r w:rsidRPr="00285CEF">
        <w:rPr>
          <w:sz w:val="22"/>
          <w:szCs w:val="22"/>
          <w:lang w:val="sr-Latn-ME"/>
        </w:rPr>
        <w:t xml:space="preserve">od 2,4 sata. Srednja vrijednost </w:t>
      </w:r>
      <w:proofErr w:type="spellStart"/>
      <w:r w:rsidRPr="00285CEF">
        <w:rPr>
          <w:sz w:val="22"/>
          <w:szCs w:val="22"/>
          <w:lang w:val="sr-Latn-ME"/>
        </w:rPr>
        <w:t>C</w:t>
      </w:r>
      <w:r w:rsidRPr="00285CEF">
        <w:rPr>
          <w:sz w:val="22"/>
          <w:szCs w:val="22"/>
          <w:vertAlign w:val="subscript"/>
          <w:lang w:val="sr-Latn-ME"/>
        </w:rPr>
        <w:t>max</w:t>
      </w:r>
      <w:proofErr w:type="spellEnd"/>
      <w:r w:rsidRPr="00285CEF">
        <w:rPr>
          <w:sz w:val="22"/>
          <w:szCs w:val="22"/>
          <w:lang w:val="sr-Latn-ME"/>
        </w:rPr>
        <w:t xml:space="preserve"> i </w:t>
      </w:r>
      <w:r w:rsidR="00F07A45" w:rsidRPr="00285CEF">
        <w:rPr>
          <w:sz w:val="22"/>
          <w:szCs w:val="22"/>
          <w:lang w:val="sr-Latn-ME"/>
        </w:rPr>
        <w:t>PIK</w:t>
      </w:r>
      <w:r w:rsidR="00F07A45" w:rsidRPr="00285CEF">
        <w:rPr>
          <w:sz w:val="22"/>
          <w:szCs w:val="22"/>
          <w:vertAlign w:val="subscript"/>
          <w:lang w:val="sr-Latn-ME"/>
        </w:rPr>
        <w:t>0</w:t>
      </w:r>
      <w:r w:rsidRPr="00285CEF">
        <w:rPr>
          <w:sz w:val="22"/>
          <w:szCs w:val="22"/>
          <w:vertAlign w:val="subscript"/>
          <w:lang w:val="sr-Latn-ME"/>
        </w:rPr>
        <w:t xml:space="preserve">-24 </w:t>
      </w:r>
      <w:r w:rsidRPr="00285CEF">
        <w:rPr>
          <w:sz w:val="22"/>
          <w:szCs w:val="22"/>
          <w:lang w:val="sr-Latn-ME"/>
        </w:rPr>
        <w:t xml:space="preserve">u stanju ravnoteže iznosila je 273 </w:t>
      </w:r>
      <w:proofErr w:type="spellStart"/>
      <w:r w:rsidRPr="00285CEF">
        <w:rPr>
          <w:sz w:val="22"/>
          <w:szCs w:val="22"/>
          <w:lang w:val="sr-Latn-ME"/>
        </w:rPr>
        <w:t>ng</w:t>
      </w:r>
      <w:proofErr w:type="spellEnd"/>
      <w:r w:rsidRPr="00285CEF">
        <w:rPr>
          <w:sz w:val="22"/>
          <w:szCs w:val="22"/>
          <w:lang w:val="sr-Latn-ME"/>
        </w:rPr>
        <w:t xml:space="preserve">/ml odnosno 4340 </w:t>
      </w:r>
      <w:proofErr w:type="spellStart"/>
      <w:r w:rsidRPr="00285CEF">
        <w:rPr>
          <w:sz w:val="22"/>
          <w:szCs w:val="22"/>
          <w:lang w:val="sr-Latn-ME"/>
        </w:rPr>
        <w:t>ng.h</w:t>
      </w:r>
      <w:proofErr w:type="spellEnd"/>
      <w:r w:rsidRPr="00285CEF">
        <w:rPr>
          <w:sz w:val="22"/>
          <w:szCs w:val="22"/>
          <w:lang w:val="sr-Latn-ME"/>
        </w:rPr>
        <w:t>/ml. Srednja vrijednost odnosa kumulacije u stanju dinamičke ravnoteže iznosila je približno 2,4 puta.</w:t>
      </w:r>
    </w:p>
    <w:p w:rsidR="0013132D" w:rsidRPr="00285CEF" w:rsidRDefault="0013132D" w:rsidP="00CC3B0C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ima linearnu </w:t>
      </w:r>
      <w:proofErr w:type="spellStart"/>
      <w:r w:rsidRPr="00285CEF">
        <w:rPr>
          <w:sz w:val="22"/>
          <w:szCs w:val="22"/>
          <w:lang w:val="sr-Latn-ME"/>
        </w:rPr>
        <w:t>farmakokinetiku</w:t>
      </w:r>
      <w:proofErr w:type="spellEnd"/>
      <w:r w:rsidRPr="00285CEF">
        <w:rPr>
          <w:sz w:val="22"/>
          <w:szCs w:val="22"/>
          <w:lang w:val="sr-Latn-ME"/>
        </w:rPr>
        <w:t xml:space="preserve"> u rasponu doza od ~3,5 mg do 100 mg.</w:t>
      </w:r>
    </w:p>
    <w:p w:rsidR="0013132D" w:rsidRPr="00285CEF" w:rsidRDefault="0013132D" w:rsidP="00B724B9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F304F3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Apsolutna </w:t>
      </w:r>
      <w:proofErr w:type="spellStart"/>
      <w:r w:rsidRPr="00285CEF">
        <w:rPr>
          <w:sz w:val="22"/>
          <w:szCs w:val="22"/>
          <w:lang w:val="sr-Latn-ME"/>
        </w:rPr>
        <w:t>bioraspoloživost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iznosila je 45,9% (90% CI: 39,7%; 53,1%) kod zdravih ispitanika. Ispitivanje </w:t>
      </w:r>
      <w:proofErr w:type="spellStart"/>
      <w:r w:rsidRPr="00285CEF">
        <w:rPr>
          <w:sz w:val="22"/>
          <w:szCs w:val="22"/>
          <w:lang w:val="sr-Latn-ME"/>
        </w:rPr>
        <w:t>masene</w:t>
      </w:r>
      <w:proofErr w:type="spellEnd"/>
      <w:r w:rsidRPr="00285CEF">
        <w:rPr>
          <w:sz w:val="22"/>
          <w:szCs w:val="22"/>
          <w:lang w:val="sr-Latn-ME"/>
        </w:rPr>
        <w:t xml:space="preserve"> ravnoteže sprovedeno kod zdravih ispitanika pokazalo je da se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u velikoj mjeri </w:t>
      </w:r>
      <w:proofErr w:type="spellStart"/>
      <w:r w:rsidRPr="00285CEF">
        <w:rPr>
          <w:sz w:val="22"/>
          <w:szCs w:val="22"/>
          <w:lang w:val="sr-Latn-ME"/>
        </w:rPr>
        <w:t>metaboliše</w:t>
      </w:r>
      <w:proofErr w:type="spellEnd"/>
      <w:r w:rsidRPr="00285CEF">
        <w:rPr>
          <w:sz w:val="22"/>
          <w:szCs w:val="22"/>
          <w:lang w:val="sr-Latn-ME"/>
        </w:rPr>
        <w:t xml:space="preserve"> i eliminiše </w:t>
      </w:r>
      <w:proofErr w:type="spellStart"/>
      <w:r w:rsidRPr="00285CEF">
        <w:rPr>
          <w:sz w:val="22"/>
          <w:szCs w:val="22"/>
          <w:lang w:val="sr-Latn-ME"/>
        </w:rPr>
        <w:t>fecesom</w:t>
      </w:r>
      <w:proofErr w:type="spellEnd"/>
      <w:r w:rsidRPr="00285CEF">
        <w:rPr>
          <w:sz w:val="22"/>
          <w:szCs w:val="22"/>
          <w:lang w:val="sr-Latn-ME"/>
        </w:rPr>
        <w:t xml:space="preserve">. </w:t>
      </w:r>
      <w:proofErr w:type="spellStart"/>
      <w:r w:rsidRPr="00285CEF">
        <w:rPr>
          <w:sz w:val="22"/>
          <w:szCs w:val="22"/>
          <w:lang w:val="sr-Latn-ME"/>
        </w:rPr>
        <w:t>Udio</w:t>
      </w:r>
      <w:proofErr w:type="spellEnd"/>
      <w:r w:rsidRPr="00285CEF">
        <w:rPr>
          <w:sz w:val="22"/>
          <w:szCs w:val="22"/>
          <w:lang w:val="sr-Latn-ME"/>
        </w:rPr>
        <w:t xml:space="preserve"> resorbovanog lijeka iznosio je ~88%, što ukazuje na visok stepen resorpcije i metabolizma prvog prolaza. 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Kod zdravih ispitanika se </w:t>
      </w:r>
      <w:proofErr w:type="spellStart"/>
      <w:r w:rsidRPr="00285CEF">
        <w:rPr>
          <w:sz w:val="22"/>
          <w:szCs w:val="22"/>
          <w:lang w:val="sr-Latn-ME"/>
        </w:rPr>
        <w:t>farmakokinetika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primijenjenog nakon obroka (s visokim </w:t>
      </w:r>
      <w:proofErr w:type="spellStart"/>
      <w:r w:rsidRPr="00285CEF">
        <w:rPr>
          <w:sz w:val="22"/>
          <w:szCs w:val="22"/>
          <w:lang w:val="sr-Latn-ME"/>
        </w:rPr>
        <w:t>udjelom</w:t>
      </w:r>
      <w:proofErr w:type="spellEnd"/>
      <w:r w:rsidRPr="00285CEF">
        <w:rPr>
          <w:sz w:val="22"/>
          <w:szCs w:val="22"/>
          <w:lang w:val="sr-Latn-ME"/>
        </w:rPr>
        <w:t xml:space="preserve"> masnoća) ne mijenja u odnosu na </w:t>
      </w:r>
      <w:proofErr w:type="spellStart"/>
      <w:r w:rsidRPr="00285CEF">
        <w:rPr>
          <w:sz w:val="22"/>
          <w:szCs w:val="22"/>
          <w:lang w:val="sr-Latn-ME"/>
        </w:rPr>
        <w:t>farmakokinetiku</w:t>
      </w:r>
      <w:proofErr w:type="spellEnd"/>
      <w:r w:rsidRPr="00285CEF">
        <w:rPr>
          <w:sz w:val="22"/>
          <w:szCs w:val="22"/>
          <w:lang w:val="sr-Latn-ME"/>
        </w:rPr>
        <w:t xml:space="preserve"> nakon primjene </w:t>
      </w:r>
      <w:proofErr w:type="spellStart"/>
      <w:r w:rsidRPr="00285CEF">
        <w:rPr>
          <w:sz w:val="22"/>
          <w:szCs w:val="22"/>
          <w:lang w:val="sr-Latn-ME"/>
        </w:rPr>
        <w:t>natašte</w:t>
      </w:r>
      <w:proofErr w:type="spellEnd"/>
      <w:r w:rsidRPr="00285CEF">
        <w:rPr>
          <w:sz w:val="22"/>
          <w:szCs w:val="22"/>
          <w:lang w:val="sr-Latn-ME"/>
        </w:rPr>
        <w:t xml:space="preserve">. Budući da hrana ne mijenja </w:t>
      </w:r>
      <w:proofErr w:type="spellStart"/>
      <w:r w:rsidRPr="00285CEF">
        <w:rPr>
          <w:sz w:val="22"/>
          <w:szCs w:val="22"/>
          <w:lang w:val="sr-Latn-ME"/>
        </w:rPr>
        <w:t>farmakokinetiku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, on se može primjenjivati sa hranom ili bez nje. </w:t>
      </w:r>
    </w:p>
    <w:p w:rsidR="0013132D" w:rsidRPr="00285CEF" w:rsidRDefault="0013132D" w:rsidP="00DA6C1D">
      <w:pPr>
        <w:jc w:val="both"/>
        <w:outlineLvl w:val="0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Distribucija</w:t>
      </w:r>
    </w:p>
    <w:p w:rsidR="0013132D" w:rsidRPr="00285CEF" w:rsidRDefault="0013132D">
      <w:pPr>
        <w:jc w:val="both"/>
        <w:rPr>
          <w:sz w:val="22"/>
          <w:szCs w:val="22"/>
          <w:u w:val="single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Vezivanje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za proteine u ljudskoj plazmi </w:t>
      </w:r>
      <w:r w:rsidRPr="00285CEF">
        <w:rPr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i/>
          <w:sz w:val="22"/>
          <w:szCs w:val="22"/>
          <w:lang w:val="sr-Latn-ME"/>
        </w:rPr>
        <w:t>vitro</w:t>
      </w:r>
      <w:proofErr w:type="spellEnd"/>
      <w:r w:rsidRPr="00285CEF">
        <w:rPr>
          <w:sz w:val="22"/>
          <w:szCs w:val="22"/>
          <w:lang w:val="sr-Latn-ME"/>
        </w:rPr>
        <w:t xml:space="preserve"> iznosi 94,8%. Nije prim</w:t>
      </w:r>
      <w:r w:rsidR="00F07A45" w:rsidRPr="00285CEF">
        <w:rPr>
          <w:sz w:val="22"/>
          <w:szCs w:val="22"/>
          <w:lang w:val="sr-Latn-ME"/>
        </w:rPr>
        <w:t>i</w:t>
      </w:r>
      <w:r w:rsidRPr="00285CEF">
        <w:rPr>
          <w:sz w:val="22"/>
          <w:szCs w:val="22"/>
          <w:lang w:val="sr-Latn-ME"/>
        </w:rPr>
        <w:t xml:space="preserve">jećeno preferencijalno vezivanje za crvene krvne ćelije kod </w:t>
      </w:r>
      <w:proofErr w:type="spellStart"/>
      <w:r w:rsidRPr="00285CEF">
        <w:rPr>
          <w:sz w:val="22"/>
          <w:szCs w:val="22"/>
          <w:lang w:val="sr-Latn-ME"/>
        </w:rPr>
        <w:t>ljudi</w:t>
      </w:r>
      <w:proofErr w:type="spellEnd"/>
      <w:r w:rsidRPr="00285CEF">
        <w:rPr>
          <w:sz w:val="22"/>
          <w:szCs w:val="22"/>
          <w:lang w:val="sr-Latn-ME"/>
        </w:rPr>
        <w:t xml:space="preserve"> (odnos krvi i plazme: 0,93). 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Volumen distribucije kod zdravih ispitanika koji su primili </w:t>
      </w:r>
      <w:proofErr w:type="spellStart"/>
      <w:r w:rsidRPr="00285CEF">
        <w:rPr>
          <w:sz w:val="22"/>
          <w:szCs w:val="22"/>
          <w:lang w:val="sr-Latn-ME"/>
        </w:rPr>
        <w:t>intravensku</w:t>
      </w:r>
      <w:proofErr w:type="spellEnd"/>
      <w:r w:rsidRPr="00285CEF">
        <w:rPr>
          <w:sz w:val="22"/>
          <w:szCs w:val="22"/>
          <w:lang w:val="sr-Latn-ME"/>
        </w:rPr>
        <w:t xml:space="preserve"> dozu od 2 mg iznosio je 1050 </w:t>
      </w:r>
      <w:r w:rsidR="00F07A45" w:rsidRPr="00285CEF">
        <w:rPr>
          <w:sz w:val="22"/>
          <w:szCs w:val="22"/>
          <w:lang w:val="sr-Latn-ME"/>
        </w:rPr>
        <w:t>l</w:t>
      </w:r>
      <w:r w:rsidRPr="00285CEF">
        <w:rPr>
          <w:sz w:val="22"/>
          <w:szCs w:val="22"/>
          <w:lang w:val="sr-Latn-ME"/>
        </w:rPr>
        <w:t xml:space="preserve">. Prema </w:t>
      </w:r>
      <w:proofErr w:type="spellStart"/>
      <w:r w:rsidRPr="00285CEF">
        <w:rPr>
          <w:sz w:val="22"/>
          <w:szCs w:val="22"/>
          <w:lang w:val="sr-Latn-ME"/>
        </w:rPr>
        <w:t>populacijskoj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farmakokinetičkoj</w:t>
      </w:r>
      <w:proofErr w:type="spellEnd"/>
      <w:r w:rsidRPr="00285CEF">
        <w:rPr>
          <w:sz w:val="22"/>
          <w:szCs w:val="22"/>
          <w:lang w:val="sr-Latn-ME"/>
        </w:rPr>
        <w:t xml:space="preserve"> analizi, prividni volumen distribucije kod pacijenata </w:t>
      </w:r>
      <w:proofErr w:type="spellStart"/>
      <w:r w:rsidRPr="00285CEF">
        <w:rPr>
          <w:sz w:val="22"/>
          <w:szCs w:val="22"/>
          <w:lang w:val="sr-Latn-ME"/>
        </w:rPr>
        <w:t>oboljelih</w:t>
      </w:r>
      <w:proofErr w:type="spellEnd"/>
      <w:r w:rsidRPr="00285CEF">
        <w:rPr>
          <w:sz w:val="22"/>
          <w:szCs w:val="22"/>
          <w:lang w:val="sr-Latn-ME"/>
        </w:rPr>
        <w:t xml:space="preserve"> od </w:t>
      </w:r>
      <w:proofErr w:type="spellStart"/>
      <w:r w:rsidRPr="00285CEF">
        <w:rPr>
          <w:sz w:val="22"/>
          <w:szCs w:val="22"/>
          <w:lang w:val="sr-Latn-ME"/>
        </w:rPr>
        <w:t>karcinoma</w:t>
      </w:r>
      <w:proofErr w:type="spellEnd"/>
      <w:r w:rsidRPr="00285CEF">
        <w:rPr>
          <w:sz w:val="22"/>
          <w:szCs w:val="22"/>
          <w:lang w:val="sr-Latn-ME"/>
        </w:rPr>
        <w:t xml:space="preserve"> iznosio je 806 </w:t>
      </w:r>
      <w:r w:rsidR="00F07A45" w:rsidRPr="00285CEF">
        <w:rPr>
          <w:sz w:val="22"/>
          <w:szCs w:val="22"/>
          <w:lang w:val="sr-Latn-ME"/>
        </w:rPr>
        <w:t>l</w:t>
      </w:r>
      <w:r w:rsidRPr="00285CEF">
        <w:rPr>
          <w:sz w:val="22"/>
          <w:szCs w:val="22"/>
          <w:lang w:val="sr-Latn-ME"/>
        </w:rPr>
        <w:t xml:space="preserve">. 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je supstrat P </w:t>
      </w:r>
      <w:proofErr w:type="spellStart"/>
      <w:r w:rsidRPr="00285CEF">
        <w:rPr>
          <w:sz w:val="22"/>
          <w:szCs w:val="22"/>
          <w:lang w:val="sr-Latn-ME"/>
        </w:rPr>
        <w:t>glikoproteina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r w:rsidRPr="00285CEF">
        <w:rPr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i/>
          <w:sz w:val="22"/>
          <w:szCs w:val="22"/>
          <w:lang w:val="sr-Latn-ME"/>
        </w:rPr>
        <w:t>vitro</w:t>
      </w:r>
      <w:proofErr w:type="spellEnd"/>
      <w:r w:rsidRPr="00285CEF">
        <w:rPr>
          <w:sz w:val="22"/>
          <w:szCs w:val="22"/>
          <w:lang w:val="sr-Latn-ME"/>
        </w:rPr>
        <w:t xml:space="preserve">. </w:t>
      </w:r>
      <w:proofErr w:type="spellStart"/>
      <w:r w:rsidRPr="00285CEF">
        <w:rPr>
          <w:sz w:val="22"/>
          <w:szCs w:val="22"/>
          <w:lang w:val="sr-Latn-ME"/>
        </w:rPr>
        <w:t>Prenos</w:t>
      </w:r>
      <w:proofErr w:type="spellEnd"/>
      <w:r w:rsidRPr="00285CEF">
        <w:rPr>
          <w:sz w:val="22"/>
          <w:szCs w:val="22"/>
          <w:lang w:val="sr-Latn-ME"/>
        </w:rPr>
        <w:t xml:space="preserve"> kroz krvno-moždanu barijeru nije poznat.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8D0ED5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285CEF">
        <w:rPr>
          <w:sz w:val="22"/>
          <w:szCs w:val="22"/>
          <w:u w:val="single"/>
          <w:lang w:val="sr-Latn-ME"/>
        </w:rPr>
        <w:t>Biotransformacija</w:t>
      </w:r>
      <w:proofErr w:type="spellEnd"/>
    </w:p>
    <w:p w:rsidR="0013132D" w:rsidRPr="00285CEF" w:rsidRDefault="0013132D" w:rsidP="00CC3B0C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 </w:t>
      </w:r>
    </w:p>
    <w:p w:rsidR="0013132D" w:rsidRPr="00285CEF" w:rsidRDefault="0013132D" w:rsidP="00B724B9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Čini se da su oksidacija putem CYP3A i </w:t>
      </w:r>
      <w:proofErr w:type="spellStart"/>
      <w:r w:rsidRPr="00285CEF">
        <w:rPr>
          <w:sz w:val="22"/>
          <w:szCs w:val="22"/>
          <w:lang w:val="sr-Latn-ME"/>
        </w:rPr>
        <w:t>glukuronidacija</w:t>
      </w:r>
      <w:proofErr w:type="spellEnd"/>
      <w:r w:rsidRPr="00285CEF">
        <w:rPr>
          <w:sz w:val="22"/>
          <w:szCs w:val="22"/>
          <w:lang w:val="sr-Latn-ME"/>
        </w:rPr>
        <w:t xml:space="preserve"> putem UGT2B7 glavni putevi metabolizma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.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je predominantni oblik u plazmi. U plazmi nije pronađen </w:t>
      </w:r>
      <w:proofErr w:type="spellStart"/>
      <w:r w:rsidRPr="00285CEF">
        <w:rPr>
          <w:sz w:val="22"/>
          <w:szCs w:val="22"/>
          <w:lang w:val="sr-Latn-ME"/>
        </w:rPr>
        <w:t>udio</w:t>
      </w:r>
      <w:proofErr w:type="spellEnd"/>
      <w:r w:rsidRPr="00285CEF">
        <w:rPr>
          <w:sz w:val="22"/>
          <w:szCs w:val="22"/>
          <w:lang w:val="sr-Latn-ME"/>
        </w:rPr>
        <w:t xml:space="preserve"> oksidiranih </w:t>
      </w:r>
      <w:proofErr w:type="spellStart"/>
      <w:r w:rsidRPr="00285CEF">
        <w:rPr>
          <w:sz w:val="22"/>
          <w:szCs w:val="22"/>
          <w:lang w:val="sr-Latn-ME"/>
        </w:rPr>
        <w:t>metabolita</w:t>
      </w:r>
      <w:proofErr w:type="spellEnd"/>
      <w:r w:rsidRPr="00285CEF">
        <w:rPr>
          <w:sz w:val="22"/>
          <w:szCs w:val="22"/>
          <w:lang w:val="sr-Latn-ME"/>
        </w:rPr>
        <w:t xml:space="preserve"> veći od 10% ukupne </w:t>
      </w:r>
      <w:proofErr w:type="spellStart"/>
      <w:r w:rsidRPr="00285CEF">
        <w:rPr>
          <w:sz w:val="22"/>
          <w:szCs w:val="22"/>
          <w:lang w:val="sr-Latn-ME"/>
        </w:rPr>
        <w:t>cirkulišuće</w:t>
      </w:r>
      <w:proofErr w:type="spellEnd"/>
      <w:r w:rsidRPr="00285CEF">
        <w:rPr>
          <w:sz w:val="22"/>
          <w:szCs w:val="22"/>
          <w:lang w:val="sr-Latn-ME"/>
        </w:rPr>
        <w:t xml:space="preserve"> radioaktivnosti, kao ni </w:t>
      </w:r>
      <w:proofErr w:type="spellStart"/>
      <w:r w:rsidRPr="00285CEF">
        <w:rPr>
          <w:sz w:val="22"/>
          <w:szCs w:val="22"/>
          <w:lang w:val="sr-Latn-ME"/>
        </w:rPr>
        <w:t>metaboliti</w:t>
      </w:r>
      <w:proofErr w:type="spellEnd"/>
      <w:r w:rsidRPr="00285CEF">
        <w:rPr>
          <w:sz w:val="22"/>
          <w:szCs w:val="22"/>
          <w:lang w:val="sr-Latn-ME"/>
        </w:rPr>
        <w:t xml:space="preserve"> specifični za </w:t>
      </w:r>
      <w:proofErr w:type="spellStart"/>
      <w:r w:rsidRPr="00285CEF">
        <w:rPr>
          <w:sz w:val="22"/>
          <w:szCs w:val="22"/>
          <w:lang w:val="sr-Latn-ME"/>
        </w:rPr>
        <w:t>ljude</w:t>
      </w:r>
      <w:proofErr w:type="spellEnd"/>
      <w:r w:rsidRPr="00285CEF">
        <w:rPr>
          <w:sz w:val="22"/>
          <w:szCs w:val="22"/>
          <w:lang w:val="sr-Latn-ME"/>
        </w:rPr>
        <w:t xml:space="preserve">. Lijek u </w:t>
      </w:r>
      <w:proofErr w:type="spellStart"/>
      <w:r w:rsidRPr="00285CEF">
        <w:rPr>
          <w:sz w:val="22"/>
          <w:szCs w:val="22"/>
          <w:lang w:val="sr-Latn-ME"/>
        </w:rPr>
        <w:t>neizmijenjenom</w:t>
      </w:r>
      <w:proofErr w:type="spellEnd"/>
      <w:r w:rsidRPr="00285CEF">
        <w:rPr>
          <w:sz w:val="22"/>
          <w:szCs w:val="22"/>
          <w:lang w:val="sr-Latn-ME"/>
        </w:rPr>
        <w:t xml:space="preserve"> obliku izlučen </w:t>
      </w:r>
      <w:proofErr w:type="spellStart"/>
      <w:r w:rsidRPr="00285CEF">
        <w:rPr>
          <w:sz w:val="22"/>
          <w:szCs w:val="22"/>
          <w:lang w:val="sr-Latn-ME"/>
        </w:rPr>
        <w:t>fecesom</w:t>
      </w:r>
      <w:proofErr w:type="spellEnd"/>
      <w:r w:rsidRPr="00285CEF">
        <w:rPr>
          <w:sz w:val="22"/>
          <w:szCs w:val="22"/>
          <w:lang w:val="sr-Latn-ME"/>
        </w:rPr>
        <w:t xml:space="preserve"> i urinom činio je 6,6% odnosno 1,6% prim</w:t>
      </w:r>
      <w:r w:rsidR="00F07A45" w:rsidRPr="00285CEF">
        <w:rPr>
          <w:sz w:val="22"/>
          <w:szCs w:val="22"/>
          <w:lang w:val="sr-Latn-ME"/>
        </w:rPr>
        <w:t>i</w:t>
      </w:r>
      <w:r w:rsidRPr="00285CEF">
        <w:rPr>
          <w:sz w:val="22"/>
          <w:szCs w:val="22"/>
          <w:lang w:val="sr-Latn-ME"/>
        </w:rPr>
        <w:t xml:space="preserve">jenjene doze, što ukazuje na to da se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prvenstveno </w:t>
      </w:r>
      <w:proofErr w:type="spellStart"/>
      <w:r w:rsidRPr="00285CEF">
        <w:rPr>
          <w:sz w:val="22"/>
          <w:szCs w:val="22"/>
          <w:lang w:val="sr-Latn-ME"/>
        </w:rPr>
        <w:t>metaboliše</w:t>
      </w:r>
      <w:proofErr w:type="spellEnd"/>
      <w:r w:rsidRPr="00285CEF">
        <w:rPr>
          <w:sz w:val="22"/>
          <w:szCs w:val="22"/>
          <w:lang w:val="sr-Latn-ME"/>
        </w:rPr>
        <w:t xml:space="preserve">, uz minimalnu eliminaciju putem bubrega. </w:t>
      </w:r>
      <w:r w:rsidRPr="00285CEF">
        <w:rPr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i/>
          <w:sz w:val="22"/>
          <w:szCs w:val="22"/>
          <w:lang w:val="sr-Latn-ME"/>
        </w:rPr>
        <w:t>vitro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r w:rsidRPr="00285CEF">
        <w:rPr>
          <w:sz w:val="22"/>
          <w:szCs w:val="22"/>
          <w:lang w:val="sr-Latn-ME"/>
        </w:rPr>
        <w:t xml:space="preserve">podaci ukazuju na to da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nije </w:t>
      </w:r>
      <w:proofErr w:type="spellStart"/>
      <w:r w:rsidRPr="00285CEF">
        <w:rPr>
          <w:sz w:val="22"/>
          <w:szCs w:val="22"/>
          <w:lang w:val="sr-Latn-ME"/>
        </w:rPr>
        <w:t>inhibitor</w:t>
      </w:r>
      <w:proofErr w:type="spellEnd"/>
      <w:r w:rsidRPr="00285CEF">
        <w:rPr>
          <w:sz w:val="22"/>
          <w:szCs w:val="22"/>
          <w:lang w:val="sr-Latn-ME"/>
        </w:rPr>
        <w:t xml:space="preserve"> OAT1, OAT3 ni OCT2.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ab/>
      </w:r>
    </w:p>
    <w:p w:rsidR="0013132D" w:rsidRPr="00285CEF" w:rsidRDefault="0013132D" w:rsidP="00F304F3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Eliminacija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ab/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lastRenderedPageBreak/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i njegovi </w:t>
      </w:r>
      <w:proofErr w:type="spellStart"/>
      <w:r w:rsidRPr="00285CEF">
        <w:rPr>
          <w:sz w:val="22"/>
          <w:szCs w:val="22"/>
          <w:lang w:val="sr-Latn-ME"/>
        </w:rPr>
        <w:t>metaboliti</w:t>
      </w:r>
      <w:proofErr w:type="spellEnd"/>
      <w:r w:rsidRPr="00285CEF">
        <w:rPr>
          <w:sz w:val="22"/>
          <w:szCs w:val="22"/>
          <w:lang w:val="sr-Latn-ME"/>
        </w:rPr>
        <w:t xml:space="preserve"> okarakterisani su u studiji </w:t>
      </w:r>
      <w:proofErr w:type="spellStart"/>
      <w:r w:rsidRPr="00285CEF">
        <w:rPr>
          <w:sz w:val="22"/>
          <w:szCs w:val="22"/>
          <w:lang w:val="sr-Latn-ME"/>
        </w:rPr>
        <w:t>masene</w:t>
      </w:r>
      <w:proofErr w:type="spellEnd"/>
      <w:r w:rsidRPr="00285CEF">
        <w:rPr>
          <w:sz w:val="22"/>
          <w:szCs w:val="22"/>
          <w:lang w:val="sr-Latn-ME"/>
        </w:rPr>
        <w:t xml:space="preserve"> ravnoteže kod zdravih ispitanika. U prosjeku se 94% doze izlučilo iz tijela unutar 17 dana.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se opsežno </w:t>
      </w:r>
      <w:proofErr w:type="spellStart"/>
      <w:r w:rsidRPr="00285CEF">
        <w:rPr>
          <w:sz w:val="22"/>
          <w:szCs w:val="22"/>
          <w:lang w:val="sr-Latn-ME"/>
        </w:rPr>
        <w:t>metabolisao</w:t>
      </w:r>
      <w:proofErr w:type="spellEnd"/>
      <w:r w:rsidRPr="00285CEF">
        <w:rPr>
          <w:sz w:val="22"/>
          <w:szCs w:val="22"/>
          <w:lang w:val="sr-Latn-ME"/>
        </w:rPr>
        <w:t xml:space="preserve"> i eliminisao </w:t>
      </w:r>
      <w:proofErr w:type="spellStart"/>
      <w:r w:rsidRPr="00285CEF">
        <w:rPr>
          <w:sz w:val="22"/>
          <w:szCs w:val="22"/>
          <w:lang w:val="sr-Latn-ME"/>
        </w:rPr>
        <w:t>fecesom</w:t>
      </w:r>
      <w:proofErr w:type="spellEnd"/>
      <w:r w:rsidRPr="00285CEF">
        <w:rPr>
          <w:sz w:val="22"/>
          <w:szCs w:val="22"/>
          <w:lang w:val="sr-Latn-ME"/>
        </w:rPr>
        <w:t>.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62161F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Nakon </w:t>
      </w:r>
      <w:proofErr w:type="spellStart"/>
      <w:r w:rsidRPr="00285CEF">
        <w:rPr>
          <w:sz w:val="22"/>
          <w:szCs w:val="22"/>
          <w:lang w:val="sr-Latn-ME"/>
        </w:rPr>
        <w:t>intravenske</w:t>
      </w:r>
      <w:proofErr w:type="spellEnd"/>
      <w:r w:rsidRPr="00285CEF">
        <w:rPr>
          <w:sz w:val="22"/>
          <w:szCs w:val="22"/>
          <w:lang w:val="sr-Latn-ME"/>
        </w:rPr>
        <w:t xml:space="preserve"> primjene doze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od 2 mg, srednja vrijednost </w:t>
      </w:r>
      <w:proofErr w:type="spellStart"/>
      <w:r w:rsidRPr="00285CEF">
        <w:rPr>
          <w:sz w:val="22"/>
          <w:szCs w:val="22"/>
          <w:lang w:val="sr-Latn-ME"/>
        </w:rPr>
        <w:t>plazmatskog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klirensa</w:t>
      </w:r>
      <w:proofErr w:type="spellEnd"/>
      <w:r w:rsidRPr="00285CEF">
        <w:rPr>
          <w:sz w:val="22"/>
          <w:szCs w:val="22"/>
          <w:lang w:val="sr-Latn-ME"/>
        </w:rPr>
        <w:t xml:space="preserve"> iznosila je 10,7 </w:t>
      </w:r>
      <w:r w:rsidR="0062161F" w:rsidRPr="00285CEF">
        <w:rPr>
          <w:sz w:val="22"/>
          <w:szCs w:val="22"/>
          <w:lang w:val="sr-Latn-ME"/>
        </w:rPr>
        <w:t>l</w:t>
      </w:r>
      <w:r w:rsidRPr="00285CEF">
        <w:rPr>
          <w:sz w:val="22"/>
          <w:szCs w:val="22"/>
          <w:lang w:val="sr-Latn-ME"/>
        </w:rPr>
        <w:t xml:space="preserve">/h. Srednja vrijednost prividnog </w:t>
      </w:r>
      <w:proofErr w:type="spellStart"/>
      <w:r w:rsidRPr="00285CEF">
        <w:rPr>
          <w:sz w:val="22"/>
          <w:szCs w:val="22"/>
          <w:lang w:val="sr-Latn-ME"/>
        </w:rPr>
        <w:t>klirensa</w:t>
      </w:r>
      <w:proofErr w:type="spellEnd"/>
      <w:r w:rsidRPr="00285CEF">
        <w:rPr>
          <w:sz w:val="22"/>
          <w:szCs w:val="22"/>
          <w:lang w:val="sr-Latn-ME"/>
        </w:rPr>
        <w:t xml:space="preserve"> nakon </w:t>
      </w:r>
      <w:proofErr w:type="spellStart"/>
      <w:r w:rsidRPr="00285CEF">
        <w:rPr>
          <w:sz w:val="22"/>
          <w:szCs w:val="22"/>
          <w:lang w:val="sr-Latn-ME"/>
        </w:rPr>
        <w:t>peroralne</w:t>
      </w:r>
      <w:proofErr w:type="spellEnd"/>
      <w:r w:rsidRPr="00285CEF">
        <w:rPr>
          <w:sz w:val="22"/>
          <w:szCs w:val="22"/>
          <w:lang w:val="sr-Latn-ME"/>
        </w:rPr>
        <w:t xml:space="preserve"> primjene doze od 60 mg kod pacijenata </w:t>
      </w:r>
      <w:proofErr w:type="spellStart"/>
      <w:r w:rsidRPr="00285CEF">
        <w:rPr>
          <w:sz w:val="22"/>
          <w:szCs w:val="22"/>
          <w:lang w:val="sr-Latn-ME"/>
        </w:rPr>
        <w:t>oboljelih</w:t>
      </w:r>
      <w:proofErr w:type="spellEnd"/>
      <w:r w:rsidRPr="00285CEF">
        <w:rPr>
          <w:sz w:val="22"/>
          <w:szCs w:val="22"/>
          <w:lang w:val="sr-Latn-ME"/>
        </w:rPr>
        <w:t xml:space="preserve"> od </w:t>
      </w:r>
      <w:proofErr w:type="spellStart"/>
      <w:r w:rsidRPr="00285CEF">
        <w:rPr>
          <w:sz w:val="22"/>
          <w:szCs w:val="22"/>
          <w:lang w:val="sr-Latn-ME"/>
        </w:rPr>
        <w:t>karcinoma</w:t>
      </w:r>
      <w:proofErr w:type="spellEnd"/>
      <w:r w:rsidRPr="00285CEF">
        <w:rPr>
          <w:sz w:val="22"/>
          <w:szCs w:val="22"/>
          <w:lang w:val="sr-Latn-ME"/>
        </w:rPr>
        <w:t xml:space="preserve"> iznosila je 13,8 </w:t>
      </w:r>
      <w:r w:rsidR="0062161F" w:rsidRPr="00285CEF">
        <w:rPr>
          <w:sz w:val="22"/>
          <w:szCs w:val="22"/>
          <w:lang w:val="sr-Latn-ME"/>
        </w:rPr>
        <w:t>l</w:t>
      </w:r>
      <w:r w:rsidRPr="00285CEF">
        <w:rPr>
          <w:sz w:val="22"/>
          <w:szCs w:val="22"/>
          <w:lang w:val="sr-Latn-ME"/>
        </w:rPr>
        <w:t>/h.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Srednja vrijednost </w:t>
      </w:r>
      <w:proofErr w:type="spellStart"/>
      <w:r w:rsidRPr="00285CEF">
        <w:rPr>
          <w:sz w:val="22"/>
          <w:szCs w:val="22"/>
          <w:lang w:val="sr-Latn-ME"/>
        </w:rPr>
        <w:t>poluvremena</w:t>
      </w:r>
      <w:proofErr w:type="spellEnd"/>
      <w:r w:rsidRPr="00285CEF">
        <w:rPr>
          <w:sz w:val="22"/>
          <w:szCs w:val="22"/>
          <w:lang w:val="sr-Latn-ME"/>
        </w:rPr>
        <w:t xml:space="preserve"> eliminacije nakon </w:t>
      </w:r>
      <w:proofErr w:type="spellStart"/>
      <w:r w:rsidRPr="00285CEF">
        <w:rPr>
          <w:sz w:val="22"/>
          <w:szCs w:val="22"/>
          <w:lang w:val="sr-Latn-ME"/>
        </w:rPr>
        <w:t>peroralne</w:t>
      </w:r>
      <w:proofErr w:type="spellEnd"/>
      <w:r w:rsidRPr="00285CEF">
        <w:rPr>
          <w:sz w:val="22"/>
          <w:szCs w:val="22"/>
          <w:lang w:val="sr-Latn-ME"/>
        </w:rPr>
        <w:t xml:space="preserve"> primjene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iznosila je 43,6 sati (raspon: 23,1 – 69,6 sati). Dakle, može biti potrebno do 2 nedjelje nakon prekida liječenja da se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potpuno izluči iz sistemske cirkulacije.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Posebne grupe pacijenata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Prema </w:t>
      </w:r>
      <w:proofErr w:type="spellStart"/>
      <w:r w:rsidRPr="00285CEF">
        <w:rPr>
          <w:sz w:val="22"/>
          <w:szCs w:val="22"/>
          <w:lang w:val="sr-Latn-ME"/>
        </w:rPr>
        <w:t>populacijskoj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farmakokinetičkoj</w:t>
      </w:r>
      <w:proofErr w:type="spellEnd"/>
      <w:r w:rsidRPr="00285CEF">
        <w:rPr>
          <w:sz w:val="22"/>
          <w:szCs w:val="22"/>
          <w:lang w:val="sr-Latn-ME"/>
        </w:rPr>
        <w:t xml:space="preserve"> analizi, pol, rasa, etničko porijeklo, početni ECOG status i blago i umjereno oštećenje bubrežne funkcije nijesu uticali na </w:t>
      </w:r>
      <w:proofErr w:type="spellStart"/>
      <w:r w:rsidRPr="00285CEF">
        <w:rPr>
          <w:sz w:val="22"/>
          <w:szCs w:val="22"/>
          <w:lang w:val="sr-Latn-ME"/>
        </w:rPr>
        <w:t>farmakokinetiku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. Početni uzrast i početna tjelesna težina identifikovani su kao statistički značajne </w:t>
      </w:r>
      <w:proofErr w:type="spellStart"/>
      <w:r w:rsidRPr="00285CEF">
        <w:rPr>
          <w:sz w:val="22"/>
          <w:szCs w:val="22"/>
          <w:lang w:val="sr-Latn-ME"/>
        </w:rPr>
        <w:t>kovarijante</w:t>
      </w:r>
      <w:proofErr w:type="spellEnd"/>
      <w:r w:rsidRPr="00285CEF">
        <w:rPr>
          <w:sz w:val="22"/>
          <w:szCs w:val="22"/>
          <w:lang w:val="sr-Latn-ME"/>
        </w:rPr>
        <w:t xml:space="preserve"> koje utiču na </w:t>
      </w:r>
      <w:proofErr w:type="spellStart"/>
      <w:r w:rsidRPr="00285CEF">
        <w:rPr>
          <w:sz w:val="22"/>
          <w:szCs w:val="22"/>
          <w:lang w:val="sr-Latn-ME"/>
        </w:rPr>
        <w:t>klirens</w:t>
      </w:r>
      <w:proofErr w:type="spellEnd"/>
      <w:r w:rsidRPr="00285CEF">
        <w:rPr>
          <w:sz w:val="22"/>
          <w:szCs w:val="22"/>
          <w:lang w:val="sr-Latn-ME"/>
        </w:rPr>
        <w:t xml:space="preserve"> odnosno volumen distribucije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. Međutim, analiza osjetljivosti ukazuje na to da nijedna od tih </w:t>
      </w:r>
      <w:proofErr w:type="spellStart"/>
      <w:r w:rsidRPr="00285CEF">
        <w:rPr>
          <w:sz w:val="22"/>
          <w:szCs w:val="22"/>
          <w:lang w:val="sr-Latn-ME"/>
        </w:rPr>
        <w:t>kovarijanti</w:t>
      </w:r>
      <w:proofErr w:type="spellEnd"/>
      <w:r w:rsidRPr="00285CEF">
        <w:rPr>
          <w:sz w:val="22"/>
          <w:szCs w:val="22"/>
          <w:lang w:val="sr-Latn-ME"/>
        </w:rPr>
        <w:t xml:space="preserve"> nije klinički značajno uticala na izloženost u stanju ravnoteže.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Pol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Prema </w:t>
      </w:r>
      <w:proofErr w:type="spellStart"/>
      <w:r w:rsidRPr="00285CEF">
        <w:rPr>
          <w:sz w:val="22"/>
          <w:szCs w:val="22"/>
          <w:lang w:val="sr-Latn-ME"/>
        </w:rPr>
        <w:t>populacijskoj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farmakokinetičkoj</w:t>
      </w:r>
      <w:proofErr w:type="spellEnd"/>
      <w:r w:rsidRPr="00285CEF">
        <w:rPr>
          <w:sz w:val="22"/>
          <w:szCs w:val="22"/>
          <w:lang w:val="sr-Latn-ME"/>
        </w:rPr>
        <w:t xml:space="preserve"> analizi koja je uključivala 210 žena i 277 muškaraca, pol ne utiče na izloženost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>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62161F">
      <w:pPr>
        <w:jc w:val="both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Starije osobe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Prema </w:t>
      </w:r>
      <w:proofErr w:type="spellStart"/>
      <w:r w:rsidRPr="00285CEF">
        <w:rPr>
          <w:sz w:val="22"/>
          <w:szCs w:val="22"/>
          <w:lang w:val="sr-Latn-ME"/>
        </w:rPr>
        <w:t>populacijskoj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farmakokinetičkoj</w:t>
      </w:r>
      <w:proofErr w:type="spellEnd"/>
      <w:r w:rsidRPr="00285CEF">
        <w:rPr>
          <w:sz w:val="22"/>
          <w:szCs w:val="22"/>
          <w:lang w:val="sr-Latn-ME"/>
        </w:rPr>
        <w:t xml:space="preserve"> analizi koja je uključivala 133 pacijenta </w:t>
      </w:r>
      <w:r w:rsidR="0062161F" w:rsidRPr="00285CEF">
        <w:rPr>
          <w:sz w:val="22"/>
          <w:szCs w:val="22"/>
          <w:lang w:val="sr-Latn-ME"/>
        </w:rPr>
        <w:t xml:space="preserve">koji su imali </w:t>
      </w:r>
      <w:r w:rsidRPr="00285CEF">
        <w:rPr>
          <w:sz w:val="22"/>
          <w:szCs w:val="22"/>
          <w:lang w:val="sr-Latn-ME"/>
        </w:rPr>
        <w:t xml:space="preserve">≥65 godina, </w:t>
      </w:r>
      <w:r w:rsidR="0062161F" w:rsidRPr="00285CEF">
        <w:rPr>
          <w:sz w:val="22"/>
          <w:szCs w:val="22"/>
          <w:lang w:val="sr-Latn-ME"/>
        </w:rPr>
        <w:t xml:space="preserve">starost </w:t>
      </w:r>
      <w:r w:rsidRPr="00285CEF">
        <w:rPr>
          <w:sz w:val="22"/>
          <w:szCs w:val="22"/>
          <w:lang w:val="sr-Latn-ME"/>
        </w:rPr>
        <w:t xml:space="preserve">ne utiče na izloženost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>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Oštećenje funkcije bubrega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Prema </w:t>
      </w:r>
      <w:proofErr w:type="spellStart"/>
      <w:r w:rsidRPr="00285CEF">
        <w:rPr>
          <w:sz w:val="22"/>
          <w:szCs w:val="22"/>
          <w:lang w:val="sr-Latn-ME"/>
        </w:rPr>
        <w:t>pretkliničkim</w:t>
      </w:r>
      <w:proofErr w:type="spellEnd"/>
      <w:r w:rsidRPr="00285CEF">
        <w:rPr>
          <w:sz w:val="22"/>
          <w:szCs w:val="22"/>
          <w:lang w:val="sr-Latn-ME"/>
        </w:rPr>
        <w:t xml:space="preserve"> podacima i ispitivanju </w:t>
      </w:r>
      <w:proofErr w:type="spellStart"/>
      <w:r w:rsidRPr="00285CEF">
        <w:rPr>
          <w:sz w:val="22"/>
          <w:szCs w:val="22"/>
          <w:lang w:val="sr-Latn-ME"/>
        </w:rPr>
        <w:t>masene</w:t>
      </w:r>
      <w:proofErr w:type="spellEnd"/>
      <w:r w:rsidRPr="00285CEF">
        <w:rPr>
          <w:sz w:val="22"/>
          <w:szCs w:val="22"/>
          <w:lang w:val="sr-Latn-ME"/>
        </w:rPr>
        <w:t xml:space="preserve"> ravnoteže kod </w:t>
      </w:r>
      <w:proofErr w:type="spellStart"/>
      <w:r w:rsidRPr="00285CEF">
        <w:rPr>
          <w:sz w:val="22"/>
          <w:szCs w:val="22"/>
          <w:lang w:val="sr-Latn-ME"/>
        </w:rPr>
        <w:t>ljudi</w:t>
      </w:r>
      <w:proofErr w:type="spellEnd"/>
      <w:r w:rsidRPr="00285CEF">
        <w:rPr>
          <w:sz w:val="22"/>
          <w:szCs w:val="22"/>
          <w:lang w:val="sr-Latn-ME"/>
        </w:rPr>
        <w:t xml:space="preserve">,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se prvenstveno </w:t>
      </w:r>
      <w:proofErr w:type="spellStart"/>
      <w:r w:rsidRPr="00285CEF">
        <w:rPr>
          <w:sz w:val="22"/>
          <w:szCs w:val="22"/>
          <w:lang w:val="sr-Latn-ME"/>
        </w:rPr>
        <w:t>metaboliše</w:t>
      </w:r>
      <w:proofErr w:type="spellEnd"/>
      <w:r w:rsidRPr="00285CEF">
        <w:rPr>
          <w:sz w:val="22"/>
          <w:szCs w:val="22"/>
          <w:lang w:val="sr-Latn-ME"/>
        </w:rPr>
        <w:t xml:space="preserve">, uz minimalnu eliminaciju kroz bubrege. Nije sprovedeno formalno </w:t>
      </w:r>
      <w:proofErr w:type="spellStart"/>
      <w:r w:rsidRPr="00285CEF">
        <w:rPr>
          <w:sz w:val="22"/>
          <w:szCs w:val="22"/>
          <w:lang w:val="sr-Latn-ME"/>
        </w:rPr>
        <w:t>farmakokinetičko</w:t>
      </w:r>
      <w:proofErr w:type="spellEnd"/>
      <w:r w:rsidRPr="00285CEF">
        <w:rPr>
          <w:sz w:val="22"/>
          <w:szCs w:val="22"/>
          <w:lang w:val="sr-Latn-ME"/>
        </w:rPr>
        <w:t xml:space="preserve"> ispitivanje kod pacijenata sa oštećenjem bubrežne funkcije.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Populacijska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farmakokinetička</w:t>
      </w:r>
      <w:proofErr w:type="spellEnd"/>
      <w:r w:rsidRPr="00285CEF">
        <w:rPr>
          <w:sz w:val="22"/>
          <w:szCs w:val="22"/>
          <w:lang w:val="sr-Latn-ME"/>
        </w:rPr>
        <w:t xml:space="preserve"> analiza podataka prikupljenih kod 151 pacijenta s blagim oštećenjem bubrežne funkcije (</w:t>
      </w:r>
      <w:proofErr w:type="spellStart"/>
      <w:r w:rsidRPr="00285CEF">
        <w:rPr>
          <w:sz w:val="22"/>
          <w:szCs w:val="22"/>
          <w:lang w:val="sr-Latn-ME"/>
        </w:rPr>
        <w:t>klirens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kreatinina</w:t>
      </w:r>
      <w:proofErr w:type="spellEnd"/>
      <w:r w:rsidRPr="00285CEF">
        <w:rPr>
          <w:sz w:val="22"/>
          <w:szCs w:val="22"/>
          <w:lang w:val="sr-Latn-ME"/>
        </w:rPr>
        <w:t xml:space="preserve"> [</w:t>
      </w:r>
      <w:proofErr w:type="spellStart"/>
      <w:r w:rsidRPr="00285CEF">
        <w:rPr>
          <w:sz w:val="22"/>
          <w:szCs w:val="22"/>
          <w:lang w:val="sr-Latn-ME"/>
        </w:rPr>
        <w:t>CrCl</w:t>
      </w:r>
      <w:proofErr w:type="spellEnd"/>
      <w:r w:rsidRPr="00285CEF">
        <w:rPr>
          <w:sz w:val="22"/>
          <w:szCs w:val="22"/>
          <w:lang w:val="sr-Latn-ME"/>
        </w:rPr>
        <w:t>] od 60 do manje od 90 ml/min), 48 pacijenata sa umjerenim oštećenjem bubrežne funkcije (</w:t>
      </w:r>
      <w:proofErr w:type="spellStart"/>
      <w:r w:rsidRPr="00285CEF">
        <w:rPr>
          <w:sz w:val="22"/>
          <w:szCs w:val="22"/>
          <w:lang w:val="sr-Latn-ME"/>
        </w:rPr>
        <w:t>CrCl</w:t>
      </w:r>
      <w:proofErr w:type="spellEnd"/>
      <w:r w:rsidRPr="00285CEF">
        <w:rPr>
          <w:sz w:val="22"/>
          <w:szCs w:val="22"/>
          <w:lang w:val="sr-Latn-ME"/>
        </w:rPr>
        <w:t xml:space="preserve"> od 30 do manje od 60 ml/min) i 286 pacijenata sa normalnom bubrežnom funkcijom (</w:t>
      </w:r>
      <w:proofErr w:type="spellStart"/>
      <w:r w:rsidRPr="00285CEF">
        <w:rPr>
          <w:sz w:val="22"/>
          <w:szCs w:val="22"/>
          <w:lang w:val="sr-Latn-ME"/>
        </w:rPr>
        <w:t>CrCl</w:t>
      </w:r>
      <w:proofErr w:type="spellEnd"/>
      <w:r w:rsidRPr="00285CEF">
        <w:rPr>
          <w:sz w:val="22"/>
          <w:szCs w:val="22"/>
          <w:lang w:val="sr-Latn-ME"/>
        </w:rPr>
        <w:t xml:space="preserve"> od 90 ml/min ili više) pokazala je da </w:t>
      </w:r>
      <w:proofErr w:type="spellStart"/>
      <w:r w:rsidRPr="00285CEF">
        <w:rPr>
          <w:sz w:val="22"/>
          <w:szCs w:val="22"/>
          <w:lang w:val="sr-Latn-ME"/>
        </w:rPr>
        <w:t>CrCl</w:t>
      </w:r>
      <w:proofErr w:type="spellEnd"/>
      <w:r w:rsidRPr="00285CEF">
        <w:rPr>
          <w:sz w:val="22"/>
          <w:szCs w:val="22"/>
          <w:lang w:val="sr-Latn-ME"/>
        </w:rPr>
        <w:t xml:space="preserve"> nema značajnog uticaja na izloženost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>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Prema </w:t>
      </w:r>
      <w:proofErr w:type="spellStart"/>
      <w:r w:rsidRPr="00285CEF">
        <w:rPr>
          <w:sz w:val="22"/>
          <w:szCs w:val="22"/>
          <w:lang w:val="sr-Latn-ME"/>
        </w:rPr>
        <w:t>populacijskoj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farmakokinetičkoj</w:t>
      </w:r>
      <w:proofErr w:type="spellEnd"/>
      <w:r w:rsidRPr="00285CEF">
        <w:rPr>
          <w:sz w:val="22"/>
          <w:szCs w:val="22"/>
          <w:lang w:val="sr-Latn-ME"/>
        </w:rPr>
        <w:t xml:space="preserve"> analizi, blago do umjereno oštećenje bubrežne funkcije ne utiče na izloženost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 xml:space="preserve">. Postoji minimalna količina podataka o primjeni lijeka </w:t>
      </w:r>
      <w:proofErr w:type="spellStart"/>
      <w:r w:rsidRPr="00285CEF">
        <w:rPr>
          <w:sz w:val="22"/>
          <w:szCs w:val="22"/>
          <w:lang w:val="sr-Latn-ME"/>
        </w:rPr>
        <w:t>Cotellic</w:t>
      </w:r>
      <w:proofErr w:type="spellEnd"/>
      <w:r w:rsidRPr="00285CEF">
        <w:rPr>
          <w:sz w:val="22"/>
          <w:szCs w:val="22"/>
          <w:lang w:val="sr-Latn-ME"/>
        </w:rPr>
        <w:t xml:space="preserve"> kod pacijenata sa teškim oštećenjem bubrežne funkcije. 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 </w:t>
      </w:r>
    </w:p>
    <w:p w:rsidR="0013132D" w:rsidRPr="00285CEF" w:rsidRDefault="0013132D">
      <w:pPr>
        <w:jc w:val="both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Oštećenje funkcije jetre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Farmakokinetika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ocjenjivala se kod 6 ispitanika </w:t>
      </w:r>
      <w:r w:rsidR="00136565" w:rsidRPr="00285CEF">
        <w:rPr>
          <w:sz w:val="22"/>
          <w:szCs w:val="22"/>
          <w:lang w:val="sr-Latn-ME"/>
        </w:rPr>
        <w:t xml:space="preserve">sa </w:t>
      </w:r>
      <w:r w:rsidRPr="00285CEF">
        <w:rPr>
          <w:sz w:val="22"/>
          <w:szCs w:val="22"/>
          <w:lang w:val="sr-Latn-ME"/>
        </w:rPr>
        <w:t>blagim oštećenjem funkcije jetre (</w:t>
      </w:r>
      <w:proofErr w:type="spellStart"/>
      <w:r w:rsidRPr="00285CEF">
        <w:rPr>
          <w:i/>
          <w:sz w:val="22"/>
          <w:szCs w:val="22"/>
          <w:lang w:val="sr-Latn-ME"/>
        </w:rPr>
        <w:t>Child</w:t>
      </w:r>
      <w:r w:rsidR="00136565" w:rsidRPr="00285CEF">
        <w:rPr>
          <w:i/>
          <w:sz w:val="22"/>
          <w:szCs w:val="22"/>
          <w:lang w:val="sr-Latn-ME"/>
        </w:rPr>
        <w:t>-</w:t>
      </w:r>
      <w:r w:rsidRPr="00285CEF">
        <w:rPr>
          <w:i/>
          <w:sz w:val="22"/>
          <w:szCs w:val="22"/>
          <w:lang w:val="sr-Latn-ME"/>
        </w:rPr>
        <w:t>Pugh</w:t>
      </w:r>
      <w:proofErr w:type="spellEnd"/>
      <w:r w:rsidRPr="00285CEF">
        <w:rPr>
          <w:sz w:val="22"/>
          <w:szCs w:val="22"/>
          <w:lang w:val="sr-Latn-ME"/>
        </w:rPr>
        <w:t xml:space="preserve"> stadijum A), 6 ispitanika sa umjerenim oštećenjem funkcije jetre (</w:t>
      </w:r>
      <w:proofErr w:type="spellStart"/>
      <w:r w:rsidRPr="00285CEF">
        <w:rPr>
          <w:i/>
          <w:sz w:val="22"/>
          <w:szCs w:val="22"/>
          <w:lang w:val="sr-Latn-ME"/>
        </w:rPr>
        <w:t>Child</w:t>
      </w:r>
      <w:r w:rsidR="00136565" w:rsidRPr="00285CEF">
        <w:rPr>
          <w:i/>
          <w:sz w:val="22"/>
          <w:szCs w:val="22"/>
          <w:lang w:val="sr-Latn-ME"/>
        </w:rPr>
        <w:t>-</w:t>
      </w:r>
      <w:r w:rsidRPr="00285CEF">
        <w:rPr>
          <w:i/>
          <w:sz w:val="22"/>
          <w:szCs w:val="22"/>
          <w:lang w:val="sr-Latn-ME"/>
        </w:rPr>
        <w:t>Pugh</w:t>
      </w:r>
      <w:proofErr w:type="spellEnd"/>
      <w:r w:rsidRPr="00285CEF">
        <w:rPr>
          <w:sz w:val="22"/>
          <w:szCs w:val="22"/>
          <w:lang w:val="sr-Latn-ME"/>
        </w:rPr>
        <w:t xml:space="preserve"> stadijum B), 6 ispitanika sa teškim oštećenjem funkcije jetre (</w:t>
      </w:r>
      <w:proofErr w:type="spellStart"/>
      <w:r w:rsidRPr="00285CEF">
        <w:rPr>
          <w:i/>
          <w:sz w:val="22"/>
          <w:szCs w:val="22"/>
          <w:lang w:val="sr-Latn-ME"/>
        </w:rPr>
        <w:t>Child</w:t>
      </w:r>
      <w:r w:rsidR="00136565" w:rsidRPr="00285CEF">
        <w:rPr>
          <w:i/>
          <w:sz w:val="22"/>
          <w:szCs w:val="22"/>
          <w:lang w:val="sr-Latn-ME"/>
        </w:rPr>
        <w:t>-</w:t>
      </w:r>
      <w:r w:rsidRPr="00285CEF">
        <w:rPr>
          <w:i/>
          <w:sz w:val="22"/>
          <w:szCs w:val="22"/>
          <w:lang w:val="sr-Latn-ME"/>
        </w:rPr>
        <w:t>Pugh</w:t>
      </w:r>
      <w:proofErr w:type="spellEnd"/>
      <w:r w:rsidRPr="00285CEF">
        <w:rPr>
          <w:sz w:val="22"/>
          <w:szCs w:val="22"/>
          <w:lang w:val="sr-Latn-ME"/>
        </w:rPr>
        <w:t xml:space="preserve"> stadijum C) i 10 zdravih ispitanika. Nivoi sistemske ukupne izloženosti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 xml:space="preserve"> nakon jedne doze </w:t>
      </w:r>
      <w:r w:rsidR="00136565" w:rsidRPr="00285CEF">
        <w:rPr>
          <w:sz w:val="22"/>
          <w:szCs w:val="22"/>
          <w:lang w:val="sr-Latn-ME"/>
        </w:rPr>
        <w:t xml:space="preserve">bili </w:t>
      </w:r>
      <w:r w:rsidRPr="00285CEF">
        <w:rPr>
          <w:sz w:val="22"/>
          <w:szCs w:val="22"/>
          <w:lang w:val="sr-Latn-ME"/>
        </w:rPr>
        <w:t xml:space="preserve">su </w:t>
      </w:r>
      <w:r w:rsidR="00136565" w:rsidRPr="00285CEF">
        <w:rPr>
          <w:sz w:val="22"/>
          <w:szCs w:val="22"/>
          <w:lang w:val="sr-Latn-ME"/>
        </w:rPr>
        <w:t xml:space="preserve">slični </w:t>
      </w:r>
      <w:r w:rsidRPr="00285CEF">
        <w:rPr>
          <w:sz w:val="22"/>
          <w:szCs w:val="22"/>
          <w:lang w:val="sr-Latn-ME"/>
        </w:rPr>
        <w:t xml:space="preserve">kod ispitanika sa blagim ili umjerenim oštećenjem funkcije jetre i zdravih ispitanika, dok su ispitanici sa teškim oštećenjem funkcije jetre imali nižu ukupnu izloženost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 xml:space="preserve"> (geometrijska srednja vrijednost odnosa </w:t>
      </w:r>
      <w:r w:rsidR="00136565" w:rsidRPr="00285CEF">
        <w:rPr>
          <w:sz w:val="22"/>
          <w:szCs w:val="22"/>
          <w:lang w:val="sr-Latn-ME"/>
        </w:rPr>
        <w:t>PIK</w:t>
      </w:r>
      <w:r w:rsidR="00136565" w:rsidRPr="00285CEF">
        <w:rPr>
          <w:sz w:val="22"/>
          <w:szCs w:val="22"/>
          <w:vertAlign w:val="subscript"/>
          <w:lang w:val="sr-Latn-ME"/>
        </w:rPr>
        <w:t>0</w:t>
      </w:r>
      <w:r w:rsidRPr="00285CEF">
        <w:rPr>
          <w:sz w:val="22"/>
          <w:szCs w:val="22"/>
          <w:vertAlign w:val="subscript"/>
          <w:lang w:val="sr-Latn-ME"/>
        </w:rPr>
        <w:t>- ∞</w:t>
      </w:r>
      <w:r w:rsidRPr="00285CEF">
        <w:rPr>
          <w:sz w:val="22"/>
          <w:szCs w:val="22"/>
          <w:lang w:val="sr-Latn-ME"/>
        </w:rPr>
        <w:t xml:space="preserve"> u odnosu na zdrave ispitanike iznosila je 0,69), što se ne smatra klinički značajnim. Izloženost nevezanom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 xml:space="preserve"> bila je slična kod ispitanika sa blagim odnosno umjerenim oštećenjem funkcije jetre i </w:t>
      </w:r>
      <w:r w:rsidRPr="00285CEF">
        <w:rPr>
          <w:sz w:val="22"/>
          <w:szCs w:val="22"/>
          <w:lang w:val="sr-Latn-ME"/>
        </w:rPr>
        <w:lastRenderedPageBreak/>
        <w:t>ispitanika sa normalnom funkcijom jetre, dok su ispitanici sa teškim oštećenjem funkcije jetre imali približno dvostruko veću izloženost (vidjeti dio 4.2).</w:t>
      </w:r>
    </w:p>
    <w:p w:rsidR="0013132D" w:rsidRPr="00285CEF" w:rsidRDefault="0013132D">
      <w:pPr>
        <w:jc w:val="both"/>
        <w:rPr>
          <w:i/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i/>
          <w:sz w:val="22"/>
          <w:szCs w:val="22"/>
          <w:lang w:val="sr-Latn-ME"/>
        </w:rPr>
      </w:pPr>
      <w:r w:rsidRPr="00285CEF">
        <w:rPr>
          <w:i/>
          <w:sz w:val="22"/>
          <w:szCs w:val="22"/>
          <w:lang w:val="sr-Latn-ME"/>
        </w:rPr>
        <w:t>Pedijatrijska populacija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821CE8" w:rsidRPr="00285CEF" w:rsidRDefault="00821CE8" w:rsidP="00B64A87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Ustanovljeno je da najveća podnošljiva doza (engl. </w:t>
      </w:r>
      <w:proofErr w:type="spellStart"/>
      <w:r w:rsidRPr="00285CEF">
        <w:rPr>
          <w:i/>
          <w:sz w:val="22"/>
          <w:szCs w:val="22"/>
          <w:lang w:val="sr-Latn-ME"/>
        </w:rPr>
        <w:t>maximum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tolerated</w:t>
      </w:r>
      <w:proofErr w:type="spellEnd"/>
      <w:r w:rsidRPr="00285CEF">
        <w:rPr>
          <w:i/>
          <w:sz w:val="22"/>
          <w:szCs w:val="22"/>
          <w:lang w:val="sr-Latn-ME"/>
        </w:rPr>
        <w:t xml:space="preserve"> </w:t>
      </w:r>
      <w:proofErr w:type="spellStart"/>
      <w:r w:rsidRPr="00285CEF">
        <w:rPr>
          <w:i/>
          <w:sz w:val="22"/>
          <w:szCs w:val="22"/>
          <w:lang w:val="sr-Latn-ME"/>
        </w:rPr>
        <w:t>dose</w:t>
      </w:r>
      <w:proofErr w:type="spellEnd"/>
      <w:r w:rsidRPr="00285CEF">
        <w:rPr>
          <w:sz w:val="22"/>
          <w:szCs w:val="22"/>
          <w:lang w:val="sr-Latn-ME"/>
        </w:rPr>
        <w:t>, MTD) kod pedijatrijskih pacijenata sa tumorom iznosi 0</w:t>
      </w:r>
      <w:r w:rsidR="00136565" w:rsidRPr="00285CEF">
        <w:rPr>
          <w:sz w:val="22"/>
          <w:szCs w:val="22"/>
          <w:lang w:val="sr-Latn-ME"/>
        </w:rPr>
        <w:t>,</w:t>
      </w:r>
      <w:r w:rsidRPr="00285CEF">
        <w:rPr>
          <w:sz w:val="22"/>
          <w:szCs w:val="22"/>
          <w:lang w:val="sr-Latn-ME"/>
        </w:rPr>
        <w:t>8 mg/kg na dan za tablete odnosno 1</w:t>
      </w:r>
      <w:r w:rsidR="00136565" w:rsidRPr="00285CEF">
        <w:rPr>
          <w:sz w:val="22"/>
          <w:szCs w:val="22"/>
          <w:lang w:val="sr-Latn-ME"/>
        </w:rPr>
        <w:t>,</w:t>
      </w:r>
      <w:r w:rsidRPr="00285CEF">
        <w:rPr>
          <w:sz w:val="22"/>
          <w:szCs w:val="22"/>
          <w:lang w:val="sr-Latn-ME"/>
        </w:rPr>
        <w:t>0 mg/kg na dan za suspenziju. Geometrijska srednja vrijednost (CV%) izloženosti u stanju dinamičke ravnoteže kod pedijatrijskih pacijenata kod primjene nominalne MTD od 1</w:t>
      </w:r>
      <w:r w:rsidR="00136565" w:rsidRPr="00285CEF">
        <w:rPr>
          <w:sz w:val="22"/>
          <w:szCs w:val="22"/>
          <w:lang w:val="sr-Latn-ME"/>
        </w:rPr>
        <w:t>,</w:t>
      </w:r>
      <w:r w:rsidRPr="00285CEF">
        <w:rPr>
          <w:sz w:val="22"/>
          <w:szCs w:val="22"/>
          <w:lang w:val="sr-Latn-ME"/>
        </w:rPr>
        <w:t xml:space="preserve">0 mg/kg/dan (u obliku suspenzije) iznosila je: </w:t>
      </w:r>
      <w:proofErr w:type="spellStart"/>
      <w:r w:rsidRPr="00285CEF">
        <w:rPr>
          <w:sz w:val="22"/>
          <w:szCs w:val="22"/>
          <w:lang w:val="sr-Latn-ME"/>
        </w:rPr>
        <w:t>C</w:t>
      </w:r>
      <w:r w:rsidRPr="00285CEF">
        <w:rPr>
          <w:sz w:val="22"/>
          <w:szCs w:val="22"/>
          <w:vertAlign w:val="subscript"/>
          <w:lang w:val="sr-Latn-ME"/>
        </w:rPr>
        <w:t>max</w:t>
      </w:r>
      <w:proofErr w:type="spellEnd"/>
      <w:r w:rsidRPr="00285CEF">
        <w:rPr>
          <w:sz w:val="22"/>
          <w:szCs w:val="22"/>
          <w:lang w:val="sr-Latn-ME"/>
        </w:rPr>
        <w:t xml:space="preserve">, </w:t>
      </w:r>
      <w:proofErr w:type="spellStart"/>
      <w:r w:rsidRPr="00285CEF">
        <w:rPr>
          <w:sz w:val="22"/>
          <w:szCs w:val="22"/>
          <w:vertAlign w:val="subscript"/>
          <w:lang w:val="sr-Latn-ME"/>
        </w:rPr>
        <w:t>ss</w:t>
      </w:r>
      <w:proofErr w:type="spellEnd"/>
      <w:r w:rsidRPr="00285CEF">
        <w:rPr>
          <w:sz w:val="22"/>
          <w:szCs w:val="22"/>
          <w:lang w:val="sr-Latn-ME"/>
        </w:rPr>
        <w:t xml:space="preserve"> 142 </w:t>
      </w:r>
      <w:proofErr w:type="spellStart"/>
      <w:r w:rsidRPr="00285CEF">
        <w:rPr>
          <w:sz w:val="22"/>
          <w:szCs w:val="22"/>
          <w:lang w:val="sr-Latn-ME"/>
        </w:rPr>
        <w:t>ng</w:t>
      </w:r>
      <w:proofErr w:type="spellEnd"/>
      <w:r w:rsidRPr="00285CEF">
        <w:rPr>
          <w:sz w:val="22"/>
          <w:szCs w:val="22"/>
          <w:lang w:val="sr-Latn-ME"/>
        </w:rPr>
        <w:t>/</w:t>
      </w:r>
      <w:r w:rsidR="00136565" w:rsidRPr="00285CEF">
        <w:rPr>
          <w:sz w:val="22"/>
          <w:szCs w:val="22"/>
          <w:lang w:val="sr-Latn-ME"/>
        </w:rPr>
        <w:t xml:space="preserve">ml </w:t>
      </w:r>
      <w:r w:rsidRPr="00285CEF">
        <w:rPr>
          <w:sz w:val="22"/>
          <w:szCs w:val="22"/>
          <w:lang w:val="sr-Latn-ME"/>
        </w:rPr>
        <w:t xml:space="preserve">(79,5%) i </w:t>
      </w:r>
      <w:r w:rsidR="00136565" w:rsidRPr="00285CEF">
        <w:rPr>
          <w:sz w:val="22"/>
          <w:szCs w:val="22"/>
          <w:lang w:val="sr-Latn-ME"/>
        </w:rPr>
        <w:t>PIK</w:t>
      </w:r>
      <w:r w:rsidR="00136565" w:rsidRPr="00285CEF">
        <w:rPr>
          <w:sz w:val="22"/>
          <w:szCs w:val="22"/>
          <w:vertAlign w:val="subscript"/>
          <w:lang w:val="sr-Latn-ME"/>
        </w:rPr>
        <w:t>0</w:t>
      </w:r>
      <w:r w:rsidRPr="00285CEF">
        <w:rPr>
          <w:sz w:val="22"/>
          <w:szCs w:val="22"/>
          <w:vertAlign w:val="subscript"/>
          <w:lang w:val="sr-Latn-ME"/>
        </w:rPr>
        <w:t>-24</w:t>
      </w:r>
      <w:r w:rsidRPr="00285CEF">
        <w:rPr>
          <w:sz w:val="22"/>
          <w:szCs w:val="22"/>
          <w:lang w:val="sr-Latn-ME"/>
        </w:rPr>
        <w:t xml:space="preserve">, </w:t>
      </w:r>
      <w:proofErr w:type="spellStart"/>
      <w:r w:rsidRPr="00285CEF">
        <w:rPr>
          <w:sz w:val="22"/>
          <w:szCs w:val="22"/>
          <w:vertAlign w:val="subscript"/>
          <w:lang w:val="sr-Latn-ME"/>
        </w:rPr>
        <w:t>ss</w:t>
      </w:r>
      <w:proofErr w:type="spellEnd"/>
      <w:r w:rsidRPr="00285CEF">
        <w:rPr>
          <w:sz w:val="22"/>
          <w:szCs w:val="22"/>
          <w:lang w:val="sr-Latn-ME"/>
        </w:rPr>
        <w:t xml:space="preserve"> 1862 </w:t>
      </w:r>
      <w:proofErr w:type="spellStart"/>
      <w:r w:rsidRPr="00285CEF">
        <w:rPr>
          <w:sz w:val="22"/>
          <w:szCs w:val="22"/>
          <w:lang w:val="sr-Latn-ME"/>
        </w:rPr>
        <w:t>ng.h</w:t>
      </w:r>
      <w:proofErr w:type="spellEnd"/>
      <w:r w:rsidRPr="00285CEF">
        <w:rPr>
          <w:sz w:val="22"/>
          <w:szCs w:val="22"/>
          <w:lang w:val="sr-Latn-ME"/>
        </w:rPr>
        <w:t>/</w:t>
      </w:r>
      <w:r w:rsidR="00136565" w:rsidRPr="00285CEF">
        <w:rPr>
          <w:sz w:val="22"/>
          <w:szCs w:val="22"/>
          <w:lang w:val="sr-Latn-ME"/>
        </w:rPr>
        <w:t xml:space="preserve">ml </w:t>
      </w:r>
      <w:r w:rsidRPr="00285CEF">
        <w:rPr>
          <w:sz w:val="22"/>
          <w:szCs w:val="22"/>
          <w:lang w:val="sr-Latn-ME"/>
        </w:rPr>
        <w:t>(87,0%), što je približno 50% manje od izloženosti kod odraslih pacijenata pri dozi od 60 mg jednom dnevno.</w:t>
      </w: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85CEF" w:rsidRDefault="0072020E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5.3.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proofErr w:type="spellStart"/>
      <w:r w:rsidRPr="00285CEF">
        <w:rPr>
          <w:b/>
          <w:bCs/>
          <w:sz w:val="22"/>
          <w:szCs w:val="22"/>
          <w:lang w:val="sr-Latn-ME"/>
        </w:rPr>
        <w:t>Pretklinički</w:t>
      </w:r>
      <w:proofErr w:type="spellEnd"/>
      <w:r w:rsidRPr="00285CEF">
        <w:rPr>
          <w:b/>
          <w:bCs/>
          <w:sz w:val="22"/>
          <w:szCs w:val="22"/>
          <w:lang w:val="sr-Latn-ME"/>
        </w:rPr>
        <w:t xml:space="preserve"> podaci o bezbjednosti </w:t>
      </w:r>
    </w:p>
    <w:p w:rsidR="0013132D" w:rsidRPr="00285CEF" w:rsidRDefault="0013132D" w:rsidP="00B64A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A77B26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Nijesu sprovedena ispitivanja </w:t>
      </w:r>
      <w:proofErr w:type="spellStart"/>
      <w:r w:rsidR="008031CA" w:rsidRPr="00285CEF">
        <w:rPr>
          <w:sz w:val="22"/>
          <w:szCs w:val="22"/>
          <w:lang w:val="sr-Latn-ME"/>
        </w:rPr>
        <w:t>karcinogenosti</w:t>
      </w:r>
      <w:proofErr w:type="spellEnd"/>
      <w:r w:rsidR="008031CA"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. Standardna ispitivanja </w:t>
      </w:r>
      <w:proofErr w:type="spellStart"/>
      <w:r w:rsidRPr="00285CEF">
        <w:rPr>
          <w:sz w:val="22"/>
          <w:szCs w:val="22"/>
          <w:lang w:val="sr-Latn-ME"/>
        </w:rPr>
        <w:t>genotoksičnosti</w:t>
      </w:r>
      <w:proofErr w:type="spellEnd"/>
      <w:r w:rsidRPr="00285CEF">
        <w:rPr>
          <w:sz w:val="22"/>
          <w:szCs w:val="22"/>
          <w:lang w:val="sr-Latn-ME"/>
        </w:rPr>
        <w:t xml:space="preserve">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bila su negativna.</w:t>
      </w:r>
    </w:p>
    <w:p w:rsidR="0013132D" w:rsidRPr="00285CEF" w:rsidRDefault="0013132D" w:rsidP="004812D1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8D0ED5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Nijesu sprovedena posebna ispitivanja uticaja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na plodnost životinja. U studijama toksičnosti prim</w:t>
      </w:r>
      <w:r w:rsidR="008031CA" w:rsidRPr="00285CEF">
        <w:rPr>
          <w:sz w:val="22"/>
          <w:szCs w:val="22"/>
          <w:lang w:val="sr-Latn-ME"/>
        </w:rPr>
        <w:t>i</w:t>
      </w:r>
      <w:r w:rsidRPr="00285CEF">
        <w:rPr>
          <w:sz w:val="22"/>
          <w:szCs w:val="22"/>
          <w:lang w:val="sr-Latn-ME"/>
        </w:rPr>
        <w:t xml:space="preserve">jećene su degenerativne promjene reproduktivnih tkiva, uključujući povećanu </w:t>
      </w:r>
      <w:proofErr w:type="spellStart"/>
      <w:r w:rsidRPr="00285CEF">
        <w:rPr>
          <w:sz w:val="22"/>
          <w:szCs w:val="22"/>
          <w:lang w:val="sr-Latn-ME"/>
        </w:rPr>
        <w:t>apoptozu</w:t>
      </w:r>
      <w:proofErr w:type="spellEnd"/>
      <w:r w:rsidRPr="00285CEF">
        <w:rPr>
          <w:sz w:val="22"/>
          <w:szCs w:val="22"/>
          <w:lang w:val="sr-Latn-ME"/>
        </w:rPr>
        <w:t>/</w:t>
      </w:r>
      <w:proofErr w:type="spellStart"/>
      <w:r w:rsidRPr="00285CEF">
        <w:rPr>
          <w:sz w:val="22"/>
          <w:szCs w:val="22"/>
          <w:lang w:val="sr-Latn-ME"/>
        </w:rPr>
        <w:t>nekrozu</w:t>
      </w:r>
      <w:proofErr w:type="spellEnd"/>
      <w:r w:rsidRPr="00285CEF">
        <w:rPr>
          <w:sz w:val="22"/>
          <w:szCs w:val="22"/>
          <w:lang w:val="sr-Latn-ME"/>
        </w:rPr>
        <w:t xml:space="preserve"> žutih tijela i sjemenih mjehurića, </w:t>
      </w:r>
      <w:proofErr w:type="spellStart"/>
      <w:r w:rsidRPr="00285CEF">
        <w:rPr>
          <w:sz w:val="22"/>
          <w:szCs w:val="22"/>
          <w:lang w:val="sr-Latn-ME"/>
        </w:rPr>
        <w:t>epitelnih</w:t>
      </w:r>
      <w:proofErr w:type="spellEnd"/>
      <w:r w:rsidRPr="00285CEF">
        <w:rPr>
          <w:sz w:val="22"/>
          <w:szCs w:val="22"/>
          <w:lang w:val="sr-Latn-ME"/>
        </w:rPr>
        <w:t xml:space="preserve"> ćelija </w:t>
      </w:r>
      <w:proofErr w:type="spellStart"/>
      <w:r w:rsidRPr="00285CEF">
        <w:rPr>
          <w:sz w:val="22"/>
          <w:szCs w:val="22"/>
          <w:lang w:val="sr-Latn-ME"/>
        </w:rPr>
        <w:t>epididimisa</w:t>
      </w:r>
      <w:proofErr w:type="spellEnd"/>
      <w:r w:rsidRPr="00285CEF">
        <w:rPr>
          <w:sz w:val="22"/>
          <w:szCs w:val="22"/>
          <w:lang w:val="sr-Latn-ME"/>
        </w:rPr>
        <w:t xml:space="preserve"> i vagine kod pacova i </w:t>
      </w:r>
      <w:proofErr w:type="spellStart"/>
      <w:r w:rsidRPr="00285CEF">
        <w:rPr>
          <w:sz w:val="22"/>
          <w:szCs w:val="22"/>
          <w:lang w:val="sr-Latn-ME"/>
        </w:rPr>
        <w:t>epitelnih</w:t>
      </w:r>
      <w:proofErr w:type="spellEnd"/>
      <w:r w:rsidRPr="00285CEF">
        <w:rPr>
          <w:sz w:val="22"/>
          <w:szCs w:val="22"/>
          <w:lang w:val="sr-Latn-ME"/>
        </w:rPr>
        <w:t xml:space="preserve"> ćelija </w:t>
      </w:r>
      <w:proofErr w:type="spellStart"/>
      <w:r w:rsidRPr="00285CEF">
        <w:rPr>
          <w:sz w:val="22"/>
          <w:szCs w:val="22"/>
          <w:lang w:val="sr-Latn-ME"/>
        </w:rPr>
        <w:t>epididimisa</w:t>
      </w:r>
      <w:proofErr w:type="spellEnd"/>
      <w:r w:rsidRPr="00285CEF">
        <w:rPr>
          <w:sz w:val="22"/>
          <w:szCs w:val="22"/>
          <w:lang w:val="sr-Latn-ME"/>
        </w:rPr>
        <w:t xml:space="preserve"> kod pasa. Klinički značaj toga nije poznat. </w:t>
      </w:r>
    </w:p>
    <w:p w:rsidR="0013132D" w:rsidRPr="00285CEF" w:rsidRDefault="0013132D" w:rsidP="00CC3B0C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B724B9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Kada se primjenjivao skotnim ženkama pacova,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je prouzrokovao </w:t>
      </w:r>
      <w:proofErr w:type="spellStart"/>
      <w:r w:rsidRPr="00285CEF">
        <w:rPr>
          <w:sz w:val="22"/>
          <w:szCs w:val="22"/>
          <w:lang w:val="sr-Latn-ME"/>
        </w:rPr>
        <w:t>embrioletalnost</w:t>
      </w:r>
      <w:proofErr w:type="spellEnd"/>
      <w:r w:rsidRPr="00285CEF">
        <w:rPr>
          <w:sz w:val="22"/>
          <w:szCs w:val="22"/>
          <w:lang w:val="sr-Latn-ME"/>
        </w:rPr>
        <w:t xml:space="preserve"> te </w:t>
      </w:r>
      <w:proofErr w:type="spellStart"/>
      <w:r w:rsidRPr="00285CEF">
        <w:rPr>
          <w:sz w:val="22"/>
          <w:szCs w:val="22"/>
          <w:lang w:val="sr-Latn-ME"/>
        </w:rPr>
        <w:t>malformacije</w:t>
      </w:r>
      <w:proofErr w:type="spellEnd"/>
      <w:r w:rsidRPr="00285CEF">
        <w:rPr>
          <w:sz w:val="22"/>
          <w:szCs w:val="22"/>
          <w:lang w:val="sr-Latn-ME"/>
        </w:rPr>
        <w:t xml:space="preserve"> velikih krvnih sudova i lobanje ploda pri sistemskim izloženostima sličnim onima koje se postižu kod </w:t>
      </w:r>
      <w:proofErr w:type="spellStart"/>
      <w:r w:rsidRPr="00285CEF">
        <w:rPr>
          <w:sz w:val="22"/>
          <w:szCs w:val="22"/>
          <w:lang w:val="sr-Latn-ME"/>
        </w:rPr>
        <w:t>ljudi</w:t>
      </w:r>
      <w:proofErr w:type="spellEnd"/>
      <w:r w:rsidRPr="00285CEF">
        <w:rPr>
          <w:sz w:val="22"/>
          <w:szCs w:val="22"/>
          <w:lang w:val="sr-Latn-ME"/>
        </w:rPr>
        <w:t xml:space="preserve"> kod primjene preporučene doze. </w:t>
      </w:r>
    </w:p>
    <w:p w:rsidR="0013132D" w:rsidRPr="00285CEF" w:rsidRDefault="0013132D" w:rsidP="00F304F3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Kardiovaskularna</w:t>
      </w:r>
      <w:proofErr w:type="spellEnd"/>
      <w:r w:rsidRPr="00285CEF">
        <w:rPr>
          <w:sz w:val="22"/>
          <w:szCs w:val="22"/>
          <w:lang w:val="sr-Latn-ME"/>
        </w:rPr>
        <w:t xml:space="preserve"> bezbjednost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u kombinaciji sa </w:t>
      </w:r>
      <w:proofErr w:type="spellStart"/>
      <w:r w:rsidRPr="00285CEF">
        <w:rPr>
          <w:sz w:val="22"/>
          <w:szCs w:val="22"/>
          <w:lang w:val="sr-Latn-ME"/>
        </w:rPr>
        <w:t>vemurafenibom</w:t>
      </w:r>
      <w:proofErr w:type="spellEnd"/>
      <w:r w:rsidRPr="00285CEF">
        <w:rPr>
          <w:sz w:val="22"/>
          <w:szCs w:val="22"/>
          <w:lang w:val="sr-Latn-ME"/>
        </w:rPr>
        <w:t xml:space="preserve"> nije ispitivana </w:t>
      </w:r>
      <w:r w:rsidRPr="00285CEF">
        <w:rPr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i/>
          <w:sz w:val="22"/>
          <w:szCs w:val="22"/>
          <w:lang w:val="sr-Latn-ME"/>
        </w:rPr>
        <w:t>vivo</w:t>
      </w:r>
      <w:proofErr w:type="spellEnd"/>
      <w:r w:rsidRPr="00285CEF">
        <w:rPr>
          <w:i/>
          <w:sz w:val="22"/>
          <w:szCs w:val="22"/>
          <w:lang w:val="sr-Latn-ME"/>
        </w:rPr>
        <w:t>.</w:t>
      </w:r>
      <w:r w:rsidRPr="00285CEF">
        <w:rPr>
          <w:sz w:val="22"/>
          <w:szCs w:val="22"/>
          <w:lang w:val="sr-Latn-ME"/>
        </w:rPr>
        <w:t xml:space="preserve"> </w:t>
      </w:r>
      <w:r w:rsidRPr="00285CEF">
        <w:rPr>
          <w:i/>
          <w:sz w:val="22"/>
          <w:szCs w:val="22"/>
          <w:lang w:val="sr-Latn-ME"/>
        </w:rPr>
        <w:t xml:space="preserve">In </w:t>
      </w:r>
      <w:proofErr w:type="spellStart"/>
      <w:r w:rsidRPr="00285CEF">
        <w:rPr>
          <w:i/>
          <w:sz w:val="22"/>
          <w:szCs w:val="22"/>
          <w:lang w:val="sr-Latn-ME"/>
        </w:rPr>
        <w:t>vitro</w:t>
      </w:r>
      <w:proofErr w:type="spellEnd"/>
      <w:r w:rsidRPr="00285CEF">
        <w:rPr>
          <w:sz w:val="22"/>
          <w:szCs w:val="22"/>
          <w:lang w:val="sr-Latn-ME"/>
        </w:rPr>
        <w:t xml:space="preserve"> je </w:t>
      </w:r>
      <w:proofErr w:type="spellStart"/>
      <w:r w:rsidRPr="00285CEF">
        <w:rPr>
          <w:sz w:val="22"/>
          <w:szCs w:val="22"/>
          <w:lang w:val="sr-Latn-ME"/>
        </w:rPr>
        <w:t>kobimetinib</w:t>
      </w:r>
      <w:proofErr w:type="spellEnd"/>
      <w:r w:rsidRPr="00285CEF">
        <w:rPr>
          <w:sz w:val="22"/>
          <w:szCs w:val="22"/>
          <w:lang w:val="sr-Latn-ME"/>
        </w:rPr>
        <w:t xml:space="preserve"> prouzrokovao umjerenu inhibiciju </w:t>
      </w:r>
      <w:proofErr w:type="spellStart"/>
      <w:r w:rsidRPr="00285CEF">
        <w:rPr>
          <w:sz w:val="22"/>
          <w:szCs w:val="22"/>
          <w:lang w:val="sr-Latn-ME"/>
        </w:rPr>
        <w:t>hERG</w:t>
      </w:r>
      <w:proofErr w:type="spellEnd"/>
      <w:r w:rsidRPr="00285CEF">
        <w:rPr>
          <w:sz w:val="22"/>
          <w:szCs w:val="22"/>
          <w:lang w:val="sr-Latn-ME"/>
        </w:rPr>
        <w:t xml:space="preserve"> jonskih kanala (IC</w:t>
      </w:r>
      <w:r w:rsidRPr="00285CEF">
        <w:rPr>
          <w:sz w:val="22"/>
          <w:szCs w:val="22"/>
          <w:vertAlign w:val="subscript"/>
          <w:lang w:val="sr-Latn-ME"/>
        </w:rPr>
        <w:t>50</w:t>
      </w:r>
      <w:r w:rsidRPr="00285CEF">
        <w:rPr>
          <w:sz w:val="22"/>
          <w:szCs w:val="22"/>
          <w:lang w:val="sr-Latn-ME"/>
        </w:rPr>
        <w:t xml:space="preserve">= 0,5 µM [266 </w:t>
      </w:r>
      <w:proofErr w:type="spellStart"/>
      <w:r w:rsidRPr="00285CEF">
        <w:rPr>
          <w:sz w:val="22"/>
          <w:szCs w:val="22"/>
          <w:lang w:val="sr-Latn-ME"/>
        </w:rPr>
        <w:t>ng</w:t>
      </w:r>
      <w:proofErr w:type="spellEnd"/>
      <w:r w:rsidRPr="00285CEF">
        <w:rPr>
          <w:sz w:val="22"/>
          <w:szCs w:val="22"/>
          <w:lang w:val="sr-Latn-ME"/>
        </w:rPr>
        <w:t xml:space="preserve">/ml]), pri koncentraciji koja je približno 18 puta veća od maksimuma </w:t>
      </w:r>
      <w:proofErr w:type="spellStart"/>
      <w:r w:rsidRPr="00285CEF">
        <w:rPr>
          <w:sz w:val="22"/>
          <w:szCs w:val="22"/>
          <w:lang w:val="sr-Latn-ME"/>
        </w:rPr>
        <w:t>plazmatskih</w:t>
      </w:r>
      <w:proofErr w:type="spellEnd"/>
      <w:r w:rsidRPr="00285CEF">
        <w:rPr>
          <w:sz w:val="22"/>
          <w:szCs w:val="22"/>
          <w:lang w:val="sr-Latn-ME"/>
        </w:rPr>
        <w:t xml:space="preserve"> koncentracija (</w:t>
      </w:r>
      <w:proofErr w:type="spellStart"/>
      <w:r w:rsidRPr="00285CEF">
        <w:rPr>
          <w:sz w:val="22"/>
          <w:szCs w:val="22"/>
          <w:lang w:val="sr-Latn-ME"/>
        </w:rPr>
        <w:t>C</w:t>
      </w:r>
      <w:r w:rsidRPr="00285CEF">
        <w:rPr>
          <w:sz w:val="22"/>
          <w:szCs w:val="22"/>
          <w:vertAlign w:val="subscript"/>
          <w:lang w:val="sr-Latn-ME"/>
        </w:rPr>
        <w:t>max</w:t>
      </w:r>
      <w:proofErr w:type="spellEnd"/>
      <w:r w:rsidRPr="00285CEF">
        <w:rPr>
          <w:sz w:val="22"/>
          <w:szCs w:val="22"/>
          <w:lang w:val="sr-Latn-ME"/>
        </w:rPr>
        <w:t>) postignutih nakon primjene doze od 60 mg, koja će se nalaziti na tržištu (</w:t>
      </w:r>
      <w:proofErr w:type="spellStart"/>
      <w:r w:rsidRPr="00285CEF">
        <w:rPr>
          <w:sz w:val="22"/>
          <w:szCs w:val="22"/>
          <w:lang w:val="sr-Latn-ME"/>
        </w:rPr>
        <w:t>C</w:t>
      </w:r>
      <w:r w:rsidRPr="00285CEF">
        <w:rPr>
          <w:sz w:val="22"/>
          <w:szCs w:val="22"/>
          <w:vertAlign w:val="subscript"/>
          <w:lang w:val="sr-Latn-ME"/>
        </w:rPr>
        <w:t>max</w:t>
      </w:r>
      <w:proofErr w:type="spellEnd"/>
      <w:r w:rsidRPr="00285CEF">
        <w:rPr>
          <w:sz w:val="22"/>
          <w:szCs w:val="22"/>
          <w:lang w:val="sr-Latn-ME"/>
        </w:rPr>
        <w:t xml:space="preserve"> nevezanog lijeka = 14 </w:t>
      </w:r>
      <w:proofErr w:type="spellStart"/>
      <w:r w:rsidRPr="00285CEF">
        <w:rPr>
          <w:sz w:val="22"/>
          <w:szCs w:val="22"/>
          <w:lang w:val="sr-Latn-ME"/>
        </w:rPr>
        <w:t>ng</w:t>
      </w:r>
      <w:proofErr w:type="spellEnd"/>
      <w:r w:rsidRPr="00285CEF">
        <w:rPr>
          <w:sz w:val="22"/>
          <w:szCs w:val="22"/>
          <w:lang w:val="sr-Latn-ME"/>
        </w:rPr>
        <w:t xml:space="preserve">/ml [0,03 µM]). </w:t>
      </w: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</w:p>
    <w:p w:rsidR="0013132D" w:rsidRPr="00285CEF" w:rsidRDefault="0013132D" w:rsidP="00DA6C1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Ispitivanja toksičnosti na pacovima i psima ukazala su na načelno </w:t>
      </w:r>
      <w:proofErr w:type="spellStart"/>
      <w:r w:rsidRPr="00285CEF">
        <w:rPr>
          <w:sz w:val="22"/>
          <w:szCs w:val="22"/>
          <w:lang w:val="sr-Latn-ME"/>
        </w:rPr>
        <w:t>reverzibilne</w:t>
      </w:r>
      <w:proofErr w:type="spellEnd"/>
      <w:r w:rsidRPr="00285CEF">
        <w:rPr>
          <w:sz w:val="22"/>
          <w:szCs w:val="22"/>
          <w:lang w:val="sr-Latn-ME"/>
        </w:rPr>
        <w:t xml:space="preserve"> degenerativne promjene u </w:t>
      </w:r>
      <w:proofErr w:type="spellStart"/>
      <w:r w:rsidRPr="00285CEF">
        <w:rPr>
          <w:sz w:val="22"/>
          <w:szCs w:val="22"/>
          <w:lang w:val="sr-Latn-ME"/>
        </w:rPr>
        <w:t>kostnoj</w:t>
      </w:r>
      <w:proofErr w:type="spellEnd"/>
      <w:r w:rsidRPr="00285CEF">
        <w:rPr>
          <w:sz w:val="22"/>
          <w:szCs w:val="22"/>
          <w:lang w:val="sr-Latn-ME"/>
        </w:rPr>
        <w:t xml:space="preserve"> srži, gastrointestinalnom sistemu, koži, </w:t>
      </w:r>
      <w:proofErr w:type="spellStart"/>
      <w:r w:rsidRPr="00285CEF">
        <w:rPr>
          <w:sz w:val="22"/>
          <w:szCs w:val="22"/>
          <w:lang w:val="sr-Latn-ME"/>
        </w:rPr>
        <w:t>timusu</w:t>
      </w:r>
      <w:proofErr w:type="spellEnd"/>
      <w:r w:rsidRPr="00285CEF">
        <w:rPr>
          <w:sz w:val="22"/>
          <w:szCs w:val="22"/>
          <w:lang w:val="sr-Latn-ME"/>
        </w:rPr>
        <w:t xml:space="preserve">, nadbubrežnim žlijezdama, jetri, </w:t>
      </w:r>
      <w:r w:rsidR="008031CA" w:rsidRPr="00285CEF">
        <w:rPr>
          <w:sz w:val="22"/>
          <w:szCs w:val="22"/>
          <w:lang w:val="sr-Latn-ME"/>
        </w:rPr>
        <w:t>slezini</w:t>
      </w:r>
      <w:r w:rsidRPr="00285CEF">
        <w:rPr>
          <w:sz w:val="22"/>
          <w:szCs w:val="22"/>
          <w:lang w:val="sr-Latn-ME"/>
        </w:rPr>
        <w:t xml:space="preserve">, limfnim čvorovima, bubrezima, srcu, jajnicima i vagini pri </w:t>
      </w:r>
      <w:proofErr w:type="spellStart"/>
      <w:r w:rsidRPr="00285CEF">
        <w:rPr>
          <w:sz w:val="22"/>
          <w:szCs w:val="22"/>
          <w:lang w:val="sr-Latn-ME"/>
        </w:rPr>
        <w:t>plazmatskim</w:t>
      </w:r>
      <w:proofErr w:type="spellEnd"/>
      <w:r w:rsidRPr="00285CEF">
        <w:rPr>
          <w:sz w:val="22"/>
          <w:szCs w:val="22"/>
          <w:lang w:val="sr-Latn-ME"/>
        </w:rPr>
        <w:t xml:space="preserve"> nivoima izloženosti nižim od klinički efikasnih nivoa. Toksičnosti koje su ograničavale dozu uključivale su kožne </w:t>
      </w:r>
      <w:proofErr w:type="spellStart"/>
      <w:r w:rsidRPr="00285CEF">
        <w:rPr>
          <w:sz w:val="22"/>
          <w:szCs w:val="22"/>
          <w:lang w:val="sr-Latn-ME"/>
        </w:rPr>
        <w:t>ulceracije</w:t>
      </w:r>
      <w:proofErr w:type="spellEnd"/>
      <w:r w:rsidRPr="00285CEF">
        <w:rPr>
          <w:sz w:val="22"/>
          <w:szCs w:val="22"/>
          <w:lang w:val="sr-Latn-ME"/>
        </w:rPr>
        <w:t xml:space="preserve">, površinske </w:t>
      </w:r>
      <w:proofErr w:type="spellStart"/>
      <w:r w:rsidRPr="00285CEF">
        <w:rPr>
          <w:sz w:val="22"/>
          <w:szCs w:val="22"/>
          <w:lang w:val="sr-Latn-ME"/>
        </w:rPr>
        <w:t>eksudate</w:t>
      </w:r>
      <w:proofErr w:type="spellEnd"/>
      <w:r w:rsidRPr="00285CEF">
        <w:rPr>
          <w:sz w:val="22"/>
          <w:szCs w:val="22"/>
          <w:lang w:val="sr-Latn-ME"/>
        </w:rPr>
        <w:t xml:space="preserve"> i </w:t>
      </w:r>
      <w:proofErr w:type="spellStart"/>
      <w:r w:rsidRPr="00285CEF">
        <w:rPr>
          <w:sz w:val="22"/>
          <w:szCs w:val="22"/>
          <w:lang w:val="sr-Latn-ME"/>
        </w:rPr>
        <w:t>akantozu</w:t>
      </w:r>
      <w:proofErr w:type="spellEnd"/>
      <w:r w:rsidRPr="00285CEF">
        <w:rPr>
          <w:sz w:val="22"/>
          <w:szCs w:val="22"/>
          <w:lang w:val="sr-Latn-ME"/>
        </w:rPr>
        <w:t xml:space="preserve"> kod pacova</w:t>
      </w:r>
      <w:r w:rsidR="008031CA" w:rsidRPr="00285CEF">
        <w:rPr>
          <w:sz w:val="22"/>
          <w:szCs w:val="22"/>
          <w:lang w:val="sr-Latn-ME"/>
        </w:rPr>
        <w:t>,</w:t>
      </w:r>
      <w:r w:rsidRPr="00285CEF">
        <w:rPr>
          <w:sz w:val="22"/>
          <w:szCs w:val="22"/>
          <w:lang w:val="sr-Latn-ME"/>
        </w:rPr>
        <w:t xml:space="preserve"> i hroničnu aktivnu upalu i degeneraciju jednjaka povezanu sa različitim stepenima </w:t>
      </w:r>
      <w:proofErr w:type="spellStart"/>
      <w:r w:rsidRPr="00285CEF">
        <w:rPr>
          <w:sz w:val="22"/>
          <w:szCs w:val="22"/>
          <w:lang w:val="sr-Latn-ME"/>
        </w:rPr>
        <w:t>gastroenteropatije</w:t>
      </w:r>
      <w:proofErr w:type="spellEnd"/>
      <w:r w:rsidRPr="00285CEF">
        <w:rPr>
          <w:sz w:val="22"/>
          <w:szCs w:val="22"/>
          <w:lang w:val="sr-Latn-ME"/>
        </w:rPr>
        <w:t xml:space="preserve"> kod pasa.</w:t>
      </w: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</w:p>
    <w:p w:rsidR="0013132D" w:rsidRPr="00285CEF" w:rsidRDefault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U ispitivanju toksičnosti ponovljenih doza na </w:t>
      </w:r>
      <w:proofErr w:type="spellStart"/>
      <w:r w:rsidRPr="00285CEF">
        <w:rPr>
          <w:sz w:val="22"/>
          <w:szCs w:val="22"/>
          <w:lang w:val="sr-Latn-ME"/>
        </w:rPr>
        <w:t>juvenilnim</w:t>
      </w:r>
      <w:proofErr w:type="spellEnd"/>
      <w:r w:rsidRPr="00285CEF">
        <w:rPr>
          <w:sz w:val="22"/>
          <w:szCs w:val="22"/>
          <w:lang w:val="sr-Latn-ME"/>
        </w:rPr>
        <w:t xml:space="preserve"> pacovima, nivoi sistemske izloženosti </w:t>
      </w:r>
      <w:proofErr w:type="spellStart"/>
      <w:r w:rsidRPr="00285CEF">
        <w:rPr>
          <w:sz w:val="22"/>
          <w:szCs w:val="22"/>
          <w:lang w:val="sr-Latn-ME"/>
        </w:rPr>
        <w:t>kobimetinibu</w:t>
      </w:r>
      <w:proofErr w:type="spellEnd"/>
      <w:r w:rsidRPr="00285CEF">
        <w:rPr>
          <w:sz w:val="22"/>
          <w:szCs w:val="22"/>
          <w:lang w:val="sr-Latn-ME"/>
        </w:rPr>
        <w:t xml:space="preserve"> bile su 2 – 11 puta veće 10. dana nakon okota nego 38. dana nakon okota, kada su nivoi izloženosti </w:t>
      </w:r>
      <w:r w:rsidR="008031CA" w:rsidRPr="00285CEF">
        <w:rPr>
          <w:sz w:val="22"/>
          <w:szCs w:val="22"/>
          <w:lang w:val="sr-Latn-ME"/>
        </w:rPr>
        <w:t xml:space="preserve">bili slični </w:t>
      </w:r>
      <w:r w:rsidRPr="00285CEF">
        <w:rPr>
          <w:sz w:val="22"/>
          <w:szCs w:val="22"/>
          <w:lang w:val="sr-Latn-ME"/>
        </w:rPr>
        <w:t xml:space="preserve">onim kod odraslih pacova. Kod </w:t>
      </w:r>
      <w:proofErr w:type="spellStart"/>
      <w:r w:rsidRPr="00285CEF">
        <w:rPr>
          <w:sz w:val="22"/>
          <w:szCs w:val="22"/>
          <w:lang w:val="sr-Latn-ME"/>
        </w:rPr>
        <w:t>juvenilnih</w:t>
      </w:r>
      <w:proofErr w:type="spellEnd"/>
      <w:r w:rsidRPr="00285CEF">
        <w:rPr>
          <w:sz w:val="22"/>
          <w:szCs w:val="22"/>
          <w:lang w:val="sr-Latn-ME"/>
        </w:rPr>
        <w:t xml:space="preserve"> pacova je primjena </w:t>
      </w:r>
      <w:proofErr w:type="spellStart"/>
      <w:r w:rsidRPr="00285CEF">
        <w:rPr>
          <w:sz w:val="22"/>
          <w:szCs w:val="22"/>
          <w:lang w:val="sr-Latn-ME"/>
        </w:rPr>
        <w:t>kobimetiniba</w:t>
      </w:r>
      <w:proofErr w:type="spellEnd"/>
      <w:r w:rsidRPr="00285CEF">
        <w:rPr>
          <w:sz w:val="22"/>
          <w:szCs w:val="22"/>
          <w:lang w:val="sr-Latn-ME"/>
        </w:rPr>
        <w:t xml:space="preserve"> dovela do promjena sličnih onim </w:t>
      </w:r>
      <w:proofErr w:type="spellStart"/>
      <w:r w:rsidRPr="00285CEF">
        <w:rPr>
          <w:sz w:val="22"/>
          <w:szCs w:val="22"/>
          <w:lang w:val="sr-Latn-ME"/>
        </w:rPr>
        <w:t>primijećenim</w:t>
      </w:r>
      <w:proofErr w:type="spellEnd"/>
      <w:r w:rsidRPr="00285CEF">
        <w:rPr>
          <w:sz w:val="22"/>
          <w:szCs w:val="22"/>
          <w:lang w:val="sr-Latn-ME"/>
        </w:rPr>
        <w:t xml:space="preserve"> u </w:t>
      </w:r>
      <w:proofErr w:type="spellStart"/>
      <w:r w:rsidRPr="00285CEF">
        <w:rPr>
          <w:sz w:val="22"/>
          <w:szCs w:val="22"/>
          <w:lang w:val="sr-Latn-ME"/>
        </w:rPr>
        <w:t>pivotalnim</w:t>
      </w:r>
      <w:proofErr w:type="spellEnd"/>
      <w:r w:rsidRPr="00285CEF">
        <w:rPr>
          <w:sz w:val="22"/>
          <w:szCs w:val="22"/>
          <w:lang w:val="sr-Latn-ME"/>
        </w:rPr>
        <w:t xml:space="preserve"> ispitivanjima toksičnosti kod odraslih jedinki, uključujući </w:t>
      </w:r>
      <w:proofErr w:type="spellStart"/>
      <w:r w:rsidRPr="00285CEF">
        <w:rPr>
          <w:sz w:val="22"/>
          <w:szCs w:val="22"/>
          <w:lang w:val="sr-Latn-ME"/>
        </w:rPr>
        <w:t>reverzibilne</w:t>
      </w:r>
      <w:proofErr w:type="spellEnd"/>
      <w:r w:rsidRPr="00285CEF">
        <w:rPr>
          <w:sz w:val="22"/>
          <w:szCs w:val="22"/>
          <w:lang w:val="sr-Latn-ME"/>
        </w:rPr>
        <w:t xml:space="preserve"> degenerativne promjene u </w:t>
      </w:r>
      <w:proofErr w:type="spellStart"/>
      <w:r w:rsidRPr="00285CEF">
        <w:rPr>
          <w:sz w:val="22"/>
          <w:szCs w:val="22"/>
          <w:lang w:val="sr-Latn-ME"/>
        </w:rPr>
        <w:t>timusu</w:t>
      </w:r>
      <w:proofErr w:type="spellEnd"/>
      <w:r w:rsidRPr="00285CEF">
        <w:rPr>
          <w:sz w:val="22"/>
          <w:szCs w:val="22"/>
          <w:lang w:val="sr-Latn-ME"/>
        </w:rPr>
        <w:t xml:space="preserve"> i jetri, smanjenu težinu slez</w:t>
      </w:r>
      <w:r w:rsidR="009A6677" w:rsidRPr="00285CEF">
        <w:rPr>
          <w:sz w:val="22"/>
          <w:szCs w:val="22"/>
          <w:lang w:val="sr-Latn-ME"/>
        </w:rPr>
        <w:t>i</w:t>
      </w:r>
      <w:r w:rsidRPr="00285CEF">
        <w:rPr>
          <w:sz w:val="22"/>
          <w:szCs w:val="22"/>
          <w:lang w:val="sr-Latn-ME"/>
        </w:rPr>
        <w:t xml:space="preserve">ne i </w:t>
      </w:r>
      <w:proofErr w:type="spellStart"/>
      <w:r w:rsidRPr="00285CEF">
        <w:rPr>
          <w:sz w:val="22"/>
          <w:szCs w:val="22"/>
          <w:lang w:val="sr-Latn-ME"/>
        </w:rPr>
        <w:t>tireoidne</w:t>
      </w:r>
      <w:proofErr w:type="spellEnd"/>
      <w:r w:rsidRPr="00285CEF">
        <w:rPr>
          <w:sz w:val="22"/>
          <w:szCs w:val="22"/>
          <w:lang w:val="sr-Latn-ME"/>
        </w:rPr>
        <w:t>/</w:t>
      </w:r>
      <w:proofErr w:type="spellStart"/>
      <w:r w:rsidRPr="00285CEF">
        <w:rPr>
          <w:sz w:val="22"/>
          <w:szCs w:val="22"/>
          <w:lang w:val="sr-Latn-ME"/>
        </w:rPr>
        <w:t>paratireoidne</w:t>
      </w:r>
      <w:proofErr w:type="spellEnd"/>
      <w:r w:rsidRPr="00285CEF">
        <w:rPr>
          <w:sz w:val="22"/>
          <w:szCs w:val="22"/>
          <w:lang w:val="sr-Latn-ME"/>
        </w:rPr>
        <w:t xml:space="preserve"> žlijezde, povišene vrijednosti fosfora i </w:t>
      </w:r>
      <w:proofErr w:type="spellStart"/>
      <w:r w:rsidRPr="00285CEF">
        <w:rPr>
          <w:sz w:val="22"/>
          <w:szCs w:val="22"/>
          <w:lang w:val="sr-Latn-ME"/>
        </w:rPr>
        <w:t>bilirubina</w:t>
      </w:r>
      <w:proofErr w:type="spellEnd"/>
      <w:r w:rsidRPr="00285CEF">
        <w:rPr>
          <w:sz w:val="22"/>
          <w:szCs w:val="22"/>
          <w:lang w:val="sr-Latn-ME"/>
        </w:rPr>
        <w:t xml:space="preserve">, povećanu masu </w:t>
      </w:r>
      <w:proofErr w:type="spellStart"/>
      <w:r w:rsidRPr="00285CEF">
        <w:rPr>
          <w:sz w:val="22"/>
          <w:szCs w:val="22"/>
          <w:lang w:val="sr-Latn-ME"/>
        </w:rPr>
        <w:t>eritrocita</w:t>
      </w:r>
      <w:proofErr w:type="spellEnd"/>
      <w:r w:rsidRPr="00285CEF">
        <w:rPr>
          <w:sz w:val="22"/>
          <w:szCs w:val="22"/>
          <w:lang w:val="sr-Latn-ME"/>
        </w:rPr>
        <w:t xml:space="preserve"> te snižene vrijednosti </w:t>
      </w:r>
      <w:proofErr w:type="spellStart"/>
      <w:r w:rsidRPr="00285CEF">
        <w:rPr>
          <w:sz w:val="22"/>
          <w:szCs w:val="22"/>
          <w:lang w:val="sr-Latn-ME"/>
        </w:rPr>
        <w:t>triglicerida</w:t>
      </w:r>
      <w:proofErr w:type="spellEnd"/>
      <w:r w:rsidRPr="00285CEF">
        <w:rPr>
          <w:sz w:val="22"/>
          <w:szCs w:val="22"/>
          <w:lang w:val="sr-Latn-ME"/>
        </w:rPr>
        <w:t xml:space="preserve">. Smrt je kod </w:t>
      </w:r>
      <w:proofErr w:type="spellStart"/>
      <w:r w:rsidRPr="00285CEF">
        <w:rPr>
          <w:sz w:val="22"/>
          <w:szCs w:val="22"/>
          <w:lang w:val="sr-Latn-ME"/>
        </w:rPr>
        <w:t>juvenilnih</w:t>
      </w:r>
      <w:proofErr w:type="spellEnd"/>
      <w:r w:rsidRPr="00285CEF">
        <w:rPr>
          <w:sz w:val="22"/>
          <w:szCs w:val="22"/>
          <w:lang w:val="sr-Latn-ME"/>
        </w:rPr>
        <w:t xml:space="preserve"> pacova nastupila pri dozi (3 mg/kg) koja nije prouzrokovala smrt kod odraslih životinja.</w:t>
      </w:r>
    </w:p>
    <w:p w:rsidR="00836B35" w:rsidRPr="00285CEF" w:rsidRDefault="00836B35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A5F6A" w:rsidRPr="00285CEF" w:rsidRDefault="004A5F6A" w:rsidP="00B64A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6.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FARMACEUTSKI PODACI</w:t>
      </w:r>
    </w:p>
    <w:p w:rsidR="00836B35" w:rsidRPr="00285CEF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6.1.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Lista pomoćnih supstanci</w:t>
      </w:r>
      <w:r w:rsidR="002E0135" w:rsidRPr="00285CEF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285CEF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285CEF">
        <w:rPr>
          <w:b/>
          <w:bCs/>
          <w:sz w:val="22"/>
          <w:szCs w:val="22"/>
          <w:lang w:val="sr-Latn-ME"/>
        </w:rPr>
        <w:t>)</w:t>
      </w:r>
    </w:p>
    <w:p w:rsidR="0013132D" w:rsidRPr="00285CEF" w:rsidRDefault="0013132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13132D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Jezgro tablete</w:t>
      </w:r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laktoza </w:t>
      </w:r>
      <w:proofErr w:type="spellStart"/>
      <w:r w:rsidRPr="00285CEF">
        <w:rPr>
          <w:sz w:val="22"/>
          <w:szCs w:val="22"/>
          <w:lang w:val="sr-Latn-ME"/>
        </w:rPr>
        <w:t>monohidrat</w:t>
      </w:r>
      <w:proofErr w:type="spellEnd"/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celuloza, </w:t>
      </w:r>
      <w:proofErr w:type="spellStart"/>
      <w:r w:rsidRPr="00285CEF">
        <w:rPr>
          <w:sz w:val="22"/>
          <w:szCs w:val="22"/>
          <w:lang w:val="sr-Latn-ME"/>
        </w:rPr>
        <w:t>mikrokristalna</w:t>
      </w:r>
      <w:proofErr w:type="spellEnd"/>
      <w:r w:rsidRPr="00285CEF">
        <w:rPr>
          <w:sz w:val="22"/>
          <w:szCs w:val="22"/>
          <w:lang w:val="sr-Latn-ME"/>
        </w:rPr>
        <w:t xml:space="preserve"> (E460)</w:t>
      </w:r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kroskarmeloza</w:t>
      </w:r>
      <w:proofErr w:type="spellEnd"/>
      <w:r w:rsidRPr="00285CEF">
        <w:rPr>
          <w:sz w:val="22"/>
          <w:szCs w:val="22"/>
          <w:lang w:val="sr-Latn-ME"/>
        </w:rPr>
        <w:t xml:space="preserve"> natrijum (E468)</w:t>
      </w:r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lastRenderedPageBreak/>
        <w:t xml:space="preserve">magnezijum </w:t>
      </w:r>
      <w:proofErr w:type="spellStart"/>
      <w:r w:rsidRPr="00285CEF">
        <w:rPr>
          <w:sz w:val="22"/>
          <w:szCs w:val="22"/>
          <w:lang w:val="sr-Latn-ME"/>
        </w:rPr>
        <w:t>stearat</w:t>
      </w:r>
      <w:proofErr w:type="spellEnd"/>
      <w:r w:rsidRPr="00285CEF">
        <w:rPr>
          <w:sz w:val="22"/>
          <w:szCs w:val="22"/>
          <w:lang w:val="sr-Latn-ME"/>
        </w:rPr>
        <w:t xml:space="preserve"> (E470b)</w:t>
      </w:r>
    </w:p>
    <w:p w:rsidR="0013132D" w:rsidRPr="00285CEF" w:rsidRDefault="0013132D" w:rsidP="0013132D">
      <w:pPr>
        <w:ind w:left="360"/>
        <w:jc w:val="both"/>
        <w:rPr>
          <w:sz w:val="22"/>
          <w:szCs w:val="22"/>
          <w:lang w:val="sr-Latn-ME"/>
        </w:rPr>
      </w:pPr>
    </w:p>
    <w:p w:rsidR="0013132D" w:rsidRPr="00285CEF" w:rsidRDefault="0013132D" w:rsidP="0013132D">
      <w:pPr>
        <w:jc w:val="both"/>
        <w:rPr>
          <w:sz w:val="22"/>
          <w:szCs w:val="22"/>
          <w:u w:val="single"/>
          <w:lang w:val="sr-Latn-ME"/>
        </w:rPr>
      </w:pPr>
      <w:r w:rsidRPr="00285CEF">
        <w:rPr>
          <w:sz w:val="22"/>
          <w:szCs w:val="22"/>
          <w:u w:val="single"/>
          <w:lang w:val="sr-Latn-ME"/>
        </w:rPr>
        <w:t>Film omotač</w:t>
      </w:r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>polivinil alkohol</w:t>
      </w:r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>titan dioksid (E171)</w:t>
      </w:r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proofErr w:type="spellStart"/>
      <w:r w:rsidRPr="00285CEF">
        <w:rPr>
          <w:sz w:val="22"/>
          <w:szCs w:val="22"/>
          <w:lang w:val="sr-Latn-ME"/>
        </w:rPr>
        <w:t>makrogol</w:t>
      </w:r>
      <w:proofErr w:type="spellEnd"/>
      <w:r w:rsidRPr="00285CEF">
        <w:rPr>
          <w:sz w:val="22"/>
          <w:szCs w:val="22"/>
          <w:lang w:val="sr-Latn-ME"/>
        </w:rPr>
        <w:t xml:space="preserve"> 3350</w:t>
      </w:r>
    </w:p>
    <w:p w:rsidR="0013132D" w:rsidRPr="00285CEF" w:rsidRDefault="0013132D" w:rsidP="0013132D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>talk (E553b)</w:t>
      </w:r>
    </w:p>
    <w:p w:rsidR="0072020E" w:rsidRPr="00285CE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6.2.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Inkompatibilnost</w:t>
      </w:r>
      <w:r w:rsidR="002846DB" w:rsidRPr="00285CEF">
        <w:rPr>
          <w:b/>
          <w:bCs/>
          <w:sz w:val="22"/>
          <w:szCs w:val="22"/>
          <w:lang w:val="sr-Latn-ME"/>
        </w:rPr>
        <w:t>i</w:t>
      </w:r>
    </w:p>
    <w:p w:rsidR="0013132D" w:rsidRPr="00285CEF" w:rsidRDefault="0013132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Nije prim</w:t>
      </w:r>
      <w:r w:rsidR="009A6677" w:rsidRPr="00285CEF">
        <w:rPr>
          <w:bCs/>
          <w:sz w:val="22"/>
          <w:szCs w:val="22"/>
          <w:lang w:val="sr-Latn-ME"/>
        </w:rPr>
        <w:t>j</w:t>
      </w:r>
      <w:r w:rsidRPr="00285CEF">
        <w:rPr>
          <w:bCs/>
          <w:sz w:val="22"/>
          <w:szCs w:val="22"/>
          <w:lang w:val="sr-Latn-ME"/>
        </w:rPr>
        <w:t>enljivo.</w:t>
      </w:r>
    </w:p>
    <w:p w:rsidR="0072020E" w:rsidRPr="00285CE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>6.3.</w:t>
      </w:r>
      <w:r w:rsidR="00C05DF8" w:rsidRPr="00285CEF">
        <w:rPr>
          <w:b/>
          <w:bCs/>
          <w:sz w:val="22"/>
          <w:szCs w:val="22"/>
          <w:lang w:val="sr-Latn-ME"/>
        </w:rPr>
        <w:t xml:space="preserve">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Rok upotrebe</w:t>
      </w:r>
    </w:p>
    <w:p w:rsidR="0072020E" w:rsidRPr="00285CE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3132D" w:rsidRPr="00285CEF" w:rsidRDefault="0013132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5 godina.</w:t>
      </w:r>
    </w:p>
    <w:p w:rsidR="0013132D" w:rsidRPr="00285CEF" w:rsidRDefault="0013132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6.4.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285CEF">
        <w:rPr>
          <w:b/>
          <w:bCs/>
          <w:sz w:val="22"/>
          <w:szCs w:val="22"/>
          <w:lang w:val="sr-Latn-ME"/>
        </w:rPr>
        <w:t xml:space="preserve"> lijeka</w:t>
      </w:r>
    </w:p>
    <w:p w:rsidR="00EC2532" w:rsidRPr="00285CEF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3132D" w:rsidRPr="00285CEF" w:rsidRDefault="0013132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Lijek ne zahtijeva posebne uslove čuvanja.</w:t>
      </w:r>
    </w:p>
    <w:p w:rsidR="0013132D" w:rsidRPr="00285CEF" w:rsidRDefault="0013132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6.5.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="002846DB" w:rsidRPr="00285CEF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285CEF">
        <w:rPr>
          <w:b/>
          <w:bCs/>
          <w:sz w:val="22"/>
          <w:szCs w:val="22"/>
          <w:lang w:val="sr-Latn-ME"/>
        </w:rPr>
        <w:t>pakovanja</w:t>
      </w:r>
      <w:r w:rsidR="00C06864" w:rsidRPr="00285CEF">
        <w:rPr>
          <w:b/>
          <w:bCs/>
          <w:sz w:val="22"/>
          <w:szCs w:val="22"/>
          <w:lang w:val="sr-Latn-ME"/>
        </w:rPr>
        <w:t xml:space="preserve"> </w:t>
      </w:r>
    </w:p>
    <w:p w:rsidR="0013132D" w:rsidRPr="00285CEF" w:rsidRDefault="0013132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9A6677" w:rsidRPr="00285CEF" w:rsidRDefault="009A66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Unutrašnje pakovanje lijeka je p</w:t>
      </w:r>
      <w:r w:rsidR="0013132D" w:rsidRPr="00285CEF">
        <w:rPr>
          <w:bCs/>
          <w:sz w:val="22"/>
          <w:szCs w:val="22"/>
          <w:lang w:val="sr-Latn-ME"/>
        </w:rPr>
        <w:t>ro</w:t>
      </w:r>
      <w:r w:rsidRPr="00285CEF">
        <w:rPr>
          <w:bCs/>
          <w:sz w:val="22"/>
          <w:szCs w:val="22"/>
          <w:lang w:val="sr-Latn-ME"/>
        </w:rPr>
        <w:t>vidni</w:t>
      </w:r>
      <w:r w:rsidR="0013132D" w:rsidRPr="00285CEF">
        <w:rPr>
          <w:bCs/>
          <w:sz w:val="22"/>
          <w:szCs w:val="22"/>
          <w:lang w:val="sr-Latn-ME"/>
        </w:rPr>
        <w:t xml:space="preserve"> PVC/PVDC </w:t>
      </w:r>
      <w:proofErr w:type="spellStart"/>
      <w:r w:rsidR="0013132D" w:rsidRPr="00285CEF">
        <w:rPr>
          <w:bCs/>
          <w:sz w:val="22"/>
          <w:szCs w:val="22"/>
          <w:lang w:val="sr-Latn-ME"/>
        </w:rPr>
        <w:t>blister</w:t>
      </w:r>
      <w:proofErr w:type="spellEnd"/>
      <w:r w:rsidR="0013132D" w:rsidRPr="00285CEF">
        <w:rPr>
          <w:bCs/>
          <w:sz w:val="22"/>
          <w:szCs w:val="22"/>
          <w:lang w:val="sr-Latn-ME"/>
        </w:rPr>
        <w:t xml:space="preserve"> koji sadrž</w:t>
      </w:r>
      <w:r w:rsidRPr="00285CEF">
        <w:rPr>
          <w:bCs/>
          <w:sz w:val="22"/>
          <w:szCs w:val="22"/>
          <w:lang w:val="sr-Latn-ME"/>
        </w:rPr>
        <w:t>i</w:t>
      </w:r>
      <w:r w:rsidR="0013132D" w:rsidRPr="00285CEF">
        <w:rPr>
          <w:bCs/>
          <w:sz w:val="22"/>
          <w:szCs w:val="22"/>
          <w:lang w:val="sr-Latn-ME"/>
        </w:rPr>
        <w:t xml:space="preserve"> 21 film tabletu. </w:t>
      </w:r>
    </w:p>
    <w:p w:rsidR="009A6677" w:rsidRPr="00285CEF" w:rsidRDefault="009A66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3132D" w:rsidRPr="00285CEF" w:rsidRDefault="009A6677" w:rsidP="009A66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285CEF">
        <w:rPr>
          <w:bCs/>
          <w:sz w:val="22"/>
          <w:szCs w:val="22"/>
          <w:lang w:val="sr-Latn-ME"/>
        </w:rPr>
        <w:t>složiva</w:t>
      </w:r>
      <w:proofErr w:type="spellEnd"/>
      <w:r w:rsidRPr="00285CEF">
        <w:rPr>
          <w:bCs/>
          <w:sz w:val="22"/>
          <w:szCs w:val="22"/>
          <w:lang w:val="sr-Latn-ME"/>
        </w:rPr>
        <w:t xml:space="preserve"> kartonska kutija koja sadrži 3 </w:t>
      </w:r>
      <w:proofErr w:type="spellStart"/>
      <w:r w:rsidRPr="00285CEF">
        <w:rPr>
          <w:bCs/>
          <w:sz w:val="22"/>
          <w:szCs w:val="22"/>
          <w:lang w:val="sr-Latn-ME"/>
        </w:rPr>
        <w:t>blistera</w:t>
      </w:r>
      <w:proofErr w:type="spellEnd"/>
      <w:r w:rsidRPr="00285CEF">
        <w:rPr>
          <w:bCs/>
          <w:sz w:val="22"/>
          <w:szCs w:val="22"/>
          <w:lang w:val="sr-Latn-ME"/>
        </w:rPr>
        <w:t xml:space="preserve"> sa po 21 film tabletom (ukupno 63 film tablete) i Uputstvo za lijek</w:t>
      </w:r>
      <w:r w:rsidR="0013132D" w:rsidRPr="00285CEF">
        <w:rPr>
          <w:bCs/>
          <w:sz w:val="22"/>
          <w:szCs w:val="22"/>
          <w:lang w:val="sr-Latn-ME"/>
        </w:rPr>
        <w:t>.</w:t>
      </w:r>
    </w:p>
    <w:p w:rsidR="0072020E" w:rsidRPr="00285CE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6.6.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85CEF">
        <w:rPr>
          <w:b/>
          <w:bCs/>
          <w:sz w:val="22"/>
          <w:szCs w:val="22"/>
          <w:lang w:val="sr-Latn-ME"/>
        </w:rPr>
        <w:t xml:space="preserve"> </w:t>
      </w:r>
      <w:r w:rsidR="00310F03" w:rsidRPr="00285CEF">
        <w:rPr>
          <w:b/>
          <w:bCs/>
          <w:sz w:val="22"/>
          <w:szCs w:val="22"/>
          <w:lang w:val="sr-Latn-ME"/>
        </w:rPr>
        <w:t>(i druga uputs</w:t>
      </w:r>
      <w:r w:rsidR="004109FA" w:rsidRPr="00285CEF">
        <w:rPr>
          <w:b/>
          <w:bCs/>
          <w:sz w:val="22"/>
          <w:szCs w:val="22"/>
          <w:lang w:val="sr-Latn-ME"/>
        </w:rPr>
        <w:t>t</w:t>
      </w:r>
      <w:r w:rsidR="00310F03" w:rsidRPr="00285CEF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66A70" w:rsidRPr="00285CEF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285CEF" w:rsidRDefault="0013132D" w:rsidP="003337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Svu neiskorišćenu količinu lijeka ili otpadn</w:t>
      </w:r>
      <w:r w:rsidR="001D1BDC" w:rsidRPr="00285CEF">
        <w:rPr>
          <w:bCs/>
          <w:sz w:val="22"/>
          <w:szCs w:val="22"/>
          <w:lang w:val="sr-Latn-ME"/>
        </w:rPr>
        <w:t>og</w:t>
      </w:r>
      <w:r w:rsidRPr="00285CEF">
        <w:rPr>
          <w:bCs/>
          <w:sz w:val="22"/>
          <w:szCs w:val="22"/>
          <w:lang w:val="sr-Latn-ME"/>
        </w:rPr>
        <w:t xml:space="preserve"> materijal</w:t>
      </w:r>
      <w:r w:rsidR="001D1BDC" w:rsidRPr="00285CEF">
        <w:rPr>
          <w:bCs/>
          <w:sz w:val="22"/>
          <w:szCs w:val="22"/>
          <w:lang w:val="sr-Latn-ME"/>
        </w:rPr>
        <w:t>a nakon njegove upotrebe</w:t>
      </w:r>
      <w:r w:rsidRPr="00285CEF">
        <w:rPr>
          <w:bCs/>
          <w:sz w:val="22"/>
          <w:szCs w:val="22"/>
          <w:lang w:val="sr-Latn-ME"/>
        </w:rPr>
        <w:t xml:space="preserve"> treba ukloniti u skladu sa </w:t>
      </w:r>
      <w:r w:rsidR="001D1BDC" w:rsidRPr="00285CEF">
        <w:rPr>
          <w:bCs/>
          <w:sz w:val="22"/>
          <w:szCs w:val="22"/>
          <w:lang w:val="sr-Latn-ME"/>
        </w:rPr>
        <w:t xml:space="preserve">važećim </w:t>
      </w:r>
      <w:r w:rsidRPr="00285CEF">
        <w:rPr>
          <w:bCs/>
          <w:sz w:val="22"/>
          <w:szCs w:val="22"/>
          <w:lang w:val="sr-Latn-ME"/>
        </w:rPr>
        <w:t>propisima.</w:t>
      </w:r>
    </w:p>
    <w:p w:rsidR="0013132D" w:rsidRPr="00285CEF" w:rsidRDefault="0013132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7441D" w:rsidRPr="00285CEF" w:rsidRDefault="0027441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8570A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7.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NOSILAC DOZVOLE</w:t>
      </w:r>
      <w:r w:rsidR="00483928" w:rsidRPr="00285CEF">
        <w:rPr>
          <w:b/>
          <w:bCs/>
          <w:sz w:val="22"/>
          <w:szCs w:val="22"/>
          <w:lang w:val="sr-Latn-ME"/>
        </w:rPr>
        <w:t xml:space="preserve"> </w:t>
      </w:r>
    </w:p>
    <w:p w:rsidR="0013132D" w:rsidRPr="00285CEF" w:rsidRDefault="0013132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13132D" w:rsidRPr="00285CEF" w:rsidRDefault="0013132D" w:rsidP="0013132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„</w:t>
      </w:r>
      <w:proofErr w:type="spellStart"/>
      <w:r w:rsidRPr="00285CEF">
        <w:rPr>
          <w:sz w:val="22"/>
          <w:szCs w:val="22"/>
          <w:lang w:val="sr-Latn-ME"/>
        </w:rPr>
        <w:t>Hoffmann</w:t>
      </w:r>
      <w:proofErr w:type="spellEnd"/>
      <w:r w:rsidRPr="00285CEF">
        <w:rPr>
          <w:sz w:val="22"/>
          <w:szCs w:val="22"/>
          <w:lang w:val="sr-Latn-ME"/>
        </w:rPr>
        <w:t xml:space="preserve">-La </w:t>
      </w:r>
      <w:proofErr w:type="spellStart"/>
      <w:r w:rsidRPr="00285CEF">
        <w:rPr>
          <w:sz w:val="22"/>
          <w:szCs w:val="22"/>
          <w:lang w:val="sr-Latn-ME"/>
        </w:rPr>
        <w:t>Roche</w:t>
      </w:r>
      <w:proofErr w:type="spellEnd"/>
      <w:r w:rsidRPr="00285CEF">
        <w:rPr>
          <w:sz w:val="22"/>
          <w:szCs w:val="22"/>
          <w:lang w:val="sr-Latn-ME"/>
        </w:rPr>
        <w:t xml:space="preserve"> L</w:t>
      </w:r>
      <w:r w:rsidR="001D1BDC" w:rsidRPr="00285CEF">
        <w:rPr>
          <w:sz w:val="22"/>
          <w:szCs w:val="22"/>
          <w:lang w:val="sr-Latn-ME"/>
        </w:rPr>
        <w:t>TD</w:t>
      </w:r>
      <w:r w:rsidRPr="00285CEF">
        <w:rPr>
          <w:sz w:val="22"/>
          <w:szCs w:val="22"/>
          <w:lang w:val="sr-Latn-ME"/>
        </w:rPr>
        <w:t>“ </w:t>
      </w:r>
      <w:r w:rsidR="001D1BDC" w:rsidRPr="00285CEF">
        <w:rPr>
          <w:sz w:val="22"/>
          <w:szCs w:val="22"/>
          <w:lang w:val="sr-Latn-ME"/>
        </w:rPr>
        <w:t>D.S.D.</w:t>
      </w:r>
      <w:r w:rsidRPr="00285CEF">
        <w:rPr>
          <w:sz w:val="22"/>
          <w:szCs w:val="22"/>
          <w:lang w:val="sr-Latn-ME"/>
        </w:rPr>
        <w:t xml:space="preserve"> Podgorica</w:t>
      </w:r>
      <w:r w:rsidR="001D1BDC" w:rsidRPr="00285CEF">
        <w:rPr>
          <w:sz w:val="22"/>
          <w:szCs w:val="22"/>
          <w:lang w:val="sr-Latn-ME"/>
        </w:rPr>
        <w:t>,</w:t>
      </w:r>
    </w:p>
    <w:p w:rsidR="0013132D" w:rsidRPr="00285CEF" w:rsidRDefault="001D1BDC" w:rsidP="0013132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ul. </w:t>
      </w:r>
      <w:r w:rsidR="0013132D" w:rsidRPr="00285CEF">
        <w:rPr>
          <w:sz w:val="22"/>
          <w:szCs w:val="22"/>
          <w:lang w:val="sr-Latn-ME"/>
        </w:rPr>
        <w:t>Cetinjska 11</w:t>
      </w:r>
      <w:r w:rsidRPr="00285CEF">
        <w:rPr>
          <w:sz w:val="22"/>
          <w:szCs w:val="22"/>
          <w:lang w:val="sr-Latn-ME"/>
        </w:rPr>
        <w:t xml:space="preserve">, </w:t>
      </w:r>
      <w:r w:rsidR="0013132D" w:rsidRPr="00285CEF">
        <w:rPr>
          <w:sz w:val="22"/>
          <w:szCs w:val="22"/>
          <w:lang w:val="sr-Latn-ME"/>
        </w:rPr>
        <w:t>81000 Podgorica, Crna Gora</w:t>
      </w:r>
    </w:p>
    <w:p w:rsidR="00C37FD7" w:rsidRPr="00285CEF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7441D" w:rsidRPr="00285CEF" w:rsidRDefault="0027441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8.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>BROJ DOZVOLE</w:t>
      </w:r>
      <w:r w:rsidR="008A6D43" w:rsidRPr="00285CEF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285CE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5CEF" w:rsidRPr="00285CEF" w:rsidRDefault="00285CEF" w:rsidP="00285CEF">
      <w:pPr>
        <w:jc w:val="both"/>
        <w:rPr>
          <w:sz w:val="22"/>
          <w:szCs w:val="22"/>
          <w:lang w:val="sr-Latn-ME"/>
        </w:rPr>
      </w:pPr>
      <w:r w:rsidRPr="00285CEF">
        <w:rPr>
          <w:sz w:val="22"/>
          <w:szCs w:val="22"/>
          <w:lang w:val="sr-Latn-ME"/>
        </w:rPr>
        <w:t xml:space="preserve">2030/25/513 – 5914 </w:t>
      </w:r>
    </w:p>
    <w:p w:rsidR="00285CEF" w:rsidRPr="00285CEF" w:rsidRDefault="00285CEF" w:rsidP="00285CEF">
      <w:pPr>
        <w:jc w:val="both"/>
        <w:rPr>
          <w:bCs/>
          <w:sz w:val="22"/>
          <w:szCs w:val="22"/>
          <w:lang w:val="sr-Latn-ME"/>
        </w:rPr>
      </w:pPr>
    </w:p>
    <w:p w:rsidR="0013132D" w:rsidRPr="00285CEF" w:rsidRDefault="0013132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85CE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9.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Pr="00285CEF">
        <w:rPr>
          <w:b/>
          <w:bCs/>
          <w:sz w:val="22"/>
          <w:szCs w:val="22"/>
          <w:lang w:val="sr-Latn-ME"/>
        </w:rPr>
        <w:t xml:space="preserve">DATUM </w:t>
      </w:r>
      <w:r w:rsidR="00C05DF8" w:rsidRPr="00285CEF">
        <w:rPr>
          <w:b/>
          <w:bCs/>
          <w:sz w:val="22"/>
          <w:szCs w:val="22"/>
          <w:lang w:val="sr-Latn-ME"/>
        </w:rPr>
        <w:t xml:space="preserve">PRVE </w:t>
      </w:r>
      <w:r w:rsidR="008A6D43" w:rsidRPr="00285CEF">
        <w:rPr>
          <w:b/>
          <w:bCs/>
          <w:sz w:val="22"/>
          <w:szCs w:val="22"/>
          <w:lang w:val="sr-Latn-ME"/>
        </w:rPr>
        <w:t>DOZVOLE</w:t>
      </w:r>
      <w:r w:rsidR="00C05DF8" w:rsidRPr="00285CEF">
        <w:rPr>
          <w:b/>
          <w:bCs/>
          <w:sz w:val="22"/>
          <w:szCs w:val="22"/>
          <w:lang w:val="sr-Latn-ME"/>
        </w:rPr>
        <w:t>/OBNOVE DOZVOLE</w:t>
      </w:r>
      <w:r w:rsidR="008A6D43" w:rsidRPr="00285CEF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E26DC9" w:rsidRPr="00285CEF" w:rsidRDefault="00E26DC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285CEF" w:rsidRDefault="001D1B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Datum prve dozvole</w:t>
      </w:r>
      <w:r w:rsidR="00E26DC9" w:rsidRPr="00285CEF">
        <w:rPr>
          <w:bCs/>
          <w:sz w:val="22"/>
          <w:szCs w:val="22"/>
          <w:lang w:val="sr-Latn-ME"/>
        </w:rPr>
        <w:t>: 02.06.2017. godine</w:t>
      </w:r>
    </w:p>
    <w:p w:rsidR="00836B35" w:rsidRPr="00285CEF" w:rsidRDefault="001D1B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Datum posljednje obnove dozvole:</w:t>
      </w:r>
      <w:r w:rsidR="00285CEF" w:rsidRPr="00285CEF">
        <w:rPr>
          <w:sz w:val="22"/>
          <w:szCs w:val="22"/>
          <w:lang w:val="sr-Latn-ME"/>
        </w:rPr>
        <w:t xml:space="preserve"> </w:t>
      </w:r>
      <w:r w:rsidR="00285CEF" w:rsidRPr="00285CEF">
        <w:rPr>
          <w:sz w:val="22"/>
          <w:szCs w:val="22"/>
          <w:lang w:val="sr-Latn-ME"/>
        </w:rPr>
        <w:t>03.02.2025. godine</w:t>
      </w:r>
    </w:p>
    <w:p w:rsidR="001D1BDC" w:rsidRPr="00285CEF" w:rsidRDefault="001D1B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A5F6A" w:rsidRPr="00285CEF" w:rsidRDefault="004A5F6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285CEF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85CEF">
        <w:rPr>
          <w:b/>
          <w:bCs/>
          <w:sz w:val="22"/>
          <w:szCs w:val="22"/>
          <w:lang w:val="sr-Latn-ME"/>
        </w:rPr>
        <w:t xml:space="preserve">10. </w:t>
      </w:r>
      <w:r w:rsidR="00480FB1" w:rsidRPr="00285CEF">
        <w:rPr>
          <w:b/>
          <w:bCs/>
          <w:sz w:val="22"/>
          <w:szCs w:val="22"/>
          <w:lang w:val="sr-Latn-ME"/>
        </w:rPr>
        <w:tab/>
      </w:r>
      <w:r w:rsidR="002846DB" w:rsidRPr="00285CEF">
        <w:rPr>
          <w:b/>
          <w:bCs/>
          <w:sz w:val="22"/>
          <w:szCs w:val="22"/>
          <w:lang w:val="sr-Latn-ME"/>
        </w:rPr>
        <w:t>D</w:t>
      </w:r>
      <w:r w:rsidR="00EC2532" w:rsidRPr="00285CEF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285CEF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26DC9" w:rsidRPr="00285CEF" w:rsidRDefault="00285CE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85CEF">
        <w:rPr>
          <w:bCs/>
          <w:sz w:val="22"/>
          <w:szCs w:val="22"/>
          <w:lang w:val="sr-Latn-ME"/>
        </w:rPr>
        <w:t>Februar, 2025. godine</w:t>
      </w:r>
    </w:p>
    <w:sectPr w:rsidR="00E26DC9" w:rsidRPr="00285CEF" w:rsidSect="00EF3B86">
      <w:footerReference w:type="default" r:id="rId14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A7" w:rsidRDefault="00EA02A7">
      <w:r>
        <w:separator/>
      </w:r>
    </w:p>
  </w:endnote>
  <w:endnote w:type="continuationSeparator" w:id="0">
    <w:p w:rsidR="00EA02A7" w:rsidRDefault="00EA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77" w:rsidRPr="00B23F69" w:rsidRDefault="009A6677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85CEF">
      <w:rPr>
        <w:noProof/>
        <w:sz w:val="22"/>
        <w:szCs w:val="22"/>
      </w:rPr>
      <w:t>22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85CEF">
      <w:rPr>
        <w:noProof/>
        <w:sz w:val="22"/>
        <w:szCs w:val="22"/>
      </w:rPr>
      <w:t>22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A7" w:rsidRDefault="00EA02A7">
      <w:r>
        <w:separator/>
      </w:r>
    </w:p>
  </w:footnote>
  <w:footnote w:type="continuationSeparator" w:id="0">
    <w:p w:rsidR="00EA02A7" w:rsidRDefault="00EA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1B7A70"/>
    <w:multiLevelType w:val="hybridMultilevel"/>
    <w:tmpl w:val="D7C4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6161"/>
    <w:rsid w:val="000176CA"/>
    <w:rsid w:val="00036FA0"/>
    <w:rsid w:val="0003793F"/>
    <w:rsid w:val="00055578"/>
    <w:rsid w:val="00057E35"/>
    <w:rsid w:val="0006194A"/>
    <w:rsid w:val="00076726"/>
    <w:rsid w:val="00080303"/>
    <w:rsid w:val="000A3D28"/>
    <w:rsid w:val="000A3F58"/>
    <w:rsid w:val="000D2343"/>
    <w:rsid w:val="000D285B"/>
    <w:rsid w:val="000D3449"/>
    <w:rsid w:val="000D425A"/>
    <w:rsid w:val="000D60CC"/>
    <w:rsid w:val="000E2084"/>
    <w:rsid w:val="000E2A9F"/>
    <w:rsid w:val="000E3645"/>
    <w:rsid w:val="000E6F55"/>
    <w:rsid w:val="000F77FA"/>
    <w:rsid w:val="00107BF7"/>
    <w:rsid w:val="0011477C"/>
    <w:rsid w:val="00126F53"/>
    <w:rsid w:val="0013132D"/>
    <w:rsid w:val="00136565"/>
    <w:rsid w:val="0014766D"/>
    <w:rsid w:val="001536CC"/>
    <w:rsid w:val="001A3FBA"/>
    <w:rsid w:val="001A5518"/>
    <w:rsid w:val="001B1C6A"/>
    <w:rsid w:val="001B79B1"/>
    <w:rsid w:val="001C1263"/>
    <w:rsid w:val="001C1417"/>
    <w:rsid w:val="001D0E17"/>
    <w:rsid w:val="001D1BDC"/>
    <w:rsid w:val="001E390B"/>
    <w:rsid w:val="001F42FB"/>
    <w:rsid w:val="001F719A"/>
    <w:rsid w:val="002031B3"/>
    <w:rsid w:val="00206BAC"/>
    <w:rsid w:val="00215931"/>
    <w:rsid w:val="00216276"/>
    <w:rsid w:val="00217A5E"/>
    <w:rsid w:val="00227BDB"/>
    <w:rsid w:val="00234CB1"/>
    <w:rsid w:val="002352F8"/>
    <w:rsid w:val="002510A5"/>
    <w:rsid w:val="00254A0A"/>
    <w:rsid w:val="00266046"/>
    <w:rsid w:val="00272ED2"/>
    <w:rsid w:val="0027441D"/>
    <w:rsid w:val="00276614"/>
    <w:rsid w:val="002846DB"/>
    <w:rsid w:val="00284CCD"/>
    <w:rsid w:val="00285CEF"/>
    <w:rsid w:val="002B382B"/>
    <w:rsid w:val="002C6637"/>
    <w:rsid w:val="002D4100"/>
    <w:rsid w:val="002E0135"/>
    <w:rsid w:val="002E2C67"/>
    <w:rsid w:val="002E37A5"/>
    <w:rsid w:val="002F479D"/>
    <w:rsid w:val="002F786F"/>
    <w:rsid w:val="00305A2E"/>
    <w:rsid w:val="0031097B"/>
    <w:rsid w:val="00310F03"/>
    <w:rsid w:val="00315630"/>
    <w:rsid w:val="003247D2"/>
    <w:rsid w:val="00333773"/>
    <w:rsid w:val="003445C1"/>
    <w:rsid w:val="00350C4F"/>
    <w:rsid w:val="00355B61"/>
    <w:rsid w:val="00361791"/>
    <w:rsid w:val="00362686"/>
    <w:rsid w:val="00371510"/>
    <w:rsid w:val="0038453E"/>
    <w:rsid w:val="00396DFD"/>
    <w:rsid w:val="003A3B78"/>
    <w:rsid w:val="003A7059"/>
    <w:rsid w:val="003B5B15"/>
    <w:rsid w:val="003B7A36"/>
    <w:rsid w:val="003C17AB"/>
    <w:rsid w:val="003C1958"/>
    <w:rsid w:val="003C7823"/>
    <w:rsid w:val="003D1209"/>
    <w:rsid w:val="003E1DCC"/>
    <w:rsid w:val="003F6A59"/>
    <w:rsid w:val="00402FAB"/>
    <w:rsid w:val="004065C8"/>
    <w:rsid w:val="004109FA"/>
    <w:rsid w:val="00411B4B"/>
    <w:rsid w:val="00415BEE"/>
    <w:rsid w:val="00427F85"/>
    <w:rsid w:val="00436F42"/>
    <w:rsid w:val="004378B4"/>
    <w:rsid w:val="00450A0E"/>
    <w:rsid w:val="00451314"/>
    <w:rsid w:val="00452E9D"/>
    <w:rsid w:val="004534C7"/>
    <w:rsid w:val="00462054"/>
    <w:rsid w:val="004671AA"/>
    <w:rsid w:val="00467E7B"/>
    <w:rsid w:val="0047247D"/>
    <w:rsid w:val="00480FB1"/>
    <w:rsid w:val="004812D1"/>
    <w:rsid w:val="00483928"/>
    <w:rsid w:val="004A5F6A"/>
    <w:rsid w:val="004B76A0"/>
    <w:rsid w:val="004C50D5"/>
    <w:rsid w:val="004D34ED"/>
    <w:rsid w:val="004D6103"/>
    <w:rsid w:val="004E3BCE"/>
    <w:rsid w:val="004F0E97"/>
    <w:rsid w:val="00501DD1"/>
    <w:rsid w:val="00511AE2"/>
    <w:rsid w:val="00513350"/>
    <w:rsid w:val="00515C21"/>
    <w:rsid w:val="005301B8"/>
    <w:rsid w:val="00530BD7"/>
    <w:rsid w:val="00545CD2"/>
    <w:rsid w:val="005476F3"/>
    <w:rsid w:val="00564ED5"/>
    <w:rsid w:val="00572527"/>
    <w:rsid w:val="00573E40"/>
    <w:rsid w:val="00576348"/>
    <w:rsid w:val="00591302"/>
    <w:rsid w:val="005915FD"/>
    <w:rsid w:val="005A0B2E"/>
    <w:rsid w:val="005A23D2"/>
    <w:rsid w:val="005A36CB"/>
    <w:rsid w:val="005B49B8"/>
    <w:rsid w:val="005C0741"/>
    <w:rsid w:val="005C5EF4"/>
    <w:rsid w:val="005D0244"/>
    <w:rsid w:val="005E2E0B"/>
    <w:rsid w:val="005E7A7D"/>
    <w:rsid w:val="005F0EF1"/>
    <w:rsid w:val="00602457"/>
    <w:rsid w:val="0062161F"/>
    <w:rsid w:val="006446C7"/>
    <w:rsid w:val="00646BD1"/>
    <w:rsid w:val="00652003"/>
    <w:rsid w:val="006561C2"/>
    <w:rsid w:val="006565DA"/>
    <w:rsid w:val="0066674A"/>
    <w:rsid w:val="00671CB3"/>
    <w:rsid w:val="00674BAF"/>
    <w:rsid w:val="00682200"/>
    <w:rsid w:val="00692BF6"/>
    <w:rsid w:val="006A1497"/>
    <w:rsid w:val="006B0BD1"/>
    <w:rsid w:val="006D20A5"/>
    <w:rsid w:val="006D3132"/>
    <w:rsid w:val="006D37BF"/>
    <w:rsid w:val="006E525B"/>
    <w:rsid w:val="00702E22"/>
    <w:rsid w:val="0072020E"/>
    <w:rsid w:val="00756D81"/>
    <w:rsid w:val="00764E3B"/>
    <w:rsid w:val="00786071"/>
    <w:rsid w:val="007930EF"/>
    <w:rsid w:val="007A3ECB"/>
    <w:rsid w:val="007A54D6"/>
    <w:rsid w:val="007C0EAA"/>
    <w:rsid w:val="007C75C6"/>
    <w:rsid w:val="007E5027"/>
    <w:rsid w:val="008031CA"/>
    <w:rsid w:val="00821CE8"/>
    <w:rsid w:val="00824AB9"/>
    <w:rsid w:val="00836B35"/>
    <w:rsid w:val="00843BDE"/>
    <w:rsid w:val="00860AF4"/>
    <w:rsid w:val="0089705C"/>
    <w:rsid w:val="00897159"/>
    <w:rsid w:val="008A6D43"/>
    <w:rsid w:val="008B491E"/>
    <w:rsid w:val="008C1A28"/>
    <w:rsid w:val="008C2E98"/>
    <w:rsid w:val="008C603D"/>
    <w:rsid w:val="008D0ED5"/>
    <w:rsid w:val="008D7563"/>
    <w:rsid w:val="008E49BD"/>
    <w:rsid w:val="008E53E9"/>
    <w:rsid w:val="008E5771"/>
    <w:rsid w:val="008E5A23"/>
    <w:rsid w:val="008F4ACF"/>
    <w:rsid w:val="009167FE"/>
    <w:rsid w:val="00940B9B"/>
    <w:rsid w:val="00942B27"/>
    <w:rsid w:val="00952991"/>
    <w:rsid w:val="0095676E"/>
    <w:rsid w:val="00956983"/>
    <w:rsid w:val="00963CF0"/>
    <w:rsid w:val="00964BB1"/>
    <w:rsid w:val="00972E52"/>
    <w:rsid w:val="009775D9"/>
    <w:rsid w:val="009943F2"/>
    <w:rsid w:val="00997175"/>
    <w:rsid w:val="009A1847"/>
    <w:rsid w:val="009A6677"/>
    <w:rsid w:val="009B062A"/>
    <w:rsid w:val="009E1492"/>
    <w:rsid w:val="009E3695"/>
    <w:rsid w:val="009E7C6F"/>
    <w:rsid w:val="009F1793"/>
    <w:rsid w:val="009F2D23"/>
    <w:rsid w:val="009F7A08"/>
    <w:rsid w:val="00A01D69"/>
    <w:rsid w:val="00A02335"/>
    <w:rsid w:val="00A2277F"/>
    <w:rsid w:val="00A352FC"/>
    <w:rsid w:val="00A46C9A"/>
    <w:rsid w:val="00A525A4"/>
    <w:rsid w:val="00A619F3"/>
    <w:rsid w:val="00A6288C"/>
    <w:rsid w:val="00A62A73"/>
    <w:rsid w:val="00A77B26"/>
    <w:rsid w:val="00A87FF6"/>
    <w:rsid w:val="00A9365F"/>
    <w:rsid w:val="00AA0A3B"/>
    <w:rsid w:val="00AA2763"/>
    <w:rsid w:val="00AA33B6"/>
    <w:rsid w:val="00AA428E"/>
    <w:rsid w:val="00AB0F28"/>
    <w:rsid w:val="00AB150F"/>
    <w:rsid w:val="00AB50CA"/>
    <w:rsid w:val="00AB6D64"/>
    <w:rsid w:val="00AC0109"/>
    <w:rsid w:val="00AC53CE"/>
    <w:rsid w:val="00AD2193"/>
    <w:rsid w:val="00AF2AC7"/>
    <w:rsid w:val="00AF74CE"/>
    <w:rsid w:val="00B208DB"/>
    <w:rsid w:val="00B23F69"/>
    <w:rsid w:val="00B2513D"/>
    <w:rsid w:val="00B34BE5"/>
    <w:rsid w:val="00B60619"/>
    <w:rsid w:val="00B64A87"/>
    <w:rsid w:val="00B66A70"/>
    <w:rsid w:val="00B67366"/>
    <w:rsid w:val="00B724B9"/>
    <w:rsid w:val="00B80EE1"/>
    <w:rsid w:val="00B84135"/>
    <w:rsid w:val="00C04D34"/>
    <w:rsid w:val="00C05DA8"/>
    <w:rsid w:val="00C05DF8"/>
    <w:rsid w:val="00C06864"/>
    <w:rsid w:val="00C0787E"/>
    <w:rsid w:val="00C10F54"/>
    <w:rsid w:val="00C23D8D"/>
    <w:rsid w:val="00C37AA3"/>
    <w:rsid w:val="00C37FD7"/>
    <w:rsid w:val="00C43419"/>
    <w:rsid w:val="00C44CF3"/>
    <w:rsid w:val="00C61BE0"/>
    <w:rsid w:val="00C650A1"/>
    <w:rsid w:val="00C70B0E"/>
    <w:rsid w:val="00C773CA"/>
    <w:rsid w:val="00C808C9"/>
    <w:rsid w:val="00C83785"/>
    <w:rsid w:val="00C93C57"/>
    <w:rsid w:val="00C94C0D"/>
    <w:rsid w:val="00CA1FEB"/>
    <w:rsid w:val="00CC3B0C"/>
    <w:rsid w:val="00CD4F85"/>
    <w:rsid w:val="00CD6F02"/>
    <w:rsid w:val="00CE246D"/>
    <w:rsid w:val="00CF07A0"/>
    <w:rsid w:val="00CF35F7"/>
    <w:rsid w:val="00CF3E03"/>
    <w:rsid w:val="00D0082A"/>
    <w:rsid w:val="00D21455"/>
    <w:rsid w:val="00D468DB"/>
    <w:rsid w:val="00D47634"/>
    <w:rsid w:val="00D52605"/>
    <w:rsid w:val="00D553B9"/>
    <w:rsid w:val="00D709B3"/>
    <w:rsid w:val="00D70D25"/>
    <w:rsid w:val="00D74729"/>
    <w:rsid w:val="00DA2ED6"/>
    <w:rsid w:val="00DA6C1D"/>
    <w:rsid w:val="00DB76B8"/>
    <w:rsid w:val="00DC2EA1"/>
    <w:rsid w:val="00DD65CE"/>
    <w:rsid w:val="00DD6AAF"/>
    <w:rsid w:val="00DE3F5C"/>
    <w:rsid w:val="00DF0D46"/>
    <w:rsid w:val="00DF1D20"/>
    <w:rsid w:val="00DF6A90"/>
    <w:rsid w:val="00DF77C2"/>
    <w:rsid w:val="00DF7D3A"/>
    <w:rsid w:val="00E10982"/>
    <w:rsid w:val="00E21324"/>
    <w:rsid w:val="00E246B9"/>
    <w:rsid w:val="00E26DC9"/>
    <w:rsid w:val="00E31FEA"/>
    <w:rsid w:val="00E45169"/>
    <w:rsid w:val="00E47787"/>
    <w:rsid w:val="00E51C30"/>
    <w:rsid w:val="00E64180"/>
    <w:rsid w:val="00E74AEE"/>
    <w:rsid w:val="00E77C1F"/>
    <w:rsid w:val="00E868E5"/>
    <w:rsid w:val="00E90D22"/>
    <w:rsid w:val="00E912F7"/>
    <w:rsid w:val="00E9237A"/>
    <w:rsid w:val="00E92663"/>
    <w:rsid w:val="00E939FA"/>
    <w:rsid w:val="00EA02A7"/>
    <w:rsid w:val="00EA5765"/>
    <w:rsid w:val="00EB2B08"/>
    <w:rsid w:val="00EB5657"/>
    <w:rsid w:val="00EC2532"/>
    <w:rsid w:val="00ED7812"/>
    <w:rsid w:val="00EE629D"/>
    <w:rsid w:val="00EF3B86"/>
    <w:rsid w:val="00EF6AE2"/>
    <w:rsid w:val="00F06D40"/>
    <w:rsid w:val="00F07A45"/>
    <w:rsid w:val="00F304F3"/>
    <w:rsid w:val="00F311DF"/>
    <w:rsid w:val="00F317E9"/>
    <w:rsid w:val="00F34554"/>
    <w:rsid w:val="00F40B0E"/>
    <w:rsid w:val="00F45F77"/>
    <w:rsid w:val="00F5167F"/>
    <w:rsid w:val="00F52258"/>
    <w:rsid w:val="00F6062D"/>
    <w:rsid w:val="00F8570A"/>
    <w:rsid w:val="00F91C7B"/>
    <w:rsid w:val="00FC6ACD"/>
    <w:rsid w:val="00FD24E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9F1F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6446C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77C1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A277-9114-47A7-AB8D-EE3FED43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8949</Words>
  <Characters>51014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59844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Ninoslava Lalatović</cp:lastModifiedBy>
  <cp:revision>3</cp:revision>
  <cp:lastPrinted>2023-11-06T10:21:00Z</cp:lastPrinted>
  <dcterms:created xsi:type="dcterms:W3CDTF">2025-02-01T18:49:00Z</dcterms:created>
  <dcterms:modified xsi:type="dcterms:W3CDTF">2025-02-03T11:07:00Z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