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FD297E" w14:textId="5CFF36AE" w:rsidR="000C2772" w:rsidRPr="00704FF0" w:rsidRDefault="000C2772" w:rsidP="004A7F5A">
      <w:pPr>
        <w:jc w:val="center"/>
        <w:rPr>
          <w:b/>
          <w:bCs/>
          <w:iCs/>
          <w:szCs w:val="22"/>
          <w:u w:val="single"/>
          <w:lang w:val="sr-Latn-RS"/>
        </w:rPr>
      </w:pPr>
      <w:r w:rsidRPr="00704FF0">
        <w:rPr>
          <w:b/>
          <w:bCs/>
          <w:iCs/>
          <w:szCs w:val="22"/>
          <w:u w:val="single"/>
          <w:lang w:val="sr-Latn-RS"/>
        </w:rPr>
        <w:t>SAŽETAK KARAKTERISTIKA L</w:t>
      </w:r>
      <w:r w:rsidR="00A761B0" w:rsidRPr="00704FF0">
        <w:rPr>
          <w:b/>
          <w:bCs/>
          <w:iCs/>
          <w:szCs w:val="22"/>
          <w:u w:val="single"/>
          <w:lang w:val="sr-Latn-RS"/>
        </w:rPr>
        <w:t>IJ</w:t>
      </w:r>
      <w:r w:rsidRPr="00704FF0">
        <w:rPr>
          <w:b/>
          <w:bCs/>
          <w:iCs/>
          <w:szCs w:val="22"/>
          <w:u w:val="single"/>
          <w:lang w:val="sr-Latn-RS"/>
        </w:rPr>
        <w:t>EKA</w:t>
      </w:r>
    </w:p>
    <w:p w14:paraId="3EFD297F" w14:textId="77777777" w:rsidR="000C2772" w:rsidRPr="00704FF0" w:rsidRDefault="000C2772" w:rsidP="004A7F5A">
      <w:pPr>
        <w:rPr>
          <w:szCs w:val="22"/>
          <w:lang w:val="sr-Latn-RS"/>
        </w:rPr>
      </w:pPr>
    </w:p>
    <w:p w14:paraId="3EFD2980" w14:textId="77777777" w:rsidR="000C2772" w:rsidRPr="00704FF0" w:rsidRDefault="000C2772" w:rsidP="004A7F5A">
      <w:pPr>
        <w:rPr>
          <w:b/>
          <w:bCs/>
          <w:szCs w:val="22"/>
          <w:lang w:val="sr-Latn-RS"/>
        </w:rPr>
      </w:pPr>
    </w:p>
    <w:p w14:paraId="3EFD2981" w14:textId="0009E68C" w:rsidR="000C2772" w:rsidRPr="00704FF0" w:rsidRDefault="000C2772" w:rsidP="004A7F5A">
      <w:pPr>
        <w:pStyle w:val="NASLOV123"/>
        <w:spacing w:before="0" w:after="0"/>
        <w:rPr>
          <w:lang w:val="sr-Latn-RS"/>
        </w:rPr>
      </w:pPr>
      <w:r w:rsidRPr="00704FF0">
        <w:rPr>
          <w:lang w:val="sr-Latn-RS"/>
        </w:rPr>
        <w:t xml:space="preserve">1. </w:t>
      </w:r>
      <w:r w:rsidR="00A761B0" w:rsidRPr="00704FF0">
        <w:rPr>
          <w:lang w:val="sr-Latn-RS"/>
        </w:rPr>
        <w:t>NAZIV</w:t>
      </w:r>
      <w:r w:rsidRPr="00704FF0">
        <w:rPr>
          <w:lang w:val="sr-Latn-RS"/>
        </w:rPr>
        <w:t xml:space="preserve"> L</w:t>
      </w:r>
      <w:r w:rsidR="00A761B0" w:rsidRPr="00704FF0">
        <w:rPr>
          <w:lang w:val="sr-Latn-RS"/>
        </w:rPr>
        <w:t>IJ</w:t>
      </w:r>
      <w:r w:rsidRPr="00704FF0">
        <w:rPr>
          <w:lang w:val="sr-Latn-RS"/>
        </w:rPr>
        <w:t>EKA</w:t>
      </w:r>
    </w:p>
    <w:p w14:paraId="16DE434E" w14:textId="77777777" w:rsidR="004A7F5A" w:rsidRPr="00704FF0" w:rsidRDefault="004A7F5A" w:rsidP="004A7F5A">
      <w:pPr>
        <w:pStyle w:val="NASLOV123"/>
        <w:spacing w:before="0" w:after="0"/>
        <w:rPr>
          <w:lang w:val="sr-Latn-RS"/>
        </w:rPr>
      </w:pPr>
    </w:p>
    <w:p w14:paraId="3EFD2982" w14:textId="45DC3AD2" w:rsidR="000C2772" w:rsidRPr="00704FF0" w:rsidRDefault="000C2772" w:rsidP="004A7F5A">
      <w:pPr>
        <w:rPr>
          <w:szCs w:val="22"/>
          <w:lang w:val="sr-Latn-RS"/>
        </w:rPr>
      </w:pPr>
      <w:r w:rsidRPr="00704FF0">
        <w:rPr>
          <w:szCs w:val="22"/>
          <w:lang w:val="sr-Latn-RS"/>
        </w:rPr>
        <w:t>Glioral, 80 mg, tablet</w:t>
      </w:r>
      <w:r w:rsidR="007B1B11" w:rsidRPr="00704FF0">
        <w:rPr>
          <w:szCs w:val="22"/>
          <w:lang w:val="sr-Latn-RS"/>
        </w:rPr>
        <w:t>a</w:t>
      </w:r>
    </w:p>
    <w:p w14:paraId="3EFD2983" w14:textId="77777777" w:rsidR="000C2772" w:rsidRPr="00704FF0" w:rsidRDefault="000C2772" w:rsidP="004A7F5A">
      <w:pPr>
        <w:rPr>
          <w:bCs/>
          <w:szCs w:val="22"/>
          <w:lang w:val="sr-Latn-RS"/>
        </w:rPr>
      </w:pPr>
    </w:p>
    <w:p w14:paraId="3EFD2984" w14:textId="1A2A5041" w:rsidR="000C2772" w:rsidRPr="00704FF0" w:rsidRDefault="000C2772" w:rsidP="004A7F5A">
      <w:pPr>
        <w:rPr>
          <w:szCs w:val="22"/>
          <w:lang w:val="sr-Latn-RS"/>
        </w:rPr>
      </w:pPr>
      <w:r w:rsidRPr="00704FF0">
        <w:rPr>
          <w:szCs w:val="22"/>
          <w:lang w:val="sr-Latn-RS"/>
        </w:rPr>
        <w:t>INN: gliklazid</w:t>
      </w:r>
    </w:p>
    <w:p w14:paraId="64559338" w14:textId="526145EB" w:rsidR="004A7F5A" w:rsidRPr="00704FF0" w:rsidRDefault="004A7F5A" w:rsidP="004A7F5A">
      <w:pPr>
        <w:rPr>
          <w:szCs w:val="22"/>
          <w:lang w:val="sr-Latn-RS"/>
        </w:rPr>
      </w:pPr>
    </w:p>
    <w:p w14:paraId="78C4298D" w14:textId="77777777" w:rsidR="004A7F5A" w:rsidRPr="00704FF0" w:rsidRDefault="004A7F5A" w:rsidP="004A7F5A">
      <w:pPr>
        <w:rPr>
          <w:szCs w:val="22"/>
          <w:lang w:val="sr-Latn-RS"/>
        </w:rPr>
      </w:pPr>
    </w:p>
    <w:p w14:paraId="3EFD2985" w14:textId="46E1A789" w:rsidR="000C2772" w:rsidRPr="00704FF0" w:rsidRDefault="000C2772" w:rsidP="004A7F5A">
      <w:pPr>
        <w:pStyle w:val="NASLOV123"/>
        <w:spacing w:before="0" w:after="0"/>
        <w:rPr>
          <w:lang w:val="sr-Latn-RS"/>
        </w:rPr>
      </w:pPr>
      <w:r w:rsidRPr="00704FF0">
        <w:rPr>
          <w:lang w:val="sr-Latn-RS"/>
        </w:rPr>
        <w:t>2. KVALITATIVNI I KVANTITATIVNI SASTAV</w:t>
      </w:r>
    </w:p>
    <w:p w14:paraId="59E506FD" w14:textId="77777777" w:rsidR="004A7F5A" w:rsidRPr="00704FF0" w:rsidRDefault="004A7F5A" w:rsidP="004A7F5A">
      <w:pPr>
        <w:pStyle w:val="NASLOV123"/>
        <w:spacing w:before="0" w:after="0"/>
        <w:rPr>
          <w:lang w:val="sr-Latn-RS"/>
        </w:rPr>
      </w:pPr>
    </w:p>
    <w:p w14:paraId="3EFD2986" w14:textId="77777777" w:rsidR="000C2772" w:rsidRPr="00704FF0" w:rsidRDefault="000C2772" w:rsidP="004A7F5A">
      <w:pPr>
        <w:rPr>
          <w:szCs w:val="22"/>
          <w:lang w:val="sr-Latn-RS"/>
        </w:rPr>
      </w:pPr>
      <w:r w:rsidRPr="00704FF0">
        <w:rPr>
          <w:szCs w:val="22"/>
          <w:lang w:val="sr-Latn-RS"/>
        </w:rPr>
        <w:t>Jedna tableta sadrži 80 mg gliklazida.</w:t>
      </w:r>
    </w:p>
    <w:p w14:paraId="3EFD2987" w14:textId="0CFED982" w:rsidR="000C2772" w:rsidRPr="00704FF0" w:rsidRDefault="000C2772" w:rsidP="004A7F5A">
      <w:pPr>
        <w:rPr>
          <w:szCs w:val="22"/>
          <w:lang w:val="sr-Latn-RS"/>
        </w:rPr>
      </w:pPr>
    </w:p>
    <w:p w14:paraId="3EFD2988" w14:textId="74ED2FD4" w:rsidR="000C2772" w:rsidRPr="00704FF0" w:rsidRDefault="00697F78" w:rsidP="004A7F5A">
      <w:pPr>
        <w:tabs>
          <w:tab w:val="clear" w:pos="284"/>
        </w:tabs>
        <w:autoSpaceDE w:val="0"/>
        <w:autoSpaceDN w:val="0"/>
        <w:adjustRightInd w:val="0"/>
        <w:jc w:val="left"/>
        <w:rPr>
          <w:rFonts w:eastAsia="TimesNewRoman"/>
          <w:szCs w:val="22"/>
          <w:lang w:val="sr-Latn-RS" w:eastAsia="en-GB"/>
        </w:rPr>
      </w:pPr>
      <w:r w:rsidRPr="00704FF0">
        <w:rPr>
          <w:rFonts w:eastAsia="TimesNewRoman"/>
          <w:szCs w:val="22"/>
          <w:lang w:val="sr-Latn-RS" w:eastAsia="en-GB"/>
        </w:rPr>
        <w:t>Pomoćna supstanca sa potvrđenim dejstvom: jedna tableta sadrži 40 mg laktoze, monohidrat</w:t>
      </w:r>
      <w:r w:rsidR="004C2DF8" w:rsidRPr="00704FF0">
        <w:rPr>
          <w:rFonts w:eastAsia="TimesNewRoman"/>
          <w:szCs w:val="22"/>
          <w:lang w:val="sr-Latn-RS" w:eastAsia="en-GB"/>
        </w:rPr>
        <w:t>.</w:t>
      </w:r>
    </w:p>
    <w:p w14:paraId="2BE4C9BB" w14:textId="22EF9F2B" w:rsidR="004D633E" w:rsidRPr="00704FF0" w:rsidRDefault="004D633E" w:rsidP="004A7F5A">
      <w:pPr>
        <w:tabs>
          <w:tab w:val="clear" w:pos="284"/>
        </w:tabs>
        <w:jc w:val="left"/>
        <w:rPr>
          <w:szCs w:val="22"/>
          <w:lang w:val="sr-Latn-RS"/>
        </w:rPr>
      </w:pPr>
      <w:r w:rsidRPr="00704FF0">
        <w:rPr>
          <w:szCs w:val="22"/>
          <w:lang w:val="sr-Latn-RS"/>
        </w:rPr>
        <w:t>Za spisak svih ekscipijenasa, pogledati dio 6.1.</w:t>
      </w:r>
    </w:p>
    <w:p w14:paraId="5DB9F79B" w14:textId="06C47FDC" w:rsidR="004A7F5A" w:rsidRPr="00704FF0" w:rsidRDefault="004A7F5A" w:rsidP="004A7F5A">
      <w:pPr>
        <w:tabs>
          <w:tab w:val="clear" w:pos="284"/>
        </w:tabs>
        <w:jc w:val="left"/>
        <w:rPr>
          <w:szCs w:val="22"/>
          <w:lang w:val="sr-Latn-RS"/>
        </w:rPr>
      </w:pPr>
    </w:p>
    <w:p w14:paraId="3B69BD3D" w14:textId="77777777" w:rsidR="004A7F5A" w:rsidRPr="00704FF0" w:rsidRDefault="004A7F5A" w:rsidP="004A7F5A">
      <w:pPr>
        <w:tabs>
          <w:tab w:val="clear" w:pos="284"/>
        </w:tabs>
        <w:jc w:val="left"/>
        <w:rPr>
          <w:szCs w:val="22"/>
          <w:lang w:val="sr-Latn-RS"/>
        </w:rPr>
      </w:pPr>
    </w:p>
    <w:p w14:paraId="3EFD298A" w14:textId="40E7E539" w:rsidR="000C2772" w:rsidRPr="00704FF0" w:rsidRDefault="000C2772" w:rsidP="004A7F5A">
      <w:pPr>
        <w:pStyle w:val="NASLOV123"/>
        <w:spacing w:before="0" w:after="0"/>
        <w:rPr>
          <w:lang w:val="sr-Latn-RS"/>
        </w:rPr>
      </w:pPr>
      <w:r w:rsidRPr="00704FF0">
        <w:rPr>
          <w:lang w:val="sr-Latn-RS"/>
        </w:rPr>
        <w:t>3. FARMACEUTSKI OBLIK</w:t>
      </w:r>
    </w:p>
    <w:p w14:paraId="1B51983F" w14:textId="77777777" w:rsidR="004A7F5A" w:rsidRPr="00704FF0" w:rsidRDefault="004A7F5A" w:rsidP="004A7F5A">
      <w:pPr>
        <w:pStyle w:val="NASLOV123"/>
        <w:spacing w:before="0" w:after="0"/>
        <w:rPr>
          <w:lang w:val="sr-Latn-RS"/>
        </w:rPr>
      </w:pPr>
    </w:p>
    <w:p w14:paraId="3EFD298B"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Tableta.</w:t>
      </w:r>
    </w:p>
    <w:p w14:paraId="3EFD298C" w14:textId="24AF2A96" w:rsidR="000C2772" w:rsidRPr="00704FF0" w:rsidRDefault="000C2772" w:rsidP="004A7F5A">
      <w:pPr>
        <w:rPr>
          <w:szCs w:val="22"/>
          <w:lang w:val="sr-Latn-RS"/>
        </w:rPr>
      </w:pPr>
      <w:r w:rsidRPr="00704FF0">
        <w:rPr>
          <w:szCs w:val="22"/>
          <w:lang w:val="sr-Latn-RS"/>
        </w:rPr>
        <w:t>Okrugla tableta ravnih površina, b</w:t>
      </w:r>
      <w:r w:rsidR="00A761B0" w:rsidRPr="00704FF0">
        <w:rPr>
          <w:szCs w:val="22"/>
          <w:lang w:val="sr-Latn-RS"/>
        </w:rPr>
        <w:t>ij</w:t>
      </w:r>
      <w:r w:rsidRPr="00704FF0">
        <w:rPr>
          <w:szCs w:val="22"/>
          <w:lang w:val="sr-Latn-RS"/>
        </w:rPr>
        <w:t>ele do žućkasto</w:t>
      </w:r>
      <w:r w:rsidR="004C2DF8" w:rsidRPr="00704FF0">
        <w:rPr>
          <w:szCs w:val="22"/>
          <w:lang w:val="sr-Latn-RS"/>
        </w:rPr>
        <w:t>-</w:t>
      </w:r>
      <w:r w:rsidRPr="00704FF0">
        <w:rPr>
          <w:szCs w:val="22"/>
          <w:lang w:val="sr-Latn-RS"/>
        </w:rPr>
        <w:t>b</w:t>
      </w:r>
      <w:r w:rsidR="00A761B0" w:rsidRPr="00704FF0">
        <w:rPr>
          <w:szCs w:val="22"/>
          <w:lang w:val="sr-Latn-RS"/>
        </w:rPr>
        <w:t>ij</w:t>
      </w:r>
      <w:r w:rsidRPr="00704FF0">
        <w:rPr>
          <w:szCs w:val="22"/>
          <w:lang w:val="sr-Latn-RS"/>
        </w:rPr>
        <w:t>ele boje, sa pod</w:t>
      </w:r>
      <w:r w:rsidR="00A761B0" w:rsidRPr="00704FF0">
        <w:rPr>
          <w:szCs w:val="22"/>
          <w:lang w:val="sr-Latn-RS"/>
        </w:rPr>
        <w:t>i</w:t>
      </w:r>
      <w:r w:rsidRPr="00704FF0">
        <w:rPr>
          <w:szCs w:val="22"/>
          <w:lang w:val="sr-Latn-RS"/>
        </w:rPr>
        <w:t xml:space="preserve">onom </w:t>
      </w:r>
      <w:r w:rsidR="005426ED" w:rsidRPr="00704FF0">
        <w:rPr>
          <w:szCs w:val="22"/>
          <w:lang w:val="sr-Latn-RS"/>
        </w:rPr>
        <w:t xml:space="preserve"> linijom</w:t>
      </w:r>
      <w:r w:rsidRPr="00704FF0">
        <w:rPr>
          <w:szCs w:val="22"/>
          <w:lang w:val="sr-Latn-RS"/>
        </w:rPr>
        <w:t xml:space="preserve"> na jednoj strani.</w:t>
      </w:r>
    </w:p>
    <w:p w14:paraId="3EFD298D" w14:textId="62782131" w:rsidR="000C2772" w:rsidRPr="00704FF0" w:rsidRDefault="000C2772" w:rsidP="004A7F5A">
      <w:pPr>
        <w:rPr>
          <w:szCs w:val="22"/>
          <w:lang w:val="sr-Latn-RS"/>
        </w:rPr>
      </w:pPr>
      <w:r w:rsidRPr="00704FF0">
        <w:rPr>
          <w:szCs w:val="22"/>
          <w:lang w:val="sr-Latn-RS"/>
        </w:rPr>
        <w:t>Tableta se može pod</w:t>
      </w:r>
      <w:r w:rsidR="00A761B0" w:rsidRPr="00704FF0">
        <w:rPr>
          <w:szCs w:val="22"/>
          <w:lang w:val="sr-Latn-RS"/>
        </w:rPr>
        <w:t>ij</w:t>
      </w:r>
      <w:r w:rsidRPr="00704FF0">
        <w:rPr>
          <w:szCs w:val="22"/>
          <w:lang w:val="sr-Latn-RS"/>
        </w:rPr>
        <w:t>eliti na jednake doze.</w:t>
      </w:r>
    </w:p>
    <w:p w14:paraId="359E4E30" w14:textId="5D5BC9CB" w:rsidR="004A7F5A" w:rsidRPr="00704FF0" w:rsidRDefault="004A7F5A" w:rsidP="004A7F5A">
      <w:pPr>
        <w:rPr>
          <w:szCs w:val="22"/>
          <w:lang w:val="sr-Latn-RS"/>
        </w:rPr>
      </w:pPr>
    </w:p>
    <w:p w14:paraId="25596064" w14:textId="77777777" w:rsidR="004A7F5A" w:rsidRPr="00704FF0" w:rsidRDefault="004A7F5A" w:rsidP="004A7F5A">
      <w:pPr>
        <w:rPr>
          <w:szCs w:val="22"/>
          <w:lang w:val="sr-Latn-RS"/>
        </w:rPr>
      </w:pPr>
    </w:p>
    <w:p w14:paraId="3EFD298E" w14:textId="37B526E2" w:rsidR="000C2772" w:rsidRPr="00704FF0" w:rsidRDefault="000C2772" w:rsidP="004A7F5A">
      <w:pPr>
        <w:pStyle w:val="NASLOV123"/>
        <w:spacing w:before="0" w:after="0"/>
        <w:rPr>
          <w:lang w:val="sr-Latn-RS"/>
        </w:rPr>
      </w:pPr>
      <w:r w:rsidRPr="00704FF0">
        <w:rPr>
          <w:lang w:val="sr-Latn-RS"/>
        </w:rPr>
        <w:t>4. KLINIČKI PODACI</w:t>
      </w:r>
    </w:p>
    <w:p w14:paraId="3BA16ECA" w14:textId="77777777" w:rsidR="004A7F5A" w:rsidRPr="00704FF0" w:rsidRDefault="004A7F5A" w:rsidP="004A7F5A">
      <w:pPr>
        <w:pStyle w:val="NASLOV123"/>
        <w:spacing w:before="0" w:after="0"/>
        <w:rPr>
          <w:lang w:val="sr-Latn-RS"/>
        </w:rPr>
      </w:pPr>
    </w:p>
    <w:p w14:paraId="3EFD298F" w14:textId="77777777" w:rsidR="000C2772" w:rsidRPr="00704FF0" w:rsidRDefault="000C2772" w:rsidP="004A7F5A">
      <w:pPr>
        <w:rPr>
          <w:b/>
          <w:bCs/>
          <w:szCs w:val="22"/>
          <w:lang w:val="sr-Latn-RS"/>
        </w:rPr>
      </w:pPr>
      <w:r w:rsidRPr="00704FF0">
        <w:rPr>
          <w:b/>
          <w:bCs/>
          <w:szCs w:val="22"/>
          <w:lang w:val="sr-Latn-RS"/>
        </w:rPr>
        <w:t>4.1. Terapijske indikacije</w:t>
      </w:r>
    </w:p>
    <w:p w14:paraId="3EFD2990" w14:textId="77777777" w:rsidR="000C2772" w:rsidRPr="00704FF0" w:rsidRDefault="000C2772" w:rsidP="004A7F5A">
      <w:pPr>
        <w:rPr>
          <w:szCs w:val="22"/>
          <w:lang w:val="sr-Latn-RS"/>
        </w:rPr>
      </w:pPr>
    </w:p>
    <w:p w14:paraId="3EFD2991" w14:textId="4B79B3E2" w:rsidR="000C2772" w:rsidRPr="00704FF0" w:rsidRDefault="000C2772" w:rsidP="004A7F5A">
      <w:pPr>
        <w:rPr>
          <w:szCs w:val="22"/>
          <w:lang w:val="sr-Latn-RS"/>
        </w:rPr>
      </w:pPr>
      <w:r w:rsidRPr="00704FF0">
        <w:rPr>
          <w:szCs w:val="22"/>
          <w:lang w:val="sr-Latn-RS"/>
        </w:rPr>
        <w:t xml:space="preserve">Glioral tablete se koriste u terapiji insulin nezavisnog </w:t>
      </w:r>
      <w:r w:rsidRPr="00704FF0">
        <w:rPr>
          <w:i/>
          <w:iCs/>
          <w:szCs w:val="22"/>
          <w:lang w:val="sr-Latn-RS"/>
        </w:rPr>
        <w:t>diabetes mellitus</w:t>
      </w:r>
      <w:r w:rsidRPr="00704FF0">
        <w:rPr>
          <w:szCs w:val="22"/>
          <w:lang w:val="sr-Latn-RS"/>
        </w:rPr>
        <w:t xml:space="preserve">-a (tip 2), kada </w:t>
      </w:r>
      <w:r w:rsidR="004C2DF8" w:rsidRPr="00704FF0">
        <w:rPr>
          <w:szCs w:val="22"/>
          <w:lang w:val="sr-Latn-RS"/>
        </w:rPr>
        <w:t>režim ishrane</w:t>
      </w:r>
      <w:r w:rsidRPr="00704FF0">
        <w:rPr>
          <w:szCs w:val="22"/>
          <w:lang w:val="sr-Latn-RS"/>
        </w:rPr>
        <w:t>, fizička aktivnost i smanjenje t</w:t>
      </w:r>
      <w:r w:rsidR="00A761B0" w:rsidRPr="00704FF0">
        <w:rPr>
          <w:szCs w:val="22"/>
          <w:lang w:val="sr-Latn-RS"/>
        </w:rPr>
        <w:t>j</w:t>
      </w:r>
      <w:r w:rsidRPr="00704FF0">
        <w:rPr>
          <w:szCs w:val="22"/>
          <w:lang w:val="sr-Latn-RS"/>
        </w:rPr>
        <w:t>elesne mase nisu dovoljni za kontrolu glukoze u krvi.</w:t>
      </w:r>
    </w:p>
    <w:p w14:paraId="3EFD2992" w14:textId="77777777" w:rsidR="000C2772" w:rsidRPr="00704FF0" w:rsidRDefault="000C2772" w:rsidP="004A7F5A">
      <w:pPr>
        <w:rPr>
          <w:szCs w:val="22"/>
          <w:lang w:val="sr-Latn-RS"/>
        </w:rPr>
      </w:pPr>
    </w:p>
    <w:p w14:paraId="3EFD2993" w14:textId="16F6BAAC" w:rsidR="000C2772" w:rsidRPr="00704FF0" w:rsidRDefault="000C2772" w:rsidP="004A7F5A">
      <w:pPr>
        <w:rPr>
          <w:b/>
          <w:bCs/>
          <w:szCs w:val="22"/>
          <w:lang w:val="sr-Latn-RS"/>
        </w:rPr>
      </w:pPr>
      <w:r w:rsidRPr="00704FF0">
        <w:rPr>
          <w:b/>
          <w:bCs/>
          <w:szCs w:val="22"/>
          <w:lang w:val="sr-Latn-RS"/>
        </w:rPr>
        <w:t>4.2. Doziranje i način prim</w:t>
      </w:r>
      <w:r w:rsidR="00A761B0" w:rsidRPr="00704FF0">
        <w:rPr>
          <w:b/>
          <w:bCs/>
          <w:szCs w:val="22"/>
          <w:lang w:val="sr-Latn-RS"/>
        </w:rPr>
        <w:t>j</w:t>
      </w:r>
      <w:r w:rsidRPr="00704FF0">
        <w:rPr>
          <w:b/>
          <w:bCs/>
          <w:szCs w:val="22"/>
          <w:lang w:val="sr-Latn-RS"/>
        </w:rPr>
        <w:t>ene</w:t>
      </w:r>
    </w:p>
    <w:p w14:paraId="3EFD2994" w14:textId="77777777" w:rsidR="000C2772" w:rsidRPr="00704FF0" w:rsidRDefault="000C2772" w:rsidP="004A7F5A">
      <w:pPr>
        <w:rPr>
          <w:szCs w:val="22"/>
          <w:lang w:val="sr-Latn-RS"/>
        </w:rPr>
      </w:pPr>
    </w:p>
    <w:p w14:paraId="3EFD2998" w14:textId="77777777" w:rsidR="000C2772" w:rsidRPr="00704FF0" w:rsidRDefault="000C2772" w:rsidP="004A7F5A">
      <w:pPr>
        <w:rPr>
          <w:iCs/>
          <w:szCs w:val="22"/>
          <w:u w:val="single"/>
          <w:lang w:val="sr-Latn-RS"/>
        </w:rPr>
      </w:pPr>
      <w:r w:rsidRPr="00704FF0">
        <w:rPr>
          <w:iCs/>
          <w:szCs w:val="22"/>
          <w:u w:val="single"/>
          <w:lang w:val="sr-Latn-RS"/>
        </w:rPr>
        <w:t>Doziranje:</w:t>
      </w:r>
    </w:p>
    <w:p w14:paraId="3EFD2999" w14:textId="77777777" w:rsidR="000C2772" w:rsidRPr="00704FF0" w:rsidRDefault="000C2772" w:rsidP="004A7F5A">
      <w:pPr>
        <w:numPr>
          <w:ilvl w:val="0"/>
          <w:numId w:val="9"/>
        </w:numPr>
        <w:rPr>
          <w:i/>
          <w:iCs/>
          <w:szCs w:val="22"/>
          <w:u w:val="single"/>
          <w:lang w:val="sr-Latn-RS"/>
        </w:rPr>
      </w:pPr>
      <w:r w:rsidRPr="00704FF0">
        <w:rPr>
          <w:i/>
          <w:iCs/>
          <w:szCs w:val="22"/>
          <w:u w:val="single"/>
          <w:lang w:val="sr-Latn-RS"/>
        </w:rPr>
        <w:t>Početna doza</w:t>
      </w:r>
    </w:p>
    <w:p w14:paraId="3EFD299A" w14:textId="77777777" w:rsidR="000C2772" w:rsidRPr="00704FF0" w:rsidRDefault="000C2772" w:rsidP="004A7F5A">
      <w:pPr>
        <w:rPr>
          <w:szCs w:val="22"/>
          <w:lang w:val="sr-Latn-RS"/>
        </w:rPr>
      </w:pPr>
    </w:p>
    <w:p w14:paraId="3EFD299B" w14:textId="25A9D155" w:rsidR="000C2772" w:rsidRPr="00704FF0" w:rsidRDefault="000C2772" w:rsidP="004A7F5A">
      <w:pPr>
        <w:rPr>
          <w:szCs w:val="22"/>
          <w:lang w:val="sr-Latn-RS"/>
        </w:rPr>
      </w:pPr>
      <w:r w:rsidRPr="00704FF0">
        <w:rPr>
          <w:szCs w:val="22"/>
          <w:lang w:val="sr-Latn-RS"/>
        </w:rPr>
        <w:t>Ukupna dnevna doza može varirati od 40 do 320 mg. Dozu treba prilagoditi individualnim potrebama pacijenta. Terapiju započeti dozom od 40-80 mg (1/2 – 1 tableta) dnevno i povećavati dok se ne postigne zadovoljavajući terapijski odgovor tj. kontrola glikemije. Pojedinačna doza ne treba da bude veća od 160 mg (2 tablete). Kada su neophodne veće doze, l</w:t>
      </w:r>
      <w:r w:rsidR="00A761B0" w:rsidRPr="00704FF0">
        <w:rPr>
          <w:szCs w:val="22"/>
          <w:lang w:val="sr-Latn-RS"/>
        </w:rPr>
        <w:t>ij</w:t>
      </w:r>
      <w:r w:rsidRPr="00704FF0">
        <w:rPr>
          <w:szCs w:val="22"/>
          <w:lang w:val="sr-Latn-RS"/>
        </w:rPr>
        <w:t>ek Glioral treba uzimati 2 puta dnevno uz glavne obroke.</w:t>
      </w:r>
    </w:p>
    <w:p w14:paraId="3EFD299C" w14:textId="77777777" w:rsidR="000C2772" w:rsidRPr="00704FF0" w:rsidRDefault="000C2772" w:rsidP="004A7F5A">
      <w:pPr>
        <w:rPr>
          <w:szCs w:val="22"/>
          <w:lang w:val="sr-Latn-RS"/>
        </w:rPr>
      </w:pPr>
    </w:p>
    <w:p w14:paraId="3EFD299D" w14:textId="1B69346C" w:rsidR="000C2772" w:rsidRPr="00704FF0" w:rsidRDefault="000C2772" w:rsidP="004A7F5A">
      <w:pPr>
        <w:rPr>
          <w:szCs w:val="22"/>
          <w:lang w:val="sr-Latn-RS"/>
        </w:rPr>
      </w:pPr>
      <w:r w:rsidRPr="00704FF0">
        <w:rPr>
          <w:szCs w:val="22"/>
          <w:lang w:val="sr-Latn-RS"/>
        </w:rPr>
        <w:t>Kod gojaznih pacijenata ili onih koji ne pokazuju odgovarajući terapijski odgovor na l</w:t>
      </w:r>
      <w:r w:rsidR="00A761B0" w:rsidRPr="00704FF0">
        <w:rPr>
          <w:szCs w:val="22"/>
          <w:lang w:val="sr-Latn-RS"/>
        </w:rPr>
        <w:t>ij</w:t>
      </w:r>
      <w:r w:rsidRPr="00704FF0">
        <w:rPr>
          <w:szCs w:val="22"/>
          <w:lang w:val="sr-Latn-RS"/>
        </w:rPr>
        <w:t>ek Glioral, može biti neophodna dodatna terapija.</w:t>
      </w:r>
    </w:p>
    <w:p w14:paraId="3EFD299E" w14:textId="77777777" w:rsidR="000C2772" w:rsidRPr="00704FF0" w:rsidRDefault="000C2772" w:rsidP="004A7F5A">
      <w:pPr>
        <w:rPr>
          <w:iCs/>
          <w:szCs w:val="22"/>
          <w:u w:val="single"/>
          <w:lang w:val="sr-Latn-RS"/>
        </w:rPr>
      </w:pPr>
    </w:p>
    <w:p w14:paraId="3EFD299F" w14:textId="7B8C1325" w:rsidR="000C2772" w:rsidRPr="00704FF0" w:rsidRDefault="000C2772" w:rsidP="004A7F5A">
      <w:pPr>
        <w:numPr>
          <w:ilvl w:val="0"/>
          <w:numId w:val="13"/>
        </w:numPr>
        <w:rPr>
          <w:i/>
          <w:szCs w:val="22"/>
          <w:lang w:val="sr-Latn-RS"/>
        </w:rPr>
      </w:pPr>
      <w:r w:rsidRPr="00704FF0">
        <w:rPr>
          <w:i/>
          <w:iCs/>
          <w:szCs w:val="22"/>
          <w:u w:val="single"/>
          <w:lang w:val="sr-Latn-RS"/>
        </w:rPr>
        <w:t xml:space="preserve">Prelazak </w:t>
      </w:r>
      <w:r w:rsidR="004C2DF8" w:rsidRPr="00704FF0">
        <w:rPr>
          <w:i/>
          <w:iCs/>
          <w:szCs w:val="22"/>
          <w:u w:val="single"/>
          <w:lang w:val="sr-Latn-RS"/>
        </w:rPr>
        <w:t xml:space="preserve"> </w:t>
      </w:r>
      <w:r w:rsidRPr="00704FF0">
        <w:rPr>
          <w:i/>
          <w:iCs/>
          <w:szCs w:val="22"/>
          <w:u w:val="single"/>
          <w:lang w:val="sr-Latn-RS"/>
        </w:rPr>
        <w:t xml:space="preserve">sa </w:t>
      </w:r>
      <w:r w:rsidRPr="00704FF0">
        <w:rPr>
          <w:i/>
          <w:szCs w:val="22"/>
          <w:u w:val="single"/>
          <w:lang w:val="sr-Latn-RS"/>
        </w:rPr>
        <w:t>l</w:t>
      </w:r>
      <w:r w:rsidR="00A761B0" w:rsidRPr="00704FF0">
        <w:rPr>
          <w:i/>
          <w:szCs w:val="22"/>
          <w:u w:val="single"/>
          <w:lang w:val="sr-Latn-RS"/>
        </w:rPr>
        <w:t>ij</w:t>
      </w:r>
      <w:r w:rsidRPr="00704FF0">
        <w:rPr>
          <w:i/>
          <w:szCs w:val="22"/>
          <w:u w:val="single"/>
          <w:lang w:val="sr-Latn-RS"/>
        </w:rPr>
        <w:t>ečenja nekim drugim oralnim antidijabetikom na l</w:t>
      </w:r>
      <w:r w:rsidR="00A761B0" w:rsidRPr="00704FF0">
        <w:rPr>
          <w:i/>
          <w:szCs w:val="22"/>
          <w:u w:val="single"/>
          <w:lang w:val="sr-Latn-RS"/>
        </w:rPr>
        <w:t>ij</w:t>
      </w:r>
      <w:r w:rsidRPr="00704FF0">
        <w:rPr>
          <w:i/>
          <w:szCs w:val="22"/>
          <w:u w:val="single"/>
          <w:lang w:val="sr-Latn-RS"/>
        </w:rPr>
        <w:t>ečenje l</w:t>
      </w:r>
      <w:r w:rsidR="00A761B0" w:rsidRPr="00704FF0">
        <w:rPr>
          <w:i/>
          <w:szCs w:val="22"/>
          <w:u w:val="single"/>
          <w:lang w:val="sr-Latn-RS"/>
        </w:rPr>
        <w:t>ij</w:t>
      </w:r>
      <w:r w:rsidRPr="00704FF0">
        <w:rPr>
          <w:i/>
          <w:szCs w:val="22"/>
          <w:u w:val="single"/>
          <w:lang w:val="sr-Latn-RS"/>
        </w:rPr>
        <w:t>ekom Glioral, 80 mg, tablete</w:t>
      </w:r>
    </w:p>
    <w:p w14:paraId="3EFD29A0" w14:textId="77777777" w:rsidR="000C2772" w:rsidRPr="00704FF0" w:rsidRDefault="000C2772" w:rsidP="004A7F5A">
      <w:pPr>
        <w:rPr>
          <w:iCs/>
          <w:szCs w:val="22"/>
          <w:lang w:val="sr-Latn-RS"/>
        </w:rPr>
      </w:pPr>
    </w:p>
    <w:p w14:paraId="3EFD29A1" w14:textId="3055C280" w:rsidR="000C2772" w:rsidRPr="00704FF0" w:rsidRDefault="000C2772" w:rsidP="004A7F5A">
      <w:pPr>
        <w:rPr>
          <w:iCs/>
          <w:szCs w:val="22"/>
          <w:lang w:val="sr-Latn-RS"/>
        </w:rPr>
      </w:pPr>
      <w:r w:rsidRPr="00704FF0">
        <w:rPr>
          <w:iCs/>
          <w:szCs w:val="22"/>
          <w:lang w:val="sr-Latn-RS"/>
        </w:rPr>
        <w:t>L</w:t>
      </w:r>
      <w:r w:rsidR="00A761B0" w:rsidRPr="00704FF0">
        <w:rPr>
          <w:iCs/>
          <w:szCs w:val="22"/>
          <w:lang w:val="sr-Latn-RS"/>
        </w:rPr>
        <w:t>ij</w:t>
      </w:r>
      <w:r w:rsidRPr="00704FF0">
        <w:rPr>
          <w:iCs/>
          <w:szCs w:val="22"/>
          <w:lang w:val="sr-Latn-RS"/>
        </w:rPr>
        <w:t>ek Glioral se može prim</w:t>
      </w:r>
      <w:r w:rsidR="00A761B0" w:rsidRPr="00704FF0">
        <w:rPr>
          <w:iCs/>
          <w:szCs w:val="22"/>
          <w:lang w:val="sr-Latn-RS"/>
        </w:rPr>
        <w:t>ij</w:t>
      </w:r>
      <w:r w:rsidRPr="00704FF0">
        <w:rPr>
          <w:iCs/>
          <w:szCs w:val="22"/>
          <w:lang w:val="sr-Latn-RS"/>
        </w:rPr>
        <w:t>eniti um</w:t>
      </w:r>
      <w:r w:rsidR="00A761B0" w:rsidRPr="00704FF0">
        <w:rPr>
          <w:iCs/>
          <w:szCs w:val="22"/>
          <w:lang w:val="sr-Latn-RS"/>
        </w:rPr>
        <w:t>j</w:t>
      </w:r>
      <w:r w:rsidRPr="00704FF0">
        <w:rPr>
          <w:iCs/>
          <w:szCs w:val="22"/>
          <w:lang w:val="sr-Latn-RS"/>
        </w:rPr>
        <w:t>esto drugih oralnih antidijabetika.</w:t>
      </w:r>
    </w:p>
    <w:p w14:paraId="3EFD29A2" w14:textId="33C73ACA" w:rsidR="000C2772" w:rsidRPr="00704FF0" w:rsidRDefault="000C2772" w:rsidP="004A7F5A">
      <w:pPr>
        <w:rPr>
          <w:iCs/>
          <w:szCs w:val="22"/>
          <w:lang w:val="sr-Latn-RS"/>
        </w:rPr>
      </w:pPr>
      <w:r w:rsidRPr="00704FF0">
        <w:rPr>
          <w:iCs/>
          <w:szCs w:val="22"/>
          <w:lang w:val="sr-Latn-RS"/>
        </w:rPr>
        <w:t>Pr</w:t>
      </w:r>
      <w:r w:rsidR="00A761B0" w:rsidRPr="00704FF0">
        <w:rPr>
          <w:iCs/>
          <w:szCs w:val="22"/>
          <w:lang w:val="sr-Latn-RS"/>
        </w:rPr>
        <w:t>ij</w:t>
      </w:r>
      <w:r w:rsidRPr="00704FF0">
        <w:rPr>
          <w:iCs/>
          <w:szCs w:val="22"/>
          <w:lang w:val="sr-Latn-RS"/>
        </w:rPr>
        <w:t>e prelaska na l</w:t>
      </w:r>
      <w:r w:rsidR="00A761B0" w:rsidRPr="00704FF0">
        <w:rPr>
          <w:iCs/>
          <w:szCs w:val="22"/>
          <w:lang w:val="sr-Latn-RS"/>
        </w:rPr>
        <w:t>ij</w:t>
      </w:r>
      <w:r w:rsidRPr="00704FF0">
        <w:rPr>
          <w:iCs/>
          <w:szCs w:val="22"/>
          <w:lang w:val="sr-Latn-RS"/>
        </w:rPr>
        <w:t>ek Glioral mora se uzeti u obzir doza i poluvr</w:t>
      </w:r>
      <w:r w:rsidR="00A761B0" w:rsidRPr="00704FF0">
        <w:rPr>
          <w:iCs/>
          <w:szCs w:val="22"/>
          <w:lang w:val="sr-Latn-RS"/>
        </w:rPr>
        <w:t>ij</w:t>
      </w:r>
      <w:r w:rsidRPr="00704FF0">
        <w:rPr>
          <w:iCs/>
          <w:szCs w:val="22"/>
          <w:lang w:val="sr-Latn-RS"/>
        </w:rPr>
        <w:t>eme eliminacije prethodno prim</w:t>
      </w:r>
      <w:r w:rsidR="00A761B0" w:rsidRPr="00704FF0">
        <w:rPr>
          <w:iCs/>
          <w:szCs w:val="22"/>
          <w:lang w:val="sr-Latn-RS"/>
        </w:rPr>
        <w:t>j</w:t>
      </w:r>
      <w:r w:rsidRPr="00704FF0">
        <w:rPr>
          <w:iCs/>
          <w:szCs w:val="22"/>
          <w:lang w:val="sr-Latn-RS"/>
        </w:rPr>
        <w:t>enjivanog l</w:t>
      </w:r>
      <w:r w:rsidR="00A761B0" w:rsidRPr="00704FF0">
        <w:rPr>
          <w:iCs/>
          <w:szCs w:val="22"/>
          <w:lang w:val="sr-Latn-RS"/>
        </w:rPr>
        <w:t>ij</w:t>
      </w:r>
      <w:r w:rsidRPr="00704FF0">
        <w:rPr>
          <w:iCs/>
          <w:szCs w:val="22"/>
          <w:lang w:val="sr-Latn-RS"/>
        </w:rPr>
        <w:t>eka.</w:t>
      </w:r>
    </w:p>
    <w:p w14:paraId="3EFD29A3" w14:textId="3725FE58" w:rsidR="000C2772" w:rsidRPr="00704FF0" w:rsidRDefault="000C2772" w:rsidP="004A7F5A">
      <w:pPr>
        <w:rPr>
          <w:iCs/>
          <w:szCs w:val="22"/>
          <w:lang w:val="sr-Latn-RS"/>
        </w:rPr>
      </w:pPr>
      <w:r w:rsidRPr="00704FF0">
        <w:rPr>
          <w:iCs/>
          <w:szCs w:val="22"/>
          <w:lang w:val="sr-Latn-RS"/>
        </w:rPr>
        <w:t>Uglavnom nije potreban pr</w:t>
      </w:r>
      <w:r w:rsidR="00026192" w:rsidRPr="00704FF0">
        <w:rPr>
          <w:iCs/>
          <w:szCs w:val="22"/>
          <w:lang w:val="sr-Latn-RS"/>
        </w:rPr>
        <w:t>ij</w:t>
      </w:r>
      <w:r w:rsidRPr="00704FF0">
        <w:rPr>
          <w:iCs/>
          <w:szCs w:val="22"/>
          <w:lang w:val="sr-Latn-RS"/>
        </w:rPr>
        <w:t xml:space="preserve">elazni period. Započinje se sa dozom od 40 – 80 mg </w:t>
      </w:r>
      <w:r w:rsidRPr="00704FF0">
        <w:rPr>
          <w:szCs w:val="22"/>
          <w:lang w:val="sr-Latn-RS"/>
        </w:rPr>
        <w:t>(1/2 – 1 tableta)</w:t>
      </w:r>
      <w:r w:rsidRPr="00704FF0">
        <w:rPr>
          <w:iCs/>
          <w:szCs w:val="22"/>
          <w:lang w:val="sr-Latn-RS"/>
        </w:rPr>
        <w:t>. Doza l</w:t>
      </w:r>
      <w:r w:rsidR="00A761B0" w:rsidRPr="00704FF0">
        <w:rPr>
          <w:iCs/>
          <w:szCs w:val="22"/>
          <w:lang w:val="sr-Latn-RS"/>
        </w:rPr>
        <w:t>ij</w:t>
      </w:r>
      <w:r w:rsidRPr="00704FF0">
        <w:rPr>
          <w:iCs/>
          <w:szCs w:val="22"/>
          <w:lang w:val="sr-Latn-RS"/>
        </w:rPr>
        <w:t xml:space="preserve">eka se prilagođava terapijskom odgovoru tj. </w:t>
      </w:r>
      <w:r w:rsidR="004C2DF8" w:rsidRPr="00704FF0">
        <w:rPr>
          <w:iCs/>
          <w:szCs w:val="22"/>
          <w:lang w:val="sr-Latn-RS"/>
        </w:rPr>
        <w:t xml:space="preserve">koncentraciji </w:t>
      </w:r>
      <w:r w:rsidRPr="00704FF0">
        <w:rPr>
          <w:iCs/>
          <w:szCs w:val="22"/>
          <w:lang w:val="sr-Latn-RS"/>
        </w:rPr>
        <w:t>glukoze u krvi kako je prethodno opisano.</w:t>
      </w:r>
    </w:p>
    <w:p w14:paraId="3EFD29A4" w14:textId="0D4D66EA" w:rsidR="000C2772" w:rsidRPr="00704FF0" w:rsidRDefault="000C2772" w:rsidP="004A7F5A">
      <w:pPr>
        <w:rPr>
          <w:iCs/>
          <w:szCs w:val="22"/>
          <w:u w:val="single"/>
          <w:lang w:val="sr-Latn-RS"/>
        </w:rPr>
      </w:pPr>
      <w:r w:rsidRPr="00704FF0">
        <w:rPr>
          <w:szCs w:val="22"/>
          <w:lang w:val="sr-Latn-RS"/>
        </w:rPr>
        <w:t>Pri prelasku sa l</w:t>
      </w:r>
      <w:r w:rsidR="00A761B0" w:rsidRPr="00704FF0">
        <w:rPr>
          <w:szCs w:val="22"/>
          <w:lang w:val="sr-Latn-RS"/>
        </w:rPr>
        <w:t>ij</w:t>
      </w:r>
      <w:r w:rsidRPr="00704FF0">
        <w:rPr>
          <w:szCs w:val="22"/>
          <w:lang w:val="sr-Latn-RS"/>
        </w:rPr>
        <w:t xml:space="preserve">ečenja antidijabetikom iz grupe derivata sulfoniluree sa </w:t>
      </w:r>
      <w:r w:rsidRPr="00704FF0">
        <w:rPr>
          <w:szCs w:val="22"/>
          <w:u w:val="single"/>
          <w:lang w:val="sr-Latn-RS"/>
        </w:rPr>
        <w:t>produženim poluvr</w:t>
      </w:r>
      <w:r w:rsidR="00026192" w:rsidRPr="00704FF0">
        <w:rPr>
          <w:szCs w:val="22"/>
          <w:u w:val="single"/>
          <w:lang w:val="sr-Latn-RS"/>
        </w:rPr>
        <w:t>ij</w:t>
      </w:r>
      <w:r w:rsidRPr="00704FF0">
        <w:rPr>
          <w:szCs w:val="22"/>
          <w:u w:val="single"/>
          <w:lang w:val="sr-Latn-RS"/>
        </w:rPr>
        <w:t>emenom eliminacije,</w:t>
      </w:r>
      <w:r w:rsidRPr="00704FF0">
        <w:rPr>
          <w:iCs/>
          <w:szCs w:val="22"/>
          <w:lang w:val="sr-Latn-RS"/>
        </w:rPr>
        <w:t xml:space="preserve"> </w:t>
      </w:r>
      <w:r w:rsidRPr="00704FF0">
        <w:rPr>
          <w:szCs w:val="22"/>
          <w:lang w:val="sr-Latn-RS"/>
        </w:rPr>
        <w:t>pr</w:t>
      </w:r>
      <w:r w:rsidR="00026192" w:rsidRPr="00704FF0">
        <w:rPr>
          <w:szCs w:val="22"/>
          <w:lang w:val="sr-Latn-RS"/>
        </w:rPr>
        <w:t>ij</w:t>
      </w:r>
      <w:r w:rsidRPr="00704FF0">
        <w:rPr>
          <w:szCs w:val="22"/>
          <w:lang w:val="sr-Latn-RS"/>
        </w:rPr>
        <w:t>elazni period od nekoliko dana bez l</w:t>
      </w:r>
      <w:r w:rsidR="00932C96" w:rsidRPr="00704FF0">
        <w:rPr>
          <w:szCs w:val="22"/>
          <w:lang w:val="sr-Latn-RS"/>
        </w:rPr>
        <w:t>ij</w:t>
      </w:r>
      <w:r w:rsidRPr="00704FF0">
        <w:rPr>
          <w:szCs w:val="22"/>
          <w:lang w:val="sr-Latn-RS"/>
        </w:rPr>
        <w:t>ečenja može biti potreban, da bi se izb</w:t>
      </w:r>
      <w:r w:rsidR="00932C96" w:rsidRPr="00704FF0">
        <w:rPr>
          <w:szCs w:val="22"/>
          <w:lang w:val="sr-Latn-RS"/>
        </w:rPr>
        <w:t>j</w:t>
      </w:r>
      <w:r w:rsidRPr="00704FF0">
        <w:rPr>
          <w:szCs w:val="22"/>
          <w:lang w:val="sr-Latn-RS"/>
        </w:rPr>
        <w:t>eglo aditivno dejstvo dva l</w:t>
      </w:r>
      <w:r w:rsidR="00932C96" w:rsidRPr="00704FF0">
        <w:rPr>
          <w:szCs w:val="22"/>
          <w:lang w:val="sr-Latn-RS"/>
        </w:rPr>
        <w:t>ij</w:t>
      </w:r>
      <w:r w:rsidRPr="00704FF0">
        <w:rPr>
          <w:szCs w:val="22"/>
          <w:lang w:val="sr-Latn-RS"/>
        </w:rPr>
        <w:t>eka koje može da prouzrokuje hipoglikemiju</w:t>
      </w:r>
      <w:r w:rsidRPr="00704FF0">
        <w:rPr>
          <w:iCs/>
          <w:szCs w:val="22"/>
          <w:lang w:val="sr-Latn-RS"/>
        </w:rPr>
        <w:t>.</w:t>
      </w:r>
    </w:p>
    <w:p w14:paraId="7D66ED02" w14:textId="77777777" w:rsidR="004C2DF8" w:rsidRPr="00704FF0" w:rsidRDefault="004C2DF8" w:rsidP="004A7F5A">
      <w:pPr>
        <w:rPr>
          <w:iCs/>
          <w:szCs w:val="22"/>
          <w:u w:val="single"/>
          <w:lang w:val="sr-Latn-RS"/>
        </w:rPr>
      </w:pPr>
    </w:p>
    <w:p w14:paraId="3EFD29A6" w14:textId="3D8BE613" w:rsidR="000C2772" w:rsidRPr="00704FF0" w:rsidRDefault="000C2772" w:rsidP="004A7F5A">
      <w:pPr>
        <w:numPr>
          <w:ilvl w:val="0"/>
          <w:numId w:val="14"/>
        </w:numPr>
        <w:rPr>
          <w:i/>
          <w:iCs/>
          <w:szCs w:val="22"/>
          <w:u w:val="single"/>
          <w:lang w:val="sr-Latn-RS"/>
        </w:rPr>
      </w:pPr>
      <w:r w:rsidRPr="00704FF0">
        <w:rPr>
          <w:i/>
          <w:iCs/>
          <w:szCs w:val="22"/>
          <w:u w:val="single"/>
          <w:lang w:val="sr-Latn-RS"/>
        </w:rPr>
        <w:t>Kombinovano l</w:t>
      </w:r>
      <w:r w:rsidR="00932C96" w:rsidRPr="00704FF0">
        <w:rPr>
          <w:i/>
          <w:iCs/>
          <w:szCs w:val="22"/>
          <w:u w:val="single"/>
          <w:lang w:val="sr-Latn-RS"/>
        </w:rPr>
        <w:t>ij</w:t>
      </w:r>
      <w:r w:rsidRPr="00704FF0">
        <w:rPr>
          <w:i/>
          <w:iCs/>
          <w:szCs w:val="22"/>
          <w:u w:val="single"/>
          <w:lang w:val="sr-Latn-RS"/>
        </w:rPr>
        <w:t>ečenje sa drugim antidijabeticima</w:t>
      </w:r>
    </w:p>
    <w:p w14:paraId="3EFD29A7" w14:textId="77777777" w:rsidR="000C2772" w:rsidRPr="00704FF0" w:rsidRDefault="000C2772" w:rsidP="004A7F5A">
      <w:pPr>
        <w:rPr>
          <w:iCs/>
          <w:szCs w:val="22"/>
          <w:lang w:val="sr-Latn-RS"/>
        </w:rPr>
      </w:pPr>
    </w:p>
    <w:p w14:paraId="3EFD29A8" w14:textId="7CBDBD04" w:rsidR="000C2772" w:rsidRPr="00704FF0" w:rsidRDefault="000C2772" w:rsidP="004A7F5A">
      <w:pPr>
        <w:rPr>
          <w:iCs/>
          <w:szCs w:val="22"/>
          <w:lang w:val="sr-Latn-RS"/>
        </w:rPr>
      </w:pPr>
      <w:r w:rsidRPr="00704FF0">
        <w:rPr>
          <w:iCs/>
          <w:szCs w:val="22"/>
          <w:lang w:val="sr-Latn-RS"/>
        </w:rPr>
        <w:t>L</w:t>
      </w:r>
      <w:r w:rsidR="00932C96" w:rsidRPr="00704FF0">
        <w:rPr>
          <w:iCs/>
          <w:szCs w:val="22"/>
          <w:lang w:val="sr-Latn-RS"/>
        </w:rPr>
        <w:t>ij</w:t>
      </w:r>
      <w:r w:rsidRPr="00704FF0">
        <w:rPr>
          <w:iCs/>
          <w:szCs w:val="22"/>
          <w:lang w:val="sr-Latn-RS"/>
        </w:rPr>
        <w:t>ek Glioral se može prim</w:t>
      </w:r>
      <w:r w:rsidR="00932C96" w:rsidRPr="00704FF0">
        <w:rPr>
          <w:iCs/>
          <w:szCs w:val="22"/>
          <w:lang w:val="sr-Latn-RS"/>
        </w:rPr>
        <w:t>j</w:t>
      </w:r>
      <w:r w:rsidRPr="00704FF0">
        <w:rPr>
          <w:iCs/>
          <w:szCs w:val="22"/>
          <w:lang w:val="sr-Latn-RS"/>
        </w:rPr>
        <w:t>enjivati u kombinaciji sa bigvanidima, inhibitorima alfa-glukozidaze i insulinom.</w:t>
      </w:r>
    </w:p>
    <w:p w14:paraId="3EFD29A9" w14:textId="77777777" w:rsidR="000C2772" w:rsidRPr="00704FF0" w:rsidRDefault="000C2772" w:rsidP="004A7F5A">
      <w:pPr>
        <w:rPr>
          <w:iCs/>
          <w:szCs w:val="22"/>
          <w:lang w:val="sr-Latn-RS"/>
        </w:rPr>
      </w:pPr>
    </w:p>
    <w:p w14:paraId="3EFD29AA" w14:textId="165D4857" w:rsidR="000C2772" w:rsidRPr="00704FF0" w:rsidRDefault="000C2772" w:rsidP="004A7F5A">
      <w:pPr>
        <w:rPr>
          <w:iCs/>
          <w:szCs w:val="22"/>
          <w:lang w:val="sr-Latn-RS"/>
        </w:rPr>
      </w:pPr>
      <w:r w:rsidRPr="00704FF0">
        <w:rPr>
          <w:iCs/>
          <w:szCs w:val="22"/>
          <w:lang w:val="sr-Latn-RS"/>
        </w:rPr>
        <w:t>Kod pacijenata kod kojih se prim</w:t>
      </w:r>
      <w:r w:rsidR="00932C96" w:rsidRPr="00704FF0">
        <w:rPr>
          <w:iCs/>
          <w:szCs w:val="22"/>
          <w:lang w:val="sr-Latn-RS"/>
        </w:rPr>
        <w:t>j</w:t>
      </w:r>
      <w:r w:rsidRPr="00704FF0">
        <w:rPr>
          <w:iCs/>
          <w:szCs w:val="22"/>
          <w:lang w:val="sr-Latn-RS"/>
        </w:rPr>
        <w:t>enom l</w:t>
      </w:r>
      <w:r w:rsidR="00932C96" w:rsidRPr="00704FF0">
        <w:rPr>
          <w:iCs/>
          <w:szCs w:val="22"/>
          <w:lang w:val="sr-Latn-RS"/>
        </w:rPr>
        <w:t>ij</w:t>
      </w:r>
      <w:r w:rsidRPr="00704FF0">
        <w:rPr>
          <w:iCs/>
          <w:szCs w:val="22"/>
          <w:lang w:val="sr-Latn-RS"/>
        </w:rPr>
        <w:t xml:space="preserve">eka Glioral ne postiže zadovoljavajući terapijski odgovor, </w:t>
      </w:r>
      <w:r w:rsidRPr="00704FF0">
        <w:rPr>
          <w:szCs w:val="22"/>
          <w:lang w:val="sr-Latn-RS"/>
        </w:rPr>
        <w:t>može se uvesti istovremena terapija insulinom pod strogim medicinskim nadzorom.</w:t>
      </w:r>
    </w:p>
    <w:p w14:paraId="3EFD29AB" w14:textId="77777777" w:rsidR="000C2772" w:rsidRPr="00704FF0" w:rsidRDefault="000C2772" w:rsidP="004A7F5A">
      <w:pPr>
        <w:rPr>
          <w:iCs/>
          <w:szCs w:val="22"/>
          <w:lang w:val="sr-Latn-RS"/>
        </w:rPr>
      </w:pPr>
    </w:p>
    <w:p w14:paraId="3EFD29AC" w14:textId="77777777" w:rsidR="000C2772" w:rsidRPr="00704FF0" w:rsidRDefault="000C2772" w:rsidP="004A7F5A">
      <w:pPr>
        <w:rPr>
          <w:iCs/>
          <w:szCs w:val="22"/>
          <w:u w:val="single"/>
          <w:lang w:val="sr-Latn-RS"/>
        </w:rPr>
      </w:pPr>
      <w:r w:rsidRPr="00704FF0">
        <w:rPr>
          <w:iCs/>
          <w:szCs w:val="22"/>
          <w:u w:val="single"/>
          <w:lang w:val="sr-Latn-RS"/>
        </w:rPr>
        <w:t>Posebne populacije</w:t>
      </w:r>
    </w:p>
    <w:p w14:paraId="3EFD29AD" w14:textId="77777777" w:rsidR="000C2772" w:rsidRPr="00704FF0" w:rsidRDefault="000C2772" w:rsidP="004A7F5A">
      <w:pPr>
        <w:rPr>
          <w:i/>
          <w:iCs/>
          <w:szCs w:val="22"/>
          <w:lang w:val="sr-Latn-RS"/>
        </w:rPr>
      </w:pPr>
    </w:p>
    <w:p w14:paraId="3EFD29AE" w14:textId="51E1A675" w:rsidR="000C2772" w:rsidRPr="00704FF0" w:rsidRDefault="000C2772" w:rsidP="004A7F5A">
      <w:pPr>
        <w:rPr>
          <w:szCs w:val="22"/>
          <w:lang w:val="sr-Latn-RS"/>
        </w:rPr>
      </w:pPr>
      <w:r w:rsidRPr="00704FF0">
        <w:rPr>
          <w:i/>
          <w:iCs/>
          <w:szCs w:val="22"/>
          <w:lang w:val="sr-Latn-RS"/>
        </w:rPr>
        <w:t>Starij</w:t>
      </w:r>
      <w:r w:rsidR="004C2DF8" w:rsidRPr="00704FF0">
        <w:rPr>
          <w:i/>
          <w:iCs/>
          <w:szCs w:val="22"/>
          <w:lang w:val="sr-Latn-RS"/>
        </w:rPr>
        <w:t>i pacijenti</w:t>
      </w:r>
      <w:r w:rsidRPr="00704FF0">
        <w:rPr>
          <w:szCs w:val="22"/>
          <w:lang w:val="sr-Latn-RS"/>
        </w:rPr>
        <w:t xml:space="preserve">: </w:t>
      </w:r>
    </w:p>
    <w:p w14:paraId="3EFD29AF" w14:textId="6B5BA29C" w:rsidR="000C2772" w:rsidRPr="00704FF0" w:rsidRDefault="000C2772" w:rsidP="004A7F5A">
      <w:pPr>
        <w:pStyle w:val="Header"/>
        <w:tabs>
          <w:tab w:val="clear" w:pos="4536"/>
          <w:tab w:val="clear" w:pos="9072"/>
          <w:tab w:val="left" w:pos="284"/>
        </w:tabs>
        <w:rPr>
          <w:szCs w:val="22"/>
          <w:lang w:val="sr-Latn-RS"/>
        </w:rPr>
      </w:pPr>
      <w:r w:rsidRPr="00704FF0">
        <w:rPr>
          <w:szCs w:val="22"/>
          <w:lang w:val="sr-Latn-RS"/>
        </w:rPr>
        <w:t>L</w:t>
      </w:r>
      <w:r w:rsidR="00932C96" w:rsidRPr="00704FF0">
        <w:rPr>
          <w:szCs w:val="22"/>
          <w:lang w:val="sr-Latn-RS"/>
        </w:rPr>
        <w:t>ij</w:t>
      </w:r>
      <w:r w:rsidRPr="00704FF0">
        <w:rPr>
          <w:szCs w:val="22"/>
          <w:lang w:val="sr-Latn-RS"/>
        </w:rPr>
        <w:t>ek Glioral treba propisivati koristeći isti režim doziranja kao kod pacijenata mlađih od 65 godina.</w:t>
      </w:r>
    </w:p>
    <w:p w14:paraId="3EFD29B0" w14:textId="77777777" w:rsidR="000C2772" w:rsidRPr="00704FF0" w:rsidRDefault="000C2772" w:rsidP="004A7F5A">
      <w:pPr>
        <w:rPr>
          <w:i/>
          <w:szCs w:val="22"/>
          <w:lang w:val="sr-Latn-RS"/>
        </w:rPr>
      </w:pPr>
    </w:p>
    <w:p w14:paraId="3EFD29B1" w14:textId="77777777" w:rsidR="000C2772" w:rsidRPr="00704FF0" w:rsidRDefault="000C2772" w:rsidP="004A7F5A">
      <w:pPr>
        <w:rPr>
          <w:i/>
          <w:szCs w:val="22"/>
          <w:lang w:val="sr-Latn-RS"/>
        </w:rPr>
      </w:pPr>
      <w:r w:rsidRPr="00704FF0">
        <w:rPr>
          <w:i/>
          <w:szCs w:val="22"/>
          <w:lang w:val="sr-Latn-RS"/>
        </w:rPr>
        <w:t xml:space="preserve">Pacijenti sa oštećenom funkcijom bubrega: </w:t>
      </w:r>
    </w:p>
    <w:p w14:paraId="3EFD29B2" w14:textId="096EABF4" w:rsidR="000C2772" w:rsidRPr="00704FF0" w:rsidRDefault="000C2772" w:rsidP="004A7F5A">
      <w:pPr>
        <w:rPr>
          <w:szCs w:val="22"/>
          <w:lang w:val="sr-Latn-RS"/>
        </w:rPr>
      </w:pPr>
      <w:r w:rsidRPr="00704FF0">
        <w:rPr>
          <w:szCs w:val="22"/>
          <w:lang w:val="sr-Latn-RS"/>
        </w:rPr>
        <w:t>Kod pacijenata sa blagim i um</w:t>
      </w:r>
      <w:r w:rsidR="00932C96" w:rsidRPr="00704FF0">
        <w:rPr>
          <w:szCs w:val="22"/>
          <w:lang w:val="sr-Latn-RS"/>
        </w:rPr>
        <w:t>j</w:t>
      </w:r>
      <w:r w:rsidRPr="00704FF0">
        <w:rPr>
          <w:szCs w:val="22"/>
          <w:lang w:val="sr-Latn-RS"/>
        </w:rPr>
        <w:t>erenim oštećenjem funkcije bubrega može se prim</w:t>
      </w:r>
      <w:r w:rsidR="00932C96" w:rsidRPr="00704FF0">
        <w:rPr>
          <w:szCs w:val="22"/>
          <w:lang w:val="sr-Latn-RS"/>
        </w:rPr>
        <w:t>ij</w:t>
      </w:r>
      <w:r w:rsidRPr="00704FF0">
        <w:rPr>
          <w:szCs w:val="22"/>
          <w:lang w:val="sr-Latn-RS"/>
        </w:rPr>
        <w:t xml:space="preserve">eniti isti režim doziranja kao i kod pacijenata sa </w:t>
      </w:r>
      <w:r w:rsidR="00B66782" w:rsidRPr="00704FF0">
        <w:rPr>
          <w:szCs w:val="22"/>
          <w:lang w:val="sr-Latn-RS"/>
        </w:rPr>
        <w:t xml:space="preserve">očuvanom </w:t>
      </w:r>
      <w:r w:rsidRPr="00704FF0">
        <w:rPr>
          <w:szCs w:val="22"/>
          <w:lang w:val="sr-Latn-RS"/>
        </w:rPr>
        <w:t>funkcijom</w:t>
      </w:r>
      <w:r w:rsidR="00B66782" w:rsidRPr="00704FF0">
        <w:rPr>
          <w:szCs w:val="22"/>
          <w:lang w:val="sr-Latn-RS"/>
        </w:rPr>
        <w:t xml:space="preserve"> bubrega</w:t>
      </w:r>
      <w:r w:rsidRPr="00704FF0">
        <w:rPr>
          <w:szCs w:val="22"/>
          <w:lang w:val="sr-Latn-RS"/>
        </w:rPr>
        <w:t>, uz pažljivo praćenje pacijenta. Ovi podaci potvrđeni su u kliničkim studijama.</w:t>
      </w:r>
    </w:p>
    <w:p w14:paraId="3EFD29B3" w14:textId="77777777" w:rsidR="000C2772" w:rsidRPr="00704FF0" w:rsidRDefault="000C2772" w:rsidP="004A7F5A">
      <w:pPr>
        <w:rPr>
          <w:i/>
          <w:szCs w:val="22"/>
          <w:lang w:val="sr-Latn-RS"/>
        </w:rPr>
      </w:pPr>
    </w:p>
    <w:p w14:paraId="3EFD29B4" w14:textId="77777777" w:rsidR="000C2772" w:rsidRPr="00704FF0" w:rsidRDefault="000C2772" w:rsidP="004A7F5A">
      <w:pPr>
        <w:rPr>
          <w:szCs w:val="22"/>
          <w:lang w:val="sr-Latn-RS"/>
        </w:rPr>
      </w:pPr>
      <w:r w:rsidRPr="00704FF0">
        <w:rPr>
          <w:i/>
          <w:szCs w:val="22"/>
          <w:lang w:val="sr-Latn-RS"/>
        </w:rPr>
        <w:t xml:space="preserve">Pacijenti sa rizikom od hipoglikemije: </w:t>
      </w:r>
    </w:p>
    <w:p w14:paraId="3EFD29B5" w14:textId="77777777" w:rsidR="000C2772" w:rsidRPr="00704FF0" w:rsidRDefault="000C2772" w:rsidP="004A7F5A">
      <w:pPr>
        <w:numPr>
          <w:ilvl w:val="0"/>
          <w:numId w:val="16"/>
        </w:numPr>
        <w:rPr>
          <w:iCs/>
          <w:szCs w:val="22"/>
          <w:lang w:val="sr-Latn-RS"/>
        </w:rPr>
      </w:pPr>
      <w:r w:rsidRPr="00704FF0">
        <w:rPr>
          <w:szCs w:val="22"/>
          <w:lang w:val="sr-Latn-RS"/>
        </w:rPr>
        <w:t>pothranjeni ili neuhranjeni pacijenti</w:t>
      </w:r>
      <w:r w:rsidRPr="00704FF0">
        <w:rPr>
          <w:iCs/>
          <w:szCs w:val="22"/>
          <w:lang w:val="sr-Latn-RS"/>
        </w:rPr>
        <w:t>;</w:t>
      </w:r>
    </w:p>
    <w:p w14:paraId="3EFD29B6" w14:textId="77777777" w:rsidR="000C2772" w:rsidRPr="00704FF0" w:rsidRDefault="000C2772" w:rsidP="004A7F5A">
      <w:pPr>
        <w:numPr>
          <w:ilvl w:val="0"/>
          <w:numId w:val="16"/>
        </w:numPr>
        <w:rPr>
          <w:iCs/>
          <w:szCs w:val="22"/>
          <w:lang w:val="sr-Latn-RS"/>
        </w:rPr>
      </w:pPr>
      <w:r w:rsidRPr="00704FF0">
        <w:rPr>
          <w:szCs w:val="22"/>
          <w:lang w:val="sr-Latn-RS"/>
        </w:rPr>
        <w:t>pacijenti sa teškim ili loše kompenzovanim poremećajem endokrinog sistema</w:t>
      </w:r>
      <w:r w:rsidRPr="00704FF0">
        <w:rPr>
          <w:iCs/>
          <w:szCs w:val="22"/>
          <w:lang w:val="sr-Latn-RS"/>
        </w:rPr>
        <w:t xml:space="preserve"> (hipopituitarizam, hipotireoidizam, adrenokortikalna insuficijencija);</w:t>
      </w:r>
    </w:p>
    <w:p w14:paraId="3EFD29B7" w14:textId="6435C0C4" w:rsidR="000C2772" w:rsidRPr="00704FF0" w:rsidRDefault="000C2772" w:rsidP="004A7F5A">
      <w:pPr>
        <w:numPr>
          <w:ilvl w:val="0"/>
          <w:numId w:val="16"/>
        </w:numPr>
        <w:rPr>
          <w:iCs/>
          <w:szCs w:val="22"/>
          <w:lang w:val="sr-Latn-RS"/>
        </w:rPr>
      </w:pPr>
      <w:r w:rsidRPr="00704FF0">
        <w:rPr>
          <w:szCs w:val="22"/>
          <w:lang w:val="sr-Latn-RS"/>
        </w:rPr>
        <w:t>pacijenti kojima je prekinuta dugotrajna terapija kortikosteroidima i/ili terapija v</w:t>
      </w:r>
      <w:r w:rsidR="00B66782" w:rsidRPr="00704FF0">
        <w:rPr>
          <w:szCs w:val="22"/>
          <w:lang w:val="sr-Latn-RS"/>
        </w:rPr>
        <w:t>eli</w:t>
      </w:r>
      <w:r w:rsidRPr="00704FF0">
        <w:rPr>
          <w:szCs w:val="22"/>
          <w:lang w:val="sr-Latn-RS"/>
        </w:rPr>
        <w:t>kim dozama kortikosteroida</w:t>
      </w:r>
      <w:r w:rsidRPr="00704FF0">
        <w:rPr>
          <w:iCs/>
          <w:szCs w:val="22"/>
          <w:lang w:val="sr-Latn-RS"/>
        </w:rPr>
        <w:t>;</w:t>
      </w:r>
    </w:p>
    <w:p w14:paraId="3EFD29B8" w14:textId="77777777" w:rsidR="000C2772" w:rsidRPr="00704FF0" w:rsidRDefault="000C2772" w:rsidP="004A7F5A">
      <w:pPr>
        <w:numPr>
          <w:ilvl w:val="0"/>
          <w:numId w:val="16"/>
        </w:numPr>
        <w:rPr>
          <w:iCs/>
          <w:szCs w:val="22"/>
          <w:lang w:val="sr-Latn-RS"/>
        </w:rPr>
      </w:pPr>
      <w:r w:rsidRPr="00704FF0">
        <w:rPr>
          <w:szCs w:val="22"/>
          <w:lang w:val="sr-Latn-RS"/>
        </w:rPr>
        <w:t>pacijenti sa teškim vaskularnim oboljenjem (teška koronarna srčana bolest, teška karotidna insuficijencija, difuzno vaskularno oboljenje)</w:t>
      </w:r>
      <w:r w:rsidRPr="00704FF0">
        <w:rPr>
          <w:iCs/>
          <w:szCs w:val="22"/>
          <w:lang w:val="sr-Latn-RS"/>
        </w:rPr>
        <w:t>.</w:t>
      </w:r>
    </w:p>
    <w:p w14:paraId="3EFD29B9" w14:textId="77777777" w:rsidR="000C2772" w:rsidRPr="00704FF0" w:rsidRDefault="000C2772" w:rsidP="004A7F5A">
      <w:pPr>
        <w:rPr>
          <w:iCs/>
          <w:szCs w:val="22"/>
          <w:lang w:val="sr-Latn-RS"/>
        </w:rPr>
      </w:pPr>
    </w:p>
    <w:p w14:paraId="3EFD29BA" w14:textId="77777777" w:rsidR="000C2772" w:rsidRPr="00704FF0" w:rsidRDefault="000C2772" w:rsidP="004A7F5A">
      <w:pPr>
        <w:rPr>
          <w:szCs w:val="22"/>
          <w:lang w:val="sr-Latn-RS"/>
        </w:rPr>
      </w:pPr>
      <w:r w:rsidRPr="00704FF0">
        <w:rPr>
          <w:iCs/>
          <w:szCs w:val="22"/>
          <w:lang w:val="sr-Latn-RS"/>
        </w:rPr>
        <w:t>Preporučuje se minimalna početna doza od 40 mg do 80 mg.</w:t>
      </w:r>
    </w:p>
    <w:p w14:paraId="3EFD29BB" w14:textId="77777777" w:rsidR="000C2772" w:rsidRPr="00704FF0" w:rsidRDefault="000C2772" w:rsidP="004A7F5A">
      <w:pPr>
        <w:rPr>
          <w:i/>
          <w:szCs w:val="22"/>
          <w:lang w:val="sr-Latn-RS"/>
        </w:rPr>
      </w:pPr>
    </w:p>
    <w:p w14:paraId="3EFD29BC" w14:textId="77777777" w:rsidR="000C2772" w:rsidRPr="00704FF0" w:rsidRDefault="000C2772" w:rsidP="004A7F5A">
      <w:pPr>
        <w:rPr>
          <w:szCs w:val="22"/>
          <w:lang w:val="sr-Latn-RS"/>
        </w:rPr>
      </w:pPr>
      <w:r w:rsidRPr="00704FF0">
        <w:rPr>
          <w:i/>
          <w:szCs w:val="22"/>
          <w:lang w:val="sr-Latn-RS"/>
        </w:rPr>
        <w:t>Pedijatrijska populacija:</w:t>
      </w:r>
      <w:r w:rsidRPr="00704FF0">
        <w:rPr>
          <w:szCs w:val="22"/>
          <w:lang w:val="sr-Latn-RS"/>
        </w:rPr>
        <w:t xml:space="preserve"> </w:t>
      </w:r>
    </w:p>
    <w:p w14:paraId="3EFD29BD" w14:textId="47A140A7" w:rsidR="000C2772" w:rsidRPr="00704FF0" w:rsidRDefault="000C2772" w:rsidP="004A7F5A">
      <w:pPr>
        <w:rPr>
          <w:szCs w:val="22"/>
          <w:lang w:val="sr-Latn-RS"/>
        </w:rPr>
      </w:pPr>
      <w:r w:rsidRPr="00704FF0">
        <w:rPr>
          <w:szCs w:val="22"/>
          <w:lang w:val="sr-Latn-RS"/>
        </w:rPr>
        <w:t>Bezb</w:t>
      </w:r>
      <w:r w:rsidR="00932C96" w:rsidRPr="00704FF0">
        <w:rPr>
          <w:szCs w:val="22"/>
          <w:lang w:val="sr-Latn-RS"/>
        </w:rPr>
        <w:t>j</w:t>
      </w:r>
      <w:r w:rsidRPr="00704FF0">
        <w:rPr>
          <w:szCs w:val="22"/>
          <w:lang w:val="sr-Latn-RS"/>
        </w:rPr>
        <w:t>ednost i efikasnost prim</w:t>
      </w:r>
      <w:r w:rsidR="00932C96" w:rsidRPr="00704FF0">
        <w:rPr>
          <w:szCs w:val="22"/>
          <w:lang w:val="sr-Latn-RS"/>
        </w:rPr>
        <w:t>j</w:t>
      </w:r>
      <w:r w:rsidRPr="00704FF0">
        <w:rPr>
          <w:szCs w:val="22"/>
          <w:lang w:val="sr-Latn-RS"/>
        </w:rPr>
        <w:t>ene l</w:t>
      </w:r>
      <w:r w:rsidR="00932C96" w:rsidRPr="00704FF0">
        <w:rPr>
          <w:szCs w:val="22"/>
          <w:lang w:val="sr-Latn-RS"/>
        </w:rPr>
        <w:t>ij</w:t>
      </w:r>
      <w:r w:rsidRPr="00704FF0">
        <w:rPr>
          <w:szCs w:val="22"/>
          <w:lang w:val="sr-Latn-RS"/>
        </w:rPr>
        <w:t>eka Glioral kod d</w:t>
      </w:r>
      <w:r w:rsidR="00932C96" w:rsidRPr="00704FF0">
        <w:rPr>
          <w:szCs w:val="22"/>
          <w:lang w:val="sr-Latn-RS"/>
        </w:rPr>
        <w:t>j</w:t>
      </w:r>
      <w:r w:rsidRPr="00704FF0">
        <w:rPr>
          <w:szCs w:val="22"/>
          <w:lang w:val="sr-Latn-RS"/>
        </w:rPr>
        <w:t>ece i adolescenata nije utvrđena. Nema odgovarajućih podataka.</w:t>
      </w:r>
    </w:p>
    <w:p w14:paraId="0F3833F1" w14:textId="77777777" w:rsidR="009A26E2" w:rsidRPr="00704FF0" w:rsidRDefault="009A26E2" w:rsidP="004A7F5A">
      <w:pPr>
        <w:rPr>
          <w:szCs w:val="22"/>
          <w:lang w:val="sr-Latn-RS"/>
        </w:rPr>
      </w:pPr>
    </w:p>
    <w:p w14:paraId="7A2D6D9A" w14:textId="103A32F1" w:rsidR="009A26E2" w:rsidRPr="00704FF0" w:rsidRDefault="009A26E2" w:rsidP="004A7F5A">
      <w:pPr>
        <w:rPr>
          <w:szCs w:val="22"/>
          <w:u w:val="single"/>
          <w:lang w:val="sr-Latn-RS"/>
        </w:rPr>
      </w:pPr>
      <w:r w:rsidRPr="00704FF0">
        <w:rPr>
          <w:szCs w:val="22"/>
          <w:u w:val="single"/>
          <w:lang w:val="sr-Latn-RS"/>
        </w:rPr>
        <w:t>Način prim</w:t>
      </w:r>
      <w:r w:rsidR="00932C96" w:rsidRPr="00704FF0">
        <w:rPr>
          <w:szCs w:val="22"/>
          <w:u w:val="single"/>
          <w:lang w:val="sr-Latn-RS"/>
        </w:rPr>
        <w:t>j</w:t>
      </w:r>
      <w:r w:rsidRPr="00704FF0">
        <w:rPr>
          <w:szCs w:val="22"/>
          <w:u w:val="single"/>
          <w:lang w:val="sr-Latn-RS"/>
        </w:rPr>
        <w:t>ene</w:t>
      </w:r>
    </w:p>
    <w:p w14:paraId="1CDBF609" w14:textId="23C10D16" w:rsidR="009A26E2" w:rsidRPr="00704FF0" w:rsidRDefault="009A26E2" w:rsidP="004A7F5A">
      <w:pPr>
        <w:rPr>
          <w:szCs w:val="22"/>
          <w:lang w:val="sr-Latn-RS"/>
        </w:rPr>
      </w:pPr>
      <w:r w:rsidRPr="00704FF0">
        <w:rPr>
          <w:szCs w:val="22"/>
          <w:lang w:val="sr-Latn-RS"/>
        </w:rPr>
        <w:t>Oralna prim</w:t>
      </w:r>
      <w:r w:rsidR="00932C96" w:rsidRPr="00704FF0">
        <w:rPr>
          <w:szCs w:val="22"/>
          <w:lang w:val="sr-Latn-RS"/>
        </w:rPr>
        <w:t>j</w:t>
      </w:r>
      <w:r w:rsidRPr="00704FF0">
        <w:rPr>
          <w:szCs w:val="22"/>
          <w:lang w:val="sr-Latn-RS"/>
        </w:rPr>
        <w:t>ena.</w:t>
      </w:r>
    </w:p>
    <w:p w14:paraId="3EFD29BE" w14:textId="77777777" w:rsidR="000C2772" w:rsidRPr="00704FF0" w:rsidRDefault="000C2772" w:rsidP="004A7F5A">
      <w:pPr>
        <w:rPr>
          <w:szCs w:val="22"/>
          <w:lang w:val="sr-Latn-RS"/>
        </w:rPr>
      </w:pPr>
    </w:p>
    <w:p w14:paraId="3EFD29BF" w14:textId="77777777" w:rsidR="000C2772" w:rsidRPr="00704FF0" w:rsidRDefault="000C2772" w:rsidP="004A7F5A">
      <w:pPr>
        <w:rPr>
          <w:b/>
          <w:bCs/>
          <w:szCs w:val="22"/>
          <w:lang w:val="sr-Latn-RS"/>
        </w:rPr>
      </w:pPr>
      <w:r w:rsidRPr="00704FF0">
        <w:rPr>
          <w:b/>
          <w:bCs/>
          <w:szCs w:val="22"/>
          <w:lang w:val="sr-Latn-RS"/>
        </w:rPr>
        <w:t>4.3. Kontraindikacije</w:t>
      </w:r>
    </w:p>
    <w:p w14:paraId="3EFD29C0" w14:textId="77777777" w:rsidR="000C2772" w:rsidRPr="00704FF0" w:rsidRDefault="000C2772" w:rsidP="004A7F5A">
      <w:pPr>
        <w:pStyle w:val="Header"/>
        <w:tabs>
          <w:tab w:val="clear" w:pos="4536"/>
          <w:tab w:val="clear" w:pos="9072"/>
          <w:tab w:val="left" w:pos="284"/>
        </w:tabs>
        <w:ind w:left="360"/>
        <w:rPr>
          <w:szCs w:val="22"/>
          <w:lang w:val="sr-Latn-RS"/>
        </w:rPr>
      </w:pPr>
    </w:p>
    <w:p w14:paraId="3EFD29C1" w14:textId="3BF842E2" w:rsidR="000C2772" w:rsidRPr="00704FF0" w:rsidRDefault="000C2772" w:rsidP="004A7F5A">
      <w:pPr>
        <w:pStyle w:val="Header"/>
        <w:numPr>
          <w:ilvl w:val="0"/>
          <w:numId w:val="4"/>
        </w:numPr>
        <w:tabs>
          <w:tab w:val="clear" w:pos="4536"/>
          <w:tab w:val="clear" w:pos="9072"/>
          <w:tab w:val="left" w:pos="284"/>
        </w:tabs>
        <w:rPr>
          <w:szCs w:val="22"/>
          <w:lang w:val="sr-Latn-RS"/>
        </w:rPr>
      </w:pPr>
      <w:r w:rsidRPr="00704FF0">
        <w:rPr>
          <w:szCs w:val="22"/>
          <w:lang w:val="sr-Latn-RS"/>
        </w:rPr>
        <w:t>Preos</w:t>
      </w:r>
      <w:r w:rsidR="00932C96" w:rsidRPr="00704FF0">
        <w:rPr>
          <w:szCs w:val="22"/>
          <w:lang w:val="sr-Latn-RS"/>
        </w:rPr>
        <w:t>j</w:t>
      </w:r>
      <w:r w:rsidRPr="00704FF0">
        <w:rPr>
          <w:szCs w:val="22"/>
          <w:lang w:val="sr-Latn-RS"/>
        </w:rPr>
        <w:t xml:space="preserve">etljivost na gliklazid, druge derivate sulfoniluree, sulfonamide ili na bilo koju od pomoćnih supstanci navedenih u </w:t>
      </w:r>
      <w:r w:rsidR="00932C96" w:rsidRPr="00704FF0">
        <w:rPr>
          <w:szCs w:val="22"/>
          <w:lang w:val="sr-Latn-RS"/>
        </w:rPr>
        <w:t>dijelu</w:t>
      </w:r>
      <w:r w:rsidRPr="00704FF0">
        <w:rPr>
          <w:szCs w:val="22"/>
          <w:lang w:val="sr-Latn-RS"/>
        </w:rPr>
        <w:t xml:space="preserve"> 6.1.</w:t>
      </w:r>
    </w:p>
    <w:p w14:paraId="3EFD29C2" w14:textId="77777777" w:rsidR="000C2772" w:rsidRPr="00704FF0" w:rsidRDefault="000C2772" w:rsidP="004A7F5A">
      <w:pPr>
        <w:pStyle w:val="Header"/>
        <w:numPr>
          <w:ilvl w:val="0"/>
          <w:numId w:val="4"/>
        </w:numPr>
        <w:tabs>
          <w:tab w:val="clear" w:pos="4536"/>
          <w:tab w:val="clear" w:pos="9072"/>
          <w:tab w:val="left" w:pos="284"/>
        </w:tabs>
        <w:rPr>
          <w:szCs w:val="22"/>
          <w:lang w:val="sr-Latn-RS"/>
        </w:rPr>
      </w:pPr>
      <w:r w:rsidRPr="00704FF0">
        <w:rPr>
          <w:szCs w:val="22"/>
          <w:lang w:val="sr-Latn-RS"/>
        </w:rPr>
        <w:t>Dijabetes mellitus tip 1.</w:t>
      </w:r>
    </w:p>
    <w:p w14:paraId="3EFD29C3" w14:textId="77777777" w:rsidR="000C2772" w:rsidRPr="00704FF0" w:rsidRDefault="000C2772" w:rsidP="004A7F5A">
      <w:pPr>
        <w:pStyle w:val="Header"/>
        <w:numPr>
          <w:ilvl w:val="0"/>
          <w:numId w:val="4"/>
        </w:numPr>
        <w:tabs>
          <w:tab w:val="clear" w:pos="4536"/>
          <w:tab w:val="clear" w:pos="9072"/>
        </w:tabs>
        <w:rPr>
          <w:szCs w:val="22"/>
          <w:lang w:val="sr-Latn-RS"/>
        </w:rPr>
      </w:pPr>
      <w:r w:rsidRPr="00704FF0">
        <w:rPr>
          <w:szCs w:val="22"/>
          <w:lang w:val="sr-Latn-RS"/>
        </w:rPr>
        <w:t>Dijabetesno prekomatozno stanje i koma, dijabetesna ketoacidoza.</w:t>
      </w:r>
    </w:p>
    <w:p w14:paraId="3EFD29C4" w14:textId="3E2A9F35" w:rsidR="000C2772" w:rsidRPr="00704FF0" w:rsidRDefault="000C2772" w:rsidP="004A7F5A">
      <w:pPr>
        <w:pStyle w:val="Header"/>
        <w:numPr>
          <w:ilvl w:val="0"/>
          <w:numId w:val="4"/>
        </w:numPr>
        <w:tabs>
          <w:tab w:val="clear" w:pos="4536"/>
          <w:tab w:val="clear" w:pos="9072"/>
          <w:tab w:val="left" w:pos="284"/>
        </w:tabs>
        <w:rPr>
          <w:szCs w:val="22"/>
          <w:lang w:val="sr-Latn-RS"/>
        </w:rPr>
      </w:pPr>
      <w:r w:rsidRPr="00704FF0">
        <w:rPr>
          <w:szCs w:val="22"/>
          <w:lang w:val="sr-Latn-RS"/>
        </w:rPr>
        <w:t>Teška insuficijencija</w:t>
      </w:r>
      <w:r w:rsidR="00754D90" w:rsidRPr="00704FF0">
        <w:rPr>
          <w:szCs w:val="22"/>
          <w:lang w:val="sr-Latn-RS"/>
        </w:rPr>
        <w:t xml:space="preserve"> bubrega ili jetre</w:t>
      </w:r>
      <w:r w:rsidRPr="00704FF0">
        <w:rPr>
          <w:szCs w:val="22"/>
          <w:lang w:val="sr-Latn-RS"/>
        </w:rPr>
        <w:t>; u ovim slučajevima preporučuje se prim</w:t>
      </w:r>
      <w:r w:rsidR="00932C96" w:rsidRPr="00704FF0">
        <w:rPr>
          <w:szCs w:val="22"/>
          <w:lang w:val="sr-Latn-RS"/>
        </w:rPr>
        <w:t>j</w:t>
      </w:r>
      <w:r w:rsidRPr="00704FF0">
        <w:rPr>
          <w:szCs w:val="22"/>
          <w:lang w:val="sr-Latn-RS"/>
        </w:rPr>
        <w:t>ena insulina.</w:t>
      </w:r>
    </w:p>
    <w:p w14:paraId="3EFD29C5" w14:textId="4C3CB1EA" w:rsidR="000C2772" w:rsidRPr="00704FF0" w:rsidRDefault="000C2772" w:rsidP="004A7F5A">
      <w:pPr>
        <w:pStyle w:val="Header"/>
        <w:numPr>
          <w:ilvl w:val="0"/>
          <w:numId w:val="4"/>
        </w:numPr>
        <w:tabs>
          <w:tab w:val="clear" w:pos="4536"/>
          <w:tab w:val="clear" w:pos="9072"/>
          <w:tab w:val="left" w:pos="284"/>
        </w:tabs>
        <w:rPr>
          <w:szCs w:val="22"/>
          <w:lang w:val="sr-Latn-RS"/>
        </w:rPr>
      </w:pPr>
      <w:r w:rsidRPr="00704FF0">
        <w:rPr>
          <w:szCs w:val="22"/>
          <w:lang w:val="sr-Latn-RS"/>
        </w:rPr>
        <w:t>L</w:t>
      </w:r>
      <w:r w:rsidR="00932C96" w:rsidRPr="00704FF0">
        <w:rPr>
          <w:szCs w:val="22"/>
          <w:lang w:val="sr-Latn-RS"/>
        </w:rPr>
        <w:t>ij</w:t>
      </w:r>
      <w:r w:rsidRPr="00704FF0">
        <w:rPr>
          <w:szCs w:val="22"/>
          <w:lang w:val="sr-Latn-RS"/>
        </w:rPr>
        <w:t>ečenje mikonazolom (vid</w:t>
      </w:r>
      <w:r w:rsidR="00932C96" w:rsidRPr="00704FF0">
        <w:rPr>
          <w:szCs w:val="22"/>
          <w:lang w:val="sr-Latn-RS"/>
        </w:rPr>
        <w:t>j</w:t>
      </w:r>
      <w:r w:rsidRPr="00704FF0">
        <w:rPr>
          <w:szCs w:val="22"/>
          <w:lang w:val="sr-Latn-RS"/>
        </w:rPr>
        <w:t xml:space="preserve">eti </w:t>
      </w:r>
      <w:r w:rsidR="00932C96" w:rsidRPr="00704FF0">
        <w:rPr>
          <w:szCs w:val="22"/>
          <w:lang w:val="sr-Latn-RS"/>
        </w:rPr>
        <w:t>dio</w:t>
      </w:r>
      <w:r w:rsidRPr="00704FF0">
        <w:rPr>
          <w:szCs w:val="22"/>
          <w:lang w:val="sr-Latn-RS"/>
        </w:rPr>
        <w:t xml:space="preserve"> 4.5).</w:t>
      </w:r>
    </w:p>
    <w:p w14:paraId="3EFD29C6" w14:textId="2BDE5179" w:rsidR="000C2772" w:rsidRPr="00704FF0" w:rsidRDefault="000C2772" w:rsidP="004A7F5A">
      <w:pPr>
        <w:pStyle w:val="Header"/>
        <w:numPr>
          <w:ilvl w:val="0"/>
          <w:numId w:val="4"/>
        </w:numPr>
        <w:tabs>
          <w:tab w:val="clear" w:pos="4536"/>
          <w:tab w:val="clear" w:pos="9072"/>
          <w:tab w:val="left" w:pos="284"/>
        </w:tabs>
        <w:rPr>
          <w:szCs w:val="22"/>
          <w:lang w:val="sr-Latn-RS"/>
        </w:rPr>
      </w:pPr>
      <w:r w:rsidRPr="00704FF0">
        <w:rPr>
          <w:szCs w:val="22"/>
          <w:lang w:val="sr-Latn-RS"/>
        </w:rPr>
        <w:t>Dojenje (vid</w:t>
      </w:r>
      <w:r w:rsidR="00932C96" w:rsidRPr="00704FF0">
        <w:rPr>
          <w:szCs w:val="22"/>
          <w:lang w:val="sr-Latn-RS"/>
        </w:rPr>
        <w:t>j</w:t>
      </w:r>
      <w:r w:rsidRPr="00704FF0">
        <w:rPr>
          <w:szCs w:val="22"/>
          <w:lang w:val="sr-Latn-RS"/>
        </w:rPr>
        <w:t xml:space="preserve">eti </w:t>
      </w:r>
      <w:r w:rsidR="00932C96" w:rsidRPr="00704FF0">
        <w:rPr>
          <w:szCs w:val="22"/>
          <w:lang w:val="sr-Latn-RS"/>
        </w:rPr>
        <w:t>dio</w:t>
      </w:r>
      <w:r w:rsidRPr="00704FF0">
        <w:rPr>
          <w:szCs w:val="22"/>
          <w:lang w:val="sr-Latn-RS"/>
        </w:rPr>
        <w:t xml:space="preserve"> 4.6).</w:t>
      </w:r>
    </w:p>
    <w:p w14:paraId="3EFD29C7" w14:textId="77777777" w:rsidR="000C2772" w:rsidRPr="00704FF0" w:rsidRDefault="000C2772" w:rsidP="004A7F5A">
      <w:pPr>
        <w:rPr>
          <w:szCs w:val="22"/>
          <w:lang w:val="sr-Latn-RS"/>
        </w:rPr>
      </w:pPr>
    </w:p>
    <w:p w14:paraId="3EFD29C8" w14:textId="3BC0256F" w:rsidR="000C2772" w:rsidRPr="00704FF0" w:rsidRDefault="000C2772" w:rsidP="004A7F5A">
      <w:pPr>
        <w:rPr>
          <w:b/>
          <w:bCs/>
          <w:szCs w:val="22"/>
          <w:lang w:val="sr-Latn-RS"/>
        </w:rPr>
      </w:pPr>
      <w:r w:rsidRPr="00704FF0">
        <w:rPr>
          <w:b/>
          <w:bCs/>
          <w:szCs w:val="22"/>
          <w:lang w:val="sr-Latn-RS"/>
        </w:rPr>
        <w:t>4.4. Posebna upozorenja i m</w:t>
      </w:r>
      <w:r w:rsidR="00932C96" w:rsidRPr="00704FF0">
        <w:rPr>
          <w:b/>
          <w:bCs/>
          <w:szCs w:val="22"/>
          <w:lang w:val="sr-Latn-RS"/>
        </w:rPr>
        <w:t>j</w:t>
      </w:r>
      <w:r w:rsidRPr="00704FF0">
        <w:rPr>
          <w:b/>
          <w:bCs/>
          <w:szCs w:val="22"/>
          <w:lang w:val="sr-Latn-RS"/>
        </w:rPr>
        <w:t>ere opreza pri upotrebi l</w:t>
      </w:r>
      <w:r w:rsidR="00932C96" w:rsidRPr="00704FF0">
        <w:rPr>
          <w:b/>
          <w:bCs/>
          <w:szCs w:val="22"/>
          <w:lang w:val="sr-Latn-RS"/>
        </w:rPr>
        <w:t>ij</w:t>
      </w:r>
      <w:r w:rsidRPr="00704FF0">
        <w:rPr>
          <w:b/>
          <w:bCs/>
          <w:szCs w:val="22"/>
          <w:lang w:val="sr-Latn-RS"/>
        </w:rPr>
        <w:t>eka</w:t>
      </w:r>
    </w:p>
    <w:p w14:paraId="3EFD29C9" w14:textId="77777777" w:rsidR="000C2772" w:rsidRPr="00704FF0" w:rsidRDefault="000C2772" w:rsidP="004A7F5A">
      <w:pPr>
        <w:rPr>
          <w:szCs w:val="22"/>
          <w:lang w:val="sr-Latn-RS"/>
        </w:rPr>
      </w:pPr>
    </w:p>
    <w:p w14:paraId="3EFD29CA" w14:textId="77777777" w:rsidR="000C2772" w:rsidRPr="00704FF0" w:rsidRDefault="000C2772" w:rsidP="004A7F5A">
      <w:pPr>
        <w:pStyle w:val="NoSpacing"/>
        <w:jc w:val="both"/>
        <w:rPr>
          <w:rFonts w:ascii="Times New Roman" w:hAnsi="Times New Roman"/>
          <w:i/>
          <w:lang w:val="sr-Latn-RS"/>
        </w:rPr>
      </w:pPr>
      <w:r w:rsidRPr="00704FF0">
        <w:rPr>
          <w:rFonts w:ascii="Times New Roman" w:hAnsi="Times New Roman"/>
          <w:i/>
          <w:lang w:val="sr-Latn-RS"/>
        </w:rPr>
        <w:t>Hipoglikemija</w:t>
      </w:r>
    </w:p>
    <w:p w14:paraId="3EFD29CB" w14:textId="77777777" w:rsidR="000C2772" w:rsidRPr="00704FF0" w:rsidRDefault="000C2772" w:rsidP="004A7F5A">
      <w:pPr>
        <w:pStyle w:val="NoSpacing"/>
        <w:jc w:val="both"/>
        <w:rPr>
          <w:rFonts w:ascii="Times New Roman" w:hAnsi="Times New Roman"/>
          <w:lang w:val="sr-Latn-RS"/>
        </w:rPr>
      </w:pPr>
    </w:p>
    <w:p w14:paraId="3EFD29CC" w14:textId="66F3B57E"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Terapiju gliklazidom treba propisati samo pacijentima koji redovno uzimaju hranu (uključujući i doručak). Važno je da pacijent redovno unosi ugljene hidrate zbog povećanog rizika od pojave hipoglikemije, ukoliko se obrok uzima kasno, ukoliko se konzumira neodgovarajuća količina hrane ili ako je hrana siromašna ugljenim hidratima. Postoji veća v</w:t>
      </w:r>
      <w:r w:rsidR="00932C96" w:rsidRPr="00704FF0">
        <w:rPr>
          <w:rFonts w:ascii="Times New Roman" w:hAnsi="Times New Roman"/>
          <w:lang w:val="sr-Latn-RS"/>
        </w:rPr>
        <w:t>j</w:t>
      </w:r>
      <w:r w:rsidRPr="00704FF0">
        <w:rPr>
          <w:rFonts w:ascii="Times New Roman" w:hAnsi="Times New Roman"/>
          <w:lang w:val="sr-Latn-RS"/>
        </w:rPr>
        <w:t xml:space="preserve">erovatnoća da dođe do hipoglikemije za </w:t>
      </w:r>
      <w:r w:rsidRPr="00704FF0">
        <w:rPr>
          <w:rFonts w:ascii="Times New Roman" w:hAnsi="Times New Roman"/>
          <w:lang w:val="sr-Latn-RS"/>
        </w:rPr>
        <w:lastRenderedPageBreak/>
        <w:t>vr</w:t>
      </w:r>
      <w:r w:rsidR="00932C96" w:rsidRPr="00704FF0">
        <w:rPr>
          <w:rFonts w:ascii="Times New Roman" w:hAnsi="Times New Roman"/>
          <w:lang w:val="sr-Latn-RS"/>
        </w:rPr>
        <w:t>ij</w:t>
      </w:r>
      <w:r w:rsidRPr="00704FF0">
        <w:rPr>
          <w:rFonts w:ascii="Times New Roman" w:hAnsi="Times New Roman"/>
          <w:lang w:val="sr-Latn-RS"/>
        </w:rPr>
        <w:t xml:space="preserve">eme </w:t>
      </w:r>
      <w:r w:rsidR="00754D90" w:rsidRPr="00704FF0">
        <w:rPr>
          <w:rFonts w:ascii="Times New Roman" w:hAnsi="Times New Roman"/>
          <w:lang w:val="sr-Latn-RS"/>
        </w:rPr>
        <w:t>režima ishrane sa smanjenim unosom kalorija</w:t>
      </w:r>
      <w:r w:rsidRPr="00704FF0">
        <w:rPr>
          <w:rFonts w:ascii="Times New Roman" w:hAnsi="Times New Roman"/>
          <w:lang w:val="sr-Latn-RS"/>
        </w:rPr>
        <w:t xml:space="preserve">, nakon </w:t>
      </w:r>
      <w:r w:rsidR="00754D90" w:rsidRPr="00704FF0">
        <w:rPr>
          <w:rFonts w:ascii="Times New Roman" w:hAnsi="Times New Roman"/>
          <w:lang w:val="sr-Latn-RS"/>
        </w:rPr>
        <w:t>dugotrajne</w:t>
      </w:r>
      <w:r w:rsidRPr="00704FF0">
        <w:rPr>
          <w:rFonts w:ascii="Times New Roman" w:hAnsi="Times New Roman"/>
          <w:lang w:val="sr-Latn-RS"/>
        </w:rPr>
        <w:t xml:space="preserve"> ili naporn</w:t>
      </w:r>
      <w:r w:rsidR="00754D90" w:rsidRPr="00704FF0">
        <w:rPr>
          <w:rFonts w:ascii="Times New Roman" w:hAnsi="Times New Roman"/>
          <w:lang w:val="sr-Latn-RS"/>
        </w:rPr>
        <w:t>e fizičke aktivnosti</w:t>
      </w:r>
      <w:r w:rsidRPr="00704FF0">
        <w:rPr>
          <w:rFonts w:ascii="Times New Roman" w:hAnsi="Times New Roman"/>
          <w:lang w:val="sr-Latn-RS"/>
        </w:rPr>
        <w:t xml:space="preserve">, </w:t>
      </w:r>
      <w:r w:rsidR="00754D90" w:rsidRPr="00704FF0">
        <w:rPr>
          <w:rFonts w:ascii="Times New Roman" w:hAnsi="Times New Roman"/>
          <w:lang w:val="sr-Latn-RS"/>
        </w:rPr>
        <w:t>prilikom konzumiranja</w:t>
      </w:r>
      <w:r w:rsidRPr="00704FF0">
        <w:rPr>
          <w:rFonts w:ascii="Times New Roman" w:hAnsi="Times New Roman"/>
          <w:lang w:val="sr-Latn-RS"/>
        </w:rPr>
        <w:t xml:space="preserve"> alkohola ili ako se koristi kombinacija hipoglikemijskih l</w:t>
      </w:r>
      <w:r w:rsidR="00932C96" w:rsidRPr="00704FF0">
        <w:rPr>
          <w:rFonts w:ascii="Times New Roman" w:hAnsi="Times New Roman"/>
          <w:lang w:val="sr-Latn-RS"/>
        </w:rPr>
        <w:t>j</w:t>
      </w:r>
      <w:r w:rsidRPr="00704FF0">
        <w:rPr>
          <w:rFonts w:ascii="Times New Roman" w:hAnsi="Times New Roman"/>
          <w:lang w:val="sr-Latn-RS"/>
        </w:rPr>
        <w:t>ekova.</w:t>
      </w:r>
    </w:p>
    <w:p w14:paraId="3EFD29CD" w14:textId="0009928A"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Hipoglikemija se može pojaviti nakon prim</w:t>
      </w:r>
      <w:r w:rsidR="00932C96" w:rsidRPr="00704FF0">
        <w:rPr>
          <w:rFonts w:ascii="Times New Roman" w:hAnsi="Times New Roman"/>
          <w:lang w:val="sr-Latn-RS"/>
        </w:rPr>
        <w:t>j</w:t>
      </w:r>
      <w:r w:rsidRPr="00704FF0">
        <w:rPr>
          <w:rFonts w:ascii="Times New Roman" w:hAnsi="Times New Roman"/>
          <w:lang w:val="sr-Latn-RS"/>
        </w:rPr>
        <w:t>ene derivata sulfoniluree (vid</w:t>
      </w:r>
      <w:r w:rsidR="00932C96" w:rsidRPr="00704FF0">
        <w:rPr>
          <w:rFonts w:ascii="Times New Roman" w:hAnsi="Times New Roman"/>
          <w:lang w:val="sr-Latn-RS"/>
        </w:rPr>
        <w:t>j</w:t>
      </w:r>
      <w:r w:rsidRPr="00704FF0">
        <w:rPr>
          <w:rFonts w:ascii="Times New Roman" w:hAnsi="Times New Roman"/>
          <w:lang w:val="sr-Latn-RS"/>
        </w:rPr>
        <w:t xml:space="preserve">eti </w:t>
      </w:r>
      <w:r w:rsidR="00932C96" w:rsidRPr="00704FF0">
        <w:rPr>
          <w:rFonts w:ascii="Times New Roman" w:hAnsi="Times New Roman"/>
          <w:lang w:val="sr-Latn-RS"/>
        </w:rPr>
        <w:t>dio</w:t>
      </w:r>
      <w:r w:rsidRPr="00704FF0">
        <w:rPr>
          <w:rFonts w:ascii="Times New Roman" w:hAnsi="Times New Roman"/>
          <w:lang w:val="sr-Latn-RS"/>
        </w:rPr>
        <w:t xml:space="preserve"> 4.8). </w:t>
      </w:r>
      <w:r w:rsidRPr="00704FF0">
        <w:rPr>
          <w:rFonts w:ascii="Times New Roman" w:hAnsi="Times New Roman"/>
          <w:bCs/>
          <w:lang w:val="sr-Latn-RS"/>
        </w:rPr>
        <w:t xml:space="preserve">U nekim slučajevima hipoglikemija može biti teška i produžena. </w:t>
      </w:r>
      <w:r w:rsidRPr="00704FF0">
        <w:rPr>
          <w:rFonts w:ascii="Times New Roman" w:hAnsi="Times New Roman"/>
          <w:lang w:val="sr-Latn-RS"/>
        </w:rPr>
        <w:t xml:space="preserve">Može biti neophodna hospitalizacija, </w:t>
      </w:r>
      <w:r w:rsidRPr="00704FF0">
        <w:rPr>
          <w:rFonts w:ascii="Times New Roman" w:hAnsi="Times New Roman"/>
          <w:bCs/>
          <w:lang w:val="sr-Latn-RS"/>
        </w:rPr>
        <w:t>kao i kontinuirana prim</w:t>
      </w:r>
      <w:r w:rsidR="00932C96" w:rsidRPr="00704FF0">
        <w:rPr>
          <w:rFonts w:ascii="Times New Roman" w:hAnsi="Times New Roman"/>
          <w:bCs/>
          <w:lang w:val="sr-Latn-RS"/>
        </w:rPr>
        <w:t>j</w:t>
      </w:r>
      <w:r w:rsidRPr="00704FF0">
        <w:rPr>
          <w:rFonts w:ascii="Times New Roman" w:hAnsi="Times New Roman"/>
          <w:bCs/>
          <w:lang w:val="sr-Latn-RS"/>
        </w:rPr>
        <w:t>ena glukoze tokom nekoliko dana.</w:t>
      </w:r>
    </w:p>
    <w:p w14:paraId="3EFD29CE" w14:textId="77777777" w:rsidR="000C2772" w:rsidRPr="00704FF0" w:rsidRDefault="000C2772" w:rsidP="004A7F5A">
      <w:pPr>
        <w:pStyle w:val="NoSpacing"/>
        <w:jc w:val="both"/>
        <w:rPr>
          <w:rFonts w:ascii="Times New Roman" w:hAnsi="Times New Roman"/>
          <w:lang w:val="sr-Latn-RS"/>
        </w:rPr>
      </w:pPr>
    </w:p>
    <w:p w14:paraId="3EFD29CF" w14:textId="77777777" w:rsidR="000C2772" w:rsidRPr="00704FF0" w:rsidRDefault="000C2772" w:rsidP="004A7F5A">
      <w:pPr>
        <w:pStyle w:val="Header"/>
        <w:tabs>
          <w:tab w:val="clear" w:pos="4536"/>
          <w:tab w:val="clear" w:pos="9072"/>
          <w:tab w:val="left" w:pos="284"/>
        </w:tabs>
        <w:rPr>
          <w:b/>
          <w:szCs w:val="22"/>
          <w:lang w:val="sr-Latn-RS"/>
        </w:rPr>
      </w:pPr>
      <w:r w:rsidRPr="00704FF0">
        <w:rPr>
          <w:szCs w:val="22"/>
          <w:lang w:val="sr-Latn-RS"/>
        </w:rPr>
        <w:t>Neophodan je pažljiv odabir pacijenata, doze koja se koristi i neophodno je dati jasna uputstva pacijentima kako bi se smanjio rizik od</w:t>
      </w:r>
      <w:r w:rsidRPr="00704FF0">
        <w:rPr>
          <w:bCs/>
          <w:szCs w:val="22"/>
          <w:lang w:val="sr-Latn-RS"/>
        </w:rPr>
        <w:t xml:space="preserve"> nastanka hipoglikemijskih epizoda</w:t>
      </w:r>
      <w:r w:rsidRPr="00704FF0">
        <w:rPr>
          <w:szCs w:val="22"/>
          <w:lang w:val="sr-Latn-RS"/>
        </w:rPr>
        <w:t>.</w:t>
      </w:r>
    </w:p>
    <w:p w14:paraId="3EFD29D0" w14:textId="77777777" w:rsidR="000C2772" w:rsidRPr="00704FF0" w:rsidRDefault="000C2772" w:rsidP="004A7F5A">
      <w:pPr>
        <w:pStyle w:val="NoSpacing"/>
        <w:jc w:val="both"/>
        <w:rPr>
          <w:rFonts w:ascii="Times New Roman" w:hAnsi="Times New Roman"/>
          <w:lang w:val="sr-Latn-RS"/>
        </w:rPr>
      </w:pPr>
    </w:p>
    <w:p w14:paraId="3EFD29D1" w14:textId="77777777"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Faktori koji povećavaju rizik od pojave hipoglikemije:</w:t>
      </w:r>
    </w:p>
    <w:p w14:paraId="3EFD29D2" w14:textId="77777777" w:rsidR="000C2772" w:rsidRPr="00704FF0" w:rsidRDefault="000C2772"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pacijenti odbijaju ili nisu u mogućnosti da sarađuju</w:t>
      </w:r>
      <w:r w:rsidRPr="00704FF0" w:rsidDel="00E674DF">
        <w:rPr>
          <w:rFonts w:ascii="Times New Roman" w:hAnsi="Times New Roman"/>
          <w:lang w:val="sr-Latn-RS"/>
        </w:rPr>
        <w:t xml:space="preserve"> </w:t>
      </w:r>
      <w:r w:rsidRPr="00704FF0">
        <w:rPr>
          <w:rFonts w:ascii="Times New Roman" w:hAnsi="Times New Roman"/>
          <w:lang w:val="sr-Latn-RS"/>
        </w:rPr>
        <w:t>(posebno starije osobe);</w:t>
      </w:r>
    </w:p>
    <w:p w14:paraId="3EFD29D3" w14:textId="0A4756C8" w:rsidR="000C2772" w:rsidRPr="00704FF0" w:rsidRDefault="000C2772"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malnutricija, neredovni obroci, izostavljanje obroka, periodi gladovanja ili prom</w:t>
      </w:r>
      <w:r w:rsidR="00932C96" w:rsidRPr="00704FF0">
        <w:rPr>
          <w:rFonts w:ascii="Times New Roman" w:hAnsi="Times New Roman"/>
          <w:lang w:val="sr-Latn-RS"/>
        </w:rPr>
        <w:t>j</w:t>
      </w:r>
      <w:r w:rsidRPr="00704FF0">
        <w:rPr>
          <w:rFonts w:ascii="Times New Roman" w:hAnsi="Times New Roman"/>
          <w:lang w:val="sr-Latn-RS"/>
        </w:rPr>
        <w:t>ene u načinu ishrane;</w:t>
      </w:r>
    </w:p>
    <w:p w14:paraId="3EFD29D4" w14:textId="664DA304" w:rsidR="000C2772" w:rsidRPr="00704FF0" w:rsidRDefault="0079687F"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 xml:space="preserve">poremećaj ravnoteže </w:t>
      </w:r>
      <w:r w:rsidR="000C2772" w:rsidRPr="00704FF0">
        <w:rPr>
          <w:rFonts w:ascii="Times New Roman" w:hAnsi="Times New Roman"/>
          <w:lang w:val="sr-Latn-RS"/>
        </w:rPr>
        <w:t>između intenziteta fizičk</w:t>
      </w:r>
      <w:r w:rsidRPr="00704FF0">
        <w:rPr>
          <w:rFonts w:ascii="Times New Roman" w:hAnsi="Times New Roman"/>
          <w:lang w:val="sr-Latn-RS"/>
        </w:rPr>
        <w:t>e aktivnosti</w:t>
      </w:r>
      <w:r w:rsidR="000C2772" w:rsidRPr="00704FF0">
        <w:rPr>
          <w:rFonts w:ascii="Times New Roman" w:hAnsi="Times New Roman"/>
          <w:lang w:val="sr-Latn-RS"/>
        </w:rPr>
        <w:t xml:space="preserve"> i unosa ugljenih hidrata;</w:t>
      </w:r>
    </w:p>
    <w:p w14:paraId="3EFD29D5" w14:textId="77777777" w:rsidR="000C2772" w:rsidRPr="00704FF0" w:rsidRDefault="000C2772"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bubrežna insuficijencija;</w:t>
      </w:r>
    </w:p>
    <w:p w14:paraId="3EFD29D6" w14:textId="77777777" w:rsidR="000C2772" w:rsidRPr="00704FF0" w:rsidRDefault="000C2772"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teška insuficijencija jetre;</w:t>
      </w:r>
    </w:p>
    <w:p w14:paraId="3EFD29D7" w14:textId="77777777" w:rsidR="000C2772" w:rsidRPr="00704FF0" w:rsidRDefault="000C2772"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predoziranje gliklazidom;</w:t>
      </w:r>
    </w:p>
    <w:p w14:paraId="3EFD29D8" w14:textId="716AF6D2" w:rsidR="000C2772" w:rsidRPr="00704FF0" w:rsidRDefault="000C2772"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određeni endokrini poremećaji: poremećaji tiroidne žl</w:t>
      </w:r>
      <w:r w:rsidR="00932C96" w:rsidRPr="00704FF0">
        <w:rPr>
          <w:rFonts w:ascii="Times New Roman" w:hAnsi="Times New Roman"/>
          <w:lang w:val="sr-Latn-RS"/>
        </w:rPr>
        <w:t>ij</w:t>
      </w:r>
      <w:r w:rsidRPr="00704FF0">
        <w:rPr>
          <w:rFonts w:ascii="Times New Roman" w:hAnsi="Times New Roman"/>
          <w:lang w:val="sr-Latn-RS"/>
        </w:rPr>
        <w:t>ezde, hipopituitarizam i insuficijencija nadbubrežne žl</w:t>
      </w:r>
      <w:r w:rsidR="00932C96" w:rsidRPr="00704FF0">
        <w:rPr>
          <w:rFonts w:ascii="Times New Roman" w:hAnsi="Times New Roman"/>
          <w:lang w:val="sr-Latn-RS"/>
        </w:rPr>
        <w:t>ij</w:t>
      </w:r>
      <w:r w:rsidRPr="00704FF0">
        <w:rPr>
          <w:rFonts w:ascii="Times New Roman" w:hAnsi="Times New Roman"/>
          <w:lang w:val="sr-Latn-RS"/>
        </w:rPr>
        <w:t>ezde;</w:t>
      </w:r>
    </w:p>
    <w:p w14:paraId="3EFD29D9" w14:textId="0E7658C1" w:rsidR="000C2772" w:rsidRPr="00704FF0" w:rsidRDefault="000C2772" w:rsidP="004A7F5A">
      <w:pPr>
        <w:pStyle w:val="NoSpacing"/>
        <w:numPr>
          <w:ilvl w:val="0"/>
          <w:numId w:val="5"/>
        </w:numPr>
        <w:jc w:val="both"/>
        <w:rPr>
          <w:rFonts w:ascii="Times New Roman" w:hAnsi="Times New Roman"/>
          <w:lang w:val="sr-Latn-RS"/>
        </w:rPr>
      </w:pPr>
      <w:r w:rsidRPr="00704FF0">
        <w:rPr>
          <w:rFonts w:ascii="Times New Roman" w:hAnsi="Times New Roman"/>
          <w:lang w:val="sr-Latn-RS"/>
        </w:rPr>
        <w:t>istovremena prim</w:t>
      </w:r>
      <w:r w:rsidR="00932C96" w:rsidRPr="00704FF0">
        <w:rPr>
          <w:rFonts w:ascii="Times New Roman" w:hAnsi="Times New Roman"/>
          <w:lang w:val="sr-Latn-RS"/>
        </w:rPr>
        <w:t>j</w:t>
      </w:r>
      <w:r w:rsidRPr="00704FF0">
        <w:rPr>
          <w:rFonts w:ascii="Times New Roman" w:hAnsi="Times New Roman"/>
          <w:lang w:val="sr-Latn-RS"/>
        </w:rPr>
        <w:t>ena alkohola ili nekih drugih l</w:t>
      </w:r>
      <w:r w:rsidR="00932C96" w:rsidRPr="00704FF0">
        <w:rPr>
          <w:rFonts w:ascii="Times New Roman" w:hAnsi="Times New Roman"/>
          <w:lang w:val="sr-Latn-RS"/>
        </w:rPr>
        <w:t>j</w:t>
      </w:r>
      <w:r w:rsidRPr="00704FF0">
        <w:rPr>
          <w:rFonts w:ascii="Times New Roman" w:hAnsi="Times New Roman"/>
          <w:lang w:val="sr-Latn-RS"/>
        </w:rPr>
        <w:t>ekova (vid</w:t>
      </w:r>
      <w:r w:rsidR="00932C96" w:rsidRPr="00704FF0">
        <w:rPr>
          <w:rFonts w:ascii="Times New Roman" w:hAnsi="Times New Roman"/>
          <w:lang w:val="sr-Latn-RS"/>
        </w:rPr>
        <w:t>j</w:t>
      </w:r>
      <w:r w:rsidRPr="00704FF0">
        <w:rPr>
          <w:rFonts w:ascii="Times New Roman" w:hAnsi="Times New Roman"/>
          <w:lang w:val="sr-Latn-RS"/>
        </w:rPr>
        <w:t xml:space="preserve">eti </w:t>
      </w:r>
      <w:r w:rsidR="00932C96" w:rsidRPr="00704FF0">
        <w:rPr>
          <w:rFonts w:ascii="Times New Roman" w:hAnsi="Times New Roman"/>
          <w:lang w:val="sr-Latn-RS"/>
        </w:rPr>
        <w:t>dio</w:t>
      </w:r>
      <w:r w:rsidRPr="00704FF0">
        <w:rPr>
          <w:rFonts w:ascii="Times New Roman" w:hAnsi="Times New Roman"/>
          <w:lang w:val="sr-Latn-RS"/>
        </w:rPr>
        <w:t xml:space="preserve"> 4.5.).</w:t>
      </w:r>
    </w:p>
    <w:p w14:paraId="3EFD29DA" w14:textId="77777777" w:rsidR="000C2772" w:rsidRPr="00704FF0" w:rsidRDefault="000C2772" w:rsidP="004A7F5A">
      <w:pPr>
        <w:pStyle w:val="Header"/>
        <w:tabs>
          <w:tab w:val="clear" w:pos="4536"/>
          <w:tab w:val="clear" w:pos="9072"/>
          <w:tab w:val="left" w:pos="284"/>
        </w:tabs>
        <w:rPr>
          <w:szCs w:val="22"/>
          <w:lang w:val="sr-Latn-RS"/>
        </w:rPr>
      </w:pPr>
    </w:p>
    <w:p w14:paraId="3EFD29DB" w14:textId="77777777" w:rsidR="000C2772" w:rsidRPr="00704FF0" w:rsidRDefault="000C2772" w:rsidP="004A7F5A">
      <w:pPr>
        <w:pStyle w:val="NoSpacing"/>
        <w:jc w:val="both"/>
        <w:rPr>
          <w:rFonts w:ascii="Times New Roman" w:hAnsi="Times New Roman"/>
          <w:i/>
          <w:lang w:val="sr-Latn-RS"/>
        </w:rPr>
      </w:pPr>
      <w:r w:rsidRPr="00704FF0">
        <w:rPr>
          <w:rFonts w:ascii="Times New Roman" w:hAnsi="Times New Roman"/>
          <w:i/>
          <w:lang w:val="sr-Latn-RS"/>
        </w:rPr>
        <w:t>Bubrežna insuficijencija i insuficijencija jetre</w:t>
      </w:r>
    </w:p>
    <w:p w14:paraId="3EFD29DC" w14:textId="0B03F368"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Farmakokinetika i/ili farmakodinamika gliklazida može biti prom</w:t>
      </w:r>
      <w:r w:rsidR="00932C96" w:rsidRPr="00704FF0">
        <w:rPr>
          <w:rFonts w:ascii="Times New Roman" w:hAnsi="Times New Roman"/>
          <w:lang w:val="sr-Latn-RS"/>
        </w:rPr>
        <w:t>ij</w:t>
      </w:r>
      <w:r w:rsidRPr="00704FF0">
        <w:rPr>
          <w:rFonts w:ascii="Times New Roman" w:hAnsi="Times New Roman"/>
          <w:lang w:val="sr-Latn-RS"/>
        </w:rPr>
        <w:t>enjena kod pacijenata sa insuficijencijom jetre ili teškom bubrežnom insuficijencijom. Hipoglikemijske epizode koje se javljaju kod ovih pacijenata mogu biti produžene, tako da je neophodno započeti sa odgovarajućom terapijom.</w:t>
      </w:r>
    </w:p>
    <w:p w14:paraId="3EFD29DD" w14:textId="77777777" w:rsidR="000C2772" w:rsidRPr="00704FF0" w:rsidRDefault="000C2772" w:rsidP="004A7F5A">
      <w:pPr>
        <w:pStyle w:val="Header"/>
        <w:tabs>
          <w:tab w:val="clear" w:pos="4536"/>
          <w:tab w:val="clear" w:pos="9072"/>
          <w:tab w:val="left" w:pos="284"/>
        </w:tabs>
        <w:rPr>
          <w:szCs w:val="22"/>
          <w:lang w:val="sr-Latn-RS"/>
        </w:rPr>
      </w:pPr>
    </w:p>
    <w:p w14:paraId="3EFD29DE" w14:textId="77777777" w:rsidR="000C2772" w:rsidRPr="00704FF0" w:rsidRDefault="000C2772" w:rsidP="004A7F5A">
      <w:pPr>
        <w:pStyle w:val="NoSpacing"/>
        <w:rPr>
          <w:rFonts w:ascii="Times New Roman" w:hAnsi="Times New Roman"/>
          <w:i/>
          <w:lang w:val="sr-Latn-RS"/>
        </w:rPr>
      </w:pPr>
      <w:r w:rsidRPr="00704FF0">
        <w:rPr>
          <w:rFonts w:ascii="Times New Roman" w:hAnsi="Times New Roman"/>
          <w:i/>
          <w:lang w:val="sr-Latn-RS"/>
        </w:rPr>
        <w:t xml:space="preserve">Informacija za pacijenta </w:t>
      </w:r>
    </w:p>
    <w:p w14:paraId="3EFD29DF" w14:textId="53CA2A55"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Treba objasniti pacijentu i njegovoj porodici koji su rizici, simptomi</w:t>
      </w:r>
      <w:r w:rsidR="0079687F" w:rsidRPr="00704FF0">
        <w:rPr>
          <w:rFonts w:ascii="Times New Roman" w:hAnsi="Times New Roman"/>
          <w:lang w:val="sr-Latn-RS"/>
        </w:rPr>
        <w:t xml:space="preserve"> (vid</w:t>
      </w:r>
      <w:r w:rsidR="00932C96" w:rsidRPr="00704FF0">
        <w:rPr>
          <w:rFonts w:ascii="Times New Roman" w:hAnsi="Times New Roman"/>
          <w:lang w:val="sr-Latn-RS"/>
        </w:rPr>
        <w:t>j</w:t>
      </w:r>
      <w:r w:rsidR="0079687F" w:rsidRPr="00704FF0">
        <w:rPr>
          <w:rFonts w:ascii="Times New Roman" w:hAnsi="Times New Roman"/>
          <w:lang w:val="sr-Latn-RS"/>
        </w:rPr>
        <w:t xml:space="preserve">eti </w:t>
      </w:r>
      <w:r w:rsidR="00932C96" w:rsidRPr="00704FF0">
        <w:rPr>
          <w:rFonts w:ascii="Times New Roman" w:hAnsi="Times New Roman"/>
          <w:lang w:val="sr-Latn-RS"/>
        </w:rPr>
        <w:t>dio</w:t>
      </w:r>
      <w:r w:rsidR="0079687F" w:rsidRPr="00704FF0">
        <w:rPr>
          <w:rFonts w:ascii="Times New Roman" w:hAnsi="Times New Roman"/>
          <w:lang w:val="sr-Latn-RS"/>
        </w:rPr>
        <w:t xml:space="preserve"> 4.8)</w:t>
      </w:r>
      <w:r w:rsidRPr="00704FF0">
        <w:rPr>
          <w:rFonts w:ascii="Times New Roman" w:hAnsi="Times New Roman"/>
          <w:lang w:val="sr-Latn-RS"/>
        </w:rPr>
        <w:t>, l</w:t>
      </w:r>
      <w:r w:rsidR="00932C96" w:rsidRPr="00704FF0">
        <w:rPr>
          <w:rFonts w:ascii="Times New Roman" w:hAnsi="Times New Roman"/>
          <w:lang w:val="sr-Latn-RS"/>
        </w:rPr>
        <w:t>ij</w:t>
      </w:r>
      <w:r w:rsidRPr="00704FF0">
        <w:rPr>
          <w:rFonts w:ascii="Times New Roman" w:hAnsi="Times New Roman"/>
          <w:lang w:val="sr-Latn-RS"/>
        </w:rPr>
        <w:t xml:space="preserve">ečenje i koja stanja </w:t>
      </w:r>
      <w:r w:rsidR="0079687F" w:rsidRPr="00704FF0">
        <w:rPr>
          <w:rFonts w:ascii="Times New Roman" w:hAnsi="Times New Roman"/>
          <w:lang w:val="sr-Latn-RS"/>
        </w:rPr>
        <w:t xml:space="preserve"> mogu doprin</w:t>
      </w:r>
      <w:r w:rsidR="00026192" w:rsidRPr="00704FF0">
        <w:rPr>
          <w:rFonts w:ascii="Times New Roman" w:hAnsi="Times New Roman"/>
          <w:lang w:val="sr-Latn-RS"/>
        </w:rPr>
        <w:t>ij</w:t>
      </w:r>
      <w:r w:rsidR="0079687F" w:rsidRPr="00704FF0">
        <w:rPr>
          <w:rFonts w:ascii="Times New Roman" w:hAnsi="Times New Roman"/>
          <w:lang w:val="sr-Latn-RS"/>
        </w:rPr>
        <w:t xml:space="preserve">eti </w:t>
      </w:r>
      <w:r w:rsidRPr="00704FF0">
        <w:rPr>
          <w:rFonts w:ascii="Times New Roman" w:hAnsi="Times New Roman"/>
          <w:lang w:val="sr-Latn-RS"/>
        </w:rPr>
        <w:t xml:space="preserve">razvoju hipoglikemije. </w:t>
      </w:r>
    </w:p>
    <w:p w14:paraId="3EFD29E0" w14:textId="6604D195" w:rsidR="000C2772" w:rsidRPr="00704FF0" w:rsidRDefault="000C2772" w:rsidP="004A7F5A">
      <w:pPr>
        <w:pStyle w:val="NoSpacing"/>
        <w:jc w:val="both"/>
        <w:rPr>
          <w:rFonts w:ascii="Times New Roman" w:hAnsi="Times New Roman"/>
          <w:i/>
          <w:lang w:val="sr-Latn-RS"/>
        </w:rPr>
      </w:pPr>
      <w:r w:rsidRPr="00704FF0">
        <w:rPr>
          <w:rFonts w:ascii="Times New Roman" w:hAnsi="Times New Roman"/>
          <w:lang w:val="sr-Latn-RS"/>
        </w:rPr>
        <w:t>Neophodno je obav</w:t>
      </w:r>
      <w:r w:rsidR="00D56441" w:rsidRPr="00704FF0">
        <w:rPr>
          <w:rFonts w:ascii="Times New Roman" w:hAnsi="Times New Roman"/>
          <w:lang w:val="sr-Latn-RS"/>
        </w:rPr>
        <w:t>ij</w:t>
      </w:r>
      <w:r w:rsidRPr="00704FF0">
        <w:rPr>
          <w:rFonts w:ascii="Times New Roman" w:hAnsi="Times New Roman"/>
          <w:lang w:val="sr-Latn-RS"/>
        </w:rPr>
        <w:t>estiti pacijenta o značaju pridržavanja sav</w:t>
      </w:r>
      <w:r w:rsidR="00D56441" w:rsidRPr="00704FF0">
        <w:rPr>
          <w:rFonts w:ascii="Times New Roman" w:hAnsi="Times New Roman"/>
          <w:lang w:val="sr-Latn-RS"/>
        </w:rPr>
        <w:t>j</w:t>
      </w:r>
      <w:r w:rsidRPr="00704FF0">
        <w:rPr>
          <w:rFonts w:ascii="Times New Roman" w:hAnsi="Times New Roman"/>
          <w:lang w:val="sr-Latn-RS"/>
        </w:rPr>
        <w:t>eta o načinu ishrane, redovno</w:t>
      </w:r>
      <w:r w:rsidR="0079687F" w:rsidRPr="00704FF0">
        <w:rPr>
          <w:rFonts w:ascii="Times New Roman" w:hAnsi="Times New Roman"/>
          <w:lang w:val="sr-Latn-RS"/>
        </w:rPr>
        <w:t>j</w:t>
      </w:r>
      <w:r w:rsidRPr="00704FF0">
        <w:rPr>
          <w:rFonts w:ascii="Times New Roman" w:hAnsi="Times New Roman"/>
          <w:lang w:val="sr-Latn-RS"/>
        </w:rPr>
        <w:t xml:space="preserve"> </w:t>
      </w:r>
      <w:r w:rsidR="0079687F" w:rsidRPr="00704FF0">
        <w:rPr>
          <w:rFonts w:ascii="Times New Roman" w:hAnsi="Times New Roman"/>
          <w:lang w:val="sr-Latn-RS"/>
        </w:rPr>
        <w:t>fizičkoj aktivnosti</w:t>
      </w:r>
      <w:r w:rsidRPr="00704FF0">
        <w:rPr>
          <w:rFonts w:ascii="Times New Roman" w:hAnsi="Times New Roman"/>
          <w:lang w:val="sr-Latn-RS"/>
        </w:rPr>
        <w:t xml:space="preserve"> i redovnom praćenju </w:t>
      </w:r>
      <w:r w:rsidR="00E520E2" w:rsidRPr="00704FF0">
        <w:rPr>
          <w:rFonts w:ascii="Times New Roman" w:hAnsi="Times New Roman"/>
          <w:lang w:val="sr-Latn-RS"/>
        </w:rPr>
        <w:t xml:space="preserve">koncentraciji </w:t>
      </w:r>
      <w:r w:rsidRPr="00704FF0">
        <w:rPr>
          <w:rFonts w:ascii="Times New Roman" w:hAnsi="Times New Roman"/>
          <w:lang w:val="sr-Latn-RS"/>
        </w:rPr>
        <w:t>glukoze u krvi.</w:t>
      </w:r>
    </w:p>
    <w:p w14:paraId="3EFD29E1" w14:textId="77777777" w:rsidR="000C2772" w:rsidRPr="00704FF0" w:rsidRDefault="000C2772" w:rsidP="004A7F5A">
      <w:pPr>
        <w:pStyle w:val="Header"/>
        <w:tabs>
          <w:tab w:val="clear" w:pos="4536"/>
          <w:tab w:val="clear" w:pos="9072"/>
          <w:tab w:val="left" w:pos="284"/>
        </w:tabs>
        <w:rPr>
          <w:szCs w:val="22"/>
          <w:lang w:val="sr-Latn-RS"/>
        </w:rPr>
      </w:pPr>
    </w:p>
    <w:p w14:paraId="3EFD29E2" w14:textId="3D181DB9" w:rsidR="000C2772" w:rsidRPr="00704FF0" w:rsidRDefault="00752003" w:rsidP="004A7F5A">
      <w:pPr>
        <w:pStyle w:val="NoSpacing"/>
        <w:rPr>
          <w:rFonts w:ascii="Times New Roman" w:hAnsi="Times New Roman"/>
          <w:i/>
          <w:lang w:val="sr-Latn-RS"/>
        </w:rPr>
      </w:pPr>
      <w:r w:rsidRPr="00704FF0">
        <w:rPr>
          <w:rFonts w:ascii="Times New Roman" w:hAnsi="Times New Roman"/>
          <w:i/>
          <w:lang w:val="sr-Latn-RS"/>
        </w:rPr>
        <w:t xml:space="preserve">Loša </w:t>
      </w:r>
      <w:r w:rsidR="000C2772" w:rsidRPr="00704FF0">
        <w:rPr>
          <w:rFonts w:ascii="Times New Roman" w:hAnsi="Times New Roman"/>
          <w:i/>
          <w:lang w:val="sr-Latn-RS"/>
        </w:rPr>
        <w:t xml:space="preserve">kontrola </w:t>
      </w:r>
      <w:r w:rsidR="00E520E2" w:rsidRPr="00704FF0">
        <w:rPr>
          <w:rFonts w:ascii="Times New Roman" w:hAnsi="Times New Roman"/>
          <w:i/>
          <w:lang w:val="sr-Latn-RS"/>
        </w:rPr>
        <w:t xml:space="preserve">koncentracije </w:t>
      </w:r>
      <w:r w:rsidR="000C2772" w:rsidRPr="00704FF0">
        <w:rPr>
          <w:rFonts w:ascii="Times New Roman" w:hAnsi="Times New Roman"/>
          <w:i/>
          <w:lang w:val="sr-Latn-RS"/>
        </w:rPr>
        <w:t xml:space="preserve">glukoze u krvi </w:t>
      </w:r>
    </w:p>
    <w:p w14:paraId="3EFD29E3" w14:textId="2E6F0631" w:rsidR="000C2772" w:rsidRPr="00704FF0" w:rsidRDefault="00752003" w:rsidP="004A7F5A">
      <w:pPr>
        <w:pStyle w:val="NoSpacing"/>
        <w:jc w:val="both"/>
        <w:rPr>
          <w:rFonts w:ascii="Times New Roman" w:hAnsi="Times New Roman"/>
          <w:lang w:val="sr-Latn-RS"/>
        </w:rPr>
      </w:pPr>
      <w:r w:rsidRPr="00704FF0">
        <w:rPr>
          <w:rFonts w:ascii="Times New Roman" w:hAnsi="Times New Roman"/>
          <w:lang w:val="sr-Latn-RS"/>
        </w:rPr>
        <w:t>Na o</w:t>
      </w:r>
      <w:r w:rsidR="000C2772" w:rsidRPr="00704FF0">
        <w:rPr>
          <w:rFonts w:ascii="Times New Roman" w:hAnsi="Times New Roman"/>
          <w:lang w:val="sr-Latn-RS"/>
        </w:rPr>
        <w:t>državanje optimalne glikemije kod pacijenata koji su na terapiji oralnim antidijabeticima mo</w:t>
      </w:r>
      <w:r w:rsidRPr="00704FF0">
        <w:rPr>
          <w:rFonts w:ascii="Times New Roman" w:hAnsi="Times New Roman"/>
          <w:lang w:val="sr-Latn-RS"/>
        </w:rPr>
        <w:t>gu uticati</w:t>
      </w:r>
      <w:r w:rsidR="000C2772" w:rsidRPr="00704FF0">
        <w:rPr>
          <w:rFonts w:ascii="Times New Roman" w:hAnsi="Times New Roman"/>
          <w:lang w:val="sr-Latn-RS"/>
        </w:rPr>
        <w:t>: prim</w:t>
      </w:r>
      <w:r w:rsidR="00D56441" w:rsidRPr="00704FF0">
        <w:rPr>
          <w:rFonts w:ascii="Times New Roman" w:hAnsi="Times New Roman"/>
          <w:lang w:val="sr-Latn-RS"/>
        </w:rPr>
        <w:t>j</w:t>
      </w:r>
      <w:r w:rsidR="000C2772" w:rsidRPr="00704FF0">
        <w:rPr>
          <w:rFonts w:ascii="Times New Roman" w:hAnsi="Times New Roman"/>
          <w:lang w:val="sr-Latn-RS"/>
        </w:rPr>
        <w:t>ena proizvoda koji sadrže kantarion (</w:t>
      </w:r>
      <w:r w:rsidR="000C2772" w:rsidRPr="00704FF0">
        <w:rPr>
          <w:rFonts w:ascii="Times New Roman" w:hAnsi="Times New Roman"/>
          <w:i/>
          <w:lang w:val="sr-Latn-RS"/>
        </w:rPr>
        <w:t>Hypericum perforatum</w:t>
      </w:r>
      <w:r w:rsidR="000C2772" w:rsidRPr="00704FF0">
        <w:rPr>
          <w:rFonts w:ascii="Times New Roman" w:hAnsi="Times New Roman"/>
          <w:lang w:val="sr-Latn-RS"/>
        </w:rPr>
        <w:t>) (vid</w:t>
      </w:r>
      <w:r w:rsidR="00D56441" w:rsidRPr="00704FF0">
        <w:rPr>
          <w:rFonts w:ascii="Times New Roman" w:hAnsi="Times New Roman"/>
          <w:lang w:val="sr-Latn-RS"/>
        </w:rPr>
        <w:t>j</w:t>
      </w:r>
      <w:r w:rsidR="000C2772" w:rsidRPr="00704FF0">
        <w:rPr>
          <w:rFonts w:ascii="Times New Roman" w:hAnsi="Times New Roman"/>
          <w:lang w:val="sr-Latn-RS"/>
        </w:rPr>
        <w:t xml:space="preserve">eti </w:t>
      </w:r>
      <w:r w:rsidR="00D56441" w:rsidRPr="00704FF0">
        <w:rPr>
          <w:rFonts w:ascii="Times New Roman" w:hAnsi="Times New Roman"/>
          <w:lang w:val="sr-Latn-RS"/>
        </w:rPr>
        <w:t>dio</w:t>
      </w:r>
      <w:r w:rsidR="000C2772" w:rsidRPr="00704FF0">
        <w:rPr>
          <w:rFonts w:ascii="Times New Roman" w:hAnsi="Times New Roman"/>
          <w:lang w:val="sr-Latn-RS"/>
        </w:rPr>
        <w:t xml:space="preserve"> 4.5), groznica</w:t>
      </w:r>
      <w:r w:rsidR="00E520E2" w:rsidRPr="00704FF0">
        <w:rPr>
          <w:rFonts w:ascii="Times New Roman" w:hAnsi="Times New Roman"/>
          <w:lang w:val="sr-Latn-RS"/>
        </w:rPr>
        <w:t xml:space="preserve"> (povišena t</w:t>
      </w:r>
      <w:r w:rsidR="00D56441" w:rsidRPr="00704FF0">
        <w:rPr>
          <w:rFonts w:ascii="Times New Roman" w:hAnsi="Times New Roman"/>
          <w:lang w:val="sr-Latn-RS"/>
        </w:rPr>
        <w:t>j</w:t>
      </w:r>
      <w:r w:rsidR="00E520E2" w:rsidRPr="00704FF0">
        <w:rPr>
          <w:rFonts w:ascii="Times New Roman" w:hAnsi="Times New Roman"/>
          <w:lang w:val="sr-Latn-RS"/>
        </w:rPr>
        <w:t>elesna temperatura)</w:t>
      </w:r>
      <w:r w:rsidR="000C2772" w:rsidRPr="00704FF0">
        <w:rPr>
          <w:rFonts w:ascii="Times New Roman" w:hAnsi="Times New Roman"/>
          <w:lang w:val="sr-Latn-RS"/>
        </w:rPr>
        <w:t>, trauma, infekcija ili hirurška intervencija. U nekim slučajevima može biti neophodna prim</w:t>
      </w:r>
      <w:r w:rsidR="00D56441" w:rsidRPr="00704FF0">
        <w:rPr>
          <w:rFonts w:ascii="Times New Roman" w:hAnsi="Times New Roman"/>
          <w:lang w:val="sr-Latn-RS"/>
        </w:rPr>
        <w:t>j</w:t>
      </w:r>
      <w:r w:rsidR="000C2772" w:rsidRPr="00704FF0">
        <w:rPr>
          <w:rFonts w:ascii="Times New Roman" w:hAnsi="Times New Roman"/>
          <w:lang w:val="sr-Latn-RS"/>
        </w:rPr>
        <w:t>ena insulina.</w:t>
      </w:r>
    </w:p>
    <w:p w14:paraId="3EFD29E4" w14:textId="77777777" w:rsidR="000C2772" w:rsidRPr="00704FF0" w:rsidRDefault="000C2772" w:rsidP="004A7F5A">
      <w:pPr>
        <w:pStyle w:val="NoSpacing"/>
        <w:jc w:val="both"/>
        <w:rPr>
          <w:rFonts w:ascii="Times New Roman" w:hAnsi="Times New Roman"/>
          <w:lang w:val="sr-Latn-RS"/>
        </w:rPr>
      </w:pPr>
    </w:p>
    <w:p w14:paraId="3EFD29E5" w14:textId="6846301D"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 xml:space="preserve">Kod mnogih pacijenata </w:t>
      </w:r>
      <w:r w:rsidR="00E520E2" w:rsidRPr="00704FF0">
        <w:rPr>
          <w:rFonts w:ascii="Times New Roman" w:hAnsi="Times New Roman"/>
          <w:lang w:val="sr-Latn-RS"/>
        </w:rPr>
        <w:t xml:space="preserve">efikasnost </w:t>
      </w:r>
      <w:r w:rsidRPr="00704FF0">
        <w:rPr>
          <w:rFonts w:ascii="Times New Roman" w:hAnsi="Times New Roman"/>
          <w:lang w:val="sr-Latn-RS"/>
        </w:rPr>
        <w:t>hipoglikemijsk</w:t>
      </w:r>
      <w:r w:rsidR="00E520E2" w:rsidRPr="00704FF0">
        <w:rPr>
          <w:rFonts w:ascii="Times New Roman" w:hAnsi="Times New Roman"/>
          <w:lang w:val="sr-Latn-RS"/>
        </w:rPr>
        <w:t>e terapije</w:t>
      </w:r>
      <w:r w:rsidRPr="00704FF0">
        <w:rPr>
          <w:rFonts w:ascii="Times New Roman" w:hAnsi="Times New Roman"/>
          <w:lang w:val="sr-Latn-RS"/>
        </w:rPr>
        <w:t xml:space="preserve"> oralni</w:t>
      </w:r>
      <w:r w:rsidR="00E520E2" w:rsidRPr="00704FF0">
        <w:rPr>
          <w:rFonts w:ascii="Times New Roman" w:hAnsi="Times New Roman"/>
          <w:lang w:val="sr-Latn-RS"/>
        </w:rPr>
        <w:t>m</w:t>
      </w:r>
      <w:r w:rsidRPr="00704FF0">
        <w:rPr>
          <w:rFonts w:ascii="Times New Roman" w:hAnsi="Times New Roman"/>
          <w:lang w:val="sr-Latn-RS"/>
        </w:rPr>
        <w:t xml:space="preserve"> antidijabeti</w:t>
      </w:r>
      <w:r w:rsidR="00E520E2" w:rsidRPr="00704FF0">
        <w:rPr>
          <w:rFonts w:ascii="Times New Roman" w:hAnsi="Times New Roman"/>
          <w:lang w:val="sr-Latn-RS"/>
        </w:rPr>
        <w:t>cima</w:t>
      </w:r>
      <w:r w:rsidRPr="00704FF0">
        <w:rPr>
          <w:rFonts w:ascii="Times New Roman" w:hAnsi="Times New Roman"/>
          <w:lang w:val="sr-Latn-RS"/>
        </w:rPr>
        <w:t xml:space="preserve"> uključujući gliklazid se smanjuje tokom vr</w:t>
      </w:r>
      <w:r w:rsidR="00026192" w:rsidRPr="00704FF0">
        <w:rPr>
          <w:rFonts w:ascii="Times New Roman" w:hAnsi="Times New Roman"/>
          <w:lang w:val="sr-Latn-RS"/>
        </w:rPr>
        <w:t>ij</w:t>
      </w:r>
      <w:r w:rsidRPr="00704FF0">
        <w:rPr>
          <w:rFonts w:ascii="Times New Roman" w:hAnsi="Times New Roman"/>
          <w:lang w:val="sr-Latn-RS"/>
        </w:rPr>
        <w:t>emena. To može biti uslovljeno pogoršanjem bolesti (dijabetesa) ili usl</w:t>
      </w:r>
      <w:r w:rsidR="00026192" w:rsidRPr="00704FF0">
        <w:rPr>
          <w:rFonts w:ascii="Times New Roman" w:hAnsi="Times New Roman"/>
          <w:lang w:val="sr-Latn-RS"/>
        </w:rPr>
        <w:t>i</w:t>
      </w:r>
      <w:r w:rsidR="00D56441" w:rsidRPr="00704FF0">
        <w:rPr>
          <w:rFonts w:ascii="Times New Roman" w:hAnsi="Times New Roman"/>
          <w:lang w:val="sr-Latn-RS"/>
        </w:rPr>
        <w:t>j</w:t>
      </w:r>
      <w:r w:rsidRPr="00704FF0">
        <w:rPr>
          <w:rFonts w:ascii="Times New Roman" w:hAnsi="Times New Roman"/>
          <w:lang w:val="sr-Latn-RS"/>
        </w:rPr>
        <w:t>ed smanjenog odgovora na terapiju. Ovaj fenomen je poznat kao sekundarni neusp</w:t>
      </w:r>
      <w:r w:rsidR="00D56441" w:rsidRPr="00704FF0">
        <w:rPr>
          <w:rFonts w:ascii="Times New Roman" w:hAnsi="Times New Roman"/>
          <w:lang w:val="sr-Latn-RS"/>
        </w:rPr>
        <w:t>j</w:t>
      </w:r>
      <w:r w:rsidRPr="00704FF0">
        <w:rPr>
          <w:rFonts w:ascii="Times New Roman" w:hAnsi="Times New Roman"/>
          <w:lang w:val="sr-Latn-RS"/>
        </w:rPr>
        <w:t xml:space="preserve">eh </w:t>
      </w:r>
      <w:r w:rsidR="00E520E2" w:rsidRPr="00704FF0">
        <w:rPr>
          <w:rFonts w:ascii="Times New Roman" w:hAnsi="Times New Roman"/>
          <w:lang w:val="sr-Latn-RS"/>
        </w:rPr>
        <w:t xml:space="preserve">terapije </w:t>
      </w:r>
      <w:r w:rsidRPr="00704FF0">
        <w:rPr>
          <w:rFonts w:ascii="Times New Roman" w:hAnsi="Times New Roman"/>
          <w:lang w:val="sr-Latn-RS"/>
        </w:rPr>
        <w:t>koji se razlikuje od primarnog, gd</w:t>
      </w:r>
      <w:r w:rsidR="00D56441" w:rsidRPr="00704FF0">
        <w:rPr>
          <w:rFonts w:ascii="Times New Roman" w:hAnsi="Times New Roman"/>
          <w:lang w:val="sr-Latn-RS"/>
        </w:rPr>
        <w:t>j</w:t>
      </w:r>
      <w:r w:rsidRPr="00704FF0">
        <w:rPr>
          <w:rFonts w:ascii="Times New Roman" w:hAnsi="Times New Roman"/>
          <w:lang w:val="sr-Latn-RS"/>
        </w:rPr>
        <w:t>e se l</w:t>
      </w:r>
      <w:r w:rsidR="00D56441" w:rsidRPr="00704FF0">
        <w:rPr>
          <w:rFonts w:ascii="Times New Roman" w:hAnsi="Times New Roman"/>
          <w:lang w:val="sr-Latn-RS"/>
        </w:rPr>
        <w:t>ij</w:t>
      </w:r>
      <w:r w:rsidRPr="00704FF0">
        <w:rPr>
          <w:rFonts w:ascii="Times New Roman" w:hAnsi="Times New Roman"/>
          <w:lang w:val="sr-Latn-RS"/>
        </w:rPr>
        <w:t>ek tj. aktivna supstanca pokazao neefikasnim kao l</w:t>
      </w:r>
      <w:r w:rsidR="00D56441" w:rsidRPr="00704FF0">
        <w:rPr>
          <w:rFonts w:ascii="Times New Roman" w:hAnsi="Times New Roman"/>
          <w:lang w:val="sr-Latn-RS"/>
        </w:rPr>
        <w:t>ij</w:t>
      </w:r>
      <w:r w:rsidRPr="00704FF0">
        <w:rPr>
          <w:rFonts w:ascii="Times New Roman" w:hAnsi="Times New Roman"/>
          <w:lang w:val="sr-Latn-RS"/>
        </w:rPr>
        <w:t>ek prvog izbora. Pr</w:t>
      </w:r>
      <w:r w:rsidR="00D56441" w:rsidRPr="00704FF0">
        <w:rPr>
          <w:rFonts w:ascii="Times New Roman" w:hAnsi="Times New Roman"/>
          <w:lang w:val="sr-Latn-RS"/>
        </w:rPr>
        <w:t>ij</w:t>
      </w:r>
      <w:r w:rsidRPr="00704FF0">
        <w:rPr>
          <w:rFonts w:ascii="Times New Roman" w:hAnsi="Times New Roman"/>
          <w:lang w:val="sr-Latn-RS"/>
        </w:rPr>
        <w:t>e nego što se zaključi da se kod pacijenta javio sekundarni neusp</w:t>
      </w:r>
      <w:r w:rsidR="00D56441" w:rsidRPr="00704FF0">
        <w:rPr>
          <w:rFonts w:ascii="Times New Roman" w:hAnsi="Times New Roman"/>
          <w:lang w:val="sr-Latn-RS"/>
        </w:rPr>
        <w:t>j</w:t>
      </w:r>
      <w:r w:rsidRPr="00704FF0">
        <w:rPr>
          <w:rFonts w:ascii="Times New Roman" w:hAnsi="Times New Roman"/>
          <w:lang w:val="sr-Latn-RS"/>
        </w:rPr>
        <w:t>eh</w:t>
      </w:r>
      <w:r w:rsidR="00BA5E01" w:rsidRPr="00704FF0">
        <w:rPr>
          <w:rFonts w:ascii="Times New Roman" w:hAnsi="Times New Roman"/>
          <w:lang w:val="sr-Latn-RS"/>
        </w:rPr>
        <w:t xml:space="preserve"> terapije</w:t>
      </w:r>
      <w:r w:rsidRPr="00704FF0">
        <w:rPr>
          <w:rFonts w:ascii="Times New Roman" w:hAnsi="Times New Roman"/>
          <w:lang w:val="sr-Latn-RS"/>
        </w:rPr>
        <w:t>, treba razmotriti adekvatno prilagođavanje doze l</w:t>
      </w:r>
      <w:r w:rsidR="00D56441" w:rsidRPr="00704FF0">
        <w:rPr>
          <w:rFonts w:ascii="Times New Roman" w:hAnsi="Times New Roman"/>
          <w:lang w:val="sr-Latn-RS"/>
        </w:rPr>
        <w:t>ij</w:t>
      </w:r>
      <w:r w:rsidRPr="00704FF0">
        <w:rPr>
          <w:rFonts w:ascii="Times New Roman" w:hAnsi="Times New Roman"/>
          <w:lang w:val="sr-Latn-RS"/>
        </w:rPr>
        <w:t>eka uz prov</w:t>
      </w:r>
      <w:r w:rsidR="00D56441" w:rsidRPr="00704FF0">
        <w:rPr>
          <w:rFonts w:ascii="Times New Roman" w:hAnsi="Times New Roman"/>
          <w:lang w:val="sr-Latn-RS"/>
        </w:rPr>
        <w:t>j</w:t>
      </w:r>
      <w:r w:rsidRPr="00704FF0">
        <w:rPr>
          <w:rFonts w:ascii="Times New Roman" w:hAnsi="Times New Roman"/>
          <w:lang w:val="sr-Latn-RS"/>
        </w:rPr>
        <w:t>eru pridržavanja režima</w:t>
      </w:r>
      <w:r w:rsidR="00BA5E01" w:rsidRPr="00704FF0">
        <w:rPr>
          <w:rFonts w:ascii="Times New Roman" w:hAnsi="Times New Roman"/>
          <w:lang w:val="sr-Latn-RS"/>
        </w:rPr>
        <w:t xml:space="preserve"> ishrane</w:t>
      </w:r>
      <w:r w:rsidRPr="00704FF0">
        <w:rPr>
          <w:rFonts w:ascii="Times New Roman" w:hAnsi="Times New Roman"/>
          <w:lang w:val="sr-Latn-RS"/>
        </w:rPr>
        <w:t>.</w:t>
      </w:r>
    </w:p>
    <w:p w14:paraId="3EFD29E6" w14:textId="77777777" w:rsidR="000C2772" w:rsidRPr="00704FF0" w:rsidRDefault="000C2772" w:rsidP="004A7F5A">
      <w:pPr>
        <w:pStyle w:val="NoSpacing"/>
        <w:rPr>
          <w:rFonts w:ascii="Times New Roman" w:hAnsi="Times New Roman"/>
          <w:lang w:val="sr-Latn-RS"/>
        </w:rPr>
      </w:pPr>
    </w:p>
    <w:p w14:paraId="3EFD29E7" w14:textId="5F3ACE83" w:rsidR="000C2772" w:rsidRPr="00704FF0" w:rsidRDefault="000C2772" w:rsidP="004A7F5A">
      <w:pPr>
        <w:pStyle w:val="NoSpacing"/>
        <w:rPr>
          <w:rFonts w:ascii="Times New Roman" w:hAnsi="Times New Roman"/>
          <w:i/>
          <w:lang w:val="sr-Latn-RS"/>
        </w:rPr>
      </w:pPr>
      <w:r w:rsidRPr="00704FF0">
        <w:rPr>
          <w:rFonts w:ascii="Times New Roman" w:hAnsi="Times New Roman"/>
          <w:i/>
          <w:lang w:val="sr-Latn-RS"/>
        </w:rPr>
        <w:t xml:space="preserve">Disglikemija (poremećaj </w:t>
      </w:r>
      <w:r w:rsidR="00BA5E01" w:rsidRPr="00704FF0">
        <w:rPr>
          <w:rFonts w:ascii="Times New Roman" w:hAnsi="Times New Roman"/>
          <w:i/>
          <w:lang w:val="sr-Latn-RS"/>
        </w:rPr>
        <w:t xml:space="preserve">koncentracije </w:t>
      </w:r>
      <w:r w:rsidRPr="00704FF0">
        <w:rPr>
          <w:rFonts w:ascii="Times New Roman" w:hAnsi="Times New Roman"/>
          <w:i/>
          <w:lang w:val="sr-Latn-RS"/>
        </w:rPr>
        <w:t>glukoze u krvi)</w:t>
      </w:r>
    </w:p>
    <w:p w14:paraId="3EFD29E8" w14:textId="3121900F"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 xml:space="preserve">Poremećaji </w:t>
      </w:r>
      <w:r w:rsidR="00BA5E01" w:rsidRPr="00704FF0">
        <w:rPr>
          <w:rFonts w:ascii="Times New Roman" w:hAnsi="Times New Roman"/>
          <w:lang w:val="sr-Latn-RS"/>
        </w:rPr>
        <w:t>koncentracije</w:t>
      </w:r>
      <w:r w:rsidRPr="00704FF0">
        <w:rPr>
          <w:rFonts w:ascii="Times New Roman" w:hAnsi="Times New Roman"/>
          <w:lang w:val="sr-Latn-RS"/>
        </w:rPr>
        <w:t xml:space="preserve"> glukoze u krvi (uključujući i hipoglikemiju i hiperglikemiju) prijavljeni su kod pacijenata sa dijabetesom koji istovremeno koriste fluorohinolone, posebno kod starijih osoba. </w:t>
      </w:r>
      <w:r w:rsidR="00BA5E01" w:rsidRPr="00704FF0">
        <w:rPr>
          <w:rFonts w:ascii="Times New Roman" w:hAnsi="Times New Roman"/>
          <w:lang w:val="sr-Latn-RS"/>
        </w:rPr>
        <w:t>Zbog toga se preporučuje s</w:t>
      </w:r>
      <w:r w:rsidRPr="00704FF0">
        <w:rPr>
          <w:rFonts w:ascii="Times New Roman" w:hAnsi="Times New Roman"/>
          <w:lang w:val="sr-Latn-RS"/>
        </w:rPr>
        <w:t xml:space="preserve">troga kontrola </w:t>
      </w:r>
      <w:r w:rsidR="00BA5E01" w:rsidRPr="00704FF0">
        <w:rPr>
          <w:rFonts w:ascii="Times New Roman" w:hAnsi="Times New Roman"/>
          <w:lang w:val="sr-Latn-RS"/>
        </w:rPr>
        <w:t>koncentracije</w:t>
      </w:r>
      <w:r w:rsidRPr="00704FF0">
        <w:rPr>
          <w:rFonts w:ascii="Times New Roman" w:hAnsi="Times New Roman"/>
          <w:lang w:val="sr-Latn-RS"/>
        </w:rPr>
        <w:t xml:space="preserve"> glukoze kod svih pacijenata koji istovremeno koriste gliklazid i fluorohinolone. </w:t>
      </w:r>
    </w:p>
    <w:p w14:paraId="3EFD29E9" w14:textId="77777777" w:rsidR="000C2772" w:rsidRPr="00704FF0" w:rsidRDefault="000C2772" w:rsidP="004A7F5A">
      <w:pPr>
        <w:pStyle w:val="NoSpacing"/>
        <w:rPr>
          <w:rFonts w:ascii="Times New Roman" w:hAnsi="Times New Roman"/>
          <w:lang w:val="sr-Latn-RS"/>
        </w:rPr>
      </w:pPr>
    </w:p>
    <w:p w14:paraId="3EFD29EA" w14:textId="77777777" w:rsidR="000C2772" w:rsidRPr="00704FF0" w:rsidRDefault="000C2772" w:rsidP="004A7F5A">
      <w:pPr>
        <w:pStyle w:val="NoSpacing"/>
        <w:rPr>
          <w:rFonts w:ascii="Times New Roman" w:hAnsi="Times New Roman"/>
          <w:i/>
          <w:lang w:val="sr-Latn-RS"/>
        </w:rPr>
      </w:pPr>
      <w:r w:rsidRPr="00704FF0">
        <w:rPr>
          <w:rFonts w:ascii="Times New Roman" w:hAnsi="Times New Roman"/>
          <w:i/>
          <w:lang w:val="sr-Latn-RS"/>
        </w:rPr>
        <w:t>Laboratorijski testovi</w:t>
      </w:r>
    </w:p>
    <w:p w14:paraId="3EFD29EB" w14:textId="4775CD5A" w:rsidR="000C2772" w:rsidRPr="00704FF0" w:rsidRDefault="000C2772" w:rsidP="004A7F5A">
      <w:pPr>
        <w:pStyle w:val="Header"/>
        <w:tabs>
          <w:tab w:val="clear" w:pos="4536"/>
          <w:tab w:val="clear" w:pos="9072"/>
          <w:tab w:val="left" w:pos="284"/>
        </w:tabs>
        <w:rPr>
          <w:szCs w:val="22"/>
          <w:lang w:val="sr-Latn-RS"/>
        </w:rPr>
      </w:pPr>
      <w:r w:rsidRPr="00704FF0">
        <w:rPr>
          <w:szCs w:val="22"/>
          <w:lang w:val="sr-Latn-RS"/>
        </w:rPr>
        <w:t>Preporučuje se određivanje koncentracije glikoliziranog hemoglobina (</w:t>
      </w:r>
      <w:r w:rsidR="00BA5E01" w:rsidRPr="00704FF0">
        <w:rPr>
          <w:szCs w:val="22"/>
          <w:lang w:val="sr-Latn-RS"/>
        </w:rPr>
        <w:t xml:space="preserve">koncentracije </w:t>
      </w:r>
      <w:r w:rsidRPr="00704FF0">
        <w:rPr>
          <w:szCs w:val="22"/>
          <w:lang w:val="sr-Latn-RS"/>
        </w:rPr>
        <w:t>glukoze u venskoj plazmi natašte), u cilju proc</w:t>
      </w:r>
      <w:r w:rsidR="00D56441" w:rsidRPr="00704FF0">
        <w:rPr>
          <w:szCs w:val="22"/>
          <w:lang w:val="sr-Latn-RS"/>
        </w:rPr>
        <w:t>j</w:t>
      </w:r>
      <w:r w:rsidRPr="00704FF0">
        <w:rPr>
          <w:szCs w:val="22"/>
          <w:lang w:val="sr-Latn-RS"/>
        </w:rPr>
        <w:t>ene kontrole glikemije. Takođe može biti korisna samokontrola glukoze u krvi.</w:t>
      </w:r>
    </w:p>
    <w:p w14:paraId="3EFD29EC" w14:textId="77777777" w:rsidR="000C2772" w:rsidRPr="00704FF0" w:rsidRDefault="000C2772" w:rsidP="004A7F5A">
      <w:pPr>
        <w:pStyle w:val="NoSpacing"/>
        <w:rPr>
          <w:rFonts w:ascii="Times New Roman" w:hAnsi="Times New Roman"/>
          <w:lang w:val="sr-Latn-RS"/>
        </w:rPr>
      </w:pPr>
    </w:p>
    <w:p w14:paraId="3EFD29ED" w14:textId="592E852F" w:rsidR="000C2772" w:rsidRPr="00704FF0" w:rsidRDefault="000C2772" w:rsidP="004A7F5A">
      <w:pPr>
        <w:pStyle w:val="Header"/>
        <w:rPr>
          <w:szCs w:val="22"/>
          <w:lang w:val="sr-Latn-RS"/>
        </w:rPr>
      </w:pPr>
      <w:r w:rsidRPr="00704FF0">
        <w:rPr>
          <w:szCs w:val="22"/>
          <w:lang w:val="sr-Latn-RS"/>
        </w:rPr>
        <w:lastRenderedPageBreak/>
        <w:t>L</w:t>
      </w:r>
      <w:r w:rsidR="00D56441" w:rsidRPr="00704FF0">
        <w:rPr>
          <w:szCs w:val="22"/>
          <w:lang w:val="sr-Latn-RS"/>
        </w:rPr>
        <w:t>ij</w:t>
      </w:r>
      <w:r w:rsidRPr="00704FF0">
        <w:rPr>
          <w:szCs w:val="22"/>
          <w:lang w:val="sr-Latn-RS"/>
        </w:rPr>
        <w:t>ečenje pacijenata sa deficijencijom glukoza-6-fosfat dehidrogenaze (G6PD) derivatima sulfoniluree može dovesti do hemolitičke anemije. S obzirom na to da gliklazid pripada grupi derivata sulfoniluree, treba biti oprezan kod pacijenata sa deficijencijom glukoza-6-fosfat dehidrogenaze i razmotriti prim</w:t>
      </w:r>
      <w:r w:rsidR="00D56441" w:rsidRPr="00704FF0">
        <w:rPr>
          <w:szCs w:val="22"/>
          <w:lang w:val="sr-Latn-RS"/>
        </w:rPr>
        <w:t>j</w:t>
      </w:r>
      <w:r w:rsidRPr="00704FF0">
        <w:rPr>
          <w:szCs w:val="22"/>
          <w:lang w:val="sr-Latn-RS"/>
        </w:rPr>
        <w:t xml:space="preserve">enu </w:t>
      </w:r>
      <w:r w:rsidR="00BA5E01" w:rsidRPr="00704FF0">
        <w:rPr>
          <w:szCs w:val="22"/>
          <w:lang w:val="sr-Latn-RS"/>
        </w:rPr>
        <w:t xml:space="preserve">druge </w:t>
      </w:r>
      <w:r w:rsidRPr="00704FF0">
        <w:rPr>
          <w:szCs w:val="22"/>
          <w:lang w:val="sr-Latn-RS"/>
        </w:rPr>
        <w:t>terapij</w:t>
      </w:r>
      <w:r w:rsidR="00BA5E01" w:rsidRPr="00704FF0">
        <w:rPr>
          <w:szCs w:val="22"/>
          <w:lang w:val="sr-Latn-RS"/>
        </w:rPr>
        <w:t>ske opcije</w:t>
      </w:r>
      <w:r w:rsidRPr="00704FF0">
        <w:rPr>
          <w:szCs w:val="22"/>
          <w:lang w:val="sr-Latn-RS"/>
        </w:rPr>
        <w:t xml:space="preserve"> l</w:t>
      </w:r>
      <w:r w:rsidR="00D56441" w:rsidRPr="00704FF0">
        <w:rPr>
          <w:szCs w:val="22"/>
          <w:lang w:val="sr-Latn-RS"/>
        </w:rPr>
        <w:t>j</w:t>
      </w:r>
      <w:r w:rsidRPr="00704FF0">
        <w:rPr>
          <w:szCs w:val="22"/>
          <w:lang w:val="sr-Latn-RS"/>
        </w:rPr>
        <w:t>ekovima koji ne pripadaju derivatima sulfoniluree.</w:t>
      </w:r>
    </w:p>
    <w:p w14:paraId="3EFD29EE" w14:textId="77777777" w:rsidR="000C2772" w:rsidRPr="00704FF0" w:rsidRDefault="000C2772" w:rsidP="004A7F5A">
      <w:pPr>
        <w:pStyle w:val="NoSpacing"/>
        <w:rPr>
          <w:rFonts w:ascii="Times New Roman" w:hAnsi="Times New Roman"/>
          <w:lang w:val="sr-Latn-RS"/>
        </w:rPr>
      </w:pPr>
    </w:p>
    <w:p w14:paraId="270C8EAB" w14:textId="77777777" w:rsidR="00BA5E01" w:rsidRPr="00704FF0" w:rsidRDefault="00BA5E01" w:rsidP="004A7F5A">
      <w:pPr>
        <w:rPr>
          <w:i/>
          <w:iCs/>
          <w:szCs w:val="22"/>
          <w:lang w:val="sr-Latn-RS"/>
        </w:rPr>
      </w:pPr>
      <w:r w:rsidRPr="00704FF0">
        <w:rPr>
          <w:i/>
          <w:iCs/>
          <w:szCs w:val="22"/>
          <w:lang w:val="sr-Latn-RS"/>
        </w:rPr>
        <w:t>Pacijenti sa porfirijom</w:t>
      </w:r>
    </w:p>
    <w:p w14:paraId="27CA004D" w14:textId="14086709" w:rsidR="00BA5E01" w:rsidRPr="00704FF0" w:rsidRDefault="00BA5E01" w:rsidP="004A7F5A">
      <w:pPr>
        <w:rPr>
          <w:szCs w:val="22"/>
          <w:lang w:val="sr-Latn-RS"/>
        </w:rPr>
      </w:pPr>
      <w:r w:rsidRPr="00704FF0">
        <w:rPr>
          <w:szCs w:val="22"/>
          <w:lang w:val="sr-Latn-RS"/>
        </w:rPr>
        <w:t>Kod pacijenata sa porfirijom koji su koristili druge l</w:t>
      </w:r>
      <w:r w:rsidR="00D56441" w:rsidRPr="00704FF0">
        <w:rPr>
          <w:szCs w:val="22"/>
          <w:lang w:val="sr-Latn-RS"/>
        </w:rPr>
        <w:t>j</w:t>
      </w:r>
      <w:r w:rsidRPr="00704FF0">
        <w:rPr>
          <w:szCs w:val="22"/>
          <w:lang w:val="sr-Latn-RS"/>
        </w:rPr>
        <w:t>ekove iz grupe derivati sulfoniluree zab</w:t>
      </w:r>
      <w:r w:rsidR="00D56441" w:rsidRPr="00704FF0">
        <w:rPr>
          <w:szCs w:val="22"/>
          <w:lang w:val="sr-Latn-RS"/>
        </w:rPr>
        <w:t>i</w:t>
      </w:r>
      <w:r w:rsidRPr="00704FF0">
        <w:rPr>
          <w:szCs w:val="22"/>
          <w:lang w:val="sr-Latn-RS"/>
        </w:rPr>
        <w:t>l</w:t>
      </w:r>
      <w:r w:rsidR="00D56441" w:rsidRPr="00704FF0">
        <w:rPr>
          <w:szCs w:val="22"/>
          <w:lang w:val="sr-Latn-RS"/>
        </w:rPr>
        <w:t>j</w:t>
      </w:r>
      <w:r w:rsidRPr="00704FF0">
        <w:rPr>
          <w:szCs w:val="22"/>
          <w:lang w:val="sr-Latn-RS"/>
        </w:rPr>
        <w:t>eženi su slučajevi akutne porfirije.</w:t>
      </w:r>
    </w:p>
    <w:p w14:paraId="0B7A5D12" w14:textId="77777777" w:rsidR="00BA5E01" w:rsidRPr="00704FF0" w:rsidRDefault="00BA5E01" w:rsidP="004A7F5A">
      <w:pPr>
        <w:rPr>
          <w:szCs w:val="22"/>
          <w:lang w:val="sr-Latn-RS"/>
        </w:rPr>
      </w:pPr>
    </w:p>
    <w:p w14:paraId="4ADFA43F" w14:textId="77777777" w:rsidR="00BA5E01" w:rsidRPr="00704FF0" w:rsidRDefault="00BA5E01" w:rsidP="004A7F5A">
      <w:pPr>
        <w:rPr>
          <w:i/>
          <w:szCs w:val="22"/>
          <w:lang w:val="sr-Latn-RS"/>
        </w:rPr>
      </w:pPr>
      <w:r w:rsidRPr="00704FF0">
        <w:rPr>
          <w:i/>
          <w:szCs w:val="22"/>
          <w:lang w:val="sr-Latn-RS"/>
        </w:rPr>
        <w:t>Posebna upozorenja o pomoćnim supstancama</w:t>
      </w:r>
    </w:p>
    <w:p w14:paraId="788D2B75" w14:textId="3E6B3E6E" w:rsidR="00E62DA0" w:rsidRPr="00704FF0" w:rsidRDefault="000C2772" w:rsidP="004A7F5A">
      <w:pPr>
        <w:rPr>
          <w:szCs w:val="22"/>
          <w:lang w:val="sr-Latn-RS"/>
        </w:rPr>
      </w:pPr>
      <w:r w:rsidRPr="00704FF0">
        <w:rPr>
          <w:szCs w:val="22"/>
          <w:lang w:val="sr-Latn-RS"/>
        </w:rPr>
        <w:t>Pacijenti sa r</w:t>
      </w:r>
      <w:r w:rsidR="00D56441" w:rsidRPr="00704FF0">
        <w:rPr>
          <w:szCs w:val="22"/>
          <w:lang w:val="sr-Latn-RS"/>
        </w:rPr>
        <w:t>ij</w:t>
      </w:r>
      <w:r w:rsidRPr="00704FF0">
        <w:rPr>
          <w:szCs w:val="22"/>
          <w:lang w:val="sr-Latn-RS"/>
        </w:rPr>
        <w:t>etkim nasl</w:t>
      </w:r>
      <w:r w:rsidR="00D56441" w:rsidRPr="00704FF0">
        <w:rPr>
          <w:szCs w:val="22"/>
          <w:lang w:val="sr-Latn-RS"/>
        </w:rPr>
        <w:t>j</w:t>
      </w:r>
      <w:r w:rsidRPr="00704FF0">
        <w:rPr>
          <w:szCs w:val="22"/>
          <w:lang w:val="sr-Latn-RS"/>
        </w:rPr>
        <w:t xml:space="preserve">ednim oboljenjem intolerancije na galaktozu, </w:t>
      </w:r>
      <w:r w:rsidR="006C23E2" w:rsidRPr="00704FF0">
        <w:rPr>
          <w:szCs w:val="22"/>
          <w:lang w:val="sr-Latn-RS"/>
        </w:rPr>
        <w:t xml:space="preserve">potpunim </w:t>
      </w:r>
      <w:r w:rsidRPr="00704FF0">
        <w:rPr>
          <w:szCs w:val="22"/>
          <w:lang w:val="sr-Latn-RS"/>
        </w:rPr>
        <w:t>nedostakom laktaze ili glukozno-galaktoznom malapsorpcijom ne sm</w:t>
      </w:r>
      <w:r w:rsidR="00D56441" w:rsidRPr="00704FF0">
        <w:rPr>
          <w:szCs w:val="22"/>
          <w:lang w:val="sr-Latn-RS"/>
        </w:rPr>
        <w:t>i</w:t>
      </w:r>
      <w:r w:rsidRPr="00704FF0">
        <w:rPr>
          <w:szCs w:val="22"/>
          <w:lang w:val="sr-Latn-RS"/>
        </w:rPr>
        <w:t>ju koristiti ovaj l</w:t>
      </w:r>
      <w:r w:rsidR="00D56441" w:rsidRPr="00704FF0">
        <w:rPr>
          <w:szCs w:val="22"/>
          <w:lang w:val="sr-Latn-RS"/>
        </w:rPr>
        <w:t>ij</w:t>
      </w:r>
      <w:r w:rsidRPr="00704FF0">
        <w:rPr>
          <w:szCs w:val="22"/>
          <w:lang w:val="sr-Latn-RS"/>
        </w:rPr>
        <w:t>ek.</w:t>
      </w:r>
    </w:p>
    <w:p w14:paraId="3EFD29F0" w14:textId="77777777" w:rsidR="000C2772" w:rsidRPr="00704FF0" w:rsidRDefault="000C2772" w:rsidP="004A7F5A">
      <w:pPr>
        <w:rPr>
          <w:szCs w:val="22"/>
          <w:lang w:val="sr-Latn-RS"/>
        </w:rPr>
      </w:pPr>
    </w:p>
    <w:p w14:paraId="3EFD29F1" w14:textId="46A7DB8B" w:rsidR="000C2772" w:rsidRPr="00704FF0" w:rsidRDefault="000C2772" w:rsidP="004A7F5A">
      <w:pPr>
        <w:rPr>
          <w:b/>
          <w:bCs/>
          <w:szCs w:val="22"/>
          <w:lang w:val="sr-Latn-RS"/>
        </w:rPr>
      </w:pPr>
      <w:r w:rsidRPr="00704FF0">
        <w:rPr>
          <w:b/>
          <w:bCs/>
          <w:szCs w:val="22"/>
          <w:lang w:val="sr-Latn-RS"/>
        </w:rPr>
        <w:t>4.5. Interakcije sa drugim l</w:t>
      </w:r>
      <w:r w:rsidR="00D56441" w:rsidRPr="00704FF0">
        <w:rPr>
          <w:b/>
          <w:bCs/>
          <w:szCs w:val="22"/>
          <w:lang w:val="sr-Latn-RS"/>
        </w:rPr>
        <w:t>j</w:t>
      </w:r>
      <w:r w:rsidRPr="00704FF0">
        <w:rPr>
          <w:b/>
          <w:bCs/>
          <w:szCs w:val="22"/>
          <w:lang w:val="sr-Latn-RS"/>
        </w:rPr>
        <w:t>ekovima i druge vrste interakcija</w:t>
      </w:r>
    </w:p>
    <w:p w14:paraId="3EFD29F2" w14:textId="77777777" w:rsidR="000C2772" w:rsidRPr="00704FF0" w:rsidRDefault="000C2772" w:rsidP="004A7F5A">
      <w:pPr>
        <w:rPr>
          <w:szCs w:val="22"/>
          <w:lang w:val="sr-Latn-RS"/>
        </w:rPr>
      </w:pPr>
    </w:p>
    <w:p w14:paraId="059EC810" w14:textId="3346D73B" w:rsidR="00D95AAA" w:rsidRPr="00704FF0" w:rsidRDefault="000C2772" w:rsidP="004A7F5A">
      <w:pPr>
        <w:rPr>
          <w:szCs w:val="22"/>
          <w:u w:val="single"/>
          <w:lang w:val="sr-Latn-RS"/>
        </w:rPr>
      </w:pPr>
      <w:r w:rsidRPr="00704FF0">
        <w:rPr>
          <w:szCs w:val="22"/>
          <w:u w:val="single"/>
          <w:lang w:val="sr-Latn-RS"/>
        </w:rPr>
        <w:t>L</w:t>
      </w:r>
      <w:r w:rsidR="00D56441" w:rsidRPr="00704FF0">
        <w:rPr>
          <w:szCs w:val="22"/>
          <w:u w:val="single"/>
          <w:lang w:val="sr-Latn-RS"/>
        </w:rPr>
        <w:t>j</w:t>
      </w:r>
      <w:r w:rsidRPr="00704FF0">
        <w:rPr>
          <w:szCs w:val="22"/>
          <w:u w:val="single"/>
          <w:lang w:val="sr-Latn-RS"/>
        </w:rPr>
        <w:t xml:space="preserve">ekovi koji će povećati rizik od pojave hipoglikemije </w:t>
      </w:r>
    </w:p>
    <w:p w14:paraId="1CE96A6A" w14:textId="77777777" w:rsidR="00D95AAA" w:rsidRPr="00704FF0" w:rsidRDefault="00D95AAA" w:rsidP="0084566B">
      <w:pPr>
        <w:rPr>
          <w:i/>
          <w:iCs/>
          <w:szCs w:val="22"/>
          <w:lang w:val="sr-Latn-RS"/>
        </w:rPr>
      </w:pPr>
    </w:p>
    <w:p w14:paraId="3EFD29F4" w14:textId="647FFBBD" w:rsidR="000C2772" w:rsidRPr="00704FF0" w:rsidRDefault="00D95AAA" w:rsidP="0084566B">
      <w:pPr>
        <w:rPr>
          <w:i/>
          <w:iCs/>
          <w:szCs w:val="22"/>
          <w:lang w:val="sr-Latn-RS"/>
        </w:rPr>
      </w:pPr>
      <w:r w:rsidRPr="00704FF0">
        <w:rPr>
          <w:i/>
          <w:iCs/>
          <w:szCs w:val="22"/>
          <w:lang w:val="sr-Latn-RS"/>
        </w:rPr>
        <w:t>Kontraindikovane kombinacije</w:t>
      </w:r>
    </w:p>
    <w:p w14:paraId="3EFD29F6" w14:textId="77777777" w:rsidR="000C2772" w:rsidRPr="00704FF0" w:rsidRDefault="000C2772" w:rsidP="004A7F5A">
      <w:pPr>
        <w:pStyle w:val="Header"/>
        <w:tabs>
          <w:tab w:val="clear" w:pos="4536"/>
          <w:tab w:val="clear" w:pos="9072"/>
          <w:tab w:val="left" w:pos="284"/>
        </w:tabs>
        <w:jc w:val="left"/>
        <w:rPr>
          <w:szCs w:val="22"/>
          <w:lang w:val="sr-Latn-RS"/>
        </w:rPr>
      </w:pPr>
    </w:p>
    <w:p w14:paraId="3EFD29F7" w14:textId="41C93C3C" w:rsidR="000C2772" w:rsidRPr="00704FF0" w:rsidRDefault="000C2772" w:rsidP="004A7F5A">
      <w:pPr>
        <w:numPr>
          <w:ilvl w:val="0"/>
          <w:numId w:val="6"/>
        </w:numPr>
        <w:tabs>
          <w:tab w:val="clear" w:pos="284"/>
          <w:tab w:val="left" w:pos="360"/>
        </w:tabs>
        <w:rPr>
          <w:szCs w:val="22"/>
          <w:lang w:val="sr-Latn-RS"/>
        </w:rPr>
      </w:pPr>
      <w:r w:rsidRPr="00704FF0">
        <w:rPr>
          <w:b/>
          <w:bCs/>
          <w:szCs w:val="22"/>
          <w:lang w:val="sr-Latn-RS"/>
        </w:rPr>
        <w:t>Mikonazol</w:t>
      </w:r>
      <w:r w:rsidRPr="00704FF0">
        <w:rPr>
          <w:bCs/>
          <w:szCs w:val="22"/>
          <w:lang w:val="sr-Latn-RS"/>
        </w:rPr>
        <w:t xml:space="preserve"> </w:t>
      </w:r>
      <w:r w:rsidRPr="00704FF0">
        <w:rPr>
          <w:szCs w:val="22"/>
          <w:lang w:val="sr-Latn-RS"/>
        </w:rPr>
        <w:t>(sistemska prim</w:t>
      </w:r>
      <w:r w:rsidR="00D56441" w:rsidRPr="00704FF0">
        <w:rPr>
          <w:szCs w:val="22"/>
          <w:lang w:val="sr-Latn-RS"/>
        </w:rPr>
        <w:t>j</w:t>
      </w:r>
      <w:r w:rsidRPr="00704FF0">
        <w:rPr>
          <w:szCs w:val="22"/>
          <w:lang w:val="sr-Latn-RS"/>
        </w:rPr>
        <w:t>ena, oromukozalni gel): povećava hipoglikemijsko dejstvo sa mogućom pojavom simptoma hipoglikemije, ili čak i kome.</w:t>
      </w:r>
    </w:p>
    <w:p w14:paraId="7C30D9E6" w14:textId="77777777" w:rsidR="00D95AAA" w:rsidRPr="00704FF0" w:rsidRDefault="00D95AAA" w:rsidP="004A7F5A">
      <w:pPr>
        <w:rPr>
          <w:szCs w:val="22"/>
          <w:lang w:val="sr-Latn-RS"/>
        </w:rPr>
      </w:pPr>
    </w:p>
    <w:p w14:paraId="3EFD29F8" w14:textId="6F3B24B7" w:rsidR="000C2772" w:rsidRPr="00704FF0" w:rsidRDefault="00D95AAA" w:rsidP="004A7F5A">
      <w:pPr>
        <w:rPr>
          <w:i/>
          <w:szCs w:val="22"/>
          <w:lang w:val="sr-Latn-RS"/>
        </w:rPr>
      </w:pPr>
      <w:r w:rsidRPr="00704FF0">
        <w:rPr>
          <w:i/>
          <w:szCs w:val="22"/>
          <w:lang w:val="sr-Latn-RS"/>
        </w:rPr>
        <w:t>Kombinacije koje se ne preporučuju</w:t>
      </w:r>
    </w:p>
    <w:p w14:paraId="4AFC6196" w14:textId="77777777" w:rsidR="00D95AAA" w:rsidRPr="00704FF0" w:rsidRDefault="00D95AAA" w:rsidP="004A7F5A">
      <w:pPr>
        <w:rPr>
          <w:i/>
          <w:szCs w:val="22"/>
          <w:lang w:val="sr-Latn-RS"/>
        </w:rPr>
      </w:pPr>
    </w:p>
    <w:p w14:paraId="3EFD29FB" w14:textId="601893F9" w:rsidR="000C2772" w:rsidRPr="00704FF0" w:rsidRDefault="000C2772" w:rsidP="004A7F5A">
      <w:pPr>
        <w:numPr>
          <w:ilvl w:val="0"/>
          <w:numId w:val="6"/>
        </w:numPr>
        <w:tabs>
          <w:tab w:val="clear" w:pos="284"/>
          <w:tab w:val="left" w:pos="360"/>
        </w:tabs>
        <w:rPr>
          <w:szCs w:val="22"/>
          <w:lang w:val="sr-Latn-RS"/>
        </w:rPr>
      </w:pPr>
      <w:r w:rsidRPr="00704FF0">
        <w:rPr>
          <w:b/>
          <w:bCs/>
          <w:szCs w:val="22"/>
          <w:lang w:val="sr-Latn-RS"/>
        </w:rPr>
        <w:t>Fenilbutazon</w:t>
      </w:r>
      <w:r w:rsidRPr="00704FF0">
        <w:rPr>
          <w:bCs/>
          <w:szCs w:val="22"/>
          <w:lang w:val="sr-Latn-RS"/>
        </w:rPr>
        <w:t xml:space="preserve"> </w:t>
      </w:r>
      <w:r w:rsidRPr="00704FF0">
        <w:rPr>
          <w:szCs w:val="22"/>
          <w:lang w:val="sr-Latn-RS"/>
        </w:rPr>
        <w:t>(sistemska prim</w:t>
      </w:r>
      <w:r w:rsidR="00D56441" w:rsidRPr="00704FF0">
        <w:rPr>
          <w:szCs w:val="22"/>
          <w:lang w:val="sr-Latn-RS"/>
        </w:rPr>
        <w:t>j</w:t>
      </w:r>
      <w:r w:rsidRPr="00704FF0">
        <w:rPr>
          <w:szCs w:val="22"/>
          <w:lang w:val="sr-Latn-RS"/>
        </w:rPr>
        <w:t>ena): povećava hipoglikemijsko dejstvo derivata sulfoniluree (</w:t>
      </w:r>
      <w:r w:rsidRPr="00704FF0">
        <w:rPr>
          <w:bCs/>
          <w:szCs w:val="22"/>
          <w:lang w:val="sr-Latn-RS"/>
        </w:rPr>
        <w:t>istiskuje</w:t>
      </w:r>
      <w:r w:rsidRPr="00704FF0">
        <w:rPr>
          <w:szCs w:val="22"/>
          <w:lang w:val="sr-Latn-RS"/>
        </w:rPr>
        <w:t xml:space="preserve"> </w:t>
      </w:r>
      <w:r w:rsidR="00752003" w:rsidRPr="00704FF0">
        <w:rPr>
          <w:bCs/>
          <w:szCs w:val="22"/>
          <w:lang w:val="sr-Latn-RS"/>
        </w:rPr>
        <w:t xml:space="preserve">ih iz </w:t>
      </w:r>
      <w:r w:rsidRPr="00704FF0">
        <w:rPr>
          <w:bCs/>
          <w:szCs w:val="22"/>
          <w:lang w:val="sr-Latn-RS"/>
        </w:rPr>
        <w:t>vez</w:t>
      </w:r>
      <w:r w:rsidR="00752003" w:rsidRPr="00704FF0">
        <w:rPr>
          <w:bCs/>
          <w:szCs w:val="22"/>
          <w:lang w:val="sr-Latn-RS"/>
        </w:rPr>
        <w:t>e</w:t>
      </w:r>
      <w:r w:rsidRPr="00704FF0">
        <w:rPr>
          <w:bCs/>
          <w:szCs w:val="22"/>
          <w:lang w:val="sr-Latn-RS"/>
        </w:rPr>
        <w:t xml:space="preserve"> </w:t>
      </w:r>
      <w:r w:rsidR="00752003" w:rsidRPr="00704FF0">
        <w:rPr>
          <w:szCs w:val="22"/>
          <w:lang w:val="sr-Latn-RS"/>
        </w:rPr>
        <w:t>s</w:t>
      </w:r>
      <w:r w:rsidRPr="00704FF0">
        <w:rPr>
          <w:szCs w:val="22"/>
          <w:lang w:val="sr-Latn-RS"/>
        </w:rPr>
        <w:t>a protein</w:t>
      </w:r>
      <w:r w:rsidR="00752003" w:rsidRPr="00704FF0">
        <w:rPr>
          <w:szCs w:val="22"/>
          <w:lang w:val="sr-Latn-RS"/>
        </w:rPr>
        <w:t>ima</w:t>
      </w:r>
      <w:r w:rsidRPr="00704FF0">
        <w:rPr>
          <w:szCs w:val="22"/>
          <w:lang w:val="sr-Latn-RS"/>
        </w:rPr>
        <w:t xml:space="preserve"> plazme i/ili smanjuje njegovu eliminaciju). </w:t>
      </w:r>
    </w:p>
    <w:p w14:paraId="3EFD29FC" w14:textId="77777777" w:rsidR="000C2772" w:rsidRPr="00704FF0" w:rsidRDefault="000C2772" w:rsidP="004A7F5A">
      <w:pPr>
        <w:tabs>
          <w:tab w:val="clear" w:pos="284"/>
          <w:tab w:val="left" w:pos="360"/>
        </w:tabs>
        <w:ind w:left="360"/>
        <w:rPr>
          <w:szCs w:val="22"/>
          <w:lang w:val="sr-Latn-RS"/>
        </w:rPr>
      </w:pPr>
    </w:p>
    <w:p w14:paraId="3EFD29FD" w14:textId="70F080F9" w:rsidR="000C2772" w:rsidRPr="00704FF0" w:rsidRDefault="000C2772" w:rsidP="004A7F5A">
      <w:pPr>
        <w:tabs>
          <w:tab w:val="clear" w:pos="284"/>
          <w:tab w:val="left" w:pos="360"/>
        </w:tabs>
        <w:ind w:left="360"/>
        <w:rPr>
          <w:szCs w:val="22"/>
          <w:lang w:val="sr-Latn-RS"/>
        </w:rPr>
      </w:pPr>
      <w:r w:rsidRPr="00704FF0">
        <w:rPr>
          <w:szCs w:val="22"/>
          <w:lang w:val="sr-Latn-RS"/>
        </w:rPr>
        <w:t>Poželjno je prim</w:t>
      </w:r>
      <w:r w:rsidR="00D56441" w:rsidRPr="00704FF0">
        <w:rPr>
          <w:szCs w:val="22"/>
          <w:lang w:val="sr-Latn-RS"/>
        </w:rPr>
        <w:t>ij</w:t>
      </w:r>
      <w:r w:rsidRPr="00704FF0">
        <w:rPr>
          <w:szCs w:val="22"/>
          <w:lang w:val="sr-Latn-RS"/>
        </w:rPr>
        <w:t>eniti neki drugi antiinflamatorni l</w:t>
      </w:r>
      <w:r w:rsidR="00D56441" w:rsidRPr="00704FF0">
        <w:rPr>
          <w:szCs w:val="22"/>
          <w:lang w:val="sr-Latn-RS"/>
        </w:rPr>
        <w:t>ij</w:t>
      </w:r>
      <w:r w:rsidRPr="00704FF0">
        <w:rPr>
          <w:szCs w:val="22"/>
          <w:lang w:val="sr-Latn-RS"/>
        </w:rPr>
        <w:t>ek ili upozoriti pacijenta i naglasiti važnost samokontrole glikemije. Kada je neophodno, prilagoditi dozu gliklazida u toku i nakon prim</w:t>
      </w:r>
      <w:r w:rsidR="00D56441" w:rsidRPr="00704FF0">
        <w:rPr>
          <w:szCs w:val="22"/>
          <w:lang w:val="sr-Latn-RS"/>
        </w:rPr>
        <w:t>j</w:t>
      </w:r>
      <w:r w:rsidRPr="00704FF0">
        <w:rPr>
          <w:szCs w:val="22"/>
          <w:lang w:val="sr-Latn-RS"/>
        </w:rPr>
        <w:t>ene antiinflamatornog l</w:t>
      </w:r>
      <w:r w:rsidR="00FA521A" w:rsidRPr="00704FF0">
        <w:rPr>
          <w:szCs w:val="22"/>
          <w:lang w:val="sr-Latn-RS"/>
        </w:rPr>
        <w:t>ij</w:t>
      </w:r>
      <w:r w:rsidRPr="00704FF0">
        <w:rPr>
          <w:szCs w:val="22"/>
          <w:lang w:val="sr-Latn-RS"/>
        </w:rPr>
        <w:t xml:space="preserve">eka. </w:t>
      </w:r>
    </w:p>
    <w:p w14:paraId="3EFD29FE" w14:textId="77777777" w:rsidR="000C2772" w:rsidRPr="00704FF0" w:rsidRDefault="000C2772" w:rsidP="004A7F5A">
      <w:pPr>
        <w:rPr>
          <w:szCs w:val="22"/>
          <w:lang w:val="sr-Latn-RS"/>
        </w:rPr>
      </w:pPr>
    </w:p>
    <w:p w14:paraId="3EFD2A01" w14:textId="2CDBB503" w:rsidR="000C2772" w:rsidRPr="00704FF0" w:rsidRDefault="000C2772" w:rsidP="0084566B">
      <w:pPr>
        <w:pStyle w:val="Header"/>
        <w:numPr>
          <w:ilvl w:val="0"/>
          <w:numId w:val="23"/>
        </w:numPr>
        <w:tabs>
          <w:tab w:val="clear" w:pos="4536"/>
          <w:tab w:val="clear" w:pos="9072"/>
          <w:tab w:val="left" w:pos="284"/>
        </w:tabs>
        <w:ind w:left="426" w:hanging="426"/>
        <w:jc w:val="left"/>
        <w:rPr>
          <w:szCs w:val="22"/>
          <w:lang w:val="sr-Latn-RS"/>
        </w:rPr>
      </w:pPr>
      <w:r w:rsidRPr="00704FF0">
        <w:rPr>
          <w:b/>
          <w:bCs/>
          <w:szCs w:val="22"/>
          <w:lang w:val="sr-Latn-RS"/>
        </w:rPr>
        <w:t>Alkohol</w:t>
      </w:r>
      <w:r w:rsidRPr="00704FF0">
        <w:rPr>
          <w:szCs w:val="22"/>
          <w:lang w:val="sr-Latn-RS"/>
        </w:rPr>
        <w:t>: povećava hipoglikemijsku reakciju (inhibicijom kompenzatornih reakcija) koja može dovesti i do hipoglikemijske kome.</w:t>
      </w:r>
      <w:r w:rsidR="00242B04" w:rsidRPr="00704FF0">
        <w:rPr>
          <w:szCs w:val="22"/>
          <w:lang w:val="sr-Latn-RS"/>
        </w:rPr>
        <w:t xml:space="preserve"> </w:t>
      </w:r>
      <w:r w:rsidR="00AF2D68" w:rsidRPr="00704FF0">
        <w:rPr>
          <w:szCs w:val="22"/>
          <w:lang w:val="sr-Latn-RS"/>
        </w:rPr>
        <w:t>Treba i</w:t>
      </w:r>
      <w:r w:rsidRPr="00704FF0">
        <w:rPr>
          <w:szCs w:val="22"/>
          <w:lang w:val="sr-Latn-RS"/>
        </w:rPr>
        <w:t>zb</w:t>
      </w:r>
      <w:r w:rsidR="00FA521A" w:rsidRPr="00704FF0">
        <w:rPr>
          <w:szCs w:val="22"/>
          <w:lang w:val="sr-Latn-RS"/>
        </w:rPr>
        <w:t>j</w:t>
      </w:r>
      <w:r w:rsidRPr="00704FF0">
        <w:rPr>
          <w:szCs w:val="22"/>
          <w:lang w:val="sr-Latn-RS"/>
        </w:rPr>
        <w:t>egavati alkohol i l</w:t>
      </w:r>
      <w:r w:rsidR="00FA521A" w:rsidRPr="00704FF0">
        <w:rPr>
          <w:szCs w:val="22"/>
          <w:lang w:val="sr-Latn-RS"/>
        </w:rPr>
        <w:t>j</w:t>
      </w:r>
      <w:r w:rsidRPr="00704FF0">
        <w:rPr>
          <w:szCs w:val="22"/>
          <w:lang w:val="sr-Latn-RS"/>
        </w:rPr>
        <w:t>ekove koji sadrže alkohol.</w:t>
      </w:r>
    </w:p>
    <w:p w14:paraId="3EFD2A02" w14:textId="77777777" w:rsidR="000C2772" w:rsidRPr="00704FF0" w:rsidRDefault="000C2772" w:rsidP="004A7F5A">
      <w:pPr>
        <w:pStyle w:val="Header"/>
        <w:tabs>
          <w:tab w:val="clear" w:pos="4536"/>
          <w:tab w:val="clear" w:pos="9072"/>
          <w:tab w:val="left" w:pos="284"/>
        </w:tabs>
        <w:jc w:val="left"/>
        <w:rPr>
          <w:szCs w:val="22"/>
          <w:lang w:val="sr-Latn-RS"/>
        </w:rPr>
      </w:pPr>
    </w:p>
    <w:p w14:paraId="3EFD2A03" w14:textId="77777777" w:rsidR="000C2772" w:rsidRPr="00704FF0" w:rsidRDefault="000C2772" w:rsidP="004A7F5A">
      <w:pPr>
        <w:pStyle w:val="NoSpacing"/>
        <w:rPr>
          <w:rFonts w:ascii="Times New Roman" w:hAnsi="Times New Roman"/>
          <w:i/>
          <w:lang w:val="sr-Latn-RS"/>
        </w:rPr>
      </w:pPr>
      <w:r w:rsidRPr="00704FF0">
        <w:rPr>
          <w:rFonts w:ascii="Times New Roman" w:hAnsi="Times New Roman"/>
          <w:i/>
          <w:lang w:val="sr-Latn-RS"/>
        </w:rPr>
        <w:t>Kombinacije kod kojih je neophodan oprez</w:t>
      </w:r>
    </w:p>
    <w:p w14:paraId="3EFD2A04" w14:textId="1BF2DB88" w:rsidR="000C2772" w:rsidRPr="00704FF0" w:rsidRDefault="000C2772" w:rsidP="004A7F5A">
      <w:pPr>
        <w:pStyle w:val="NoSpacing"/>
        <w:jc w:val="both"/>
        <w:rPr>
          <w:rFonts w:ascii="Times New Roman" w:hAnsi="Times New Roman"/>
          <w:lang w:val="sr-Latn-RS"/>
        </w:rPr>
      </w:pPr>
      <w:r w:rsidRPr="00704FF0">
        <w:rPr>
          <w:rFonts w:ascii="Times New Roman" w:hAnsi="Times New Roman"/>
          <w:lang w:val="sr-Latn-RS"/>
        </w:rPr>
        <w:t xml:space="preserve">Može doći do potenciranja </w:t>
      </w:r>
      <w:r w:rsidR="00AF2D68" w:rsidRPr="00704FF0">
        <w:rPr>
          <w:rFonts w:ascii="Times New Roman" w:hAnsi="Times New Roman"/>
          <w:lang w:val="sr-Latn-RS"/>
        </w:rPr>
        <w:t>dejstva na smanjenje koncentracije</w:t>
      </w:r>
      <w:r w:rsidRPr="00704FF0">
        <w:rPr>
          <w:rFonts w:ascii="Times New Roman" w:hAnsi="Times New Roman"/>
          <w:lang w:val="sr-Latn-RS"/>
        </w:rPr>
        <w:t xml:space="preserve"> glukoze u krvi, i u skladu sa tim do hipoglikemije, kada se uzimaju neki od sl</w:t>
      </w:r>
      <w:r w:rsidR="00FA521A" w:rsidRPr="00704FF0">
        <w:rPr>
          <w:rFonts w:ascii="Times New Roman" w:hAnsi="Times New Roman"/>
          <w:lang w:val="sr-Latn-RS"/>
        </w:rPr>
        <w:t>j</w:t>
      </w:r>
      <w:r w:rsidRPr="00704FF0">
        <w:rPr>
          <w:rFonts w:ascii="Times New Roman" w:hAnsi="Times New Roman"/>
          <w:lang w:val="sr-Latn-RS"/>
        </w:rPr>
        <w:t>edećih l</w:t>
      </w:r>
      <w:r w:rsidR="00FA521A" w:rsidRPr="00704FF0">
        <w:rPr>
          <w:rFonts w:ascii="Times New Roman" w:hAnsi="Times New Roman"/>
          <w:lang w:val="sr-Latn-RS"/>
        </w:rPr>
        <w:t>j</w:t>
      </w:r>
      <w:r w:rsidRPr="00704FF0">
        <w:rPr>
          <w:rFonts w:ascii="Times New Roman" w:hAnsi="Times New Roman"/>
          <w:lang w:val="sr-Latn-RS"/>
        </w:rPr>
        <w:t>ekova: drugi antidijabetici (insulini, akarboza, metformin, tiazolidindioni, inhibitori dipeptil peptidaza-4, agonisti GLP-1 receptora), beta blokatori, flukonazol, inhibitori angiotenzin konvertujućeg enzima</w:t>
      </w:r>
      <w:r w:rsidRPr="00704FF0" w:rsidDel="00013C4E">
        <w:rPr>
          <w:rFonts w:ascii="Times New Roman" w:hAnsi="Times New Roman"/>
          <w:lang w:val="sr-Latn-RS"/>
        </w:rPr>
        <w:t xml:space="preserve"> </w:t>
      </w:r>
      <w:r w:rsidRPr="00704FF0">
        <w:rPr>
          <w:rFonts w:ascii="Times New Roman" w:hAnsi="Times New Roman"/>
          <w:lang w:val="sr-Latn-RS"/>
        </w:rPr>
        <w:t>(kaptopril, enalapril), antagonisti H</w:t>
      </w:r>
      <w:r w:rsidRPr="00704FF0">
        <w:rPr>
          <w:rFonts w:ascii="Times New Roman" w:hAnsi="Times New Roman"/>
          <w:vertAlign w:val="subscript"/>
          <w:lang w:val="sr-Latn-RS"/>
        </w:rPr>
        <w:t>2</w:t>
      </w:r>
      <w:r w:rsidRPr="00704FF0">
        <w:rPr>
          <w:rFonts w:ascii="Times New Roman" w:hAnsi="Times New Roman"/>
          <w:lang w:val="sr-Latn-RS"/>
        </w:rPr>
        <w:t xml:space="preserve"> receptora, inhibitori MAO, sulfonamidi, klaritromicin, nesteroidni antiinflamatorni l</w:t>
      </w:r>
      <w:r w:rsidR="00FA521A" w:rsidRPr="00704FF0">
        <w:rPr>
          <w:rFonts w:ascii="Times New Roman" w:hAnsi="Times New Roman"/>
          <w:lang w:val="sr-Latn-RS"/>
        </w:rPr>
        <w:t>j</w:t>
      </w:r>
      <w:r w:rsidRPr="00704FF0">
        <w:rPr>
          <w:rFonts w:ascii="Times New Roman" w:hAnsi="Times New Roman"/>
          <w:lang w:val="sr-Latn-RS"/>
        </w:rPr>
        <w:t>ekovi.</w:t>
      </w:r>
    </w:p>
    <w:p w14:paraId="3EFD2A05" w14:textId="77777777" w:rsidR="000C2772" w:rsidRPr="00704FF0" w:rsidRDefault="000C2772" w:rsidP="004A7F5A">
      <w:pPr>
        <w:pStyle w:val="Header"/>
        <w:tabs>
          <w:tab w:val="clear" w:pos="4536"/>
          <w:tab w:val="clear" w:pos="9072"/>
          <w:tab w:val="left" w:pos="284"/>
        </w:tabs>
        <w:rPr>
          <w:szCs w:val="22"/>
          <w:lang w:val="sr-Latn-RS"/>
        </w:rPr>
      </w:pPr>
    </w:p>
    <w:p w14:paraId="3EFD2A06" w14:textId="6808343F" w:rsidR="000C2772" w:rsidRPr="00704FF0" w:rsidRDefault="000C2772" w:rsidP="004A7F5A">
      <w:pPr>
        <w:pStyle w:val="NoSpacing"/>
        <w:jc w:val="both"/>
        <w:rPr>
          <w:rFonts w:ascii="Times New Roman" w:hAnsi="Times New Roman"/>
          <w:u w:val="single"/>
          <w:lang w:val="sr-Latn-RS"/>
        </w:rPr>
      </w:pPr>
      <w:r w:rsidRPr="00704FF0">
        <w:rPr>
          <w:rFonts w:ascii="Times New Roman" w:hAnsi="Times New Roman"/>
          <w:u w:val="single"/>
          <w:lang w:val="sr-Latn-RS"/>
        </w:rPr>
        <w:t xml:space="preserve">Lekovi koji mogu dovesti do povećanja </w:t>
      </w:r>
      <w:r w:rsidR="00AF2D68" w:rsidRPr="00704FF0">
        <w:rPr>
          <w:rFonts w:ascii="Times New Roman" w:hAnsi="Times New Roman"/>
          <w:u w:val="single"/>
          <w:lang w:val="sr-Latn-RS"/>
        </w:rPr>
        <w:t xml:space="preserve">koncentracije </w:t>
      </w:r>
      <w:r w:rsidRPr="00704FF0">
        <w:rPr>
          <w:rFonts w:ascii="Times New Roman" w:hAnsi="Times New Roman"/>
          <w:u w:val="single"/>
          <w:lang w:val="sr-Latn-RS"/>
        </w:rPr>
        <w:t>glukoze u krvi</w:t>
      </w:r>
    </w:p>
    <w:p w14:paraId="3EFD2A07" w14:textId="77777777" w:rsidR="000C2772" w:rsidRPr="00704FF0" w:rsidRDefault="000C2772" w:rsidP="004A7F5A">
      <w:pPr>
        <w:pStyle w:val="NoSpacing"/>
        <w:jc w:val="both"/>
        <w:rPr>
          <w:rFonts w:ascii="Times New Roman" w:hAnsi="Times New Roman"/>
          <w:i/>
          <w:iCs/>
          <w:lang w:val="sr-Latn-RS"/>
        </w:rPr>
      </w:pPr>
    </w:p>
    <w:p w14:paraId="3EFD2A08" w14:textId="77777777" w:rsidR="000C2772" w:rsidRPr="00704FF0" w:rsidRDefault="000C2772" w:rsidP="004A7F5A">
      <w:pPr>
        <w:pStyle w:val="NoSpacing"/>
        <w:jc w:val="both"/>
        <w:rPr>
          <w:rFonts w:ascii="Times New Roman" w:hAnsi="Times New Roman"/>
          <w:i/>
          <w:iCs/>
          <w:lang w:val="sr-Latn-RS"/>
        </w:rPr>
      </w:pPr>
      <w:r w:rsidRPr="00704FF0">
        <w:rPr>
          <w:rFonts w:ascii="Times New Roman" w:hAnsi="Times New Roman"/>
          <w:i/>
          <w:iCs/>
          <w:lang w:val="sr-Latn-RS"/>
        </w:rPr>
        <w:t>Kombinacije koje se ne preporučuju</w:t>
      </w:r>
    </w:p>
    <w:p w14:paraId="3EFD2A09" w14:textId="77777777" w:rsidR="000C2772" w:rsidRPr="00704FF0" w:rsidRDefault="000C2772" w:rsidP="004A7F5A">
      <w:pPr>
        <w:pStyle w:val="NoSpacing"/>
        <w:jc w:val="both"/>
        <w:rPr>
          <w:rFonts w:ascii="Times New Roman" w:hAnsi="Times New Roman"/>
          <w:i/>
          <w:iCs/>
          <w:lang w:val="sr-Latn-RS"/>
        </w:rPr>
      </w:pPr>
    </w:p>
    <w:p w14:paraId="3EFD2A0A" w14:textId="77777777" w:rsidR="000C2772" w:rsidRPr="00704FF0" w:rsidRDefault="000C2772" w:rsidP="004A7F5A">
      <w:pPr>
        <w:pStyle w:val="NoSpacing"/>
        <w:numPr>
          <w:ilvl w:val="0"/>
          <w:numId w:val="7"/>
        </w:numPr>
        <w:tabs>
          <w:tab w:val="clear" w:pos="720"/>
          <w:tab w:val="num" w:pos="360"/>
        </w:tabs>
        <w:ind w:left="360"/>
        <w:jc w:val="both"/>
        <w:rPr>
          <w:rFonts w:ascii="Times New Roman" w:hAnsi="Times New Roman"/>
          <w:lang w:val="sr-Latn-RS"/>
        </w:rPr>
      </w:pPr>
      <w:r w:rsidRPr="00704FF0">
        <w:rPr>
          <w:rFonts w:ascii="Times New Roman" w:hAnsi="Times New Roman"/>
          <w:b/>
          <w:bCs/>
          <w:lang w:val="sr-Latn-RS"/>
        </w:rPr>
        <w:t>Danazol</w:t>
      </w:r>
      <w:r w:rsidRPr="00704FF0">
        <w:rPr>
          <w:rFonts w:ascii="Times New Roman" w:hAnsi="Times New Roman"/>
          <w:lang w:val="sr-Latn-RS"/>
        </w:rPr>
        <w:t>: danazol ispoljava dijabetogeno dejstvo.</w:t>
      </w:r>
    </w:p>
    <w:p w14:paraId="3EFD2A0B" w14:textId="3FE1307F" w:rsidR="000C2772" w:rsidRPr="00704FF0" w:rsidRDefault="000C2772" w:rsidP="004A7F5A">
      <w:pPr>
        <w:pStyle w:val="NoSpacing"/>
        <w:ind w:left="360"/>
        <w:jc w:val="both"/>
        <w:rPr>
          <w:rFonts w:ascii="Times New Roman" w:hAnsi="Times New Roman"/>
          <w:lang w:val="sr-Latn-RS"/>
        </w:rPr>
      </w:pPr>
      <w:r w:rsidRPr="00704FF0">
        <w:rPr>
          <w:rFonts w:ascii="Times New Roman" w:hAnsi="Times New Roman"/>
          <w:lang w:val="sr-Latn-RS"/>
        </w:rPr>
        <w:t>Ukoliko je neophodna istovremena prim</w:t>
      </w:r>
      <w:r w:rsidR="00835CB1" w:rsidRPr="00704FF0">
        <w:rPr>
          <w:rFonts w:ascii="Times New Roman" w:hAnsi="Times New Roman"/>
          <w:lang w:val="sr-Latn-RS"/>
        </w:rPr>
        <w:t>j</w:t>
      </w:r>
      <w:r w:rsidRPr="00704FF0">
        <w:rPr>
          <w:rFonts w:ascii="Times New Roman" w:hAnsi="Times New Roman"/>
          <w:lang w:val="sr-Latn-RS"/>
        </w:rPr>
        <w:t xml:space="preserve">ena danazola i gliklazida, upozoriti pacijenta na moguće dijabetogeno dejstvo danazola i </w:t>
      </w:r>
      <w:r w:rsidR="00AF2D68" w:rsidRPr="00704FF0">
        <w:rPr>
          <w:rFonts w:ascii="Times New Roman" w:hAnsi="Times New Roman"/>
          <w:lang w:val="sr-Latn-RS"/>
        </w:rPr>
        <w:t xml:space="preserve">naglasiti </w:t>
      </w:r>
      <w:r w:rsidRPr="00704FF0">
        <w:rPr>
          <w:rFonts w:ascii="Times New Roman" w:hAnsi="Times New Roman"/>
          <w:lang w:val="sr-Latn-RS"/>
        </w:rPr>
        <w:t xml:space="preserve">značaj </w:t>
      </w:r>
      <w:r w:rsidR="00AF2D68" w:rsidRPr="00704FF0">
        <w:rPr>
          <w:rFonts w:ascii="Times New Roman" w:hAnsi="Times New Roman"/>
          <w:lang w:val="sr-Latn-RS"/>
        </w:rPr>
        <w:t>praćenja koncentracije glukoze</w:t>
      </w:r>
      <w:r w:rsidRPr="00704FF0">
        <w:rPr>
          <w:rFonts w:ascii="Times New Roman" w:hAnsi="Times New Roman"/>
          <w:lang w:val="sr-Latn-RS"/>
        </w:rPr>
        <w:t xml:space="preserve"> u urinu</w:t>
      </w:r>
      <w:r w:rsidR="00AF2D68" w:rsidRPr="00704FF0">
        <w:rPr>
          <w:rFonts w:ascii="Times New Roman" w:hAnsi="Times New Roman"/>
          <w:lang w:val="sr-Latn-RS"/>
        </w:rPr>
        <w:t xml:space="preserve"> i krvi</w:t>
      </w:r>
      <w:r w:rsidRPr="00704FF0">
        <w:rPr>
          <w:rFonts w:ascii="Times New Roman" w:hAnsi="Times New Roman"/>
          <w:lang w:val="sr-Latn-RS"/>
        </w:rPr>
        <w:t>. Možda će biti neophodno prilagođavanje doze antidijabetika u toku i nakon terapije danazolom.</w:t>
      </w:r>
    </w:p>
    <w:p w14:paraId="3EFD2A0C" w14:textId="77777777" w:rsidR="000C2772" w:rsidRPr="00704FF0" w:rsidRDefault="000C2772" w:rsidP="004A7F5A">
      <w:pPr>
        <w:pStyle w:val="NoSpacing"/>
        <w:rPr>
          <w:rFonts w:ascii="Times New Roman" w:hAnsi="Times New Roman"/>
          <w:i/>
          <w:lang w:val="sr-Latn-RS"/>
        </w:rPr>
      </w:pPr>
    </w:p>
    <w:p w14:paraId="3EFD2A0D" w14:textId="77777777" w:rsidR="000C2772" w:rsidRPr="00704FF0" w:rsidRDefault="000C2772" w:rsidP="004A7F5A">
      <w:pPr>
        <w:pStyle w:val="NoSpacing"/>
        <w:rPr>
          <w:rFonts w:ascii="Times New Roman" w:hAnsi="Times New Roman"/>
          <w:i/>
          <w:lang w:val="sr-Latn-RS"/>
        </w:rPr>
      </w:pPr>
      <w:r w:rsidRPr="00704FF0">
        <w:rPr>
          <w:rFonts w:ascii="Times New Roman" w:hAnsi="Times New Roman"/>
          <w:i/>
          <w:lang w:val="sr-Latn-RS"/>
        </w:rPr>
        <w:t>Kombinacije kod kojih je neophodan oprez</w:t>
      </w:r>
    </w:p>
    <w:p w14:paraId="3EFD2A0E" w14:textId="77777777" w:rsidR="000C2772" w:rsidRPr="00704FF0" w:rsidRDefault="000C2772" w:rsidP="004A7F5A">
      <w:pPr>
        <w:pStyle w:val="NoSpacing"/>
        <w:rPr>
          <w:rFonts w:ascii="Times New Roman" w:hAnsi="Times New Roman"/>
          <w:lang w:val="sr-Latn-RS"/>
        </w:rPr>
      </w:pPr>
    </w:p>
    <w:p w14:paraId="3EFD2A0F" w14:textId="20F53AD8" w:rsidR="000C2772" w:rsidRPr="00704FF0" w:rsidRDefault="000C2772" w:rsidP="004A7F5A">
      <w:pPr>
        <w:numPr>
          <w:ilvl w:val="0"/>
          <w:numId w:val="7"/>
        </w:numPr>
        <w:tabs>
          <w:tab w:val="clear" w:pos="284"/>
          <w:tab w:val="clear" w:pos="720"/>
          <w:tab w:val="left" w:pos="360"/>
        </w:tabs>
        <w:ind w:left="360"/>
        <w:rPr>
          <w:szCs w:val="22"/>
          <w:lang w:val="sr-Latn-RS"/>
        </w:rPr>
      </w:pPr>
      <w:r w:rsidRPr="00704FF0">
        <w:rPr>
          <w:b/>
          <w:bCs/>
          <w:szCs w:val="22"/>
          <w:lang w:val="sr-Latn-RS"/>
        </w:rPr>
        <w:t xml:space="preserve">Hlorpromazin </w:t>
      </w:r>
      <w:r w:rsidRPr="00704FF0">
        <w:rPr>
          <w:szCs w:val="22"/>
          <w:lang w:val="sr-Latn-RS"/>
        </w:rPr>
        <w:t>(neuroleptik): v</w:t>
      </w:r>
      <w:r w:rsidR="00AF2D68" w:rsidRPr="00704FF0">
        <w:rPr>
          <w:szCs w:val="22"/>
          <w:lang w:val="sr-Latn-RS"/>
        </w:rPr>
        <w:t>eli</w:t>
      </w:r>
      <w:r w:rsidRPr="00704FF0">
        <w:rPr>
          <w:szCs w:val="22"/>
          <w:lang w:val="sr-Latn-RS"/>
        </w:rPr>
        <w:t>ke doze (&gt;100 mg dnevno hlorpromazina) povećava</w:t>
      </w:r>
      <w:r w:rsidR="00AF2D68" w:rsidRPr="00704FF0">
        <w:rPr>
          <w:szCs w:val="22"/>
          <w:lang w:val="sr-Latn-RS"/>
        </w:rPr>
        <w:t>ju</w:t>
      </w:r>
      <w:r w:rsidRPr="00704FF0">
        <w:rPr>
          <w:szCs w:val="22"/>
          <w:lang w:val="sr-Latn-RS"/>
        </w:rPr>
        <w:t xml:space="preserve"> </w:t>
      </w:r>
      <w:r w:rsidR="00AF2D68" w:rsidRPr="00704FF0">
        <w:rPr>
          <w:szCs w:val="22"/>
          <w:lang w:val="sr-Latn-RS"/>
        </w:rPr>
        <w:t xml:space="preserve">koncentraciju </w:t>
      </w:r>
      <w:r w:rsidRPr="00704FF0">
        <w:rPr>
          <w:szCs w:val="22"/>
          <w:lang w:val="sr-Latn-RS"/>
        </w:rPr>
        <w:t>glukoze u krvi (smanjivanjem oslobađanja insulina).</w:t>
      </w:r>
    </w:p>
    <w:p w14:paraId="3EFD2A10" w14:textId="256DA66A" w:rsidR="000C2772" w:rsidRPr="00704FF0" w:rsidRDefault="000C2772" w:rsidP="004A7F5A">
      <w:pPr>
        <w:tabs>
          <w:tab w:val="clear" w:pos="284"/>
          <w:tab w:val="left" w:pos="360"/>
        </w:tabs>
        <w:ind w:left="360"/>
        <w:rPr>
          <w:szCs w:val="22"/>
          <w:lang w:val="sr-Latn-RS"/>
        </w:rPr>
      </w:pPr>
      <w:r w:rsidRPr="00704FF0">
        <w:rPr>
          <w:szCs w:val="22"/>
          <w:lang w:val="sr-Latn-RS"/>
        </w:rPr>
        <w:t>Neophodno je upozoriti pacijenta na ovo i naglasiti značaj redovn</w:t>
      </w:r>
      <w:r w:rsidR="00AF2D68" w:rsidRPr="00704FF0">
        <w:rPr>
          <w:szCs w:val="22"/>
          <w:lang w:val="sr-Latn-RS"/>
        </w:rPr>
        <w:t>og praćenja</w:t>
      </w:r>
      <w:r w:rsidRPr="00704FF0">
        <w:rPr>
          <w:szCs w:val="22"/>
          <w:lang w:val="sr-Latn-RS"/>
        </w:rPr>
        <w:t xml:space="preserve"> glikemije. Može biti neophodno prilagoditi dozu antidijabetika za vr</w:t>
      </w:r>
      <w:r w:rsidR="007C1524" w:rsidRPr="00704FF0">
        <w:rPr>
          <w:szCs w:val="22"/>
          <w:lang w:val="sr-Latn-RS"/>
        </w:rPr>
        <w:t>ij</w:t>
      </w:r>
      <w:r w:rsidRPr="00704FF0">
        <w:rPr>
          <w:szCs w:val="22"/>
          <w:lang w:val="sr-Latn-RS"/>
        </w:rPr>
        <w:t>eme i posl</w:t>
      </w:r>
      <w:r w:rsidR="007C1524" w:rsidRPr="00704FF0">
        <w:rPr>
          <w:szCs w:val="22"/>
          <w:lang w:val="sr-Latn-RS"/>
        </w:rPr>
        <w:t>ij</w:t>
      </w:r>
      <w:r w:rsidRPr="00704FF0">
        <w:rPr>
          <w:szCs w:val="22"/>
          <w:lang w:val="sr-Latn-RS"/>
        </w:rPr>
        <w:t>e l</w:t>
      </w:r>
      <w:r w:rsidR="007C1524" w:rsidRPr="00704FF0">
        <w:rPr>
          <w:szCs w:val="22"/>
          <w:lang w:val="sr-Latn-RS"/>
        </w:rPr>
        <w:t>ij</w:t>
      </w:r>
      <w:r w:rsidRPr="00704FF0">
        <w:rPr>
          <w:szCs w:val="22"/>
          <w:lang w:val="sr-Latn-RS"/>
        </w:rPr>
        <w:t>ečenja neuroleptikom.</w:t>
      </w:r>
    </w:p>
    <w:p w14:paraId="3EFD2A11" w14:textId="77777777" w:rsidR="000C2772" w:rsidRPr="00704FF0" w:rsidRDefault="000C2772" w:rsidP="004A7F5A">
      <w:pPr>
        <w:pStyle w:val="Header"/>
        <w:tabs>
          <w:tab w:val="clear" w:pos="4536"/>
          <w:tab w:val="clear" w:pos="9072"/>
          <w:tab w:val="left" w:pos="284"/>
        </w:tabs>
        <w:jc w:val="left"/>
        <w:rPr>
          <w:szCs w:val="22"/>
          <w:lang w:val="sr-Latn-RS"/>
        </w:rPr>
      </w:pPr>
    </w:p>
    <w:p w14:paraId="3EFD2A12" w14:textId="64D37B25" w:rsidR="000C2772" w:rsidRPr="00704FF0" w:rsidRDefault="000C2772" w:rsidP="004A7F5A">
      <w:pPr>
        <w:numPr>
          <w:ilvl w:val="0"/>
          <w:numId w:val="7"/>
        </w:numPr>
        <w:tabs>
          <w:tab w:val="clear" w:pos="284"/>
          <w:tab w:val="clear" w:pos="720"/>
          <w:tab w:val="num" w:pos="360"/>
          <w:tab w:val="left" w:pos="450"/>
        </w:tabs>
        <w:ind w:left="360"/>
        <w:rPr>
          <w:szCs w:val="22"/>
          <w:lang w:val="sr-Latn-RS"/>
        </w:rPr>
      </w:pPr>
      <w:r w:rsidRPr="00704FF0">
        <w:rPr>
          <w:b/>
          <w:bCs/>
          <w:szCs w:val="22"/>
          <w:lang w:val="sr-Latn-RS"/>
        </w:rPr>
        <w:lastRenderedPageBreak/>
        <w:t xml:space="preserve">Glukokortikoidi </w:t>
      </w:r>
      <w:r w:rsidRPr="00704FF0">
        <w:rPr>
          <w:szCs w:val="22"/>
          <w:lang w:val="sr-Latn-RS"/>
        </w:rPr>
        <w:t>(sistemska i lokalna prim</w:t>
      </w:r>
      <w:r w:rsidR="007C1524" w:rsidRPr="00704FF0">
        <w:rPr>
          <w:szCs w:val="22"/>
          <w:lang w:val="sr-Latn-RS"/>
        </w:rPr>
        <w:t>j</w:t>
      </w:r>
      <w:r w:rsidRPr="00704FF0">
        <w:rPr>
          <w:szCs w:val="22"/>
          <w:lang w:val="sr-Latn-RS"/>
        </w:rPr>
        <w:t xml:space="preserve">ena: intraartikularni, dermalni i rektalni preparati) i tetrakosaktrin: povećavaju </w:t>
      </w:r>
      <w:r w:rsidR="00AF2D68" w:rsidRPr="00704FF0">
        <w:rPr>
          <w:szCs w:val="22"/>
          <w:lang w:val="sr-Latn-RS"/>
        </w:rPr>
        <w:t xml:space="preserve">koncentraciju </w:t>
      </w:r>
      <w:r w:rsidRPr="00704FF0">
        <w:rPr>
          <w:szCs w:val="22"/>
          <w:lang w:val="sr-Latn-RS"/>
        </w:rPr>
        <w:t>glukoze u krvi sa mogućom ketozom (smanjenjem tolerancije na ugljene hidrate d</w:t>
      </w:r>
      <w:r w:rsidR="007C1524" w:rsidRPr="00704FF0">
        <w:rPr>
          <w:szCs w:val="22"/>
          <w:lang w:val="sr-Latn-RS"/>
        </w:rPr>
        <w:t>j</w:t>
      </w:r>
      <w:r w:rsidRPr="00704FF0">
        <w:rPr>
          <w:szCs w:val="22"/>
          <w:lang w:val="sr-Latn-RS"/>
        </w:rPr>
        <w:t xml:space="preserve">elovanjem glukokortikoida). </w:t>
      </w:r>
    </w:p>
    <w:p w14:paraId="3EFD2A13" w14:textId="3A28355C" w:rsidR="000C2772" w:rsidRPr="00704FF0" w:rsidRDefault="000C2772" w:rsidP="004A7F5A">
      <w:pPr>
        <w:ind w:left="360"/>
        <w:rPr>
          <w:szCs w:val="22"/>
          <w:lang w:val="sr-Latn-RS"/>
        </w:rPr>
      </w:pPr>
      <w:r w:rsidRPr="00704FF0">
        <w:rPr>
          <w:szCs w:val="22"/>
          <w:lang w:val="sr-Latn-RS"/>
        </w:rPr>
        <w:t xml:space="preserve">Neophodno je upozoriti pacijenta na ovaj efekat i naglasiti značaj praćenja </w:t>
      </w:r>
      <w:r w:rsidR="00AF2D68" w:rsidRPr="00704FF0">
        <w:rPr>
          <w:szCs w:val="22"/>
          <w:lang w:val="sr-Latn-RS"/>
        </w:rPr>
        <w:t xml:space="preserve">koncentracije </w:t>
      </w:r>
      <w:r w:rsidRPr="00704FF0">
        <w:rPr>
          <w:szCs w:val="22"/>
          <w:lang w:val="sr-Latn-RS"/>
        </w:rPr>
        <w:t>glukoze u krvi, posebno na početku l</w:t>
      </w:r>
      <w:r w:rsidR="007C1524" w:rsidRPr="00704FF0">
        <w:rPr>
          <w:szCs w:val="22"/>
          <w:lang w:val="sr-Latn-RS"/>
        </w:rPr>
        <w:t>ij</w:t>
      </w:r>
      <w:r w:rsidRPr="00704FF0">
        <w:rPr>
          <w:szCs w:val="22"/>
          <w:lang w:val="sr-Latn-RS"/>
        </w:rPr>
        <w:t xml:space="preserve">ečenja. Može </w:t>
      </w:r>
      <w:r w:rsidR="00AF2D68" w:rsidRPr="00704FF0">
        <w:rPr>
          <w:szCs w:val="22"/>
          <w:lang w:val="sr-Latn-RS"/>
        </w:rPr>
        <w:t>biti neophodno</w:t>
      </w:r>
      <w:r w:rsidRPr="00704FF0">
        <w:rPr>
          <w:szCs w:val="22"/>
          <w:lang w:val="sr-Latn-RS"/>
        </w:rPr>
        <w:t xml:space="preserve"> prilagođavanje doze gliklazida za vr</w:t>
      </w:r>
      <w:r w:rsidR="007C1524" w:rsidRPr="00704FF0">
        <w:rPr>
          <w:szCs w:val="22"/>
          <w:lang w:val="sr-Latn-RS"/>
        </w:rPr>
        <w:t>ij</w:t>
      </w:r>
      <w:r w:rsidRPr="00704FF0">
        <w:rPr>
          <w:szCs w:val="22"/>
          <w:lang w:val="sr-Latn-RS"/>
        </w:rPr>
        <w:t>eme i nakon terapije glukokortikoidima.</w:t>
      </w:r>
    </w:p>
    <w:p w14:paraId="3EFD2A14" w14:textId="77777777" w:rsidR="000C2772" w:rsidRPr="00704FF0" w:rsidRDefault="000C2772" w:rsidP="004A7F5A">
      <w:pPr>
        <w:pStyle w:val="Header"/>
        <w:tabs>
          <w:tab w:val="clear" w:pos="4536"/>
          <w:tab w:val="clear" w:pos="9072"/>
          <w:tab w:val="left" w:pos="284"/>
        </w:tabs>
        <w:jc w:val="left"/>
        <w:rPr>
          <w:szCs w:val="22"/>
          <w:lang w:val="sr-Latn-RS"/>
        </w:rPr>
      </w:pPr>
    </w:p>
    <w:p w14:paraId="3EFD2A15" w14:textId="3393CEFB" w:rsidR="000C2772" w:rsidRPr="00704FF0" w:rsidRDefault="000C2772" w:rsidP="004A7F5A">
      <w:pPr>
        <w:numPr>
          <w:ilvl w:val="0"/>
          <w:numId w:val="7"/>
        </w:numPr>
        <w:tabs>
          <w:tab w:val="clear" w:pos="284"/>
          <w:tab w:val="left" w:pos="360"/>
        </w:tabs>
        <w:ind w:hanging="720"/>
        <w:rPr>
          <w:szCs w:val="22"/>
          <w:lang w:val="sr-Latn-RS"/>
        </w:rPr>
      </w:pPr>
      <w:r w:rsidRPr="00704FF0">
        <w:rPr>
          <w:b/>
          <w:bCs/>
          <w:szCs w:val="22"/>
          <w:lang w:val="sr-Latn-RS"/>
        </w:rPr>
        <w:t>Ritordin, salbutamol, terbutalin</w:t>
      </w:r>
      <w:r w:rsidRPr="00704FF0">
        <w:rPr>
          <w:szCs w:val="22"/>
          <w:lang w:val="sr-Latn-RS"/>
        </w:rPr>
        <w:t xml:space="preserve">: </w:t>
      </w:r>
      <w:r w:rsidR="00AF2D68" w:rsidRPr="00704FF0">
        <w:rPr>
          <w:szCs w:val="22"/>
          <w:lang w:val="sr-Latn-RS"/>
        </w:rPr>
        <w:t>intravenska</w:t>
      </w:r>
      <w:r w:rsidRPr="00704FF0">
        <w:rPr>
          <w:szCs w:val="22"/>
          <w:lang w:val="sr-Latn-RS"/>
        </w:rPr>
        <w:t xml:space="preserve"> prim</w:t>
      </w:r>
      <w:r w:rsidR="007C1524" w:rsidRPr="00704FF0">
        <w:rPr>
          <w:szCs w:val="22"/>
          <w:lang w:val="sr-Latn-RS"/>
        </w:rPr>
        <w:t>j</w:t>
      </w:r>
      <w:r w:rsidRPr="00704FF0">
        <w:rPr>
          <w:szCs w:val="22"/>
          <w:lang w:val="sr-Latn-RS"/>
        </w:rPr>
        <w:t>ena</w:t>
      </w:r>
    </w:p>
    <w:p w14:paraId="3EFD2A16" w14:textId="487854BD" w:rsidR="000C2772" w:rsidRPr="00704FF0" w:rsidRDefault="000C2772" w:rsidP="004A7F5A">
      <w:pPr>
        <w:tabs>
          <w:tab w:val="clear" w:pos="284"/>
          <w:tab w:val="left" w:pos="360"/>
        </w:tabs>
        <w:ind w:left="284" w:firstLine="76"/>
        <w:rPr>
          <w:szCs w:val="22"/>
          <w:lang w:val="sr-Latn-RS"/>
        </w:rPr>
      </w:pPr>
      <w:r w:rsidRPr="00704FF0">
        <w:rPr>
          <w:szCs w:val="22"/>
          <w:lang w:val="sr-Latn-RS"/>
        </w:rPr>
        <w:t>Povećan</w:t>
      </w:r>
      <w:r w:rsidR="00AF2D68" w:rsidRPr="00704FF0">
        <w:rPr>
          <w:szCs w:val="22"/>
          <w:lang w:val="sr-Latn-RS"/>
        </w:rPr>
        <w:t xml:space="preserve">a koncentracija </w:t>
      </w:r>
      <w:r w:rsidRPr="00704FF0">
        <w:rPr>
          <w:szCs w:val="22"/>
          <w:lang w:val="sr-Latn-RS"/>
        </w:rPr>
        <w:t>glukoze u krvi usl</w:t>
      </w:r>
      <w:r w:rsidR="007C1524" w:rsidRPr="00704FF0">
        <w:rPr>
          <w:szCs w:val="22"/>
          <w:lang w:val="sr-Latn-RS"/>
        </w:rPr>
        <w:t>j</w:t>
      </w:r>
      <w:r w:rsidRPr="00704FF0">
        <w:rPr>
          <w:szCs w:val="22"/>
          <w:lang w:val="sr-Latn-RS"/>
        </w:rPr>
        <w:t>ed beta-2 agonističkog dejstva.</w:t>
      </w:r>
    </w:p>
    <w:p w14:paraId="3EFD2A17" w14:textId="00F50F54" w:rsidR="000C2772" w:rsidRPr="00704FF0" w:rsidRDefault="000C2772" w:rsidP="004A7F5A">
      <w:pPr>
        <w:tabs>
          <w:tab w:val="clear" w:pos="284"/>
          <w:tab w:val="left" w:pos="360"/>
        </w:tabs>
        <w:ind w:left="360"/>
        <w:rPr>
          <w:szCs w:val="22"/>
          <w:lang w:val="sr-Latn-RS"/>
        </w:rPr>
      </w:pPr>
      <w:r w:rsidRPr="00704FF0">
        <w:rPr>
          <w:szCs w:val="22"/>
          <w:lang w:val="sr-Latn-RS"/>
        </w:rPr>
        <w:t xml:space="preserve">Treba naglasiti značaj praćenja </w:t>
      </w:r>
      <w:r w:rsidR="00AF2D68" w:rsidRPr="00704FF0">
        <w:rPr>
          <w:szCs w:val="22"/>
          <w:lang w:val="sr-Latn-RS"/>
        </w:rPr>
        <w:t xml:space="preserve">koncentracije </w:t>
      </w:r>
      <w:r w:rsidRPr="00704FF0">
        <w:rPr>
          <w:szCs w:val="22"/>
          <w:lang w:val="sr-Latn-RS"/>
        </w:rPr>
        <w:t xml:space="preserve">glukoze u krvi. Ukoliko je neophodno, pacijent </w:t>
      </w:r>
      <w:r w:rsidR="00AF2D68" w:rsidRPr="00704FF0">
        <w:rPr>
          <w:szCs w:val="22"/>
          <w:lang w:val="sr-Latn-RS"/>
        </w:rPr>
        <w:t xml:space="preserve">se </w:t>
      </w:r>
      <w:r w:rsidRPr="00704FF0">
        <w:rPr>
          <w:szCs w:val="22"/>
          <w:lang w:val="sr-Latn-RS"/>
        </w:rPr>
        <w:t xml:space="preserve">može </w:t>
      </w:r>
      <w:r w:rsidR="00AF2D68" w:rsidRPr="00704FF0">
        <w:rPr>
          <w:szCs w:val="22"/>
          <w:lang w:val="sr-Latn-RS"/>
        </w:rPr>
        <w:t xml:space="preserve">prevesti </w:t>
      </w:r>
      <w:r w:rsidRPr="00704FF0">
        <w:rPr>
          <w:szCs w:val="22"/>
          <w:lang w:val="sr-Latn-RS"/>
        </w:rPr>
        <w:t>na l</w:t>
      </w:r>
      <w:r w:rsidR="007C1524" w:rsidRPr="00704FF0">
        <w:rPr>
          <w:szCs w:val="22"/>
          <w:lang w:val="sr-Latn-RS"/>
        </w:rPr>
        <w:t>ij</w:t>
      </w:r>
      <w:r w:rsidRPr="00704FF0">
        <w:rPr>
          <w:szCs w:val="22"/>
          <w:lang w:val="sr-Latn-RS"/>
        </w:rPr>
        <w:t>ečenje insulinom.</w:t>
      </w:r>
    </w:p>
    <w:p w14:paraId="3EFD2A18" w14:textId="77777777" w:rsidR="000C2772" w:rsidRPr="00704FF0" w:rsidRDefault="000C2772" w:rsidP="004A7F5A">
      <w:pPr>
        <w:rPr>
          <w:szCs w:val="22"/>
          <w:lang w:val="sr-Latn-RS"/>
        </w:rPr>
      </w:pPr>
    </w:p>
    <w:p w14:paraId="3EFD2A19" w14:textId="77777777" w:rsidR="000C2772" w:rsidRPr="00704FF0" w:rsidRDefault="000C2772" w:rsidP="004A7F5A">
      <w:pPr>
        <w:numPr>
          <w:ilvl w:val="0"/>
          <w:numId w:val="8"/>
        </w:numPr>
        <w:tabs>
          <w:tab w:val="clear" w:pos="284"/>
          <w:tab w:val="left" w:pos="360"/>
        </w:tabs>
        <w:rPr>
          <w:szCs w:val="22"/>
          <w:lang w:val="sr-Latn-RS"/>
        </w:rPr>
      </w:pPr>
      <w:r w:rsidRPr="00704FF0">
        <w:rPr>
          <w:b/>
          <w:bCs/>
          <w:szCs w:val="22"/>
          <w:lang w:val="sr-Latn-RS"/>
        </w:rPr>
        <w:t>Preparati koji sadrže kantarion (</w:t>
      </w:r>
      <w:r w:rsidRPr="00704FF0">
        <w:rPr>
          <w:b/>
          <w:bCs/>
          <w:i/>
          <w:szCs w:val="22"/>
          <w:lang w:val="sr-Latn-RS"/>
        </w:rPr>
        <w:t>Hypericum perforatum</w:t>
      </w:r>
      <w:r w:rsidRPr="00704FF0">
        <w:rPr>
          <w:b/>
          <w:bCs/>
          <w:szCs w:val="22"/>
          <w:lang w:val="sr-Latn-RS"/>
        </w:rPr>
        <w:t>)</w:t>
      </w:r>
    </w:p>
    <w:p w14:paraId="3EFD2A1A" w14:textId="5459B19A" w:rsidR="000C2772" w:rsidRPr="00704FF0" w:rsidRDefault="000C2772" w:rsidP="004A7F5A">
      <w:pPr>
        <w:tabs>
          <w:tab w:val="clear" w:pos="284"/>
          <w:tab w:val="left" w:pos="360"/>
        </w:tabs>
        <w:ind w:left="360"/>
        <w:rPr>
          <w:szCs w:val="22"/>
          <w:lang w:val="sr-Latn-RS"/>
        </w:rPr>
      </w:pPr>
      <w:r w:rsidRPr="00704FF0">
        <w:rPr>
          <w:szCs w:val="22"/>
          <w:lang w:val="sr-Latn-RS"/>
        </w:rPr>
        <w:t>Prim</w:t>
      </w:r>
      <w:r w:rsidR="007C1524" w:rsidRPr="00704FF0">
        <w:rPr>
          <w:szCs w:val="22"/>
          <w:lang w:val="sr-Latn-RS"/>
        </w:rPr>
        <w:t>j</w:t>
      </w:r>
      <w:r w:rsidRPr="00704FF0">
        <w:rPr>
          <w:szCs w:val="22"/>
          <w:lang w:val="sr-Latn-RS"/>
        </w:rPr>
        <w:t xml:space="preserve">ena preparata koji sadrže kantarion </w:t>
      </w:r>
      <w:r w:rsidR="00A430E2" w:rsidRPr="00704FF0">
        <w:rPr>
          <w:szCs w:val="22"/>
          <w:lang w:val="sr-Latn-RS"/>
        </w:rPr>
        <w:t xml:space="preserve">smanjuje </w:t>
      </w:r>
      <w:r w:rsidRPr="00704FF0">
        <w:rPr>
          <w:szCs w:val="22"/>
          <w:lang w:val="sr-Latn-RS"/>
        </w:rPr>
        <w:t xml:space="preserve">izloženost gliklazidu. Neophodno je naglasiti značaj praćenja </w:t>
      </w:r>
      <w:r w:rsidR="00A430E2" w:rsidRPr="00704FF0">
        <w:rPr>
          <w:szCs w:val="22"/>
          <w:lang w:val="sr-Latn-RS"/>
        </w:rPr>
        <w:t xml:space="preserve">koncentracije </w:t>
      </w:r>
      <w:r w:rsidRPr="00704FF0">
        <w:rPr>
          <w:szCs w:val="22"/>
          <w:lang w:val="sr-Latn-RS"/>
        </w:rPr>
        <w:t xml:space="preserve">glukoze u krvi. </w:t>
      </w:r>
    </w:p>
    <w:p w14:paraId="3EFD2A1B" w14:textId="77777777" w:rsidR="000C2772" w:rsidRPr="00704FF0" w:rsidRDefault="000C2772" w:rsidP="004A7F5A">
      <w:pPr>
        <w:ind w:left="284"/>
        <w:rPr>
          <w:szCs w:val="22"/>
          <w:lang w:val="sr-Latn-RS"/>
        </w:rPr>
      </w:pPr>
    </w:p>
    <w:p w14:paraId="3EFD2A1C" w14:textId="77777777" w:rsidR="000C2772" w:rsidRPr="00704FF0" w:rsidRDefault="000C2772" w:rsidP="004A7F5A">
      <w:pPr>
        <w:tabs>
          <w:tab w:val="clear" w:pos="284"/>
          <w:tab w:val="left" w:pos="450"/>
        </w:tabs>
        <w:ind w:left="284" w:hanging="284"/>
        <w:rPr>
          <w:szCs w:val="22"/>
          <w:u w:val="single"/>
          <w:lang w:val="sr-Latn-RS"/>
        </w:rPr>
      </w:pPr>
      <w:r w:rsidRPr="00704FF0">
        <w:rPr>
          <w:szCs w:val="22"/>
          <w:u w:val="single"/>
          <w:lang w:val="sr-Latn-RS"/>
        </w:rPr>
        <w:t>Proizvodi koji dovode do disglikemije</w:t>
      </w:r>
    </w:p>
    <w:p w14:paraId="6EB08B4B" w14:textId="77777777" w:rsidR="00A430E2" w:rsidRPr="00704FF0" w:rsidRDefault="00A430E2" w:rsidP="004A7F5A">
      <w:pPr>
        <w:tabs>
          <w:tab w:val="clear" w:pos="284"/>
          <w:tab w:val="left" w:pos="450"/>
        </w:tabs>
        <w:ind w:left="284" w:firstLine="76"/>
        <w:rPr>
          <w:szCs w:val="22"/>
          <w:u w:val="single"/>
          <w:lang w:val="sr-Latn-RS"/>
        </w:rPr>
      </w:pPr>
    </w:p>
    <w:p w14:paraId="3EFD2A1D" w14:textId="77777777" w:rsidR="000C2772" w:rsidRPr="00704FF0" w:rsidRDefault="000C2772" w:rsidP="004A7F5A">
      <w:pPr>
        <w:tabs>
          <w:tab w:val="clear" w:pos="284"/>
          <w:tab w:val="left" w:pos="360"/>
        </w:tabs>
        <w:ind w:left="284" w:hanging="284"/>
        <w:rPr>
          <w:i/>
          <w:szCs w:val="22"/>
          <w:lang w:val="sr-Latn-RS"/>
        </w:rPr>
      </w:pPr>
      <w:r w:rsidRPr="00704FF0">
        <w:rPr>
          <w:i/>
          <w:szCs w:val="22"/>
          <w:lang w:val="sr-Latn-RS"/>
        </w:rPr>
        <w:t>Kombinacije kod kojih je neophodan oprez</w:t>
      </w:r>
    </w:p>
    <w:p w14:paraId="3EFD2A1E" w14:textId="77777777" w:rsidR="000C2772" w:rsidRPr="00704FF0" w:rsidRDefault="000C2772" w:rsidP="004A7F5A">
      <w:pPr>
        <w:rPr>
          <w:szCs w:val="22"/>
          <w:lang w:val="sr-Latn-RS"/>
        </w:rPr>
      </w:pPr>
    </w:p>
    <w:p w14:paraId="3EFD2A1F" w14:textId="0FFF419B" w:rsidR="000C2772" w:rsidRPr="00704FF0" w:rsidRDefault="000C2772" w:rsidP="004A7F5A">
      <w:pPr>
        <w:numPr>
          <w:ilvl w:val="0"/>
          <w:numId w:val="8"/>
        </w:numPr>
        <w:tabs>
          <w:tab w:val="clear" w:pos="284"/>
          <w:tab w:val="left" w:pos="360"/>
        </w:tabs>
        <w:rPr>
          <w:b/>
          <w:szCs w:val="22"/>
          <w:lang w:val="sr-Latn-RS"/>
        </w:rPr>
      </w:pPr>
      <w:r w:rsidRPr="00704FF0">
        <w:rPr>
          <w:b/>
          <w:szCs w:val="22"/>
          <w:lang w:val="sr-Latn-RS"/>
        </w:rPr>
        <w:t xml:space="preserve">Fluorohinoloni: </w:t>
      </w:r>
      <w:r w:rsidRPr="00704FF0">
        <w:rPr>
          <w:szCs w:val="22"/>
          <w:lang w:val="sr-Latn-RS"/>
        </w:rPr>
        <w:t>u slučaju istovremene prim</w:t>
      </w:r>
      <w:r w:rsidR="007C1524" w:rsidRPr="00704FF0">
        <w:rPr>
          <w:szCs w:val="22"/>
          <w:lang w:val="sr-Latn-RS"/>
        </w:rPr>
        <w:t>j</w:t>
      </w:r>
      <w:r w:rsidRPr="00704FF0">
        <w:rPr>
          <w:szCs w:val="22"/>
          <w:lang w:val="sr-Latn-RS"/>
        </w:rPr>
        <w:t xml:space="preserve">ene gliklazida i fluorohinolona neophodno je upozoriti pacijenta na rizik od disglikemije i naglasiti značaj praćenja </w:t>
      </w:r>
      <w:r w:rsidR="00A430E2" w:rsidRPr="00704FF0">
        <w:rPr>
          <w:szCs w:val="22"/>
          <w:lang w:val="sr-Latn-RS"/>
        </w:rPr>
        <w:t xml:space="preserve">koncentracije </w:t>
      </w:r>
      <w:r w:rsidRPr="00704FF0">
        <w:rPr>
          <w:szCs w:val="22"/>
          <w:lang w:val="sr-Latn-RS"/>
        </w:rPr>
        <w:t>glukoze u krvi.</w:t>
      </w:r>
    </w:p>
    <w:p w14:paraId="5C956B9C" w14:textId="77777777" w:rsidR="00D95AAA" w:rsidRPr="00704FF0" w:rsidRDefault="00D95AAA" w:rsidP="004A7F5A">
      <w:pPr>
        <w:pStyle w:val="Header"/>
        <w:tabs>
          <w:tab w:val="clear" w:pos="4536"/>
          <w:tab w:val="clear" w:pos="9072"/>
          <w:tab w:val="left" w:pos="284"/>
        </w:tabs>
        <w:jc w:val="left"/>
        <w:rPr>
          <w:i/>
          <w:szCs w:val="22"/>
          <w:lang w:val="sr-Latn-RS"/>
        </w:rPr>
      </w:pPr>
    </w:p>
    <w:p w14:paraId="3EFD2A20" w14:textId="6E91707D" w:rsidR="000C2772" w:rsidRPr="00704FF0" w:rsidRDefault="00D95AAA" w:rsidP="004A7F5A">
      <w:pPr>
        <w:pStyle w:val="Header"/>
        <w:tabs>
          <w:tab w:val="clear" w:pos="4536"/>
          <w:tab w:val="clear" w:pos="9072"/>
          <w:tab w:val="left" w:pos="284"/>
        </w:tabs>
        <w:jc w:val="left"/>
        <w:rPr>
          <w:i/>
          <w:szCs w:val="22"/>
          <w:lang w:val="sr-Latn-RS"/>
        </w:rPr>
      </w:pPr>
      <w:r w:rsidRPr="00704FF0">
        <w:rPr>
          <w:i/>
          <w:szCs w:val="22"/>
          <w:lang w:val="sr-Latn-RS"/>
        </w:rPr>
        <w:t>Kombinacije koje treba razmotriti</w:t>
      </w:r>
    </w:p>
    <w:p w14:paraId="53E5FB6E" w14:textId="77777777" w:rsidR="00D95AAA" w:rsidRPr="00704FF0" w:rsidRDefault="00D95AAA" w:rsidP="004A7F5A">
      <w:pPr>
        <w:pStyle w:val="Header"/>
        <w:tabs>
          <w:tab w:val="clear" w:pos="4536"/>
          <w:tab w:val="clear" w:pos="9072"/>
          <w:tab w:val="left" w:pos="284"/>
        </w:tabs>
        <w:jc w:val="left"/>
        <w:rPr>
          <w:szCs w:val="22"/>
          <w:lang w:val="sr-Latn-RS"/>
        </w:rPr>
      </w:pPr>
    </w:p>
    <w:p w14:paraId="3EFD2A23" w14:textId="77777777" w:rsidR="000C2772" w:rsidRPr="00704FF0" w:rsidRDefault="000C2772" w:rsidP="004A7F5A">
      <w:pPr>
        <w:numPr>
          <w:ilvl w:val="0"/>
          <w:numId w:val="7"/>
        </w:numPr>
        <w:tabs>
          <w:tab w:val="clear" w:pos="284"/>
          <w:tab w:val="clear" w:pos="720"/>
          <w:tab w:val="num" w:pos="360"/>
          <w:tab w:val="left" w:pos="450"/>
        </w:tabs>
        <w:ind w:left="360"/>
        <w:rPr>
          <w:szCs w:val="22"/>
          <w:lang w:val="sr-Latn-RS"/>
        </w:rPr>
      </w:pPr>
      <w:r w:rsidRPr="00704FF0">
        <w:rPr>
          <w:b/>
          <w:bCs/>
          <w:szCs w:val="22"/>
          <w:lang w:val="sr-Latn-RS"/>
        </w:rPr>
        <w:t xml:space="preserve">Antikoagulantna terapija </w:t>
      </w:r>
      <w:r w:rsidRPr="00704FF0">
        <w:rPr>
          <w:szCs w:val="22"/>
          <w:lang w:val="sr-Latn-RS"/>
        </w:rPr>
        <w:t xml:space="preserve">(npr. varfarin): </w:t>
      </w:r>
    </w:p>
    <w:p w14:paraId="3EFD2A24" w14:textId="515689F4" w:rsidR="000C2772" w:rsidRPr="00704FF0" w:rsidRDefault="000C2772" w:rsidP="004A7F5A">
      <w:pPr>
        <w:pStyle w:val="Header"/>
        <w:tabs>
          <w:tab w:val="clear" w:pos="4536"/>
          <w:tab w:val="clear" w:pos="9072"/>
          <w:tab w:val="left" w:pos="284"/>
        </w:tabs>
        <w:ind w:left="360"/>
        <w:rPr>
          <w:b/>
          <w:szCs w:val="22"/>
          <w:lang w:val="sr-Latn-RS"/>
        </w:rPr>
      </w:pPr>
      <w:r w:rsidRPr="00704FF0">
        <w:rPr>
          <w:szCs w:val="22"/>
          <w:lang w:val="sr-Latn-RS"/>
        </w:rPr>
        <w:t>Derivati</w:t>
      </w:r>
      <w:r w:rsidRPr="00704FF0">
        <w:rPr>
          <w:i/>
          <w:szCs w:val="22"/>
          <w:lang w:val="sr-Latn-RS"/>
        </w:rPr>
        <w:t xml:space="preserve"> </w:t>
      </w:r>
      <w:r w:rsidRPr="00704FF0">
        <w:rPr>
          <w:szCs w:val="22"/>
          <w:lang w:val="sr-Latn-RS"/>
        </w:rPr>
        <w:t>sulfoniluree mogu da dovedu do pojačanog dejstva antikoagulantnih l</w:t>
      </w:r>
      <w:r w:rsidR="007C1524" w:rsidRPr="00704FF0">
        <w:rPr>
          <w:szCs w:val="22"/>
          <w:lang w:val="sr-Latn-RS"/>
        </w:rPr>
        <w:t>j</w:t>
      </w:r>
      <w:r w:rsidRPr="00704FF0">
        <w:rPr>
          <w:szCs w:val="22"/>
          <w:lang w:val="sr-Latn-RS"/>
        </w:rPr>
        <w:t>ekova, tokom istovremene prim</w:t>
      </w:r>
      <w:r w:rsidR="007C1524" w:rsidRPr="00704FF0">
        <w:rPr>
          <w:szCs w:val="22"/>
          <w:lang w:val="sr-Latn-RS"/>
        </w:rPr>
        <w:t>j</w:t>
      </w:r>
      <w:r w:rsidRPr="00704FF0">
        <w:rPr>
          <w:szCs w:val="22"/>
          <w:lang w:val="sr-Latn-RS"/>
        </w:rPr>
        <w:t>ene.</w:t>
      </w:r>
    </w:p>
    <w:p w14:paraId="3EFD2A25" w14:textId="77777777" w:rsidR="000C2772" w:rsidRPr="00704FF0" w:rsidRDefault="000C2772" w:rsidP="004A7F5A">
      <w:pPr>
        <w:pStyle w:val="Header"/>
        <w:widowControl w:val="0"/>
        <w:tabs>
          <w:tab w:val="clear" w:pos="4536"/>
          <w:tab w:val="clear" w:pos="9072"/>
          <w:tab w:val="left" w:pos="284"/>
        </w:tabs>
        <w:ind w:left="360"/>
        <w:rPr>
          <w:szCs w:val="22"/>
          <w:lang w:val="sr-Latn-RS"/>
        </w:rPr>
      </w:pPr>
      <w:r w:rsidRPr="00704FF0">
        <w:rPr>
          <w:szCs w:val="22"/>
          <w:lang w:val="sr-Latn-RS"/>
        </w:rPr>
        <w:t>Može biti neophodno prilagođavanje doze antikoagulansa.</w:t>
      </w:r>
    </w:p>
    <w:p w14:paraId="3EFD2A26" w14:textId="77777777" w:rsidR="000C2772" w:rsidRPr="00704FF0" w:rsidRDefault="000C2772" w:rsidP="004A7F5A">
      <w:pPr>
        <w:rPr>
          <w:szCs w:val="22"/>
          <w:lang w:val="sr-Latn-RS"/>
        </w:rPr>
      </w:pPr>
    </w:p>
    <w:p w14:paraId="3EFD2A27" w14:textId="77777777" w:rsidR="000C2772" w:rsidRPr="00704FF0" w:rsidRDefault="000C2772" w:rsidP="004A7F5A">
      <w:pPr>
        <w:rPr>
          <w:b/>
          <w:bCs/>
          <w:szCs w:val="22"/>
          <w:lang w:val="sr-Latn-RS"/>
        </w:rPr>
      </w:pPr>
      <w:r w:rsidRPr="00704FF0">
        <w:rPr>
          <w:b/>
          <w:bCs/>
          <w:szCs w:val="22"/>
          <w:lang w:val="sr-Latn-RS"/>
        </w:rPr>
        <w:t>4.6. Plodnost, trudnoća i dojenje</w:t>
      </w:r>
    </w:p>
    <w:p w14:paraId="14AD50EC" w14:textId="77777777" w:rsidR="00D95AAA" w:rsidRPr="00704FF0" w:rsidRDefault="00D95AAA" w:rsidP="00D95AAA">
      <w:pPr>
        <w:rPr>
          <w:szCs w:val="22"/>
          <w:lang w:val="sr-Latn-RS"/>
        </w:rPr>
      </w:pPr>
    </w:p>
    <w:p w14:paraId="3DCBCC70" w14:textId="07D1BF87" w:rsidR="00D95AAA" w:rsidRPr="00704FF0" w:rsidRDefault="00D95AAA" w:rsidP="00D95AAA">
      <w:pPr>
        <w:rPr>
          <w:i/>
          <w:szCs w:val="22"/>
          <w:lang w:val="sr-Latn-RS"/>
        </w:rPr>
      </w:pPr>
      <w:r w:rsidRPr="00704FF0">
        <w:rPr>
          <w:i/>
          <w:szCs w:val="22"/>
          <w:lang w:val="sr-Latn-RS"/>
        </w:rPr>
        <w:t>Trudnoća</w:t>
      </w:r>
    </w:p>
    <w:p w14:paraId="4E6EC558" w14:textId="77777777" w:rsidR="00D95AAA" w:rsidRPr="00704FF0" w:rsidRDefault="00D95AAA" w:rsidP="00D95AAA">
      <w:pPr>
        <w:rPr>
          <w:szCs w:val="22"/>
          <w:lang w:val="sr-Latn-RS"/>
        </w:rPr>
      </w:pPr>
      <w:r w:rsidRPr="00704FF0">
        <w:rPr>
          <w:szCs w:val="22"/>
          <w:lang w:val="sr-Latn-RS"/>
        </w:rPr>
        <w:t>Nema podataka ili su podaci o primjeni gliklazida kod trudnica ograničeni, iako postoji neki podaci o drugim derivatima sulfoniluree.</w:t>
      </w:r>
    </w:p>
    <w:p w14:paraId="0A95A6F3" w14:textId="77777777" w:rsidR="00D95AAA" w:rsidRPr="00704FF0" w:rsidRDefault="00D95AAA" w:rsidP="00D95AAA">
      <w:pPr>
        <w:rPr>
          <w:szCs w:val="22"/>
          <w:lang w:val="sr-Latn-RS"/>
        </w:rPr>
      </w:pPr>
    </w:p>
    <w:p w14:paraId="2A3273EC" w14:textId="77777777" w:rsidR="00D95AAA" w:rsidRPr="00704FF0" w:rsidRDefault="00D95AAA" w:rsidP="00D95AAA">
      <w:pPr>
        <w:rPr>
          <w:szCs w:val="22"/>
          <w:lang w:val="sr-Latn-RS"/>
        </w:rPr>
      </w:pPr>
      <w:r w:rsidRPr="00704FF0">
        <w:rPr>
          <w:szCs w:val="22"/>
          <w:lang w:val="sr-Latn-RS"/>
        </w:rPr>
        <w:t>U ispitivanjima sprovedenim na životinjama gliklazid nije pokazao teratogeni efekat (vidjeti dio 5.3)</w:t>
      </w:r>
    </w:p>
    <w:p w14:paraId="6C95EEB0" w14:textId="77777777" w:rsidR="00D95AAA" w:rsidRPr="00704FF0" w:rsidRDefault="00D95AAA" w:rsidP="00D95AAA">
      <w:pPr>
        <w:rPr>
          <w:szCs w:val="22"/>
          <w:lang w:val="sr-Latn-RS"/>
        </w:rPr>
      </w:pPr>
    </w:p>
    <w:p w14:paraId="4EF2BA7E" w14:textId="77777777" w:rsidR="00D95AAA" w:rsidRPr="00704FF0" w:rsidRDefault="00D95AAA" w:rsidP="00D95AAA">
      <w:pPr>
        <w:rPr>
          <w:szCs w:val="22"/>
          <w:lang w:val="sr-Latn-RS"/>
        </w:rPr>
      </w:pPr>
      <w:r w:rsidRPr="00704FF0">
        <w:rPr>
          <w:szCs w:val="22"/>
          <w:lang w:val="sr-Latn-RS"/>
        </w:rPr>
        <w:t>Neophodno je uspostaviti adekvatnu kontrolu glikemije prije začeća, kako bi se smanjio rizik od nastanka kongenitalnih anomalija koje su u vezi sa nekontrolisanim dijabetesom.</w:t>
      </w:r>
    </w:p>
    <w:p w14:paraId="50E9449F" w14:textId="77777777" w:rsidR="00D95AAA" w:rsidRPr="00704FF0" w:rsidRDefault="00D95AAA" w:rsidP="00D95AAA">
      <w:pPr>
        <w:rPr>
          <w:szCs w:val="22"/>
          <w:lang w:val="sr-Latn-RS"/>
        </w:rPr>
      </w:pPr>
    </w:p>
    <w:p w14:paraId="1FFA613A" w14:textId="77777777" w:rsidR="00D95AAA" w:rsidRPr="00704FF0" w:rsidRDefault="00D95AAA" w:rsidP="00D95AAA">
      <w:pPr>
        <w:rPr>
          <w:szCs w:val="22"/>
          <w:lang w:val="sr-Latn-RS"/>
        </w:rPr>
      </w:pPr>
      <w:r w:rsidRPr="00704FF0">
        <w:rPr>
          <w:szCs w:val="22"/>
          <w:lang w:val="sr-Latn-RS"/>
        </w:rPr>
        <w:t>Oralni hipoglikemici nisu pogodni; insulin je lijek prvog izbora u terapiji dijabetesa tokom trudnoće. Preporučuje se da se oralna hipoglikemijska terapija promijeni u insulinsku terapiju prije pokušaja začeća ili čim se trudnoća ustanovi.</w:t>
      </w:r>
    </w:p>
    <w:p w14:paraId="6370C343" w14:textId="77777777" w:rsidR="00D95AAA" w:rsidRPr="00704FF0" w:rsidRDefault="00D95AAA" w:rsidP="00D95AAA">
      <w:pPr>
        <w:rPr>
          <w:szCs w:val="22"/>
          <w:lang w:val="sr-Latn-RS"/>
        </w:rPr>
      </w:pPr>
    </w:p>
    <w:p w14:paraId="77FFCF55" w14:textId="77777777" w:rsidR="00D95AAA" w:rsidRPr="00704FF0" w:rsidRDefault="00D95AAA" w:rsidP="00D95AAA">
      <w:pPr>
        <w:rPr>
          <w:i/>
          <w:szCs w:val="22"/>
          <w:lang w:val="sr-Latn-RS"/>
        </w:rPr>
      </w:pPr>
      <w:r w:rsidRPr="00704FF0">
        <w:rPr>
          <w:i/>
          <w:szCs w:val="22"/>
          <w:lang w:val="sr-Latn-RS"/>
        </w:rPr>
        <w:t>Dojenje</w:t>
      </w:r>
    </w:p>
    <w:p w14:paraId="2BC1E298" w14:textId="77777777" w:rsidR="00D95AAA" w:rsidRPr="00704FF0" w:rsidRDefault="00D95AAA" w:rsidP="00D95AAA">
      <w:pPr>
        <w:rPr>
          <w:szCs w:val="22"/>
          <w:lang w:val="sr-Latn-RS"/>
        </w:rPr>
      </w:pPr>
      <w:r w:rsidRPr="00704FF0">
        <w:rPr>
          <w:szCs w:val="22"/>
          <w:lang w:val="sr-Latn-RS"/>
        </w:rPr>
        <w:t xml:space="preserve">Nije poznato da li se gliklazid ili njegovi metaboliti izlučuju u majčino mlijeko. Lijek je kontraindikovan kod dojilja zbog mogućeg rizika od neonatalne hipoglikemije. </w:t>
      </w:r>
    </w:p>
    <w:p w14:paraId="3EFD2A28" w14:textId="77777777" w:rsidR="000C2772" w:rsidRPr="00704FF0" w:rsidRDefault="000C2772" w:rsidP="004A7F5A">
      <w:pPr>
        <w:rPr>
          <w:szCs w:val="22"/>
          <w:lang w:val="sr-Latn-RS"/>
        </w:rPr>
      </w:pPr>
    </w:p>
    <w:p w14:paraId="3EFD2A3A" w14:textId="512D5CFE" w:rsidR="000C2772" w:rsidRPr="00704FF0" w:rsidRDefault="000C2772" w:rsidP="004A7F5A">
      <w:pPr>
        <w:rPr>
          <w:b/>
          <w:bCs/>
          <w:szCs w:val="22"/>
          <w:lang w:val="sr-Latn-RS"/>
        </w:rPr>
      </w:pPr>
      <w:r w:rsidRPr="00704FF0">
        <w:rPr>
          <w:b/>
          <w:bCs/>
          <w:szCs w:val="22"/>
          <w:lang w:val="sr-Latn-RS"/>
        </w:rPr>
        <w:t>4.7. Uticaj l</w:t>
      </w:r>
      <w:r w:rsidR="007C1524" w:rsidRPr="00704FF0">
        <w:rPr>
          <w:b/>
          <w:bCs/>
          <w:szCs w:val="22"/>
          <w:lang w:val="sr-Latn-RS"/>
        </w:rPr>
        <w:t>ij</w:t>
      </w:r>
      <w:r w:rsidRPr="00704FF0">
        <w:rPr>
          <w:b/>
          <w:bCs/>
          <w:szCs w:val="22"/>
          <w:lang w:val="sr-Latn-RS"/>
        </w:rPr>
        <w:t>eka na sposobnost upravljanja vozilima i rukovanja mašinama</w:t>
      </w:r>
    </w:p>
    <w:p w14:paraId="3EFD2A3B" w14:textId="77777777" w:rsidR="000C2772" w:rsidRPr="00704FF0" w:rsidRDefault="000C2772" w:rsidP="004A7F5A">
      <w:pPr>
        <w:tabs>
          <w:tab w:val="clear" w:pos="284"/>
          <w:tab w:val="left" w:pos="2404"/>
        </w:tabs>
        <w:rPr>
          <w:szCs w:val="22"/>
          <w:lang w:val="sr-Latn-RS"/>
        </w:rPr>
      </w:pPr>
    </w:p>
    <w:p w14:paraId="3EFD2A3C" w14:textId="6AB292BD" w:rsidR="000C2772" w:rsidRPr="00704FF0" w:rsidRDefault="000C2772" w:rsidP="004A7F5A">
      <w:pPr>
        <w:rPr>
          <w:szCs w:val="22"/>
          <w:lang w:val="sr-Latn-RS"/>
        </w:rPr>
      </w:pPr>
      <w:r w:rsidRPr="00704FF0">
        <w:rPr>
          <w:szCs w:val="22"/>
          <w:lang w:val="sr-Latn-RS"/>
        </w:rPr>
        <w:t>L</w:t>
      </w:r>
      <w:r w:rsidR="007C1524" w:rsidRPr="00704FF0">
        <w:rPr>
          <w:szCs w:val="22"/>
          <w:lang w:val="sr-Latn-RS"/>
        </w:rPr>
        <w:t>ij</w:t>
      </w:r>
      <w:r w:rsidRPr="00704FF0">
        <w:rPr>
          <w:szCs w:val="22"/>
          <w:lang w:val="sr-Latn-RS"/>
        </w:rPr>
        <w:t xml:space="preserve">ek Glioral nema ili ima zanemarljiv uticaj na sposobnost upravljanja vozilima i rukovanja mašinama. Ipak, trebalo bi upozoriti pacijente </w:t>
      </w:r>
      <w:r w:rsidR="00FA2BB8" w:rsidRPr="00704FF0">
        <w:rPr>
          <w:szCs w:val="22"/>
          <w:lang w:val="sr-Latn-RS"/>
        </w:rPr>
        <w:t>na simptome hipoglikemije i da treba da budu oprezni ukoliko upravljaju vozilima ili rukuju mašinama</w:t>
      </w:r>
      <w:r w:rsidRPr="00704FF0">
        <w:rPr>
          <w:szCs w:val="22"/>
          <w:lang w:val="sr-Latn-RS"/>
        </w:rPr>
        <w:t>, naročito na početku terapije.</w:t>
      </w:r>
    </w:p>
    <w:p w14:paraId="3EFD2A3D" w14:textId="1DFDBCDA" w:rsidR="000C2772" w:rsidRPr="00704FF0" w:rsidRDefault="000C2772" w:rsidP="004A7F5A">
      <w:pPr>
        <w:rPr>
          <w:szCs w:val="22"/>
          <w:lang w:val="sr-Latn-RS"/>
        </w:rPr>
      </w:pPr>
    </w:p>
    <w:p w14:paraId="2A42BC81" w14:textId="1BD4D0C6" w:rsidR="007909E4" w:rsidRPr="00704FF0" w:rsidRDefault="007909E4" w:rsidP="004A7F5A">
      <w:pPr>
        <w:rPr>
          <w:szCs w:val="22"/>
          <w:lang w:val="sr-Latn-RS"/>
        </w:rPr>
      </w:pPr>
    </w:p>
    <w:p w14:paraId="4E59FE04" w14:textId="77777777" w:rsidR="007909E4" w:rsidRPr="00704FF0" w:rsidRDefault="007909E4" w:rsidP="004A7F5A">
      <w:pPr>
        <w:rPr>
          <w:szCs w:val="22"/>
          <w:lang w:val="sr-Latn-RS"/>
        </w:rPr>
      </w:pPr>
    </w:p>
    <w:p w14:paraId="3EFD2A3E" w14:textId="77777777" w:rsidR="000C2772" w:rsidRPr="00704FF0" w:rsidRDefault="000C2772" w:rsidP="004A7F5A">
      <w:pPr>
        <w:rPr>
          <w:b/>
          <w:bCs/>
          <w:szCs w:val="22"/>
          <w:lang w:val="sr-Latn-RS"/>
        </w:rPr>
      </w:pPr>
      <w:r w:rsidRPr="00704FF0">
        <w:rPr>
          <w:b/>
          <w:bCs/>
          <w:szCs w:val="22"/>
          <w:lang w:val="sr-Latn-RS"/>
        </w:rPr>
        <w:lastRenderedPageBreak/>
        <w:t>4.8. Neželjena dejstva</w:t>
      </w:r>
    </w:p>
    <w:p w14:paraId="3EFD2A3F" w14:textId="77777777" w:rsidR="000C2772" w:rsidRPr="00704FF0" w:rsidRDefault="000C2772" w:rsidP="004A7F5A">
      <w:pPr>
        <w:rPr>
          <w:szCs w:val="22"/>
          <w:u w:val="single"/>
          <w:lang w:val="sr-Latn-RS"/>
        </w:rPr>
      </w:pPr>
    </w:p>
    <w:p w14:paraId="3EFD2A40" w14:textId="2610EEA1" w:rsidR="000C2772" w:rsidRPr="00704FF0" w:rsidRDefault="000C2772" w:rsidP="004A7F5A">
      <w:pPr>
        <w:pStyle w:val="Header"/>
        <w:tabs>
          <w:tab w:val="clear" w:pos="4536"/>
          <w:tab w:val="clear" w:pos="9072"/>
          <w:tab w:val="left" w:pos="284"/>
        </w:tabs>
        <w:rPr>
          <w:szCs w:val="22"/>
          <w:lang w:val="sr-Latn-RS"/>
        </w:rPr>
      </w:pPr>
      <w:r w:rsidRPr="00704FF0">
        <w:rPr>
          <w:szCs w:val="22"/>
          <w:lang w:val="sr-Latn-RS"/>
        </w:rPr>
        <w:t>Na osnovu iskustva sa gliklazidom zab</w:t>
      </w:r>
      <w:r w:rsidR="007C1524" w:rsidRPr="00704FF0">
        <w:rPr>
          <w:szCs w:val="22"/>
          <w:lang w:val="sr-Latn-RS"/>
        </w:rPr>
        <w:t>i</w:t>
      </w:r>
      <w:r w:rsidRPr="00704FF0">
        <w:rPr>
          <w:szCs w:val="22"/>
          <w:lang w:val="sr-Latn-RS"/>
        </w:rPr>
        <w:t>l</w:t>
      </w:r>
      <w:r w:rsidR="007C1524" w:rsidRPr="00704FF0">
        <w:rPr>
          <w:szCs w:val="22"/>
          <w:lang w:val="sr-Latn-RS"/>
        </w:rPr>
        <w:t>j</w:t>
      </w:r>
      <w:r w:rsidRPr="00704FF0">
        <w:rPr>
          <w:szCs w:val="22"/>
          <w:lang w:val="sr-Latn-RS"/>
        </w:rPr>
        <w:t>ežena su neželjena dejstva</w:t>
      </w:r>
      <w:r w:rsidR="00FA2BB8" w:rsidRPr="00704FF0">
        <w:rPr>
          <w:szCs w:val="22"/>
          <w:lang w:val="sr-Latn-RS"/>
        </w:rPr>
        <w:t xml:space="preserve"> navedena u nastavku</w:t>
      </w:r>
      <w:r w:rsidRPr="00704FF0">
        <w:rPr>
          <w:szCs w:val="22"/>
          <w:lang w:val="sr-Latn-RS"/>
        </w:rPr>
        <w:t>.</w:t>
      </w:r>
    </w:p>
    <w:p w14:paraId="3EFD2A41" w14:textId="77777777" w:rsidR="000C2772" w:rsidRPr="00704FF0" w:rsidRDefault="000C2772" w:rsidP="004A7F5A">
      <w:pPr>
        <w:rPr>
          <w:szCs w:val="22"/>
          <w:lang w:val="sr-Latn-RS"/>
        </w:rPr>
      </w:pPr>
    </w:p>
    <w:p w14:paraId="3EFD2A42" w14:textId="77777777" w:rsidR="000C2772" w:rsidRPr="00704FF0" w:rsidRDefault="000C2772" w:rsidP="004A7F5A">
      <w:pPr>
        <w:rPr>
          <w:szCs w:val="22"/>
          <w:lang w:val="sr-Latn-RS"/>
        </w:rPr>
      </w:pPr>
      <w:r w:rsidRPr="00704FF0">
        <w:rPr>
          <w:szCs w:val="22"/>
          <w:lang w:val="sr-Latn-RS"/>
        </w:rPr>
        <w:t>Najčešće neželjeno dejstvo je hipoglikemija.</w:t>
      </w:r>
    </w:p>
    <w:p w14:paraId="3EFD2A43" w14:textId="77777777" w:rsidR="000C2772" w:rsidRPr="00704FF0" w:rsidRDefault="000C2772" w:rsidP="004A7F5A">
      <w:pPr>
        <w:autoSpaceDE w:val="0"/>
        <w:autoSpaceDN w:val="0"/>
        <w:adjustRightInd w:val="0"/>
        <w:rPr>
          <w:szCs w:val="22"/>
          <w:u w:val="single"/>
          <w:lang w:val="sr-Latn-RS"/>
        </w:rPr>
      </w:pPr>
    </w:p>
    <w:p w14:paraId="3EFD2A44" w14:textId="73B699CB" w:rsidR="000C2772" w:rsidRPr="00704FF0" w:rsidRDefault="00FA2BB8" w:rsidP="004A7F5A">
      <w:pPr>
        <w:rPr>
          <w:szCs w:val="22"/>
          <w:lang w:val="sr-Latn-RS"/>
        </w:rPr>
      </w:pPr>
      <w:r w:rsidRPr="00704FF0">
        <w:rPr>
          <w:szCs w:val="22"/>
          <w:lang w:val="sr-Latn-RS"/>
        </w:rPr>
        <w:t>G</w:t>
      </w:r>
      <w:r w:rsidR="000C2772" w:rsidRPr="00704FF0">
        <w:rPr>
          <w:szCs w:val="22"/>
          <w:lang w:val="sr-Latn-RS"/>
        </w:rPr>
        <w:t xml:space="preserve">liklazid, kao i drugi derivati sulfoniluree, može dovesti do hipoglikemije ako </w:t>
      </w:r>
      <w:r w:rsidRPr="00704FF0">
        <w:rPr>
          <w:szCs w:val="22"/>
          <w:lang w:val="sr-Latn-RS"/>
        </w:rPr>
        <w:t xml:space="preserve">pacijent neredovno uzima </w:t>
      </w:r>
      <w:r w:rsidR="000C2772" w:rsidRPr="00704FF0">
        <w:rPr>
          <w:szCs w:val="22"/>
          <w:lang w:val="sr-Latn-RS"/>
        </w:rPr>
        <w:t>obro</w:t>
      </w:r>
      <w:r w:rsidRPr="00704FF0">
        <w:rPr>
          <w:szCs w:val="22"/>
          <w:lang w:val="sr-Latn-RS"/>
        </w:rPr>
        <w:t>ke</w:t>
      </w:r>
      <w:r w:rsidR="000C2772" w:rsidRPr="00704FF0">
        <w:rPr>
          <w:szCs w:val="22"/>
          <w:lang w:val="sr-Latn-RS"/>
        </w:rPr>
        <w:t xml:space="preserve"> i </w:t>
      </w:r>
      <w:r w:rsidRPr="00704FF0">
        <w:rPr>
          <w:szCs w:val="22"/>
          <w:lang w:val="sr-Latn-RS"/>
        </w:rPr>
        <w:t>naročito ako ih izostavlja</w:t>
      </w:r>
      <w:r w:rsidR="000C2772" w:rsidRPr="00704FF0">
        <w:rPr>
          <w:szCs w:val="22"/>
          <w:lang w:val="sr-Latn-RS"/>
        </w:rPr>
        <w:t>. Mogući simptomi hipoglikemije su: glavobolja, intenzivna glad, mučnina, povraćanje, zamor, poremećaji spavanja, agitacija, agresija, slaba koncentracija, smanjena sv</w:t>
      </w:r>
      <w:r w:rsidR="007C1524" w:rsidRPr="00704FF0">
        <w:rPr>
          <w:szCs w:val="22"/>
          <w:lang w:val="sr-Latn-RS"/>
        </w:rPr>
        <w:t>ij</w:t>
      </w:r>
      <w:r w:rsidR="000C2772" w:rsidRPr="00704FF0">
        <w:rPr>
          <w:szCs w:val="22"/>
          <w:lang w:val="sr-Latn-RS"/>
        </w:rPr>
        <w:t>est i usporene reakcije, depresija, konfuzija, poremećaji vida i govora, afazija, tremor, pareza, senzorni poremećaji, vrtoglavica, os</w:t>
      </w:r>
      <w:r w:rsidR="007C1524" w:rsidRPr="00704FF0">
        <w:rPr>
          <w:szCs w:val="22"/>
          <w:lang w:val="sr-Latn-RS"/>
        </w:rPr>
        <w:t>j</w:t>
      </w:r>
      <w:r w:rsidR="000C2772" w:rsidRPr="00704FF0">
        <w:rPr>
          <w:szCs w:val="22"/>
          <w:lang w:val="sr-Latn-RS"/>
        </w:rPr>
        <w:t>ećaj nemoći, gubitak samokontrole, delirijum, konvulzije, plitko disanje, bradikardija, pospanost i gubitak sv</w:t>
      </w:r>
      <w:r w:rsidR="007C1524" w:rsidRPr="00704FF0">
        <w:rPr>
          <w:szCs w:val="22"/>
          <w:lang w:val="sr-Latn-RS"/>
        </w:rPr>
        <w:t>ij</w:t>
      </w:r>
      <w:r w:rsidR="000C2772" w:rsidRPr="00704FF0">
        <w:rPr>
          <w:szCs w:val="22"/>
          <w:lang w:val="sr-Latn-RS"/>
        </w:rPr>
        <w:t>esti, koji mogu da dovedu do kome i smrtnog ishoda.</w:t>
      </w:r>
    </w:p>
    <w:p w14:paraId="3EFD2A45" w14:textId="77777777" w:rsidR="000C2772" w:rsidRPr="00704FF0" w:rsidRDefault="000C2772" w:rsidP="004A7F5A">
      <w:pPr>
        <w:autoSpaceDE w:val="0"/>
        <w:autoSpaceDN w:val="0"/>
        <w:adjustRightInd w:val="0"/>
        <w:rPr>
          <w:szCs w:val="22"/>
          <w:u w:val="single"/>
          <w:lang w:val="sr-Latn-RS"/>
        </w:rPr>
      </w:pPr>
    </w:p>
    <w:p w14:paraId="3EFD2A46" w14:textId="3F36EAB2" w:rsidR="000C2772" w:rsidRPr="00704FF0" w:rsidRDefault="000C2772" w:rsidP="004A7F5A">
      <w:pPr>
        <w:rPr>
          <w:szCs w:val="22"/>
          <w:lang w:val="sr-Latn-RS"/>
        </w:rPr>
      </w:pPr>
      <w:r w:rsidRPr="00704FF0">
        <w:rPr>
          <w:szCs w:val="22"/>
          <w:lang w:val="sr-Latn-RS"/>
        </w:rPr>
        <w:t xml:space="preserve">Mogu se, takođe, </w:t>
      </w:r>
      <w:r w:rsidR="00FA2BB8" w:rsidRPr="00704FF0">
        <w:rPr>
          <w:szCs w:val="22"/>
          <w:lang w:val="sr-Latn-RS"/>
        </w:rPr>
        <w:t xml:space="preserve">uočiti </w:t>
      </w:r>
      <w:r w:rsidRPr="00704FF0">
        <w:rPr>
          <w:szCs w:val="22"/>
          <w:lang w:val="sr-Latn-RS"/>
        </w:rPr>
        <w:t>i znaci adrenergič</w:t>
      </w:r>
      <w:r w:rsidR="00AC38B2" w:rsidRPr="00704FF0">
        <w:rPr>
          <w:szCs w:val="22"/>
          <w:lang w:val="sr-Latn-RS"/>
        </w:rPr>
        <w:t>kog odgovora</w:t>
      </w:r>
      <w:r w:rsidRPr="00704FF0">
        <w:rPr>
          <w:szCs w:val="22"/>
          <w:lang w:val="sr-Latn-RS"/>
        </w:rPr>
        <w:t>: znojenje, l</w:t>
      </w:r>
      <w:r w:rsidR="007C1524" w:rsidRPr="00704FF0">
        <w:rPr>
          <w:szCs w:val="22"/>
          <w:lang w:val="sr-Latn-RS"/>
        </w:rPr>
        <w:t>j</w:t>
      </w:r>
      <w:r w:rsidRPr="00704FF0">
        <w:rPr>
          <w:szCs w:val="22"/>
          <w:lang w:val="sr-Latn-RS"/>
        </w:rPr>
        <w:t xml:space="preserve">epljiva koža, anksioznost, tahikardija, hipertenzija, palpitacije, angina pektoris i srčana aritmija. </w:t>
      </w:r>
    </w:p>
    <w:p w14:paraId="3EFD2A47" w14:textId="77777777" w:rsidR="000C2772" w:rsidRPr="00704FF0" w:rsidRDefault="000C2772" w:rsidP="004A7F5A">
      <w:pPr>
        <w:autoSpaceDE w:val="0"/>
        <w:autoSpaceDN w:val="0"/>
        <w:adjustRightInd w:val="0"/>
        <w:rPr>
          <w:szCs w:val="22"/>
          <w:u w:val="single"/>
          <w:lang w:val="sr-Latn-RS"/>
        </w:rPr>
      </w:pPr>
    </w:p>
    <w:p w14:paraId="3EFD2A48" w14:textId="137C9DE7" w:rsidR="000C2772" w:rsidRPr="00704FF0" w:rsidRDefault="000C2772" w:rsidP="004A7F5A">
      <w:pPr>
        <w:rPr>
          <w:szCs w:val="22"/>
          <w:lang w:val="sr-Latn-RS"/>
        </w:rPr>
      </w:pPr>
      <w:r w:rsidRPr="00704FF0">
        <w:rPr>
          <w:szCs w:val="22"/>
          <w:lang w:val="sr-Latn-RS"/>
        </w:rPr>
        <w:t>Simptomi obično nestanu nakon unosa ugljenih hidrata (šećer). S druge strane v</w:t>
      </w:r>
      <w:r w:rsidR="007C1524" w:rsidRPr="00704FF0">
        <w:rPr>
          <w:szCs w:val="22"/>
          <w:lang w:val="sr-Latn-RS"/>
        </w:rPr>
        <w:t>j</w:t>
      </w:r>
      <w:r w:rsidRPr="00704FF0">
        <w:rPr>
          <w:szCs w:val="22"/>
          <w:lang w:val="sr-Latn-RS"/>
        </w:rPr>
        <w:t xml:space="preserve">eštački zaslađivači nemaju efekta u ovakvim stanjima. Iskustvo sa drugim derivatima sulfoniluree je pokazalo da se hipoglikemija može ponoviti iako su se </w:t>
      </w:r>
      <w:r w:rsidR="00AC38B2" w:rsidRPr="00704FF0">
        <w:rPr>
          <w:szCs w:val="22"/>
          <w:lang w:val="sr-Latn-RS"/>
        </w:rPr>
        <w:t>prim</w:t>
      </w:r>
      <w:r w:rsidR="007C1524" w:rsidRPr="00704FF0">
        <w:rPr>
          <w:szCs w:val="22"/>
          <w:lang w:val="sr-Latn-RS"/>
        </w:rPr>
        <w:t>ij</w:t>
      </w:r>
      <w:r w:rsidR="00AC38B2" w:rsidRPr="00704FF0">
        <w:rPr>
          <w:szCs w:val="22"/>
          <w:lang w:val="sr-Latn-RS"/>
        </w:rPr>
        <w:t xml:space="preserve">enjene </w:t>
      </w:r>
      <w:r w:rsidRPr="00704FF0">
        <w:rPr>
          <w:szCs w:val="22"/>
          <w:lang w:val="sr-Latn-RS"/>
        </w:rPr>
        <w:t>m</w:t>
      </w:r>
      <w:r w:rsidR="007C1524" w:rsidRPr="00704FF0">
        <w:rPr>
          <w:szCs w:val="22"/>
          <w:lang w:val="sr-Latn-RS"/>
        </w:rPr>
        <w:t>j</w:t>
      </w:r>
      <w:r w:rsidRPr="00704FF0">
        <w:rPr>
          <w:szCs w:val="22"/>
          <w:lang w:val="sr-Latn-RS"/>
        </w:rPr>
        <w:t>ere pokazale efikasnim</w:t>
      </w:r>
      <w:r w:rsidR="00AC38B2" w:rsidRPr="00704FF0">
        <w:rPr>
          <w:szCs w:val="22"/>
          <w:lang w:val="sr-Latn-RS"/>
        </w:rPr>
        <w:t xml:space="preserve"> na početku</w:t>
      </w:r>
      <w:r w:rsidRPr="00704FF0">
        <w:rPr>
          <w:szCs w:val="22"/>
          <w:lang w:val="sr-Latn-RS"/>
        </w:rPr>
        <w:t xml:space="preserve">. </w:t>
      </w:r>
    </w:p>
    <w:p w14:paraId="3EFD2A49" w14:textId="77777777" w:rsidR="000C2772" w:rsidRPr="00704FF0" w:rsidRDefault="000C2772" w:rsidP="004A7F5A">
      <w:pPr>
        <w:autoSpaceDE w:val="0"/>
        <w:autoSpaceDN w:val="0"/>
        <w:adjustRightInd w:val="0"/>
        <w:rPr>
          <w:szCs w:val="22"/>
          <w:u w:val="single"/>
          <w:lang w:val="sr-Latn-RS"/>
        </w:rPr>
      </w:pPr>
    </w:p>
    <w:p w14:paraId="3EFD2A4A" w14:textId="77777777" w:rsidR="000C2772" w:rsidRPr="00704FF0" w:rsidRDefault="000C2772" w:rsidP="004A7F5A">
      <w:pPr>
        <w:rPr>
          <w:szCs w:val="22"/>
          <w:lang w:val="sr-Latn-RS"/>
        </w:rPr>
      </w:pPr>
      <w:r w:rsidRPr="00704FF0">
        <w:rPr>
          <w:szCs w:val="22"/>
          <w:lang w:val="sr-Latn-RS"/>
        </w:rPr>
        <w:t>Ako je hipoglikemijska epizoda teška ili produžena, čak i kada se privremeno kontroliše unosom šećera, neophodno je sprovesti hitnu medicinsku terapiju ili hospitalizaciju.</w:t>
      </w:r>
    </w:p>
    <w:p w14:paraId="3EFD2A4B" w14:textId="77777777" w:rsidR="000C2772" w:rsidRPr="00704FF0" w:rsidRDefault="000C2772" w:rsidP="004A7F5A">
      <w:pPr>
        <w:rPr>
          <w:szCs w:val="22"/>
          <w:lang w:val="sr-Latn-RS"/>
        </w:rPr>
      </w:pPr>
    </w:p>
    <w:p w14:paraId="160BCDF3" w14:textId="41E319A5" w:rsidR="00242B04" w:rsidRPr="00704FF0" w:rsidRDefault="00242B04" w:rsidP="004A7F5A">
      <w:pPr>
        <w:rPr>
          <w:szCs w:val="22"/>
          <w:u w:val="single"/>
          <w:lang w:val="sr-Latn-RS"/>
        </w:rPr>
      </w:pPr>
      <w:r w:rsidRPr="00704FF0">
        <w:rPr>
          <w:szCs w:val="22"/>
          <w:u w:val="single"/>
          <w:lang w:val="sr-Latn-RS"/>
        </w:rPr>
        <w:t>Ostala neželjena dejstva</w:t>
      </w:r>
    </w:p>
    <w:p w14:paraId="3EFD2A4C" w14:textId="2EC2597F" w:rsidR="000C2772" w:rsidRPr="00704FF0" w:rsidRDefault="000C2772" w:rsidP="004A7F5A">
      <w:pPr>
        <w:rPr>
          <w:szCs w:val="22"/>
          <w:lang w:val="sr-Latn-RS"/>
        </w:rPr>
      </w:pPr>
      <w:r w:rsidRPr="00704FF0">
        <w:rPr>
          <w:szCs w:val="22"/>
          <w:lang w:val="sr-Latn-RS"/>
        </w:rPr>
        <w:t>Prijavljeni su gastrointestinalni poremećaji uključujući bol u stomaku, mučninu, povraćanje, dispepsiju, dijareju i konstipaciju. Ova neželjena dejstva se mogu izb</w:t>
      </w:r>
      <w:r w:rsidR="007C1524" w:rsidRPr="00704FF0">
        <w:rPr>
          <w:szCs w:val="22"/>
          <w:lang w:val="sr-Latn-RS"/>
        </w:rPr>
        <w:t>j</w:t>
      </w:r>
      <w:r w:rsidRPr="00704FF0">
        <w:rPr>
          <w:szCs w:val="22"/>
          <w:lang w:val="sr-Latn-RS"/>
        </w:rPr>
        <w:t xml:space="preserve">eći ili umanjiti ako se gliklazid uzima uz </w:t>
      </w:r>
      <w:r w:rsidR="00AC38B2" w:rsidRPr="00704FF0">
        <w:rPr>
          <w:szCs w:val="22"/>
          <w:lang w:val="sr-Latn-RS"/>
        </w:rPr>
        <w:t>doručak</w:t>
      </w:r>
      <w:r w:rsidRPr="00704FF0">
        <w:rPr>
          <w:szCs w:val="22"/>
          <w:lang w:val="sr-Latn-RS"/>
        </w:rPr>
        <w:t>.</w:t>
      </w:r>
    </w:p>
    <w:p w14:paraId="3EFD2A4D" w14:textId="77777777" w:rsidR="000C2772" w:rsidRPr="00704FF0" w:rsidRDefault="000C2772" w:rsidP="004A7F5A">
      <w:pPr>
        <w:autoSpaceDE w:val="0"/>
        <w:autoSpaceDN w:val="0"/>
        <w:adjustRightInd w:val="0"/>
        <w:rPr>
          <w:szCs w:val="22"/>
          <w:u w:val="single"/>
          <w:lang w:val="sr-Latn-RS"/>
        </w:rPr>
      </w:pPr>
    </w:p>
    <w:p w14:paraId="3EFD2A4E" w14:textId="4838207D" w:rsidR="000C2772" w:rsidRPr="00704FF0" w:rsidRDefault="000C2772" w:rsidP="004A7F5A">
      <w:pPr>
        <w:rPr>
          <w:szCs w:val="22"/>
          <w:u w:val="single"/>
          <w:lang w:val="sr-Latn-RS"/>
        </w:rPr>
      </w:pPr>
      <w:r w:rsidRPr="00704FF0">
        <w:rPr>
          <w:szCs w:val="22"/>
          <w:u w:val="single"/>
          <w:lang w:val="sr-Latn-RS"/>
        </w:rPr>
        <w:t>Sl</w:t>
      </w:r>
      <w:r w:rsidR="007C1524" w:rsidRPr="00704FF0">
        <w:rPr>
          <w:szCs w:val="22"/>
          <w:u w:val="single"/>
          <w:lang w:val="sr-Latn-RS"/>
        </w:rPr>
        <w:t>j</w:t>
      </w:r>
      <w:r w:rsidRPr="00704FF0">
        <w:rPr>
          <w:szCs w:val="22"/>
          <w:u w:val="single"/>
          <w:lang w:val="sr-Latn-RS"/>
        </w:rPr>
        <w:t>edeća neželjena dejstva se javljaju r</w:t>
      </w:r>
      <w:r w:rsidR="007C1524" w:rsidRPr="00704FF0">
        <w:rPr>
          <w:szCs w:val="22"/>
          <w:u w:val="single"/>
          <w:lang w:val="sr-Latn-RS"/>
        </w:rPr>
        <w:t>j</w:t>
      </w:r>
      <w:r w:rsidRPr="00704FF0">
        <w:rPr>
          <w:szCs w:val="22"/>
          <w:u w:val="single"/>
          <w:lang w:val="sr-Latn-RS"/>
        </w:rPr>
        <w:t>eđe:</w:t>
      </w:r>
    </w:p>
    <w:p w14:paraId="3EFD2A4F" w14:textId="77777777" w:rsidR="000C2772" w:rsidRPr="00704FF0" w:rsidRDefault="000C2772" w:rsidP="004A7F5A">
      <w:pPr>
        <w:rPr>
          <w:szCs w:val="22"/>
          <w:u w:val="single"/>
          <w:lang w:val="sr-Latn-RS"/>
        </w:rPr>
      </w:pPr>
    </w:p>
    <w:p w14:paraId="3EFD2A50" w14:textId="26F78599" w:rsidR="000C2772" w:rsidRPr="00704FF0" w:rsidRDefault="000C2772" w:rsidP="004A7F5A">
      <w:pPr>
        <w:numPr>
          <w:ilvl w:val="0"/>
          <w:numId w:val="21"/>
        </w:numPr>
        <w:tabs>
          <w:tab w:val="clear" w:pos="284"/>
          <w:tab w:val="left" w:pos="360"/>
        </w:tabs>
        <w:ind w:left="360"/>
        <w:rPr>
          <w:szCs w:val="22"/>
          <w:lang w:val="sr-Latn-RS"/>
        </w:rPr>
      </w:pPr>
      <w:r w:rsidRPr="00704FF0">
        <w:rPr>
          <w:i/>
          <w:iCs/>
          <w:szCs w:val="22"/>
          <w:lang w:val="sr-Latn-RS"/>
        </w:rPr>
        <w:t>Poremećaji kože i potkožnog tkiva</w:t>
      </w:r>
      <w:r w:rsidRPr="00704FF0">
        <w:rPr>
          <w:szCs w:val="22"/>
          <w:lang w:val="sr-Latn-RS"/>
        </w:rPr>
        <w:t xml:space="preserve">: osip, svrab, urtikarija, angioedem, eritem, makulopapularni osip, bulozne reakcije (kao što je </w:t>
      </w:r>
      <w:r w:rsidRPr="00704FF0">
        <w:rPr>
          <w:i/>
          <w:szCs w:val="22"/>
          <w:lang w:val="sr-Latn-RS"/>
        </w:rPr>
        <w:t>Stevens-Johnson</w:t>
      </w:r>
      <w:r w:rsidRPr="00704FF0">
        <w:rPr>
          <w:szCs w:val="22"/>
          <w:lang w:val="sr-Latn-RS"/>
        </w:rPr>
        <w:t>-ov sindrom</w:t>
      </w:r>
      <w:r w:rsidR="00C24238" w:rsidRPr="00704FF0">
        <w:rPr>
          <w:szCs w:val="22"/>
          <w:lang w:val="sr-Latn-RS"/>
        </w:rPr>
        <w:t>,</w:t>
      </w:r>
      <w:r w:rsidRPr="00704FF0">
        <w:rPr>
          <w:szCs w:val="22"/>
          <w:lang w:val="sr-Latn-RS"/>
        </w:rPr>
        <w:t xml:space="preserve"> toksična epidermalna nekroliza</w:t>
      </w:r>
      <w:r w:rsidR="00C24238" w:rsidRPr="00704FF0">
        <w:rPr>
          <w:szCs w:val="22"/>
          <w:lang w:val="sr-Latn-RS"/>
        </w:rPr>
        <w:t xml:space="preserve"> i autoimuni bulozni poremećaj</w:t>
      </w:r>
      <w:r w:rsidRPr="00704FF0">
        <w:rPr>
          <w:szCs w:val="22"/>
          <w:lang w:val="sr-Latn-RS"/>
        </w:rPr>
        <w:t xml:space="preserve">), i </w:t>
      </w:r>
      <w:r w:rsidR="00AC38B2" w:rsidRPr="00704FF0">
        <w:rPr>
          <w:szCs w:val="22"/>
          <w:lang w:val="sr-Latn-RS"/>
        </w:rPr>
        <w:t xml:space="preserve">u </w:t>
      </w:r>
      <w:r w:rsidRPr="00704FF0">
        <w:rPr>
          <w:szCs w:val="22"/>
          <w:lang w:val="sr-Latn-RS"/>
        </w:rPr>
        <w:t>izuzetn</w:t>
      </w:r>
      <w:r w:rsidR="00AC38B2" w:rsidRPr="00704FF0">
        <w:rPr>
          <w:szCs w:val="22"/>
          <w:lang w:val="sr-Latn-RS"/>
        </w:rPr>
        <w:t>im slučajevima</w:t>
      </w:r>
      <w:r w:rsidRPr="00704FF0">
        <w:rPr>
          <w:szCs w:val="22"/>
          <w:lang w:val="sr-Latn-RS"/>
        </w:rPr>
        <w:t xml:space="preserve"> osip uzrokovan l</w:t>
      </w:r>
      <w:r w:rsidR="007C1524" w:rsidRPr="00704FF0">
        <w:rPr>
          <w:szCs w:val="22"/>
          <w:lang w:val="sr-Latn-RS"/>
        </w:rPr>
        <w:t>ij</w:t>
      </w:r>
      <w:r w:rsidRPr="00704FF0">
        <w:rPr>
          <w:szCs w:val="22"/>
          <w:lang w:val="sr-Latn-RS"/>
        </w:rPr>
        <w:t>ekom sa eozinofilijom i sistemskim simptomima (DRESS).</w:t>
      </w:r>
    </w:p>
    <w:p w14:paraId="3EFD2A51" w14:textId="77777777" w:rsidR="000C2772" w:rsidRPr="00704FF0" w:rsidRDefault="000C2772" w:rsidP="004A7F5A">
      <w:pPr>
        <w:rPr>
          <w:szCs w:val="22"/>
          <w:lang w:val="sr-Latn-RS"/>
        </w:rPr>
      </w:pPr>
    </w:p>
    <w:p w14:paraId="3EFD2A52" w14:textId="1EB35EBE" w:rsidR="000C2772" w:rsidRPr="00704FF0" w:rsidRDefault="000C2772" w:rsidP="004A7F5A">
      <w:pPr>
        <w:numPr>
          <w:ilvl w:val="1"/>
          <w:numId w:val="21"/>
        </w:numPr>
        <w:tabs>
          <w:tab w:val="clear" w:pos="284"/>
          <w:tab w:val="left" w:pos="360"/>
        </w:tabs>
        <w:autoSpaceDE w:val="0"/>
        <w:autoSpaceDN w:val="0"/>
        <w:adjustRightInd w:val="0"/>
        <w:ind w:left="284"/>
        <w:rPr>
          <w:szCs w:val="22"/>
          <w:lang w:val="sr-Latn-RS"/>
        </w:rPr>
      </w:pPr>
      <w:r w:rsidRPr="00704FF0">
        <w:rPr>
          <w:i/>
          <w:iCs/>
          <w:szCs w:val="22"/>
          <w:lang w:val="sr-Latn-RS"/>
        </w:rPr>
        <w:t>Poremećaji krvi i limfnog sistema</w:t>
      </w:r>
      <w:r w:rsidRPr="00704FF0">
        <w:rPr>
          <w:szCs w:val="22"/>
          <w:lang w:val="sr-Latn-RS"/>
        </w:rPr>
        <w:t>: prom</w:t>
      </w:r>
      <w:r w:rsidR="007C1524" w:rsidRPr="00704FF0">
        <w:rPr>
          <w:szCs w:val="22"/>
          <w:lang w:val="sr-Latn-RS"/>
        </w:rPr>
        <w:t>j</w:t>
      </w:r>
      <w:r w:rsidRPr="00704FF0">
        <w:rPr>
          <w:szCs w:val="22"/>
          <w:lang w:val="sr-Latn-RS"/>
        </w:rPr>
        <w:t>ene u krvnoj slici su r</w:t>
      </w:r>
      <w:r w:rsidR="007C1524" w:rsidRPr="00704FF0">
        <w:rPr>
          <w:szCs w:val="22"/>
          <w:lang w:val="sr-Latn-RS"/>
        </w:rPr>
        <w:t>ij</w:t>
      </w:r>
      <w:r w:rsidRPr="00704FF0">
        <w:rPr>
          <w:szCs w:val="22"/>
          <w:lang w:val="sr-Latn-RS"/>
        </w:rPr>
        <w:t>etke. One mogu da uključuju anemiju, leukopeniju, trombocitopeniju, granulocitopeniju. One su obično reverzibilne nakon prekida prim</w:t>
      </w:r>
      <w:r w:rsidR="007C1524" w:rsidRPr="00704FF0">
        <w:rPr>
          <w:szCs w:val="22"/>
          <w:lang w:val="sr-Latn-RS"/>
        </w:rPr>
        <w:t>j</w:t>
      </w:r>
      <w:r w:rsidRPr="00704FF0">
        <w:rPr>
          <w:szCs w:val="22"/>
          <w:lang w:val="sr-Latn-RS"/>
        </w:rPr>
        <w:t>ene gliklazida.</w:t>
      </w:r>
    </w:p>
    <w:p w14:paraId="3EFD2A53" w14:textId="77777777" w:rsidR="000C2772" w:rsidRPr="00704FF0" w:rsidRDefault="000C2772" w:rsidP="004A7F5A">
      <w:pPr>
        <w:autoSpaceDE w:val="0"/>
        <w:autoSpaceDN w:val="0"/>
        <w:adjustRightInd w:val="0"/>
        <w:rPr>
          <w:szCs w:val="22"/>
          <w:u w:val="single"/>
          <w:lang w:val="sr-Latn-RS"/>
        </w:rPr>
      </w:pPr>
    </w:p>
    <w:p w14:paraId="3EFD2A54" w14:textId="28B11EA5" w:rsidR="000C2772" w:rsidRPr="00704FF0" w:rsidRDefault="000C2772" w:rsidP="004A7F5A">
      <w:pPr>
        <w:numPr>
          <w:ilvl w:val="1"/>
          <w:numId w:val="21"/>
        </w:numPr>
        <w:tabs>
          <w:tab w:val="clear" w:pos="284"/>
          <w:tab w:val="left" w:pos="360"/>
        </w:tabs>
        <w:ind w:left="284"/>
        <w:rPr>
          <w:szCs w:val="22"/>
          <w:lang w:val="sr-Latn-RS"/>
        </w:rPr>
      </w:pPr>
      <w:r w:rsidRPr="00704FF0">
        <w:rPr>
          <w:i/>
          <w:iCs/>
          <w:szCs w:val="22"/>
          <w:lang w:val="sr-Latn-RS"/>
        </w:rPr>
        <w:t>Hepatobilijarni poremećaji</w:t>
      </w:r>
      <w:r w:rsidRPr="00704FF0">
        <w:rPr>
          <w:szCs w:val="22"/>
          <w:lang w:val="sr-Latn-RS"/>
        </w:rPr>
        <w:t>: povećane vr</w:t>
      </w:r>
      <w:r w:rsidR="007C1524" w:rsidRPr="00704FF0">
        <w:rPr>
          <w:szCs w:val="22"/>
          <w:lang w:val="sr-Latn-RS"/>
        </w:rPr>
        <w:t>ij</w:t>
      </w:r>
      <w:r w:rsidRPr="00704FF0">
        <w:rPr>
          <w:szCs w:val="22"/>
          <w:lang w:val="sr-Latn-RS"/>
        </w:rPr>
        <w:t>ednosti enzima jetre (AST, ALT, alkalna fo</w:t>
      </w:r>
      <w:r w:rsidR="00AC38B2" w:rsidRPr="00704FF0">
        <w:rPr>
          <w:szCs w:val="22"/>
          <w:lang w:val="sr-Latn-RS"/>
        </w:rPr>
        <w:t>s</w:t>
      </w:r>
      <w:r w:rsidRPr="00704FF0">
        <w:rPr>
          <w:szCs w:val="22"/>
          <w:lang w:val="sr-Latn-RS"/>
        </w:rPr>
        <w:t>fataza), hepatitis (izolovani slučajevi). Ako se pojavi holestatska žutica treba prekinuti l</w:t>
      </w:r>
      <w:r w:rsidR="007C1524" w:rsidRPr="00704FF0">
        <w:rPr>
          <w:szCs w:val="22"/>
          <w:lang w:val="sr-Latn-RS"/>
        </w:rPr>
        <w:t>ij</w:t>
      </w:r>
      <w:r w:rsidRPr="00704FF0">
        <w:rPr>
          <w:szCs w:val="22"/>
          <w:lang w:val="sr-Latn-RS"/>
        </w:rPr>
        <w:t>ečenje. Ovi simptomi obično nestaju nakon prestanka terapije.</w:t>
      </w:r>
    </w:p>
    <w:p w14:paraId="3EFD2A55" w14:textId="77777777" w:rsidR="000C2772" w:rsidRPr="00704FF0" w:rsidRDefault="000C2772" w:rsidP="004A7F5A">
      <w:pPr>
        <w:autoSpaceDE w:val="0"/>
        <w:autoSpaceDN w:val="0"/>
        <w:adjustRightInd w:val="0"/>
        <w:rPr>
          <w:szCs w:val="22"/>
          <w:u w:val="single"/>
          <w:lang w:val="sr-Latn-RS"/>
        </w:rPr>
      </w:pPr>
    </w:p>
    <w:p w14:paraId="3EFD2A56" w14:textId="5B3EF74D" w:rsidR="000C2772" w:rsidRPr="00704FF0" w:rsidRDefault="000C2772" w:rsidP="004A7F5A">
      <w:pPr>
        <w:numPr>
          <w:ilvl w:val="1"/>
          <w:numId w:val="21"/>
        </w:numPr>
        <w:tabs>
          <w:tab w:val="clear" w:pos="284"/>
          <w:tab w:val="left" w:pos="360"/>
        </w:tabs>
        <w:ind w:left="360"/>
        <w:rPr>
          <w:szCs w:val="22"/>
          <w:lang w:val="sr-Latn-RS"/>
        </w:rPr>
      </w:pPr>
      <w:r w:rsidRPr="00704FF0">
        <w:rPr>
          <w:i/>
          <w:iCs/>
          <w:szCs w:val="22"/>
          <w:lang w:val="sr-Latn-RS"/>
        </w:rPr>
        <w:t>Poremećaji oka</w:t>
      </w:r>
      <w:r w:rsidRPr="00704FF0">
        <w:rPr>
          <w:szCs w:val="22"/>
          <w:lang w:val="sr-Latn-RS"/>
        </w:rPr>
        <w:t>: mogu se pojaviti prolazni poremećaji vida, posebno na početku terapije, usl</w:t>
      </w:r>
      <w:r w:rsidR="00026192" w:rsidRPr="00704FF0">
        <w:rPr>
          <w:szCs w:val="22"/>
          <w:lang w:val="sr-Latn-RS"/>
        </w:rPr>
        <w:t>i</w:t>
      </w:r>
      <w:r w:rsidR="007C1524" w:rsidRPr="00704FF0">
        <w:rPr>
          <w:szCs w:val="22"/>
          <w:lang w:val="sr-Latn-RS"/>
        </w:rPr>
        <w:t>j</w:t>
      </w:r>
      <w:r w:rsidRPr="00704FF0">
        <w:rPr>
          <w:szCs w:val="22"/>
          <w:lang w:val="sr-Latn-RS"/>
        </w:rPr>
        <w:t>ed prom</w:t>
      </w:r>
      <w:r w:rsidR="007C1524" w:rsidRPr="00704FF0">
        <w:rPr>
          <w:szCs w:val="22"/>
          <w:lang w:val="sr-Latn-RS"/>
        </w:rPr>
        <w:t>j</w:t>
      </w:r>
      <w:r w:rsidRPr="00704FF0">
        <w:rPr>
          <w:szCs w:val="22"/>
          <w:lang w:val="sr-Latn-RS"/>
        </w:rPr>
        <w:t xml:space="preserve">ena </w:t>
      </w:r>
      <w:r w:rsidR="00AC38B2" w:rsidRPr="00704FF0">
        <w:rPr>
          <w:szCs w:val="22"/>
          <w:lang w:val="sr-Latn-RS"/>
        </w:rPr>
        <w:t xml:space="preserve">koncentracija </w:t>
      </w:r>
      <w:r w:rsidRPr="00704FF0">
        <w:rPr>
          <w:szCs w:val="22"/>
          <w:lang w:val="sr-Latn-RS"/>
        </w:rPr>
        <w:t>glukoze u krvi.</w:t>
      </w:r>
    </w:p>
    <w:p w14:paraId="5E2F6061" w14:textId="77777777" w:rsidR="00D95AAA" w:rsidRPr="00704FF0" w:rsidRDefault="00D95AAA" w:rsidP="004A7F5A">
      <w:pPr>
        <w:rPr>
          <w:szCs w:val="22"/>
          <w:lang w:val="sr-Latn-RS"/>
        </w:rPr>
      </w:pPr>
    </w:p>
    <w:p w14:paraId="3EFD2A57" w14:textId="736E0128" w:rsidR="000C2772" w:rsidRPr="00704FF0" w:rsidRDefault="00D95AAA" w:rsidP="004A7F5A">
      <w:pPr>
        <w:rPr>
          <w:szCs w:val="22"/>
          <w:lang w:val="sr-Latn-RS"/>
        </w:rPr>
      </w:pPr>
      <w:r w:rsidRPr="00704FF0">
        <w:rPr>
          <w:szCs w:val="22"/>
          <w:lang w:val="sr-Latn-RS"/>
        </w:rPr>
        <w:t>Neželjena dejstva karakteristična za derivate sulfoniluree:</w:t>
      </w:r>
    </w:p>
    <w:p w14:paraId="3F85DCB8" w14:textId="77777777" w:rsidR="00D95AAA" w:rsidRPr="00704FF0" w:rsidRDefault="00D95AAA" w:rsidP="004A7F5A">
      <w:pPr>
        <w:rPr>
          <w:szCs w:val="22"/>
          <w:u w:val="single"/>
          <w:lang w:val="sr-Latn-RS"/>
        </w:rPr>
      </w:pPr>
    </w:p>
    <w:p w14:paraId="3EFD2A5A" w14:textId="59FE1E8A" w:rsidR="000C2772" w:rsidRPr="00704FF0" w:rsidRDefault="00AC38B2" w:rsidP="004A7F5A">
      <w:pPr>
        <w:rPr>
          <w:szCs w:val="22"/>
          <w:lang w:val="sr-Latn-RS"/>
        </w:rPr>
      </w:pPr>
      <w:r w:rsidRPr="00704FF0">
        <w:rPr>
          <w:szCs w:val="22"/>
          <w:lang w:val="sr-Latn-RS"/>
        </w:rPr>
        <w:t>Kao i k</w:t>
      </w:r>
      <w:r w:rsidR="000C2772" w:rsidRPr="00704FF0">
        <w:rPr>
          <w:szCs w:val="22"/>
          <w:lang w:val="sr-Latn-RS"/>
        </w:rPr>
        <w:t>od prim</w:t>
      </w:r>
      <w:r w:rsidR="007C1524" w:rsidRPr="00704FF0">
        <w:rPr>
          <w:szCs w:val="22"/>
          <w:lang w:val="sr-Latn-RS"/>
        </w:rPr>
        <w:t>j</w:t>
      </w:r>
      <w:r w:rsidR="000C2772" w:rsidRPr="00704FF0">
        <w:rPr>
          <w:szCs w:val="22"/>
          <w:lang w:val="sr-Latn-RS"/>
        </w:rPr>
        <w:t xml:space="preserve">ene drugih derivata sulfonilureje </w:t>
      </w:r>
      <w:r w:rsidRPr="00704FF0">
        <w:rPr>
          <w:szCs w:val="22"/>
          <w:lang w:val="sr-Latn-RS"/>
        </w:rPr>
        <w:t xml:space="preserve">uočeni </w:t>
      </w:r>
      <w:r w:rsidR="000C2772" w:rsidRPr="00704FF0">
        <w:rPr>
          <w:szCs w:val="22"/>
          <w:lang w:val="sr-Latn-RS"/>
        </w:rPr>
        <w:t xml:space="preserve">su slučajevi eritrocitopenije, agranulocitoze, hemolitičke anemije, pancitopenije, alergijskog vaskulitisa, hiponatremije, </w:t>
      </w:r>
      <w:r w:rsidRPr="00704FF0">
        <w:rPr>
          <w:szCs w:val="22"/>
          <w:lang w:val="sr-Latn-RS"/>
        </w:rPr>
        <w:t xml:space="preserve">povećane </w:t>
      </w:r>
      <w:r w:rsidR="000C2772" w:rsidRPr="00704FF0">
        <w:rPr>
          <w:szCs w:val="22"/>
          <w:lang w:val="sr-Latn-RS"/>
        </w:rPr>
        <w:t>vr</w:t>
      </w:r>
      <w:r w:rsidR="007C1524" w:rsidRPr="00704FF0">
        <w:rPr>
          <w:szCs w:val="22"/>
          <w:lang w:val="sr-Latn-RS"/>
        </w:rPr>
        <w:t>ij</w:t>
      </w:r>
      <w:r w:rsidR="000C2772" w:rsidRPr="00704FF0">
        <w:rPr>
          <w:szCs w:val="22"/>
          <w:lang w:val="sr-Latn-RS"/>
        </w:rPr>
        <w:t xml:space="preserve">ednosti enzima jetre pa čak i oštećenje funkcije jetre (npr. sa holestazom i žuticom) i hepatitis, koji su se povukli nakon prekida terapije derivatima sulfoniluree ili su u izolovanim slučajevima, doveli do </w:t>
      </w:r>
      <w:r w:rsidRPr="00704FF0">
        <w:rPr>
          <w:szCs w:val="22"/>
          <w:lang w:val="sr-Latn-RS"/>
        </w:rPr>
        <w:t xml:space="preserve">životno ugrožavajuće </w:t>
      </w:r>
      <w:r w:rsidR="000C2772" w:rsidRPr="00704FF0">
        <w:rPr>
          <w:szCs w:val="22"/>
          <w:lang w:val="sr-Latn-RS"/>
        </w:rPr>
        <w:t>insuficijencije jetre.</w:t>
      </w:r>
    </w:p>
    <w:p w14:paraId="3F6F96BF" w14:textId="77777777" w:rsidR="00E83E22" w:rsidRPr="00704FF0" w:rsidRDefault="00E83E22" w:rsidP="004A7F5A">
      <w:pPr>
        <w:rPr>
          <w:szCs w:val="22"/>
          <w:u w:val="single"/>
          <w:lang w:val="sr-Latn-RS"/>
        </w:rPr>
      </w:pPr>
    </w:p>
    <w:p w14:paraId="4AC65728" w14:textId="77777777" w:rsidR="004D633E" w:rsidRPr="00704FF0" w:rsidRDefault="004D633E" w:rsidP="004A7F5A">
      <w:pPr>
        <w:tabs>
          <w:tab w:val="clear" w:pos="284"/>
        </w:tabs>
        <w:spacing w:line="276" w:lineRule="auto"/>
        <w:jc w:val="left"/>
        <w:rPr>
          <w:rFonts w:eastAsia="Calibri"/>
          <w:szCs w:val="22"/>
          <w:u w:val="single"/>
          <w:lang w:val="sr-Latn-RS"/>
        </w:rPr>
      </w:pPr>
      <w:r w:rsidRPr="00704FF0">
        <w:rPr>
          <w:rFonts w:eastAsia="Calibri"/>
          <w:szCs w:val="22"/>
          <w:u w:val="single"/>
          <w:lang w:val="sr-Latn-RS"/>
        </w:rPr>
        <w:t>Prijavljivanje sumnji na neželjena dejstva</w:t>
      </w:r>
    </w:p>
    <w:p w14:paraId="360A69C8" w14:textId="77777777" w:rsidR="004D633E" w:rsidRPr="00704FF0" w:rsidRDefault="004D633E" w:rsidP="004A7F5A">
      <w:pPr>
        <w:tabs>
          <w:tab w:val="clear" w:pos="284"/>
        </w:tabs>
        <w:rPr>
          <w:rFonts w:eastAsia="Calibri"/>
          <w:szCs w:val="22"/>
          <w:lang w:val="sr-Latn-RS"/>
        </w:rPr>
      </w:pPr>
      <w:r w:rsidRPr="00704FF0">
        <w:rPr>
          <w:rFonts w:eastAsia="Calibri"/>
          <w:szCs w:val="22"/>
          <w:lang w:val="sr-Latn-RS"/>
        </w:rPr>
        <w:lastRenderedPageBreak/>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4888E5BD" w14:textId="77777777" w:rsidR="004D633E" w:rsidRPr="00704FF0" w:rsidRDefault="004D633E" w:rsidP="004A7F5A">
      <w:pPr>
        <w:tabs>
          <w:tab w:val="clear" w:pos="284"/>
        </w:tabs>
        <w:rPr>
          <w:rFonts w:eastAsia="Calibri"/>
          <w:szCs w:val="22"/>
          <w:lang w:val="sr-Latn-RS"/>
        </w:rPr>
      </w:pPr>
      <w:r w:rsidRPr="00704FF0">
        <w:rPr>
          <w:rFonts w:eastAsia="Calibri"/>
          <w:szCs w:val="22"/>
          <w:lang w:val="sr-Latn-RS"/>
        </w:rPr>
        <w:t xml:space="preserve">Institut za ljekove i medicinska sredstva </w:t>
      </w:r>
    </w:p>
    <w:p w14:paraId="46E25375" w14:textId="77777777" w:rsidR="004D633E" w:rsidRPr="00704FF0" w:rsidRDefault="004D633E" w:rsidP="004A7F5A">
      <w:pPr>
        <w:tabs>
          <w:tab w:val="clear" w:pos="284"/>
        </w:tabs>
        <w:rPr>
          <w:rFonts w:eastAsia="Calibri"/>
          <w:szCs w:val="22"/>
          <w:lang w:val="sr-Latn-RS"/>
        </w:rPr>
      </w:pPr>
      <w:r w:rsidRPr="00704FF0">
        <w:rPr>
          <w:rFonts w:eastAsia="Calibri"/>
          <w:szCs w:val="22"/>
          <w:lang w:val="sr-Latn-RS"/>
        </w:rPr>
        <w:t>Odjeljenje za farmakovigilancu</w:t>
      </w:r>
    </w:p>
    <w:p w14:paraId="73A89A80" w14:textId="77777777" w:rsidR="004D633E" w:rsidRPr="00704FF0" w:rsidRDefault="004D633E" w:rsidP="004A7F5A">
      <w:pPr>
        <w:tabs>
          <w:tab w:val="clear" w:pos="284"/>
        </w:tabs>
        <w:rPr>
          <w:rFonts w:eastAsia="Calibri"/>
          <w:szCs w:val="22"/>
          <w:lang w:val="sr-Latn-RS"/>
        </w:rPr>
      </w:pPr>
      <w:r w:rsidRPr="00704FF0">
        <w:rPr>
          <w:rFonts w:eastAsia="Calibri"/>
          <w:szCs w:val="22"/>
          <w:lang w:val="sr-Latn-RS"/>
        </w:rPr>
        <w:t>Bulevar Ivana Crnojevića 64a, 81000 Podgorica</w:t>
      </w:r>
    </w:p>
    <w:p w14:paraId="263C0907" w14:textId="77777777" w:rsidR="004D633E" w:rsidRPr="00704FF0" w:rsidRDefault="004D633E" w:rsidP="004A7F5A">
      <w:pPr>
        <w:tabs>
          <w:tab w:val="clear" w:pos="284"/>
        </w:tabs>
        <w:jc w:val="left"/>
        <w:rPr>
          <w:rFonts w:eastAsia="Calibri"/>
          <w:szCs w:val="22"/>
          <w:lang w:val="sr-Latn-RS"/>
        </w:rPr>
      </w:pPr>
    </w:p>
    <w:p w14:paraId="68331401" w14:textId="77777777" w:rsidR="004D633E" w:rsidRPr="00704FF0" w:rsidRDefault="004D633E" w:rsidP="004A7F5A">
      <w:pPr>
        <w:tabs>
          <w:tab w:val="clear" w:pos="284"/>
        </w:tabs>
        <w:rPr>
          <w:rFonts w:eastAsia="Calibri"/>
          <w:szCs w:val="22"/>
          <w:lang w:val="sr-Latn-RS"/>
        </w:rPr>
      </w:pPr>
      <w:r w:rsidRPr="00704FF0">
        <w:rPr>
          <w:rFonts w:eastAsia="Calibri"/>
          <w:szCs w:val="22"/>
          <w:lang w:val="sr-Latn-RS"/>
        </w:rPr>
        <w:t>tel: +382 (0) 20 310 280</w:t>
      </w:r>
    </w:p>
    <w:p w14:paraId="0A9348A0" w14:textId="77777777" w:rsidR="004D633E" w:rsidRPr="00704FF0" w:rsidRDefault="004D633E" w:rsidP="004A7F5A">
      <w:pPr>
        <w:tabs>
          <w:tab w:val="clear" w:pos="284"/>
          <w:tab w:val="left" w:pos="6720"/>
        </w:tabs>
        <w:rPr>
          <w:rFonts w:eastAsia="Calibri"/>
          <w:szCs w:val="22"/>
          <w:lang w:val="sr-Latn-RS"/>
        </w:rPr>
      </w:pPr>
      <w:r w:rsidRPr="00704FF0">
        <w:rPr>
          <w:rFonts w:eastAsia="Calibri"/>
          <w:szCs w:val="22"/>
          <w:lang w:val="sr-Latn-RS"/>
        </w:rPr>
        <w:t>fax: +382 (0) 20 310 581</w:t>
      </w:r>
      <w:r w:rsidRPr="00704FF0">
        <w:rPr>
          <w:rFonts w:eastAsia="Calibri"/>
          <w:szCs w:val="22"/>
          <w:lang w:val="sr-Latn-RS"/>
        </w:rPr>
        <w:tab/>
      </w:r>
    </w:p>
    <w:p w14:paraId="4F55E8EE" w14:textId="77777777" w:rsidR="004D633E" w:rsidRPr="00704FF0" w:rsidRDefault="00FF417C" w:rsidP="004A7F5A">
      <w:pPr>
        <w:tabs>
          <w:tab w:val="clear" w:pos="284"/>
        </w:tabs>
        <w:rPr>
          <w:rFonts w:eastAsia="Calibri"/>
          <w:szCs w:val="22"/>
          <w:lang w:val="sr-Latn-RS"/>
        </w:rPr>
      </w:pPr>
      <w:hyperlink r:id="rId8" w:history="1">
        <w:r w:rsidR="004D633E" w:rsidRPr="00704FF0">
          <w:rPr>
            <w:rFonts w:eastAsia="Calibri"/>
            <w:color w:val="0563C1"/>
            <w:szCs w:val="22"/>
            <w:u w:val="single"/>
            <w:lang w:val="sr-Latn-RS"/>
          </w:rPr>
          <w:t>www.cinmed.me</w:t>
        </w:r>
      </w:hyperlink>
    </w:p>
    <w:p w14:paraId="2DD5E541" w14:textId="77777777" w:rsidR="004D633E" w:rsidRPr="00704FF0" w:rsidRDefault="00FF417C" w:rsidP="004A7F5A">
      <w:pPr>
        <w:tabs>
          <w:tab w:val="clear" w:pos="284"/>
        </w:tabs>
        <w:rPr>
          <w:rFonts w:eastAsia="Calibri"/>
          <w:color w:val="0000FF"/>
          <w:szCs w:val="22"/>
          <w:u w:val="single"/>
          <w:lang w:val="sr-Latn-RS"/>
        </w:rPr>
      </w:pPr>
      <w:hyperlink r:id="rId9" w:history="1">
        <w:r w:rsidR="004D633E" w:rsidRPr="00704FF0">
          <w:rPr>
            <w:rFonts w:eastAsia="Calibri"/>
            <w:color w:val="0563C1"/>
            <w:szCs w:val="22"/>
            <w:u w:val="single"/>
            <w:lang w:val="sr-Latn-RS"/>
          </w:rPr>
          <w:t>nezeljenadejstva@cinmed.me</w:t>
        </w:r>
      </w:hyperlink>
    </w:p>
    <w:p w14:paraId="01C8AC95" w14:textId="77777777" w:rsidR="004D633E" w:rsidRPr="00704FF0" w:rsidRDefault="004D633E" w:rsidP="004A7F5A">
      <w:pPr>
        <w:tabs>
          <w:tab w:val="clear" w:pos="284"/>
        </w:tabs>
        <w:rPr>
          <w:rFonts w:eastAsia="Calibri"/>
          <w:szCs w:val="22"/>
          <w:lang w:val="sr-Latn-RS"/>
        </w:rPr>
      </w:pPr>
      <w:r w:rsidRPr="00704FF0">
        <w:rPr>
          <w:rFonts w:eastAsia="Calibri"/>
          <w:szCs w:val="22"/>
          <w:lang w:val="sr-Latn-RS"/>
        </w:rPr>
        <w:t>putem IS zdravstvene zaštite</w:t>
      </w:r>
    </w:p>
    <w:p w14:paraId="0A918BED" w14:textId="77777777" w:rsidR="004D633E" w:rsidRPr="00704FF0" w:rsidRDefault="004D633E" w:rsidP="004A7F5A">
      <w:pPr>
        <w:tabs>
          <w:tab w:val="clear" w:pos="284"/>
        </w:tabs>
        <w:rPr>
          <w:rFonts w:eastAsia="Calibri"/>
          <w:szCs w:val="22"/>
          <w:lang w:val="sr-Latn-RS"/>
        </w:rPr>
      </w:pPr>
      <w:r w:rsidRPr="00704FF0">
        <w:rPr>
          <w:rFonts w:eastAsia="Calibri"/>
          <w:szCs w:val="22"/>
          <w:lang w:val="sr-Latn-RS"/>
        </w:rPr>
        <w:t>QR kod za online prijavu sumnje na neželjeno dejstvo lijeka:</w:t>
      </w:r>
    </w:p>
    <w:p w14:paraId="0CB1B4A2" w14:textId="77777777" w:rsidR="004D633E" w:rsidRPr="00704FF0" w:rsidRDefault="004D633E" w:rsidP="004A7F5A">
      <w:pPr>
        <w:tabs>
          <w:tab w:val="clear" w:pos="284"/>
        </w:tabs>
        <w:rPr>
          <w:rFonts w:eastAsia="Calibri"/>
          <w:szCs w:val="22"/>
          <w:lang w:val="sr-Latn-RS"/>
        </w:rPr>
      </w:pPr>
    </w:p>
    <w:p w14:paraId="186B516F" w14:textId="3CB77662" w:rsidR="004D633E" w:rsidRPr="00704FF0" w:rsidRDefault="00026192" w:rsidP="004A7F5A">
      <w:pPr>
        <w:tabs>
          <w:tab w:val="clear" w:pos="284"/>
        </w:tabs>
        <w:jc w:val="left"/>
        <w:rPr>
          <w:rFonts w:eastAsia="Calibri"/>
          <w:szCs w:val="22"/>
          <w:lang w:val="sr-Latn-RS"/>
        </w:rPr>
      </w:pPr>
      <w:r w:rsidRPr="00704FF0">
        <w:rPr>
          <w:noProof/>
          <w:szCs w:val="22"/>
          <w:lang w:val="sr-Latn-RS"/>
        </w:rPr>
        <w:drawing>
          <wp:inline distT="0" distB="0" distL="0" distR="0" wp14:anchorId="19871E8B" wp14:editId="4D4A76AC">
            <wp:extent cx="974090" cy="974090"/>
            <wp:effectExtent l="0" t="0" r="0" b="0"/>
            <wp:docPr id="1"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4090" cy="974090"/>
                    </a:xfrm>
                    <a:prstGeom prst="rect">
                      <a:avLst/>
                    </a:prstGeom>
                    <a:noFill/>
                    <a:ln>
                      <a:noFill/>
                    </a:ln>
                  </pic:spPr>
                </pic:pic>
              </a:graphicData>
            </a:graphic>
          </wp:inline>
        </w:drawing>
      </w:r>
    </w:p>
    <w:p w14:paraId="7EF68642" w14:textId="77777777" w:rsidR="004D633E" w:rsidRPr="00704FF0" w:rsidRDefault="004D633E" w:rsidP="004A7F5A">
      <w:pPr>
        <w:rPr>
          <w:szCs w:val="22"/>
          <w:lang w:val="sr-Latn-RS"/>
        </w:rPr>
      </w:pPr>
    </w:p>
    <w:p w14:paraId="3EFD2A68" w14:textId="77777777" w:rsidR="000C2772" w:rsidRPr="00704FF0" w:rsidRDefault="000C2772" w:rsidP="004A7F5A">
      <w:pPr>
        <w:rPr>
          <w:b/>
          <w:bCs/>
          <w:szCs w:val="22"/>
          <w:lang w:val="sr-Latn-RS"/>
        </w:rPr>
      </w:pPr>
      <w:r w:rsidRPr="00704FF0">
        <w:rPr>
          <w:b/>
          <w:bCs/>
          <w:szCs w:val="22"/>
          <w:lang w:val="sr-Latn-RS"/>
        </w:rPr>
        <w:t>4.9. Predoziranje</w:t>
      </w:r>
    </w:p>
    <w:p w14:paraId="3EFD2A69" w14:textId="77777777" w:rsidR="000C2772" w:rsidRPr="00704FF0" w:rsidRDefault="000C2772" w:rsidP="004A7F5A">
      <w:pPr>
        <w:rPr>
          <w:szCs w:val="22"/>
          <w:lang w:val="sr-Latn-RS"/>
        </w:rPr>
      </w:pPr>
    </w:p>
    <w:p w14:paraId="3EFD2A6A" w14:textId="77777777" w:rsidR="000C2772" w:rsidRPr="00704FF0" w:rsidRDefault="000C2772" w:rsidP="004A7F5A">
      <w:pPr>
        <w:rPr>
          <w:szCs w:val="22"/>
          <w:lang w:val="sr-Latn-RS"/>
        </w:rPr>
      </w:pPr>
      <w:r w:rsidRPr="00704FF0">
        <w:rPr>
          <w:szCs w:val="22"/>
          <w:lang w:val="sr-Latn-RS"/>
        </w:rPr>
        <w:t>Predoziranje derivatima sulfoniluree može izazvati hipoglikemiju.</w:t>
      </w:r>
    </w:p>
    <w:p w14:paraId="3EFD2A6B" w14:textId="77777777" w:rsidR="000C2772" w:rsidRPr="00704FF0" w:rsidRDefault="000C2772" w:rsidP="004A7F5A">
      <w:pPr>
        <w:rPr>
          <w:szCs w:val="22"/>
          <w:lang w:val="sr-Latn-RS"/>
        </w:rPr>
      </w:pPr>
    </w:p>
    <w:p w14:paraId="3EFD2A6C" w14:textId="3F4FC898" w:rsidR="000C2772" w:rsidRPr="00704FF0" w:rsidRDefault="000C2772" w:rsidP="004A7F5A">
      <w:pPr>
        <w:rPr>
          <w:szCs w:val="22"/>
          <w:lang w:val="sr-Latn-RS"/>
        </w:rPr>
      </w:pPr>
      <w:r w:rsidRPr="00704FF0">
        <w:rPr>
          <w:szCs w:val="22"/>
          <w:lang w:val="sr-Latn-RS"/>
        </w:rPr>
        <w:t>Um</w:t>
      </w:r>
      <w:r w:rsidR="007C1524" w:rsidRPr="00704FF0">
        <w:rPr>
          <w:szCs w:val="22"/>
          <w:lang w:val="sr-Latn-RS"/>
        </w:rPr>
        <w:t>j</w:t>
      </w:r>
      <w:r w:rsidRPr="00704FF0">
        <w:rPr>
          <w:szCs w:val="22"/>
          <w:lang w:val="sr-Latn-RS"/>
        </w:rPr>
        <w:t>ereni simptomi hipoglikemije, bez gubitka sv</w:t>
      </w:r>
      <w:r w:rsidR="007C1524" w:rsidRPr="00704FF0">
        <w:rPr>
          <w:szCs w:val="22"/>
          <w:lang w:val="sr-Latn-RS"/>
        </w:rPr>
        <w:t>ij</w:t>
      </w:r>
      <w:r w:rsidRPr="00704FF0">
        <w:rPr>
          <w:szCs w:val="22"/>
          <w:lang w:val="sr-Latn-RS"/>
        </w:rPr>
        <w:t>esti ili neuroloških znakova, moraju se korigovati unosom ugljenih hidrata, prilagođavanjem doze i/ili prom</w:t>
      </w:r>
      <w:r w:rsidR="007C1524" w:rsidRPr="00704FF0">
        <w:rPr>
          <w:szCs w:val="22"/>
          <w:lang w:val="sr-Latn-RS"/>
        </w:rPr>
        <w:t>j</w:t>
      </w:r>
      <w:r w:rsidRPr="00704FF0">
        <w:rPr>
          <w:szCs w:val="22"/>
          <w:lang w:val="sr-Latn-RS"/>
        </w:rPr>
        <w:t xml:space="preserve">enom </w:t>
      </w:r>
      <w:r w:rsidR="00495F98" w:rsidRPr="00704FF0">
        <w:rPr>
          <w:szCs w:val="22"/>
          <w:lang w:val="sr-Latn-RS"/>
        </w:rPr>
        <w:t xml:space="preserve">režima </w:t>
      </w:r>
      <w:r w:rsidRPr="00704FF0">
        <w:rPr>
          <w:szCs w:val="22"/>
          <w:lang w:val="sr-Latn-RS"/>
        </w:rPr>
        <w:t>ishrane. Treba nastaviti strogo praćenje pacijenta sve dok l</w:t>
      </w:r>
      <w:r w:rsidR="007C1524" w:rsidRPr="00704FF0">
        <w:rPr>
          <w:szCs w:val="22"/>
          <w:lang w:val="sr-Latn-RS"/>
        </w:rPr>
        <w:t>j</w:t>
      </w:r>
      <w:r w:rsidRPr="00704FF0">
        <w:rPr>
          <w:szCs w:val="22"/>
          <w:lang w:val="sr-Latn-RS"/>
        </w:rPr>
        <w:t>ekar ne bude siguran da je pacijent van opasnosti.</w:t>
      </w:r>
    </w:p>
    <w:p w14:paraId="3EFD2A6D" w14:textId="77777777" w:rsidR="000C2772" w:rsidRPr="00704FF0" w:rsidRDefault="000C2772" w:rsidP="004A7F5A">
      <w:pPr>
        <w:rPr>
          <w:szCs w:val="22"/>
          <w:lang w:val="sr-Latn-RS"/>
        </w:rPr>
      </w:pPr>
    </w:p>
    <w:p w14:paraId="3EFD2A6E" w14:textId="160A2C6D" w:rsidR="000C2772" w:rsidRPr="00704FF0" w:rsidRDefault="000C2772" w:rsidP="004A7F5A">
      <w:pPr>
        <w:rPr>
          <w:szCs w:val="22"/>
          <w:lang w:val="sr-Latn-RS"/>
        </w:rPr>
      </w:pPr>
      <w:r w:rsidRPr="00704FF0">
        <w:rPr>
          <w:szCs w:val="22"/>
          <w:lang w:val="sr-Latn-RS"/>
        </w:rPr>
        <w:t>Moguće su teške hipoglikemijske reakcije, sa komom, konvulzijama ili drugim neurološkim poremećajima, koje se moraju l</w:t>
      </w:r>
      <w:r w:rsidR="007C1524" w:rsidRPr="00704FF0">
        <w:rPr>
          <w:szCs w:val="22"/>
          <w:lang w:val="sr-Latn-RS"/>
        </w:rPr>
        <w:t>ij</w:t>
      </w:r>
      <w:r w:rsidRPr="00704FF0">
        <w:rPr>
          <w:szCs w:val="22"/>
          <w:lang w:val="sr-Latn-RS"/>
        </w:rPr>
        <w:t>ečiti kao urgentna stanja uz obaveznu hospitalizaciju.</w:t>
      </w:r>
    </w:p>
    <w:p w14:paraId="3EFD2A6F" w14:textId="77777777" w:rsidR="000C2772" w:rsidRPr="00704FF0" w:rsidRDefault="000C2772" w:rsidP="004A7F5A">
      <w:pPr>
        <w:rPr>
          <w:szCs w:val="22"/>
          <w:lang w:val="sr-Latn-RS"/>
        </w:rPr>
      </w:pPr>
    </w:p>
    <w:p w14:paraId="3EFD2A70" w14:textId="5D8F71D9" w:rsidR="000C2772" w:rsidRPr="00704FF0" w:rsidRDefault="000C2772" w:rsidP="004A7F5A">
      <w:pPr>
        <w:pStyle w:val="Header"/>
        <w:tabs>
          <w:tab w:val="clear" w:pos="4536"/>
          <w:tab w:val="clear" w:pos="9072"/>
          <w:tab w:val="left" w:pos="284"/>
        </w:tabs>
        <w:rPr>
          <w:szCs w:val="22"/>
          <w:lang w:val="sr-Latn-RS"/>
        </w:rPr>
      </w:pPr>
      <w:r w:rsidRPr="00704FF0">
        <w:rPr>
          <w:szCs w:val="22"/>
          <w:lang w:val="sr-Latn-RS"/>
        </w:rPr>
        <w:t xml:space="preserve">Ukoliko je hipoglikemijska koma dijagnostikovana ili </w:t>
      </w:r>
      <w:r w:rsidR="00615F76" w:rsidRPr="00704FF0">
        <w:rPr>
          <w:szCs w:val="22"/>
          <w:lang w:val="sr-Latn-RS"/>
        </w:rPr>
        <w:t>postoji</w:t>
      </w:r>
      <w:r w:rsidRPr="00704FF0">
        <w:rPr>
          <w:szCs w:val="22"/>
          <w:lang w:val="sr-Latn-RS"/>
        </w:rPr>
        <w:t xml:space="preserve"> su</w:t>
      </w:r>
      <w:r w:rsidR="00615F76" w:rsidRPr="00704FF0">
        <w:rPr>
          <w:szCs w:val="22"/>
          <w:lang w:val="sr-Latn-RS"/>
        </w:rPr>
        <w:t>mnja da je do nje došlo</w:t>
      </w:r>
      <w:r w:rsidRPr="00704FF0">
        <w:rPr>
          <w:szCs w:val="22"/>
          <w:lang w:val="sr-Latn-RS"/>
        </w:rPr>
        <w:t>, pacijentu je potrebno dati brzu i.v. injekciju 50 m</w:t>
      </w:r>
      <w:r w:rsidR="007C1524" w:rsidRPr="00704FF0">
        <w:rPr>
          <w:szCs w:val="22"/>
          <w:lang w:val="sr-Latn-RS"/>
        </w:rPr>
        <w:t>l</w:t>
      </w:r>
      <w:r w:rsidRPr="00704FF0">
        <w:rPr>
          <w:szCs w:val="22"/>
          <w:lang w:val="sr-Latn-RS"/>
        </w:rPr>
        <w:t xml:space="preserve"> koncentrovanog rastvora glukoze (20 do 30%). Zatim</w:t>
      </w:r>
      <w:r w:rsidR="00615F76" w:rsidRPr="00704FF0">
        <w:rPr>
          <w:szCs w:val="22"/>
          <w:lang w:val="sr-Latn-RS"/>
        </w:rPr>
        <w:t xml:space="preserve"> treba</w:t>
      </w:r>
      <w:r w:rsidRPr="00704FF0">
        <w:rPr>
          <w:szCs w:val="22"/>
          <w:lang w:val="sr-Latn-RS"/>
        </w:rPr>
        <w:t xml:space="preserve"> prim</w:t>
      </w:r>
      <w:r w:rsidR="007C1524" w:rsidRPr="00704FF0">
        <w:rPr>
          <w:szCs w:val="22"/>
          <w:lang w:val="sr-Latn-RS"/>
        </w:rPr>
        <w:t>ij</w:t>
      </w:r>
      <w:r w:rsidRPr="00704FF0">
        <w:rPr>
          <w:szCs w:val="22"/>
          <w:lang w:val="sr-Latn-RS"/>
        </w:rPr>
        <w:t>eniti kontinuiranu infuziju razblaženijeg rastvora glukoze (10%) brzinom koja je potrebna da se održi koncentracija glukoze u krvi iznad 1 g/</w:t>
      </w:r>
      <w:r w:rsidR="007C1524" w:rsidRPr="00704FF0">
        <w:rPr>
          <w:szCs w:val="22"/>
          <w:lang w:val="sr-Latn-RS"/>
        </w:rPr>
        <w:t>l</w:t>
      </w:r>
      <w:r w:rsidRPr="00704FF0">
        <w:rPr>
          <w:szCs w:val="22"/>
          <w:lang w:val="sr-Latn-RS"/>
        </w:rPr>
        <w:t>. Pacijente treba pažljivo posmatrati i nakon ovog perioda, a u zavisnosti od stanja pacijenta, l</w:t>
      </w:r>
      <w:r w:rsidR="007C1524" w:rsidRPr="00704FF0">
        <w:rPr>
          <w:szCs w:val="22"/>
          <w:lang w:val="sr-Latn-RS"/>
        </w:rPr>
        <w:t>j</w:t>
      </w:r>
      <w:r w:rsidRPr="00704FF0">
        <w:rPr>
          <w:szCs w:val="22"/>
          <w:lang w:val="sr-Latn-RS"/>
        </w:rPr>
        <w:t>ekar će odlučiti da li je potreban dalji monitoring.</w:t>
      </w:r>
    </w:p>
    <w:p w14:paraId="3EFD2A71" w14:textId="77777777" w:rsidR="000C2772" w:rsidRPr="00704FF0" w:rsidRDefault="000C2772" w:rsidP="004A7F5A">
      <w:pPr>
        <w:pStyle w:val="Header"/>
        <w:tabs>
          <w:tab w:val="clear" w:pos="4536"/>
          <w:tab w:val="clear" w:pos="9072"/>
          <w:tab w:val="left" w:pos="284"/>
        </w:tabs>
        <w:jc w:val="left"/>
        <w:rPr>
          <w:szCs w:val="22"/>
          <w:lang w:val="sr-Latn-RS"/>
        </w:rPr>
      </w:pPr>
    </w:p>
    <w:p w14:paraId="3EFD2A72" w14:textId="77777777" w:rsidR="000C2772" w:rsidRPr="00704FF0" w:rsidRDefault="000C2772" w:rsidP="004A7F5A">
      <w:pPr>
        <w:pStyle w:val="Header"/>
        <w:tabs>
          <w:tab w:val="clear" w:pos="4536"/>
          <w:tab w:val="clear" w:pos="9072"/>
          <w:tab w:val="left" w:pos="284"/>
        </w:tabs>
        <w:rPr>
          <w:szCs w:val="22"/>
          <w:lang w:val="sr-Latn-RS"/>
        </w:rPr>
      </w:pPr>
      <w:r w:rsidRPr="00704FF0">
        <w:rPr>
          <w:szCs w:val="22"/>
          <w:lang w:val="sr-Latn-RS"/>
        </w:rPr>
        <w:t>Dijaliza nije efikasna kod ovih pacijenata zbog snažnog vezivanja gliklazida za proteine plazme.</w:t>
      </w:r>
    </w:p>
    <w:p w14:paraId="3EFD2A73" w14:textId="4D7D5038" w:rsidR="000C2772" w:rsidRPr="00704FF0" w:rsidRDefault="000C2772" w:rsidP="004A7F5A">
      <w:pPr>
        <w:rPr>
          <w:szCs w:val="22"/>
          <w:lang w:val="sr-Latn-RS"/>
        </w:rPr>
      </w:pPr>
    </w:p>
    <w:p w14:paraId="5B7B602A" w14:textId="77777777" w:rsidR="004A7F5A" w:rsidRPr="00704FF0" w:rsidRDefault="004A7F5A" w:rsidP="004A7F5A">
      <w:pPr>
        <w:rPr>
          <w:szCs w:val="22"/>
          <w:lang w:val="sr-Latn-RS"/>
        </w:rPr>
      </w:pPr>
    </w:p>
    <w:p w14:paraId="3EFD2A74" w14:textId="18E9C5DC" w:rsidR="000C2772" w:rsidRPr="00704FF0" w:rsidRDefault="000C2772" w:rsidP="004A7F5A">
      <w:pPr>
        <w:pStyle w:val="NASLOV123"/>
        <w:spacing w:before="0" w:after="0"/>
        <w:rPr>
          <w:lang w:val="sr-Latn-RS"/>
        </w:rPr>
      </w:pPr>
      <w:r w:rsidRPr="00704FF0">
        <w:rPr>
          <w:lang w:val="sr-Latn-RS"/>
        </w:rPr>
        <w:t>5. FARMAKOLOŠKI PODACI</w:t>
      </w:r>
    </w:p>
    <w:p w14:paraId="5B584E87" w14:textId="77777777" w:rsidR="004A7F5A" w:rsidRPr="00704FF0" w:rsidRDefault="004A7F5A" w:rsidP="004A7F5A">
      <w:pPr>
        <w:pStyle w:val="NASLOV123"/>
        <w:spacing w:before="0" w:after="0"/>
        <w:rPr>
          <w:lang w:val="sr-Latn-RS"/>
        </w:rPr>
      </w:pPr>
    </w:p>
    <w:p w14:paraId="3EFD2A75" w14:textId="77777777" w:rsidR="000C2772" w:rsidRPr="00704FF0" w:rsidRDefault="000C2772" w:rsidP="004A7F5A">
      <w:pPr>
        <w:rPr>
          <w:b/>
          <w:bCs/>
          <w:szCs w:val="22"/>
          <w:lang w:val="sr-Latn-RS"/>
        </w:rPr>
      </w:pPr>
      <w:r w:rsidRPr="00704FF0">
        <w:rPr>
          <w:b/>
          <w:bCs/>
          <w:szCs w:val="22"/>
          <w:lang w:val="sr-Latn-RS"/>
        </w:rPr>
        <w:t>5.1. Farmakodinamski podaci</w:t>
      </w:r>
    </w:p>
    <w:p w14:paraId="4C283907" w14:textId="77777777" w:rsidR="00E75497" w:rsidRPr="00704FF0" w:rsidRDefault="00E75497" w:rsidP="004A7F5A">
      <w:pPr>
        <w:rPr>
          <w:b/>
          <w:bCs/>
          <w:szCs w:val="22"/>
          <w:lang w:val="sr-Latn-RS"/>
        </w:rPr>
      </w:pPr>
    </w:p>
    <w:p w14:paraId="3EFD2A76" w14:textId="3E20B190" w:rsidR="000C2772" w:rsidRPr="00704FF0" w:rsidRDefault="000C2772" w:rsidP="004A7F5A">
      <w:pPr>
        <w:rPr>
          <w:szCs w:val="22"/>
          <w:lang w:val="sr-Latn-RS"/>
        </w:rPr>
      </w:pPr>
      <w:r w:rsidRPr="00704FF0">
        <w:rPr>
          <w:szCs w:val="22"/>
          <w:lang w:val="sr-Latn-RS"/>
        </w:rPr>
        <w:t>Farmakoterapijska grupa: L</w:t>
      </w:r>
      <w:r w:rsidR="00E75497" w:rsidRPr="00704FF0">
        <w:rPr>
          <w:szCs w:val="22"/>
          <w:lang w:val="sr-Latn-RS"/>
        </w:rPr>
        <w:t>j</w:t>
      </w:r>
      <w:r w:rsidRPr="00704FF0">
        <w:rPr>
          <w:szCs w:val="22"/>
          <w:lang w:val="sr-Latn-RS"/>
        </w:rPr>
        <w:t xml:space="preserve">ekovi koji </w:t>
      </w:r>
      <w:r w:rsidR="00B66782" w:rsidRPr="00704FF0">
        <w:rPr>
          <w:szCs w:val="22"/>
          <w:lang w:val="sr-Latn-RS"/>
        </w:rPr>
        <w:t>se upotrebljavaju u dijabetesu</w:t>
      </w:r>
      <w:r w:rsidRPr="00704FF0">
        <w:rPr>
          <w:szCs w:val="22"/>
          <w:lang w:val="sr-Latn-RS"/>
        </w:rPr>
        <w:t>, derivati sulfoniluree</w:t>
      </w:r>
    </w:p>
    <w:p w14:paraId="3EFD2A77" w14:textId="77777777" w:rsidR="000C2772" w:rsidRPr="00704FF0" w:rsidRDefault="000C2772" w:rsidP="004A7F5A">
      <w:pPr>
        <w:rPr>
          <w:szCs w:val="22"/>
          <w:lang w:val="sr-Latn-RS"/>
        </w:rPr>
      </w:pPr>
    </w:p>
    <w:p w14:paraId="3EFD2A78" w14:textId="46F24C39" w:rsidR="000C2772" w:rsidRPr="00704FF0" w:rsidRDefault="000C2772" w:rsidP="004A7F5A">
      <w:pPr>
        <w:rPr>
          <w:szCs w:val="22"/>
          <w:lang w:val="sr-Latn-RS"/>
        </w:rPr>
      </w:pPr>
      <w:r w:rsidRPr="00704FF0">
        <w:rPr>
          <w:szCs w:val="22"/>
          <w:lang w:val="sr-Latn-RS"/>
        </w:rPr>
        <w:t xml:space="preserve">ATC </w:t>
      </w:r>
      <w:r w:rsidR="00E75497" w:rsidRPr="00704FF0">
        <w:rPr>
          <w:szCs w:val="22"/>
          <w:lang w:val="sr-Latn-RS"/>
        </w:rPr>
        <w:t>kod</w:t>
      </w:r>
      <w:r w:rsidRPr="00704FF0">
        <w:rPr>
          <w:szCs w:val="22"/>
          <w:lang w:val="sr-Latn-RS"/>
        </w:rPr>
        <w:t>: A10BB09</w:t>
      </w:r>
    </w:p>
    <w:p w14:paraId="3EFD2A79" w14:textId="77777777" w:rsidR="000C2772" w:rsidRPr="00704FF0" w:rsidRDefault="000C2772" w:rsidP="004A7F5A">
      <w:pPr>
        <w:rPr>
          <w:szCs w:val="22"/>
          <w:lang w:val="sr-Latn-RS"/>
        </w:rPr>
      </w:pPr>
    </w:p>
    <w:p w14:paraId="3EFD2A7A" w14:textId="77777777" w:rsidR="000C2772" w:rsidRPr="00704FF0" w:rsidRDefault="000C2772" w:rsidP="004A7F5A">
      <w:pPr>
        <w:autoSpaceDE w:val="0"/>
        <w:autoSpaceDN w:val="0"/>
        <w:adjustRightInd w:val="0"/>
        <w:rPr>
          <w:szCs w:val="22"/>
          <w:u w:val="single"/>
          <w:lang w:val="sr-Latn-RS"/>
        </w:rPr>
      </w:pPr>
      <w:r w:rsidRPr="00704FF0">
        <w:rPr>
          <w:szCs w:val="22"/>
          <w:u w:val="single"/>
          <w:lang w:val="sr-Latn-RS"/>
        </w:rPr>
        <w:t>Mehanizam dejstva</w:t>
      </w:r>
    </w:p>
    <w:p w14:paraId="3EFD2A7B" w14:textId="77777777" w:rsidR="000C2772" w:rsidRPr="00704FF0" w:rsidRDefault="000C2772" w:rsidP="004A7F5A">
      <w:pPr>
        <w:autoSpaceDE w:val="0"/>
        <w:autoSpaceDN w:val="0"/>
        <w:adjustRightInd w:val="0"/>
        <w:rPr>
          <w:szCs w:val="22"/>
          <w:lang w:val="sr-Latn-RS"/>
        </w:rPr>
      </w:pPr>
    </w:p>
    <w:p w14:paraId="3EFD2A7C" w14:textId="77777777" w:rsidR="000C2772" w:rsidRPr="00704FF0" w:rsidRDefault="000C2772" w:rsidP="004A7F5A">
      <w:pPr>
        <w:autoSpaceDE w:val="0"/>
        <w:autoSpaceDN w:val="0"/>
        <w:adjustRightInd w:val="0"/>
        <w:rPr>
          <w:szCs w:val="22"/>
          <w:lang w:val="sr-Latn-RS"/>
        </w:rPr>
      </w:pPr>
      <w:r w:rsidRPr="00704FF0">
        <w:rPr>
          <w:szCs w:val="22"/>
          <w:lang w:val="sr-Latn-RS"/>
        </w:rPr>
        <w:t>Gliklazid je oralni antidijabetik, derivat sulfoniluree sa hipoglikemijskim dejstvom, čija se aktivna supstanca razlikuje od drugih srodnih jedinjenja po N-heterocikličnom prstenu sa endocikličnom vezom.</w:t>
      </w:r>
    </w:p>
    <w:p w14:paraId="3EFD2A7D" w14:textId="77777777" w:rsidR="000C2772" w:rsidRPr="00704FF0" w:rsidRDefault="000C2772" w:rsidP="004A7F5A">
      <w:pPr>
        <w:autoSpaceDE w:val="0"/>
        <w:autoSpaceDN w:val="0"/>
        <w:adjustRightInd w:val="0"/>
        <w:rPr>
          <w:szCs w:val="22"/>
          <w:lang w:val="sr-Latn-RS"/>
        </w:rPr>
      </w:pPr>
    </w:p>
    <w:p w14:paraId="3EFD2A7E" w14:textId="4FAA74FD" w:rsidR="000C2772" w:rsidRPr="00704FF0" w:rsidRDefault="000C2772" w:rsidP="004A7F5A">
      <w:pPr>
        <w:autoSpaceDE w:val="0"/>
        <w:autoSpaceDN w:val="0"/>
        <w:adjustRightInd w:val="0"/>
        <w:rPr>
          <w:szCs w:val="22"/>
          <w:lang w:val="sr-Latn-RS"/>
        </w:rPr>
      </w:pPr>
      <w:r w:rsidRPr="00704FF0">
        <w:rPr>
          <w:szCs w:val="22"/>
          <w:lang w:val="sr-Latn-RS"/>
        </w:rPr>
        <w:t xml:space="preserve">Gliklazid smanjuje koncentraciju glukoze u krvi stimulišući sekreciju insulina iz </w:t>
      </w:r>
      <w:r w:rsidR="00B66782" w:rsidRPr="00704FF0">
        <w:rPr>
          <w:szCs w:val="22"/>
          <w:lang w:val="sr-Latn-RS"/>
        </w:rPr>
        <w:t>beta</w:t>
      </w:r>
      <w:r w:rsidRPr="00704FF0">
        <w:rPr>
          <w:szCs w:val="22"/>
          <w:lang w:val="sr-Latn-RS"/>
        </w:rPr>
        <w:t>-ćelija Langerhansovih ostrvaca. Povećenje postprandijalnog insulina i sekrecija C peptida se održavaju dv</w:t>
      </w:r>
      <w:r w:rsidR="00E75497" w:rsidRPr="00704FF0">
        <w:rPr>
          <w:szCs w:val="22"/>
          <w:lang w:val="sr-Latn-RS"/>
        </w:rPr>
        <w:t>ij</w:t>
      </w:r>
      <w:r w:rsidRPr="00704FF0">
        <w:rPr>
          <w:szCs w:val="22"/>
          <w:lang w:val="sr-Latn-RS"/>
        </w:rPr>
        <w:t>e godine nakon l</w:t>
      </w:r>
      <w:r w:rsidR="00E75497" w:rsidRPr="00704FF0">
        <w:rPr>
          <w:szCs w:val="22"/>
          <w:lang w:val="sr-Latn-RS"/>
        </w:rPr>
        <w:t>ij</w:t>
      </w:r>
      <w:r w:rsidRPr="00704FF0">
        <w:rPr>
          <w:szCs w:val="22"/>
          <w:lang w:val="sr-Latn-RS"/>
        </w:rPr>
        <w:t>ečenja.</w:t>
      </w:r>
    </w:p>
    <w:p w14:paraId="3EFD2A80" w14:textId="5956EBDE" w:rsidR="000C2772" w:rsidRPr="00704FF0" w:rsidRDefault="000C2772" w:rsidP="004A7F5A">
      <w:pPr>
        <w:pStyle w:val="Header"/>
        <w:tabs>
          <w:tab w:val="clear" w:pos="4536"/>
          <w:tab w:val="clear" w:pos="9072"/>
          <w:tab w:val="left" w:pos="284"/>
        </w:tabs>
        <w:jc w:val="left"/>
        <w:rPr>
          <w:b/>
          <w:szCs w:val="22"/>
          <w:lang w:val="sr-Latn-RS"/>
        </w:rPr>
      </w:pPr>
      <w:r w:rsidRPr="00704FF0">
        <w:rPr>
          <w:szCs w:val="22"/>
          <w:lang w:val="sr-Latn-RS"/>
        </w:rPr>
        <w:lastRenderedPageBreak/>
        <w:t>Osim ovih metaboličkih svojstava, gliklazid pos</w:t>
      </w:r>
      <w:r w:rsidR="00E75497" w:rsidRPr="00704FF0">
        <w:rPr>
          <w:szCs w:val="22"/>
          <w:lang w:val="sr-Latn-RS"/>
        </w:rPr>
        <w:t>j</w:t>
      </w:r>
      <w:r w:rsidRPr="00704FF0">
        <w:rPr>
          <w:szCs w:val="22"/>
          <w:lang w:val="sr-Latn-RS"/>
        </w:rPr>
        <w:t>eduje i hemovaskularna svojstva.</w:t>
      </w:r>
    </w:p>
    <w:p w14:paraId="3EFD2A81" w14:textId="77777777" w:rsidR="000C2772" w:rsidRPr="00704FF0" w:rsidRDefault="000C2772" w:rsidP="004A7F5A">
      <w:pPr>
        <w:autoSpaceDE w:val="0"/>
        <w:autoSpaceDN w:val="0"/>
        <w:adjustRightInd w:val="0"/>
        <w:rPr>
          <w:szCs w:val="22"/>
          <w:u w:val="single"/>
          <w:lang w:val="sr-Latn-RS"/>
        </w:rPr>
      </w:pPr>
    </w:p>
    <w:p w14:paraId="3EFD2A82" w14:textId="76A39B4E" w:rsidR="000C2772" w:rsidRPr="00704FF0" w:rsidRDefault="000C2772" w:rsidP="004A7F5A">
      <w:pPr>
        <w:pStyle w:val="Header"/>
        <w:tabs>
          <w:tab w:val="clear" w:pos="4536"/>
          <w:tab w:val="clear" w:pos="9072"/>
          <w:tab w:val="left" w:pos="284"/>
        </w:tabs>
        <w:jc w:val="left"/>
        <w:rPr>
          <w:szCs w:val="22"/>
          <w:u w:val="single"/>
          <w:lang w:val="sr-Latn-RS"/>
        </w:rPr>
      </w:pPr>
      <w:r w:rsidRPr="00704FF0">
        <w:rPr>
          <w:szCs w:val="22"/>
          <w:u w:val="single"/>
          <w:lang w:val="sr-Latn-RS"/>
        </w:rPr>
        <w:t>Klinička efikasnost i bezb</w:t>
      </w:r>
      <w:r w:rsidR="00E75497" w:rsidRPr="00704FF0">
        <w:rPr>
          <w:szCs w:val="22"/>
          <w:u w:val="single"/>
          <w:lang w:val="sr-Latn-RS"/>
        </w:rPr>
        <w:t>j</w:t>
      </w:r>
      <w:r w:rsidRPr="00704FF0">
        <w:rPr>
          <w:szCs w:val="22"/>
          <w:u w:val="single"/>
          <w:lang w:val="sr-Latn-RS"/>
        </w:rPr>
        <w:t>ednost</w:t>
      </w:r>
    </w:p>
    <w:p w14:paraId="3EFD2A83" w14:textId="77777777" w:rsidR="000C2772" w:rsidRPr="00704FF0" w:rsidRDefault="000C2772" w:rsidP="004A7F5A">
      <w:pPr>
        <w:pStyle w:val="Header"/>
        <w:tabs>
          <w:tab w:val="clear" w:pos="4536"/>
          <w:tab w:val="clear" w:pos="9072"/>
          <w:tab w:val="left" w:pos="284"/>
        </w:tabs>
        <w:jc w:val="left"/>
        <w:rPr>
          <w:szCs w:val="22"/>
          <w:u w:val="single"/>
          <w:lang w:val="sr-Latn-RS"/>
        </w:rPr>
      </w:pPr>
    </w:p>
    <w:p w14:paraId="3EFD2A84" w14:textId="77777777" w:rsidR="000C2772" w:rsidRPr="00704FF0" w:rsidRDefault="000C2772" w:rsidP="004A7F5A">
      <w:pPr>
        <w:autoSpaceDE w:val="0"/>
        <w:autoSpaceDN w:val="0"/>
        <w:adjustRightInd w:val="0"/>
        <w:rPr>
          <w:bCs/>
          <w:i/>
          <w:iCs/>
          <w:szCs w:val="22"/>
          <w:lang w:val="sr-Latn-RS"/>
        </w:rPr>
      </w:pPr>
      <w:r w:rsidRPr="00704FF0">
        <w:rPr>
          <w:bCs/>
          <w:i/>
          <w:iCs/>
          <w:szCs w:val="22"/>
          <w:lang w:val="sr-Latn-RS"/>
        </w:rPr>
        <w:t>Efekti na oslobađanje insulina:</w:t>
      </w:r>
    </w:p>
    <w:p w14:paraId="3EFD2A85" w14:textId="77777777" w:rsidR="000C2772" w:rsidRPr="00704FF0" w:rsidRDefault="000C2772" w:rsidP="004A7F5A">
      <w:pPr>
        <w:autoSpaceDE w:val="0"/>
        <w:autoSpaceDN w:val="0"/>
        <w:adjustRightInd w:val="0"/>
        <w:rPr>
          <w:szCs w:val="22"/>
          <w:lang w:val="sr-Latn-RS"/>
        </w:rPr>
      </w:pPr>
      <w:r w:rsidRPr="00704FF0">
        <w:rPr>
          <w:szCs w:val="22"/>
          <w:lang w:val="sr-Latn-RS"/>
        </w:rPr>
        <w:t xml:space="preserve">Kod dijabetesa tipa 2 gliklazid obnavlja prvi maksimum (pik) sekrecije insulina kao odgovor na glukozu i pojačava drugu fazu sekrecije insulina. Značajno povećanje u lučenju insulina se javlja kao odgovor na stimulaciju obrokom ili glukozom. </w:t>
      </w:r>
    </w:p>
    <w:p w14:paraId="70E60CBE" w14:textId="77777777" w:rsidR="00B66782" w:rsidRPr="00704FF0" w:rsidRDefault="00B66782" w:rsidP="004A7F5A">
      <w:pPr>
        <w:pStyle w:val="Header"/>
        <w:tabs>
          <w:tab w:val="clear" w:pos="4536"/>
          <w:tab w:val="clear" w:pos="9072"/>
          <w:tab w:val="left" w:pos="284"/>
        </w:tabs>
        <w:jc w:val="left"/>
        <w:rPr>
          <w:szCs w:val="22"/>
          <w:u w:val="single"/>
          <w:lang w:val="sr-Latn-RS"/>
        </w:rPr>
      </w:pPr>
    </w:p>
    <w:p w14:paraId="3EFD2A89" w14:textId="1EF75554" w:rsidR="000C2772" w:rsidRPr="00704FF0" w:rsidRDefault="000C2772" w:rsidP="004A7F5A">
      <w:pPr>
        <w:autoSpaceDE w:val="0"/>
        <w:autoSpaceDN w:val="0"/>
        <w:adjustRightInd w:val="0"/>
        <w:rPr>
          <w:bCs/>
          <w:i/>
          <w:iCs/>
          <w:szCs w:val="22"/>
          <w:lang w:val="sr-Latn-RS"/>
        </w:rPr>
      </w:pPr>
      <w:r w:rsidRPr="00704FF0">
        <w:rPr>
          <w:bCs/>
          <w:i/>
          <w:iCs/>
          <w:szCs w:val="22"/>
          <w:lang w:val="sr-Latn-RS"/>
        </w:rPr>
        <w:t>Hemovaskularn</w:t>
      </w:r>
      <w:r w:rsidR="00B66782" w:rsidRPr="00704FF0">
        <w:rPr>
          <w:bCs/>
          <w:i/>
          <w:iCs/>
          <w:szCs w:val="22"/>
          <w:lang w:val="sr-Latn-RS"/>
        </w:rPr>
        <w:t>a</w:t>
      </w:r>
      <w:r w:rsidRPr="00704FF0">
        <w:rPr>
          <w:bCs/>
          <w:i/>
          <w:iCs/>
          <w:szCs w:val="22"/>
          <w:lang w:val="sr-Latn-RS"/>
        </w:rPr>
        <w:t xml:space="preserve"> </w:t>
      </w:r>
      <w:r w:rsidR="00B66782" w:rsidRPr="00704FF0">
        <w:rPr>
          <w:bCs/>
          <w:i/>
          <w:iCs/>
          <w:szCs w:val="22"/>
          <w:lang w:val="sr-Latn-RS"/>
        </w:rPr>
        <w:t>svojstva</w:t>
      </w:r>
      <w:r w:rsidRPr="00704FF0">
        <w:rPr>
          <w:bCs/>
          <w:i/>
          <w:iCs/>
          <w:szCs w:val="22"/>
          <w:lang w:val="sr-Latn-RS"/>
        </w:rPr>
        <w:t>:</w:t>
      </w:r>
    </w:p>
    <w:p w14:paraId="3EFD2A8B" w14:textId="77777777" w:rsidR="000C2772" w:rsidRPr="00704FF0" w:rsidRDefault="000C2772" w:rsidP="004A7F5A">
      <w:pPr>
        <w:autoSpaceDE w:val="0"/>
        <w:autoSpaceDN w:val="0"/>
        <w:adjustRightInd w:val="0"/>
        <w:rPr>
          <w:szCs w:val="22"/>
          <w:lang w:val="sr-Latn-RS"/>
        </w:rPr>
      </w:pPr>
      <w:r w:rsidRPr="00704FF0">
        <w:rPr>
          <w:szCs w:val="22"/>
          <w:lang w:val="sr-Latn-RS"/>
        </w:rPr>
        <w:t>Gliklazid smanjuje nastanak mikrotromboze pomoću dva mehanizma koji su uključeni u komplikacije dijabetesa:</w:t>
      </w:r>
    </w:p>
    <w:p w14:paraId="3EFD2A8C" w14:textId="77777777" w:rsidR="000C2772" w:rsidRPr="00704FF0" w:rsidRDefault="000C2772" w:rsidP="004A7F5A">
      <w:pPr>
        <w:autoSpaceDE w:val="0"/>
        <w:autoSpaceDN w:val="0"/>
        <w:adjustRightInd w:val="0"/>
        <w:rPr>
          <w:szCs w:val="22"/>
          <w:lang w:val="sr-Latn-RS"/>
        </w:rPr>
      </w:pPr>
    </w:p>
    <w:p w14:paraId="3EFD2A8D" w14:textId="77777777" w:rsidR="000C2772" w:rsidRPr="00704FF0" w:rsidRDefault="000C2772" w:rsidP="004A7F5A">
      <w:pPr>
        <w:numPr>
          <w:ilvl w:val="0"/>
          <w:numId w:val="22"/>
        </w:numPr>
        <w:autoSpaceDE w:val="0"/>
        <w:autoSpaceDN w:val="0"/>
        <w:adjustRightInd w:val="0"/>
        <w:rPr>
          <w:szCs w:val="22"/>
          <w:lang w:val="sr-Latn-RS"/>
        </w:rPr>
      </w:pPr>
      <w:r w:rsidRPr="00704FF0">
        <w:rPr>
          <w:szCs w:val="22"/>
          <w:lang w:val="sr-Latn-RS"/>
        </w:rPr>
        <w:t>parcijalna inhibicija agregacije i adhezije trombocita, sa smanjenjem markera trombocitne aktivacije (beta tromboglobulin, tromboksan B</w:t>
      </w:r>
      <w:r w:rsidRPr="00704FF0">
        <w:rPr>
          <w:szCs w:val="22"/>
          <w:vertAlign w:val="subscript"/>
          <w:lang w:val="sr-Latn-RS"/>
        </w:rPr>
        <w:t>2</w:t>
      </w:r>
      <w:r w:rsidRPr="00704FF0">
        <w:rPr>
          <w:szCs w:val="22"/>
          <w:lang w:val="sr-Latn-RS"/>
        </w:rPr>
        <w:t>),</w:t>
      </w:r>
    </w:p>
    <w:p w14:paraId="3EFD2A8E" w14:textId="77777777" w:rsidR="000C2772" w:rsidRPr="00704FF0" w:rsidRDefault="000C2772" w:rsidP="004A7F5A">
      <w:pPr>
        <w:autoSpaceDE w:val="0"/>
        <w:autoSpaceDN w:val="0"/>
        <w:adjustRightInd w:val="0"/>
        <w:rPr>
          <w:szCs w:val="22"/>
          <w:lang w:val="sr-Latn-RS"/>
        </w:rPr>
      </w:pPr>
    </w:p>
    <w:p w14:paraId="3EFD2A8F" w14:textId="77777777" w:rsidR="000C2772" w:rsidRPr="00704FF0" w:rsidRDefault="000C2772" w:rsidP="004A7F5A">
      <w:pPr>
        <w:numPr>
          <w:ilvl w:val="0"/>
          <w:numId w:val="22"/>
        </w:numPr>
        <w:rPr>
          <w:szCs w:val="22"/>
          <w:lang w:val="sr-Latn-RS"/>
        </w:rPr>
      </w:pPr>
      <w:r w:rsidRPr="00704FF0">
        <w:rPr>
          <w:szCs w:val="22"/>
          <w:lang w:val="sr-Latn-RS"/>
        </w:rPr>
        <w:t>dejstvom na fibrinolitičku aktivnost vaskularnog endotela sa povećanjem tPA aktivnosti.</w:t>
      </w:r>
    </w:p>
    <w:p w14:paraId="3EFD2A90" w14:textId="77777777" w:rsidR="000C2772" w:rsidRPr="00704FF0" w:rsidRDefault="000C2772" w:rsidP="004A7F5A">
      <w:pPr>
        <w:rPr>
          <w:szCs w:val="22"/>
          <w:lang w:val="sr-Latn-RS"/>
        </w:rPr>
      </w:pPr>
    </w:p>
    <w:p w14:paraId="3EFD2A91" w14:textId="77777777" w:rsidR="000C2772" w:rsidRPr="00704FF0" w:rsidRDefault="000C2772" w:rsidP="004A7F5A">
      <w:pPr>
        <w:rPr>
          <w:b/>
          <w:bCs/>
          <w:szCs w:val="22"/>
          <w:lang w:val="sr-Latn-RS"/>
        </w:rPr>
      </w:pPr>
      <w:r w:rsidRPr="00704FF0">
        <w:rPr>
          <w:b/>
          <w:bCs/>
          <w:szCs w:val="22"/>
          <w:lang w:val="sr-Latn-RS"/>
        </w:rPr>
        <w:t>5.2. Farmakokinetički podaci</w:t>
      </w:r>
    </w:p>
    <w:p w14:paraId="3EFD2A92" w14:textId="77777777" w:rsidR="000C2772" w:rsidRPr="00704FF0" w:rsidRDefault="000C2772" w:rsidP="004A7F5A">
      <w:pPr>
        <w:rPr>
          <w:szCs w:val="22"/>
          <w:lang w:val="sr-Latn-RS"/>
        </w:rPr>
      </w:pPr>
    </w:p>
    <w:p w14:paraId="3EFD2A93" w14:textId="77777777" w:rsidR="000C2772" w:rsidRPr="00704FF0" w:rsidRDefault="000C2772" w:rsidP="004A7F5A">
      <w:pPr>
        <w:pStyle w:val="Header"/>
        <w:tabs>
          <w:tab w:val="clear" w:pos="4536"/>
          <w:tab w:val="clear" w:pos="9072"/>
          <w:tab w:val="left" w:pos="284"/>
        </w:tabs>
        <w:jc w:val="left"/>
        <w:rPr>
          <w:szCs w:val="22"/>
          <w:u w:val="single"/>
          <w:lang w:val="sr-Latn-RS"/>
        </w:rPr>
      </w:pPr>
      <w:r w:rsidRPr="00704FF0">
        <w:rPr>
          <w:szCs w:val="22"/>
          <w:u w:val="single"/>
          <w:lang w:val="sr-Latn-RS"/>
        </w:rPr>
        <w:t xml:space="preserve">Resorpcija </w:t>
      </w:r>
    </w:p>
    <w:p w14:paraId="3EFD2A94"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Maksimalne koncentracije u plazmi se postižu nakon 2 do 6 sati. Gliklazid se veoma dobro resorbuje. Unos hrane ne utiče na brzinu i stepen resorpcije.</w:t>
      </w:r>
    </w:p>
    <w:p w14:paraId="3EFD2A95" w14:textId="77777777" w:rsidR="000C2772" w:rsidRPr="00704FF0" w:rsidRDefault="000C2772" w:rsidP="004A7F5A">
      <w:pPr>
        <w:pStyle w:val="Header"/>
        <w:tabs>
          <w:tab w:val="clear" w:pos="4536"/>
          <w:tab w:val="clear" w:pos="9072"/>
          <w:tab w:val="left" w:pos="284"/>
        </w:tabs>
        <w:jc w:val="left"/>
        <w:rPr>
          <w:szCs w:val="22"/>
          <w:lang w:val="sr-Latn-RS"/>
        </w:rPr>
      </w:pPr>
    </w:p>
    <w:p w14:paraId="3EFD2A96" w14:textId="77777777" w:rsidR="000C2772" w:rsidRPr="00704FF0" w:rsidRDefault="000C2772" w:rsidP="004A7F5A">
      <w:pPr>
        <w:pStyle w:val="Header"/>
        <w:tabs>
          <w:tab w:val="clear" w:pos="4536"/>
          <w:tab w:val="clear" w:pos="9072"/>
          <w:tab w:val="left" w:pos="284"/>
        </w:tabs>
        <w:jc w:val="left"/>
        <w:rPr>
          <w:szCs w:val="22"/>
          <w:u w:val="single"/>
          <w:lang w:val="sr-Latn-RS"/>
        </w:rPr>
      </w:pPr>
      <w:r w:rsidRPr="00704FF0">
        <w:rPr>
          <w:szCs w:val="22"/>
          <w:u w:val="single"/>
          <w:lang w:val="sr-Latn-RS"/>
        </w:rPr>
        <w:t>Distribucija</w:t>
      </w:r>
    </w:p>
    <w:p w14:paraId="3EFD2A97"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Vezivanje za proteine plazme je približno 95%. Volumen distribucije je oko 19 litara.</w:t>
      </w:r>
    </w:p>
    <w:p w14:paraId="3EFD2A98" w14:textId="77777777" w:rsidR="000C2772" w:rsidRPr="00704FF0" w:rsidRDefault="000C2772" w:rsidP="004A7F5A">
      <w:pPr>
        <w:pStyle w:val="Header"/>
        <w:tabs>
          <w:tab w:val="clear" w:pos="4536"/>
          <w:tab w:val="clear" w:pos="9072"/>
          <w:tab w:val="left" w:pos="284"/>
        </w:tabs>
        <w:jc w:val="left"/>
        <w:rPr>
          <w:szCs w:val="22"/>
          <w:u w:val="single"/>
          <w:lang w:val="sr-Latn-RS"/>
        </w:rPr>
      </w:pPr>
    </w:p>
    <w:p w14:paraId="3EFD2A99" w14:textId="77777777" w:rsidR="000C2772" w:rsidRPr="00704FF0" w:rsidRDefault="000C2772" w:rsidP="004A7F5A">
      <w:pPr>
        <w:pStyle w:val="Header"/>
        <w:tabs>
          <w:tab w:val="clear" w:pos="4536"/>
          <w:tab w:val="clear" w:pos="9072"/>
          <w:tab w:val="left" w:pos="284"/>
        </w:tabs>
        <w:jc w:val="left"/>
        <w:rPr>
          <w:szCs w:val="22"/>
          <w:u w:val="single"/>
          <w:lang w:val="sr-Latn-RS"/>
        </w:rPr>
      </w:pPr>
      <w:r w:rsidRPr="00704FF0">
        <w:rPr>
          <w:szCs w:val="22"/>
          <w:u w:val="single"/>
          <w:lang w:val="sr-Latn-RS"/>
        </w:rPr>
        <w:t>Biotransformacija</w:t>
      </w:r>
    </w:p>
    <w:p w14:paraId="3EFD2A9A" w14:textId="3292FD81"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Gliklazid se uglavnom metaboliše u jetri i izlučuje putem urina; manje od 1% doze se izluči neprom</w:t>
      </w:r>
      <w:r w:rsidR="00E75497" w:rsidRPr="00704FF0">
        <w:rPr>
          <w:szCs w:val="22"/>
          <w:lang w:val="sr-Latn-RS"/>
        </w:rPr>
        <w:t>ij</w:t>
      </w:r>
      <w:r w:rsidRPr="00704FF0">
        <w:rPr>
          <w:szCs w:val="22"/>
          <w:lang w:val="sr-Latn-RS"/>
        </w:rPr>
        <w:t>enjeno urinom. U plazmi nema aktivnih metabolita.</w:t>
      </w:r>
    </w:p>
    <w:p w14:paraId="3EFD2A9B" w14:textId="77777777" w:rsidR="000C2772" w:rsidRPr="00704FF0" w:rsidRDefault="000C2772" w:rsidP="004A7F5A">
      <w:pPr>
        <w:pStyle w:val="Header"/>
        <w:tabs>
          <w:tab w:val="clear" w:pos="4536"/>
          <w:tab w:val="clear" w:pos="9072"/>
          <w:tab w:val="left" w:pos="284"/>
        </w:tabs>
        <w:jc w:val="left"/>
        <w:rPr>
          <w:szCs w:val="22"/>
          <w:u w:val="single"/>
          <w:lang w:val="sr-Latn-RS"/>
        </w:rPr>
      </w:pPr>
    </w:p>
    <w:p w14:paraId="3EFD2A9C" w14:textId="77777777" w:rsidR="000C2772" w:rsidRPr="00704FF0" w:rsidRDefault="000C2772" w:rsidP="004A7F5A">
      <w:pPr>
        <w:pStyle w:val="Header"/>
        <w:tabs>
          <w:tab w:val="clear" w:pos="4536"/>
          <w:tab w:val="clear" w:pos="9072"/>
          <w:tab w:val="left" w:pos="284"/>
        </w:tabs>
        <w:jc w:val="left"/>
        <w:rPr>
          <w:szCs w:val="22"/>
          <w:u w:val="single"/>
          <w:lang w:val="sr-Latn-RS"/>
        </w:rPr>
      </w:pPr>
      <w:r w:rsidRPr="00704FF0">
        <w:rPr>
          <w:szCs w:val="22"/>
          <w:u w:val="single"/>
          <w:lang w:val="sr-Latn-RS"/>
        </w:rPr>
        <w:t>Eliminacija</w:t>
      </w:r>
    </w:p>
    <w:p w14:paraId="3EFD2A9D" w14:textId="377CC17B"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Poluvr</w:t>
      </w:r>
      <w:r w:rsidR="00E75497" w:rsidRPr="00704FF0">
        <w:rPr>
          <w:szCs w:val="22"/>
          <w:lang w:val="sr-Latn-RS"/>
        </w:rPr>
        <w:t>ij</w:t>
      </w:r>
      <w:r w:rsidRPr="00704FF0">
        <w:rPr>
          <w:szCs w:val="22"/>
          <w:lang w:val="sr-Latn-RS"/>
        </w:rPr>
        <w:t xml:space="preserve">eme eliminacije iznosi približno 10-12 </w:t>
      </w:r>
      <w:r w:rsidR="00B66782" w:rsidRPr="00704FF0">
        <w:rPr>
          <w:szCs w:val="22"/>
          <w:lang w:val="sr-Latn-RS"/>
        </w:rPr>
        <w:t>sati</w:t>
      </w:r>
      <w:r w:rsidRPr="00704FF0">
        <w:rPr>
          <w:szCs w:val="22"/>
          <w:lang w:val="sr-Latn-RS"/>
        </w:rPr>
        <w:t>.</w:t>
      </w:r>
    </w:p>
    <w:p w14:paraId="3EFD2A9E" w14:textId="77777777" w:rsidR="000C2772" w:rsidRPr="00704FF0" w:rsidRDefault="000C2772" w:rsidP="004A7F5A">
      <w:pPr>
        <w:pStyle w:val="Header"/>
        <w:tabs>
          <w:tab w:val="clear" w:pos="4536"/>
          <w:tab w:val="clear" w:pos="9072"/>
          <w:tab w:val="left" w:pos="284"/>
        </w:tabs>
        <w:jc w:val="left"/>
        <w:rPr>
          <w:szCs w:val="22"/>
          <w:lang w:val="sr-Latn-RS"/>
        </w:rPr>
      </w:pPr>
    </w:p>
    <w:p w14:paraId="3EFD2A9F" w14:textId="77777777" w:rsidR="000C2772" w:rsidRPr="00704FF0" w:rsidRDefault="000C2772" w:rsidP="004A7F5A">
      <w:pPr>
        <w:pStyle w:val="Header"/>
        <w:tabs>
          <w:tab w:val="clear" w:pos="4536"/>
          <w:tab w:val="clear" w:pos="9072"/>
          <w:tab w:val="left" w:pos="284"/>
        </w:tabs>
        <w:jc w:val="left"/>
        <w:rPr>
          <w:szCs w:val="22"/>
          <w:u w:val="single"/>
          <w:lang w:val="sr-Latn-RS"/>
        </w:rPr>
      </w:pPr>
      <w:r w:rsidRPr="00704FF0">
        <w:rPr>
          <w:szCs w:val="22"/>
          <w:u w:val="single"/>
          <w:lang w:val="sr-Latn-RS"/>
        </w:rPr>
        <w:t>Linearnost/ nelinearnost</w:t>
      </w:r>
    </w:p>
    <w:p w14:paraId="3EFD2AA0"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Odnos doza u rasponu od 40 do 400 mg i koncentracije u plazmi je linearan.</w:t>
      </w:r>
    </w:p>
    <w:p w14:paraId="3EFD2AA1" w14:textId="77777777" w:rsidR="000C2772" w:rsidRPr="00704FF0" w:rsidRDefault="000C2772" w:rsidP="004A7F5A">
      <w:pPr>
        <w:pStyle w:val="Header"/>
        <w:tabs>
          <w:tab w:val="clear" w:pos="4536"/>
          <w:tab w:val="clear" w:pos="9072"/>
          <w:tab w:val="left" w:pos="284"/>
        </w:tabs>
        <w:jc w:val="left"/>
        <w:rPr>
          <w:szCs w:val="22"/>
          <w:lang w:val="sr-Latn-RS"/>
        </w:rPr>
      </w:pPr>
    </w:p>
    <w:p w14:paraId="3EFD2AA2" w14:textId="77777777" w:rsidR="000C2772" w:rsidRPr="00704FF0" w:rsidRDefault="000C2772" w:rsidP="004A7F5A">
      <w:pPr>
        <w:pStyle w:val="Header"/>
        <w:tabs>
          <w:tab w:val="clear" w:pos="4536"/>
          <w:tab w:val="clear" w:pos="9072"/>
          <w:tab w:val="left" w:pos="284"/>
        </w:tabs>
        <w:jc w:val="left"/>
        <w:rPr>
          <w:szCs w:val="22"/>
          <w:u w:val="single"/>
          <w:lang w:val="sr-Latn-RS"/>
        </w:rPr>
      </w:pPr>
      <w:r w:rsidRPr="00704FF0">
        <w:rPr>
          <w:szCs w:val="22"/>
          <w:u w:val="single"/>
          <w:lang w:val="sr-Latn-RS"/>
        </w:rPr>
        <w:t>Posebne populacije</w:t>
      </w:r>
    </w:p>
    <w:p w14:paraId="3EFD2AA3" w14:textId="77777777" w:rsidR="000C2772" w:rsidRPr="00704FF0" w:rsidRDefault="000C2772" w:rsidP="004A7F5A">
      <w:pPr>
        <w:pStyle w:val="Header"/>
        <w:tabs>
          <w:tab w:val="clear" w:pos="4536"/>
          <w:tab w:val="clear" w:pos="9072"/>
          <w:tab w:val="left" w:pos="284"/>
        </w:tabs>
        <w:jc w:val="left"/>
        <w:rPr>
          <w:i/>
          <w:szCs w:val="22"/>
          <w:lang w:val="sr-Latn-RS"/>
        </w:rPr>
      </w:pPr>
    </w:p>
    <w:p w14:paraId="3EFD2AA4" w14:textId="0AC071B7" w:rsidR="000C2772" w:rsidRPr="00704FF0" w:rsidRDefault="000C2772" w:rsidP="004A7F5A">
      <w:pPr>
        <w:pStyle w:val="Header"/>
        <w:tabs>
          <w:tab w:val="clear" w:pos="4536"/>
          <w:tab w:val="clear" w:pos="9072"/>
          <w:tab w:val="left" w:pos="284"/>
        </w:tabs>
        <w:jc w:val="left"/>
        <w:rPr>
          <w:i/>
          <w:szCs w:val="22"/>
          <w:lang w:val="sr-Latn-RS"/>
        </w:rPr>
      </w:pPr>
      <w:r w:rsidRPr="00704FF0">
        <w:rPr>
          <w:i/>
          <w:szCs w:val="22"/>
          <w:lang w:val="sr-Latn-RS"/>
        </w:rPr>
        <w:t>Starij</w:t>
      </w:r>
      <w:r w:rsidR="00B66782" w:rsidRPr="00704FF0">
        <w:rPr>
          <w:i/>
          <w:szCs w:val="22"/>
          <w:lang w:val="sr-Latn-RS"/>
        </w:rPr>
        <w:t>i pacijenti</w:t>
      </w:r>
    </w:p>
    <w:p w14:paraId="3EFD2AA6" w14:textId="0592BA6E" w:rsidR="000C2772" w:rsidRPr="00704FF0" w:rsidRDefault="000C2772" w:rsidP="004A7F5A">
      <w:pPr>
        <w:rPr>
          <w:szCs w:val="22"/>
          <w:lang w:val="sr-Latn-RS"/>
        </w:rPr>
      </w:pPr>
      <w:r w:rsidRPr="00704FF0">
        <w:rPr>
          <w:szCs w:val="22"/>
          <w:lang w:val="sr-Latn-RS"/>
        </w:rPr>
        <w:t>Nisu prim</w:t>
      </w:r>
      <w:r w:rsidR="00E75497" w:rsidRPr="00704FF0">
        <w:rPr>
          <w:szCs w:val="22"/>
          <w:lang w:val="sr-Latn-RS"/>
        </w:rPr>
        <w:t>ij</w:t>
      </w:r>
      <w:r w:rsidRPr="00704FF0">
        <w:rPr>
          <w:szCs w:val="22"/>
          <w:lang w:val="sr-Latn-RS"/>
        </w:rPr>
        <w:t>ećene klinički značajne prom</w:t>
      </w:r>
      <w:r w:rsidR="00E75497" w:rsidRPr="00704FF0">
        <w:rPr>
          <w:szCs w:val="22"/>
          <w:lang w:val="sr-Latn-RS"/>
        </w:rPr>
        <w:t>j</w:t>
      </w:r>
      <w:r w:rsidRPr="00704FF0">
        <w:rPr>
          <w:szCs w:val="22"/>
          <w:lang w:val="sr-Latn-RS"/>
        </w:rPr>
        <w:t>ene farmakokinetičkih parametara kod starijih pacijenata.</w:t>
      </w:r>
    </w:p>
    <w:p w14:paraId="3EFD2AA7" w14:textId="77777777" w:rsidR="000C2772" w:rsidRPr="00704FF0" w:rsidRDefault="000C2772" w:rsidP="004A7F5A">
      <w:pPr>
        <w:rPr>
          <w:szCs w:val="22"/>
          <w:lang w:val="sr-Latn-RS"/>
        </w:rPr>
      </w:pPr>
    </w:p>
    <w:p w14:paraId="3EFD2AA8" w14:textId="6FB772C7" w:rsidR="000C2772" w:rsidRPr="00704FF0" w:rsidRDefault="000C2772" w:rsidP="004A7F5A">
      <w:pPr>
        <w:rPr>
          <w:b/>
          <w:bCs/>
          <w:szCs w:val="22"/>
          <w:lang w:val="sr-Latn-RS"/>
        </w:rPr>
      </w:pPr>
      <w:r w:rsidRPr="00704FF0">
        <w:rPr>
          <w:b/>
          <w:bCs/>
          <w:szCs w:val="22"/>
          <w:lang w:val="sr-Latn-RS"/>
        </w:rPr>
        <w:t>5.3. Pretklinički podaci o bezb</w:t>
      </w:r>
      <w:r w:rsidR="00E75497" w:rsidRPr="00704FF0">
        <w:rPr>
          <w:b/>
          <w:bCs/>
          <w:szCs w:val="22"/>
          <w:lang w:val="sr-Latn-RS"/>
        </w:rPr>
        <w:t>j</w:t>
      </w:r>
      <w:r w:rsidRPr="00704FF0">
        <w:rPr>
          <w:b/>
          <w:bCs/>
          <w:szCs w:val="22"/>
          <w:lang w:val="sr-Latn-RS"/>
        </w:rPr>
        <w:t xml:space="preserve">ednosti </w:t>
      </w:r>
    </w:p>
    <w:p w14:paraId="3EFD2AA9" w14:textId="77777777" w:rsidR="000C2772" w:rsidRPr="00704FF0" w:rsidRDefault="000C2772" w:rsidP="004A7F5A">
      <w:pPr>
        <w:rPr>
          <w:szCs w:val="22"/>
          <w:lang w:val="sr-Latn-RS"/>
        </w:rPr>
      </w:pPr>
    </w:p>
    <w:p w14:paraId="3EFD2AAA"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Pretklinički podaci dobijeni konvencionalnim ispitivanjima toksičnosti ponovljene doze i genotoksičnosti ne ukazuju na poseban rizik za ljude.</w:t>
      </w:r>
    </w:p>
    <w:p w14:paraId="3EFD2AAB" w14:textId="06B495FF" w:rsidR="000C2772" w:rsidRPr="00704FF0" w:rsidRDefault="000C2772" w:rsidP="004A7F5A">
      <w:pPr>
        <w:rPr>
          <w:szCs w:val="22"/>
          <w:lang w:val="sr-Latn-RS"/>
        </w:rPr>
      </w:pPr>
      <w:r w:rsidRPr="00704FF0">
        <w:rPr>
          <w:szCs w:val="22"/>
          <w:lang w:val="sr-Latn-RS"/>
        </w:rPr>
        <w:t>Nisu sprovedena dugotrajna ispitivanja karcinogenosti. Ispitivanja na životinjama nisu pokazala teratogene prom</w:t>
      </w:r>
      <w:r w:rsidR="00E75497" w:rsidRPr="00704FF0">
        <w:rPr>
          <w:szCs w:val="22"/>
          <w:lang w:val="sr-Latn-RS"/>
        </w:rPr>
        <w:t>j</w:t>
      </w:r>
      <w:r w:rsidRPr="00704FF0">
        <w:rPr>
          <w:szCs w:val="22"/>
          <w:lang w:val="sr-Latn-RS"/>
        </w:rPr>
        <w:t xml:space="preserve">ene, ali je zapažena </w:t>
      </w:r>
      <w:r w:rsidR="00B66782" w:rsidRPr="00704FF0">
        <w:rPr>
          <w:szCs w:val="22"/>
          <w:lang w:val="sr-Latn-RS"/>
        </w:rPr>
        <w:t xml:space="preserve">manja </w:t>
      </w:r>
      <w:r w:rsidRPr="00704FF0">
        <w:rPr>
          <w:szCs w:val="22"/>
          <w:lang w:val="sr-Latn-RS"/>
        </w:rPr>
        <w:t>t</w:t>
      </w:r>
      <w:r w:rsidR="00E75497" w:rsidRPr="00704FF0">
        <w:rPr>
          <w:szCs w:val="22"/>
          <w:lang w:val="sr-Latn-RS"/>
        </w:rPr>
        <w:t>j</w:t>
      </w:r>
      <w:r w:rsidRPr="00704FF0">
        <w:rPr>
          <w:szCs w:val="22"/>
          <w:lang w:val="sr-Latn-RS"/>
        </w:rPr>
        <w:t>elesna masa fetusa kod životinja koje su primale doze 9,4 puta veće od maksimalno preporučenih doza kod ljudi. Nakon prim</w:t>
      </w:r>
      <w:r w:rsidR="00E75497" w:rsidRPr="00704FF0">
        <w:rPr>
          <w:szCs w:val="22"/>
          <w:lang w:val="sr-Latn-RS"/>
        </w:rPr>
        <w:t>j</w:t>
      </w:r>
      <w:r w:rsidRPr="00704FF0">
        <w:rPr>
          <w:szCs w:val="22"/>
          <w:lang w:val="sr-Latn-RS"/>
        </w:rPr>
        <w:t>ene gliklazida u ispitivanjima na životinjama, nije bilo uticaja na plodnost i reproduktivne funkcije.</w:t>
      </w:r>
    </w:p>
    <w:p w14:paraId="3EFD2AAC" w14:textId="006C59C0" w:rsidR="000C2772" w:rsidRPr="00704FF0" w:rsidRDefault="000C2772" w:rsidP="004A7F5A">
      <w:pPr>
        <w:pStyle w:val="NASLOV123"/>
        <w:spacing w:before="0" w:after="0"/>
        <w:rPr>
          <w:lang w:val="sr-Latn-RS"/>
        </w:rPr>
      </w:pPr>
    </w:p>
    <w:p w14:paraId="57BBCC94" w14:textId="77777777" w:rsidR="004A7F5A" w:rsidRPr="00704FF0" w:rsidRDefault="004A7F5A" w:rsidP="004A7F5A">
      <w:pPr>
        <w:pStyle w:val="NASLOV123"/>
        <w:spacing w:before="0" w:after="0"/>
        <w:rPr>
          <w:lang w:val="sr-Latn-RS"/>
        </w:rPr>
      </w:pPr>
    </w:p>
    <w:p w14:paraId="3EFD2AAD" w14:textId="4007C2CB" w:rsidR="000C2772" w:rsidRPr="00704FF0" w:rsidRDefault="000C2772" w:rsidP="004A7F5A">
      <w:pPr>
        <w:pStyle w:val="NASLOV123"/>
        <w:spacing w:before="0" w:after="0"/>
        <w:rPr>
          <w:lang w:val="sr-Latn-RS"/>
        </w:rPr>
      </w:pPr>
      <w:r w:rsidRPr="00704FF0">
        <w:rPr>
          <w:lang w:val="sr-Latn-RS"/>
        </w:rPr>
        <w:t>6. FARMACEUTSKI PODACI</w:t>
      </w:r>
    </w:p>
    <w:p w14:paraId="04C8C116" w14:textId="77777777" w:rsidR="004A7F5A" w:rsidRPr="00704FF0" w:rsidRDefault="004A7F5A" w:rsidP="004A7F5A">
      <w:pPr>
        <w:pStyle w:val="NASLOV123"/>
        <w:spacing w:before="0" w:after="0"/>
        <w:rPr>
          <w:lang w:val="sr-Latn-RS"/>
        </w:rPr>
      </w:pPr>
    </w:p>
    <w:p w14:paraId="3EFD2AAE" w14:textId="6ED99F8A" w:rsidR="000C2772" w:rsidRPr="00704FF0" w:rsidRDefault="000C2772" w:rsidP="004A7F5A">
      <w:pPr>
        <w:rPr>
          <w:b/>
          <w:bCs/>
          <w:szCs w:val="22"/>
          <w:lang w:val="sr-Latn-RS"/>
        </w:rPr>
      </w:pPr>
      <w:r w:rsidRPr="00704FF0">
        <w:rPr>
          <w:b/>
          <w:bCs/>
          <w:szCs w:val="22"/>
          <w:lang w:val="sr-Latn-RS"/>
        </w:rPr>
        <w:t>6.1. Lista pomoćnih supstanci</w:t>
      </w:r>
      <w:r w:rsidR="00E75497" w:rsidRPr="00704FF0">
        <w:rPr>
          <w:b/>
          <w:bCs/>
          <w:szCs w:val="22"/>
          <w:lang w:val="sr-Latn-RS"/>
        </w:rPr>
        <w:t xml:space="preserve"> (ekscipijenasa)</w:t>
      </w:r>
    </w:p>
    <w:p w14:paraId="3EFD2AAF" w14:textId="77777777" w:rsidR="000C2772" w:rsidRPr="00704FF0" w:rsidRDefault="000C2772" w:rsidP="004A7F5A">
      <w:pPr>
        <w:rPr>
          <w:szCs w:val="22"/>
          <w:lang w:val="sr-Latn-RS"/>
        </w:rPr>
      </w:pPr>
    </w:p>
    <w:p w14:paraId="3EFD2AB0"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 xml:space="preserve">laktoza, monohidrat; </w:t>
      </w:r>
    </w:p>
    <w:p w14:paraId="3EFD2AB1"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lastRenderedPageBreak/>
        <w:t xml:space="preserve">skrob, kukuruzni; </w:t>
      </w:r>
    </w:p>
    <w:p w14:paraId="3EFD2AB2" w14:textId="7777777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 xml:space="preserve">povidon; </w:t>
      </w:r>
    </w:p>
    <w:p w14:paraId="3EFD2AB3" w14:textId="6E1274A6"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 xml:space="preserve">skrob, </w:t>
      </w:r>
      <w:r w:rsidR="00615F76" w:rsidRPr="00704FF0">
        <w:rPr>
          <w:szCs w:val="22"/>
          <w:lang w:val="sr-Latn-RS"/>
        </w:rPr>
        <w:t xml:space="preserve">modifikovan, </w:t>
      </w:r>
      <w:r w:rsidRPr="00704FF0">
        <w:rPr>
          <w:szCs w:val="22"/>
          <w:lang w:val="sr-Latn-RS"/>
        </w:rPr>
        <w:t>d</w:t>
      </w:r>
      <w:r w:rsidR="00AC378F" w:rsidRPr="00704FF0">
        <w:rPr>
          <w:szCs w:val="22"/>
          <w:lang w:val="sr-Latn-RS"/>
        </w:rPr>
        <w:t>j</w:t>
      </w:r>
      <w:r w:rsidRPr="00704FF0">
        <w:rPr>
          <w:szCs w:val="22"/>
          <w:lang w:val="sr-Latn-RS"/>
        </w:rPr>
        <w:t xml:space="preserve">elimično preželatinizovan; </w:t>
      </w:r>
    </w:p>
    <w:p w14:paraId="3EFD2AB4" w14:textId="47E11F37" w:rsidR="000C2772" w:rsidRPr="00704FF0" w:rsidRDefault="000C2772" w:rsidP="004A7F5A">
      <w:pPr>
        <w:pStyle w:val="Header"/>
        <w:tabs>
          <w:tab w:val="clear" w:pos="4536"/>
          <w:tab w:val="clear" w:pos="9072"/>
          <w:tab w:val="left" w:pos="284"/>
        </w:tabs>
        <w:jc w:val="left"/>
        <w:rPr>
          <w:szCs w:val="22"/>
          <w:lang w:val="sr-Latn-RS"/>
        </w:rPr>
      </w:pPr>
      <w:r w:rsidRPr="00704FF0">
        <w:rPr>
          <w:szCs w:val="22"/>
          <w:lang w:val="sr-Latn-RS"/>
        </w:rPr>
        <w:t>natrijum</w:t>
      </w:r>
      <w:r w:rsidR="00E75497" w:rsidRPr="00704FF0">
        <w:rPr>
          <w:szCs w:val="22"/>
          <w:lang w:val="sr-Latn-RS"/>
        </w:rPr>
        <w:t xml:space="preserve"> </w:t>
      </w:r>
      <w:r w:rsidRPr="00704FF0">
        <w:rPr>
          <w:szCs w:val="22"/>
          <w:lang w:val="sr-Latn-RS"/>
        </w:rPr>
        <w:t xml:space="preserve">laurilsulfat; </w:t>
      </w:r>
    </w:p>
    <w:p w14:paraId="3EFD2AB5" w14:textId="5A763E58" w:rsidR="000C2772" w:rsidRPr="00704FF0" w:rsidRDefault="000C2772" w:rsidP="004A7F5A">
      <w:pPr>
        <w:rPr>
          <w:szCs w:val="22"/>
          <w:lang w:val="sr-Latn-RS"/>
        </w:rPr>
      </w:pPr>
      <w:r w:rsidRPr="00704FF0">
        <w:rPr>
          <w:szCs w:val="22"/>
          <w:lang w:val="sr-Latn-RS"/>
        </w:rPr>
        <w:t>magnezijum</w:t>
      </w:r>
      <w:r w:rsidR="00E75497" w:rsidRPr="00704FF0">
        <w:rPr>
          <w:szCs w:val="22"/>
          <w:lang w:val="sr-Latn-RS"/>
        </w:rPr>
        <w:t xml:space="preserve"> </w:t>
      </w:r>
      <w:r w:rsidRPr="00704FF0">
        <w:rPr>
          <w:szCs w:val="22"/>
          <w:lang w:val="sr-Latn-RS"/>
        </w:rPr>
        <w:t>stearat.</w:t>
      </w:r>
    </w:p>
    <w:p w14:paraId="3EFD2AB8" w14:textId="77777777" w:rsidR="000C2772" w:rsidRPr="00704FF0" w:rsidRDefault="000C2772" w:rsidP="004A7F5A">
      <w:pPr>
        <w:rPr>
          <w:szCs w:val="22"/>
          <w:lang w:val="sr-Latn-RS"/>
        </w:rPr>
      </w:pPr>
    </w:p>
    <w:p w14:paraId="3EFD2AB9" w14:textId="05429EB9" w:rsidR="000C2772" w:rsidRPr="00704FF0" w:rsidRDefault="000C2772" w:rsidP="004A7F5A">
      <w:pPr>
        <w:rPr>
          <w:b/>
          <w:bCs/>
          <w:szCs w:val="22"/>
          <w:lang w:val="sr-Latn-RS"/>
        </w:rPr>
      </w:pPr>
      <w:r w:rsidRPr="00704FF0">
        <w:rPr>
          <w:b/>
          <w:bCs/>
          <w:szCs w:val="22"/>
          <w:lang w:val="sr-Latn-RS"/>
        </w:rPr>
        <w:t>6.2. Inkompatibilnost</w:t>
      </w:r>
      <w:r w:rsidR="00E75497" w:rsidRPr="00704FF0">
        <w:rPr>
          <w:b/>
          <w:bCs/>
          <w:szCs w:val="22"/>
          <w:lang w:val="sr-Latn-RS"/>
        </w:rPr>
        <w:t>i</w:t>
      </w:r>
    </w:p>
    <w:p w14:paraId="3EFD2ABA" w14:textId="77777777" w:rsidR="000C2772" w:rsidRPr="00704FF0" w:rsidRDefault="000C2772" w:rsidP="004A7F5A">
      <w:pPr>
        <w:rPr>
          <w:szCs w:val="22"/>
          <w:lang w:val="sr-Latn-RS"/>
        </w:rPr>
      </w:pPr>
    </w:p>
    <w:p w14:paraId="3EFD2ABB" w14:textId="67CFD022" w:rsidR="000C2772" w:rsidRPr="00704FF0" w:rsidRDefault="000C2772" w:rsidP="004A7F5A">
      <w:pPr>
        <w:rPr>
          <w:szCs w:val="22"/>
          <w:lang w:val="sr-Latn-RS"/>
        </w:rPr>
      </w:pPr>
      <w:r w:rsidRPr="00704FF0">
        <w:rPr>
          <w:szCs w:val="22"/>
          <w:lang w:val="sr-Latn-RS"/>
        </w:rPr>
        <w:t>Nije prim</w:t>
      </w:r>
      <w:r w:rsidR="00E75497" w:rsidRPr="00704FF0">
        <w:rPr>
          <w:szCs w:val="22"/>
          <w:lang w:val="sr-Latn-RS"/>
        </w:rPr>
        <w:t>j</w:t>
      </w:r>
      <w:r w:rsidRPr="00704FF0">
        <w:rPr>
          <w:szCs w:val="22"/>
          <w:lang w:val="sr-Latn-RS"/>
        </w:rPr>
        <w:t>enljivo.</w:t>
      </w:r>
    </w:p>
    <w:p w14:paraId="3EFD2ABC" w14:textId="77777777" w:rsidR="000C2772" w:rsidRPr="00704FF0" w:rsidRDefault="000C2772" w:rsidP="004A7F5A">
      <w:pPr>
        <w:rPr>
          <w:szCs w:val="22"/>
          <w:lang w:val="sr-Latn-RS"/>
        </w:rPr>
      </w:pPr>
    </w:p>
    <w:p w14:paraId="3EFD2ABD" w14:textId="77777777" w:rsidR="000C2772" w:rsidRPr="00704FF0" w:rsidRDefault="000C2772" w:rsidP="004A7F5A">
      <w:pPr>
        <w:rPr>
          <w:b/>
          <w:bCs/>
          <w:szCs w:val="22"/>
          <w:lang w:val="sr-Latn-RS"/>
        </w:rPr>
      </w:pPr>
      <w:r w:rsidRPr="00704FF0">
        <w:rPr>
          <w:b/>
          <w:bCs/>
          <w:szCs w:val="22"/>
          <w:lang w:val="sr-Latn-RS"/>
        </w:rPr>
        <w:t>6.3. Rok upotrebe</w:t>
      </w:r>
    </w:p>
    <w:p w14:paraId="3EFD2ABE" w14:textId="77777777" w:rsidR="000C2772" w:rsidRPr="00704FF0" w:rsidRDefault="000C2772" w:rsidP="004A7F5A">
      <w:pPr>
        <w:rPr>
          <w:szCs w:val="22"/>
          <w:lang w:val="sr-Latn-RS"/>
        </w:rPr>
      </w:pPr>
    </w:p>
    <w:p w14:paraId="3EFD2ABF" w14:textId="77777777" w:rsidR="000C2772" w:rsidRPr="00704FF0" w:rsidRDefault="000C2772" w:rsidP="004A7F5A">
      <w:pPr>
        <w:rPr>
          <w:szCs w:val="22"/>
          <w:lang w:val="sr-Latn-RS"/>
        </w:rPr>
      </w:pPr>
      <w:r w:rsidRPr="00704FF0">
        <w:rPr>
          <w:szCs w:val="22"/>
          <w:lang w:val="sr-Latn-RS"/>
        </w:rPr>
        <w:t>5 godina.</w:t>
      </w:r>
    </w:p>
    <w:p w14:paraId="3EFD2AC0" w14:textId="77777777" w:rsidR="000C2772" w:rsidRPr="00704FF0" w:rsidRDefault="000C2772" w:rsidP="004A7F5A">
      <w:pPr>
        <w:rPr>
          <w:szCs w:val="22"/>
          <w:lang w:val="sr-Latn-RS"/>
        </w:rPr>
      </w:pPr>
    </w:p>
    <w:p w14:paraId="3EFD2AC1" w14:textId="4502675B" w:rsidR="000C2772" w:rsidRPr="00704FF0" w:rsidRDefault="000C2772" w:rsidP="004A7F5A">
      <w:pPr>
        <w:rPr>
          <w:b/>
          <w:bCs/>
          <w:szCs w:val="22"/>
          <w:lang w:val="sr-Latn-RS"/>
        </w:rPr>
      </w:pPr>
      <w:r w:rsidRPr="00704FF0">
        <w:rPr>
          <w:b/>
          <w:bCs/>
          <w:szCs w:val="22"/>
          <w:lang w:val="sr-Latn-RS"/>
        </w:rPr>
        <w:t>6.4. Posebne m</w:t>
      </w:r>
      <w:r w:rsidR="00E75497" w:rsidRPr="00704FF0">
        <w:rPr>
          <w:b/>
          <w:bCs/>
          <w:szCs w:val="22"/>
          <w:lang w:val="sr-Latn-RS"/>
        </w:rPr>
        <w:t>j</w:t>
      </w:r>
      <w:r w:rsidRPr="00704FF0">
        <w:rPr>
          <w:b/>
          <w:bCs/>
          <w:szCs w:val="22"/>
          <w:lang w:val="sr-Latn-RS"/>
        </w:rPr>
        <w:t>ere opreza pri čuvanju</w:t>
      </w:r>
      <w:r w:rsidR="00E75497" w:rsidRPr="00704FF0">
        <w:rPr>
          <w:b/>
          <w:bCs/>
          <w:szCs w:val="22"/>
          <w:lang w:val="sr-Latn-RS"/>
        </w:rPr>
        <w:t xml:space="preserve"> lijeka</w:t>
      </w:r>
    </w:p>
    <w:p w14:paraId="3EFD2AC2" w14:textId="77777777" w:rsidR="000C2772" w:rsidRPr="00704FF0" w:rsidRDefault="000C2772" w:rsidP="004A7F5A">
      <w:pPr>
        <w:rPr>
          <w:szCs w:val="22"/>
          <w:lang w:val="sr-Latn-RS"/>
        </w:rPr>
      </w:pPr>
    </w:p>
    <w:p w14:paraId="3EFD2AC3" w14:textId="06496A5A" w:rsidR="000C2772" w:rsidRPr="00704FF0" w:rsidRDefault="000C2772" w:rsidP="004A7F5A">
      <w:pPr>
        <w:rPr>
          <w:szCs w:val="22"/>
          <w:lang w:val="sr-Latn-RS"/>
        </w:rPr>
      </w:pPr>
      <w:r w:rsidRPr="00704FF0">
        <w:rPr>
          <w:szCs w:val="22"/>
          <w:lang w:val="sr-Latn-RS"/>
        </w:rPr>
        <w:t>Čuvati na temperaturi do 25ºC, u originalnom pakovanju.</w:t>
      </w:r>
    </w:p>
    <w:p w14:paraId="3EFD2AC4" w14:textId="77777777" w:rsidR="000C2772" w:rsidRPr="00704FF0" w:rsidRDefault="000C2772" w:rsidP="004A7F5A">
      <w:pPr>
        <w:rPr>
          <w:szCs w:val="22"/>
          <w:lang w:val="sr-Latn-RS"/>
        </w:rPr>
      </w:pPr>
    </w:p>
    <w:p w14:paraId="3EFD2AC5" w14:textId="3015F032" w:rsidR="000C2772" w:rsidRPr="00704FF0" w:rsidRDefault="000C2772" w:rsidP="004A7F5A">
      <w:pPr>
        <w:rPr>
          <w:szCs w:val="22"/>
          <w:lang w:val="sr-Latn-RS"/>
        </w:rPr>
      </w:pPr>
      <w:r w:rsidRPr="00704FF0">
        <w:rPr>
          <w:b/>
          <w:bCs/>
          <w:szCs w:val="22"/>
          <w:lang w:val="sr-Latn-RS"/>
        </w:rPr>
        <w:t xml:space="preserve">6.5. </w:t>
      </w:r>
      <w:r w:rsidR="00E75497" w:rsidRPr="00704FF0">
        <w:rPr>
          <w:b/>
          <w:bCs/>
          <w:szCs w:val="22"/>
          <w:lang w:val="sr-Latn-RS"/>
        </w:rPr>
        <w:t>Vrsta</w:t>
      </w:r>
      <w:r w:rsidRPr="00704FF0">
        <w:rPr>
          <w:b/>
          <w:bCs/>
          <w:szCs w:val="22"/>
          <w:lang w:val="sr-Latn-RS"/>
        </w:rPr>
        <w:t xml:space="preserve"> i sadržaj pakovanja</w:t>
      </w:r>
    </w:p>
    <w:p w14:paraId="3EFD2AC6" w14:textId="77777777" w:rsidR="000C2772" w:rsidRPr="00704FF0" w:rsidRDefault="000C2772" w:rsidP="004A7F5A">
      <w:pPr>
        <w:rPr>
          <w:szCs w:val="22"/>
          <w:lang w:val="sr-Latn-RS"/>
        </w:rPr>
      </w:pPr>
    </w:p>
    <w:p w14:paraId="3EFD2AC7" w14:textId="3FFBAF27" w:rsidR="000C2772" w:rsidRPr="00704FF0" w:rsidRDefault="000C2772" w:rsidP="004A7F5A">
      <w:pPr>
        <w:rPr>
          <w:szCs w:val="22"/>
          <w:lang w:val="sr-Latn-RS"/>
        </w:rPr>
      </w:pPr>
      <w:r w:rsidRPr="00704FF0">
        <w:rPr>
          <w:szCs w:val="22"/>
          <w:lang w:val="sr-Latn-RS"/>
        </w:rPr>
        <w:t>Unutrašnje pakovanje je blister od Alu/PVC trake i tvrd</w:t>
      </w:r>
      <w:r w:rsidR="00B230E1" w:rsidRPr="00704FF0">
        <w:rPr>
          <w:szCs w:val="22"/>
          <w:lang w:val="sr-Latn-RS"/>
        </w:rPr>
        <w:t>e</w:t>
      </w:r>
      <w:r w:rsidRPr="00704FF0">
        <w:rPr>
          <w:szCs w:val="22"/>
          <w:lang w:val="sr-Latn-RS"/>
        </w:rPr>
        <w:t xml:space="preserve"> PVC trake</w:t>
      </w:r>
      <w:r w:rsidR="00834DDB" w:rsidRPr="00704FF0">
        <w:rPr>
          <w:szCs w:val="22"/>
          <w:lang w:val="sr-Latn-RS"/>
        </w:rPr>
        <w:t xml:space="preserve"> koji sadrži 10 tableta</w:t>
      </w:r>
      <w:r w:rsidR="00DF4110" w:rsidRPr="00704FF0">
        <w:rPr>
          <w:szCs w:val="22"/>
          <w:lang w:val="sr-Latn-RS"/>
        </w:rPr>
        <w:t>.</w:t>
      </w:r>
      <w:r w:rsidRPr="00704FF0">
        <w:rPr>
          <w:szCs w:val="22"/>
          <w:lang w:val="sr-Latn-RS"/>
        </w:rPr>
        <w:t xml:space="preserve"> </w:t>
      </w:r>
    </w:p>
    <w:p w14:paraId="3EFD2AC8" w14:textId="206BC9CA" w:rsidR="000C2772" w:rsidRPr="00704FF0" w:rsidRDefault="000C2772" w:rsidP="004A7F5A">
      <w:pPr>
        <w:rPr>
          <w:szCs w:val="22"/>
          <w:lang w:val="sr-Latn-RS"/>
        </w:rPr>
      </w:pPr>
    </w:p>
    <w:p w14:paraId="3BA30EF6" w14:textId="75A0516F" w:rsidR="00C46826" w:rsidRPr="00704FF0" w:rsidRDefault="00C46826" w:rsidP="0084566B">
      <w:pPr>
        <w:tabs>
          <w:tab w:val="clear" w:pos="284"/>
        </w:tabs>
        <w:autoSpaceDE w:val="0"/>
        <w:autoSpaceDN w:val="0"/>
        <w:adjustRightInd w:val="0"/>
        <w:rPr>
          <w:rFonts w:eastAsia="TimesNewRoman"/>
          <w:szCs w:val="22"/>
          <w:lang w:val="sr-Latn-RS" w:eastAsia="en-GB"/>
        </w:rPr>
      </w:pPr>
      <w:r w:rsidRPr="00704FF0">
        <w:rPr>
          <w:rFonts w:eastAsia="TimesNewRoman"/>
          <w:szCs w:val="22"/>
          <w:lang w:val="sr-Latn-RS" w:eastAsia="en-GB"/>
        </w:rPr>
        <w:t>Spoljnje pakovanje je složiva kartonska kutija u kojoj se nalaze 3 blistera sa po 10 tableta (ukupno 30</w:t>
      </w:r>
    </w:p>
    <w:p w14:paraId="3EFD2AC9" w14:textId="00BFFE3E" w:rsidR="000C2772" w:rsidRPr="00704FF0" w:rsidRDefault="00C46826" w:rsidP="004A7F5A">
      <w:pPr>
        <w:rPr>
          <w:rFonts w:eastAsia="TimesNewRoman"/>
          <w:szCs w:val="22"/>
          <w:lang w:val="sr-Latn-RS" w:eastAsia="en-GB"/>
        </w:rPr>
      </w:pPr>
      <w:r w:rsidRPr="00704FF0">
        <w:rPr>
          <w:rFonts w:eastAsia="TimesNewRoman"/>
          <w:szCs w:val="22"/>
          <w:lang w:val="sr-Latn-RS" w:eastAsia="en-GB"/>
        </w:rPr>
        <w:t>tableta) i Uputstvo za l</w:t>
      </w:r>
      <w:r w:rsidR="00E75497" w:rsidRPr="00704FF0">
        <w:rPr>
          <w:rFonts w:eastAsia="TimesNewRoman"/>
          <w:szCs w:val="22"/>
          <w:lang w:val="sr-Latn-RS" w:eastAsia="en-GB"/>
        </w:rPr>
        <w:t>ij</w:t>
      </w:r>
      <w:r w:rsidRPr="00704FF0">
        <w:rPr>
          <w:rFonts w:eastAsia="TimesNewRoman"/>
          <w:szCs w:val="22"/>
          <w:lang w:val="sr-Latn-RS" w:eastAsia="en-GB"/>
        </w:rPr>
        <w:t>ek.</w:t>
      </w:r>
    </w:p>
    <w:p w14:paraId="48E692AE" w14:textId="77777777" w:rsidR="003E59B9" w:rsidRPr="00704FF0" w:rsidRDefault="003E59B9" w:rsidP="004A7F5A">
      <w:pPr>
        <w:rPr>
          <w:szCs w:val="22"/>
          <w:lang w:val="sr-Latn-RS"/>
        </w:rPr>
      </w:pPr>
    </w:p>
    <w:p w14:paraId="3EFD2ACA" w14:textId="7A9DE6BB" w:rsidR="000C2772" w:rsidRPr="00704FF0" w:rsidRDefault="000C2772" w:rsidP="004A7F5A">
      <w:pPr>
        <w:rPr>
          <w:b/>
          <w:bCs/>
          <w:szCs w:val="22"/>
          <w:lang w:val="sr-Latn-RS"/>
        </w:rPr>
      </w:pPr>
      <w:r w:rsidRPr="00704FF0">
        <w:rPr>
          <w:b/>
          <w:bCs/>
          <w:szCs w:val="22"/>
          <w:lang w:val="sr-Latn-RS"/>
        </w:rPr>
        <w:t>6.6. Posebne m</w:t>
      </w:r>
      <w:r w:rsidR="00E75497" w:rsidRPr="00704FF0">
        <w:rPr>
          <w:b/>
          <w:bCs/>
          <w:szCs w:val="22"/>
          <w:lang w:val="sr-Latn-RS"/>
        </w:rPr>
        <w:t>j</w:t>
      </w:r>
      <w:r w:rsidRPr="00704FF0">
        <w:rPr>
          <w:b/>
          <w:bCs/>
          <w:szCs w:val="22"/>
          <w:lang w:val="sr-Latn-RS"/>
        </w:rPr>
        <w:t>ere opreza pri odlaganju materijala koji treba odbaciti nakon prim</w:t>
      </w:r>
      <w:r w:rsidR="00E75497" w:rsidRPr="00704FF0">
        <w:rPr>
          <w:b/>
          <w:bCs/>
          <w:szCs w:val="22"/>
          <w:lang w:val="sr-Latn-RS"/>
        </w:rPr>
        <w:t>j</w:t>
      </w:r>
      <w:r w:rsidRPr="00704FF0">
        <w:rPr>
          <w:b/>
          <w:bCs/>
          <w:szCs w:val="22"/>
          <w:lang w:val="sr-Latn-RS"/>
        </w:rPr>
        <w:t>ene l</w:t>
      </w:r>
      <w:r w:rsidR="00E75497" w:rsidRPr="00704FF0">
        <w:rPr>
          <w:b/>
          <w:bCs/>
          <w:szCs w:val="22"/>
          <w:lang w:val="sr-Latn-RS"/>
        </w:rPr>
        <w:t>ij</w:t>
      </w:r>
      <w:r w:rsidRPr="00704FF0">
        <w:rPr>
          <w:b/>
          <w:bCs/>
          <w:szCs w:val="22"/>
          <w:lang w:val="sr-Latn-RS"/>
        </w:rPr>
        <w:t>eka (i druga uputstva za rukovanje l</w:t>
      </w:r>
      <w:r w:rsidR="00E75497" w:rsidRPr="00704FF0">
        <w:rPr>
          <w:b/>
          <w:bCs/>
          <w:szCs w:val="22"/>
          <w:lang w:val="sr-Latn-RS"/>
        </w:rPr>
        <w:t>ij</w:t>
      </w:r>
      <w:r w:rsidRPr="00704FF0">
        <w:rPr>
          <w:b/>
          <w:bCs/>
          <w:szCs w:val="22"/>
          <w:lang w:val="sr-Latn-RS"/>
        </w:rPr>
        <w:t>ekom)</w:t>
      </w:r>
    </w:p>
    <w:p w14:paraId="3EFD2ACC" w14:textId="357B3918" w:rsidR="000C2772" w:rsidRPr="00704FF0" w:rsidRDefault="000C2772" w:rsidP="004A7F5A">
      <w:pPr>
        <w:rPr>
          <w:szCs w:val="22"/>
          <w:lang w:val="sr-Latn-RS"/>
        </w:rPr>
      </w:pPr>
    </w:p>
    <w:p w14:paraId="07C933F2" w14:textId="7614A845" w:rsidR="00173DFC" w:rsidRPr="00704FF0" w:rsidRDefault="00173DFC" w:rsidP="0084566B">
      <w:pPr>
        <w:tabs>
          <w:tab w:val="clear" w:pos="284"/>
        </w:tabs>
        <w:autoSpaceDE w:val="0"/>
        <w:autoSpaceDN w:val="0"/>
        <w:adjustRightInd w:val="0"/>
        <w:rPr>
          <w:rFonts w:eastAsia="TimesNewRoman"/>
          <w:szCs w:val="22"/>
          <w:lang w:val="sr-Latn-RS" w:eastAsia="en-GB"/>
        </w:rPr>
      </w:pPr>
      <w:r w:rsidRPr="00704FF0">
        <w:rPr>
          <w:rFonts w:eastAsia="TimesNewRoman"/>
          <w:szCs w:val="22"/>
          <w:lang w:val="sr-Latn-RS" w:eastAsia="en-GB"/>
        </w:rPr>
        <w:t>Svu neiskorišćenu količinu l</w:t>
      </w:r>
      <w:r w:rsidR="00E75497" w:rsidRPr="00704FF0">
        <w:rPr>
          <w:rFonts w:eastAsia="TimesNewRoman"/>
          <w:szCs w:val="22"/>
          <w:lang w:val="sr-Latn-RS" w:eastAsia="en-GB"/>
        </w:rPr>
        <w:t>ij</w:t>
      </w:r>
      <w:r w:rsidRPr="00704FF0">
        <w:rPr>
          <w:rFonts w:eastAsia="TimesNewRoman"/>
          <w:szCs w:val="22"/>
          <w:lang w:val="sr-Latn-RS" w:eastAsia="en-GB"/>
        </w:rPr>
        <w:t>eka ili otpadnog materijala nakon njegove upotrebe</w:t>
      </w:r>
      <w:r w:rsidR="00B230E1" w:rsidRPr="00704FF0">
        <w:rPr>
          <w:rFonts w:eastAsia="TimesNewRoman"/>
          <w:szCs w:val="22"/>
          <w:lang w:val="sr-Latn-RS" w:eastAsia="en-GB"/>
        </w:rPr>
        <w:t xml:space="preserve"> </w:t>
      </w:r>
      <w:r w:rsidRPr="00704FF0">
        <w:rPr>
          <w:rFonts w:eastAsia="TimesNewRoman"/>
          <w:szCs w:val="22"/>
          <w:lang w:val="sr-Latn-RS" w:eastAsia="en-GB"/>
        </w:rPr>
        <w:t>treba ukloniti, u skladu sa važećim propisima</w:t>
      </w:r>
      <w:r w:rsidR="00B230E1" w:rsidRPr="00704FF0">
        <w:rPr>
          <w:rFonts w:eastAsia="TimesNewRoman"/>
          <w:szCs w:val="22"/>
          <w:lang w:val="sr-Latn-RS" w:eastAsia="en-GB"/>
        </w:rPr>
        <w:t>.</w:t>
      </w:r>
    </w:p>
    <w:p w14:paraId="11885216" w14:textId="6E0359D2" w:rsidR="004A7F5A" w:rsidRPr="00704FF0" w:rsidRDefault="004A7F5A" w:rsidP="0084566B">
      <w:pPr>
        <w:tabs>
          <w:tab w:val="clear" w:pos="284"/>
        </w:tabs>
        <w:autoSpaceDE w:val="0"/>
        <w:autoSpaceDN w:val="0"/>
        <w:adjustRightInd w:val="0"/>
        <w:rPr>
          <w:rFonts w:eastAsia="TimesNewRoman"/>
          <w:szCs w:val="22"/>
          <w:lang w:val="sr-Latn-RS" w:eastAsia="en-GB"/>
        </w:rPr>
      </w:pPr>
    </w:p>
    <w:p w14:paraId="1199CD1F" w14:textId="77777777" w:rsidR="004A7F5A" w:rsidRPr="00704FF0" w:rsidRDefault="004A7F5A" w:rsidP="0084566B">
      <w:pPr>
        <w:tabs>
          <w:tab w:val="clear" w:pos="284"/>
        </w:tabs>
        <w:autoSpaceDE w:val="0"/>
        <w:autoSpaceDN w:val="0"/>
        <w:adjustRightInd w:val="0"/>
        <w:rPr>
          <w:szCs w:val="22"/>
          <w:lang w:val="sr-Latn-RS"/>
        </w:rPr>
      </w:pPr>
    </w:p>
    <w:p w14:paraId="3EFD2ACD" w14:textId="3F0A0491" w:rsidR="000C2772" w:rsidRPr="00704FF0" w:rsidRDefault="000C2772" w:rsidP="0084566B">
      <w:pPr>
        <w:pStyle w:val="NASLOV123"/>
        <w:spacing w:before="0" w:after="0"/>
        <w:jc w:val="both"/>
        <w:rPr>
          <w:lang w:val="sr-Latn-RS"/>
        </w:rPr>
      </w:pPr>
      <w:r w:rsidRPr="00704FF0">
        <w:rPr>
          <w:lang w:val="sr-Latn-RS"/>
        </w:rPr>
        <w:t xml:space="preserve">7. NOSILAC DOZVOLE </w:t>
      </w:r>
    </w:p>
    <w:p w14:paraId="7E5DFE65" w14:textId="77777777" w:rsidR="004A7F5A" w:rsidRPr="00704FF0" w:rsidRDefault="004A7F5A" w:rsidP="0084566B">
      <w:pPr>
        <w:pStyle w:val="NASLOV123"/>
        <w:spacing w:before="0" w:after="0"/>
        <w:jc w:val="both"/>
        <w:rPr>
          <w:lang w:val="sr-Latn-RS"/>
        </w:rPr>
      </w:pPr>
    </w:p>
    <w:p w14:paraId="3EFD2ACE" w14:textId="45A890EF" w:rsidR="000C2772" w:rsidRPr="00704FF0" w:rsidRDefault="00B230E1" w:rsidP="0084566B">
      <w:pPr>
        <w:pStyle w:val="Header"/>
        <w:tabs>
          <w:tab w:val="clear" w:pos="4536"/>
          <w:tab w:val="clear" w:pos="9072"/>
          <w:tab w:val="left" w:pos="284"/>
        </w:tabs>
        <w:rPr>
          <w:szCs w:val="22"/>
          <w:lang w:val="sr-Latn-RS"/>
        </w:rPr>
      </w:pPr>
      <w:r w:rsidRPr="00704FF0">
        <w:rPr>
          <w:szCs w:val="22"/>
          <w:lang w:val="sr-Latn-RS"/>
        </w:rPr>
        <w:t>G</w:t>
      </w:r>
      <w:r w:rsidR="00E75497" w:rsidRPr="00704FF0">
        <w:rPr>
          <w:szCs w:val="22"/>
          <w:lang w:val="sr-Latn-RS"/>
        </w:rPr>
        <w:t>LK pharm</w:t>
      </w:r>
      <w:r w:rsidR="007644D5" w:rsidRPr="00704FF0">
        <w:rPr>
          <w:szCs w:val="22"/>
          <w:lang w:val="sr-Latn-RS"/>
        </w:rPr>
        <w:t>a</w:t>
      </w:r>
      <w:r w:rsidR="00E75497" w:rsidRPr="00704FF0">
        <w:rPr>
          <w:szCs w:val="22"/>
          <w:lang w:val="sr-Latn-RS"/>
        </w:rPr>
        <w:t xml:space="preserve"> d.o.o. Podgorica, ul. Svetozara Markovića br.</w:t>
      </w:r>
      <w:r w:rsidR="007644D5" w:rsidRPr="00704FF0">
        <w:rPr>
          <w:szCs w:val="22"/>
          <w:lang w:val="sr-Latn-RS"/>
        </w:rPr>
        <w:t xml:space="preserve"> </w:t>
      </w:r>
      <w:r w:rsidR="00E75497" w:rsidRPr="00704FF0">
        <w:rPr>
          <w:szCs w:val="22"/>
          <w:lang w:val="sr-Latn-RS"/>
        </w:rPr>
        <w:t>46, 81000 Podgorica, Crna Gora</w:t>
      </w:r>
    </w:p>
    <w:p w14:paraId="3B874346" w14:textId="1997BAD7" w:rsidR="004A7F5A" w:rsidRPr="00704FF0" w:rsidRDefault="004A7F5A" w:rsidP="0084566B">
      <w:pPr>
        <w:pStyle w:val="Header"/>
        <w:tabs>
          <w:tab w:val="clear" w:pos="4536"/>
          <w:tab w:val="clear" w:pos="9072"/>
          <w:tab w:val="left" w:pos="284"/>
        </w:tabs>
        <w:rPr>
          <w:szCs w:val="22"/>
          <w:lang w:val="sr-Latn-RS"/>
        </w:rPr>
      </w:pPr>
    </w:p>
    <w:p w14:paraId="6CE7867F" w14:textId="77777777" w:rsidR="004A7F5A" w:rsidRPr="00704FF0" w:rsidRDefault="004A7F5A" w:rsidP="0084566B">
      <w:pPr>
        <w:pStyle w:val="Header"/>
        <w:tabs>
          <w:tab w:val="clear" w:pos="4536"/>
          <w:tab w:val="clear" w:pos="9072"/>
          <w:tab w:val="left" w:pos="284"/>
        </w:tabs>
        <w:rPr>
          <w:szCs w:val="22"/>
          <w:lang w:val="sr-Latn-RS"/>
        </w:rPr>
      </w:pPr>
    </w:p>
    <w:p w14:paraId="3EFD2AD1" w14:textId="44A3FBB0" w:rsidR="000C2772" w:rsidRPr="00704FF0" w:rsidRDefault="000C2772" w:rsidP="0084566B">
      <w:pPr>
        <w:pStyle w:val="NASLOV123"/>
        <w:spacing w:before="0" w:after="0"/>
        <w:jc w:val="both"/>
        <w:rPr>
          <w:lang w:val="sr-Latn-RS"/>
        </w:rPr>
      </w:pPr>
      <w:r w:rsidRPr="00704FF0">
        <w:rPr>
          <w:lang w:val="sr-Latn-RS"/>
        </w:rPr>
        <w:t>8. BROJ DOZVOLE ZA STAVLJANJE L</w:t>
      </w:r>
      <w:r w:rsidR="00E75497" w:rsidRPr="00704FF0">
        <w:rPr>
          <w:lang w:val="sr-Latn-RS"/>
        </w:rPr>
        <w:t>IJ</w:t>
      </w:r>
      <w:r w:rsidRPr="00704FF0">
        <w:rPr>
          <w:lang w:val="sr-Latn-RS"/>
        </w:rPr>
        <w:t>EKA U PROMET</w:t>
      </w:r>
    </w:p>
    <w:p w14:paraId="61FB7091" w14:textId="77777777" w:rsidR="004A7F5A" w:rsidRPr="00704FF0" w:rsidRDefault="004A7F5A" w:rsidP="0084566B">
      <w:pPr>
        <w:pStyle w:val="NASLOV123"/>
        <w:spacing w:before="0" w:after="0"/>
        <w:jc w:val="both"/>
        <w:rPr>
          <w:lang w:val="sr-Latn-RS"/>
        </w:rPr>
      </w:pPr>
    </w:p>
    <w:p w14:paraId="1AAAD495" w14:textId="00A364C5" w:rsidR="004A7F5A" w:rsidRDefault="007909E4" w:rsidP="004A7F5A">
      <w:pPr>
        <w:rPr>
          <w:szCs w:val="22"/>
          <w:lang w:val="sr-Latn-RS"/>
        </w:rPr>
      </w:pPr>
      <w:r w:rsidRPr="00704FF0">
        <w:rPr>
          <w:szCs w:val="22"/>
          <w:lang w:val="sr-Latn-RS"/>
        </w:rPr>
        <w:t xml:space="preserve">2030/25/548 </w:t>
      </w:r>
      <w:r w:rsidR="00704FF0">
        <w:rPr>
          <w:szCs w:val="22"/>
          <w:lang w:val="sr-Latn-RS"/>
        </w:rPr>
        <w:t>–</w:t>
      </w:r>
      <w:r w:rsidRPr="00704FF0">
        <w:rPr>
          <w:szCs w:val="22"/>
          <w:lang w:val="sr-Latn-RS"/>
        </w:rPr>
        <w:t xml:space="preserve"> 8861</w:t>
      </w:r>
    </w:p>
    <w:p w14:paraId="585DED11" w14:textId="77777777" w:rsidR="00704FF0" w:rsidRPr="00704FF0" w:rsidRDefault="00704FF0" w:rsidP="004A7F5A">
      <w:pPr>
        <w:rPr>
          <w:bCs/>
          <w:szCs w:val="22"/>
          <w:lang w:val="sr-Latn-RS"/>
        </w:rPr>
      </w:pPr>
      <w:bookmarkStart w:id="0" w:name="_GoBack"/>
      <w:bookmarkEnd w:id="0"/>
    </w:p>
    <w:p w14:paraId="2F8F2071" w14:textId="77777777" w:rsidR="004A7F5A" w:rsidRPr="00704FF0" w:rsidRDefault="004A7F5A" w:rsidP="004A7F5A">
      <w:pPr>
        <w:rPr>
          <w:bCs/>
          <w:szCs w:val="22"/>
          <w:lang w:val="sr-Latn-RS"/>
        </w:rPr>
      </w:pPr>
    </w:p>
    <w:p w14:paraId="3EFD2AD4" w14:textId="41E6F062" w:rsidR="000C2772" w:rsidRPr="00704FF0" w:rsidRDefault="000C2772" w:rsidP="004A7F5A">
      <w:pPr>
        <w:pStyle w:val="NASLOV123"/>
        <w:spacing w:before="0" w:after="0"/>
        <w:jc w:val="both"/>
        <w:rPr>
          <w:lang w:val="sr-Latn-RS"/>
        </w:rPr>
      </w:pPr>
      <w:r w:rsidRPr="00704FF0">
        <w:rPr>
          <w:lang w:val="sr-Latn-RS"/>
        </w:rPr>
        <w:t>9. DATUM PRVE DOZVOLE</w:t>
      </w:r>
      <w:r w:rsidR="00E75497" w:rsidRPr="00704FF0">
        <w:rPr>
          <w:lang w:val="sr-Latn-RS"/>
        </w:rPr>
        <w:t>/</w:t>
      </w:r>
      <w:r w:rsidRPr="00704FF0">
        <w:rPr>
          <w:lang w:val="sr-Latn-RS"/>
        </w:rPr>
        <w:t>OBNOVE DOZVOLE ZA STAVLJANJE L</w:t>
      </w:r>
      <w:r w:rsidR="00E75497" w:rsidRPr="00704FF0">
        <w:rPr>
          <w:lang w:val="sr-Latn-RS"/>
        </w:rPr>
        <w:t>IJ</w:t>
      </w:r>
      <w:r w:rsidRPr="00704FF0">
        <w:rPr>
          <w:lang w:val="sr-Latn-RS"/>
        </w:rPr>
        <w:t>EKA U PROMET</w:t>
      </w:r>
    </w:p>
    <w:p w14:paraId="53A0BC23" w14:textId="77777777" w:rsidR="004A7F5A" w:rsidRPr="00704FF0" w:rsidRDefault="004A7F5A" w:rsidP="004A7F5A">
      <w:pPr>
        <w:pStyle w:val="NASLOV123"/>
        <w:spacing w:before="0" w:after="0"/>
        <w:jc w:val="both"/>
        <w:rPr>
          <w:lang w:val="sr-Latn-RS"/>
        </w:rPr>
      </w:pPr>
    </w:p>
    <w:p w14:paraId="4ADE8C79" w14:textId="1A35E55F" w:rsidR="007909E4" w:rsidRPr="00704FF0" w:rsidRDefault="007909E4" w:rsidP="007909E4">
      <w:pPr>
        <w:rPr>
          <w:szCs w:val="22"/>
          <w:lang w:val="sr-Latn-RS"/>
        </w:rPr>
      </w:pPr>
      <w:r w:rsidRPr="00704FF0">
        <w:rPr>
          <w:color w:val="000000"/>
          <w:spacing w:val="5"/>
          <w:szCs w:val="22"/>
          <w:lang w:val="sr-Latn-RS"/>
        </w:rPr>
        <w:t xml:space="preserve">Datum prve dozvole: </w:t>
      </w:r>
      <w:r w:rsidRPr="00704FF0">
        <w:rPr>
          <w:szCs w:val="22"/>
          <w:lang w:val="sr-Latn-RS"/>
        </w:rPr>
        <w:t xml:space="preserve"> </w:t>
      </w:r>
      <w:r w:rsidRPr="00704FF0">
        <w:rPr>
          <w:bCs/>
          <w:szCs w:val="22"/>
          <w:lang w:val="sr-Latn-RS"/>
        </w:rPr>
        <w:t>15.08.2014. godine</w:t>
      </w:r>
      <w:r w:rsidRPr="00704FF0">
        <w:rPr>
          <w:szCs w:val="22"/>
          <w:lang w:val="sr-Latn-RS"/>
        </w:rPr>
        <w:tab/>
      </w:r>
    </w:p>
    <w:p w14:paraId="56BFDAF1" w14:textId="77777777" w:rsidR="007909E4" w:rsidRPr="00704FF0" w:rsidRDefault="007909E4" w:rsidP="007909E4">
      <w:pPr>
        <w:tabs>
          <w:tab w:val="left" w:pos="540"/>
          <w:tab w:val="left" w:pos="569"/>
        </w:tabs>
        <w:rPr>
          <w:bCs/>
          <w:szCs w:val="22"/>
          <w:lang w:val="sr-Latn-RS"/>
        </w:rPr>
      </w:pPr>
      <w:r w:rsidRPr="00704FF0">
        <w:rPr>
          <w:bCs/>
          <w:szCs w:val="22"/>
          <w:lang w:val="sr-Latn-RS"/>
        </w:rPr>
        <w:t xml:space="preserve">Datum poslednje obnove dozvole: </w:t>
      </w:r>
      <w:r w:rsidRPr="00704FF0">
        <w:rPr>
          <w:szCs w:val="22"/>
          <w:lang w:val="sr-Latn-RS" w:eastAsia="sr-Latn-ME"/>
        </w:rPr>
        <w:t>04.02.2025. godine</w:t>
      </w:r>
    </w:p>
    <w:p w14:paraId="44EF7948" w14:textId="45FA7A77" w:rsidR="004A7F5A" w:rsidRPr="00704FF0" w:rsidRDefault="004A7F5A" w:rsidP="004A7F5A">
      <w:pPr>
        <w:rPr>
          <w:bCs/>
          <w:szCs w:val="22"/>
          <w:lang w:val="sr-Latn-RS"/>
        </w:rPr>
      </w:pPr>
    </w:p>
    <w:p w14:paraId="3539081D" w14:textId="77777777" w:rsidR="004A7F5A" w:rsidRPr="00704FF0" w:rsidRDefault="004A7F5A" w:rsidP="004A7F5A">
      <w:pPr>
        <w:rPr>
          <w:bCs/>
          <w:szCs w:val="22"/>
          <w:lang w:val="sr-Latn-RS"/>
        </w:rPr>
      </w:pPr>
    </w:p>
    <w:p w14:paraId="3EFD2AD7" w14:textId="0E06688D" w:rsidR="000C2772" w:rsidRPr="00704FF0" w:rsidRDefault="000C2772" w:rsidP="0084566B">
      <w:pPr>
        <w:pStyle w:val="NASLOV123"/>
        <w:spacing w:before="0" w:after="0"/>
        <w:jc w:val="both"/>
        <w:rPr>
          <w:lang w:val="sr-Latn-RS"/>
        </w:rPr>
      </w:pPr>
      <w:r w:rsidRPr="00704FF0">
        <w:rPr>
          <w:lang w:val="sr-Latn-RS"/>
        </w:rPr>
        <w:t>10. DATUM REVIZIJE TEKSTA</w:t>
      </w:r>
    </w:p>
    <w:p w14:paraId="26E597FB" w14:textId="4B2BF8C6" w:rsidR="004A7F5A" w:rsidRPr="00704FF0" w:rsidRDefault="004A7F5A" w:rsidP="0084566B">
      <w:pPr>
        <w:pStyle w:val="NASLOV123"/>
        <w:spacing w:before="0" w:after="0"/>
        <w:jc w:val="both"/>
        <w:rPr>
          <w:lang w:val="sr-Latn-RS"/>
        </w:rPr>
      </w:pPr>
    </w:p>
    <w:p w14:paraId="70F3AD93" w14:textId="05E193B2" w:rsidR="007909E4" w:rsidRPr="00704FF0" w:rsidRDefault="007909E4" w:rsidP="0084566B">
      <w:pPr>
        <w:pStyle w:val="NASLOV123"/>
        <w:spacing w:before="0" w:after="0"/>
        <w:jc w:val="both"/>
        <w:rPr>
          <w:b w:val="0"/>
          <w:lang w:val="sr-Latn-RS"/>
        </w:rPr>
      </w:pPr>
      <w:r w:rsidRPr="00704FF0">
        <w:rPr>
          <w:b w:val="0"/>
          <w:lang w:val="sr-Latn-RS"/>
        </w:rPr>
        <w:t>Februar, 2025. godine</w:t>
      </w:r>
    </w:p>
    <w:p w14:paraId="3B2709AE" w14:textId="77777777" w:rsidR="009B7A51" w:rsidRPr="00704FF0" w:rsidRDefault="009B7A51" w:rsidP="004A7F5A">
      <w:pPr>
        <w:rPr>
          <w:bCs/>
          <w:szCs w:val="22"/>
          <w:lang w:val="sr-Latn-RS"/>
        </w:rPr>
      </w:pPr>
    </w:p>
    <w:p w14:paraId="3EFD2ADC" w14:textId="77777777" w:rsidR="000C2772" w:rsidRPr="00704FF0" w:rsidRDefault="000C2772" w:rsidP="004A7F5A">
      <w:pPr>
        <w:rPr>
          <w:szCs w:val="22"/>
          <w:lang w:val="sr-Latn-RS"/>
        </w:rPr>
      </w:pPr>
    </w:p>
    <w:p w14:paraId="3EFD2ADD" w14:textId="77777777" w:rsidR="000C2772" w:rsidRPr="00704FF0" w:rsidRDefault="000C2772" w:rsidP="004A7F5A">
      <w:pPr>
        <w:pStyle w:val="Header"/>
        <w:tabs>
          <w:tab w:val="left" w:pos="284"/>
        </w:tabs>
        <w:rPr>
          <w:szCs w:val="22"/>
          <w:lang w:val="sr-Latn-RS"/>
        </w:rPr>
      </w:pPr>
    </w:p>
    <w:sectPr w:rsidR="000C2772" w:rsidRPr="00704FF0" w:rsidSect="0084566B">
      <w:footerReference w:type="even" r:id="rId12"/>
      <w:footerReference w:type="default" r:id="rId13"/>
      <w:pgSz w:w="11907" w:h="16840" w:code="9"/>
      <w:pgMar w:top="1134" w:right="1417"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66A74E" w14:textId="77777777" w:rsidR="00FF417C" w:rsidRDefault="00FF417C">
      <w:r>
        <w:separator/>
      </w:r>
    </w:p>
  </w:endnote>
  <w:endnote w:type="continuationSeparator" w:id="0">
    <w:p w14:paraId="0903B01F" w14:textId="77777777" w:rsidR="00FF417C" w:rsidRDefault="00FF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Calibri"/>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2AE2" w14:textId="77777777" w:rsidR="000C2772" w:rsidRDefault="000C2772"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FD2AE3" w14:textId="77777777" w:rsidR="000C2772" w:rsidRDefault="000C27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D2AE5" w14:textId="43B757C9" w:rsidR="000C2772" w:rsidRPr="00C536C2" w:rsidRDefault="004A7F5A" w:rsidP="0084566B">
    <w:pPr>
      <w:pStyle w:val="Footer"/>
      <w:jc w:val="center"/>
    </w:pPr>
    <w:r w:rsidRPr="00B23F69">
      <w:rPr>
        <w:szCs w:val="22"/>
      </w:rPr>
      <w:fldChar w:fldCharType="begin"/>
    </w:r>
    <w:r w:rsidRPr="00B23F69">
      <w:rPr>
        <w:szCs w:val="22"/>
      </w:rPr>
      <w:instrText xml:space="preserve"> PAGE </w:instrText>
    </w:r>
    <w:r w:rsidRPr="00B23F69">
      <w:rPr>
        <w:szCs w:val="22"/>
      </w:rPr>
      <w:fldChar w:fldCharType="separate"/>
    </w:r>
    <w:r w:rsidR="00704FF0">
      <w:rPr>
        <w:noProof/>
        <w:szCs w:val="22"/>
      </w:rPr>
      <w:t>9</w:t>
    </w:r>
    <w:r w:rsidRPr="00B23F69">
      <w:rPr>
        <w:szCs w:val="22"/>
      </w:rPr>
      <w:fldChar w:fldCharType="end"/>
    </w:r>
    <w:r w:rsidRPr="00B23F69">
      <w:rPr>
        <w:szCs w:val="22"/>
      </w:rPr>
      <w:t xml:space="preserve"> / </w:t>
    </w:r>
    <w:r w:rsidRPr="00B23F69">
      <w:rPr>
        <w:szCs w:val="22"/>
      </w:rPr>
      <w:fldChar w:fldCharType="begin"/>
    </w:r>
    <w:r w:rsidRPr="00B23F69">
      <w:rPr>
        <w:szCs w:val="22"/>
      </w:rPr>
      <w:instrText xml:space="preserve"> NUMPAGES </w:instrText>
    </w:r>
    <w:r w:rsidRPr="00B23F69">
      <w:rPr>
        <w:szCs w:val="22"/>
      </w:rPr>
      <w:fldChar w:fldCharType="separate"/>
    </w:r>
    <w:r w:rsidR="00704FF0">
      <w:rPr>
        <w:noProof/>
        <w:szCs w:val="22"/>
      </w:rPr>
      <w:t>9</w:t>
    </w:r>
    <w:r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8F84D5" w14:textId="77777777" w:rsidR="00FF417C" w:rsidRDefault="00FF417C">
      <w:r>
        <w:separator/>
      </w:r>
    </w:p>
  </w:footnote>
  <w:footnote w:type="continuationSeparator" w:id="0">
    <w:p w14:paraId="19797FE6" w14:textId="77777777" w:rsidR="00FF417C" w:rsidRDefault="00FF4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116C6"/>
    <w:multiLevelType w:val="hybridMultilevel"/>
    <w:tmpl w:val="A4DACB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2" w15:restartNumberingAfterBreak="0">
    <w:nsid w:val="0945446C"/>
    <w:multiLevelType w:val="hybridMultilevel"/>
    <w:tmpl w:val="722A531C"/>
    <w:lvl w:ilvl="0" w:tplc="668EBE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467FC"/>
    <w:multiLevelType w:val="hybridMultilevel"/>
    <w:tmpl w:val="F38CC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1DD07117"/>
    <w:multiLevelType w:val="hybridMultilevel"/>
    <w:tmpl w:val="B9CE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1EA41C1"/>
    <w:multiLevelType w:val="hybridMultilevel"/>
    <w:tmpl w:val="C674ED7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EB282F"/>
    <w:multiLevelType w:val="hybridMultilevel"/>
    <w:tmpl w:val="B374F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05A44"/>
    <w:multiLevelType w:val="hybridMultilevel"/>
    <w:tmpl w:val="F8149F6A"/>
    <w:lvl w:ilvl="0" w:tplc="6F407D4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11153D"/>
    <w:multiLevelType w:val="hybridMultilevel"/>
    <w:tmpl w:val="F028E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ADF0A59"/>
    <w:multiLevelType w:val="hybridMultilevel"/>
    <w:tmpl w:val="D046CE36"/>
    <w:lvl w:ilvl="0" w:tplc="041A0001">
      <w:start w:val="1"/>
      <w:numFmt w:val="bullet"/>
      <w:lvlText w:val=""/>
      <w:lvlJc w:val="left"/>
      <w:pPr>
        <w:ind w:left="360" w:hanging="360"/>
      </w:pPr>
      <w:rPr>
        <w:rFonts w:ascii="Symbol" w:hAnsi="Symbol" w:hint="default"/>
      </w:rPr>
    </w:lvl>
    <w:lvl w:ilvl="1" w:tplc="80B4FC72">
      <w:numFmt w:val="bullet"/>
      <w:lvlText w:val="-"/>
      <w:lvlJc w:val="left"/>
      <w:pPr>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FB80B36"/>
    <w:multiLevelType w:val="hybridMultilevel"/>
    <w:tmpl w:val="5E9842F2"/>
    <w:lvl w:ilvl="0" w:tplc="9DEA855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2A3387"/>
    <w:multiLevelType w:val="hybridMultilevel"/>
    <w:tmpl w:val="1DD493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AD1FBE"/>
    <w:multiLevelType w:val="hybridMultilevel"/>
    <w:tmpl w:val="0652DCAA"/>
    <w:lvl w:ilvl="0" w:tplc="3F20082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730B3D"/>
    <w:multiLevelType w:val="hybridMultilevel"/>
    <w:tmpl w:val="979823CE"/>
    <w:lvl w:ilvl="0" w:tplc="71B0FED2">
      <w:start w:val="1"/>
      <w:numFmt w:val="bullet"/>
      <w:lvlText w:val="-"/>
      <w:lvlJc w:val="left"/>
      <w:pPr>
        <w:tabs>
          <w:tab w:val="num" w:pos="567"/>
        </w:tabs>
        <w:ind w:left="567" w:hanging="567"/>
      </w:pPr>
      <w:rPr>
        <w:rFonts w:hAnsi="Aria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0F5949"/>
    <w:multiLevelType w:val="hybridMultilevel"/>
    <w:tmpl w:val="6DEED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E13245"/>
    <w:multiLevelType w:val="hybridMultilevel"/>
    <w:tmpl w:val="9A0AF5B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5F3A1013"/>
    <w:multiLevelType w:val="hybridMultilevel"/>
    <w:tmpl w:val="D2F44FFE"/>
    <w:lvl w:ilvl="0" w:tplc="80B4FC7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CA1B4C"/>
    <w:multiLevelType w:val="hybridMultilevel"/>
    <w:tmpl w:val="5BA4088E"/>
    <w:lvl w:ilvl="0" w:tplc="F83EFC02">
      <w:numFmt w:val="bullet"/>
      <w:lvlText w:val="•"/>
      <w:lvlJc w:val="left"/>
      <w:pPr>
        <w:ind w:left="720" w:hanging="360"/>
      </w:pPr>
      <w:rPr>
        <w:rFonts w:ascii="Times New Roman" w:eastAsia="Times New Roman" w:hAnsi="Times New Roman" w:hint="default"/>
        <w:i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621666"/>
    <w:multiLevelType w:val="hybridMultilevel"/>
    <w:tmpl w:val="E0B66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7F44540"/>
    <w:multiLevelType w:val="hybridMultilevel"/>
    <w:tmpl w:val="9A4A7066"/>
    <w:lvl w:ilvl="0" w:tplc="80B4FC72">
      <w:numFmt w:val="bullet"/>
      <w:lvlText w:val="-"/>
      <w:lvlJc w:val="left"/>
      <w:pPr>
        <w:ind w:left="720" w:hanging="360"/>
      </w:pPr>
      <w:rPr>
        <w:rFonts w:ascii="Times New Roman" w:eastAsia="Times New Roman" w:hAnsi="Times New Roman" w:hint="default"/>
      </w:rPr>
    </w:lvl>
    <w:lvl w:ilvl="1" w:tplc="80B4FC72">
      <w:numFmt w:val="bullet"/>
      <w:lvlText w:val="-"/>
      <w:lvlJc w:val="left"/>
      <w:pPr>
        <w:ind w:left="1440" w:hanging="360"/>
      </w:pPr>
      <w:rPr>
        <w:rFonts w:ascii="Times New Roman" w:eastAsia="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7F8432C3"/>
    <w:multiLevelType w:val="hybridMultilevel"/>
    <w:tmpl w:val="1DA0DE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lvlOverride w:ilvl="0">
      <w:startOverride w:val="7"/>
    </w:lvlOverride>
  </w:num>
  <w:num w:numId="3">
    <w:abstractNumId w:val="21"/>
  </w:num>
  <w:num w:numId="4">
    <w:abstractNumId w:val="19"/>
  </w:num>
  <w:num w:numId="5">
    <w:abstractNumId w:val="15"/>
  </w:num>
  <w:num w:numId="6">
    <w:abstractNumId w:val="6"/>
  </w:num>
  <w:num w:numId="7">
    <w:abstractNumId w:val="22"/>
  </w:num>
  <w:num w:numId="8">
    <w:abstractNumId w:val="10"/>
  </w:num>
  <w:num w:numId="9">
    <w:abstractNumId w:val="5"/>
  </w:num>
  <w:num w:numId="10">
    <w:abstractNumId w:val="18"/>
  </w:num>
  <w:num w:numId="11">
    <w:abstractNumId w:val="9"/>
  </w:num>
  <w:num w:numId="12">
    <w:abstractNumId w:val="11"/>
  </w:num>
  <w:num w:numId="13">
    <w:abstractNumId w:val="12"/>
  </w:num>
  <w:num w:numId="14">
    <w:abstractNumId w:val="3"/>
  </w:num>
  <w:num w:numId="15">
    <w:abstractNumId w:val="8"/>
  </w:num>
  <w:num w:numId="16">
    <w:abstractNumId w:val="0"/>
  </w:num>
  <w:num w:numId="17">
    <w:abstractNumId w:val="13"/>
  </w:num>
  <w:num w:numId="18">
    <w:abstractNumId w:val="14"/>
  </w:num>
  <w:num w:numId="19">
    <w:abstractNumId w:val="7"/>
  </w:num>
  <w:num w:numId="20">
    <w:abstractNumId w:val="2"/>
  </w:num>
  <w:num w:numId="21">
    <w:abstractNumId w:val="20"/>
  </w:num>
  <w:num w:numId="22">
    <w:abstractNumId w:val="17"/>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3C4E"/>
    <w:rsid w:val="0001742A"/>
    <w:rsid w:val="00017801"/>
    <w:rsid w:val="00020801"/>
    <w:rsid w:val="00026192"/>
    <w:rsid w:val="000523BD"/>
    <w:rsid w:val="0005798D"/>
    <w:rsid w:val="00063143"/>
    <w:rsid w:val="0006327A"/>
    <w:rsid w:val="00064273"/>
    <w:rsid w:val="0007388A"/>
    <w:rsid w:val="00083BE0"/>
    <w:rsid w:val="00095FB6"/>
    <w:rsid w:val="0009758B"/>
    <w:rsid w:val="000A0F4A"/>
    <w:rsid w:val="000C2772"/>
    <w:rsid w:val="000C5F56"/>
    <w:rsid w:val="000D39CE"/>
    <w:rsid w:val="000D5631"/>
    <w:rsid w:val="000D7187"/>
    <w:rsid w:val="000E75C0"/>
    <w:rsid w:val="00107113"/>
    <w:rsid w:val="00113FFC"/>
    <w:rsid w:val="0011632B"/>
    <w:rsid w:val="00121916"/>
    <w:rsid w:val="00123905"/>
    <w:rsid w:val="00141639"/>
    <w:rsid w:val="0014180A"/>
    <w:rsid w:val="00162BAE"/>
    <w:rsid w:val="00173D18"/>
    <w:rsid w:val="00173DFC"/>
    <w:rsid w:val="00175772"/>
    <w:rsid w:val="00175A7E"/>
    <w:rsid w:val="00184E03"/>
    <w:rsid w:val="0018601D"/>
    <w:rsid w:val="0018639E"/>
    <w:rsid w:val="001A1352"/>
    <w:rsid w:val="001B706A"/>
    <w:rsid w:val="001C26D3"/>
    <w:rsid w:val="001D10C9"/>
    <w:rsid w:val="001E0A07"/>
    <w:rsid w:val="001E6145"/>
    <w:rsid w:val="001F2D4E"/>
    <w:rsid w:val="001F39B6"/>
    <w:rsid w:val="002035D8"/>
    <w:rsid w:val="002131FF"/>
    <w:rsid w:val="0022218E"/>
    <w:rsid w:val="0022223A"/>
    <w:rsid w:val="00227CF2"/>
    <w:rsid w:val="0024132F"/>
    <w:rsid w:val="00242B04"/>
    <w:rsid w:val="00242DCD"/>
    <w:rsid w:val="00247C5C"/>
    <w:rsid w:val="00260184"/>
    <w:rsid w:val="00273BE0"/>
    <w:rsid w:val="002833C2"/>
    <w:rsid w:val="00297213"/>
    <w:rsid w:val="002B1DCE"/>
    <w:rsid w:val="002B6F6A"/>
    <w:rsid w:val="002C0FBF"/>
    <w:rsid w:val="002F22D1"/>
    <w:rsid w:val="002F5E2F"/>
    <w:rsid w:val="00301B95"/>
    <w:rsid w:val="00316FC0"/>
    <w:rsid w:val="003224F5"/>
    <w:rsid w:val="003230A6"/>
    <w:rsid w:val="003452C0"/>
    <w:rsid w:val="0034709E"/>
    <w:rsid w:val="00356FC5"/>
    <w:rsid w:val="0036586D"/>
    <w:rsid w:val="00365C08"/>
    <w:rsid w:val="00383195"/>
    <w:rsid w:val="00386E2B"/>
    <w:rsid w:val="003A208F"/>
    <w:rsid w:val="003A2DF8"/>
    <w:rsid w:val="003B2082"/>
    <w:rsid w:val="003B29A0"/>
    <w:rsid w:val="003C18A4"/>
    <w:rsid w:val="003E3EC7"/>
    <w:rsid w:val="003E5477"/>
    <w:rsid w:val="003E59B9"/>
    <w:rsid w:val="003F744C"/>
    <w:rsid w:val="00404645"/>
    <w:rsid w:val="004123CD"/>
    <w:rsid w:val="00420331"/>
    <w:rsid w:val="004203BC"/>
    <w:rsid w:val="004234ED"/>
    <w:rsid w:val="00427D41"/>
    <w:rsid w:val="00451CE6"/>
    <w:rsid w:val="00457DE5"/>
    <w:rsid w:val="00462C33"/>
    <w:rsid w:val="0048052D"/>
    <w:rsid w:val="00484DBD"/>
    <w:rsid w:val="00492248"/>
    <w:rsid w:val="00495946"/>
    <w:rsid w:val="00495F98"/>
    <w:rsid w:val="00497648"/>
    <w:rsid w:val="004A7F5A"/>
    <w:rsid w:val="004B5A11"/>
    <w:rsid w:val="004B7A50"/>
    <w:rsid w:val="004C2DF8"/>
    <w:rsid w:val="004D230F"/>
    <w:rsid w:val="004D633E"/>
    <w:rsid w:val="004F538A"/>
    <w:rsid w:val="00503974"/>
    <w:rsid w:val="00503AB5"/>
    <w:rsid w:val="00511320"/>
    <w:rsid w:val="005124F4"/>
    <w:rsid w:val="0052230B"/>
    <w:rsid w:val="005245AB"/>
    <w:rsid w:val="00525A8A"/>
    <w:rsid w:val="005276F0"/>
    <w:rsid w:val="00530909"/>
    <w:rsid w:val="00530E22"/>
    <w:rsid w:val="00534CC1"/>
    <w:rsid w:val="005426ED"/>
    <w:rsid w:val="005875A0"/>
    <w:rsid w:val="005A4234"/>
    <w:rsid w:val="005A7FE8"/>
    <w:rsid w:val="005B3388"/>
    <w:rsid w:val="005C3F73"/>
    <w:rsid w:val="005C7891"/>
    <w:rsid w:val="005E3F16"/>
    <w:rsid w:val="00601BF7"/>
    <w:rsid w:val="00603302"/>
    <w:rsid w:val="00604E4F"/>
    <w:rsid w:val="006054EE"/>
    <w:rsid w:val="006118B6"/>
    <w:rsid w:val="00613FA9"/>
    <w:rsid w:val="0061401E"/>
    <w:rsid w:val="00615F76"/>
    <w:rsid w:val="0061612B"/>
    <w:rsid w:val="006270C0"/>
    <w:rsid w:val="00630195"/>
    <w:rsid w:val="00651934"/>
    <w:rsid w:val="006559AF"/>
    <w:rsid w:val="00660ED5"/>
    <w:rsid w:val="0067078D"/>
    <w:rsid w:val="006843FC"/>
    <w:rsid w:val="00686C9C"/>
    <w:rsid w:val="00693874"/>
    <w:rsid w:val="00693F46"/>
    <w:rsid w:val="00697F78"/>
    <w:rsid w:val="006A34DF"/>
    <w:rsid w:val="006A59D4"/>
    <w:rsid w:val="006B11E5"/>
    <w:rsid w:val="006B350E"/>
    <w:rsid w:val="006C13BB"/>
    <w:rsid w:val="006C23E2"/>
    <w:rsid w:val="006C3529"/>
    <w:rsid w:val="006D78A5"/>
    <w:rsid w:val="006E26E1"/>
    <w:rsid w:val="006F158F"/>
    <w:rsid w:val="006F743B"/>
    <w:rsid w:val="00704FF0"/>
    <w:rsid w:val="00717E14"/>
    <w:rsid w:val="00747AAD"/>
    <w:rsid w:val="00752003"/>
    <w:rsid w:val="00754D90"/>
    <w:rsid w:val="007644D5"/>
    <w:rsid w:val="00764648"/>
    <w:rsid w:val="007672F3"/>
    <w:rsid w:val="007716C8"/>
    <w:rsid w:val="00776B63"/>
    <w:rsid w:val="0078639F"/>
    <w:rsid w:val="007877AB"/>
    <w:rsid w:val="007909E4"/>
    <w:rsid w:val="00792799"/>
    <w:rsid w:val="0079687F"/>
    <w:rsid w:val="007B16C4"/>
    <w:rsid w:val="007B1B11"/>
    <w:rsid w:val="007B48CD"/>
    <w:rsid w:val="007C1524"/>
    <w:rsid w:val="007C2D13"/>
    <w:rsid w:val="007C2D7E"/>
    <w:rsid w:val="007D17FD"/>
    <w:rsid w:val="007D48C5"/>
    <w:rsid w:val="007E06F0"/>
    <w:rsid w:val="007E100A"/>
    <w:rsid w:val="007F30DD"/>
    <w:rsid w:val="00802DFC"/>
    <w:rsid w:val="00814781"/>
    <w:rsid w:val="00834DBB"/>
    <w:rsid w:val="00834DDB"/>
    <w:rsid w:val="00835775"/>
    <w:rsid w:val="00835CB1"/>
    <w:rsid w:val="00842FFB"/>
    <w:rsid w:val="0084566B"/>
    <w:rsid w:val="00850607"/>
    <w:rsid w:val="00862597"/>
    <w:rsid w:val="0086351A"/>
    <w:rsid w:val="008723C5"/>
    <w:rsid w:val="0087341F"/>
    <w:rsid w:val="00874B61"/>
    <w:rsid w:val="00895DA7"/>
    <w:rsid w:val="008A48B7"/>
    <w:rsid w:val="008B3EB5"/>
    <w:rsid w:val="008C5809"/>
    <w:rsid w:val="008D6D86"/>
    <w:rsid w:val="008D78C9"/>
    <w:rsid w:val="008E0FC9"/>
    <w:rsid w:val="008E2800"/>
    <w:rsid w:val="008F3BA9"/>
    <w:rsid w:val="0090011F"/>
    <w:rsid w:val="00901F65"/>
    <w:rsid w:val="00902537"/>
    <w:rsid w:val="00913684"/>
    <w:rsid w:val="00923865"/>
    <w:rsid w:val="0093016E"/>
    <w:rsid w:val="00932C96"/>
    <w:rsid w:val="00934B4D"/>
    <w:rsid w:val="00955C75"/>
    <w:rsid w:val="009677DF"/>
    <w:rsid w:val="00970565"/>
    <w:rsid w:val="00975253"/>
    <w:rsid w:val="00982203"/>
    <w:rsid w:val="00983E74"/>
    <w:rsid w:val="0098648B"/>
    <w:rsid w:val="009946F8"/>
    <w:rsid w:val="00996E6B"/>
    <w:rsid w:val="009A1D64"/>
    <w:rsid w:val="009A26E2"/>
    <w:rsid w:val="009B0AE9"/>
    <w:rsid w:val="009B1292"/>
    <w:rsid w:val="009B2430"/>
    <w:rsid w:val="009B338B"/>
    <w:rsid w:val="009B58AD"/>
    <w:rsid w:val="009B7935"/>
    <w:rsid w:val="009B7A51"/>
    <w:rsid w:val="009C7BA2"/>
    <w:rsid w:val="009C7D02"/>
    <w:rsid w:val="009D1161"/>
    <w:rsid w:val="009D3CE4"/>
    <w:rsid w:val="009D667B"/>
    <w:rsid w:val="009F4449"/>
    <w:rsid w:val="00A02252"/>
    <w:rsid w:val="00A127F1"/>
    <w:rsid w:val="00A20870"/>
    <w:rsid w:val="00A27130"/>
    <w:rsid w:val="00A307A9"/>
    <w:rsid w:val="00A31D66"/>
    <w:rsid w:val="00A37DFE"/>
    <w:rsid w:val="00A430E2"/>
    <w:rsid w:val="00A52D7A"/>
    <w:rsid w:val="00A65A52"/>
    <w:rsid w:val="00A7147C"/>
    <w:rsid w:val="00A721DD"/>
    <w:rsid w:val="00A761B0"/>
    <w:rsid w:val="00A7660B"/>
    <w:rsid w:val="00A81B47"/>
    <w:rsid w:val="00A86897"/>
    <w:rsid w:val="00A95733"/>
    <w:rsid w:val="00AB4036"/>
    <w:rsid w:val="00AB4AD4"/>
    <w:rsid w:val="00AB4CD3"/>
    <w:rsid w:val="00AB5465"/>
    <w:rsid w:val="00AC378F"/>
    <w:rsid w:val="00AC38B2"/>
    <w:rsid w:val="00AC6D0E"/>
    <w:rsid w:val="00AF2D68"/>
    <w:rsid w:val="00B110D6"/>
    <w:rsid w:val="00B230E1"/>
    <w:rsid w:val="00B24EFE"/>
    <w:rsid w:val="00B26FAC"/>
    <w:rsid w:val="00B31AA2"/>
    <w:rsid w:val="00B66782"/>
    <w:rsid w:val="00B74C0B"/>
    <w:rsid w:val="00B8400D"/>
    <w:rsid w:val="00B93A37"/>
    <w:rsid w:val="00BA0137"/>
    <w:rsid w:val="00BA1819"/>
    <w:rsid w:val="00BA5A22"/>
    <w:rsid w:val="00BA5E01"/>
    <w:rsid w:val="00BB18C2"/>
    <w:rsid w:val="00BB23B2"/>
    <w:rsid w:val="00BB55E5"/>
    <w:rsid w:val="00BD725A"/>
    <w:rsid w:val="00BF20C2"/>
    <w:rsid w:val="00BF2723"/>
    <w:rsid w:val="00BF3750"/>
    <w:rsid w:val="00BF4E3D"/>
    <w:rsid w:val="00C06244"/>
    <w:rsid w:val="00C11FA2"/>
    <w:rsid w:val="00C1328C"/>
    <w:rsid w:val="00C23228"/>
    <w:rsid w:val="00C24238"/>
    <w:rsid w:val="00C369AE"/>
    <w:rsid w:val="00C46826"/>
    <w:rsid w:val="00C50FD2"/>
    <w:rsid w:val="00C536C2"/>
    <w:rsid w:val="00C55F47"/>
    <w:rsid w:val="00C566F7"/>
    <w:rsid w:val="00C56E2E"/>
    <w:rsid w:val="00C57E7A"/>
    <w:rsid w:val="00C615E3"/>
    <w:rsid w:val="00C64A31"/>
    <w:rsid w:val="00C708F1"/>
    <w:rsid w:val="00C82E8B"/>
    <w:rsid w:val="00C83088"/>
    <w:rsid w:val="00CB4E84"/>
    <w:rsid w:val="00CC4C88"/>
    <w:rsid w:val="00CD0B1F"/>
    <w:rsid w:val="00CD3F96"/>
    <w:rsid w:val="00CD4C50"/>
    <w:rsid w:val="00CE09F3"/>
    <w:rsid w:val="00CE1304"/>
    <w:rsid w:val="00CE22D9"/>
    <w:rsid w:val="00CE4186"/>
    <w:rsid w:val="00CE58C8"/>
    <w:rsid w:val="00CE76DA"/>
    <w:rsid w:val="00CF2648"/>
    <w:rsid w:val="00D05B0A"/>
    <w:rsid w:val="00D11E94"/>
    <w:rsid w:val="00D30389"/>
    <w:rsid w:val="00D337F6"/>
    <w:rsid w:val="00D52CDB"/>
    <w:rsid w:val="00D56441"/>
    <w:rsid w:val="00D61710"/>
    <w:rsid w:val="00D6611E"/>
    <w:rsid w:val="00D75174"/>
    <w:rsid w:val="00D76566"/>
    <w:rsid w:val="00D766F5"/>
    <w:rsid w:val="00D839C2"/>
    <w:rsid w:val="00D85F37"/>
    <w:rsid w:val="00D867C7"/>
    <w:rsid w:val="00D92084"/>
    <w:rsid w:val="00D95AAA"/>
    <w:rsid w:val="00DB4534"/>
    <w:rsid w:val="00DD2747"/>
    <w:rsid w:val="00DD2A82"/>
    <w:rsid w:val="00DD6E6B"/>
    <w:rsid w:val="00DF4110"/>
    <w:rsid w:val="00DF46E4"/>
    <w:rsid w:val="00E028A4"/>
    <w:rsid w:val="00E04856"/>
    <w:rsid w:val="00E051E8"/>
    <w:rsid w:val="00E24621"/>
    <w:rsid w:val="00E24D58"/>
    <w:rsid w:val="00E25821"/>
    <w:rsid w:val="00E426D1"/>
    <w:rsid w:val="00E50CD3"/>
    <w:rsid w:val="00E520E2"/>
    <w:rsid w:val="00E56089"/>
    <w:rsid w:val="00E62DA0"/>
    <w:rsid w:val="00E64B3A"/>
    <w:rsid w:val="00E674DF"/>
    <w:rsid w:val="00E75497"/>
    <w:rsid w:val="00E83E22"/>
    <w:rsid w:val="00E87BE1"/>
    <w:rsid w:val="00EA020F"/>
    <w:rsid w:val="00EA1F85"/>
    <w:rsid w:val="00EA4441"/>
    <w:rsid w:val="00ED0C25"/>
    <w:rsid w:val="00ED4585"/>
    <w:rsid w:val="00ED735F"/>
    <w:rsid w:val="00EE414C"/>
    <w:rsid w:val="00EE711E"/>
    <w:rsid w:val="00F11703"/>
    <w:rsid w:val="00F24273"/>
    <w:rsid w:val="00F37B15"/>
    <w:rsid w:val="00F42610"/>
    <w:rsid w:val="00F5775F"/>
    <w:rsid w:val="00F638B6"/>
    <w:rsid w:val="00F63F24"/>
    <w:rsid w:val="00F646ED"/>
    <w:rsid w:val="00F71862"/>
    <w:rsid w:val="00F8300E"/>
    <w:rsid w:val="00F84CF6"/>
    <w:rsid w:val="00FA2BB8"/>
    <w:rsid w:val="00FA521A"/>
    <w:rsid w:val="00FA5B74"/>
    <w:rsid w:val="00FC5A3C"/>
    <w:rsid w:val="00FD28A2"/>
    <w:rsid w:val="00FD7E3A"/>
    <w:rsid w:val="00FF0D13"/>
    <w:rsid w:val="00FF4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FD297D"/>
  <w15:docId w15:val="{54517A5E-3138-4DF5-AA9F-CEE3B322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131FF"/>
    <w:rPr>
      <w:rFonts w:ascii="Cambria" w:hAnsi="Cambria" w:cs="Times New Roman"/>
      <w:b/>
      <w:bCs/>
      <w:kern w:val="32"/>
      <w:sz w:val="32"/>
      <w:szCs w:val="32"/>
    </w:rPr>
  </w:style>
  <w:style w:type="character" w:customStyle="1" w:styleId="Heading2Char">
    <w:name w:val="Heading 2 Char"/>
    <w:link w:val="Heading2"/>
    <w:uiPriority w:val="99"/>
    <w:semiHidden/>
    <w:locked/>
    <w:rsid w:val="002131FF"/>
    <w:rPr>
      <w:rFonts w:ascii="Cambria" w:hAnsi="Cambria" w:cs="Times New Roman"/>
      <w:b/>
      <w:bCs/>
      <w:i/>
      <w:iCs/>
      <w:sz w:val="28"/>
      <w:szCs w:val="28"/>
    </w:rPr>
  </w:style>
  <w:style w:type="character" w:customStyle="1" w:styleId="Heading3Char">
    <w:name w:val="Heading 3 Char"/>
    <w:link w:val="Heading3"/>
    <w:uiPriority w:val="99"/>
    <w:semiHidden/>
    <w:locked/>
    <w:rsid w:val="002131FF"/>
    <w:rPr>
      <w:rFonts w:ascii="Cambria" w:hAnsi="Cambria" w:cs="Times New Roman"/>
      <w:b/>
      <w:bCs/>
      <w:sz w:val="26"/>
      <w:szCs w:val="26"/>
    </w:rPr>
  </w:style>
  <w:style w:type="character" w:customStyle="1" w:styleId="Heading4Char">
    <w:name w:val="Heading 4 Char"/>
    <w:link w:val="Heading4"/>
    <w:uiPriority w:val="99"/>
    <w:semiHidden/>
    <w:locked/>
    <w:rsid w:val="002131FF"/>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
    <w:link w:val="Header"/>
    <w:uiPriority w:val="99"/>
    <w:locked/>
    <w:rsid w:val="002131FF"/>
    <w:rPr>
      <w:rFonts w:cs="Times New Roman"/>
      <w:sz w:val="24"/>
      <w:szCs w:val="24"/>
    </w:rPr>
  </w:style>
  <w:style w:type="paragraph" w:styleId="Footer">
    <w:name w:val="footer"/>
    <w:basedOn w:val="Normal"/>
    <w:link w:val="FooterChar"/>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2131FF"/>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2131FF"/>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2131FF"/>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character" w:customStyle="1" w:styleId="CharChar3">
    <w:name w:val="Char Char3"/>
    <w:uiPriority w:val="99"/>
    <w:rsid w:val="00D839C2"/>
    <w:rPr>
      <w:rFonts w:ascii="Humanist777" w:hAnsi="Humanist777"/>
      <w:sz w:val="24"/>
      <w:lang w:val="en-US" w:eastAsia="en-US"/>
    </w:rPr>
  </w:style>
  <w:style w:type="paragraph" w:styleId="NoSpacing">
    <w:name w:val="No Spacing"/>
    <w:uiPriority w:val="99"/>
    <w:qFormat/>
    <w:rsid w:val="00D839C2"/>
    <w:rPr>
      <w:rFonts w:ascii="Calibri" w:hAnsi="Calibri"/>
      <w:sz w:val="22"/>
      <w:szCs w:val="22"/>
    </w:rPr>
  </w:style>
  <w:style w:type="paragraph" w:styleId="Revision">
    <w:name w:val="Revision"/>
    <w:hidden/>
    <w:uiPriority w:val="99"/>
    <w:semiHidden/>
    <w:rsid w:val="007C2D1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06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C06947-41C2-47AE-83E3-1456E0270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3379</Words>
  <Characters>19261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Olja Borozan</cp:lastModifiedBy>
  <cp:revision>7</cp:revision>
  <cp:lastPrinted>2017-07-31T09:43:00Z</cp:lastPrinted>
  <dcterms:created xsi:type="dcterms:W3CDTF">2025-01-17T09:18:00Z</dcterms:created>
  <dcterms:modified xsi:type="dcterms:W3CDTF">2025-02-04T10:53:00Z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2023-11-29T15:08:57Z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d5147c51-26b1-4f93-b2bf-6cb0c3749672</vt:lpwstr>
  </property>
  <property fmtid="{D5CDD505-2E9C-101B-9397-08002B2CF9AE}" pid="8" name="MSIP_Label_80e91ba7-203e-4ac0-a045-4c37ad0b383b_ContentBits">
    <vt:lpwstr>1</vt:lpwstr>
  </property>
</Properties>
</file>